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3C16A" w14:textId="0EC2D24B" w:rsidR="00C231FF" w:rsidRPr="00BA23EC" w:rsidRDefault="00832EA6" w:rsidP="00C519FF">
      <w:pPr>
        <w:pStyle w:val="Title"/>
        <w:rPr>
          <w:rFonts w:asciiTheme="minorHAnsi" w:hAnsiTheme="minorHAnsi" w:cstheme="minorHAnsi"/>
          <w:sz w:val="36"/>
          <w:lang w:val="en-AU"/>
        </w:rPr>
      </w:pPr>
      <w:bookmarkStart w:id="0" w:name="_Toc132223550"/>
      <w:bookmarkStart w:id="1" w:name="_Toc132287525"/>
      <w:bookmarkStart w:id="2" w:name="_Toc414445534"/>
      <w:bookmarkStart w:id="3" w:name="_Toc401147273"/>
      <w:r w:rsidRPr="00BA23EC">
        <w:rPr>
          <w:rFonts w:asciiTheme="minorHAnsi" w:hAnsiTheme="minorHAnsi" w:cstheme="minorHAnsi"/>
          <w:lang w:val="en-AU"/>
        </w:rPr>
        <w:t xml:space="preserve">Partner-Led Design - </w:t>
      </w:r>
      <w:r w:rsidRPr="00BA23EC">
        <w:rPr>
          <w:rFonts w:asciiTheme="minorHAnsi" w:hAnsiTheme="minorHAnsi" w:cstheme="minorHAnsi"/>
          <w:caps w:val="0"/>
          <w:sz w:val="36"/>
          <w:lang w:val="en-AU"/>
        </w:rPr>
        <w:t>Investment Design Summary</w:t>
      </w:r>
      <w:bookmarkEnd w:id="0"/>
      <w:bookmarkEnd w:id="1"/>
      <w:r w:rsidRPr="00BA23EC">
        <w:rPr>
          <w:rFonts w:asciiTheme="minorHAnsi" w:hAnsiTheme="minorHAnsi" w:cstheme="minorHAnsi"/>
          <w:caps w:val="0"/>
          <w:sz w:val="36"/>
          <w:lang w:val="en-AU"/>
        </w:rPr>
        <w:t xml:space="preserve"> </w:t>
      </w:r>
      <w:bookmarkEnd w:id="2"/>
      <w:bookmarkEnd w:id="3"/>
    </w:p>
    <w:p w14:paraId="350512CA" w14:textId="6B60A913" w:rsidR="002D4DE7" w:rsidRPr="00BA23EC" w:rsidRDefault="002D4DE7" w:rsidP="00F81159">
      <w:pPr>
        <w:pStyle w:val="BodyText"/>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jc w:val="both"/>
        <w:rPr>
          <w:rFonts w:cstheme="minorHAnsi"/>
          <w:lang w:val="en-AU"/>
        </w:rPr>
      </w:pPr>
      <w:r w:rsidRPr="00BA23EC">
        <w:rPr>
          <w:rFonts w:cstheme="minorHAnsi"/>
          <w:b/>
          <w:lang w:val="en-AU"/>
        </w:rPr>
        <w:t>Investment Design Title:</w:t>
      </w:r>
      <w:r w:rsidRPr="00BA23EC">
        <w:rPr>
          <w:rFonts w:cstheme="minorHAnsi"/>
          <w:b/>
          <w:lang w:val="en-AU"/>
        </w:rPr>
        <w:tab/>
      </w:r>
      <w:r w:rsidR="003F3070" w:rsidRPr="00BA23EC">
        <w:rPr>
          <w:rFonts w:cstheme="minorHAnsi"/>
          <w:b/>
          <w:lang w:val="en-AU"/>
        </w:rPr>
        <w:t xml:space="preserve"> </w:t>
      </w:r>
      <w:r w:rsidR="00AA7F71" w:rsidRPr="00BA23EC">
        <w:rPr>
          <w:rFonts w:cstheme="minorHAnsi"/>
          <w:b/>
          <w:lang w:val="en-AU"/>
        </w:rPr>
        <w:t>Indonesia Health Transformation Multi-Donor Trust Fund (MDTF)</w:t>
      </w:r>
    </w:p>
    <w:p w14:paraId="18937854" w14:textId="40FA7EED" w:rsidR="00832EA6" w:rsidRPr="00BA23EC" w:rsidRDefault="002D4DE7" w:rsidP="00F81159">
      <w:pPr>
        <w:pStyle w:val="BodyText"/>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jc w:val="both"/>
        <w:rPr>
          <w:rFonts w:cstheme="minorHAnsi"/>
          <w:lang w:val="en-AU"/>
        </w:rPr>
      </w:pPr>
      <w:r w:rsidRPr="00BA23EC">
        <w:rPr>
          <w:rFonts w:cstheme="minorHAnsi"/>
          <w:b/>
          <w:lang w:val="en-AU"/>
        </w:rPr>
        <w:t>Start date:</w:t>
      </w:r>
      <w:r w:rsidR="00AA7F71" w:rsidRPr="00BA23EC">
        <w:rPr>
          <w:rFonts w:cstheme="minorHAnsi"/>
          <w:b/>
          <w:lang w:val="en-AU"/>
        </w:rPr>
        <w:t xml:space="preserve"> </w:t>
      </w:r>
      <w:r w:rsidR="004340C8" w:rsidRPr="00BA23EC">
        <w:rPr>
          <w:rFonts w:cstheme="minorHAnsi"/>
          <w:lang w:val="en-AU"/>
        </w:rPr>
        <w:t>May 2023</w:t>
      </w:r>
      <w:r w:rsidR="00F00351" w:rsidRPr="00BA23EC">
        <w:rPr>
          <w:rFonts w:cstheme="minorHAnsi"/>
          <w:lang w:val="en-AU"/>
        </w:rPr>
        <w:t xml:space="preserve"> </w:t>
      </w:r>
    </w:p>
    <w:p w14:paraId="1EAE9631" w14:textId="72C826E6" w:rsidR="002D4DE7" w:rsidRPr="00BA23EC" w:rsidRDefault="002D4DE7" w:rsidP="00F81159">
      <w:pPr>
        <w:pStyle w:val="BodyText"/>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jc w:val="both"/>
        <w:rPr>
          <w:rFonts w:cstheme="minorHAnsi"/>
          <w:b/>
          <w:lang w:val="en-AU"/>
        </w:rPr>
      </w:pPr>
      <w:r w:rsidRPr="00BA23EC">
        <w:rPr>
          <w:rFonts w:cstheme="minorHAnsi"/>
          <w:b/>
          <w:lang w:val="en-AU"/>
        </w:rPr>
        <w:t xml:space="preserve">End date: </w:t>
      </w:r>
      <w:r w:rsidR="00CB2D8D" w:rsidRPr="00BA23EC">
        <w:rPr>
          <w:rFonts w:cstheme="minorHAnsi"/>
          <w:lang w:val="en-AU"/>
        </w:rPr>
        <w:t>May 20</w:t>
      </w:r>
      <w:r w:rsidR="00697FC7" w:rsidRPr="00BA23EC">
        <w:rPr>
          <w:rFonts w:cstheme="minorHAnsi"/>
          <w:lang w:val="en-AU"/>
        </w:rPr>
        <w:t>26</w:t>
      </w:r>
    </w:p>
    <w:p w14:paraId="463E0E44" w14:textId="7A8AFA94" w:rsidR="00832EA6" w:rsidRPr="00BA23EC" w:rsidRDefault="002D4DE7" w:rsidP="00F81159">
      <w:pPr>
        <w:pStyle w:val="BodyText"/>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jc w:val="both"/>
        <w:rPr>
          <w:rFonts w:cstheme="minorHAnsi"/>
          <w:b/>
          <w:lang w:val="en-AU"/>
        </w:rPr>
      </w:pPr>
      <w:r w:rsidRPr="00BA23EC">
        <w:rPr>
          <w:rFonts w:cstheme="minorHAnsi"/>
          <w:b/>
          <w:lang w:val="en-AU"/>
        </w:rPr>
        <w:t xml:space="preserve">Total proposed DFAT funding: </w:t>
      </w:r>
      <w:r w:rsidR="00853DEF" w:rsidRPr="00BA23EC">
        <w:rPr>
          <w:rFonts w:cstheme="minorHAnsi"/>
          <w:lang w:val="en-AU"/>
        </w:rPr>
        <w:t>Up to</w:t>
      </w:r>
      <w:r w:rsidR="00853DEF" w:rsidRPr="00BA23EC">
        <w:rPr>
          <w:rFonts w:cstheme="minorHAnsi"/>
          <w:b/>
          <w:lang w:val="en-AU"/>
        </w:rPr>
        <w:t xml:space="preserve"> </w:t>
      </w:r>
      <w:r w:rsidRPr="00BA23EC">
        <w:rPr>
          <w:rFonts w:cstheme="minorHAnsi"/>
          <w:lang w:val="en-AU"/>
        </w:rPr>
        <w:t>AUD</w:t>
      </w:r>
      <w:r w:rsidR="00697FC7" w:rsidRPr="00BA23EC">
        <w:rPr>
          <w:rFonts w:cstheme="minorHAnsi"/>
          <w:lang w:val="en-AU"/>
        </w:rPr>
        <w:t>9.6m</w:t>
      </w:r>
    </w:p>
    <w:p w14:paraId="2AC4A23B" w14:textId="038E6394" w:rsidR="002D4DE7" w:rsidRPr="00BA23EC" w:rsidRDefault="002D4DE7" w:rsidP="00F81159">
      <w:pPr>
        <w:pStyle w:val="BodyText"/>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jc w:val="both"/>
        <w:rPr>
          <w:rFonts w:cstheme="minorHAnsi"/>
          <w:lang w:val="en-AU"/>
        </w:rPr>
      </w:pPr>
      <w:r w:rsidRPr="00BA23EC">
        <w:rPr>
          <w:rFonts w:cstheme="minorHAnsi"/>
          <w:b/>
          <w:lang w:val="en-AU"/>
        </w:rPr>
        <w:t xml:space="preserve">Total proposed funding from all donor/s: </w:t>
      </w:r>
      <w:r w:rsidRPr="00BA23EC">
        <w:rPr>
          <w:rFonts w:cstheme="minorHAnsi"/>
          <w:lang w:val="en-AU"/>
        </w:rPr>
        <w:t>AUD</w:t>
      </w:r>
      <w:r w:rsidR="00251A7F" w:rsidRPr="00BA23EC">
        <w:rPr>
          <w:rFonts w:cstheme="minorHAnsi"/>
          <w:lang w:val="en-AU"/>
        </w:rPr>
        <w:t>68</w:t>
      </w:r>
      <w:r w:rsidR="00DD57C4" w:rsidRPr="00BA23EC">
        <w:rPr>
          <w:rFonts w:cstheme="minorHAnsi"/>
          <w:lang w:val="en-AU"/>
        </w:rPr>
        <w:t>m</w:t>
      </w:r>
    </w:p>
    <w:p w14:paraId="0F8FCD02" w14:textId="1CAC70E8" w:rsidR="00832EA6" w:rsidRPr="00F16934" w:rsidRDefault="002D4DE7" w:rsidP="00F81159">
      <w:pPr>
        <w:pStyle w:val="BodyText"/>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jc w:val="both"/>
        <w:rPr>
          <w:rFonts w:cstheme="minorHAnsi"/>
          <w:lang w:val="en-AU"/>
        </w:rPr>
      </w:pPr>
      <w:r w:rsidRPr="00BA23EC">
        <w:rPr>
          <w:rFonts w:cstheme="minorHAnsi"/>
          <w:b/>
          <w:sz w:val="21"/>
          <w:lang w:val="en-AU"/>
        </w:rPr>
        <w:t xml:space="preserve">Current program fund annual allocation: </w:t>
      </w:r>
      <w:r w:rsidRPr="00F16934">
        <w:rPr>
          <w:rFonts w:cstheme="minorHAnsi"/>
          <w:lang w:val="en-AU"/>
        </w:rPr>
        <w:t>AUD</w:t>
      </w:r>
      <w:r w:rsidR="001A1E50" w:rsidRPr="00F16934">
        <w:rPr>
          <w:rFonts w:cstheme="minorHAnsi"/>
          <w:lang w:val="en-AU"/>
        </w:rPr>
        <w:t>265m</w:t>
      </w:r>
    </w:p>
    <w:p w14:paraId="54906F66" w14:textId="55209601" w:rsidR="002D4DE7" w:rsidRPr="00BA23EC" w:rsidRDefault="002D4DE7" w:rsidP="00F81159">
      <w:pPr>
        <w:pStyle w:val="BodyText"/>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jc w:val="both"/>
        <w:rPr>
          <w:rFonts w:cstheme="minorHAnsi"/>
          <w:sz w:val="21"/>
          <w:lang w:val="en-AU"/>
        </w:rPr>
      </w:pPr>
      <w:r w:rsidRPr="00BA23EC">
        <w:rPr>
          <w:rFonts w:cstheme="minorHAnsi"/>
          <w:b/>
          <w:sz w:val="21"/>
          <w:lang w:val="en-AU"/>
        </w:rPr>
        <w:t>AidWorks investment number:</w:t>
      </w:r>
      <w:r w:rsidR="001A1E50" w:rsidRPr="00BA23EC">
        <w:rPr>
          <w:rFonts w:cstheme="minorHAnsi"/>
          <w:b/>
          <w:sz w:val="21"/>
          <w:lang w:val="en-AU"/>
        </w:rPr>
        <w:t xml:space="preserve"> </w:t>
      </w:r>
      <w:r w:rsidR="005B7783" w:rsidRPr="00BA23EC">
        <w:rPr>
          <w:rFonts w:cstheme="minorHAnsi"/>
          <w:sz w:val="21"/>
          <w:lang w:val="en-AU"/>
        </w:rPr>
        <w:t>I</w:t>
      </w:r>
      <w:r w:rsidR="005B7783" w:rsidRPr="00F16934">
        <w:rPr>
          <w:rFonts w:cstheme="minorHAnsi"/>
          <w:lang w:val="en-AU"/>
        </w:rPr>
        <w:t>NO</w:t>
      </w:r>
      <w:r w:rsidR="00064E8C" w:rsidRPr="00F16934">
        <w:rPr>
          <w:rFonts w:cstheme="minorHAnsi"/>
          <w:lang w:val="en-AU"/>
        </w:rPr>
        <w:t>207</w:t>
      </w:r>
    </w:p>
    <w:p w14:paraId="4B710845" w14:textId="000DF548" w:rsidR="00832EA6" w:rsidRPr="00F16934" w:rsidRDefault="00773C25" w:rsidP="00F81159">
      <w:p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jc w:val="both"/>
        <w:rPr>
          <w:rFonts w:cstheme="minorHAnsi"/>
          <w:lang w:val="en-AU"/>
        </w:rPr>
      </w:pPr>
      <w:r w:rsidRPr="00F16934">
        <w:rPr>
          <w:rFonts w:cstheme="minorHAnsi"/>
          <w:b/>
          <w:lang w:val="en-AU"/>
        </w:rPr>
        <w:t xml:space="preserve">Risk: </w:t>
      </w:r>
      <w:r w:rsidR="001A1E50" w:rsidRPr="00F16934">
        <w:rPr>
          <w:rFonts w:cstheme="minorHAnsi"/>
          <w:lang w:val="en-AU"/>
        </w:rPr>
        <w:t>mediu</w:t>
      </w:r>
      <w:r w:rsidR="00442A2E" w:rsidRPr="00F16934">
        <w:rPr>
          <w:rFonts w:cstheme="minorHAnsi"/>
          <w:lang w:val="en-AU"/>
        </w:rPr>
        <w:t>m</w:t>
      </w:r>
    </w:p>
    <w:p w14:paraId="65B0213C" w14:textId="079F6959" w:rsidR="00773C25" w:rsidRPr="00F16934" w:rsidRDefault="00773C25" w:rsidP="00F81159">
      <w:p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jc w:val="both"/>
        <w:rPr>
          <w:rFonts w:cstheme="minorHAnsi"/>
          <w:b/>
          <w:lang w:val="en-AU"/>
        </w:rPr>
      </w:pPr>
      <w:r w:rsidRPr="00F16934">
        <w:rPr>
          <w:rFonts w:cstheme="minorHAnsi"/>
          <w:b/>
          <w:lang w:val="en-AU"/>
        </w:rPr>
        <w:t xml:space="preserve">Value: </w:t>
      </w:r>
      <w:r w:rsidR="001A1E50" w:rsidRPr="00F16934">
        <w:rPr>
          <w:rFonts w:cstheme="minorHAnsi"/>
          <w:lang w:val="en-AU"/>
        </w:rPr>
        <w:t>medium</w:t>
      </w:r>
    </w:p>
    <w:p w14:paraId="319C188A" w14:textId="4F000F36" w:rsidR="002D4DE7" w:rsidRPr="00F16934" w:rsidRDefault="002D4DE7" w:rsidP="00F81159">
      <w:pPr>
        <w:pStyle w:val="BodyText"/>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jc w:val="both"/>
        <w:rPr>
          <w:rFonts w:cstheme="minorHAnsi"/>
          <w:lang w:val="en-AU"/>
        </w:rPr>
      </w:pPr>
      <w:r w:rsidRPr="00F16934">
        <w:rPr>
          <w:rFonts w:cstheme="minorHAnsi"/>
          <w:b/>
          <w:lang w:val="en-AU"/>
        </w:rPr>
        <w:t xml:space="preserve">Quality Assurance completed: </w:t>
      </w:r>
      <w:r w:rsidR="001A1E50" w:rsidRPr="00F16934">
        <w:rPr>
          <w:rFonts w:cstheme="minorHAnsi"/>
          <w:lang w:val="en-AU"/>
        </w:rPr>
        <w:t xml:space="preserve">Informal QA </w:t>
      </w:r>
    </w:p>
    <w:p w14:paraId="52A665AB" w14:textId="31C7FD17" w:rsidR="008930B6" w:rsidRPr="00F16934" w:rsidRDefault="002D4DE7" w:rsidP="00F81159">
      <w:pPr>
        <w:pStyle w:val="BodyText"/>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jc w:val="both"/>
        <w:rPr>
          <w:rFonts w:cstheme="minorHAnsi"/>
          <w:lang w:val="en-AU"/>
        </w:rPr>
      </w:pPr>
      <w:r w:rsidRPr="00F16934">
        <w:rPr>
          <w:rFonts w:cstheme="minorHAnsi"/>
          <w:b/>
          <w:lang w:val="en-AU"/>
        </w:rPr>
        <w:t xml:space="preserve">Approval: Delegate at Post: </w:t>
      </w:r>
      <w:r w:rsidR="00EC29FC" w:rsidRPr="00F16934">
        <w:rPr>
          <w:rFonts w:cstheme="minorHAnsi"/>
          <w:lang w:val="en-AU"/>
        </w:rPr>
        <w:t>Madeleine Moss, Minister Counsellor, Governance and Human Development, Jakarta Po</w:t>
      </w:r>
      <w:r w:rsidR="00F565E4" w:rsidRPr="00F16934">
        <w:rPr>
          <w:rFonts w:cstheme="minorHAnsi"/>
          <w:lang w:val="en-AU"/>
        </w:rPr>
        <w:t>st</w:t>
      </w:r>
    </w:p>
    <w:p w14:paraId="604523BC" w14:textId="1811447D" w:rsidR="008930B6" w:rsidRPr="00BA23EC" w:rsidRDefault="008930B6" w:rsidP="00F81159">
      <w:pPr>
        <w:suppressAutoHyphens w:val="0"/>
        <w:spacing w:before="0" w:after="120" w:line="440" w:lineRule="atLeast"/>
        <w:jc w:val="both"/>
        <w:rPr>
          <w:rFonts w:cstheme="minorHAnsi"/>
          <w:lang w:val="en-AU"/>
        </w:rPr>
      </w:pPr>
      <w:r w:rsidRPr="00BA23EC">
        <w:rPr>
          <w:rFonts w:cstheme="minorHAnsi"/>
          <w:lang w:val="en-AU"/>
        </w:rPr>
        <w:br w:type="page"/>
      </w:r>
    </w:p>
    <w:p w14:paraId="577CE691" w14:textId="3FF9BF39" w:rsidR="006F7933" w:rsidRPr="00BA23EC" w:rsidRDefault="006566EC">
      <w:pPr>
        <w:pStyle w:val="TOCHeading"/>
        <w:rPr>
          <w:rFonts w:asciiTheme="minorHAnsi" w:hAnsiTheme="minorHAnsi" w:cstheme="minorHAnsi"/>
          <w:lang w:val="en-AU"/>
        </w:rPr>
      </w:pPr>
      <w:r w:rsidRPr="00BA23EC">
        <w:rPr>
          <w:rFonts w:asciiTheme="minorHAnsi" w:hAnsiTheme="minorHAnsi" w:cstheme="minorHAnsi"/>
          <w:lang w:val="en-AU"/>
        </w:rPr>
        <w:lastRenderedPageBreak/>
        <w:t xml:space="preserve">TABLE OF </w:t>
      </w:r>
      <w:r w:rsidR="006F7933" w:rsidRPr="00BA23EC">
        <w:rPr>
          <w:rFonts w:asciiTheme="minorHAnsi" w:hAnsiTheme="minorHAnsi" w:cstheme="minorHAnsi"/>
          <w:lang w:val="en-AU"/>
        </w:rPr>
        <w:t>Contents</w:t>
      </w:r>
    </w:p>
    <w:p w14:paraId="39AE672B" w14:textId="65E0CFB2" w:rsidR="00A67B68" w:rsidRPr="00BA23EC" w:rsidRDefault="00A67B68" w:rsidP="00F46172">
      <w:pPr>
        <w:tabs>
          <w:tab w:val="left" w:pos="8505"/>
        </w:tabs>
        <w:spacing w:line="240" w:lineRule="auto"/>
        <w:rPr>
          <w:rFonts w:cstheme="minorHAnsi"/>
          <w:color w:val="auto"/>
          <w:u w:val="single" w:color="FFFFFF" w:themeColor="background1"/>
          <w:lang w:val="en-AU"/>
        </w:rPr>
      </w:pPr>
      <w:r w:rsidRPr="00F3473C">
        <w:rPr>
          <w:rFonts w:cstheme="minorHAnsi"/>
          <w:u w:color="FFFFFF" w:themeColor="background1"/>
          <w:lang w:val="en-AU"/>
        </w:rPr>
        <w:t>Acronyms and Abbreviations</w:t>
      </w:r>
      <w:r w:rsidR="00F46172">
        <w:rPr>
          <w:rFonts w:cstheme="minorHAnsi"/>
          <w:u w:color="FFFFFF" w:themeColor="background1"/>
          <w:lang w:val="en-AU"/>
        </w:rPr>
        <w:tab/>
        <w:t>3</w:t>
      </w:r>
    </w:p>
    <w:p w14:paraId="72B8B1A9" w14:textId="5BA448D1" w:rsidR="00A67B68" w:rsidRPr="00BA23EC" w:rsidRDefault="00390C85" w:rsidP="00670C52">
      <w:pPr>
        <w:pStyle w:val="TOC2"/>
        <w:rPr>
          <w:u w:val="single"/>
        </w:rPr>
      </w:pPr>
      <w:r w:rsidRPr="00F3473C">
        <w:t>Executive Summary</w:t>
      </w:r>
      <w:r w:rsidR="00F46172">
        <w:tab/>
      </w:r>
      <w:r w:rsidR="00552B35">
        <w:t>4</w:t>
      </w:r>
    </w:p>
    <w:p w14:paraId="01B998FD" w14:textId="5D32366C" w:rsidR="006208B4" w:rsidRPr="00BA23EC" w:rsidRDefault="006A2BE3" w:rsidP="00670C52">
      <w:pPr>
        <w:pStyle w:val="TOC2"/>
        <w:rPr>
          <w:u w:val="single"/>
        </w:rPr>
      </w:pPr>
      <w:r w:rsidRPr="00F3473C">
        <w:t>Development Context and Situational Analysis</w:t>
      </w:r>
      <w:r w:rsidR="00F46172">
        <w:tab/>
      </w:r>
      <w:r w:rsidR="0092170E">
        <w:t>6</w:t>
      </w:r>
    </w:p>
    <w:p w14:paraId="260074AC" w14:textId="355CA230" w:rsidR="00A67B68" w:rsidRPr="00BA23EC" w:rsidRDefault="001947E9" w:rsidP="00670C52">
      <w:pPr>
        <w:pStyle w:val="TOC2"/>
        <w:rPr>
          <w:u w:val="single"/>
        </w:rPr>
      </w:pPr>
      <w:r w:rsidRPr="00F3473C">
        <w:t>Strategic Intent and Rationale</w:t>
      </w:r>
      <w:r w:rsidR="00F46172">
        <w:tab/>
      </w:r>
      <w:r w:rsidRPr="00F3473C">
        <w:t>8</w:t>
      </w:r>
    </w:p>
    <w:p w14:paraId="7A88AEAA" w14:textId="5BD615E2" w:rsidR="00A67B68" w:rsidRPr="00BA23EC" w:rsidRDefault="0024190E" w:rsidP="00670C52">
      <w:pPr>
        <w:pStyle w:val="TOC2"/>
        <w:rPr>
          <w:u w:val="single"/>
        </w:rPr>
      </w:pPr>
      <w:r w:rsidRPr="00F3473C">
        <w:t>Proposed outcomes and Investment options</w:t>
      </w:r>
      <w:r w:rsidR="00F46172">
        <w:tab/>
      </w:r>
      <w:r w:rsidRPr="00F3473C">
        <w:t>10</w:t>
      </w:r>
    </w:p>
    <w:p w14:paraId="68A1BB32" w14:textId="794A333A" w:rsidR="00A67B68" w:rsidRPr="00F3473C" w:rsidRDefault="00A67B68" w:rsidP="00670C52">
      <w:pPr>
        <w:pStyle w:val="TOC2"/>
      </w:pPr>
      <w:r w:rsidRPr="00F3473C">
        <w:t>Implementation arrangements</w:t>
      </w:r>
      <w:r w:rsidR="00F46172">
        <w:rPr>
          <w:webHidden/>
        </w:rPr>
        <w:tab/>
      </w:r>
      <w:r w:rsidR="006A2BE3" w:rsidRPr="00F3473C">
        <w:rPr>
          <w:webHidden/>
        </w:rPr>
        <w:t>1</w:t>
      </w:r>
      <w:r w:rsidR="00F46172">
        <w:rPr>
          <w:webHidden/>
        </w:rPr>
        <w:t>4</w:t>
      </w:r>
    </w:p>
    <w:p w14:paraId="1F976EB8" w14:textId="20B72BB3" w:rsidR="00A67B68" w:rsidRPr="00F3473C" w:rsidRDefault="00A67B68" w:rsidP="00670C52">
      <w:pPr>
        <w:pStyle w:val="TOC2"/>
      </w:pPr>
      <w:r w:rsidRPr="00F3473C">
        <w:t>Monitoring and Evaluation</w:t>
      </w:r>
      <w:r w:rsidRPr="00F3473C">
        <w:rPr>
          <w:webHidden/>
        </w:rPr>
        <w:tab/>
      </w:r>
      <w:r w:rsidR="006A2BE3" w:rsidRPr="00F3473C">
        <w:rPr>
          <w:webHidden/>
        </w:rPr>
        <w:t>1</w:t>
      </w:r>
      <w:r w:rsidR="00F46172">
        <w:rPr>
          <w:webHidden/>
        </w:rPr>
        <w:t>5</w:t>
      </w:r>
    </w:p>
    <w:p w14:paraId="0F7F3E7F" w14:textId="55F83725" w:rsidR="00A67B68" w:rsidRPr="00F3473C" w:rsidRDefault="00A67B68" w:rsidP="00670C52">
      <w:pPr>
        <w:pStyle w:val="TOC2"/>
      </w:pPr>
      <w:r w:rsidRPr="00F3473C">
        <w:t>Gender, Disability and Other Cross Cutting Issues</w:t>
      </w:r>
      <w:r w:rsidRPr="00F3473C">
        <w:rPr>
          <w:webHidden/>
        </w:rPr>
        <w:tab/>
      </w:r>
      <w:r w:rsidR="00C32B65" w:rsidRPr="00F3473C">
        <w:rPr>
          <w:webHidden/>
        </w:rPr>
        <w:t>1</w:t>
      </w:r>
      <w:r w:rsidR="00F46172">
        <w:rPr>
          <w:webHidden/>
        </w:rPr>
        <w:t>7</w:t>
      </w:r>
    </w:p>
    <w:p w14:paraId="1F8D43B6" w14:textId="439AA68D" w:rsidR="00A67B68" w:rsidRPr="00F3473C" w:rsidRDefault="00A67B68" w:rsidP="00670C52">
      <w:pPr>
        <w:pStyle w:val="TOC2"/>
      </w:pPr>
      <w:r w:rsidRPr="00F3473C">
        <w:t>Budget</w:t>
      </w:r>
      <w:r w:rsidR="006A2BE3" w:rsidRPr="00F3473C">
        <w:t>ing</w:t>
      </w:r>
      <w:r w:rsidRPr="00F3473C">
        <w:t xml:space="preserve"> and Resourcing</w:t>
      </w:r>
      <w:r w:rsidRPr="00F3473C">
        <w:rPr>
          <w:webHidden/>
        </w:rPr>
        <w:tab/>
      </w:r>
      <w:r w:rsidR="00C32B65" w:rsidRPr="00F3473C">
        <w:rPr>
          <w:webHidden/>
        </w:rPr>
        <w:t>1</w:t>
      </w:r>
      <w:r w:rsidR="004F4864">
        <w:rPr>
          <w:webHidden/>
        </w:rPr>
        <w:t>8</w:t>
      </w:r>
    </w:p>
    <w:p w14:paraId="096B7217" w14:textId="0A25D578" w:rsidR="00A67B68" w:rsidRPr="00F3473C" w:rsidRDefault="00A67B68" w:rsidP="00670C52">
      <w:pPr>
        <w:pStyle w:val="TOC2"/>
      </w:pPr>
      <w:bookmarkStart w:id="4" w:name="RiskManagementandSafeguards"/>
      <w:r w:rsidRPr="00F3473C">
        <w:t>Risk Management and Safeguards</w:t>
      </w:r>
      <w:r w:rsidRPr="00F3473C">
        <w:rPr>
          <w:webHidden/>
        </w:rPr>
        <w:tab/>
      </w:r>
      <w:r w:rsidR="004F4864">
        <w:rPr>
          <w:webHidden/>
        </w:rPr>
        <w:t>19</w:t>
      </w:r>
    </w:p>
    <w:bookmarkEnd w:id="4"/>
    <w:p w14:paraId="7A048F14" w14:textId="5C9D691B" w:rsidR="00A67B68" w:rsidRPr="00F3473C" w:rsidRDefault="00A67B68" w:rsidP="00670C52">
      <w:pPr>
        <w:pStyle w:val="TOC2"/>
      </w:pPr>
      <w:r w:rsidRPr="00F3473C">
        <w:t>Quality assurance</w:t>
      </w:r>
      <w:r w:rsidRPr="00F3473C">
        <w:rPr>
          <w:webHidden/>
        </w:rPr>
        <w:tab/>
      </w:r>
      <w:r w:rsidR="005155DD">
        <w:rPr>
          <w:webHidden/>
        </w:rPr>
        <w:t>21</w:t>
      </w:r>
    </w:p>
    <w:p w14:paraId="1BF1F159" w14:textId="7F3E2619" w:rsidR="00A67B68" w:rsidRPr="00F3473C" w:rsidRDefault="00A67B68" w:rsidP="00670C52">
      <w:pPr>
        <w:pStyle w:val="TOC2"/>
      </w:pPr>
      <w:r w:rsidRPr="00F3473C">
        <w:t>Annexes</w:t>
      </w:r>
      <w:r w:rsidR="004D0BCB" w:rsidRPr="00F3473C">
        <w:rPr>
          <w:webHidden/>
        </w:rPr>
        <w:tab/>
        <w:t>2</w:t>
      </w:r>
      <w:r w:rsidR="005155DD">
        <w:rPr>
          <w:webHidden/>
        </w:rPr>
        <w:t>1</w:t>
      </w:r>
    </w:p>
    <w:p w14:paraId="68E81EC9" w14:textId="5FAC61DF" w:rsidR="005155DD" w:rsidRPr="00BA23EC" w:rsidRDefault="005155DD" w:rsidP="00670C52">
      <w:pPr>
        <w:pStyle w:val="TOC2"/>
        <w:numPr>
          <w:ilvl w:val="0"/>
          <w:numId w:val="0"/>
        </w:numPr>
        <w:ind w:left="199"/>
      </w:pPr>
      <w:r>
        <w:tab/>
      </w:r>
      <w:r w:rsidRPr="005155DD">
        <w:rPr>
          <w:iCs/>
        </w:rPr>
        <w:t>Annex 1</w:t>
      </w:r>
      <w:r w:rsidRPr="00BA23EC">
        <w:t>: World Bank Concept Note (provided as a separate document)</w:t>
      </w:r>
    </w:p>
    <w:p w14:paraId="2BF20440" w14:textId="73339986" w:rsidR="005155DD" w:rsidRPr="00BA23EC" w:rsidRDefault="005155DD" w:rsidP="00670C52">
      <w:pPr>
        <w:pStyle w:val="TOC2"/>
        <w:numPr>
          <w:ilvl w:val="0"/>
          <w:numId w:val="0"/>
        </w:numPr>
        <w:ind w:left="199"/>
      </w:pPr>
      <w:r>
        <w:tab/>
      </w:r>
      <w:r w:rsidRPr="005155DD">
        <w:rPr>
          <w:i/>
          <w:iCs/>
        </w:rPr>
        <w:t>Annex 2</w:t>
      </w:r>
      <w:r w:rsidRPr="00BA23EC">
        <w:t xml:space="preserve">: Indonesia Ministry of Health - 6 Pillars of Indonesia’s Health Transformation </w:t>
      </w:r>
    </w:p>
    <w:p w14:paraId="7E99CF0E" w14:textId="1D95B101" w:rsidR="005155DD" w:rsidRPr="00BA23EC" w:rsidRDefault="005155DD" w:rsidP="00670C52">
      <w:pPr>
        <w:pStyle w:val="TOC2"/>
        <w:numPr>
          <w:ilvl w:val="0"/>
          <w:numId w:val="0"/>
        </w:numPr>
        <w:ind w:left="199"/>
      </w:pPr>
      <w:r>
        <w:tab/>
      </w:r>
      <w:r w:rsidRPr="005155DD">
        <w:rPr>
          <w:i/>
          <w:iCs/>
        </w:rPr>
        <w:t>Annex 3</w:t>
      </w:r>
      <w:r w:rsidRPr="00BA23EC">
        <w:t>: Partner and Policy Dialogue Matrix</w:t>
      </w:r>
    </w:p>
    <w:p w14:paraId="6DA95B0C" w14:textId="12B428A4" w:rsidR="005155DD" w:rsidRPr="00BA23EC" w:rsidRDefault="005155DD" w:rsidP="00670C52">
      <w:pPr>
        <w:pStyle w:val="TOC2"/>
        <w:numPr>
          <w:ilvl w:val="0"/>
          <w:numId w:val="0"/>
        </w:numPr>
        <w:ind w:left="199"/>
      </w:pPr>
      <w:r>
        <w:tab/>
      </w:r>
      <w:r w:rsidRPr="005155DD">
        <w:rPr>
          <w:i/>
          <w:iCs/>
        </w:rPr>
        <w:t>Annex 4</w:t>
      </w:r>
      <w:r w:rsidRPr="00BA23EC">
        <w:t xml:space="preserve">: Monitoring and Evaluation Framework </w:t>
      </w:r>
    </w:p>
    <w:p w14:paraId="1516CB15" w14:textId="2487D4AD" w:rsidR="005155DD" w:rsidRPr="00BA23EC" w:rsidRDefault="005155DD" w:rsidP="00670C52">
      <w:pPr>
        <w:pStyle w:val="TOC2"/>
        <w:numPr>
          <w:ilvl w:val="0"/>
          <w:numId w:val="0"/>
        </w:numPr>
        <w:ind w:left="199"/>
      </w:pPr>
      <w:r>
        <w:tab/>
      </w:r>
      <w:r w:rsidRPr="005155DD">
        <w:rPr>
          <w:iCs/>
        </w:rPr>
        <w:t>Annex 5</w:t>
      </w:r>
      <w:r w:rsidRPr="00BA23EC">
        <w:t xml:space="preserve">: Risk and Safeguards </w:t>
      </w:r>
      <w:r>
        <w:t>Assessment</w:t>
      </w:r>
      <w:r w:rsidRPr="00BA23EC">
        <w:t xml:space="preserve"> (provided as a separate document)</w:t>
      </w:r>
    </w:p>
    <w:p w14:paraId="6152714E" w14:textId="77777777" w:rsidR="004D2DDD" w:rsidRPr="004D2DDD" w:rsidRDefault="004D2DDD" w:rsidP="004D2DDD">
      <w:pPr>
        <w:rPr>
          <w:lang w:val="en-AU"/>
        </w:rPr>
      </w:pPr>
    </w:p>
    <w:p w14:paraId="2F867FF7" w14:textId="675BB80A" w:rsidR="005344E9" w:rsidRPr="00BA23EC" w:rsidRDefault="005344E9" w:rsidP="00F81159">
      <w:pPr>
        <w:suppressAutoHyphens w:val="0"/>
        <w:spacing w:before="0" w:after="120" w:line="440" w:lineRule="atLeast"/>
        <w:jc w:val="both"/>
        <w:rPr>
          <w:rFonts w:cstheme="minorHAnsi"/>
          <w:lang w:val="en-AU"/>
        </w:rPr>
      </w:pPr>
      <w:r w:rsidRPr="00BA23EC">
        <w:rPr>
          <w:rFonts w:cstheme="minorHAnsi"/>
          <w:lang w:val="en-AU"/>
        </w:rPr>
        <w:br w:type="page"/>
      </w:r>
    </w:p>
    <w:p w14:paraId="009F0FD6" w14:textId="0D39EEE6" w:rsidR="00AA715D" w:rsidRPr="00271FB6" w:rsidRDefault="002852B1" w:rsidP="00271FB6">
      <w:pPr>
        <w:pStyle w:val="Heading2"/>
      </w:pPr>
      <w:bookmarkStart w:id="5" w:name="_Toc73109490"/>
      <w:bookmarkStart w:id="6" w:name="AcronymsandAbbreviations"/>
      <w:r w:rsidRPr="00271FB6">
        <w:lastRenderedPageBreak/>
        <w:t>Acronyms and Abbreviations</w:t>
      </w:r>
      <w:bookmarkEnd w:id="5"/>
    </w:p>
    <w:bookmarkEnd w:id="6"/>
    <w:p w14:paraId="71575019" w14:textId="77777777" w:rsidR="0025403C" w:rsidRPr="00BA23EC" w:rsidRDefault="0025403C">
      <w:pPr>
        <w:rPr>
          <w:rFonts w:cstheme="minorHAnsi"/>
          <w:lang w:val="en-AU"/>
        </w:rPr>
      </w:pPr>
    </w:p>
    <w:tbl>
      <w:tblPr>
        <w:tblStyle w:val="TableGrid"/>
        <w:tblW w:w="9214" w:type="dxa"/>
        <w:tblInd w:w="-5" w:type="dxa"/>
        <w:tblLook w:val="04A0" w:firstRow="1" w:lastRow="0" w:firstColumn="1" w:lastColumn="0" w:noHBand="0" w:noVBand="1"/>
      </w:tblPr>
      <w:tblGrid>
        <w:gridCol w:w="2164"/>
        <w:gridCol w:w="7050"/>
      </w:tblGrid>
      <w:tr w:rsidR="000317BE" w:rsidRPr="00BA23EC" w14:paraId="0CF088CB" w14:textId="77777777" w:rsidTr="00C730AA">
        <w:trPr>
          <w:trHeight w:val="300"/>
        </w:trPr>
        <w:tc>
          <w:tcPr>
            <w:tcW w:w="2164" w:type="dxa"/>
            <w:tcBorders>
              <w:top w:val="single" w:sz="4" w:space="0" w:color="auto"/>
            </w:tcBorders>
            <w:shd w:val="clear" w:color="auto" w:fill="C1E7E0" w:themeFill="accent1" w:themeFillTint="66"/>
            <w:noWrap/>
            <w:hideMark/>
          </w:tcPr>
          <w:p w14:paraId="4A1C909C" w14:textId="40E74FBE" w:rsidR="002852B1" w:rsidRPr="00BA23EC" w:rsidRDefault="002852B1" w:rsidP="00F81159">
            <w:pPr>
              <w:suppressAutoHyphens w:val="0"/>
              <w:spacing w:before="60" w:line="240" w:lineRule="auto"/>
              <w:jc w:val="both"/>
              <w:rPr>
                <w:rFonts w:cstheme="minorHAnsi"/>
                <w:b/>
                <w:sz w:val="21"/>
                <w:lang w:val="en-AU"/>
              </w:rPr>
            </w:pPr>
            <w:r w:rsidRPr="00BA23EC">
              <w:rPr>
                <w:rFonts w:cstheme="minorHAnsi"/>
                <w:b/>
                <w:sz w:val="21"/>
                <w:lang w:val="en-AU"/>
              </w:rPr>
              <w:t>Acronym/abbreviation </w:t>
            </w:r>
          </w:p>
        </w:tc>
        <w:tc>
          <w:tcPr>
            <w:tcW w:w="7050" w:type="dxa"/>
            <w:tcBorders>
              <w:top w:val="single" w:sz="4" w:space="0" w:color="auto"/>
            </w:tcBorders>
            <w:shd w:val="clear" w:color="auto" w:fill="C1E7E0" w:themeFill="accent1" w:themeFillTint="66"/>
            <w:noWrap/>
            <w:hideMark/>
          </w:tcPr>
          <w:p w14:paraId="44E47F32" w14:textId="77777777" w:rsidR="002852B1" w:rsidRPr="00BA23EC" w:rsidRDefault="002852B1" w:rsidP="00F81159">
            <w:pPr>
              <w:suppressAutoHyphens w:val="0"/>
              <w:spacing w:before="60" w:line="240" w:lineRule="auto"/>
              <w:jc w:val="both"/>
              <w:rPr>
                <w:rFonts w:cstheme="minorHAnsi"/>
                <w:b/>
                <w:sz w:val="21"/>
                <w:lang w:val="en-AU"/>
              </w:rPr>
            </w:pPr>
            <w:r w:rsidRPr="00BA23EC">
              <w:rPr>
                <w:rFonts w:cstheme="minorHAnsi"/>
                <w:b/>
                <w:sz w:val="21"/>
                <w:lang w:val="en-AU"/>
              </w:rPr>
              <w:t>Definition</w:t>
            </w:r>
          </w:p>
        </w:tc>
      </w:tr>
      <w:tr w:rsidR="002852B1" w:rsidRPr="00BA23EC" w14:paraId="43A50FEE" w14:textId="77777777" w:rsidTr="00C730AA">
        <w:trPr>
          <w:trHeight w:val="300"/>
        </w:trPr>
        <w:tc>
          <w:tcPr>
            <w:tcW w:w="2164" w:type="dxa"/>
            <w:noWrap/>
            <w:hideMark/>
          </w:tcPr>
          <w:p w14:paraId="02BC8F3E" w14:textId="77777777" w:rsidR="002852B1" w:rsidRPr="00BA23EC" w:rsidRDefault="002852B1" w:rsidP="00F81159">
            <w:pPr>
              <w:suppressAutoHyphens w:val="0"/>
              <w:spacing w:before="60" w:line="240" w:lineRule="auto"/>
              <w:jc w:val="both"/>
              <w:rPr>
                <w:rFonts w:cstheme="minorHAnsi"/>
                <w:sz w:val="21"/>
                <w:lang w:val="en-AU"/>
              </w:rPr>
            </w:pPr>
            <w:r w:rsidRPr="00BA23EC">
              <w:rPr>
                <w:rFonts w:cstheme="minorHAnsi"/>
                <w:sz w:val="21"/>
                <w:lang w:val="en-AU"/>
              </w:rPr>
              <w:t>ABIP</w:t>
            </w:r>
          </w:p>
        </w:tc>
        <w:tc>
          <w:tcPr>
            <w:tcW w:w="7050" w:type="dxa"/>
            <w:noWrap/>
            <w:hideMark/>
          </w:tcPr>
          <w:p w14:paraId="16CFF98B" w14:textId="77777777" w:rsidR="002852B1" w:rsidRPr="00BA23EC" w:rsidRDefault="002852B1" w:rsidP="00F81159">
            <w:pPr>
              <w:suppressAutoHyphens w:val="0"/>
              <w:spacing w:before="60" w:line="240" w:lineRule="auto"/>
              <w:jc w:val="both"/>
              <w:rPr>
                <w:rFonts w:cstheme="minorHAnsi"/>
                <w:sz w:val="21"/>
                <w:lang w:val="en-AU"/>
              </w:rPr>
            </w:pPr>
            <w:r w:rsidRPr="00BA23EC">
              <w:rPr>
                <w:rFonts w:cstheme="minorHAnsi"/>
                <w:sz w:val="21"/>
                <w:lang w:val="en-AU"/>
              </w:rPr>
              <w:t xml:space="preserve">Australia-Indonesia Bank Partnership Trust Fund </w:t>
            </w:r>
          </w:p>
        </w:tc>
      </w:tr>
      <w:tr w:rsidR="002852B1" w:rsidRPr="00BA23EC" w14:paraId="56C5F483" w14:textId="77777777" w:rsidTr="00C730AA">
        <w:trPr>
          <w:trHeight w:val="300"/>
        </w:trPr>
        <w:tc>
          <w:tcPr>
            <w:tcW w:w="2164" w:type="dxa"/>
            <w:noWrap/>
            <w:hideMark/>
          </w:tcPr>
          <w:p w14:paraId="0406F36C" w14:textId="77777777" w:rsidR="002852B1" w:rsidRPr="00BA23EC" w:rsidRDefault="002852B1" w:rsidP="00F81159">
            <w:pPr>
              <w:suppressAutoHyphens w:val="0"/>
              <w:spacing w:before="60" w:line="240" w:lineRule="auto"/>
              <w:jc w:val="both"/>
              <w:rPr>
                <w:rFonts w:cstheme="minorHAnsi"/>
                <w:sz w:val="21"/>
                <w:lang w:val="en-AU"/>
              </w:rPr>
            </w:pPr>
            <w:r w:rsidRPr="00BA23EC">
              <w:rPr>
                <w:rFonts w:cstheme="minorHAnsi"/>
                <w:sz w:val="21"/>
                <w:lang w:val="en-AU"/>
              </w:rPr>
              <w:t>AIHSP</w:t>
            </w:r>
          </w:p>
        </w:tc>
        <w:tc>
          <w:tcPr>
            <w:tcW w:w="7050" w:type="dxa"/>
            <w:noWrap/>
            <w:hideMark/>
          </w:tcPr>
          <w:p w14:paraId="19B52E82" w14:textId="77777777" w:rsidR="002852B1" w:rsidRPr="00BA23EC" w:rsidRDefault="002852B1" w:rsidP="00F81159">
            <w:pPr>
              <w:suppressAutoHyphens w:val="0"/>
              <w:spacing w:before="60" w:line="240" w:lineRule="auto"/>
              <w:jc w:val="both"/>
              <w:rPr>
                <w:rFonts w:cstheme="minorHAnsi"/>
                <w:sz w:val="21"/>
                <w:lang w:val="en-AU"/>
              </w:rPr>
            </w:pPr>
            <w:r w:rsidRPr="00BA23EC">
              <w:rPr>
                <w:rFonts w:cstheme="minorHAnsi"/>
                <w:sz w:val="21"/>
                <w:lang w:val="en-AU"/>
              </w:rPr>
              <w:t>Australia-Indonesia Health Security Partnership</w:t>
            </w:r>
          </w:p>
        </w:tc>
      </w:tr>
      <w:tr w:rsidR="002852B1" w:rsidRPr="00BA23EC" w14:paraId="5C11A527" w14:textId="77777777" w:rsidTr="00C730AA">
        <w:trPr>
          <w:trHeight w:val="300"/>
        </w:trPr>
        <w:tc>
          <w:tcPr>
            <w:tcW w:w="2164" w:type="dxa"/>
            <w:noWrap/>
            <w:hideMark/>
          </w:tcPr>
          <w:p w14:paraId="0A2F3133" w14:textId="77777777" w:rsidR="002852B1" w:rsidRPr="00BA23EC" w:rsidRDefault="002852B1" w:rsidP="00F81159">
            <w:pPr>
              <w:suppressAutoHyphens w:val="0"/>
              <w:spacing w:before="60" w:line="240" w:lineRule="auto"/>
              <w:jc w:val="both"/>
              <w:rPr>
                <w:rFonts w:cstheme="minorHAnsi"/>
                <w:sz w:val="21"/>
                <w:lang w:val="en-AU"/>
              </w:rPr>
            </w:pPr>
            <w:r w:rsidRPr="00BA23EC">
              <w:rPr>
                <w:rFonts w:cstheme="minorHAnsi"/>
                <w:sz w:val="21"/>
                <w:lang w:val="en-AU"/>
              </w:rPr>
              <w:t>AUD</w:t>
            </w:r>
          </w:p>
        </w:tc>
        <w:tc>
          <w:tcPr>
            <w:tcW w:w="7050" w:type="dxa"/>
            <w:noWrap/>
            <w:hideMark/>
          </w:tcPr>
          <w:p w14:paraId="4F7F2740" w14:textId="77777777" w:rsidR="002852B1" w:rsidRPr="00BA23EC" w:rsidRDefault="002852B1" w:rsidP="00F81159">
            <w:pPr>
              <w:suppressAutoHyphens w:val="0"/>
              <w:spacing w:before="60" w:line="240" w:lineRule="auto"/>
              <w:jc w:val="both"/>
              <w:rPr>
                <w:rFonts w:cstheme="minorHAnsi"/>
                <w:sz w:val="21"/>
                <w:lang w:val="en-AU"/>
              </w:rPr>
            </w:pPr>
            <w:r w:rsidRPr="00BA23EC">
              <w:rPr>
                <w:rFonts w:cstheme="minorHAnsi"/>
                <w:sz w:val="21"/>
                <w:lang w:val="en-AU"/>
              </w:rPr>
              <w:t>Australian dollars</w:t>
            </w:r>
          </w:p>
        </w:tc>
      </w:tr>
      <w:tr w:rsidR="002852B1" w:rsidRPr="00BA23EC" w14:paraId="2E7E2896" w14:textId="77777777" w:rsidTr="00C730AA">
        <w:trPr>
          <w:trHeight w:val="300"/>
        </w:trPr>
        <w:tc>
          <w:tcPr>
            <w:tcW w:w="2164" w:type="dxa"/>
            <w:noWrap/>
            <w:hideMark/>
          </w:tcPr>
          <w:p w14:paraId="2BF9C061" w14:textId="3B8DB316" w:rsidR="002852B1" w:rsidRPr="00BA23EC" w:rsidRDefault="002530CA" w:rsidP="00F81159">
            <w:pPr>
              <w:suppressAutoHyphens w:val="0"/>
              <w:spacing w:before="60" w:line="240" w:lineRule="auto"/>
              <w:jc w:val="both"/>
              <w:rPr>
                <w:rFonts w:cstheme="minorHAnsi"/>
                <w:sz w:val="21"/>
                <w:lang w:val="en-AU"/>
              </w:rPr>
            </w:pPr>
            <w:proofErr w:type="spellStart"/>
            <w:r w:rsidRPr="00BA23EC">
              <w:rPr>
                <w:rFonts w:cstheme="minorHAnsi"/>
                <w:sz w:val="21"/>
                <w:szCs w:val="21"/>
                <w:lang w:val="en-AU"/>
              </w:rPr>
              <w:t>Bappenas</w:t>
            </w:r>
            <w:proofErr w:type="spellEnd"/>
          </w:p>
        </w:tc>
        <w:tc>
          <w:tcPr>
            <w:tcW w:w="7050" w:type="dxa"/>
            <w:noWrap/>
            <w:hideMark/>
          </w:tcPr>
          <w:p w14:paraId="275622B4" w14:textId="3D09C8B9" w:rsidR="002852B1" w:rsidRPr="00BA23EC" w:rsidRDefault="00906373" w:rsidP="00F81159">
            <w:pPr>
              <w:suppressAutoHyphens w:val="0"/>
              <w:spacing w:before="60" w:line="240" w:lineRule="auto"/>
              <w:jc w:val="both"/>
              <w:rPr>
                <w:rFonts w:cstheme="minorHAnsi"/>
                <w:sz w:val="21"/>
                <w:lang w:val="en-AU"/>
              </w:rPr>
            </w:pPr>
            <w:r w:rsidRPr="00BA23EC">
              <w:rPr>
                <w:rFonts w:cstheme="minorHAnsi"/>
                <w:sz w:val="21"/>
                <w:lang w:val="en-AU"/>
              </w:rPr>
              <w:t xml:space="preserve">National Development Planning Agency (Badan </w:t>
            </w:r>
            <w:proofErr w:type="spellStart"/>
            <w:r w:rsidRPr="00BA23EC">
              <w:rPr>
                <w:rFonts w:cstheme="minorHAnsi"/>
                <w:sz w:val="21"/>
                <w:lang w:val="en-AU"/>
              </w:rPr>
              <w:t>Perencanaan</w:t>
            </w:r>
            <w:proofErr w:type="spellEnd"/>
            <w:r w:rsidRPr="00BA23EC">
              <w:rPr>
                <w:rFonts w:cstheme="minorHAnsi"/>
                <w:sz w:val="21"/>
                <w:lang w:val="en-AU"/>
              </w:rPr>
              <w:t xml:space="preserve"> Pembangunan Nasional)</w:t>
            </w:r>
          </w:p>
        </w:tc>
      </w:tr>
      <w:tr w:rsidR="002852B1" w:rsidRPr="00BA23EC" w14:paraId="111FC92F" w14:textId="77777777" w:rsidTr="00C730AA">
        <w:trPr>
          <w:trHeight w:val="300"/>
        </w:trPr>
        <w:tc>
          <w:tcPr>
            <w:tcW w:w="2164" w:type="dxa"/>
            <w:noWrap/>
            <w:hideMark/>
          </w:tcPr>
          <w:p w14:paraId="38E7CA20" w14:textId="77777777" w:rsidR="002852B1" w:rsidRPr="00BA23EC" w:rsidRDefault="002852B1" w:rsidP="00F81159">
            <w:pPr>
              <w:suppressAutoHyphens w:val="0"/>
              <w:spacing w:before="60" w:line="240" w:lineRule="auto"/>
              <w:jc w:val="both"/>
              <w:rPr>
                <w:rFonts w:cstheme="minorHAnsi"/>
                <w:sz w:val="21"/>
                <w:lang w:val="en-AU"/>
              </w:rPr>
            </w:pPr>
            <w:r w:rsidRPr="00BA23EC">
              <w:rPr>
                <w:rFonts w:cstheme="minorHAnsi"/>
                <w:sz w:val="21"/>
                <w:lang w:val="en-AU"/>
              </w:rPr>
              <w:t>COVID-19</w:t>
            </w:r>
          </w:p>
        </w:tc>
        <w:tc>
          <w:tcPr>
            <w:tcW w:w="7050" w:type="dxa"/>
            <w:noWrap/>
            <w:hideMark/>
          </w:tcPr>
          <w:p w14:paraId="2F41F9FA" w14:textId="77777777" w:rsidR="002852B1" w:rsidRPr="00BA23EC" w:rsidRDefault="002852B1" w:rsidP="00F81159">
            <w:pPr>
              <w:suppressAutoHyphens w:val="0"/>
              <w:spacing w:before="60" w:line="240" w:lineRule="auto"/>
              <w:jc w:val="both"/>
              <w:rPr>
                <w:rFonts w:cstheme="minorHAnsi"/>
                <w:sz w:val="21"/>
                <w:lang w:val="en-AU"/>
              </w:rPr>
            </w:pPr>
            <w:r w:rsidRPr="00BA23EC">
              <w:rPr>
                <w:rFonts w:cstheme="minorHAnsi"/>
                <w:sz w:val="21"/>
                <w:lang w:val="en-AU"/>
              </w:rPr>
              <w:t>Coronavirus disease 2019</w:t>
            </w:r>
          </w:p>
        </w:tc>
      </w:tr>
      <w:tr w:rsidR="002852B1" w:rsidRPr="00BA23EC" w14:paraId="6F85D96E" w14:textId="77777777" w:rsidTr="00C730AA">
        <w:trPr>
          <w:trHeight w:val="300"/>
        </w:trPr>
        <w:tc>
          <w:tcPr>
            <w:tcW w:w="2164" w:type="dxa"/>
            <w:noWrap/>
            <w:hideMark/>
          </w:tcPr>
          <w:p w14:paraId="0B75CFFE" w14:textId="77777777" w:rsidR="002852B1" w:rsidRPr="00BA23EC" w:rsidRDefault="002852B1" w:rsidP="00F81159">
            <w:pPr>
              <w:suppressAutoHyphens w:val="0"/>
              <w:spacing w:before="60" w:line="240" w:lineRule="auto"/>
              <w:jc w:val="both"/>
              <w:rPr>
                <w:rFonts w:cstheme="minorHAnsi"/>
                <w:sz w:val="21"/>
                <w:lang w:val="en-AU"/>
              </w:rPr>
            </w:pPr>
            <w:r w:rsidRPr="00BA23EC">
              <w:rPr>
                <w:rFonts w:cstheme="minorHAnsi"/>
                <w:sz w:val="21"/>
                <w:lang w:val="en-AU"/>
              </w:rPr>
              <w:t>CSIRO</w:t>
            </w:r>
          </w:p>
        </w:tc>
        <w:tc>
          <w:tcPr>
            <w:tcW w:w="7050" w:type="dxa"/>
            <w:noWrap/>
            <w:hideMark/>
          </w:tcPr>
          <w:p w14:paraId="41B8F46D" w14:textId="77777777" w:rsidR="002852B1" w:rsidRPr="00BA23EC" w:rsidRDefault="002852B1" w:rsidP="00F81159">
            <w:pPr>
              <w:suppressAutoHyphens w:val="0"/>
              <w:spacing w:before="60" w:line="240" w:lineRule="auto"/>
              <w:jc w:val="both"/>
              <w:rPr>
                <w:rFonts w:cstheme="minorHAnsi"/>
                <w:sz w:val="21"/>
                <w:lang w:val="en-AU"/>
              </w:rPr>
            </w:pPr>
            <w:r w:rsidRPr="00BA23EC">
              <w:rPr>
                <w:rFonts w:cstheme="minorHAnsi"/>
                <w:sz w:val="21"/>
                <w:lang w:val="en-AU"/>
              </w:rPr>
              <w:t>Commonwealth Scientific and Industrial Research Organisation</w:t>
            </w:r>
          </w:p>
        </w:tc>
      </w:tr>
      <w:tr w:rsidR="002852B1" w:rsidRPr="00BA23EC" w14:paraId="1E28ACD4" w14:textId="77777777" w:rsidTr="00C730AA">
        <w:trPr>
          <w:trHeight w:val="300"/>
        </w:trPr>
        <w:tc>
          <w:tcPr>
            <w:tcW w:w="2164" w:type="dxa"/>
            <w:noWrap/>
            <w:hideMark/>
          </w:tcPr>
          <w:p w14:paraId="7CF33703" w14:textId="77777777" w:rsidR="002852B1" w:rsidRPr="00BA23EC" w:rsidRDefault="002852B1" w:rsidP="00F81159">
            <w:pPr>
              <w:suppressAutoHyphens w:val="0"/>
              <w:spacing w:before="60" w:line="240" w:lineRule="auto"/>
              <w:jc w:val="both"/>
              <w:rPr>
                <w:rFonts w:cstheme="minorHAnsi"/>
                <w:sz w:val="21"/>
                <w:lang w:val="en-AU"/>
              </w:rPr>
            </w:pPr>
            <w:r w:rsidRPr="00BA23EC">
              <w:rPr>
                <w:rFonts w:cstheme="minorHAnsi"/>
                <w:sz w:val="21"/>
                <w:lang w:val="en-AU"/>
              </w:rPr>
              <w:t>DFAT</w:t>
            </w:r>
          </w:p>
        </w:tc>
        <w:tc>
          <w:tcPr>
            <w:tcW w:w="7050" w:type="dxa"/>
            <w:noWrap/>
            <w:hideMark/>
          </w:tcPr>
          <w:p w14:paraId="19925738" w14:textId="77777777" w:rsidR="002852B1" w:rsidRPr="00BA23EC" w:rsidRDefault="002852B1" w:rsidP="00F81159">
            <w:pPr>
              <w:suppressAutoHyphens w:val="0"/>
              <w:spacing w:before="60" w:line="240" w:lineRule="auto"/>
              <w:jc w:val="both"/>
              <w:rPr>
                <w:rFonts w:cstheme="minorHAnsi"/>
                <w:sz w:val="21"/>
                <w:lang w:val="en-AU"/>
              </w:rPr>
            </w:pPr>
            <w:r w:rsidRPr="00BA23EC">
              <w:rPr>
                <w:rFonts w:cstheme="minorHAnsi"/>
                <w:sz w:val="21"/>
                <w:lang w:val="en-AU"/>
              </w:rPr>
              <w:t xml:space="preserve">Australian Government Department of Foreign Affairs and Trade </w:t>
            </w:r>
          </w:p>
        </w:tc>
      </w:tr>
      <w:tr w:rsidR="0096073E" w:rsidRPr="00BA23EC" w14:paraId="3F4034FF" w14:textId="77777777" w:rsidTr="00C730AA">
        <w:trPr>
          <w:trHeight w:val="300"/>
        </w:trPr>
        <w:tc>
          <w:tcPr>
            <w:tcW w:w="2164" w:type="dxa"/>
            <w:noWrap/>
          </w:tcPr>
          <w:p w14:paraId="51AF90D2" w14:textId="077E3104" w:rsidR="0096073E" w:rsidRPr="00BA23EC" w:rsidRDefault="0096073E" w:rsidP="00F81159">
            <w:pPr>
              <w:suppressAutoHyphens w:val="0"/>
              <w:spacing w:before="60" w:line="240" w:lineRule="auto"/>
              <w:jc w:val="both"/>
              <w:rPr>
                <w:rFonts w:cstheme="minorHAnsi"/>
                <w:sz w:val="21"/>
                <w:lang w:val="en-AU"/>
              </w:rPr>
            </w:pPr>
            <w:r>
              <w:rPr>
                <w:rFonts w:cstheme="minorHAnsi"/>
                <w:sz w:val="21"/>
                <w:lang w:val="en-AU"/>
              </w:rPr>
              <w:t>DHOM</w:t>
            </w:r>
          </w:p>
        </w:tc>
        <w:tc>
          <w:tcPr>
            <w:tcW w:w="7050" w:type="dxa"/>
            <w:noWrap/>
          </w:tcPr>
          <w:p w14:paraId="5753A726" w14:textId="4BDAF78F" w:rsidR="0096073E" w:rsidRPr="00BA23EC" w:rsidRDefault="0096073E" w:rsidP="00F81159">
            <w:pPr>
              <w:suppressAutoHyphens w:val="0"/>
              <w:spacing w:before="60" w:line="240" w:lineRule="auto"/>
              <w:jc w:val="both"/>
              <w:rPr>
                <w:rFonts w:cstheme="minorHAnsi"/>
                <w:sz w:val="21"/>
                <w:lang w:val="en-AU"/>
              </w:rPr>
            </w:pPr>
            <w:r>
              <w:rPr>
                <w:rFonts w:cstheme="minorHAnsi"/>
                <w:sz w:val="21"/>
                <w:lang w:val="en-AU"/>
              </w:rPr>
              <w:t>Deputy Head of Mission</w:t>
            </w:r>
          </w:p>
        </w:tc>
      </w:tr>
      <w:tr w:rsidR="002852B1" w:rsidRPr="00BA23EC" w14:paraId="5ABC4F90" w14:textId="77777777" w:rsidTr="00C730AA">
        <w:trPr>
          <w:trHeight w:val="300"/>
        </w:trPr>
        <w:tc>
          <w:tcPr>
            <w:tcW w:w="2164" w:type="dxa"/>
            <w:noWrap/>
            <w:hideMark/>
          </w:tcPr>
          <w:p w14:paraId="66D61223" w14:textId="3E62E4AA" w:rsidR="002852B1" w:rsidRPr="00BA23EC" w:rsidRDefault="002852B1" w:rsidP="00F81159">
            <w:pPr>
              <w:suppressAutoHyphens w:val="0"/>
              <w:spacing w:before="60" w:line="240" w:lineRule="auto"/>
              <w:jc w:val="both"/>
              <w:rPr>
                <w:rFonts w:cstheme="minorHAnsi"/>
                <w:sz w:val="21"/>
                <w:lang w:val="en-AU"/>
              </w:rPr>
            </w:pPr>
            <w:r w:rsidRPr="00BA23EC">
              <w:rPr>
                <w:rFonts w:cstheme="minorHAnsi"/>
                <w:sz w:val="21"/>
                <w:szCs w:val="21"/>
                <w:lang w:val="en-AU"/>
              </w:rPr>
              <w:t>EO</w:t>
            </w:r>
            <w:r w:rsidR="00D7149D" w:rsidRPr="00BA23EC">
              <w:rPr>
                <w:rFonts w:cstheme="minorHAnsi"/>
                <w:sz w:val="21"/>
                <w:szCs w:val="21"/>
                <w:lang w:val="en-AU"/>
              </w:rPr>
              <w:t>P</w:t>
            </w:r>
            <w:r w:rsidRPr="00BA23EC">
              <w:rPr>
                <w:rFonts w:cstheme="minorHAnsi"/>
                <w:sz w:val="21"/>
                <w:szCs w:val="21"/>
                <w:lang w:val="en-AU"/>
              </w:rPr>
              <w:t>O</w:t>
            </w:r>
          </w:p>
        </w:tc>
        <w:tc>
          <w:tcPr>
            <w:tcW w:w="7050" w:type="dxa"/>
            <w:noWrap/>
            <w:hideMark/>
          </w:tcPr>
          <w:p w14:paraId="3D82B73C" w14:textId="478C7E40" w:rsidR="002852B1" w:rsidRPr="00BA23EC" w:rsidRDefault="002852B1" w:rsidP="00F81159">
            <w:pPr>
              <w:suppressAutoHyphens w:val="0"/>
              <w:spacing w:before="60" w:line="240" w:lineRule="auto"/>
              <w:jc w:val="both"/>
              <w:rPr>
                <w:rFonts w:cstheme="minorHAnsi"/>
                <w:sz w:val="21"/>
                <w:lang w:val="en-AU"/>
              </w:rPr>
            </w:pPr>
            <w:r w:rsidRPr="00BA23EC">
              <w:rPr>
                <w:rFonts w:cstheme="minorHAnsi"/>
                <w:sz w:val="21"/>
                <w:lang w:val="en-AU"/>
              </w:rPr>
              <w:t xml:space="preserve">End of </w:t>
            </w:r>
            <w:r w:rsidR="00D7149D" w:rsidRPr="00BA23EC">
              <w:rPr>
                <w:rFonts w:cstheme="minorHAnsi"/>
                <w:sz w:val="21"/>
                <w:szCs w:val="21"/>
                <w:lang w:val="en-AU"/>
              </w:rPr>
              <w:t>Program</w:t>
            </w:r>
            <w:r w:rsidRPr="00BA23EC">
              <w:rPr>
                <w:rFonts w:cstheme="minorHAnsi"/>
                <w:sz w:val="21"/>
                <w:lang w:val="en-AU"/>
              </w:rPr>
              <w:t xml:space="preserve"> outcome</w:t>
            </w:r>
          </w:p>
        </w:tc>
      </w:tr>
      <w:tr w:rsidR="00696D70" w:rsidRPr="00BA23EC" w14:paraId="0ACBE619" w14:textId="77777777" w:rsidTr="00C730AA">
        <w:trPr>
          <w:trHeight w:val="300"/>
        </w:trPr>
        <w:tc>
          <w:tcPr>
            <w:tcW w:w="2164" w:type="dxa"/>
            <w:noWrap/>
          </w:tcPr>
          <w:p w14:paraId="600298DE" w14:textId="390ACA3B" w:rsidR="00696D70" w:rsidRPr="00BA23EC" w:rsidRDefault="00696D70" w:rsidP="00F81159">
            <w:pPr>
              <w:suppressAutoHyphens w:val="0"/>
              <w:spacing w:before="60" w:line="240" w:lineRule="auto"/>
              <w:jc w:val="both"/>
              <w:rPr>
                <w:rFonts w:cstheme="minorHAnsi"/>
                <w:sz w:val="21"/>
                <w:szCs w:val="21"/>
                <w:lang w:val="en-AU"/>
              </w:rPr>
            </w:pPr>
            <w:r w:rsidRPr="00696D70">
              <w:rPr>
                <w:rFonts w:cstheme="minorHAnsi"/>
                <w:sz w:val="21"/>
                <w:lang w:val="en-AU"/>
              </w:rPr>
              <w:t>ESF</w:t>
            </w:r>
          </w:p>
        </w:tc>
        <w:tc>
          <w:tcPr>
            <w:tcW w:w="7050" w:type="dxa"/>
            <w:noWrap/>
          </w:tcPr>
          <w:p w14:paraId="5EAF6BEA" w14:textId="52367E59" w:rsidR="00696D70" w:rsidRPr="00BA23EC" w:rsidRDefault="00696D70" w:rsidP="00F81159">
            <w:pPr>
              <w:suppressAutoHyphens w:val="0"/>
              <w:spacing w:before="60" w:line="240" w:lineRule="auto"/>
              <w:jc w:val="both"/>
              <w:rPr>
                <w:rFonts w:cstheme="minorHAnsi"/>
                <w:sz w:val="21"/>
                <w:lang w:val="en-AU"/>
              </w:rPr>
            </w:pPr>
            <w:r w:rsidRPr="00696D70">
              <w:rPr>
                <w:rFonts w:cstheme="minorHAnsi"/>
                <w:sz w:val="21"/>
                <w:lang w:val="en-AU"/>
              </w:rPr>
              <w:t>Environmental and Social Framework</w:t>
            </w:r>
          </w:p>
        </w:tc>
      </w:tr>
      <w:tr w:rsidR="002852B1" w:rsidRPr="00BA23EC" w14:paraId="27BD8393" w14:textId="77777777" w:rsidTr="00C730AA">
        <w:trPr>
          <w:trHeight w:val="300"/>
        </w:trPr>
        <w:tc>
          <w:tcPr>
            <w:tcW w:w="2164" w:type="dxa"/>
            <w:noWrap/>
            <w:hideMark/>
          </w:tcPr>
          <w:p w14:paraId="5770DCA4" w14:textId="77777777" w:rsidR="002852B1" w:rsidRPr="00BA23EC" w:rsidRDefault="002852B1" w:rsidP="00F81159">
            <w:pPr>
              <w:suppressAutoHyphens w:val="0"/>
              <w:spacing w:before="60" w:line="240" w:lineRule="auto"/>
              <w:jc w:val="both"/>
              <w:rPr>
                <w:rFonts w:cstheme="minorHAnsi"/>
                <w:sz w:val="21"/>
                <w:lang w:val="en-AU"/>
              </w:rPr>
            </w:pPr>
            <w:r w:rsidRPr="00BA23EC">
              <w:rPr>
                <w:rFonts w:cstheme="minorHAnsi"/>
                <w:sz w:val="21"/>
                <w:lang w:val="en-AU"/>
              </w:rPr>
              <w:t>Gavi</w:t>
            </w:r>
          </w:p>
        </w:tc>
        <w:tc>
          <w:tcPr>
            <w:tcW w:w="7050" w:type="dxa"/>
            <w:noWrap/>
            <w:hideMark/>
          </w:tcPr>
          <w:p w14:paraId="1FCD72E5" w14:textId="77777777" w:rsidR="002852B1" w:rsidRPr="00BA23EC" w:rsidRDefault="002852B1" w:rsidP="00F81159">
            <w:pPr>
              <w:suppressAutoHyphens w:val="0"/>
              <w:spacing w:before="60" w:line="240" w:lineRule="auto"/>
              <w:jc w:val="both"/>
              <w:rPr>
                <w:rFonts w:cstheme="minorHAnsi"/>
                <w:sz w:val="21"/>
                <w:lang w:val="en-AU"/>
              </w:rPr>
            </w:pPr>
            <w:r w:rsidRPr="00BA23EC">
              <w:rPr>
                <w:rFonts w:cstheme="minorHAnsi"/>
                <w:sz w:val="21"/>
                <w:lang w:val="en-AU"/>
              </w:rPr>
              <w:t>Gavi, the Vaccine Alliance</w:t>
            </w:r>
          </w:p>
        </w:tc>
      </w:tr>
      <w:tr w:rsidR="002852B1" w:rsidRPr="00BA23EC" w14:paraId="6E726582" w14:textId="77777777" w:rsidTr="00C730AA">
        <w:trPr>
          <w:trHeight w:val="300"/>
        </w:trPr>
        <w:tc>
          <w:tcPr>
            <w:tcW w:w="2164" w:type="dxa"/>
            <w:noWrap/>
            <w:hideMark/>
          </w:tcPr>
          <w:p w14:paraId="2C6D63B6" w14:textId="77777777" w:rsidR="002852B1" w:rsidRPr="00BA23EC" w:rsidRDefault="002852B1" w:rsidP="00F81159">
            <w:pPr>
              <w:suppressAutoHyphens w:val="0"/>
              <w:spacing w:before="60" w:line="240" w:lineRule="auto"/>
              <w:jc w:val="both"/>
              <w:rPr>
                <w:rFonts w:cstheme="minorHAnsi"/>
                <w:sz w:val="21"/>
                <w:lang w:val="en-AU"/>
              </w:rPr>
            </w:pPr>
            <w:r w:rsidRPr="00BA23EC">
              <w:rPr>
                <w:rFonts w:cstheme="minorHAnsi"/>
                <w:sz w:val="21"/>
                <w:lang w:val="en-AU"/>
              </w:rPr>
              <w:t>GEDSI</w:t>
            </w:r>
          </w:p>
        </w:tc>
        <w:tc>
          <w:tcPr>
            <w:tcW w:w="7050" w:type="dxa"/>
            <w:noWrap/>
            <w:hideMark/>
          </w:tcPr>
          <w:p w14:paraId="7B9717A1" w14:textId="77777777" w:rsidR="002852B1" w:rsidRPr="00BA23EC" w:rsidRDefault="002852B1" w:rsidP="00F81159">
            <w:pPr>
              <w:suppressAutoHyphens w:val="0"/>
              <w:spacing w:before="60" w:line="240" w:lineRule="auto"/>
              <w:jc w:val="both"/>
              <w:rPr>
                <w:rFonts w:cstheme="minorHAnsi"/>
                <w:sz w:val="21"/>
                <w:lang w:val="en-AU"/>
              </w:rPr>
            </w:pPr>
            <w:r w:rsidRPr="00BA23EC">
              <w:rPr>
                <w:rFonts w:cstheme="minorHAnsi"/>
                <w:sz w:val="21"/>
                <w:lang w:val="en-AU"/>
              </w:rPr>
              <w:t xml:space="preserve">Gender, equity, </w:t>
            </w:r>
            <w:proofErr w:type="gramStart"/>
            <w:r w:rsidRPr="00BA23EC">
              <w:rPr>
                <w:rFonts w:cstheme="minorHAnsi"/>
                <w:sz w:val="21"/>
                <w:lang w:val="en-AU"/>
              </w:rPr>
              <w:t>disability</w:t>
            </w:r>
            <w:proofErr w:type="gramEnd"/>
            <w:r w:rsidRPr="00BA23EC">
              <w:rPr>
                <w:rFonts w:cstheme="minorHAnsi"/>
                <w:sz w:val="21"/>
                <w:lang w:val="en-AU"/>
              </w:rPr>
              <w:t xml:space="preserve"> and social inclusion </w:t>
            </w:r>
          </w:p>
        </w:tc>
      </w:tr>
      <w:tr w:rsidR="002852B1" w:rsidRPr="00BA23EC" w14:paraId="4BFB7BCD" w14:textId="77777777" w:rsidTr="00C730AA">
        <w:trPr>
          <w:trHeight w:val="300"/>
        </w:trPr>
        <w:tc>
          <w:tcPr>
            <w:tcW w:w="2164" w:type="dxa"/>
            <w:noWrap/>
            <w:hideMark/>
          </w:tcPr>
          <w:p w14:paraId="35AD2D54" w14:textId="77777777" w:rsidR="002852B1" w:rsidRPr="00BA23EC" w:rsidRDefault="002852B1" w:rsidP="00F81159">
            <w:pPr>
              <w:suppressAutoHyphens w:val="0"/>
              <w:spacing w:before="60" w:line="240" w:lineRule="auto"/>
              <w:jc w:val="both"/>
              <w:rPr>
                <w:rFonts w:cstheme="minorHAnsi"/>
                <w:sz w:val="21"/>
                <w:lang w:val="en-AU"/>
              </w:rPr>
            </w:pPr>
            <w:proofErr w:type="spellStart"/>
            <w:r w:rsidRPr="00BA23EC">
              <w:rPr>
                <w:rFonts w:cstheme="minorHAnsi"/>
                <w:sz w:val="21"/>
                <w:lang w:val="en-AU"/>
              </w:rPr>
              <w:t>GoI</w:t>
            </w:r>
            <w:proofErr w:type="spellEnd"/>
          </w:p>
        </w:tc>
        <w:tc>
          <w:tcPr>
            <w:tcW w:w="7050" w:type="dxa"/>
            <w:noWrap/>
            <w:hideMark/>
          </w:tcPr>
          <w:p w14:paraId="4FB0C828" w14:textId="77777777" w:rsidR="002852B1" w:rsidRPr="00BA23EC" w:rsidRDefault="002852B1" w:rsidP="00F81159">
            <w:pPr>
              <w:suppressAutoHyphens w:val="0"/>
              <w:spacing w:before="60" w:line="240" w:lineRule="auto"/>
              <w:jc w:val="both"/>
              <w:rPr>
                <w:rFonts w:cstheme="minorHAnsi"/>
                <w:sz w:val="21"/>
                <w:lang w:val="en-AU"/>
              </w:rPr>
            </w:pPr>
            <w:r w:rsidRPr="00BA23EC">
              <w:rPr>
                <w:rFonts w:cstheme="minorHAnsi"/>
                <w:sz w:val="21"/>
                <w:lang w:val="en-AU"/>
              </w:rPr>
              <w:t>Government of Indonesia</w:t>
            </w:r>
          </w:p>
        </w:tc>
      </w:tr>
      <w:tr w:rsidR="002852B1" w:rsidRPr="00BA23EC" w14:paraId="1A9525C6" w14:textId="77777777" w:rsidTr="00C730AA">
        <w:trPr>
          <w:trHeight w:val="300"/>
        </w:trPr>
        <w:tc>
          <w:tcPr>
            <w:tcW w:w="2164" w:type="dxa"/>
            <w:noWrap/>
            <w:hideMark/>
          </w:tcPr>
          <w:p w14:paraId="201F8302" w14:textId="423248E3" w:rsidR="002852B1" w:rsidRPr="00BA23EC" w:rsidRDefault="002530CA" w:rsidP="00F81159">
            <w:pPr>
              <w:suppressAutoHyphens w:val="0"/>
              <w:spacing w:before="60" w:line="240" w:lineRule="auto"/>
              <w:jc w:val="both"/>
              <w:rPr>
                <w:rFonts w:cstheme="minorHAnsi"/>
                <w:sz w:val="21"/>
                <w:lang w:val="en-AU"/>
              </w:rPr>
            </w:pPr>
            <w:r w:rsidRPr="00BA23EC">
              <w:rPr>
                <w:rFonts w:cstheme="minorHAnsi"/>
                <w:sz w:val="21"/>
                <w:szCs w:val="21"/>
                <w:lang w:val="en-AU"/>
              </w:rPr>
              <w:t>HSS-IPF</w:t>
            </w:r>
          </w:p>
        </w:tc>
        <w:tc>
          <w:tcPr>
            <w:tcW w:w="7050" w:type="dxa"/>
            <w:noWrap/>
            <w:hideMark/>
          </w:tcPr>
          <w:p w14:paraId="73F1B40C" w14:textId="7D287EF7" w:rsidR="002852B1" w:rsidRPr="00BA23EC" w:rsidRDefault="002530CA" w:rsidP="00F81159">
            <w:pPr>
              <w:suppressAutoHyphens w:val="0"/>
              <w:spacing w:before="60" w:line="240" w:lineRule="auto"/>
              <w:jc w:val="both"/>
              <w:rPr>
                <w:rFonts w:cstheme="minorHAnsi"/>
                <w:sz w:val="21"/>
                <w:lang w:val="en-AU"/>
              </w:rPr>
            </w:pPr>
            <w:r w:rsidRPr="00BA23EC">
              <w:rPr>
                <w:rFonts w:cstheme="minorHAnsi"/>
                <w:sz w:val="21"/>
                <w:szCs w:val="21"/>
                <w:lang w:val="en-AU"/>
              </w:rPr>
              <w:t xml:space="preserve">Health System Strengthening Investment Project Financing </w:t>
            </w:r>
          </w:p>
        </w:tc>
      </w:tr>
      <w:tr w:rsidR="002530CA" w:rsidRPr="00BA23EC" w14:paraId="1F6521E5" w14:textId="77777777" w:rsidTr="00C730AA">
        <w:trPr>
          <w:trHeight w:val="300"/>
        </w:trPr>
        <w:tc>
          <w:tcPr>
            <w:tcW w:w="2164" w:type="dxa"/>
            <w:noWrap/>
          </w:tcPr>
          <w:p w14:paraId="7D80C934" w14:textId="63985FE7" w:rsidR="002530CA" w:rsidRPr="00BA23EC" w:rsidRDefault="002530CA" w:rsidP="00F81159">
            <w:pPr>
              <w:suppressAutoHyphens w:val="0"/>
              <w:spacing w:before="60" w:line="240" w:lineRule="auto"/>
              <w:jc w:val="both"/>
              <w:rPr>
                <w:rFonts w:cstheme="minorHAnsi"/>
                <w:sz w:val="21"/>
                <w:szCs w:val="21"/>
                <w:lang w:val="en-AU"/>
              </w:rPr>
            </w:pPr>
            <w:r w:rsidRPr="00BA23EC">
              <w:rPr>
                <w:rFonts w:cstheme="minorHAnsi"/>
                <w:sz w:val="21"/>
                <w:szCs w:val="21"/>
                <w:lang w:val="en-AU"/>
              </w:rPr>
              <w:t>HT-MDTF</w:t>
            </w:r>
          </w:p>
        </w:tc>
        <w:tc>
          <w:tcPr>
            <w:tcW w:w="7050" w:type="dxa"/>
            <w:noWrap/>
          </w:tcPr>
          <w:p w14:paraId="50B3DE54" w14:textId="7A84D232" w:rsidR="002530CA" w:rsidRPr="00BA23EC" w:rsidRDefault="002530CA" w:rsidP="00F81159">
            <w:pPr>
              <w:suppressAutoHyphens w:val="0"/>
              <w:spacing w:before="60" w:line="240" w:lineRule="auto"/>
              <w:jc w:val="both"/>
              <w:rPr>
                <w:rFonts w:cstheme="minorHAnsi"/>
                <w:sz w:val="21"/>
                <w:szCs w:val="21"/>
                <w:lang w:val="en-AU"/>
              </w:rPr>
            </w:pPr>
            <w:r w:rsidRPr="00BA23EC">
              <w:rPr>
                <w:rFonts w:cstheme="minorHAnsi"/>
                <w:sz w:val="21"/>
                <w:szCs w:val="21"/>
                <w:lang w:val="en-AU"/>
              </w:rPr>
              <w:t>Health Transformation Multi-Donor Trust Fund</w:t>
            </w:r>
          </w:p>
        </w:tc>
      </w:tr>
      <w:tr w:rsidR="008F2389" w:rsidRPr="00BA23EC" w14:paraId="15AE18A1" w14:textId="77777777" w:rsidTr="00C730AA">
        <w:trPr>
          <w:trHeight w:val="300"/>
        </w:trPr>
        <w:tc>
          <w:tcPr>
            <w:tcW w:w="2164" w:type="dxa"/>
            <w:noWrap/>
          </w:tcPr>
          <w:p w14:paraId="286E46D9" w14:textId="5052226A" w:rsidR="008F2389" w:rsidRPr="00BA23EC" w:rsidRDefault="008F2389" w:rsidP="00F81159">
            <w:pPr>
              <w:suppressAutoHyphens w:val="0"/>
              <w:spacing w:before="60" w:line="240" w:lineRule="auto"/>
              <w:jc w:val="both"/>
              <w:rPr>
                <w:rFonts w:cstheme="minorHAnsi"/>
                <w:sz w:val="21"/>
                <w:szCs w:val="21"/>
                <w:lang w:val="en-AU"/>
              </w:rPr>
            </w:pPr>
            <w:r w:rsidRPr="00BA23EC">
              <w:rPr>
                <w:rFonts w:cstheme="minorHAnsi"/>
                <w:sz w:val="21"/>
                <w:szCs w:val="21"/>
                <w:lang w:val="en-AU"/>
              </w:rPr>
              <w:t>JKN</w:t>
            </w:r>
          </w:p>
        </w:tc>
        <w:tc>
          <w:tcPr>
            <w:tcW w:w="7050" w:type="dxa"/>
            <w:noWrap/>
          </w:tcPr>
          <w:p w14:paraId="29A0B78B" w14:textId="185F62DA" w:rsidR="008F2389" w:rsidRPr="00BA23EC" w:rsidRDefault="008F2389" w:rsidP="00F81159">
            <w:pPr>
              <w:suppressAutoHyphens w:val="0"/>
              <w:spacing w:before="60" w:line="240" w:lineRule="auto"/>
              <w:jc w:val="both"/>
              <w:rPr>
                <w:rFonts w:cstheme="minorHAnsi"/>
                <w:sz w:val="21"/>
                <w:szCs w:val="21"/>
                <w:lang w:val="en-AU"/>
              </w:rPr>
            </w:pPr>
            <w:r w:rsidRPr="00BA23EC">
              <w:rPr>
                <w:rFonts w:cstheme="minorHAnsi"/>
                <w:sz w:val="21"/>
                <w:szCs w:val="21"/>
                <w:lang w:val="en-AU"/>
              </w:rPr>
              <w:t>National Health Insurance (</w:t>
            </w:r>
            <w:proofErr w:type="spellStart"/>
            <w:r w:rsidRPr="00BA23EC">
              <w:rPr>
                <w:rFonts w:cstheme="minorHAnsi"/>
                <w:sz w:val="21"/>
                <w:szCs w:val="21"/>
                <w:lang w:val="en-AU"/>
              </w:rPr>
              <w:t>Jaminan</w:t>
            </w:r>
            <w:proofErr w:type="spellEnd"/>
            <w:r w:rsidRPr="00BA23EC">
              <w:rPr>
                <w:rFonts w:cstheme="minorHAnsi"/>
                <w:sz w:val="21"/>
                <w:szCs w:val="21"/>
                <w:lang w:val="en-AU"/>
              </w:rPr>
              <w:t xml:space="preserve"> Kesehatan Nasional)</w:t>
            </w:r>
          </w:p>
        </w:tc>
      </w:tr>
      <w:tr w:rsidR="002852B1" w:rsidRPr="00BA23EC" w14:paraId="4310FB1B" w14:textId="77777777" w:rsidTr="00C730AA">
        <w:trPr>
          <w:trHeight w:val="300"/>
        </w:trPr>
        <w:tc>
          <w:tcPr>
            <w:tcW w:w="2164" w:type="dxa"/>
            <w:noWrap/>
            <w:hideMark/>
          </w:tcPr>
          <w:p w14:paraId="66D6E8AE" w14:textId="77777777" w:rsidR="002852B1" w:rsidRPr="00BA23EC" w:rsidRDefault="002852B1" w:rsidP="00F81159">
            <w:pPr>
              <w:suppressAutoHyphens w:val="0"/>
              <w:spacing w:before="60" w:line="240" w:lineRule="auto"/>
              <w:jc w:val="both"/>
              <w:rPr>
                <w:rFonts w:cstheme="minorHAnsi"/>
                <w:sz w:val="21"/>
                <w:lang w:val="en-AU"/>
              </w:rPr>
            </w:pPr>
            <w:r w:rsidRPr="00BA23EC">
              <w:rPr>
                <w:rFonts w:cstheme="minorHAnsi"/>
                <w:sz w:val="21"/>
                <w:lang w:val="en-AU"/>
              </w:rPr>
              <w:t>M&amp;E</w:t>
            </w:r>
          </w:p>
        </w:tc>
        <w:tc>
          <w:tcPr>
            <w:tcW w:w="7050" w:type="dxa"/>
            <w:noWrap/>
            <w:hideMark/>
          </w:tcPr>
          <w:p w14:paraId="5DA94D8D" w14:textId="77777777" w:rsidR="002852B1" w:rsidRPr="00BA23EC" w:rsidRDefault="002852B1" w:rsidP="00F81159">
            <w:pPr>
              <w:suppressAutoHyphens w:val="0"/>
              <w:spacing w:before="60" w:line="240" w:lineRule="auto"/>
              <w:jc w:val="both"/>
              <w:rPr>
                <w:rFonts w:cstheme="minorHAnsi"/>
                <w:sz w:val="21"/>
                <w:lang w:val="en-AU"/>
              </w:rPr>
            </w:pPr>
            <w:r w:rsidRPr="00BA23EC">
              <w:rPr>
                <w:rFonts w:cstheme="minorHAnsi"/>
                <w:sz w:val="21"/>
                <w:lang w:val="en-AU"/>
              </w:rPr>
              <w:t>Monitoring and evaluation</w:t>
            </w:r>
          </w:p>
        </w:tc>
      </w:tr>
      <w:tr w:rsidR="002852B1" w:rsidRPr="00BA23EC" w14:paraId="3CC8D555" w14:textId="77777777" w:rsidTr="00C730AA">
        <w:trPr>
          <w:trHeight w:val="300"/>
        </w:trPr>
        <w:tc>
          <w:tcPr>
            <w:tcW w:w="2164" w:type="dxa"/>
            <w:noWrap/>
            <w:hideMark/>
          </w:tcPr>
          <w:p w14:paraId="440778DC" w14:textId="262BC110" w:rsidR="002852B1" w:rsidRPr="00BA23EC" w:rsidRDefault="002852B1" w:rsidP="00F81159">
            <w:pPr>
              <w:suppressAutoHyphens w:val="0"/>
              <w:spacing w:before="60" w:line="240" w:lineRule="auto"/>
              <w:jc w:val="both"/>
              <w:rPr>
                <w:rFonts w:cstheme="minorHAnsi"/>
                <w:sz w:val="21"/>
                <w:lang w:val="en-AU"/>
              </w:rPr>
            </w:pPr>
            <w:r w:rsidRPr="00BA23EC">
              <w:rPr>
                <w:rFonts w:cstheme="minorHAnsi"/>
                <w:sz w:val="21"/>
                <w:szCs w:val="21"/>
                <w:lang w:val="en-AU"/>
              </w:rPr>
              <w:t>MoF</w:t>
            </w:r>
          </w:p>
        </w:tc>
        <w:tc>
          <w:tcPr>
            <w:tcW w:w="7050" w:type="dxa"/>
            <w:noWrap/>
            <w:hideMark/>
          </w:tcPr>
          <w:p w14:paraId="6DB46663" w14:textId="5A49283A" w:rsidR="002852B1" w:rsidRPr="00BA23EC" w:rsidRDefault="002852B1" w:rsidP="00F81159">
            <w:pPr>
              <w:suppressAutoHyphens w:val="0"/>
              <w:spacing w:before="60" w:line="240" w:lineRule="auto"/>
              <w:jc w:val="both"/>
              <w:rPr>
                <w:rFonts w:cstheme="minorHAnsi"/>
                <w:sz w:val="21"/>
                <w:lang w:val="en-AU"/>
              </w:rPr>
            </w:pPr>
            <w:r w:rsidRPr="00BA23EC">
              <w:rPr>
                <w:rFonts w:cstheme="minorHAnsi"/>
                <w:sz w:val="21"/>
                <w:lang w:val="en-AU"/>
              </w:rPr>
              <w:t xml:space="preserve">Indonesian Government Ministry of </w:t>
            </w:r>
            <w:r w:rsidR="00D7149D" w:rsidRPr="00BA23EC">
              <w:rPr>
                <w:rFonts w:cstheme="minorHAnsi"/>
                <w:sz w:val="21"/>
                <w:szCs w:val="21"/>
                <w:lang w:val="en-AU"/>
              </w:rPr>
              <w:t>F</w:t>
            </w:r>
            <w:r w:rsidR="002F2E4D" w:rsidRPr="00BA23EC">
              <w:rPr>
                <w:rFonts w:cstheme="minorHAnsi"/>
                <w:sz w:val="21"/>
                <w:szCs w:val="21"/>
                <w:lang w:val="en-AU"/>
              </w:rPr>
              <w:t>i</w:t>
            </w:r>
            <w:r w:rsidR="00D7149D" w:rsidRPr="00BA23EC">
              <w:rPr>
                <w:rFonts w:cstheme="minorHAnsi"/>
                <w:sz w:val="21"/>
                <w:szCs w:val="21"/>
                <w:lang w:val="en-AU"/>
              </w:rPr>
              <w:t>nance</w:t>
            </w:r>
          </w:p>
        </w:tc>
      </w:tr>
      <w:tr w:rsidR="002852B1" w:rsidRPr="00BA23EC" w14:paraId="6D0CAA2E" w14:textId="77777777" w:rsidTr="00C730AA">
        <w:trPr>
          <w:trHeight w:val="300"/>
        </w:trPr>
        <w:tc>
          <w:tcPr>
            <w:tcW w:w="2164" w:type="dxa"/>
            <w:noWrap/>
            <w:hideMark/>
          </w:tcPr>
          <w:p w14:paraId="7FACF0F9" w14:textId="77777777" w:rsidR="002852B1" w:rsidRPr="00BA23EC" w:rsidRDefault="002852B1" w:rsidP="00F81159">
            <w:pPr>
              <w:suppressAutoHyphens w:val="0"/>
              <w:spacing w:before="60" w:line="240" w:lineRule="auto"/>
              <w:jc w:val="both"/>
              <w:rPr>
                <w:rFonts w:cstheme="minorHAnsi"/>
                <w:sz w:val="21"/>
                <w:lang w:val="en-AU"/>
              </w:rPr>
            </w:pPr>
            <w:r w:rsidRPr="00BA23EC">
              <w:rPr>
                <w:rFonts w:cstheme="minorHAnsi"/>
                <w:sz w:val="21"/>
                <w:lang w:val="en-AU"/>
              </w:rPr>
              <w:t>MoH</w:t>
            </w:r>
          </w:p>
        </w:tc>
        <w:tc>
          <w:tcPr>
            <w:tcW w:w="7050" w:type="dxa"/>
            <w:noWrap/>
            <w:hideMark/>
          </w:tcPr>
          <w:p w14:paraId="28A56B28" w14:textId="77777777" w:rsidR="002852B1" w:rsidRPr="00BA23EC" w:rsidRDefault="002852B1" w:rsidP="00F81159">
            <w:pPr>
              <w:suppressAutoHyphens w:val="0"/>
              <w:spacing w:before="60" w:line="240" w:lineRule="auto"/>
              <w:jc w:val="both"/>
              <w:rPr>
                <w:rFonts w:cstheme="minorHAnsi"/>
                <w:sz w:val="21"/>
                <w:lang w:val="en-AU"/>
              </w:rPr>
            </w:pPr>
            <w:r w:rsidRPr="00BA23EC">
              <w:rPr>
                <w:rFonts w:cstheme="minorHAnsi"/>
                <w:sz w:val="21"/>
                <w:lang w:val="en-AU"/>
              </w:rPr>
              <w:t>Indonesian Government Ministry of Health</w:t>
            </w:r>
          </w:p>
        </w:tc>
      </w:tr>
      <w:tr w:rsidR="0096073E" w:rsidRPr="00BA23EC" w14:paraId="39458718" w14:textId="77777777" w:rsidTr="00C730AA">
        <w:trPr>
          <w:trHeight w:val="300"/>
        </w:trPr>
        <w:tc>
          <w:tcPr>
            <w:tcW w:w="2164" w:type="dxa"/>
            <w:noWrap/>
          </w:tcPr>
          <w:p w14:paraId="66D08EA6" w14:textId="4CEA2F8A" w:rsidR="0096073E" w:rsidRPr="00BA23EC" w:rsidRDefault="0096073E" w:rsidP="00F81159">
            <w:pPr>
              <w:suppressAutoHyphens w:val="0"/>
              <w:spacing w:before="60" w:line="240" w:lineRule="auto"/>
              <w:jc w:val="both"/>
              <w:rPr>
                <w:rFonts w:cstheme="minorHAnsi"/>
                <w:sz w:val="21"/>
                <w:lang w:val="en-AU"/>
              </w:rPr>
            </w:pPr>
            <w:r>
              <w:rPr>
                <w:rFonts w:cstheme="minorHAnsi"/>
                <w:sz w:val="21"/>
                <w:lang w:val="en-AU"/>
              </w:rPr>
              <w:t>MTR</w:t>
            </w:r>
          </w:p>
        </w:tc>
        <w:tc>
          <w:tcPr>
            <w:tcW w:w="7050" w:type="dxa"/>
            <w:noWrap/>
          </w:tcPr>
          <w:p w14:paraId="69FD662C" w14:textId="76A6CCCF" w:rsidR="0096073E" w:rsidRPr="00BA23EC" w:rsidRDefault="0096073E" w:rsidP="00F81159">
            <w:pPr>
              <w:suppressAutoHyphens w:val="0"/>
              <w:spacing w:before="60" w:line="240" w:lineRule="auto"/>
              <w:jc w:val="both"/>
              <w:rPr>
                <w:rFonts w:cstheme="minorHAnsi"/>
                <w:sz w:val="21"/>
                <w:lang w:val="en-AU"/>
              </w:rPr>
            </w:pPr>
            <w:r>
              <w:rPr>
                <w:rFonts w:cstheme="minorHAnsi"/>
                <w:sz w:val="21"/>
                <w:lang w:val="en-AU"/>
              </w:rPr>
              <w:t xml:space="preserve">Mid-Term Review </w:t>
            </w:r>
          </w:p>
        </w:tc>
      </w:tr>
      <w:tr w:rsidR="004C4D4E" w:rsidRPr="00BA23EC" w14:paraId="196671E4" w14:textId="77777777" w:rsidTr="00C730AA">
        <w:trPr>
          <w:trHeight w:val="300"/>
        </w:trPr>
        <w:tc>
          <w:tcPr>
            <w:tcW w:w="2164" w:type="dxa"/>
            <w:noWrap/>
          </w:tcPr>
          <w:p w14:paraId="1328E699" w14:textId="34EDDC23" w:rsidR="004C4D4E" w:rsidRPr="00BA23EC" w:rsidRDefault="004C4D4E" w:rsidP="00F81159">
            <w:pPr>
              <w:suppressAutoHyphens w:val="0"/>
              <w:spacing w:before="60" w:line="240" w:lineRule="auto"/>
              <w:jc w:val="both"/>
              <w:rPr>
                <w:rFonts w:cstheme="minorHAnsi"/>
                <w:sz w:val="21"/>
                <w:szCs w:val="21"/>
                <w:lang w:val="en-AU"/>
              </w:rPr>
            </w:pPr>
            <w:proofErr w:type="spellStart"/>
            <w:r w:rsidRPr="00BA23EC">
              <w:rPr>
                <w:rFonts w:cstheme="minorHAnsi"/>
                <w:sz w:val="21"/>
                <w:szCs w:val="21"/>
                <w:lang w:val="en-AU"/>
              </w:rPr>
              <w:t>Posyandu</w:t>
            </w:r>
            <w:proofErr w:type="spellEnd"/>
            <w:r w:rsidRPr="00BA23EC">
              <w:rPr>
                <w:rFonts w:cstheme="minorHAnsi"/>
                <w:sz w:val="21"/>
                <w:szCs w:val="21"/>
                <w:lang w:val="en-AU"/>
              </w:rPr>
              <w:t xml:space="preserve"> Prima</w:t>
            </w:r>
          </w:p>
        </w:tc>
        <w:tc>
          <w:tcPr>
            <w:tcW w:w="7050" w:type="dxa"/>
            <w:noWrap/>
          </w:tcPr>
          <w:p w14:paraId="232339A0" w14:textId="384E447F" w:rsidR="004C4D4E" w:rsidRPr="00BA23EC" w:rsidRDefault="004C4D4E" w:rsidP="00F81159">
            <w:pPr>
              <w:suppressAutoHyphens w:val="0"/>
              <w:spacing w:before="60" w:line="240" w:lineRule="auto"/>
              <w:jc w:val="both"/>
              <w:rPr>
                <w:rFonts w:cstheme="minorHAnsi"/>
                <w:sz w:val="21"/>
                <w:szCs w:val="21"/>
                <w:lang w:val="en-AU"/>
              </w:rPr>
            </w:pPr>
            <w:r w:rsidRPr="00BA23EC">
              <w:rPr>
                <w:rFonts w:cstheme="minorHAnsi"/>
                <w:sz w:val="21"/>
                <w:szCs w:val="21"/>
                <w:lang w:val="en-AU"/>
              </w:rPr>
              <w:t>District level health centres</w:t>
            </w:r>
          </w:p>
        </w:tc>
      </w:tr>
      <w:tr w:rsidR="004C4D4E" w:rsidRPr="00BA23EC" w14:paraId="33D81FB8" w14:textId="77777777" w:rsidTr="00C730AA">
        <w:trPr>
          <w:trHeight w:val="300"/>
        </w:trPr>
        <w:tc>
          <w:tcPr>
            <w:tcW w:w="2164" w:type="dxa"/>
            <w:noWrap/>
          </w:tcPr>
          <w:p w14:paraId="7E2A2851" w14:textId="32D761B0" w:rsidR="004C4D4E" w:rsidRPr="00BA23EC" w:rsidRDefault="004C4D4E" w:rsidP="00F81159">
            <w:pPr>
              <w:suppressAutoHyphens w:val="0"/>
              <w:spacing w:before="60" w:line="240" w:lineRule="auto"/>
              <w:jc w:val="both"/>
              <w:rPr>
                <w:rFonts w:cstheme="minorHAnsi"/>
                <w:sz w:val="21"/>
                <w:szCs w:val="21"/>
                <w:lang w:val="en-AU"/>
              </w:rPr>
            </w:pPr>
            <w:proofErr w:type="spellStart"/>
            <w:r w:rsidRPr="00BA23EC">
              <w:rPr>
                <w:rFonts w:cstheme="minorHAnsi"/>
                <w:sz w:val="21"/>
                <w:szCs w:val="21"/>
                <w:lang w:val="en-AU"/>
              </w:rPr>
              <w:t>Posyandu</w:t>
            </w:r>
            <w:proofErr w:type="spellEnd"/>
          </w:p>
        </w:tc>
        <w:tc>
          <w:tcPr>
            <w:tcW w:w="7050" w:type="dxa"/>
            <w:noWrap/>
          </w:tcPr>
          <w:p w14:paraId="3259A33D" w14:textId="7D61B96C" w:rsidR="004C4D4E" w:rsidRPr="00BA23EC" w:rsidRDefault="004C4D4E" w:rsidP="00F81159">
            <w:pPr>
              <w:suppressAutoHyphens w:val="0"/>
              <w:spacing w:before="60" w:line="240" w:lineRule="auto"/>
              <w:jc w:val="both"/>
              <w:rPr>
                <w:rFonts w:cstheme="minorHAnsi"/>
                <w:sz w:val="21"/>
                <w:szCs w:val="21"/>
                <w:lang w:val="en-AU"/>
              </w:rPr>
            </w:pPr>
            <w:r w:rsidRPr="00BA23EC">
              <w:rPr>
                <w:rFonts w:cstheme="minorHAnsi"/>
                <w:sz w:val="21"/>
                <w:szCs w:val="21"/>
                <w:lang w:val="en-AU"/>
              </w:rPr>
              <w:t>Village level health centres</w:t>
            </w:r>
          </w:p>
        </w:tc>
      </w:tr>
      <w:tr w:rsidR="002F2E4D" w:rsidRPr="00BA23EC" w14:paraId="2475B854" w14:textId="77777777" w:rsidTr="00C730AA">
        <w:trPr>
          <w:trHeight w:val="300"/>
        </w:trPr>
        <w:tc>
          <w:tcPr>
            <w:tcW w:w="2164" w:type="dxa"/>
            <w:noWrap/>
          </w:tcPr>
          <w:p w14:paraId="26F725CF" w14:textId="71280ADD" w:rsidR="002F2E4D" w:rsidRPr="00BA23EC" w:rsidRDefault="002F2E4D" w:rsidP="00F81159">
            <w:pPr>
              <w:suppressAutoHyphens w:val="0"/>
              <w:spacing w:before="60" w:line="240" w:lineRule="auto"/>
              <w:jc w:val="both"/>
              <w:rPr>
                <w:rFonts w:cstheme="minorHAnsi"/>
                <w:sz w:val="21"/>
                <w:szCs w:val="21"/>
                <w:lang w:val="en-AU"/>
              </w:rPr>
            </w:pPr>
            <w:proofErr w:type="spellStart"/>
            <w:r w:rsidRPr="00BA23EC">
              <w:rPr>
                <w:rFonts w:cstheme="minorHAnsi"/>
                <w:sz w:val="21"/>
                <w:szCs w:val="21"/>
                <w:lang w:val="en-AU"/>
              </w:rPr>
              <w:t>Puskesmas</w:t>
            </w:r>
            <w:proofErr w:type="spellEnd"/>
          </w:p>
        </w:tc>
        <w:tc>
          <w:tcPr>
            <w:tcW w:w="7050" w:type="dxa"/>
            <w:noWrap/>
          </w:tcPr>
          <w:p w14:paraId="727242B3" w14:textId="3CC32FD5" w:rsidR="002F2E4D" w:rsidRPr="00BA23EC" w:rsidRDefault="002F2E4D" w:rsidP="00F81159">
            <w:pPr>
              <w:suppressAutoHyphens w:val="0"/>
              <w:spacing w:before="60" w:line="240" w:lineRule="auto"/>
              <w:jc w:val="both"/>
              <w:rPr>
                <w:rFonts w:cstheme="minorHAnsi"/>
                <w:sz w:val="21"/>
                <w:szCs w:val="21"/>
                <w:lang w:val="en-AU"/>
              </w:rPr>
            </w:pPr>
            <w:r w:rsidRPr="00BA23EC">
              <w:rPr>
                <w:rFonts w:cstheme="minorHAnsi"/>
                <w:sz w:val="21"/>
                <w:szCs w:val="21"/>
                <w:lang w:val="en-AU"/>
              </w:rPr>
              <w:t>Community Health Centres</w:t>
            </w:r>
          </w:p>
        </w:tc>
      </w:tr>
      <w:tr w:rsidR="004F4FAC" w:rsidRPr="00BA23EC" w14:paraId="653E17FA" w14:textId="77777777" w:rsidTr="00C730AA">
        <w:trPr>
          <w:trHeight w:val="300"/>
        </w:trPr>
        <w:tc>
          <w:tcPr>
            <w:tcW w:w="2164" w:type="dxa"/>
            <w:noWrap/>
          </w:tcPr>
          <w:p w14:paraId="3D7AACDA" w14:textId="3040B0C5" w:rsidR="004F4FAC" w:rsidRPr="00BA23EC" w:rsidRDefault="004F4FAC" w:rsidP="00F81159">
            <w:pPr>
              <w:suppressAutoHyphens w:val="0"/>
              <w:spacing w:before="60" w:line="240" w:lineRule="auto"/>
              <w:jc w:val="both"/>
              <w:rPr>
                <w:rFonts w:cstheme="minorHAnsi"/>
                <w:sz w:val="21"/>
                <w:lang w:val="en-AU"/>
              </w:rPr>
            </w:pPr>
            <w:r>
              <w:rPr>
                <w:rFonts w:cstheme="minorHAnsi"/>
                <w:sz w:val="21"/>
                <w:lang w:val="en-AU"/>
              </w:rPr>
              <w:t>RPJMN</w:t>
            </w:r>
          </w:p>
        </w:tc>
        <w:tc>
          <w:tcPr>
            <w:tcW w:w="7050" w:type="dxa"/>
            <w:noWrap/>
          </w:tcPr>
          <w:p w14:paraId="2645F7BF" w14:textId="5EAC5BED" w:rsidR="004F4FAC" w:rsidRPr="00BA23EC" w:rsidRDefault="004F4FAC" w:rsidP="00F81159">
            <w:pPr>
              <w:suppressAutoHyphens w:val="0"/>
              <w:spacing w:before="60" w:line="240" w:lineRule="auto"/>
              <w:jc w:val="both"/>
              <w:rPr>
                <w:rFonts w:cstheme="minorHAnsi"/>
                <w:sz w:val="21"/>
                <w:lang w:val="en-AU"/>
              </w:rPr>
            </w:pPr>
            <w:r w:rsidRPr="004F4FAC">
              <w:rPr>
                <w:rFonts w:cstheme="minorHAnsi"/>
                <w:sz w:val="21"/>
              </w:rPr>
              <w:t>National Medium-Term Development Plan</w:t>
            </w:r>
          </w:p>
        </w:tc>
      </w:tr>
      <w:tr w:rsidR="002852B1" w:rsidRPr="00BA23EC" w14:paraId="71DA07E9" w14:textId="77777777" w:rsidTr="00C730AA">
        <w:trPr>
          <w:trHeight w:val="300"/>
        </w:trPr>
        <w:tc>
          <w:tcPr>
            <w:tcW w:w="2164" w:type="dxa"/>
            <w:noWrap/>
            <w:hideMark/>
          </w:tcPr>
          <w:p w14:paraId="24B28617" w14:textId="77777777" w:rsidR="002852B1" w:rsidRPr="00BA23EC" w:rsidRDefault="002852B1" w:rsidP="00F81159">
            <w:pPr>
              <w:suppressAutoHyphens w:val="0"/>
              <w:spacing w:before="60" w:line="240" w:lineRule="auto"/>
              <w:jc w:val="both"/>
              <w:rPr>
                <w:rFonts w:cstheme="minorHAnsi"/>
                <w:sz w:val="21"/>
                <w:lang w:val="en-AU"/>
              </w:rPr>
            </w:pPr>
            <w:r w:rsidRPr="00BA23EC">
              <w:rPr>
                <w:rFonts w:cstheme="minorHAnsi"/>
                <w:sz w:val="21"/>
                <w:lang w:val="en-AU"/>
              </w:rPr>
              <w:t>USD</w:t>
            </w:r>
          </w:p>
        </w:tc>
        <w:tc>
          <w:tcPr>
            <w:tcW w:w="7050" w:type="dxa"/>
            <w:noWrap/>
            <w:hideMark/>
          </w:tcPr>
          <w:p w14:paraId="6FCEF6AC" w14:textId="77777777" w:rsidR="002852B1" w:rsidRPr="00BA23EC" w:rsidRDefault="002852B1" w:rsidP="00F81159">
            <w:pPr>
              <w:suppressAutoHyphens w:val="0"/>
              <w:spacing w:before="60" w:line="240" w:lineRule="auto"/>
              <w:jc w:val="both"/>
              <w:rPr>
                <w:rFonts w:cstheme="minorHAnsi"/>
                <w:sz w:val="21"/>
                <w:lang w:val="en-AU"/>
              </w:rPr>
            </w:pPr>
            <w:r w:rsidRPr="00BA23EC">
              <w:rPr>
                <w:rFonts w:cstheme="minorHAnsi"/>
                <w:sz w:val="21"/>
                <w:lang w:val="en-AU"/>
              </w:rPr>
              <w:t>United States dollars</w:t>
            </w:r>
          </w:p>
        </w:tc>
      </w:tr>
    </w:tbl>
    <w:p w14:paraId="44B0567D" w14:textId="5F938A8D" w:rsidR="00BC0E36" w:rsidRPr="00BA23EC" w:rsidRDefault="00BC0E36" w:rsidP="00F81159">
      <w:pPr>
        <w:suppressAutoHyphens w:val="0"/>
        <w:spacing w:before="0" w:after="120" w:line="440" w:lineRule="atLeast"/>
        <w:jc w:val="both"/>
        <w:rPr>
          <w:rFonts w:cstheme="minorHAnsi"/>
          <w:lang w:val="en-AU"/>
        </w:rPr>
      </w:pPr>
    </w:p>
    <w:p w14:paraId="3A37242E" w14:textId="77777777" w:rsidR="00BC0E36" w:rsidRPr="00BA23EC" w:rsidRDefault="00BC0E36" w:rsidP="00F81159">
      <w:pPr>
        <w:suppressAutoHyphens w:val="0"/>
        <w:spacing w:before="0" w:after="120" w:line="440" w:lineRule="atLeast"/>
        <w:jc w:val="both"/>
        <w:rPr>
          <w:rFonts w:cstheme="minorHAnsi"/>
          <w:lang w:val="en-AU"/>
        </w:rPr>
      </w:pPr>
      <w:r w:rsidRPr="00BA23EC">
        <w:rPr>
          <w:rFonts w:cstheme="minorHAnsi"/>
          <w:lang w:val="en-AU"/>
        </w:rPr>
        <w:br w:type="page"/>
      </w:r>
    </w:p>
    <w:p w14:paraId="086F139E" w14:textId="67C4CA25" w:rsidR="002D4DE7" w:rsidRPr="00BA23EC" w:rsidRDefault="00271FB6" w:rsidP="00271FB6">
      <w:pPr>
        <w:pStyle w:val="Heading2"/>
      </w:pPr>
      <w:bookmarkStart w:id="7" w:name="ExecutiveSummary"/>
      <w:r>
        <w:lastRenderedPageBreak/>
        <w:t xml:space="preserve">A. </w:t>
      </w:r>
      <w:r w:rsidR="002D4DE7" w:rsidRPr="00BA23EC">
        <w:t>Executive Summary</w:t>
      </w:r>
    </w:p>
    <w:bookmarkEnd w:id="7"/>
    <w:p w14:paraId="146BDB3F" w14:textId="6EB0D003" w:rsidR="00830E07" w:rsidRPr="00BA23EC" w:rsidRDefault="00C11ABE" w:rsidP="00F81159">
      <w:pPr>
        <w:jc w:val="both"/>
        <w:rPr>
          <w:rFonts w:cstheme="minorHAnsi"/>
          <w:sz w:val="21"/>
          <w:lang w:val="en-AU"/>
        </w:rPr>
      </w:pPr>
      <w:r w:rsidRPr="00BA23EC">
        <w:rPr>
          <w:rFonts w:cstheme="minorHAnsi"/>
          <w:b/>
          <w:sz w:val="21"/>
          <w:lang w:val="en-AU"/>
        </w:rPr>
        <w:t>Vulnerabilities in the Indonesian health system, including financing shortfalls</w:t>
      </w:r>
      <w:r w:rsidR="003A2907" w:rsidRPr="00BA23EC">
        <w:rPr>
          <w:rStyle w:val="FootnoteReference"/>
          <w:rFonts w:cstheme="minorHAnsi"/>
          <w:b/>
          <w:sz w:val="21"/>
          <w:lang w:val="en-AU"/>
        </w:rPr>
        <w:footnoteReference w:id="2"/>
      </w:r>
      <w:r w:rsidRPr="00BA23EC">
        <w:rPr>
          <w:rFonts w:cstheme="minorHAnsi"/>
          <w:b/>
          <w:sz w:val="21"/>
          <w:lang w:val="en-AU"/>
        </w:rPr>
        <w:t>, gaps in health infrastructure</w:t>
      </w:r>
      <w:r w:rsidRPr="00BA23EC">
        <w:rPr>
          <w:rStyle w:val="FootnoteReference"/>
          <w:rFonts w:cstheme="minorHAnsi"/>
          <w:b/>
          <w:sz w:val="21"/>
          <w:lang w:val="en-AU"/>
        </w:rPr>
        <w:footnoteReference w:id="3"/>
      </w:r>
      <w:r w:rsidRPr="00BA23EC">
        <w:rPr>
          <w:rFonts w:cstheme="minorHAnsi"/>
          <w:b/>
          <w:sz w:val="21"/>
          <w:lang w:val="en-AU"/>
        </w:rPr>
        <w:t>, the availability and quality of health workers</w:t>
      </w:r>
      <w:r w:rsidR="006B272D" w:rsidRPr="00BA23EC">
        <w:rPr>
          <w:rStyle w:val="FootnoteReference"/>
          <w:rFonts w:cstheme="minorHAnsi"/>
          <w:b/>
          <w:sz w:val="21"/>
          <w:lang w:val="en-AU"/>
        </w:rPr>
        <w:footnoteReference w:id="4"/>
      </w:r>
      <w:r w:rsidRPr="00BA23EC">
        <w:rPr>
          <w:rFonts w:cstheme="minorHAnsi"/>
          <w:b/>
          <w:sz w:val="21"/>
          <w:lang w:val="en-AU"/>
        </w:rPr>
        <w:t xml:space="preserve">, and </w:t>
      </w:r>
      <w:r w:rsidR="000914E7" w:rsidRPr="00BA23EC">
        <w:rPr>
          <w:rFonts w:cstheme="minorHAnsi"/>
          <w:b/>
          <w:sz w:val="21"/>
          <w:lang w:val="en-AU"/>
        </w:rPr>
        <w:t>unequal</w:t>
      </w:r>
      <w:r w:rsidRPr="00BA23EC">
        <w:rPr>
          <w:rFonts w:cstheme="minorHAnsi"/>
          <w:b/>
          <w:sz w:val="21"/>
          <w:lang w:val="en-AU"/>
        </w:rPr>
        <w:t xml:space="preserve"> access to health care</w:t>
      </w:r>
      <w:r w:rsidR="008E4392" w:rsidRPr="00BA23EC">
        <w:rPr>
          <w:rStyle w:val="FootnoteReference"/>
          <w:rFonts w:cstheme="minorHAnsi"/>
          <w:b/>
          <w:sz w:val="21"/>
          <w:lang w:val="en-AU"/>
        </w:rPr>
        <w:footnoteReference w:id="5"/>
      </w:r>
      <w:r w:rsidRPr="00BA23EC">
        <w:rPr>
          <w:rFonts w:cstheme="minorHAnsi"/>
          <w:b/>
          <w:sz w:val="21"/>
          <w:lang w:val="en-AU"/>
        </w:rPr>
        <w:t xml:space="preserve"> </w:t>
      </w:r>
      <w:r w:rsidR="003F420B" w:rsidRPr="00BA23EC">
        <w:rPr>
          <w:rFonts w:cstheme="minorHAnsi"/>
          <w:b/>
          <w:sz w:val="21"/>
          <w:lang w:val="en-AU"/>
        </w:rPr>
        <w:t xml:space="preserve">have been long-standing </w:t>
      </w:r>
      <w:r w:rsidR="005D3311" w:rsidRPr="00BA23EC">
        <w:rPr>
          <w:rFonts w:cstheme="minorHAnsi"/>
          <w:b/>
          <w:sz w:val="21"/>
          <w:lang w:val="en-AU"/>
        </w:rPr>
        <w:t>issues</w:t>
      </w:r>
      <w:r w:rsidR="003F420B" w:rsidRPr="00BA23EC">
        <w:rPr>
          <w:rFonts w:cstheme="minorHAnsi"/>
          <w:b/>
          <w:sz w:val="21"/>
          <w:lang w:val="en-AU"/>
        </w:rPr>
        <w:t xml:space="preserve"> well before the </w:t>
      </w:r>
      <w:r w:rsidRPr="00BA23EC">
        <w:rPr>
          <w:rFonts w:cstheme="minorHAnsi"/>
          <w:b/>
          <w:sz w:val="21"/>
          <w:lang w:val="en-AU"/>
        </w:rPr>
        <w:t>COVID-19 pandemic</w:t>
      </w:r>
      <w:r w:rsidRPr="00BA23EC">
        <w:rPr>
          <w:rFonts w:cstheme="minorHAnsi"/>
          <w:sz w:val="21"/>
          <w:lang w:val="en-AU"/>
        </w:rPr>
        <w:t xml:space="preserve">. </w:t>
      </w:r>
      <w:r w:rsidR="005D5888" w:rsidRPr="00BA23EC">
        <w:rPr>
          <w:rFonts w:cstheme="minorHAnsi"/>
          <w:sz w:val="21"/>
          <w:lang w:val="en-AU"/>
        </w:rPr>
        <w:t>Since 2001</w:t>
      </w:r>
      <w:r w:rsidR="00AF273D" w:rsidRPr="00BA23EC">
        <w:rPr>
          <w:rFonts w:cstheme="minorHAnsi"/>
          <w:sz w:val="21"/>
          <w:lang w:val="en-AU"/>
        </w:rPr>
        <w:t>, Indonesia</w:t>
      </w:r>
      <w:r w:rsidR="000A4703" w:rsidRPr="00BA23EC">
        <w:rPr>
          <w:rFonts w:cstheme="minorHAnsi"/>
          <w:sz w:val="21"/>
          <w:lang w:val="en-AU"/>
        </w:rPr>
        <w:t>’s</w:t>
      </w:r>
      <w:r w:rsidR="008C53CF" w:rsidRPr="00BA23EC">
        <w:rPr>
          <w:rFonts w:cstheme="minorHAnsi"/>
          <w:sz w:val="21"/>
          <w:lang w:val="en-AU"/>
        </w:rPr>
        <w:t xml:space="preserve"> economy grew by </w:t>
      </w:r>
      <w:r w:rsidR="003B41BB" w:rsidRPr="00BA23EC">
        <w:rPr>
          <w:rFonts w:cstheme="minorHAnsi"/>
          <w:sz w:val="21"/>
          <w:lang w:val="en-AU"/>
        </w:rPr>
        <w:t xml:space="preserve">an average of 5.5 percent </w:t>
      </w:r>
      <w:r w:rsidR="00EB7831" w:rsidRPr="00BA23EC">
        <w:rPr>
          <w:rFonts w:cstheme="minorHAnsi"/>
          <w:sz w:val="21"/>
          <w:lang w:val="en-AU"/>
        </w:rPr>
        <w:t>of GDP</w:t>
      </w:r>
      <w:r w:rsidR="003B41BB" w:rsidRPr="00BA23EC">
        <w:rPr>
          <w:rFonts w:cstheme="minorHAnsi"/>
          <w:sz w:val="21"/>
          <w:lang w:val="en-AU"/>
        </w:rPr>
        <w:t xml:space="preserve"> </w:t>
      </w:r>
      <w:r w:rsidR="008C53CF" w:rsidRPr="00BA23EC">
        <w:rPr>
          <w:rFonts w:cstheme="minorHAnsi"/>
          <w:sz w:val="21"/>
          <w:lang w:val="en-AU"/>
        </w:rPr>
        <w:t>per year</w:t>
      </w:r>
      <w:r w:rsidR="003E1190" w:rsidRPr="00BA23EC">
        <w:rPr>
          <w:rFonts w:cstheme="minorHAnsi"/>
          <w:sz w:val="21"/>
          <w:lang w:val="en-AU"/>
        </w:rPr>
        <w:t xml:space="preserve">, leading to its </w:t>
      </w:r>
      <w:r w:rsidR="003B41BB" w:rsidRPr="00BA23EC">
        <w:rPr>
          <w:rFonts w:cstheme="minorHAnsi"/>
          <w:sz w:val="21"/>
          <w:lang w:val="en-AU"/>
        </w:rPr>
        <w:t>subsequent transition to an upper-middle-income country</w:t>
      </w:r>
      <w:r w:rsidR="002563C0" w:rsidRPr="00BA23EC">
        <w:rPr>
          <w:rFonts w:cstheme="minorHAnsi"/>
          <w:sz w:val="21"/>
          <w:lang w:val="en-AU"/>
        </w:rPr>
        <w:t xml:space="preserve"> in 2019</w:t>
      </w:r>
      <w:r w:rsidR="003E1190" w:rsidRPr="00BA23EC">
        <w:rPr>
          <w:rFonts w:cstheme="minorHAnsi"/>
          <w:sz w:val="21"/>
          <w:lang w:val="en-AU"/>
        </w:rPr>
        <w:t>.</w:t>
      </w:r>
      <w:r w:rsidR="006A2B69" w:rsidRPr="00BA23EC">
        <w:rPr>
          <w:rFonts w:cstheme="minorHAnsi"/>
          <w:sz w:val="21"/>
          <w:lang w:val="en-AU"/>
        </w:rPr>
        <w:t xml:space="preserve"> This </w:t>
      </w:r>
      <w:r w:rsidR="00FE46A9" w:rsidRPr="00BA23EC">
        <w:rPr>
          <w:rFonts w:cstheme="minorHAnsi"/>
          <w:sz w:val="21"/>
          <w:lang w:val="en-AU"/>
        </w:rPr>
        <w:t xml:space="preserve">growth </w:t>
      </w:r>
      <w:r w:rsidR="006A2B69" w:rsidRPr="00BA23EC">
        <w:rPr>
          <w:rFonts w:cstheme="minorHAnsi"/>
          <w:sz w:val="21"/>
          <w:lang w:val="en-AU"/>
        </w:rPr>
        <w:t>was accompanied by a significant decline in p</w:t>
      </w:r>
      <w:r w:rsidR="003E1190" w:rsidRPr="00BA23EC">
        <w:rPr>
          <w:rFonts w:cstheme="minorHAnsi"/>
          <w:sz w:val="21"/>
          <w:lang w:val="en-AU"/>
        </w:rPr>
        <w:t xml:space="preserve">overty rates </w:t>
      </w:r>
      <w:r w:rsidR="00E2243C" w:rsidRPr="00BA23EC">
        <w:rPr>
          <w:rFonts w:cstheme="minorHAnsi"/>
          <w:sz w:val="21"/>
          <w:lang w:val="en-AU"/>
        </w:rPr>
        <w:t>from 19.1 percent in 2000 to 9.8 percent in 2020</w:t>
      </w:r>
      <w:r w:rsidR="006A2B69" w:rsidRPr="00BA23EC">
        <w:rPr>
          <w:rFonts w:cstheme="minorHAnsi"/>
          <w:sz w:val="21"/>
          <w:lang w:val="en-AU"/>
        </w:rPr>
        <w:t xml:space="preserve">. </w:t>
      </w:r>
      <w:r w:rsidR="003B40E5" w:rsidRPr="00BA23EC">
        <w:rPr>
          <w:rFonts w:cstheme="minorHAnsi"/>
          <w:sz w:val="21"/>
          <w:lang w:val="en-AU"/>
        </w:rPr>
        <w:t>In this time</w:t>
      </w:r>
      <w:r w:rsidR="00327678" w:rsidRPr="00BA23EC">
        <w:rPr>
          <w:rFonts w:cstheme="minorHAnsi"/>
          <w:sz w:val="21"/>
          <w:lang w:val="en-AU"/>
        </w:rPr>
        <w:t xml:space="preserve">, </w:t>
      </w:r>
      <w:r w:rsidR="000D4B81" w:rsidRPr="00BA23EC">
        <w:rPr>
          <w:rFonts w:cstheme="minorHAnsi"/>
          <w:sz w:val="21"/>
          <w:lang w:val="en-AU"/>
        </w:rPr>
        <w:t>Indonesia</w:t>
      </w:r>
      <w:r w:rsidR="00327678" w:rsidRPr="00BA23EC">
        <w:rPr>
          <w:rFonts w:cstheme="minorHAnsi"/>
          <w:sz w:val="21"/>
          <w:lang w:val="en-AU"/>
        </w:rPr>
        <w:t xml:space="preserve">’s </w:t>
      </w:r>
      <w:r w:rsidR="000D4B81" w:rsidRPr="00BA23EC">
        <w:rPr>
          <w:rFonts w:cstheme="minorHAnsi"/>
          <w:sz w:val="21"/>
          <w:lang w:val="en-AU"/>
        </w:rPr>
        <w:t xml:space="preserve">health system </w:t>
      </w:r>
      <w:r w:rsidR="00327678" w:rsidRPr="00BA23EC">
        <w:rPr>
          <w:rFonts w:cstheme="minorHAnsi"/>
          <w:sz w:val="21"/>
          <w:lang w:val="en-AU"/>
        </w:rPr>
        <w:t xml:space="preserve">experienced significant </w:t>
      </w:r>
      <w:r w:rsidR="00F06C0D" w:rsidRPr="00BA23EC">
        <w:rPr>
          <w:rFonts w:cstheme="minorHAnsi"/>
          <w:sz w:val="21"/>
          <w:lang w:val="en-AU"/>
        </w:rPr>
        <w:t>changes</w:t>
      </w:r>
      <w:r w:rsidR="00327678" w:rsidRPr="00BA23EC">
        <w:rPr>
          <w:rFonts w:cstheme="minorHAnsi"/>
          <w:sz w:val="21"/>
          <w:lang w:val="en-AU"/>
        </w:rPr>
        <w:t xml:space="preserve"> </w:t>
      </w:r>
      <w:r w:rsidR="00513BC7" w:rsidRPr="00BA23EC">
        <w:rPr>
          <w:rFonts w:cstheme="minorHAnsi"/>
          <w:sz w:val="21"/>
          <w:lang w:val="en-AU"/>
        </w:rPr>
        <w:t xml:space="preserve">which </w:t>
      </w:r>
      <w:r w:rsidR="00F06C0D" w:rsidRPr="00BA23EC">
        <w:rPr>
          <w:rFonts w:cstheme="minorHAnsi"/>
          <w:sz w:val="21"/>
          <w:lang w:val="en-AU"/>
        </w:rPr>
        <w:t>led to improvements in</w:t>
      </w:r>
      <w:r w:rsidR="00513BC7" w:rsidRPr="00BA23EC">
        <w:rPr>
          <w:rFonts w:cstheme="minorHAnsi"/>
          <w:sz w:val="21"/>
          <w:lang w:val="en-AU"/>
        </w:rPr>
        <w:t xml:space="preserve"> certain </w:t>
      </w:r>
      <w:r w:rsidR="000D4B81" w:rsidRPr="00BA23EC">
        <w:rPr>
          <w:rFonts w:cstheme="minorHAnsi"/>
          <w:sz w:val="21"/>
          <w:lang w:val="en-AU"/>
        </w:rPr>
        <w:t>health</w:t>
      </w:r>
      <w:r w:rsidR="00A46B31" w:rsidRPr="00BA23EC">
        <w:rPr>
          <w:rFonts w:cstheme="minorHAnsi"/>
          <w:sz w:val="21"/>
          <w:lang w:val="en-AU"/>
        </w:rPr>
        <w:t xml:space="preserve"> outcomes including </w:t>
      </w:r>
      <w:r w:rsidR="00B3450A" w:rsidRPr="00BA23EC">
        <w:rPr>
          <w:rFonts w:cstheme="minorHAnsi"/>
          <w:sz w:val="21"/>
          <w:lang w:val="en-AU"/>
        </w:rPr>
        <w:t xml:space="preserve">significant </w:t>
      </w:r>
      <w:r w:rsidR="00A46B31" w:rsidRPr="00BA23EC">
        <w:rPr>
          <w:rFonts w:cstheme="minorHAnsi"/>
          <w:sz w:val="21"/>
          <w:lang w:val="en-AU"/>
        </w:rPr>
        <w:t xml:space="preserve">rises in life expectancy, reductions in child stunting and </w:t>
      </w:r>
      <w:r w:rsidR="00340575" w:rsidRPr="00BA23EC">
        <w:rPr>
          <w:rFonts w:cstheme="minorHAnsi"/>
          <w:sz w:val="21"/>
          <w:lang w:val="en-AU"/>
        </w:rPr>
        <w:t xml:space="preserve">infant mortality rates, and </w:t>
      </w:r>
      <w:r w:rsidR="00DE4CEE" w:rsidRPr="00BA23EC">
        <w:rPr>
          <w:rFonts w:cstheme="minorHAnsi"/>
          <w:sz w:val="21"/>
          <w:lang w:val="en-AU"/>
        </w:rPr>
        <w:t xml:space="preserve">notable progress towards </w:t>
      </w:r>
      <w:r w:rsidR="00F06C0D" w:rsidRPr="00BA23EC">
        <w:rPr>
          <w:rFonts w:cstheme="minorHAnsi"/>
          <w:sz w:val="21"/>
          <w:lang w:val="en-AU"/>
        </w:rPr>
        <w:t>u</w:t>
      </w:r>
      <w:r w:rsidR="00DE4CEE" w:rsidRPr="00BA23EC">
        <w:rPr>
          <w:rFonts w:cstheme="minorHAnsi"/>
          <w:sz w:val="21"/>
          <w:lang w:val="en-AU"/>
        </w:rPr>
        <w:t xml:space="preserve">niversal </w:t>
      </w:r>
      <w:r w:rsidR="00F06C0D" w:rsidRPr="00BA23EC">
        <w:rPr>
          <w:rFonts w:cstheme="minorHAnsi"/>
          <w:sz w:val="21"/>
          <w:lang w:val="en-AU"/>
        </w:rPr>
        <w:t>h</w:t>
      </w:r>
      <w:r w:rsidR="00DE4CEE" w:rsidRPr="00BA23EC">
        <w:rPr>
          <w:rFonts w:cstheme="minorHAnsi"/>
          <w:sz w:val="21"/>
          <w:lang w:val="en-AU"/>
        </w:rPr>
        <w:t xml:space="preserve">ealth </w:t>
      </w:r>
      <w:r w:rsidR="00F06C0D" w:rsidRPr="00BA23EC">
        <w:rPr>
          <w:rFonts w:cstheme="minorHAnsi"/>
          <w:sz w:val="21"/>
          <w:lang w:val="en-AU"/>
        </w:rPr>
        <w:t>c</w:t>
      </w:r>
      <w:r w:rsidR="00DE4CEE" w:rsidRPr="00BA23EC">
        <w:rPr>
          <w:rFonts w:cstheme="minorHAnsi"/>
          <w:sz w:val="21"/>
          <w:lang w:val="en-AU"/>
        </w:rPr>
        <w:t xml:space="preserve">overage. </w:t>
      </w:r>
    </w:p>
    <w:p w14:paraId="5518C7C8" w14:textId="50DBE858" w:rsidR="00A52A72" w:rsidRPr="00BA23EC" w:rsidRDefault="0065309E" w:rsidP="00F81159">
      <w:pPr>
        <w:jc w:val="both"/>
        <w:rPr>
          <w:rFonts w:cstheme="minorHAnsi"/>
          <w:sz w:val="21"/>
          <w:lang w:val="en-AU"/>
        </w:rPr>
      </w:pPr>
      <w:r w:rsidRPr="00BA23EC">
        <w:rPr>
          <w:rFonts w:cstheme="minorHAnsi"/>
          <w:sz w:val="21"/>
          <w:lang w:val="en-AU"/>
        </w:rPr>
        <w:t>Despite these advances</w:t>
      </w:r>
      <w:r w:rsidR="00AE2F8D" w:rsidRPr="00BA23EC">
        <w:rPr>
          <w:rFonts w:cstheme="minorHAnsi"/>
          <w:sz w:val="21"/>
          <w:lang w:val="en-AU"/>
        </w:rPr>
        <w:t xml:space="preserve">, </w:t>
      </w:r>
      <w:r w:rsidR="009931FD" w:rsidRPr="00BA23EC">
        <w:rPr>
          <w:rFonts w:cstheme="minorHAnsi"/>
          <w:sz w:val="21"/>
          <w:lang w:val="en-AU"/>
        </w:rPr>
        <w:t>significant challenges remain</w:t>
      </w:r>
      <w:r w:rsidR="0072024C" w:rsidRPr="00BA23EC">
        <w:rPr>
          <w:rFonts w:cstheme="minorHAnsi"/>
          <w:sz w:val="21"/>
          <w:lang w:val="en-AU"/>
        </w:rPr>
        <w:t xml:space="preserve">. </w:t>
      </w:r>
      <w:r w:rsidR="00652E04" w:rsidRPr="00BA23EC">
        <w:rPr>
          <w:rFonts w:cstheme="minorHAnsi"/>
          <w:sz w:val="21"/>
          <w:lang w:val="en-AU"/>
        </w:rPr>
        <w:t>Health outcomes in relation to ma</w:t>
      </w:r>
      <w:r w:rsidR="00FA3BDA" w:rsidRPr="00BA23EC">
        <w:rPr>
          <w:rFonts w:cstheme="minorHAnsi"/>
          <w:sz w:val="21"/>
          <w:lang w:val="en-AU"/>
        </w:rPr>
        <w:t xml:space="preserve">ternal and child health, nutrition and communicable diseases </w:t>
      </w:r>
      <w:r w:rsidR="00092330" w:rsidRPr="00BA23EC">
        <w:rPr>
          <w:rFonts w:cstheme="minorHAnsi"/>
          <w:sz w:val="21"/>
          <w:lang w:val="en-AU"/>
        </w:rPr>
        <w:t xml:space="preserve">have continued to </w:t>
      </w:r>
      <w:r w:rsidR="003F3C4D" w:rsidRPr="00BA23EC">
        <w:rPr>
          <w:rFonts w:cstheme="minorHAnsi"/>
          <w:sz w:val="21"/>
          <w:lang w:val="en-AU"/>
        </w:rPr>
        <w:t xml:space="preserve">lag well behind comparable </w:t>
      </w:r>
      <w:r w:rsidR="00AB3989" w:rsidRPr="00BA23EC">
        <w:rPr>
          <w:rFonts w:cstheme="minorHAnsi"/>
          <w:sz w:val="21"/>
          <w:lang w:val="en-AU"/>
        </w:rPr>
        <w:t>middle-income</w:t>
      </w:r>
      <w:r w:rsidR="003F3C4D" w:rsidRPr="00BA23EC">
        <w:rPr>
          <w:rFonts w:cstheme="minorHAnsi"/>
          <w:sz w:val="21"/>
          <w:lang w:val="en-AU"/>
        </w:rPr>
        <w:t xml:space="preserve"> countries</w:t>
      </w:r>
      <w:r w:rsidR="00E05D68" w:rsidRPr="00BA23EC">
        <w:rPr>
          <w:rFonts w:cstheme="minorHAnsi"/>
          <w:sz w:val="21"/>
          <w:lang w:val="en-AU"/>
        </w:rPr>
        <w:t xml:space="preserve">. </w:t>
      </w:r>
      <w:r w:rsidR="009931FD" w:rsidRPr="00BA23EC">
        <w:rPr>
          <w:rFonts w:cstheme="minorHAnsi"/>
          <w:sz w:val="21"/>
          <w:lang w:val="en-AU"/>
        </w:rPr>
        <w:t xml:space="preserve">Meanwhile, </w:t>
      </w:r>
      <w:r w:rsidR="002548B9" w:rsidRPr="00BA23EC">
        <w:rPr>
          <w:rFonts w:cstheme="minorHAnsi"/>
          <w:sz w:val="21"/>
          <w:lang w:val="en-AU"/>
        </w:rPr>
        <w:t xml:space="preserve">the growing trend </w:t>
      </w:r>
      <w:r w:rsidR="00E86C14" w:rsidRPr="00BA23EC">
        <w:rPr>
          <w:rFonts w:cstheme="minorHAnsi"/>
          <w:sz w:val="21"/>
          <w:lang w:val="en-AU"/>
        </w:rPr>
        <w:t xml:space="preserve">of </w:t>
      </w:r>
      <w:r w:rsidR="00FA3BDA" w:rsidRPr="00BA23EC">
        <w:rPr>
          <w:rFonts w:cstheme="minorHAnsi"/>
          <w:sz w:val="21"/>
          <w:lang w:val="en-AU"/>
        </w:rPr>
        <w:t xml:space="preserve">non-communicable and chronic diseases </w:t>
      </w:r>
      <w:r w:rsidR="002548B9" w:rsidRPr="00BA23EC">
        <w:rPr>
          <w:rFonts w:cstheme="minorHAnsi"/>
          <w:sz w:val="21"/>
          <w:lang w:val="en-AU"/>
        </w:rPr>
        <w:t xml:space="preserve">now accounts </w:t>
      </w:r>
      <w:r w:rsidR="00780FF1" w:rsidRPr="00BA23EC">
        <w:rPr>
          <w:rFonts w:cstheme="minorHAnsi"/>
          <w:sz w:val="21"/>
          <w:lang w:val="en-AU"/>
        </w:rPr>
        <w:t>for 76</w:t>
      </w:r>
      <w:r w:rsidR="003C1B51">
        <w:rPr>
          <w:rFonts w:cstheme="minorHAnsi"/>
          <w:sz w:val="21"/>
          <w:lang w:val="en-AU"/>
        </w:rPr>
        <w:t xml:space="preserve"> </w:t>
      </w:r>
      <w:r w:rsidR="00E70D30">
        <w:rPr>
          <w:rFonts w:cstheme="minorHAnsi"/>
          <w:sz w:val="21"/>
          <w:lang w:val="en-AU"/>
        </w:rPr>
        <w:t>percent</w:t>
      </w:r>
      <w:r w:rsidR="00780FF1" w:rsidRPr="00BA23EC">
        <w:rPr>
          <w:rFonts w:cstheme="minorHAnsi"/>
          <w:sz w:val="21"/>
          <w:lang w:val="en-AU"/>
        </w:rPr>
        <w:t xml:space="preserve"> </w:t>
      </w:r>
      <w:r w:rsidR="0034620A" w:rsidRPr="00BA23EC">
        <w:rPr>
          <w:rFonts w:cstheme="minorHAnsi"/>
          <w:sz w:val="21"/>
          <w:lang w:val="en-AU"/>
        </w:rPr>
        <w:t xml:space="preserve">of all deaths in Indonesia </w:t>
      </w:r>
      <w:r w:rsidR="002548B9" w:rsidRPr="00BA23EC">
        <w:rPr>
          <w:rFonts w:cstheme="minorHAnsi"/>
          <w:sz w:val="21"/>
          <w:lang w:val="en-AU"/>
        </w:rPr>
        <w:t>(</w:t>
      </w:r>
      <w:r w:rsidR="0034620A" w:rsidRPr="00BA23EC">
        <w:rPr>
          <w:rFonts w:cstheme="minorHAnsi"/>
          <w:sz w:val="21"/>
          <w:lang w:val="en-AU"/>
        </w:rPr>
        <w:t>2019</w:t>
      </w:r>
      <w:r w:rsidR="002548B9" w:rsidRPr="00BA23EC">
        <w:rPr>
          <w:rFonts w:cstheme="minorHAnsi"/>
          <w:sz w:val="21"/>
          <w:lang w:val="en-AU"/>
        </w:rPr>
        <w:t>)</w:t>
      </w:r>
      <w:r w:rsidR="0034620A" w:rsidRPr="00BA23EC">
        <w:rPr>
          <w:rFonts w:cstheme="minorHAnsi"/>
          <w:sz w:val="21"/>
          <w:lang w:val="en-AU"/>
        </w:rPr>
        <w:t>.</w:t>
      </w:r>
      <w:r w:rsidR="008175E5" w:rsidRPr="00BA23EC">
        <w:rPr>
          <w:rFonts w:cstheme="minorHAnsi"/>
          <w:sz w:val="21"/>
          <w:lang w:val="en-AU"/>
        </w:rPr>
        <w:t xml:space="preserve">  </w:t>
      </w:r>
      <w:r w:rsidR="00A22694" w:rsidRPr="00BA23EC">
        <w:rPr>
          <w:rFonts w:cstheme="minorHAnsi"/>
          <w:sz w:val="21"/>
          <w:lang w:val="en-AU"/>
        </w:rPr>
        <w:t>T</w:t>
      </w:r>
      <w:r w:rsidR="001C4270" w:rsidRPr="00BA23EC">
        <w:rPr>
          <w:rFonts w:cstheme="minorHAnsi"/>
          <w:sz w:val="21"/>
          <w:lang w:val="en-AU"/>
        </w:rPr>
        <w:t xml:space="preserve">his epidemiologic transition has </w:t>
      </w:r>
      <w:r w:rsidR="003E4D0C" w:rsidRPr="00BA23EC">
        <w:rPr>
          <w:rFonts w:cstheme="minorHAnsi"/>
          <w:sz w:val="21"/>
          <w:lang w:val="en-AU"/>
        </w:rPr>
        <w:t>placed</w:t>
      </w:r>
      <w:r w:rsidR="001C4270" w:rsidRPr="00BA23EC">
        <w:rPr>
          <w:rFonts w:cstheme="minorHAnsi"/>
          <w:sz w:val="21"/>
          <w:lang w:val="en-AU"/>
        </w:rPr>
        <w:t xml:space="preserve"> a double burden </w:t>
      </w:r>
      <w:r w:rsidR="003E4D0C" w:rsidRPr="00BA23EC">
        <w:rPr>
          <w:rFonts w:cstheme="minorHAnsi"/>
          <w:sz w:val="21"/>
          <w:lang w:val="en-AU"/>
        </w:rPr>
        <w:t>on</w:t>
      </w:r>
      <w:r w:rsidR="001C4270" w:rsidRPr="00BA23EC">
        <w:rPr>
          <w:rFonts w:cstheme="minorHAnsi"/>
          <w:sz w:val="21"/>
          <w:lang w:val="en-AU"/>
        </w:rPr>
        <w:t xml:space="preserve"> Indonesia’s health expenditure which increased by 222</w:t>
      </w:r>
      <w:r w:rsidR="003C1B51">
        <w:rPr>
          <w:rFonts w:cstheme="minorHAnsi"/>
          <w:sz w:val="21"/>
          <w:lang w:val="en-AU"/>
        </w:rPr>
        <w:t xml:space="preserve"> </w:t>
      </w:r>
      <w:r w:rsidR="00E70D30">
        <w:rPr>
          <w:rFonts w:cstheme="minorHAnsi"/>
          <w:sz w:val="21"/>
          <w:lang w:val="en-AU"/>
        </w:rPr>
        <w:t>percent</w:t>
      </w:r>
      <w:r w:rsidR="001C4270" w:rsidRPr="00BA23EC">
        <w:rPr>
          <w:rFonts w:cstheme="minorHAnsi"/>
          <w:sz w:val="21"/>
          <w:lang w:val="en-AU"/>
        </w:rPr>
        <w:t xml:space="preserve"> from 2009 to 2017</w:t>
      </w:r>
      <w:r w:rsidR="00A22694" w:rsidRPr="00BA23EC">
        <w:rPr>
          <w:rFonts w:cstheme="minorHAnsi"/>
          <w:sz w:val="21"/>
          <w:lang w:val="en-AU"/>
        </w:rPr>
        <w:t xml:space="preserve">. </w:t>
      </w:r>
      <w:r w:rsidR="00FE02B9" w:rsidRPr="00BA23EC">
        <w:rPr>
          <w:rFonts w:cstheme="minorHAnsi"/>
          <w:sz w:val="21"/>
          <w:lang w:val="en-AU"/>
        </w:rPr>
        <w:t>G</w:t>
      </w:r>
      <w:r w:rsidR="006A2B69" w:rsidRPr="00BA23EC">
        <w:rPr>
          <w:rFonts w:cstheme="minorHAnsi"/>
          <w:sz w:val="21"/>
          <w:lang w:val="en-AU"/>
        </w:rPr>
        <w:t xml:space="preserve">overnment </w:t>
      </w:r>
      <w:r w:rsidR="00C11ABE" w:rsidRPr="00BA23EC">
        <w:rPr>
          <w:rFonts w:cstheme="minorHAnsi"/>
          <w:sz w:val="21"/>
          <w:lang w:val="en-AU"/>
        </w:rPr>
        <w:t>investment in the health system</w:t>
      </w:r>
      <w:r w:rsidR="00FE02B9" w:rsidRPr="00BA23EC">
        <w:rPr>
          <w:rFonts w:cstheme="minorHAnsi"/>
          <w:sz w:val="21"/>
          <w:lang w:val="en-AU"/>
        </w:rPr>
        <w:t xml:space="preserve">, however, </w:t>
      </w:r>
      <w:r w:rsidR="00C11ABE" w:rsidRPr="00BA23EC">
        <w:rPr>
          <w:rFonts w:cstheme="minorHAnsi"/>
          <w:sz w:val="21"/>
          <w:lang w:val="en-AU"/>
        </w:rPr>
        <w:t xml:space="preserve">has </w:t>
      </w:r>
      <w:r w:rsidR="00167B82" w:rsidRPr="00BA23EC">
        <w:rPr>
          <w:rFonts w:cstheme="minorHAnsi"/>
          <w:sz w:val="21"/>
          <w:lang w:val="en-AU"/>
        </w:rPr>
        <w:t xml:space="preserve">been </w:t>
      </w:r>
      <w:r w:rsidR="00FE02B9" w:rsidRPr="00BA23EC">
        <w:rPr>
          <w:rFonts w:cstheme="minorHAnsi"/>
          <w:sz w:val="21"/>
          <w:lang w:val="en-AU"/>
        </w:rPr>
        <w:t xml:space="preserve">low </w:t>
      </w:r>
      <w:r w:rsidR="005A43ED" w:rsidRPr="00BA23EC">
        <w:rPr>
          <w:rFonts w:cstheme="minorHAnsi"/>
          <w:sz w:val="21"/>
          <w:lang w:val="en-AU"/>
        </w:rPr>
        <w:t>relative to</w:t>
      </w:r>
      <w:r w:rsidR="00732CFC" w:rsidRPr="00BA23EC">
        <w:rPr>
          <w:rFonts w:cstheme="minorHAnsi"/>
          <w:sz w:val="21"/>
          <w:lang w:val="en-AU"/>
        </w:rPr>
        <w:t xml:space="preserve"> the country’s</w:t>
      </w:r>
      <w:r w:rsidR="005A43ED" w:rsidRPr="00BA23EC">
        <w:rPr>
          <w:rFonts w:cstheme="minorHAnsi"/>
          <w:sz w:val="21"/>
          <w:lang w:val="en-AU"/>
        </w:rPr>
        <w:t xml:space="preserve"> income level</w:t>
      </w:r>
      <w:r w:rsidR="001B2FF1" w:rsidRPr="00BA23EC">
        <w:rPr>
          <w:rFonts w:cstheme="minorHAnsi"/>
          <w:sz w:val="21"/>
          <w:lang w:val="en-AU"/>
        </w:rPr>
        <w:t xml:space="preserve"> (2.9</w:t>
      </w:r>
      <w:r w:rsidR="003C1B51">
        <w:rPr>
          <w:rFonts w:cstheme="minorHAnsi"/>
          <w:sz w:val="21"/>
          <w:lang w:val="en-AU"/>
        </w:rPr>
        <w:t xml:space="preserve"> </w:t>
      </w:r>
      <w:r w:rsidR="00E70D30">
        <w:rPr>
          <w:rFonts w:cstheme="minorHAnsi"/>
          <w:sz w:val="21"/>
          <w:lang w:val="en-AU"/>
        </w:rPr>
        <w:t>percent</w:t>
      </w:r>
      <w:r w:rsidR="001B2FF1" w:rsidRPr="00BA23EC">
        <w:rPr>
          <w:rFonts w:cstheme="minorHAnsi"/>
          <w:sz w:val="21"/>
          <w:lang w:val="en-AU"/>
        </w:rPr>
        <w:t xml:space="preserve"> of GDP in 2019)</w:t>
      </w:r>
      <w:r w:rsidR="001B2FF1" w:rsidRPr="00BA23EC">
        <w:rPr>
          <w:rStyle w:val="FootnoteReference"/>
          <w:rFonts w:cstheme="minorHAnsi"/>
          <w:sz w:val="21"/>
          <w:lang w:val="en-AU"/>
        </w:rPr>
        <w:footnoteReference w:id="6"/>
      </w:r>
      <w:r w:rsidR="00D738F0" w:rsidRPr="00BA23EC">
        <w:rPr>
          <w:rFonts w:cstheme="minorHAnsi"/>
          <w:sz w:val="21"/>
          <w:lang w:val="en-AU"/>
        </w:rPr>
        <w:t>.</w:t>
      </w:r>
      <w:r w:rsidR="00F52272" w:rsidRPr="00BA23EC">
        <w:rPr>
          <w:rFonts w:cstheme="minorHAnsi"/>
          <w:sz w:val="21"/>
          <w:lang w:val="en-AU"/>
        </w:rPr>
        <w:t xml:space="preserve"> </w:t>
      </w:r>
      <w:r w:rsidR="005A058A" w:rsidRPr="00BA23EC">
        <w:rPr>
          <w:rFonts w:cstheme="minorHAnsi"/>
          <w:sz w:val="21"/>
          <w:lang w:val="en-AU"/>
        </w:rPr>
        <w:t xml:space="preserve">This underinvestment has led </w:t>
      </w:r>
      <w:r w:rsidR="003F1D6C" w:rsidRPr="00BA23EC">
        <w:rPr>
          <w:rFonts w:cstheme="minorHAnsi"/>
          <w:sz w:val="21"/>
          <w:lang w:val="en-AU"/>
        </w:rPr>
        <w:t xml:space="preserve">to limitations in </w:t>
      </w:r>
      <w:r w:rsidR="00F52272" w:rsidRPr="00BA23EC">
        <w:rPr>
          <w:rFonts w:cstheme="minorHAnsi"/>
          <w:sz w:val="21"/>
          <w:lang w:val="en-AU"/>
        </w:rPr>
        <w:t>s</w:t>
      </w:r>
      <w:r w:rsidR="005D0E8C" w:rsidRPr="00BA23EC">
        <w:rPr>
          <w:rFonts w:cstheme="minorHAnsi"/>
          <w:sz w:val="21"/>
          <w:lang w:val="en-AU"/>
        </w:rPr>
        <w:t xml:space="preserve">ervice delivery </w:t>
      </w:r>
      <w:r w:rsidR="003F1D6C" w:rsidRPr="00BA23EC">
        <w:rPr>
          <w:rFonts w:cstheme="minorHAnsi"/>
          <w:sz w:val="21"/>
          <w:lang w:val="en-AU"/>
        </w:rPr>
        <w:t>capacity</w:t>
      </w:r>
      <w:r w:rsidR="00CD1042" w:rsidRPr="00BA23EC">
        <w:rPr>
          <w:rFonts w:cstheme="minorHAnsi"/>
          <w:sz w:val="21"/>
          <w:lang w:val="en-AU"/>
        </w:rPr>
        <w:t xml:space="preserve"> </w:t>
      </w:r>
      <w:r w:rsidR="00FE02B9" w:rsidRPr="00BA23EC">
        <w:rPr>
          <w:rFonts w:cstheme="minorHAnsi"/>
          <w:sz w:val="21"/>
          <w:lang w:val="en-AU"/>
        </w:rPr>
        <w:t>with</w:t>
      </w:r>
      <w:r w:rsidR="005D0E8C" w:rsidRPr="00BA23EC">
        <w:rPr>
          <w:rFonts w:cstheme="minorHAnsi"/>
          <w:sz w:val="21"/>
          <w:lang w:val="en-AU"/>
        </w:rPr>
        <w:t xml:space="preserve"> </w:t>
      </w:r>
      <w:r w:rsidR="00C11ABE" w:rsidRPr="00BA23EC">
        <w:rPr>
          <w:rFonts w:cstheme="minorHAnsi"/>
          <w:sz w:val="21"/>
          <w:lang w:val="en-AU"/>
        </w:rPr>
        <w:t xml:space="preserve">insufficient </w:t>
      </w:r>
      <w:r w:rsidR="003F1D6C" w:rsidRPr="00BA23EC">
        <w:rPr>
          <w:rFonts w:cstheme="minorHAnsi"/>
          <w:sz w:val="21"/>
          <w:lang w:val="en-AU"/>
        </w:rPr>
        <w:t>infrastructure</w:t>
      </w:r>
      <w:r w:rsidR="00C11ABE" w:rsidRPr="00BA23EC">
        <w:rPr>
          <w:rFonts w:cstheme="minorHAnsi"/>
          <w:sz w:val="21"/>
          <w:lang w:val="en-AU"/>
        </w:rPr>
        <w:t xml:space="preserve"> and </w:t>
      </w:r>
      <w:r w:rsidR="007D1980" w:rsidRPr="00BA23EC">
        <w:rPr>
          <w:rFonts w:cstheme="minorHAnsi"/>
          <w:sz w:val="21"/>
          <w:lang w:val="en-AU"/>
        </w:rPr>
        <w:t xml:space="preserve">human resources </w:t>
      </w:r>
      <w:r w:rsidR="00732CFC" w:rsidRPr="00BA23EC">
        <w:rPr>
          <w:rFonts w:cstheme="minorHAnsi"/>
          <w:sz w:val="21"/>
          <w:lang w:val="en-AU"/>
        </w:rPr>
        <w:t xml:space="preserve">to meet </w:t>
      </w:r>
      <w:r w:rsidR="003F1D6C" w:rsidRPr="00BA23EC">
        <w:rPr>
          <w:rFonts w:cstheme="minorHAnsi"/>
          <w:sz w:val="21"/>
          <w:lang w:val="en-AU"/>
        </w:rPr>
        <w:t>the</w:t>
      </w:r>
      <w:r w:rsidR="00A22694" w:rsidRPr="00BA23EC">
        <w:rPr>
          <w:rFonts w:cstheme="minorHAnsi"/>
          <w:sz w:val="21"/>
          <w:lang w:val="en-AU"/>
        </w:rPr>
        <w:t xml:space="preserve"> growing demand</w:t>
      </w:r>
      <w:r w:rsidR="003F1D6C" w:rsidRPr="00BA23EC">
        <w:rPr>
          <w:rFonts w:cstheme="minorHAnsi"/>
          <w:sz w:val="21"/>
          <w:lang w:val="en-AU"/>
        </w:rPr>
        <w:t xml:space="preserve"> for public health services</w:t>
      </w:r>
      <w:r w:rsidR="002437EF" w:rsidRPr="00BA23EC">
        <w:rPr>
          <w:rFonts w:cstheme="minorHAnsi"/>
          <w:sz w:val="21"/>
          <w:lang w:val="en-AU"/>
        </w:rPr>
        <w:t xml:space="preserve">. </w:t>
      </w:r>
      <w:r w:rsidR="00267554" w:rsidRPr="00BA23EC">
        <w:rPr>
          <w:rFonts w:cstheme="minorHAnsi"/>
          <w:sz w:val="21"/>
          <w:lang w:val="en-AU"/>
        </w:rPr>
        <w:t xml:space="preserve">Deep inequalities </w:t>
      </w:r>
      <w:r w:rsidR="00620341" w:rsidRPr="00BA23EC">
        <w:rPr>
          <w:rFonts w:cstheme="minorHAnsi"/>
          <w:sz w:val="21"/>
          <w:lang w:val="en-AU"/>
        </w:rPr>
        <w:t xml:space="preserve">also persist </w:t>
      </w:r>
      <w:r w:rsidR="00267554" w:rsidRPr="00BA23EC">
        <w:rPr>
          <w:rFonts w:cstheme="minorHAnsi"/>
          <w:sz w:val="21"/>
          <w:lang w:val="en-AU"/>
        </w:rPr>
        <w:t xml:space="preserve">both </w:t>
      </w:r>
      <w:r w:rsidR="00C959A4" w:rsidRPr="00BA23EC">
        <w:rPr>
          <w:rFonts w:cstheme="minorHAnsi"/>
          <w:sz w:val="21"/>
          <w:lang w:val="en-AU"/>
        </w:rPr>
        <w:t xml:space="preserve">in terms of </w:t>
      </w:r>
      <w:r w:rsidR="00267554" w:rsidRPr="00BA23EC">
        <w:rPr>
          <w:rFonts w:cstheme="minorHAnsi"/>
          <w:sz w:val="21"/>
          <w:lang w:val="en-AU"/>
        </w:rPr>
        <w:t xml:space="preserve">health status and access to </w:t>
      </w:r>
      <w:r w:rsidR="0071239E" w:rsidRPr="00BA23EC">
        <w:rPr>
          <w:rFonts w:cstheme="minorHAnsi"/>
          <w:sz w:val="21"/>
          <w:lang w:val="en-AU"/>
        </w:rPr>
        <w:t xml:space="preserve">services across regions, age, gender, sexual orientation, economic status, education level, </w:t>
      </w:r>
      <w:proofErr w:type="gramStart"/>
      <w:r w:rsidR="0071239E" w:rsidRPr="00BA23EC">
        <w:rPr>
          <w:rFonts w:cstheme="minorHAnsi"/>
          <w:sz w:val="21"/>
          <w:lang w:val="en-AU"/>
        </w:rPr>
        <w:t>employment</w:t>
      </w:r>
      <w:proofErr w:type="gramEnd"/>
      <w:r w:rsidR="0071239E" w:rsidRPr="00BA23EC">
        <w:rPr>
          <w:rFonts w:cstheme="minorHAnsi"/>
          <w:sz w:val="21"/>
          <w:lang w:val="en-AU"/>
        </w:rPr>
        <w:t xml:space="preserve"> and the presence of a disability. </w:t>
      </w:r>
      <w:r w:rsidR="00C959A4" w:rsidRPr="00BA23EC">
        <w:rPr>
          <w:rFonts w:cstheme="minorHAnsi"/>
          <w:sz w:val="21"/>
          <w:lang w:val="en-AU"/>
        </w:rPr>
        <w:t>While the system has under</w:t>
      </w:r>
      <w:r w:rsidR="00FA2A34" w:rsidRPr="00BA23EC">
        <w:rPr>
          <w:rFonts w:cstheme="minorHAnsi"/>
          <w:sz w:val="21"/>
          <w:lang w:val="en-AU"/>
        </w:rPr>
        <w:t xml:space="preserve">gone reforms including efforts to improve the quality of health workers in 2013, and the introduction of universal health care in 2014, </w:t>
      </w:r>
      <w:r w:rsidR="006966C6" w:rsidRPr="00BA23EC">
        <w:rPr>
          <w:rFonts w:cstheme="minorHAnsi"/>
          <w:sz w:val="21"/>
          <w:lang w:val="en-AU"/>
        </w:rPr>
        <w:t>the</w:t>
      </w:r>
      <w:r w:rsidR="00DD69F9" w:rsidRPr="00BA23EC">
        <w:rPr>
          <w:rFonts w:cstheme="minorHAnsi"/>
          <w:sz w:val="21"/>
          <w:lang w:val="en-AU"/>
        </w:rPr>
        <w:t xml:space="preserve">re has been </w:t>
      </w:r>
      <w:r w:rsidR="00F7700D" w:rsidRPr="00BA23EC">
        <w:rPr>
          <w:rFonts w:cstheme="minorHAnsi"/>
          <w:sz w:val="21"/>
          <w:lang w:val="en-AU"/>
        </w:rPr>
        <w:t xml:space="preserve">consistent </w:t>
      </w:r>
      <w:r w:rsidR="00FA2A34" w:rsidRPr="00BA23EC">
        <w:rPr>
          <w:rFonts w:cstheme="minorHAnsi"/>
          <w:sz w:val="21"/>
          <w:szCs w:val="21"/>
          <w:lang w:val="en-AU"/>
        </w:rPr>
        <w:t>call</w:t>
      </w:r>
      <w:r w:rsidR="00D7149D" w:rsidRPr="00BA23EC">
        <w:rPr>
          <w:rFonts w:cstheme="minorHAnsi"/>
          <w:sz w:val="21"/>
          <w:szCs w:val="21"/>
          <w:lang w:val="en-AU"/>
        </w:rPr>
        <w:t>s</w:t>
      </w:r>
      <w:r w:rsidR="00FA2A34" w:rsidRPr="00BA23EC">
        <w:rPr>
          <w:rFonts w:cstheme="minorHAnsi"/>
          <w:sz w:val="21"/>
          <w:lang w:val="en-AU"/>
        </w:rPr>
        <w:t xml:space="preserve"> for systemic reform</w:t>
      </w:r>
      <w:r w:rsidR="00CD798D" w:rsidRPr="00BA23EC">
        <w:rPr>
          <w:rFonts w:cstheme="minorHAnsi"/>
          <w:sz w:val="21"/>
          <w:lang w:val="en-AU"/>
        </w:rPr>
        <w:t xml:space="preserve"> </w:t>
      </w:r>
      <w:r w:rsidR="00FA2A34" w:rsidRPr="00BA23EC">
        <w:rPr>
          <w:rFonts w:cstheme="minorHAnsi"/>
          <w:sz w:val="21"/>
          <w:lang w:val="en-AU"/>
        </w:rPr>
        <w:t>to address the challenges posed by the country’s changing demographic and epidemiological landscape</w:t>
      </w:r>
      <w:r w:rsidR="00E127F8" w:rsidRPr="00BA23EC">
        <w:rPr>
          <w:rFonts w:cstheme="minorHAnsi"/>
          <w:sz w:val="21"/>
          <w:lang w:val="en-AU"/>
        </w:rPr>
        <w:t>.</w:t>
      </w:r>
    </w:p>
    <w:p w14:paraId="398A0A55" w14:textId="6F66976A" w:rsidR="00A63F15" w:rsidRPr="00BA23EC" w:rsidRDefault="0032191C" w:rsidP="00FB38A1">
      <w:pPr>
        <w:jc w:val="both"/>
        <w:rPr>
          <w:rFonts w:cstheme="minorHAnsi"/>
          <w:sz w:val="21"/>
          <w:lang w:val="en-AU"/>
        </w:rPr>
      </w:pPr>
      <w:r w:rsidRPr="00BA23EC">
        <w:rPr>
          <w:rFonts w:cstheme="minorHAnsi"/>
          <w:b/>
          <w:sz w:val="21"/>
          <w:lang w:val="en-AU"/>
        </w:rPr>
        <w:t xml:space="preserve">The devastating impact of the COVID-19 pandemic </w:t>
      </w:r>
      <w:r w:rsidR="004F2D5A" w:rsidRPr="00BA23EC">
        <w:rPr>
          <w:rFonts w:cstheme="minorHAnsi"/>
          <w:b/>
          <w:sz w:val="21"/>
          <w:lang w:val="en-AU"/>
        </w:rPr>
        <w:t xml:space="preserve">reversed many of the significant </w:t>
      </w:r>
      <w:r w:rsidR="001A7963" w:rsidRPr="00BA23EC">
        <w:rPr>
          <w:rFonts w:cstheme="minorHAnsi"/>
          <w:b/>
          <w:sz w:val="21"/>
          <w:lang w:val="en-AU"/>
        </w:rPr>
        <w:t xml:space="preserve">health </w:t>
      </w:r>
      <w:r w:rsidR="004F2D5A" w:rsidRPr="00BA23EC">
        <w:rPr>
          <w:rFonts w:cstheme="minorHAnsi"/>
          <w:b/>
          <w:sz w:val="21"/>
          <w:lang w:val="en-AU"/>
        </w:rPr>
        <w:t xml:space="preserve">gains </w:t>
      </w:r>
      <w:r w:rsidR="001A7963" w:rsidRPr="00BA23EC">
        <w:rPr>
          <w:rFonts w:cstheme="minorHAnsi"/>
          <w:b/>
          <w:sz w:val="21"/>
          <w:lang w:val="en-AU"/>
        </w:rPr>
        <w:t>in Indonesia</w:t>
      </w:r>
      <w:r w:rsidR="004F2D5A" w:rsidRPr="00BA23EC">
        <w:rPr>
          <w:rFonts w:cstheme="minorHAnsi"/>
          <w:sz w:val="21"/>
          <w:lang w:val="en-AU"/>
        </w:rPr>
        <w:t xml:space="preserve"> and </w:t>
      </w:r>
      <w:r w:rsidR="007D07A6" w:rsidRPr="00BA23EC">
        <w:rPr>
          <w:rFonts w:cstheme="minorHAnsi"/>
          <w:sz w:val="21"/>
          <w:lang w:val="en-AU"/>
        </w:rPr>
        <w:t xml:space="preserve">further </w:t>
      </w:r>
      <w:r w:rsidRPr="00BA23EC">
        <w:rPr>
          <w:rFonts w:cstheme="minorHAnsi"/>
          <w:sz w:val="21"/>
          <w:lang w:val="en-AU"/>
        </w:rPr>
        <w:t xml:space="preserve">exposed the </w:t>
      </w:r>
      <w:r w:rsidR="00244F51" w:rsidRPr="00BA23EC">
        <w:rPr>
          <w:rFonts w:cstheme="minorHAnsi"/>
          <w:sz w:val="21"/>
          <w:lang w:val="en-AU"/>
        </w:rPr>
        <w:t>significant gaps in the system</w:t>
      </w:r>
      <w:r w:rsidRPr="00BA23EC">
        <w:rPr>
          <w:rFonts w:cstheme="minorHAnsi"/>
          <w:sz w:val="21"/>
          <w:lang w:val="en-AU"/>
        </w:rPr>
        <w:t xml:space="preserve">, </w:t>
      </w:r>
      <w:r w:rsidR="007D07A6" w:rsidRPr="00BA23EC">
        <w:rPr>
          <w:rFonts w:cstheme="minorHAnsi"/>
          <w:sz w:val="21"/>
          <w:lang w:val="en-AU"/>
        </w:rPr>
        <w:t>partic</w:t>
      </w:r>
      <w:r w:rsidR="002212B1" w:rsidRPr="00BA23EC">
        <w:rPr>
          <w:rFonts w:cstheme="minorHAnsi"/>
          <w:sz w:val="21"/>
          <w:lang w:val="en-AU"/>
        </w:rPr>
        <w:t>ularly in the</w:t>
      </w:r>
      <w:r w:rsidRPr="00BA23EC">
        <w:rPr>
          <w:rFonts w:cstheme="minorHAnsi"/>
          <w:sz w:val="21"/>
          <w:lang w:val="en-AU"/>
        </w:rPr>
        <w:t xml:space="preserve"> primary care setting</w:t>
      </w:r>
      <w:r w:rsidR="002212B1" w:rsidRPr="00BA23EC">
        <w:rPr>
          <w:rFonts w:cstheme="minorHAnsi"/>
          <w:sz w:val="21"/>
          <w:lang w:val="en-AU"/>
        </w:rPr>
        <w:t xml:space="preserve"> </w:t>
      </w:r>
      <w:r w:rsidR="00D7149D" w:rsidRPr="00BA23EC">
        <w:rPr>
          <w:rFonts w:cstheme="minorHAnsi"/>
          <w:sz w:val="21"/>
          <w:szCs w:val="21"/>
          <w:lang w:val="en-AU"/>
        </w:rPr>
        <w:t xml:space="preserve">that was </w:t>
      </w:r>
      <w:r w:rsidR="002212B1" w:rsidRPr="00BA23EC">
        <w:rPr>
          <w:rFonts w:cstheme="minorHAnsi"/>
          <w:sz w:val="21"/>
          <w:lang w:val="en-AU"/>
        </w:rPr>
        <w:t xml:space="preserve">impacted by </w:t>
      </w:r>
      <w:r w:rsidRPr="00BA23EC">
        <w:rPr>
          <w:rFonts w:cstheme="minorHAnsi"/>
          <w:sz w:val="21"/>
          <w:lang w:val="en-AU"/>
        </w:rPr>
        <w:t>weakness</w:t>
      </w:r>
      <w:r w:rsidR="002212B1" w:rsidRPr="00BA23EC">
        <w:rPr>
          <w:rFonts w:cstheme="minorHAnsi"/>
          <w:sz w:val="21"/>
          <w:lang w:val="en-AU"/>
        </w:rPr>
        <w:t>es in</w:t>
      </w:r>
      <w:r w:rsidRPr="00BA23EC">
        <w:rPr>
          <w:rFonts w:cstheme="minorHAnsi"/>
          <w:sz w:val="21"/>
          <w:lang w:val="en-AU"/>
        </w:rPr>
        <w:t xml:space="preserve"> the patient referral system, </w:t>
      </w:r>
      <w:r w:rsidR="002212B1" w:rsidRPr="00BA23EC">
        <w:rPr>
          <w:rFonts w:cstheme="minorHAnsi"/>
          <w:sz w:val="21"/>
          <w:lang w:val="en-AU"/>
        </w:rPr>
        <w:t xml:space="preserve">a </w:t>
      </w:r>
      <w:r w:rsidRPr="00BA23EC">
        <w:rPr>
          <w:rFonts w:cstheme="minorHAnsi"/>
          <w:sz w:val="21"/>
          <w:lang w:val="en-AU"/>
        </w:rPr>
        <w:t xml:space="preserve">significant loss of human capital and the fragility of medical supply chains. </w:t>
      </w:r>
      <w:r w:rsidR="00534692" w:rsidRPr="00BA23EC">
        <w:rPr>
          <w:rFonts w:cstheme="minorHAnsi"/>
          <w:sz w:val="21"/>
          <w:lang w:val="en-AU"/>
        </w:rPr>
        <w:t xml:space="preserve">In response to </w:t>
      </w:r>
      <w:r w:rsidR="005402CE" w:rsidRPr="00BA23EC">
        <w:rPr>
          <w:rFonts w:cstheme="minorHAnsi"/>
          <w:sz w:val="21"/>
          <w:lang w:val="en-AU"/>
        </w:rPr>
        <w:t>this</w:t>
      </w:r>
      <w:r w:rsidR="00534692" w:rsidRPr="00BA23EC">
        <w:rPr>
          <w:rFonts w:cstheme="minorHAnsi"/>
          <w:sz w:val="21"/>
          <w:lang w:val="en-AU"/>
        </w:rPr>
        <w:t xml:space="preserve">, President Joko Widodo has mandated a </w:t>
      </w:r>
      <w:r w:rsidR="00534692" w:rsidRPr="00BA23EC">
        <w:rPr>
          <w:rFonts w:cstheme="minorHAnsi"/>
          <w:b/>
          <w:sz w:val="21"/>
          <w:lang w:val="en-AU"/>
        </w:rPr>
        <w:t xml:space="preserve">comprehensive </w:t>
      </w:r>
      <w:r w:rsidR="005402CE" w:rsidRPr="00BA23EC">
        <w:rPr>
          <w:rFonts w:cstheme="minorHAnsi"/>
          <w:b/>
          <w:sz w:val="21"/>
          <w:lang w:val="en-AU"/>
        </w:rPr>
        <w:t>h</w:t>
      </w:r>
      <w:r w:rsidR="00534692" w:rsidRPr="00BA23EC">
        <w:rPr>
          <w:rFonts w:cstheme="minorHAnsi"/>
          <w:b/>
          <w:sz w:val="21"/>
          <w:lang w:val="en-AU"/>
        </w:rPr>
        <w:t xml:space="preserve">ealth </w:t>
      </w:r>
      <w:r w:rsidR="005402CE" w:rsidRPr="00BA23EC">
        <w:rPr>
          <w:rFonts w:cstheme="minorHAnsi"/>
          <w:b/>
          <w:sz w:val="21"/>
          <w:lang w:val="en-AU"/>
        </w:rPr>
        <w:t>s</w:t>
      </w:r>
      <w:r w:rsidR="00534692" w:rsidRPr="00BA23EC">
        <w:rPr>
          <w:rFonts w:cstheme="minorHAnsi"/>
          <w:b/>
          <w:sz w:val="21"/>
          <w:lang w:val="en-AU"/>
        </w:rPr>
        <w:t xml:space="preserve">ystem </w:t>
      </w:r>
      <w:r w:rsidR="005402CE" w:rsidRPr="00BA23EC">
        <w:rPr>
          <w:rFonts w:cstheme="minorHAnsi"/>
          <w:b/>
          <w:sz w:val="21"/>
          <w:lang w:val="en-AU"/>
        </w:rPr>
        <w:t>t</w:t>
      </w:r>
      <w:r w:rsidR="00534692" w:rsidRPr="00BA23EC">
        <w:rPr>
          <w:rFonts w:cstheme="minorHAnsi"/>
          <w:b/>
          <w:sz w:val="21"/>
          <w:lang w:val="en-AU"/>
        </w:rPr>
        <w:t>ransformation for Indonesia with a vision for a “healthy, productive, independent and just Indonesian people”.</w:t>
      </w:r>
      <w:r w:rsidR="00306BC3" w:rsidRPr="00BA23EC">
        <w:rPr>
          <w:rFonts w:cstheme="minorHAnsi"/>
          <w:b/>
          <w:sz w:val="21"/>
          <w:lang w:val="en-AU"/>
        </w:rPr>
        <w:t xml:space="preserve"> </w:t>
      </w:r>
      <w:r w:rsidR="00071BE8" w:rsidRPr="00BA23EC">
        <w:rPr>
          <w:rFonts w:cstheme="minorHAnsi"/>
          <w:sz w:val="21"/>
          <w:lang w:val="en-AU"/>
        </w:rPr>
        <w:t xml:space="preserve">Under the leadership of reformist Health Minister Budi Gunadi </w:t>
      </w:r>
      <w:proofErr w:type="spellStart"/>
      <w:r w:rsidR="00071BE8" w:rsidRPr="00BA23EC">
        <w:rPr>
          <w:rFonts w:cstheme="minorHAnsi"/>
          <w:sz w:val="21"/>
          <w:lang w:val="en-AU"/>
        </w:rPr>
        <w:t>Sadikin</w:t>
      </w:r>
      <w:proofErr w:type="spellEnd"/>
      <w:r w:rsidR="00071BE8" w:rsidRPr="00BA23EC">
        <w:rPr>
          <w:rFonts w:cstheme="minorHAnsi"/>
          <w:sz w:val="21"/>
          <w:lang w:val="en-AU"/>
        </w:rPr>
        <w:t xml:space="preserve">, </w:t>
      </w:r>
      <w:r w:rsidR="00210B18" w:rsidRPr="00BA23EC">
        <w:rPr>
          <w:rFonts w:cstheme="minorHAnsi"/>
          <w:sz w:val="21"/>
          <w:lang w:val="en-AU"/>
        </w:rPr>
        <w:t xml:space="preserve">the Indonesian Ministry of Health </w:t>
      </w:r>
      <w:r w:rsidR="0090124B" w:rsidRPr="00BA23EC">
        <w:rPr>
          <w:rFonts w:cstheme="minorHAnsi"/>
          <w:sz w:val="21"/>
          <w:lang w:val="en-AU"/>
        </w:rPr>
        <w:t xml:space="preserve">(MoH) </w:t>
      </w:r>
      <w:r w:rsidR="00071BE8" w:rsidRPr="00BA23EC">
        <w:rPr>
          <w:rFonts w:cstheme="minorHAnsi"/>
          <w:sz w:val="21"/>
          <w:lang w:val="en-AU"/>
        </w:rPr>
        <w:t xml:space="preserve">has embarked on an ambitious plan to </w:t>
      </w:r>
      <w:r w:rsidR="00FB38A1" w:rsidRPr="00BA23EC">
        <w:rPr>
          <w:rFonts w:cstheme="minorHAnsi"/>
          <w:sz w:val="21"/>
          <w:lang w:val="en-AU"/>
        </w:rPr>
        <w:t>implement these reforms</w:t>
      </w:r>
      <w:r w:rsidR="00714F53" w:rsidRPr="00BA23EC">
        <w:rPr>
          <w:rFonts w:cstheme="minorHAnsi"/>
          <w:sz w:val="21"/>
          <w:lang w:val="en-AU"/>
        </w:rPr>
        <w:t xml:space="preserve"> with the</w:t>
      </w:r>
      <w:r w:rsidR="00071BE8" w:rsidRPr="00BA23EC">
        <w:rPr>
          <w:rFonts w:cstheme="minorHAnsi"/>
          <w:sz w:val="21"/>
          <w:lang w:val="en-AU"/>
        </w:rPr>
        <w:t xml:space="preserve"> objective </w:t>
      </w:r>
      <w:r w:rsidR="00BA23EC">
        <w:rPr>
          <w:rFonts w:cstheme="minorHAnsi"/>
          <w:sz w:val="21"/>
          <w:lang w:val="en-AU"/>
        </w:rPr>
        <w:t>of</w:t>
      </w:r>
      <w:r w:rsidR="00071BE8" w:rsidRPr="00BA23EC">
        <w:rPr>
          <w:rFonts w:cstheme="minorHAnsi"/>
          <w:sz w:val="21"/>
          <w:lang w:val="en-AU"/>
        </w:rPr>
        <w:t xml:space="preserve"> improv</w:t>
      </w:r>
      <w:r w:rsidR="00BA23EC">
        <w:rPr>
          <w:rFonts w:cstheme="minorHAnsi"/>
          <w:sz w:val="21"/>
          <w:lang w:val="en-AU"/>
        </w:rPr>
        <w:t>ing</w:t>
      </w:r>
      <w:r w:rsidR="00071BE8" w:rsidRPr="00BA23EC">
        <w:rPr>
          <w:rFonts w:cstheme="minorHAnsi"/>
          <w:sz w:val="21"/>
          <w:lang w:val="en-AU"/>
        </w:rPr>
        <w:t xml:space="preserve"> maternal and child health, family planning and reproductive health, community nutrition, </w:t>
      </w:r>
      <w:r w:rsidR="00BA23EC">
        <w:rPr>
          <w:rFonts w:cstheme="minorHAnsi"/>
          <w:sz w:val="21"/>
          <w:lang w:val="en-AU"/>
        </w:rPr>
        <w:t xml:space="preserve">and </w:t>
      </w:r>
      <w:r w:rsidR="00071BE8" w:rsidRPr="00BA23EC">
        <w:rPr>
          <w:rFonts w:cstheme="minorHAnsi"/>
          <w:sz w:val="21"/>
          <w:lang w:val="en-AU"/>
        </w:rPr>
        <w:t>disease control, and creat</w:t>
      </w:r>
      <w:r w:rsidR="00BA23EC">
        <w:rPr>
          <w:rFonts w:cstheme="minorHAnsi"/>
          <w:sz w:val="21"/>
          <w:lang w:val="en-AU"/>
        </w:rPr>
        <w:t>ing</w:t>
      </w:r>
      <w:r w:rsidR="00071BE8" w:rsidRPr="00BA23EC">
        <w:rPr>
          <w:rFonts w:cstheme="minorHAnsi"/>
          <w:sz w:val="21"/>
          <w:lang w:val="en-AU"/>
        </w:rPr>
        <w:t xml:space="preserve"> a culture around health and wellbeing</w:t>
      </w:r>
      <w:r w:rsidR="00C62200" w:rsidRPr="00BA23EC">
        <w:rPr>
          <w:rFonts w:cstheme="minorHAnsi"/>
          <w:sz w:val="21"/>
          <w:lang w:val="en-AU"/>
        </w:rPr>
        <w:t xml:space="preserve">. </w:t>
      </w:r>
      <w:r w:rsidR="00F14F9D" w:rsidRPr="00BA23EC">
        <w:rPr>
          <w:rFonts w:cstheme="minorHAnsi"/>
          <w:sz w:val="21"/>
          <w:lang w:val="en-AU"/>
        </w:rPr>
        <w:t>The</w:t>
      </w:r>
      <w:r w:rsidR="00E41779" w:rsidRPr="00BA23EC">
        <w:rPr>
          <w:rFonts w:cstheme="minorHAnsi"/>
          <w:sz w:val="21"/>
          <w:lang w:val="en-AU"/>
        </w:rPr>
        <w:t>se</w:t>
      </w:r>
      <w:r w:rsidR="00F14F9D" w:rsidRPr="00BA23EC">
        <w:rPr>
          <w:rFonts w:cstheme="minorHAnsi"/>
          <w:sz w:val="21"/>
          <w:lang w:val="en-AU"/>
        </w:rPr>
        <w:t xml:space="preserve"> reforms </w:t>
      </w:r>
      <w:r w:rsidR="00E41779" w:rsidRPr="00BA23EC">
        <w:rPr>
          <w:rFonts w:cstheme="minorHAnsi"/>
          <w:sz w:val="21"/>
          <w:lang w:val="en-AU"/>
        </w:rPr>
        <w:t>reflect</w:t>
      </w:r>
      <w:r w:rsidR="00F14F9D" w:rsidRPr="00BA23EC">
        <w:rPr>
          <w:rFonts w:cstheme="minorHAnsi"/>
          <w:sz w:val="21"/>
          <w:lang w:val="en-AU"/>
        </w:rPr>
        <w:t xml:space="preserve"> a </w:t>
      </w:r>
      <w:r w:rsidR="009F5799" w:rsidRPr="00BA23EC">
        <w:rPr>
          <w:rFonts w:cstheme="minorHAnsi"/>
          <w:sz w:val="21"/>
          <w:lang w:val="en-AU"/>
        </w:rPr>
        <w:t>shift away from costly curative services to prioritise health promotion and disease prevention, by boosting the availability, accessibility, and equity of primary health care for all, from infancy to the elderly.</w:t>
      </w:r>
      <w:r w:rsidR="000E7865" w:rsidRPr="00BA23EC">
        <w:rPr>
          <w:rFonts w:cstheme="minorHAnsi"/>
          <w:sz w:val="21"/>
          <w:lang w:val="en-AU"/>
        </w:rPr>
        <w:t xml:space="preserve"> </w:t>
      </w:r>
      <w:r w:rsidR="00C62200" w:rsidRPr="00BA23EC">
        <w:rPr>
          <w:rFonts w:cstheme="minorHAnsi"/>
          <w:sz w:val="21"/>
          <w:lang w:val="en-AU"/>
        </w:rPr>
        <w:t>The</w:t>
      </w:r>
      <w:r w:rsidR="00071BE8" w:rsidRPr="00BA23EC">
        <w:rPr>
          <w:rFonts w:cstheme="minorHAnsi"/>
          <w:sz w:val="21"/>
          <w:lang w:val="en-AU"/>
        </w:rPr>
        <w:t xml:space="preserve"> blueprint for </w:t>
      </w:r>
      <w:r w:rsidR="000C48AF" w:rsidRPr="00BA23EC">
        <w:rPr>
          <w:rFonts w:cstheme="minorHAnsi"/>
          <w:sz w:val="21"/>
          <w:lang w:val="en-AU"/>
        </w:rPr>
        <w:t>this</w:t>
      </w:r>
      <w:r w:rsidR="00071BE8" w:rsidRPr="00BA23EC">
        <w:rPr>
          <w:rFonts w:cstheme="minorHAnsi"/>
          <w:sz w:val="21"/>
          <w:lang w:val="en-AU"/>
        </w:rPr>
        <w:t xml:space="preserve"> reform </w:t>
      </w:r>
      <w:r w:rsidR="0074232C" w:rsidRPr="00BA23EC">
        <w:rPr>
          <w:rFonts w:cstheme="minorHAnsi"/>
          <w:sz w:val="21"/>
          <w:lang w:val="en-AU"/>
        </w:rPr>
        <w:t>includes</w:t>
      </w:r>
      <w:r w:rsidR="00071BE8" w:rsidRPr="00BA23EC">
        <w:rPr>
          <w:rFonts w:cstheme="minorHAnsi"/>
          <w:sz w:val="21"/>
          <w:lang w:val="en-AU"/>
        </w:rPr>
        <w:t xml:space="preserve"> </w:t>
      </w:r>
      <w:r w:rsidR="00BA23EC">
        <w:rPr>
          <w:rFonts w:cstheme="minorHAnsi"/>
          <w:sz w:val="21"/>
          <w:lang w:val="en-AU"/>
        </w:rPr>
        <w:t>six</w:t>
      </w:r>
      <w:r w:rsidR="00071BE8" w:rsidRPr="00BA23EC">
        <w:rPr>
          <w:rFonts w:cstheme="minorHAnsi"/>
          <w:sz w:val="21"/>
          <w:lang w:val="en-AU"/>
        </w:rPr>
        <w:t xml:space="preserve"> key pillars (i) primary care service delivery capacity, population education, and prevention; (ii) equitable access to secondary care; (iii) health system resilience for emergency response and the pharma/medical devices sectors; (iv) health financing, focusing on equitable allocation and efficient utilization of resources; (v) health talent creation; and (vi) improvements in health technology, especially IT systems and biotechnology</w:t>
      </w:r>
      <w:r w:rsidR="00071BE8" w:rsidRPr="00BA23EC">
        <w:rPr>
          <w:rStyle w:val="FootnoteReference"/>
          <w:rFonts w:cstheme="minorHAnsi"/>
          <w:sz w:val="21"/>
          <w:lang w:val="en-AU"/>
        </w:rPr>
        <w:footnoteReference w:id="7"/>
      </w:r>
      <w:r w:rsidR="00071BE8" w:rsidRPr="00BA23EC">
        <w:rPr>
          <w:rFonts w:cstheme="minorHAnsi"/>
          <w:sz w:val="21"/>
          <w:lang w:val="en-AU"/>
        </w:rPr>
        <w:t xml:space="preserve">. </w:t>
      </w:r>
      <w:r w:rsidR="0074232C" w:rsidRPr="00BA23EC">
        <w:rPr>
          <w:rFonts w:cstheme="minorHAnsi"/>
          <w:sz w:val="21"/>
          <w:lang w:val="en-AU"/>
        </w:rPr>
        <w:t>Health</w:t>
      </w:r>
      <w:r w:rsidR="00E15FFC" w:rsidRPr="00BA23EC">
        <w:rPr>
          <w:rFonts w:cstheme="minorHAnsi"/>
          <w:sz w:val="21"/>
          <w:lang w:val="en-AU"/>
        </w:rPr>
        <w:t xml:space="preserve"> </w:t>
      </w:r>
      <w:r w:rsidR="0074232C" w:rsidRPr="00BA23EC">
        <w:rPr>
          <w:rFonts w:cstheme="minorHAnsi"/>
          <w:sz w:val="21"/>
          <w:lang w:val="en-AU"/>
        </w:rPr>
        <w:t>stakeholders</w:t>
      </w:r>
      <w:r w:rsidR="00071BE8" w:rsidRPr="00BA23EC">
        <w:rPr>
          <w:rFonts w:cstheme="minorHAnsi"/>
          <w:sz w:val="21"/>
          <w:lang w:val="en-AU"/>
        </w:rPr>
        <w:t xml:space="preserve"> assess these reforms to be transformational in scope, </w:t>
      </w:r>
      <w:r w:rsidR="00630989" w:rsidRPr="00BA23EC">
        <w:rPr>
          <w:rFonts w:cstheme="minorHAnsi"/>
          <w:sz w:val="21"/>
          <w:lang w:val="en-AU"/>
        </w:rPr>
        <w:t>describing them</w:t>
      </w:r>
      <w:r w:rsidR="00071BE8" w:rsidRPr="00BA23EC">
        <w:rPr>
          <w:rFonts w:cstheme="minorHAnsi"/>
          <w:sz w:val="21"/>
          <w:lang w:val="en-AU"/>
        </w:rPr>
        <w:t xml:space="preserve"> as the best opportunity for health reform in Indonesia in 25 years. </w:t>
      </w:r>
    </w:p>
    <w:p w14:paraId="7C074DA4" w14:textId="01BEF25A" w:rsidR="009E20C3" w:rsidRPr="00BA23EC" w:rsidRDefault="00F46561" w:rsidP="009E20C3">
      <w:pPr>
        <w:pStyle w:val="BodyText"/>
        <w:jc w:val="both"/>
        <w:rPr>
          <w:rFonts w:cstheme="minorHAnsi"/>
          <w:b/>
          <w:sz w:val="21"/>
          <w:lang w:val="en-AU"/>
        </w:rPr>
      </w:pPr>
      <w:r w:rsidRPr="00BA23EC">
        <w:rPr>
          <w:rFonts w:cstheme="minorHAnsi"/>
          <w:sz w:val="21"/>
          <w:lang w:val="en-AU"/>
        </w:rPr>
        <w:t>To ensure the</w:t>
      </w:r>
      <w:r w:rsidR="00CE56DE" w:rsidRPr="00BA23EC">
        <w:rPr>
          <w:rFonts w:cstheme="minorHAnsi"/>
          <w:sz w:val="21"/>
          <w:lang w:val="en-AU"/>
        </w:rPr>
        <w:t xml:space="preserve"> sustainability of the</w:t>
      </w:r>
      <w:r w:rsidRPr="00BA23EC">
        <w:rPr>
          <w:rFonts w:cstheme="minorHAnsi"/>
          <w:sz w:val="21"/>
          <w:lang w:val="en-AU"/>
        </w:rPr>
        <w:t xml:space="preserve">se reforms beyond the </w:t>
      </w:r>
      <w:r w:rsidR="00B0187B" w:rsidRPr="00BA23EC">
        <w:rPr>
          <w:rFonts w:cstheme="minorHAnsi"/>
          <w:sz w:val="21"/>
          <w:lang w:val="en-AU"/>
        </w:rPr>
        <w:t>current</w:t>
      </w:r>
      <w:r w:rsidRPr="00BA23EC">
        <w:rPr>
          <w:rFonts w:cstheme="minorHAnsi"/>
          <w:sz w:val="21"/>
          <w:lang w:val="en-AU"/>
        </w:rPr>
        <w:t xml:space="preserve"> administration</w:t>
      </w:r>
      <w:r w:rsidR="00EE04C1" w:rsidRPr="00BA23EC">
        <w:rPr>
          <w:rFonts w:cstheme="minorHAnsi"/>
          <w:sz w:val="21"/>
          <w:lang w:val="en-AU"/>
        </w:rPr>
        <w:t xml:space="preserve"> </w:t>
      </w:r>
      <w:r w:rsidR="00CE56DE" w:rsidRPr="00BA23EC">
        <w:rPr>
          <w:rFonts w:cstheme="minorHAnsi"/>
          <w:sz w:val="21"/>
          <w:lang w:val="en-AU"/>
        </w:rPr>
        <w:t xml:space="preserve">Minister </w:t>
      </w:r>
      <w:proofErr w:type="spellStart"/>
      <w:r w:rsidR="00CE56DE" w:rsidRPr="00BA23EC">
        <w:rPr>
          <w:rFonts w:cstheme="minorHAnsi"/>
          <w:sz w:val="21"/>
          <w:lang w:val="en-AU"/>
        </w:rPr>
        <w:t>Sadikin</w:t>
      </w:r>
      <w:proofErr w:type="spellEnd"/>
      <w:r w:rsidR="00CE56DE" w:rsidRPr="00BA23EC">
        <w:rPr>
          <w:rFonts w:cstheme="minorHAnsi"/>
          <w:sz w:val="21"/>
          <w:lang w:val="en-AU"/>
        </w:rPr>
        <w:t xml:space="preserve"> has </w:t>
      </w:r>
      <w:r w:rsidR="00FF7222" w:rsidRPr="00BA23EC">
        <w:rPr>
          <w:rFonts w:cstheme="minorHAnsi"/>
          <w:sz w:val="21"/>
          <w:lang w:val="en-AU"/>
        </w:rPr>
        <w:t xml:space="preserve">announced </w:t>
      </w:r>
      <w:r w:rsidR="00FE301C" w:rsidRPr="00BA23EC">
        <w:rPr>
          <w:rFonts w:cstheme="minorHAnsi"/>
          <w:sz w:val="21"/>
          <w:lang w:val="en-AU"/>
        </w:rPr>
        <w:t xml:space="preserve">the establishment of a </w:t>
      </w:r>
      <w:r w:rsidR="0004239A" w:rsidRPr="00BA23EC">
        <w:rPr>
          <w:rFonts w:cstheme="minorHAnsi"/>
          <w:b/>
          <w:sz w:val="21"/>
          <w:lang w:val="en-AU"/>
        </w:rPr>
        <w:t>World Bank</w:t>
      </w:r>
      <w:r w:rsidR="00C13D54">
        <w:rPr>
          <w:rFonts w:cstheme="minorHAnsi"/>
          <w:b/>
          <w:sz w:val="21"/>
          <w:lang w:val="en-AU"/>
        </w:rPr>
        <w:t xml:space="preserve"> USD4 billion</w:t>
      </w:r>
      <w:r w:rsidR="0004239A" w:rsidRPr="00BA23EC">
        <w:rPr>
          <w:rFonts w:cstheme="minorHAnsi"/>
          <w:b/>
          <w:sz w:val="21"/>
          <w:lang w:val="en-AU"/>
        </w:rPr>
        <w:t xml:space="preserve"> ‘Health System Strengthening</w:t>
      </w:r>
      <w:r w:rsidR="00615736">
        <w:rPr>
          <w:rFonts w:cstheme="minorHAnsi"/>
          <w:b/>
          <w:sz w:val="21"/>
          <w:lang w:val="en-AU"/>
        </w:rPr>
        <w:t>’</w:t>
      </w:r>
      <w:r w:rsidR="0004239A" w:rsidRPr="00BA23EC">
        <w:rPr>
          <w:rFonts w:cstheme="minorHAnsi"/>
          <w:b/>
          <w:sz w:val="21"/>
          <w:lang w:val="en-AU"/>
        </w:rPr>
        <w:t xml:space="preserve"> Investment Project Financing</w:t>
      </w:r>
      <w:r w:rsidR="000A2C3E" w:rsidRPr="00BA23EC">
        <w:rPr>
          <w:rFonts w:cstheme="minorHAnsi"/>
          <w:b/>
          <w:sz w:val="21"/>
          <w:lang w:val="en-AU"/>
        </w:rPr>
        <w:t xml:space="preserve"> loan operation</w:t>
      </w:r>
      <w:r w:rsidR="0004239A" w:rsidRPr="00BA23EC">
        <w:rPr>
          <w:rFonts w:cstheme="minorHAnsi"/>
          <w:b/>
          <w:sz w:val="21"/>
          <w:lang w:val="en-AU"/>
        </w:rPr>
        <w:t xml:space="preserve"> (HSS-IPF) </w:t>
      </w:r>
      <w:r w:rsidR="000A2C3E" w:rsidRPr="00BA23EC">
        <w:rPr>
          <w:rFonts w:cstheme="minorHAnsi"/>
          <w:b/>
          <w:sz w:val="21"/>
          <w:lang w:val="en-AU"/>
        </w:rPr>
        <w:t xml:space="preserve">and </w:t>
      </w:r>
      <w:r w:rsidR="00C13D54">
        <w:rPr>
          <w:rFonts w:cstheme="minorHAnsi"/>
          <w:b/>
          <w:sz w:val="21"/>
          <w:lang w:val="en-AU"/>
        </w:rPr>
        <w:t xml:space="preserve">USD45 million </w:t>
      </w:r>
      <w:r w:rsidR="00FE301C" w:rsidRPr="00BA23EC">
        <w:rPr>
          <w:rFonts w:cstheme="minorHAnsi"/>
          <w:b/>
          <w:sz w:val="21"/>
          <w:lang w:val="en-AU"/>
        </w:rPr>
        <w:t>‘Health Transformation’ Multi-Donor Trust Fund (HT-MDTF)</w:t>
      </w:r>
      <w:r w:rsidR="0026496D" w:rsidRPr="00BA23EC">
        <w:rPr>
          <w:rFonts w:cstheme="minorHAnsi"/>
          <w:b/>
          <w:sz w:val="21"/>
          <w:lang w:val="en-AU"/>
        </w:rPr>
        <w:t>.</w:t>
      </w:r>
      <w:r w:rsidR="00FE301C" w:rsidRPr="00BA23EC">
        <w:rPr>
          <w:rFonts w:cstheme="minorHAnsi"/>
          <w:b/>
          <w:sz w:val="21"/>
          <w:lang w:val="en-AU"/>
        </w:rPr>
        <w:t xml:space="preserve"> </w:t>
      </w:r>
      <w:r w:rsidR="0026496D" w:rsidRPr="00BA23EC">
        <w:rPr>
          <w:rFonts w:cstheme="minorHAnsi"/>
          <w:sz w:val="21"/>
          <w:lang w:val="en-AU"/>
        </w:rPr>
        <w:t xml:space="preserve">The </w:t>
      </w:r>
      <w:r w:rsidR="003752A5" w:rsidRPr="00BA23EC">
        <w:rPr>
          <w:rFonts w:cstheme="minorHAnsi"/>
          <w:sz w:val="21"/>
          <w:lang w:val="en-AU"/>
        </w:rPr>
        <w:t xml:space="preserve">six-year </w:t>
      </w:r>
      <w:r w:rsidR="0026496D" w:rsidRPr="00BA23EC">
        <w:rPr>
          <w:rFonts w:cstheme="minorHAnsi"/>
          <w:sz w:val="21"/>
          <w:lang w:val="en-AU"/>
        </w:rPr>
        <w:t xml:space="preserve">loan operation (2023 – 2029) </w:t>
      </w:r>
      <w:r w:rsidR="003752A5" w:rsidRPr="00BA23EC">
        <w:rPr>
          <w:rFonts w:cstheme="minorHAnsi"/>
          <w:sz w:val="21"/>
          <w:lang w:val="en-AU"/>
        </w:rPr>
        <w:t xml:space="preserve">will finance </w:t>
      </w:r>
      <w:r w:rsidR="0093048C" w:rsidRPr="00BA23EC">
        <w:rPr>
          <w:rFonts w:cstheme="minorHAnsi"/>
          <w:sz w:val="21"/>
          <w:lang w:val="en-AU"/>
        </w:rPr>
        <w:t xml:space="preserve">measures to address </w:t>
      </w:r>
      <w:r w:rsidR="0026496D" w:rsidRPr="00BA23EC">
        <w:rPr>
          <w:rFonts w:cstheme="minorHAnsi"/>
          <w:sz w:val="21"/>
          <w:lang w:val="en-AU"/>
        </w:rPr>
        <w:t>the spatial and socioeconomic gaps in health service availability across Indonesia</w:t>
      </w:r>
      <w:r w:rsidR="00565A8F" w:rsidRPr="00BA23EC">
        <w:rPr>
          <w:rFonts w:cstheme="minorHAnsi"/>
          <w:sz w:val="21"/>
          <w:lang w:val="en-AU"/>
        </w:rPr>
        <w:t xml:space="preserve">. It </w:t>
      </w:r>
      <w:r w:rsidR="008255C4" w:rsidRPr="00BA23EC">
        <w:rPr>
          <w:rFonts w:cstheme="minorHAnsi"/>
          <w:sz w:val="21"/>
          <w:lang w:val="en-AU"/>
        </w:rPr>
        <w:t>will be</w:t>
      </w:r>
      <w:r w:rsidR="00565A8F" w:rsidRPr="00BA23EC">
        <w:rPr>
          <w:rFonts w:cstheme="minorHAnsi"/>
          <w:sz w:val="21"/>
          <w:lang w:val="en-AU"/>
        </w:rPr>
        <w:t xml:space="preserve"> led by the World Bank in partnership with the Asian Development Bank, Asian Infrastructure Investment Bank, </w:t>
      </w:r>
      <w:r w:rsidR="002530CA" w:rsidRPr="00BA23EC">
        <w:rPr>
          <w:rFonts w:cstheme="minorHAnsi"/>
          <w:sz w:val="21"/>
          <w:szCs w:val="21"/>
          <w:lang w:val="en-AU"/>
        </w:rPr>
        <w:t xml:space="preserve">German </w:t>
      </w:r>
      <w:r w:rsidR="00565A8F" w:rsidRPr="00BA23EC">
        <w:rPr>
          <w:rFonts w:cstheme="minorHAnsi"/>
          <w:sz w:val="21"/>
          <w:lang w:val="en-AU"/>
        </w:rPr>
        <w:t xml:space="preserve">Development </w:t>
      </w:r>
      <w:proofErr w:type="gramStart"/>
      <w:r w:rsidR="00565A8F" w:rsidRPr="00BA23EC">
        <w:rPr>
          <w:rFonts w:cstheme="minorHAnsi"/>
          <w:sz w:val="21"/>
          <w:lang w:val="en-AU"/>
        </w:rPr>
        <w:t>Bank</w:t>
      </w:r>
      <w:proofErr w:type="gramEnd"/>
      <w:r w:rsidR="00565A8F" w:rsidRPr="00BA23EC">
        <w:rPr>
          <w:rFonts w:cstheme="minorHAnsi"/>
          <w:sz w:val="21"/>
          <w:lang w:val="en-AU"/>
        </w:rPr>
        <w:t xml:space="preserve"> and the Islamic Development Bank. </w:t>
      </w:r>
      <w:r w:rsidR="00DF1655" w:rsidRPr="00BA23EC">
        <w:rPr>
          <w:rFonts w:cstheme="minorHAnsi"/>
          <w:sz w:val="21"/>
          <w:lang w:val="en-AU"/>
        </w:rPr>
        <w:t>T</w:t>
      </w:r>
      <w:r w:rsidR="0026496D" w:rsidRPr="00BA23EC">
        <w:rPr>
          <w:rFonts w:cstheme="minorHAnsi"/>
          <w:sz w:val="21"/>
          <w:lang w:val="en-AU"/>
        </w:rPr>
        <w:t>he</w:t>
      </w:r>
      <w:r w:rsidR="001E120E" w:rsidRPr="00BA23EC">
        <w:rPr>
          <w:rFonts w:cstheme="minorHAnsi"/>
          <w:sz w:val="21"/>
          <w:lang w:val="en-AU"/>
        </w:rPr>
        <w:t xml:space="preserve"> HT-MDTF </w:t>
      </w:r>
      <w:r w:rsidR="00CD1312" w:rsidRPr="00BA23EC">
        <w:rPr>
          <w:rFonts w:cstheme="minorHAnsi"/>
          <w:sz w:val="21"/>
          <w:lang w:val="en-AU"/>
        </w:rPr>
        <w:t xml:space="preserve">will </w:t>
      </w:r>
      <w:r w:rsidR="00771173">
        <w:rPr>
          <w:rFonts w:cstheme="minorHAnsi"/>
          <w:sz w:val="21"/>
          <w:lang w:val="en-AU"/>
        </w:rPr>
        <w:t>be a ‘recipient-executed’ grant</w:t>
      </w:r>
      <w:r w:rsidR="004177C8">
        <w:rPr>
          <w:rFonts w:cstheme="minorHAnsi"/>
          <w:sz w:val="21"/>
          <w:lang w:val="en-AU"/>
        </w:rPr>
        <w:t xml:space="preserve">, </w:t>
      </w:r>
      <w:r w:rsidR="001E120E" w:rsidRPr="00BA23EC">
        <w:rPr>
          <w:rFonts w:cstheme="minorHAnsi"/>
          <w:sz w:val="21"/>
          <w:lang w:val="en-AU"/>
        </w:rPr>
        <w:t>provid</w:t>
      </w:r>
      <w:r w:rsidR="004177C8">
        <w:rPr>
          <w:rFonts w:cstheme="minorHAnsi"/>
          <w:sz w:val="21"/>
          <w:lang w:val="en-AU"/>
        </w:rPr>
        <w:t>ing</w:t>
      </w:r>
      <w:r w:rsidR="001E120E" w:rsidRPr="00BA23EC">
        <w:rPr>
          <w:rFonts w:cstheme="minorHAnsi"/>
          <w:sz w:val="21"/>
          <w:lang w:val="en-AU"/>
        </w:rPr>
        <w:t xml:space="preserve"> a </w:t>
      </w:r>
      <w:r w:rsidR="00162ED9" w:rsidRPr="00BA23EC">
        <w:rPr>
          <w:rFonts w:cstheme="minorHAnsi"/>
          <w:sz w:val="21"/>
          <w:lang w:val="en-AU"/>
        </w:rPr>
        <w:lastRenderedPageBreak/>
        <w:t xml:space="preserve">central, integrated source </w:t>
      </w:r>
      <w:r w:rsidR="004177C8">
        <w:rPr>
          <w:rFonts w:cstheme="minorHAnsi"/>
          <w:sz w:val="21"/>
          <w:lang w:val="en-AU"/>
        </w:rPr>
        <w:t xml:space="preserve">of funding </w:t>
      </w:r>
      <w:r w:rsidR="001C3485">
        <w:rPr>
          <w:rFonts w:cstheme="minorHAnsi"/>
          <w:sz w:val="21"/>
          <w:lang w:val="en-AU"/>
        </w:rPr>
        <w:t xml:space="preserve">to the MoH </w:t>
      </w:r>
      <w:r w:rsidR="0054010D">
        <w:rPr>
          <w:rFonts w:cstheme="minorHAnsi"/>
          <w:sz w:val="21"/>
          <w:lang w:val="en-AU"/>
        </w:rPr>
        <w:t xml:space="preserve">to procure </w:t>
      </w:r>
      <w:r w:rsidR="00162ED9" w:rsidRPr="00BA23EC">
        <w:rPr>
          <w:rFonts w:cstheme="minorHAnsi"/>
          <w:sz w:val="21"/>
          <w:lang w:val="en-AU"/>
        </w:rPr>
        <w:t xml:space="preserve">analytical </w:t>
      </w:r>
      <w:r w:rsidR="0054010D">
        <w:rPr>
          <w:rFonts w:cstheme="minorHAnsi"/>
          <w:sz w:val="21"/>
          <w:lang w:val="en-AU"/>
        </w:rPr>
        <w:t>and technical support for the</w:t>
      </w:r>
      <w:r w:rsidR="00162ED9" w:rsidRPr="00BA23EC">
        <w:rPr>
          <w:rFonts w:cstheme="minorHAnsi"/>
          <w:sz w:val="21"/>
          <w:lang w:val="en-AU"/>
        </w:rPr>
        <w:t xml:space="preserve"> </w:t>
      </w:r>
      <w:r w:rsidR="00377E19">
        <w:rPr>
          <w:rFonts w:cstheme="minorHAnsi"/>
          <w:sz w:val="21"/>
          <w:lang w:val="en-AU"/>
        </w:rPr>
        <w:t xml:space="preserve">implementation of the </w:t>
      </w:r>
      <w:r w:rsidR="00162ED9" w:rsidRPr="00BA23EC">
        <w:rPr>
          <w:rFonts w:cstheme="minorHAnsi"/>
          <w:sz w:val="21"/>
          <w:lang w:val="en-AU"/>
        </w:rPr>
        <w:t>health transformation agenda</w:t>
      </w:r>
      <w:r w:rsidR="00B22DD5" w:rsidRPr="00BA23EC">
        <w:rPr>
          <w:rFonts w:cstheme="minorHAnsi"/>
          <w:sz w:val="21"/>
          <w:lang w:val="en-AU"/>
        </w:rPr>
        <w:t xml:space="preserve">, </w:t>
      </w:r>
      <w:r w:rsidR="00596FDD" w:rsidRPr="00BA23EC">
        <w:rPr>
          <w:rFonts w:cstheme="minorHAnsi"/>
          <w:sz w:val="21"/>
          <w:lang w:val="en-AU"/>
        </w:rPr>
        <w:t xml:space="preserve">with a strong focus on </w:t>
      </w:r>
      <w:r w:rsidR="00377E19">
        <w:rPr>
          <w:rFonts w:cstheme="minorHAnsi"/>
          <w:sz w:val="21"/>
          <w:lang w:val="en-AU"/>
        </w:rPr>
        <w:t>addressing</w:t>
      </w:r>
      <w:r w:rsidR="00377E19" w:rsidRPr="00BA23EC">
        <w:rPr>
          <w:rFonts w:cstheme="minorHAnsi"/>
          <w:sz w:val="21"/>
          <w:lang w:val="en-AU"/>
        </w:rPr>
        <w:t xml:space="preserve"> </w:t>
      </w:r>
      <w:r w:rsidR="00596FDD" w:rsidRPr="00BA23EC">
        <w:rPr>
          <w:rFonts w:cstheme="minorHAnsi"/>
          <w:sz w:val="21"/>
          <w:lang w:val="en-AU"/>
        </w:rPr>
        <w:t>critical gaps in access</w:t>
      </w:r>
      <w:r w:rsidR="00D405B0" w:rsidRPr="00BA23EC">
        <w:rPr>
          <w:rFonts w:cstheme="minorHAnsi"/>
          <w:sz w:val="21"/>
          <w:lang w:val="en-AU"/>
        </w:rPr>
        <w:t>ibility</w:t>
      </w:r>
      <w:r w:rsidR="00596FDD" w:rsidRPr="00BA23EC">
        <w:rPr>
          <w:rFonts w:cstheme="minorHAnsi"/>
          <w:sz w:val="21"/>
          <w:lang w:val="en-AU"/>
        </w:rPr>
        <w:t xml:space="preserve"> and quality of health services</w:t>
      </w:r>
      <w:r w:rsidR="00D405B0" w:rsidRPr="00BA23EC">
        <w:rPr>
          <w:rFonts w:cstheme="minorHAnsi"/>
          <w:sz w:val="21"/>
          <w:lang w:val="en-AU"/>
        </w:rPr>
        <w:t xml:space="preserve"> for women and girls</w:t>
      </w:r>
      <w:r w:rsidR="00377E19">
        <w:rPr>
          <w:rFonts w:cstheme="minorHAnsi"/>
          <w:sz w:val="21"/>
          <w:lang w:val="en-AU"/>
        </w:rPr>
        <w:t>, people with disabilities and remote communities</w:t>
      </w:r>
      <w:r w:rsidR="008D76CC">
        <w:rPr>
          <w:rStyle w:val="FootnoteReference"/>
          <w:rFonts w:cstheme="minorHAnsi"/>
          <w:sz w:val="21"/>
          <w:lang w:val="en-AU"/>
        </w:rPr>
        <w:footnoteReference w:id="8"/>
      </w:r>
      <w:r w:rsidR="00596FDD" w:rsidRPr="00BA23EC">
        <w:rPr>
          <w:rFonts w:cstheme="minorHAnsi"/>
          <w:sz w:val="21"/>
          <w:lang w:val="en-AU"/>
        </w:rPr>
        <w:t>.</w:t>
      </w:r>
      <w:r w:rsidR="009E20C3" w:rsidRPr="00BA23EC">
        <w:rPr>
          <w:rFonts w:cstheme="minorHAnsi"/>
          <w:sz w:val="21"/>
          <w:lang w:val="en-AU"/>
        </w:rPr>
        <w:t xml:space="preserve"> </w:t>
      </w:r>
      <w:r w:rsidR="009E20C3" w:rsidRPr="00BA23EC">
        <w:rPr>
          <w:rFonts w:cstheme="minorHAnsi"/>
          <w:b/>
          <w:sz w:val="21"/>
          <w:lang w:val="en-AU"/>
        </w:rPr>
        <w:t>Together, the HT-MDTF and HSS-IPF loan will be the core catalytic drivers behind the Indonesian health reform agenda.</w:t>
      </w:r>
    </w:p>
    <w:p w14:paraId="2EDC48DF" w14:textId="16BD0DD9" w:rsidR="00C81EFD" w:rsidRPr="00BA23EC" w:rsidRDefault="00C23296" w:rsidP="00C23296">
      <w:pPr>
        <w:pStyle w:val="BodyText"/>
        <w:jc w:val="both"/>
        <w:rPr>
          <w:rFonts w:cstheme="minorHAnsi"/>
          <w:sz w:val="21"/>
          <w:lang w:val="en-AU"/>
        </w:rPr>
      </w:pPr>
      <w:r w:rsidRPr="00BA23EC">
        <w:rPr>
          <w:rFonts w:cstheme="minorHAnsi"/>
          <w:b/>
          <w:sz w:val="21"/>
          <w:lang w:val="en-AU"/>
        </w:rPr>
        <w:t xml:space="preserve">Within this context, Indonesia is seeking Australia’s support to the World Bank-managed HT-MDTF. </w:t>
      </w:r>
      <w:r w:rsidRPr="00BA23EC">
        <w:rPr>
          <w:rFonts w:cstheme="minorHAnsi"/>
          <w:sz w:val="21"/>
          <w:lang w:val="en-AU"/>
        </w:rPr>
        <w:t xml:space="preserve">This request was first raised </w:t>
      </w:r>
      <w:r w:rsidR="008259E6" w:rsidRPr="00BA23EC">
        <w:rPr>
          <w:rFonts w:cstheme="minorHAnsi"/>
          <w:sz w:val="21"/>
          <w:lang w:val="en-AU"/>
        </w:rPr>
        <w:t xml:space="preserve">by </w:t>
      </w:r>
      <w:r w:rsidRPr="00BA23EC">
        <w:rPr>
          <w:rFonts w:cstheme="minorHAnsi"/>
          <w:sz w:val="21"/>
          <w:lang w:val="en-AU"/>
        </w:rPr>
        <w:t xml:space="preserve">Minister </w:t>
      </w:r>
      <w:proofErr w:type="spellStart"/>
      <w:r w:rsidRPr="00BA23EC">
        <w:rPr>
          <w:rFonts w:cstheme="minorHAnsi"/>
          <w:sz w:val="21"/>
          <w:lang w:val="en-AU"/>
        </w:rPr>
        <w:t>Sadikin</w:t>
      </w:r>
      <w:proofErr w:type="spellEnd"/>
      <w:r w:rsidRPr="00BA23EC">
        <w:rPr>
          <w:rFonts w:cstheme="minorHAnsi"/>
          <w:sz w:val="21"/>
          <w:lang w:val="en-AU"/>
        </w:rPr>
        <w:t xml:space="preserve"> </w:t>
      </w:r>
      <w:r w:rsidR="008259E6" w:rsidRPr="00BA23EC">
        <w:rPr>
          <w:rFonts w:cstheme="minorHAnsi"/>
          <w:sz w:val="21"/>
          <w:lang w:val="en-AU"/>
        </w:rPr>
        <w:t>in a meeting</w:t>
      </w:r>
      <w:r w:rsidRPr="00BA23EC">
        <w:rPr>
          <w:rFonts w:cstheme="minorHAnsi"/>
          <w:sz w:val="21"/>
          <w:lang w:val="en-AU"/>
        </w:rPr>
        <w:t xml:space="preserve"> with the Australian Minister for Health, Mark Butler</w:t>
      </w:r>
      <w:r w:rsidR="008259E6" w:rsidRPr="00BA23EC">
        <w:rPr>
          <w:rFonts w:cstheme="minorHAnsi"/>
          <w:sz w:val="21"/>
          <w:lang w:val="en-AU"/>
        </w:rPr>
        <w:t xml:space="preserve"> in October 2022</w:t>
      </w:r>
      <w:r w:rsidR="00E6516D" w:rsidRPr="00BA23EC">
        <w:rPr>
          <w:rFonts w:cstheme="minorHAnsi"/>
          <w:sz w:val="21"/>
          <w:lang w:val="en-AU"/>
        </w:rPr>
        <w:t xml:space="preserve">. </w:t>
      </w:r>
      <w:r w:rsidR="00C13D54">
        <w:rPr>
          <w:rFonts w:cstheme="minorHAnsi"/>
          <w:sz w:val="21"/>
          <w:lang w:val="en-AU"/>
        </w:rPr>
        <w:t>I</w:t>
      </w:r>
      <w:r w:rsidR="008259E6" w:rsidRPr="00BA23EC">
        <w:rPr>
          <w:rFonts w:cstheme="minorHAnsi"/>
          <w:sz w:val="21"/>
          <w:lang w:val="en-AU"/>
        </w:rPr>
        <w:t xml:space="preserve">n February 2023, </w:t>
      </w:r>
      <w:r w:rsidR="003B027E" w:rsidRPr="00BA23EC">
        <w:rPr>
          <w:rFonts w:cstheme="minorHAnsi"/>
          <w:sz w:val="21"/>
          <w:lang w:val="en-AU"/>
        </w:rPr>
        <w:t>the Secretary</w:t>
      </w:r>
      <w:r w:rsidR="00857996" w:rsidRPr="00BA23EC">
        <w:rPr>
          <w:rFonts w:cstheme="minorHAnsi"/>
          <w:sz w:val="21"/>
          <w:lang w:val="en-AU"/>
        </w:rPr>
        <w:t xml:space="preserve"> </w:t>
      </w:r>
      <w:r w:rsidR="003B027E" w:rsidRPr="00BA23EC">
        <w:rPr>
          <w:rFonts w:cstheme="minorHAnsi"/>
          <w:sz w:val="21"/>
          <w:lang w:val="en-AU"/>
        </w:rPr>
        <w:t xml:space="preserve">General for MoH, Dr Kunta </w:t>
      </w:r>
      <w:proofErr w:type="spellStart"/>
      <w:r w:rsidR="00AB4D05" w:rsidRPr="00BA23EC">
        <w:rPr>
          <w:rFonts w:cstheme="minorHAnsi"/>
          <w:sz w:val="21"/>
          <w:lang w:val="en-AU"/>
        </w:rPr>
        <w:t>Nugraha</w:t>
      </w:r>
      <w:proofErr w:type="spellEnd"/>
      <w:r w:rsidR="00AB4D05" w:rsidRPr="00BA23EC">
        <w:rPr>
          <w:rFonts w:cstheme="minorHAnsi"/>
          <w:sz w:val="21"/>
          <w:lang w:val="en-AU"/>
        </w:rPr>
        <w:t xml:space="preserve">, </w:t>
      </w:r>
      <w:r w:rsidR="00CF1D58" w:rsidRPr="00BA23EC">
        <w:rPr>
          <w:rFonts w:cstheme="minorHAnsi"/>
          <w:sz w:val="21"/>
          <w:lang w:val="en-AU"/>
        </w:rPr>
        <w:t>met with</w:t>
      </w:r>
      <w:r w:rsidR="00262D3F" w:rsidRPr="00BA23EC">
        <w:rPr>
          <w:rFonts w:cstheme="minorHAnsi"/>
          <w:sz w:val="21"/>
          <w:lang w:val="en-AU"/>
        </w:rPr>
        <w:t xml:space="preserve"> </w:t>
      </w:r>
      <w:r w:rsidR="00D301FE" w:rsidRPr="00BA23EC">
        <w:rPr>
          <w:rFonts w:cstheme="minorHAnsi"/>
          <w:sz w:val="21"/>
          <w:lang w:val="en-AU"/>
        </w:rPr>
        <w:t>DFAT and other donors</w:t>
      </w:r>
      <w:r w:rsidR="00C23456" w:rsidRPr="00BA23EC">
        <w:rPr>
          <w:rFonts w:cstheme="minorHAnsi"/>
          <w:sz w:val="21"/>
          <w:lang w:val="en-AU"/>
        </w:rPr>
        <w:t>, formally inviting support for the H</w:t>
      </w:r>
      <w:r w:rsidR="00C81EFD" w:rsidRPr="00BA23EC">
        <w:rPr>
          <w:rFonts w:cstheme="minorHAnsi"/>
          <w:sz w:val="21"/>
          <w:lang w:val="en-AU"/>
        </w:rPr>
        <w:t>T-MDTF</w:t>
      </w:r>
      <w:r w:rsidR="004A093B" w:rsidRPr="00BA23EC">
        <w:rPr>
          <w:rFonts w:cstheme="minorHAnsi"/>
          <w:sz w:val="21"/>
          <w:lang w:val="en-AU"/>
        </w:rPr>
        <w:t xml:space="preserve"> </w:t>
      </w:r>
      <w:r w:rsidR="00377E19">
        <w:rPr>
          <w:rFonts w:cstheme="minorHAnsi"/>
          <w:sz w:val="21"/>
          <w:lang w:val="en-AU"/>
        </w:rPr>
        <w:t xml:space="preserve">which will become </w:t>
      </w:r>
      <w:r w:rsidR="004A093B" w:rsidRPr="00BA23EC">
        <w:rPr>
          <w:rFonts w:cstheme="minorHAnsi"/>
          <w:sz w:val="21"/>
          <w:lang w:val="en-AU"/>
        </w:rPr>
        <w:t>the primary mechanism for partnering with</w:t>
      </w:r>
      <w:r w:rsidR="0030053D">
        <w:rPr>
          <w:rFonts w:cstheme="minorHAnsi"/>
          <w:sz w:val="21"/>
          <w:lang w:val="en-AU"/>
        </w:rPr>
        <w:t xml:space="preserve"> </w:t>
      </w:r>
      <w:r w:rsidR="0030053D" w:rsidRPr="00BA23EC">
        <w:rPr>
          <w:rFonts w:cstheme="minorHAnsi"/>
          <w:sz w:val="21"/>
          <w:lang w:val="en-AU"/>
        </w:rPr>
        <w:t>the Go</w:t>
      </w:r>
      <w:r w:rsidR="0030053D">
        <w:rPr>
          <w:rFonts w:cstheme="minorHAnsi"/>
          <w:sz w:val="21"/>
          <w:lang w:val="en-AU"/>
        </w:rPr>
        <w:t xml:space="preserve">vernment of </w:t>
      </w:r>
      <w:r w:rsidR="0030053D" w:rsidRPr="00BA23EC">
        <w:rPr>
          <w:rFonts w:cstheme="minorHAnsi"/>
          <w:sz w:val="21"/>
          <w:lang w:val="en-AU"/>
        </w:rPr>
        <w:t>I</w:t>
      </w:r>
      <w:r w:rsidR="0030053D">
        <w:rPr>
          <w:rFonts w:cstheme="minorHAnsi"/>
          <w:sz w:val="21"/>
          <w:lang w:val="en-AU"/>
        </w:rPr>
        <w:t>ndonesia (</w:t>
      </w:r>
      <w:proofErr w:type="spellStart"/>
      <w:r w:rsidR="004A093B" w:rsidRPr="00BA23EC">
        <w:rPr>
          <w:rFonts w:cstheme="minorHAnsi"/>
          <w:sz w:val="21"/>
          <w:lang w:val="en-AU"/>
        </w:rPr>
        <w:t>GoI</w:t>
      </w:r>
      <w:proofErr w:type="spellEnd"/>
      <w:r w:rsidR="0030053D">
        <w:rPr>
          <w:rFonts w:cstheme="minorHAnsi"/>
          <w:sz w:val="21"/>
          <w:lang w:val="en-AU"/>
        </w:rPr>
        <w:t>)</w:t>
      </w:r>
      <w:r w:rsidR="004A093B" w:rsidRPr="00BA23EC">
        <w:rPr>
          <w:rFonts w:cstheme="minorHAnsi"/>
          <w:sz w:val="21"/>
          <w:lang w:val="en-AU"/>
        </w:rPr>
        <w:t xml:space="preserve"> on</w:t>
      </w:r>
      <w:r w:rsidR="008255C4" w:rsidRPr="00BA23EC">
        <w:rPr>
          <w:rFonts w:cstheme="minorHAnsi"/>
          <w:sz w:val="21"/>
          <w:lang w:val="en-AU"/>
        </w:rPr>
        <w:t xml:space="preserve"> implementation of the</w:t>
      </w:r>
      <w:r w:rsidR="004A093B" w:rsidRPr="00BA23EC">
        <w:rPr>
          <w:rFonts w:cstheme="minorHAnsi"/>
          <w:sz w:val="21"/>
          <w:lang w:val="en-AU"/>
        </w:rPr>
        <w:t xml:space="preserve"> health</w:t>
      </w:r>
      <w:r w:rsidR="008255C4" w:rsidRPr="00BA23EC">
        <w:rPr>
          <w:rFonts w:cstheme="minorHAnsi"/>
          <w:sz w:val="21"/>
          <w:lang w:val="en-AU"/>
        </w:rPr>
        <w:t xml:space="preserve"> reform agenda</w:t>
      </w:r>
      <w:r w:rsidR="004A093B" w:rsidRPr="00BA23EC">
        <w:rPr>
          <w:rFonts w:cstheme="minorHAnsi"/>
          <w:sz w:val="21"/>
          <w:lang w:val="en-AU"/>
        </w:rPr>
        <w:t>.</w:t>
      </w:r>
      <w:r w:rsidR="00C81EFD" w:rsidRPr="00BA23EC">
        <w:rPr>
          <w:rFonts w:cstheme="minorHAnsi"/>
          <w:sz w:val="21"/>
          <w:lang w:val="en-AU"/>
        </w:rPr>
        <w:t xml:space="preserve">  </w:t>
      </w:r>
    </w:p>
    <w:p w14:paraId="67549015" w14:textId="32864AD0" w:rsidR="0082381E" w:rsidRPr="00BA23EC" w:rsidRDefault="00797A66" w:rsidP="00F81159">
      <w:pPr>
        <w:pStyle w:val="BodyText"/>
        <w:jc w:val="both"/>
        <w:rPr>
          <w:rFonts w:cstheme="minorHAnsi"/>
          <w:sz w:val="21"/>
          <w:lang w:val="en-AU"/>
        </w:rPr>
      </w:pPr>
      <w:r w:rsidRPr="00BA23EC">
        <w:rPr>
          <w:rFonts w:cstheme="minorHAnsi"/>
          <w:b/>
          <w:sz w:val="21"/>
          <w:lang w:val="en-AU"/>
        </w:rPr>
        <w:t>Australia is well-positioned to take a leading role in supporting Indonesia’s health reform agenda</w:t>
      </w:r>
      <w:r w:rsidRPr="00BA23EC">
        <w:rPr>
          <w:rFonts w:cstheme="minorHAnsi"/>
          <w:sz w:val="21"/>
          <w:lang w:val="en-AU"/>
        </w:rPr>
        <w:t xml:space="preserve">. </w:t>
      </w:r>
      <w:r w:rsidR="00377E19">
        <w:rPr>
          <w:rFonts w:cstheme="minorHAnsi"/>
          <w:sz w:val="21"/>
          <w:lang w:val="en-AU"/>
        </w:rPr>
        <w:t xml:space="preserve">Australia supported Indonesia’s </w:t>
      </w:r>
      <w:r w:rsidR="00A1597F" w:rsidRPr="00BA23EC">
        <w:rPr>
          <w:rFonts w:cstheme="minorHAnsi"/>
          <w:sz w:val="21"/>
          <w:lang w:val="en-AU"/>
        </w:rPr>
        <w:t>COVID-19 response, committ</w:t>
      </w:r>
      <w:r w:rsidR="00377E19">
        <w:rPr>
          <w:rFonts w:cstheme="minorHAnsi"/>
          <w:sz w:val="21"/>
          <w:lang w:val="en-AU"/>
        </w:rPr>
        <w:t>ing</w:t>
      </w:r>
      <w:r w:rsidR="00A1597F" w:rsidRPr="00BA23EC">
        <w:rPr>
          <w:rFonts w:cstheme="minorHAnsi"/>
          <w:sz w:val="21"/>
          <w:lang w:val="en-AU"/>
        </w:rPr>
        <w:t xml:space="preserve"> </w:t>
      </w:r>
      <w:r w:rsidR="00A1597F">
        <w:rPr>
          <w:rFonts w:cstheme="minorHAnsi"/>
          <w:sz w:val="21"/>
          <w:lang w:val="en-AU"/>
        </w:rPr>
        <w:t>AUD</w:t>
      </w:r>
      <w:r w:rsidR="00A1597F" w:rsidRPr="00BA23EC">
        <w:rPr>
          <w:rFonts w:cstheme="minorHAnsi"/>
          <w:sz w:val="21"/>
          <w:lang w:val="en-AU"/>
        </w:rPr>
        <w:t>101.9 million for vaccine access</w:t>
      </w:r>
      <w:r w:rsidR="00377E19">
        <w:rPr>
          <w:rFonts w:cstheme="minorHAnsi"/>
          <w:sz w:val="21"/>
          <w:lang w:val="en-AU"/>
        </w:rPr>
        <w:t xml:space="preserve">, support to </w:t>
      </w:r>
      <w:r w:rsidR="00A1597F" w:rsidRPr="00BA23EC">
        <w:rPr>
          <w:rFonts w:cstheme="minorHAnsi"/>
          <w:sz w:val="21"/>
          <w:lang w:val="en-AU"/>
        </w:rPr>
        <w:t xml:space="preserve">Indonesia’s national vaccination rollout; and technical </w:t>
      </w:r>
      <w:r w:rsidR="00A1597F" w:rsidRPr="00BA23EC">
        <w:rPr>
          <w:rFonts w:cstheme="minorHAnsi"/>
          <w:sz w:val="21"/>
          <w:szCs w:val="21"/>
          <w:lang w:val="en-AU"/>
        </w:rPr>
        <w:t>assistance</w:t>
      </w:r>
      <w:r w:rsidR="00A1597F" w:rsidRPr="00BA23EC">
        <w:rPr>
          <w:rFonts w:cstheme="minorHAnsi"/>
          <w:sz w:val="21"/>
          <w:lang w:val="en-AU"/>
        </w:rPr>
        <w:t xml:space="preserve"> at national and provincial levels to build stronger systems to prevent, detect and respond to public health threats. </w:t>
      </w:r>
      <w:r w:rsidR="00377E19">
        <w:rPr>
          <w:rFonts w:cstheme="minorHAnsi"/>
          <w:sz w:val="21"/>
          <w:szCs w:val="21"/>
          <w:lang w:val="en-AU"/>
        </w:rPr>
        <w:t>We</w:t>
      </w:r>
      <w:r w:rsidR="00377E19" w:rsidRPr="00BA23EC">
        <w:rPr>
          <w:rFonts w:cstheme="minorHAnsi"/>
          <w:sz w:val="21"/>
          <w:szCs w:val="21"/>
          <w:lang w:val="en-AU"/>
        </w:rPr>
        <w:t xml:space="preserve"> </w:t>
      </w:r>
      <w:r w:rsidR="00A1597F" w:rsidRPr="00BA23EC">
        <w:rPr>
          <w:rFonts w:cstheme="minorHAnsi"/>
          <w:sz w:val="21"/>
          <w:szCs w:val="21"/>
          <w:lang w:val="en-AU"/>
        </w:rPr>
        <w:t xml:space="preserve">also delivered over </w:t>
      </w:r>
      <w:r w:rsidR="00A1597F">
        <w:rPr>
          <w:rFonts w:cstheme="minorHAnsi"/>
          <w:sz w:val="21"/>
          <w:szCs w:val="21"/>
          <w:lang w:val="en-AU"/>
        </w:rPr>
        <w:t>eight</w:t>
      </w:r>
      <w:r w:rsidR="00A1597F" w:rsidRPr="00BA23EC">
        <w:rPr>
          <w:rFonts w:cstheme="minorHAnsi"/>
          <w:sz w:val="21"/>
          <w:szCs w:val="21"/>
          <w:lang w:val="en-AU"/>
        </w:rPr>
        <w:t xml:space="preserve"> million vaccine doses from our domestic </w:t>
      </w:r>
      <w:r w:rsidR="00377E19">
        <w:rPr>
          <w:rFonts w:cstheme="minorHAnsi"/>
          <w:sz w:val="21"/>
          <w:szCs w:val="21"/>
          <w:lang w:val="en-AU"/>
        </w:rPr>
        <w:t xml:space="preserve">COVID-19 vaccine </w:t>
      </w:r>
      <w:r w:rsidR="00A1597F" w:rsidRPr="00BA23EC">
        <w:rPr>
          <w:rFonts w:cstheme="minorHAnsi"/>
          <w:sz w:val="21"/>
          <w:szCs w:val="21"/>
          <w:lang w:val="en-AU"/>
        </w:rPr>
        <w:t>supply.</w:t>
      </w:r>
      <w:r w:rsidR="00A1597F">
        <w:rPr>
          <w:rFonts w:cstheme="minorHAnsi"/>
          <w:sz w:val="21"/>
          <w:szCs w:val="21"/>
          <w:lang w:val="en-AU"/>
        </w:rPr>
        <w:t xml:space="preserve"> </w:t>
      </w:r>
      <w:r w:rsidR="008011C0" w:rsidRPr="00BA23EC">
        <w:rPr>
          <w:rFonts w:cstheme="minorHAnsi"/>
          <w:sz w:val="21"/>
          <w:lang w:val="en-AU"/>
        </w:rPr>
        <w:t>Australia</w:t>
      </w:r>
      <w:r w:rsidR="005D7B4A" w:rsidRPr="00BA23EC">
        <w:rPr>
          <w:rFonts w:cstheme="minorHAnsi"/>
          <w:sz w:val="21"/>
          <w:lang w:val="en-AU"/>
        </w:rPr>
        <w:t xml:space="preserve">’s </w:t>
      </w:r>
      <w:r w:rsidR="00F97297" w:rsidRPr="00BA23EC">
        <w:rPr>
          <w:rFonts w:cstheme="minorHAnsi"/>
          <w:sz w:val="21"/>
          <w:lang w:val="en-AU"/>
        </w:rPr>
        <w:t xml:space="preserve">bilateral health programs are supporting </w:t>
      </w:r>
      <w:r w:rsidR="005D7B4A" w:rsidRPr="00BA23EC">
        <w:rPr>
          <w:rFonts w:cstheme="minorHAnsi"/>
          <w:sz w:val="21"/>
          <w:lang w:val="en-AU"/>
        </w:rPr>
        <w:t xml:space="preserve">Indonesia </w:t>
      </w:r>
      <w:r w:rsidR="00CB69DE" w:rsidRPr="00BA23EC">
        <w:rPr>
          <w:rFonts w:cstheme="minorHAnsi"/>
          <w:sz w:val="21"/>
          <w:lang w:val="en-AU"/>
        </w:rPr>
        <w:t xml:space="preserve">to provide better quality health services </w:t>
      </w:r>
      <w:r w:rsidR="00A1597F">
        <w:rPr>
          <w:rFonts w:cstheme="minorHAnsi"/>
          <w:sz w:val="21"/>
          <w:lang w:val="en-AU"/>
        </w:rPr>
        <w:t xml:space="preserve">by </w:t>
      </w:r>
      <w:r w:rsidR="00F97297" w:rsidRPr="00BA23EC">
        <w:rPr>
          <w:rFonts w:cstheme="minorHAnsi"/>
          <w:sz w:val="21"/>
          <w:lang w:val="en-AU"/>
        </w:rPr>
        <w:t xml:space="preserve">working at </w:t>
      </w:r>
      <w:r w:rsidR="00CB69DE" w:rsidRPr="00BA23EC">
        <w:rPr>
          <w:rFonts w:cstheme="minorHAnsi"/>
          <w:sz w:val="21"/>
          <w:lang w:val="en-AU"/>
        </w:rPr>
        <w:t xml:space="preserve">the national level </w:t>
      </w:r>
      <w:r w:rsidR="003E512F">
        <w:rPr>
          <w:rFonts w:cstheme="minorHAnsi"/>
          <w:sz w:val="21"/>
          <w:lang w:val="en-AU"/>
        </w:rPr>
        <w:t xml:space="preserve">and sub-national </w:t>
      </w:r>
      <w:r w:rsidR="00CB69DE" w:rsidRPr="00BA23EC">
        <w:rPr>
          <w:rFonts w:cstheme="minorHAnsi"/>
          <w:sz w:val="21"/>
          <w:lang w:val="en-AU"/>
        </w:rPr>
        <w:t>level</w:t>
      </w:r>
      <w:r w:rsidR="003E512F">
        <w:rPr>
          <w:rFonts w:cstheme="minorHAnsi"/>
          <w:sz w:val="21"/>
          <w:lang w:val="en-AU"/>
        </w:rPr>
        <w:t>s</w:t>
      </w:r>
      <w:r w:rsidR="00CB69DE" w:rsidRPr="00BA23EC">
        <w:rPr>
          <w:rFonts w:cstheme="minorHAnsi"/>
          <w:sz w:val="21"/>
          <w:lang w:val="en-AU"/>
        </w:rPr>
        <w:t xml:space="preserve"> to </w:t>
      </w:r>
      <w:r w:rsidR="003E512F">
        <w:rPr>
          <w:rFonts w:cstheme="minorHAnsi"/>
          <w:sz w:val="21"/>
          <w:lang w:val="en-AU"/>
        </w:rPr>
        <w:t xml:space="preserve">support policymaking and </w:t>
      </w:r>
      <w:r w:rsidR="00CB69DE" w:rsidRPr="00BA23EC">
        <w:rPr>
          <w:rFonts w:cstheme="minorHAnsi"/>
          <w:sz w:val="21"/>
          <w:lang w:val="en-AU"/>
        </w:rPr>
        <w:t xml:space="preserve">improve service quality, </w:t>
      </w:r>
      <w:proofErr w:type="gramStart"/>
      <w:r w:rsidR="00CB69DE" w:rsidRPr="00BA23EC">
        <w:rPr>
          <w:rFonts w:cstheme="minorHAnsi"/>
          <w:sz w:val="21"/>
          <w:lang w:val="en-AU"/>
        </w:rPr>
        <w:t>governance</w:t>
      </w:r>
      <w:proofErr w:type="gramEnd"/>
      <w:r w:rsidR="00CB69DE" w:rsidRPr="00BA23EC">
        <w:rPr>
          <w:rFonts w:cstheme="minorHAnsi"/>
          <w:sz w:val="21"/>
          <w:lang w:val="en-AU"/>
        </w:rPr>
        <w:t xml:space="preserve"> and accountability.</w:t>
      </w:r>
      <w:r w:rsidR="00C24EF7" w:rsidRPr="00BA23EC">
        <w:rPr>
          <w:rFonts w:cstheme="minorHAnsi"/>
          <w:sz w:val="21"/>
          <w:lang w:val="en-AU"/>
        </w:rPr>
        <w:t xml:space="preserve"> </w:t>
      </w:r>
      <w:r w:rsidR="002725C6" w:rsidRPr="002725C6">
        <w:rPr>
          <w:rFonts w:cstheme="minorHAnsi"/>
          <w:sz w:val="21"/>
          <w:lang w:val="en-AU"/>
        </w:rPr>
        <w:t xml:space="preserve">Australia is </w:t>
      </w:r>
      <w:r w:rsidR="003E512F">
        <w:rPr>
          <w:rFonts w:cstheme="minorHAnsi"/>
          <w:sz w:val="21"/>
          <w:lang w:val="en-AU"/>
        </w:rPr>
        <w:t xml:space="preserve">also </w:t>
      </w:r>
      <w:r w:rsidR="002725C6" w:rsidRPr="002725C6">
        <w:rPr>
          <w:rFonts w:cstheme="minorHAnsi"/>
          <w:sz w:val="21"/>
          <w:lang w:val="en-AU"/>
        </w:rPr>
        <w:t xml:space="preserve">supporting the World Bank-managed Program for Results operation (USD400 million, 2022-26) which aims to strengthen the quality and efficiency </w:t>
      </w:r>
      <w:r w:rsidR="00B438D2">
        <w:rPr>
          <w:rFonts w:cstheme="minorHAnsi"/>
          <w:sz w:val="21"/>
          <w:lang w:val="en-AU"/>
        </w:rPr>
        <w:t xml:space="preserve">of </w:t>
      </w:r>
      <w:r w:rsidR="002725C6" w:rsidRPr="002725C6">
        <w:rPr>
          <w:rFonts w:cstheme="minorHAnsi"/>
          <w:sz w:val="21"/>
          <w:lang w:val="en-AU"/>
        </w:rPr>
        <w:t>Indonesia’s National Health Insurance program (JKN). We are providing USD3.5 million in co-financing and technical assistance under the World Bank Advance Universal Health Coverage multi-donor trust fund.</w:t>
      </w:r>
    </w:p>
    <w:p w14:paraId="4EDF27A8" w14:textId="59501645" w:rsidR="004250FC" w:rsidRPr="00BA23EC" w:rsidRDefault="005F3791" w:rsidP="00F81159">
      <w:pPr>
        <w:pStyle w:val="BodyText"/>
        <w:jc w:val="both"/>
        <w:rPr>
          <w:rFonts w:cstheme="minorHAnsi"/>
          <w:sz w:val="21"/>
          <w:lang w:val="en-AU"/>
        </w:rPr>
      </w:pPr>
      <w:r w:rsidRPr="00BA23EC">
        <w:rPr>
          <w:rFonts w:cstheme="minorHAnsi"/>
          <w:sz w:val="21"/>
          <w:lang w:val="en-AU"/>
        </w:rPr>
        <w:t>Australia</w:t>
      </w:r>
      <w:r w:rsidR="003E512F">
        <w:rPr>
          <w:rFonts w:cstheme="minorHAnsi"/>
          <w:sz w:val="21"/>
          <w:lang w:val="en-AU"/>
        </w:rPr>
        <w:t xml:space="preserve">’s support to </w:t>
      </w:r>
      <w:r w:rsidR="009056EB" w:rsidRPr="00BA23EC">
        <w:rPr>
          <w:rFonts w:cstheme="minorHAnsi"/>
          <w:sz w:val="21"/>
          <w:lang w:val="en-AU"/>
        </w:rPr>
        <w:t xml:space="preserve">Indonesia’s health reforms </w:t>
      </w:r>
      <w:r w:rsidR="003B31F7" w:rsidRPr="00BA23EC">
        <w:rPr>
          <w:rFonts w:cstheme="minorHAnsi"/>
          <w:sz w:val="21"/>
          <w:szCs w:val="21"/>
          <w:lang w:val="en-AU"/>
        </w:rPr>
        <w:t xml:space="preserve">through our bilateral health programs </w:t>
      </w:r>
      <w:r w:rsidR="009056EB" w:rsidRPr="00BA23EC">
        <w:rPr>
          <w:rFonts w:cstheme="minorHAnsi"/>
          <w:sz w:val="21"/>
          <w:lang w:val="en-AU"/>
        </w:rPr>
        <w:t xml:space="preserve">is </w:t>
      </w:r>
      <w:r w:rsidR="00CA12E8" w:rsidRPr="00BA23EC">
        <w:rPr>
          <w:rFonts w:cstheme="minorHAnsi"/>
          <w:sz w:val="21"/>
          <w:lang w:val="en-AU"/>
        </w:rPr>
        <w:t>achieving</w:t>
      </w:r>
      <w:r w:rsidR="00F472C5" w:rsidRPr="00BA23EC">
        <w:rPr>
          <w:rFonts w:cstheme="minorHAnsi"/>
          <w:sz w:val="21"/>
          <w:lang w:val="en-AU"/>
        </w:rPr>
        <w:t xml:space="preserve"> strong results</w:t>
      </w:r>
      <w:r w:rsidR="003B31F7" w:rsidRPr="00BA23EC">
        <w:rPr>
          <w:rFonts w:cstheme="minorHAnsi"/>
          <w:sz w:val="21"/>
          <w:szCs w:val="21"/>
          <w:lang w:val="en-AU"/>
        </w:rPr>
        <w:t>,</w:t>
      </w:r>
      <w:r w:rsidR="00621032" w:rsidRPr="00BA23EC">
        <w:rPr>
          <w:rFonts w:cstheme="minorHAnsi"/>
          <w:sz w:val="21"/>
          <w:lang w:val="en-AU"/>
        </w:rPr>
        <w:t xml:space="preserve"> </w:t>
      </w:r>
      <w:r w:rsidR="00662403" w:rsidRPr="00BA23EC">
        <w:rPr>
          <w:rFonts w:cstheme="minorHAnsi"/>
          <w:sz w:val="21"/>
          <w:lang w:val="en-AU"/>
        </w:rPr>
        <w:t>building</w:t>
      </w:r>
      <w:r w:rsidR="007E7DDB" w:rsidRPr="00BA23EC">
        <w:rPr>
          <w:rFonts w:cstheme="minorHAnsi"/>
          <w:sz w:val="21"/>
          <w:lang w:val="en-AU"/>
        </w:rPr>
        <w:t xml:space="preserve"> trust and influence with </w:t>
      </w:r>
      <w:r w:rsidR="00827A8B" w:rsidRPr="00BA23EC">
        <w:rPr>
          <w:rFonts w:cstheme="minorHAnsi"/>
          <w:sz w:val="21"/>
          <w:lang w:val="en-AU"/>
        </w:rPr>
        <w:t>Indonesia’s Health</w:t>
      </w:r>
      <w:r w:rsidR="007E7DDB" w:rsidRPr="00BA23EC">
        <w:rPr>
          <w:rFonts w:cstheme="minorHAnsi"/>
          <w:sz w:val="21"/>
          <w:lang w:val="en-AU"/>
        </w:rPr>
        <w:t xml:space="preserve"> Minister</w:t>
      </w:r>
      <w:r w:rsidR="007B1301" w:rsidRPr="00BA23EC">
        <w:rPr>
          <w:rFonts w:cstheme="minorHAnsi"/>
          <w:sz w:val="21"/>
          <w:lang w:val="en-AU"/>
        </w:rPr>
        <w:t xml:space="preserve">. </w:t>
      </w:r>
      <w:r w:rsidR="00616887" w:rsidRPr="00BA23EC">
        <w:rPr>
          <w:rFonts w:cstheme="minorHAnsi"/>
          <w:sz w:val="21"/>
          <w:lang w:val="en-AU"/>
        </w:rPr>
        <w:t xml:space="preserve">In August 2022, </w:t>
      </w:r>
      <w:r w:rsidR="00C24EF7" w:rsidRPr="00BA23EC">
        <w:rPr>
          <w:rFonts w:cstheme="minorHAnsi"/>
          <w:sz w:val="21"/>
          <w:lang w:val="en-AU"/>
        </w:rPr>
        <w:t xml:space="preserve">Minister </w:t>
      </w:r>
      <w:proofErr w:type="spellStart"/>
      <w:r w:rsidR="00C24EF7" w:rsidRPr="00BA23EC">
        <w:rPr>
          <w:rFonts w:cstheme="minorHAnsi"/>
          <w:sz w:val="21"/>
          <w:lang w:val="en-AU"/>
        </w:rPr>
        <w:t>Sadikin</w:t>
      </w:r>
      <w:proofErr w:type="spellEnd"/>
      <w:r w:rsidR="00C24EF7" w:rsidRPr="00BA23EC">
        <w:rPr>
          <w:rFonts w:cstheme="minorHAnsi"/>
          <w:sz w:val="21"/>
          <w:lang w:val="en-AU"/>
        </w:rPr>
        <w:t xml:space="preserve"> expressed his</w:t>
      </w:r>
      <w:r w:rsidR="00616887" w:rsidRPr="00BA23EC">
        <w:rPr>
          <w:rFonts w:cstheme="minorHAnsi"/>
          <w:sz w:val="21"/>
          <w:lang w:val="en-AU"/>
        </w:rPr>
        <w:t xml:space="preserve"> </w:t>
      </w:r>
      <w:r w:rsidR="00C24EF7" w:rsidRPr="00BA23EC">
        <w:rPr>
          <w:rFonts w:cstheme="minorHAnsi"/>
          <w:sz w:val="21"/>
          <w:lang w:val="en-AU"/>
        </w:rPr>
        <w:t xml:space="preserve">enthusiasm in working with Australia </w:t>
      </w:r>
      <w:r w:rsidR="00616887" w:rsidRPr="00BA23EC">
        <w:rPr>
          <w:rFonts w:cstheme="minorHAnsi"/>
          <w:sz w:val="21"/>
          <w:lang w:val="en-AU"/>
        </w:rPr>
        <w:t xml:space="preserve">in health reform delivery </w:t>
      </w:r>
      <w:r w:rsidR="00C24EF7" w:rsidRPr="00BA23EC">
        <w:rPr>
          <w:rFonts w:cstheme="minorHAnsi"/>
          <w:sz w:val="21"/>
          <w:lang w:val="en-AU"/>
        </w:rPr>
        <w:t xml:space="preserve">through </w:t>
      </w:r>
      <w:r w:rsidR="009E18B4" w:rsidRPr="00BA23EC">
        <w:rPr>
          <w:rFonts w:cstheme="minorHAnsi"/>
          <w:sz w:val="21"/>
          <w:lang w:val="en-AU"/>
        </w:rPr>
        <w:t>t</w:t>
      </w:r>
      <w:r w:rsidR="00616887" w:rsidRPr="00BA23EC">
        <w:rPr>
          <w:rFonts w:cstheme="minorHAnsi"/>
          <w:sz w:val="21"/>
          <w:lang w:val="en-AU"/>
        </w:rPr>
        <w:t xml:space="preserve">he </w:t>
      </w:r>
      <w:r w:rsidR="00616887" w:rsidRPr="00BA23EC">
        <w:rPr>
          <w:rFonts w:cstheme="minorHAnsi"/>
          <w:i/>
          <w:sz w:val="21"/>
          <w:lang w:val="en-AU"/>
        </w:rPr>
        <w:t>Australia Indonesia Health Security Partnership (AIHSP)</w:t>
      </w:r>
      <w:r w:rsidR="009E18B4" w:rsidRPr="00BA23EC">
        <w:rPr>
          <w:rFonts w:cstheme="minorHAnsi"/>
          <w:sz w:val="21"/>
          <w:lang w:val="en-AU"/>
        </w:rPr>
        <w:t xml:space="preserve"> and </w:t>
      </w:r>
      <w:r w:rsidR="00616887" w:rsidRPr="00BA23EC">
        <w:rPr>
          <w:rFonts w:cstheme="minorHAnsi"/>
          <w:sz w:val="21"/>
          <w:lang w:val="en-AU"/>
        </w:rPr>
        <w:t xml:space="preserve">the </w:t>
      </w:r>
      <w:r w:rsidR="00616887" w:rsidRPr="00BA23EC">
        <w:rPr>
          <w:rFonts w:cstheme="minorHAnsi"/>
          <w:i/>
          <w:sz w:val="21"/>
          <w:lang w:val="en-AU"/>
        </w:rPr>
        <w:t>Australia Indonesia Partnership for Economic Development (</w:t>
      </w:r>
      <w:proofErr w:type="spellStart"/>
      <w:r w:rsidR="00616887" w:rsidRPr="00BA23EC">
        <w:rPr>
          <w:rFonts w:cstheme="minorHAnsi"/>
          <w:i/>
          <w:sz w:val="21"/>
          <w:lang w:val="en-AU"/>
        </w:rPr>
        <w:t>Prospera</w:t>
      </w:r>
      <w:proofErr w:type="spellEnd"/>
      <w:r w:rsidR="00616887" w:rsidRPr="00BA23EC">
        <w:rPr>
          <w:rFonts w:cstheme="minorHAnsi"/>
          <w:i/>
          <w:sz w:val="21"/>
          <w:lang w:val="en-AU"/>
        </w:rPr>
        <w:t>).</w:t>
      </w:r>
      <w:r w:rsidR="00616887" w:rsidRPr="00BA23EC">
        <w:rPr>
          <w:rFonts w:cstheme="minorHAnsi"/>
          <w:sz w:val="21"/>
          <w:lang w:val="en-AU"/>
        </w:rPr>
        <w:t xml:space="preserve"> </w:t>
      </w:r>
      <w:r w:rsidR="003B31F7" w:rsidRPr="00BA23EC">
        <w:rPr>
          <w:rFonts w:cstheme="minorHAnsi"/>
          <w:sz w:val="21"/>
          <w:szCs w:val="21"/>
          <w:lang w:val="en-AU"/>
        </w:rPr>
        <w:t>These programs have provided p</w:t>
      </w:r>
      <w:r w:rsidR="009C6FB2" w:rsidRPr="00BA23EC">
        <w:rPr>
          <w:rFonts w:cstheme="minorHAnsi"/>
          <w:sz w:val="21"/>
          <w:szCs w:val="21"/>
          <w:lang w:val="en-AU"/>
        </w:rPr>
        <w:t>ublic</w:t>
      </w:r>
      <w:r w:rsidR="009C6FB2" w:rsidRPr="00BA23EC">
        <w:rPr>
          <w:rFonts w:cstheme="minorHAnsi"/>
          <w:sz w:val="21"/>
          <w:lang w:val="en-AU"/>
        </w:rPr>
        <w:t xml:space="preserve"> health expertise </w:t>
      </w:r>
      <w:r w:rsidR="003B31F7" w:rsidRPr="00BA23EC">
        <w:rPr>
          <w:rFonts w:cstheme="minorHAnsi"/>
          <w:sz w:val="21"/>
          <w:szCs w:val="21"/>
          <w:lang w:val="en-AU"/>
        </w:rPr>
        <w:t>to inform</w:t>
      </w:r>
      <w:r w:rsidR="009C6FB2" w:rsidRPr="00BA23EC">
        <w:rPr>
          <w:rFonts w:cstheme="minorHAnsi"/>
          <w:sz w:val="21"/>
          <w:lang w:val="en-AU"/>
        </w:rPr>
        <w:t xml:space="preserve"> </w:t>
      </w:r>
      <w:r w:rsidR="00BD6975" w:rsidRPr="00BA23EC">
        <w:rPr>
          <w:rFonts w:cstheme="minorHAnsi"/>
          <w:sz w:val="21"/>
          <w:lang w:val="en-AU"/>
        </w:rPr>
        <w:t xml:space="preserve">the </w:t>
      </w:r>
      <w:r w:rsidR="005E569B" w:rsidRPr="00BA23EC">
        <w:rPr>
          <w:rFonts w:cstheme="minorHAnsi"/>
          <w:sz w:val="21"/>
          <w:lang w:val="en-AU"/>
        </w:rPr>
        <w:t xml:space="preserve">design and implementation of </w:t>
      </w:r>
      <w:r w:rsidR="009C6FB2" w:rsidRPr="00BA23EC">
        <w:rPr>
          <w:rFonts w:cstheme="minorHAnsi"/>
          <w:sz w:val="21"/>
          <w:lang w:val="en-AU"/>
        </w:rPr>
        <w:t>reform</w:t>
      </w:r>
      <w:r w:rsidR="00AF5AE5" w:rsidRPr="00BA23EC">
        <w:rPr>
          <w:rFonts w:cstheme="minorHAnsi"/>
          <w:sz w:val="21"/>
          <w:lang w:val="en-AU"/>
        </w:rPr>
        <w:t xml:space="preserve"> measures</w:t>
      </w:r>
      <w:r w:rsidR="00B85E45" w:rsidRPr="00BA23EC">
        <w:rPr>
          <w:rFonts w:cstheme="minorHAnsi"/>
          <w:sz w:val="21"/>
          <w:lang w:val="en-AU"/>
        </w:rPr>
        <w:t xml:space="preserve">, </w:t>
      </w:r>
      <w:r w:rsidR="003B31F7" w:rsidRPr="00BA23EC">
        <w:rPr>
          <w:rFonts w:cstheme="minorHAnsi"/>
          <w:sz w:val="21"/>
          <w:szCs w:val="21"/>
          <w:lang w:val="en-AU" w:eastAsia="en-AU"/>
        </w:rPr>
        <w:t>as well as</w:t>
      </w:r>
      <w:r w:rsidR="00AF5AE5" w:rsidRPr="00BA23EC">
        <w:rPr>
          <w:rFonts w:cstheme="minorHAnsi"/>
          <w:sz w:val="21"/>
          <w:lang w:val="en-AU"/>
        </w:rPr>
        <w:t xml:space="preserve"> </w:t>
      </w:r>
      <w:r w:rsidR="00515A75" w:rsidRPr="00BA23EC">
        <w:rPr>
          <w:rFonts w:cstheme="minorHAnsi"/>
          <w:sz w:val="21"/>
          <w:lang w:val="en-AU"/>
        </w:rPr>
        <w:t xml:space="preserve">intensive change management </w:t>
      </w:r>
      <w:r w:rsidR="009B4624" w:rsidRPr="00BA23EC">
        <w:rPr>
          <w:rFonts w:cstheme="minorHAnsi"/>
          <w:sz w:val="21"/>
          <w:lang w:val="en-AU"/>
        </w:rPr>
        <w:t>expertise</w:t>
      </w:r>
      <w:r w:rsidR="00515A75" w:rsidRPr="00BA23EC">
        <w:rPr>
          <w:rFonts w:cstheme="minorHAnsi"/>
          <w:sz w:val="21"/>
          <w:lang w:val="en-AU"/>
        </w:rPr>
        <w:t xml:space="preserve"> </w:t>
      </w:r>
      <w:r w:rsidR="003B31F7" w:rsidRPr="00BA23EC">
        <w:rPr>
          <w:rFonts w:cstheme="minorHAnsi"/>
          <w:sz w:val="21"/>
          <w:szCs w:val="21"/>
          <w:lang w:val="en-AU"/>
        </w:rPr>
        <w:t>to build</w:t>
      </w:r>
      <w:r w:rsidR="00970D61" w:rsidRPr="00BA23EC">
        <w:rPr>
          <w:rFonts w:cstheme="minorHAnsi"/>
          <w:sz w:val="21"/>
          <w:lang w:val="en-AU"/>
        </w:rPr>
        <w:t xml:space="preserve"> MoH institutional </w:t>
      </w:r>
      <w:r w:rsidR="00E47C6D" w:rsidRPr="00BA23EC">
        <w:rPr>
          <w:rFonts w:cstheme="minorHAnsi"/>
          <w:sz w:val="21"/>
          <w:lang w:val="en-AU"/>
        </w:rPr>
        <w:t>capacity</w:t>
      </w:r>
      <w:r w:rsidR="00970D61" w:rsidRPr="00BA23EC">
        <w:rPr>
          <w:rFonts w:cstheme="minorHAnsi"/>
          <w:sz w:val="21"/>
          <w:lang w:val="en-AU"/>
        </w:rPr>
        <w:t xml:space="preserve"> </w:t>
      </w:r>
      <w:r w:rsidR="003B31F7" w:rsidRPr="00BA23EC">
        <w:rPr>
          <w:rFonts w:cstheme="minorHAnsi"/>
          <w:sz w:val="21"/>
          <w:szCs w:val="21"/>
          <w:lang w:val="en-AU"/>
        </w:rPr>
        <w:t>ensuring</w:t>
      </w:r>
      <w:r w:rsidR="0073131B" w:rsidRPr="00BA23EC">
        <w:rPr>
          <w:rFonts w:cstheme="minorHAnsi"/>
          <w:sz w:val="21"/>
          <w:lang w:val="en-AU"/>
        </w:rPr>
        <w:t xml:space="preserve"> internal readiness</w:t>
      </w:r>
      <w:r w:rsidR="00034DF7" w:rsidRPr="00BA23EC">
        <w:rPr>
          <w:rFonts w:cstheme="minorHAnsi"/>
          <w:sz w:val="21"/>
          <w:lang w:val="en-AU"/>
        </w:rPr>
        <w:t xml:space="preserve"> </w:t>
      </w:r>
      <w:r w:rsidR="008A281F" w:rsidRPr="00BA23EC">
        <w:rPr>
          <w:rFonts w:cstheme="minorHAnsi"/>
          <w:sz w:val="21"/>
          <w:lang w:val="en-AU"/>
        </w:rPr>
        <w:t>for the implementation of the transformation roadmap</w:t>
      </w:r>
      <w:r w:rsidR="009C6FB2" w:rsidRPr="00BA23EC">
        <w:rPr>
          <w:rFonts w:cstheme="minorHAnsi"/>
          <w:sz w:val="21"/>
          <w:lang w:val="en-AU"/>
        </w:rPr>
        <w:t>.</w:t>
      </w:r>
      <w:r w:rsidR="00A2357B" w:rsidRPr="00BA23EC">
        <w:rPr>
          <w:rFonts w:cstheme="minorHAnsi"/>
          <w:sz w:val="21"/>
          <w:lang w:val="en-AU"/>
        </w:rPr>
        <w:t xml:space="preserve"> </w:t>
      </w:r>
      <w:bookmarkStart w:id="8" w:name="_Hlk132562724"/>
      <w:r w:rsidR="00A60A84" w:rsidRPr="00BA23EC">
        <w:rPr>
          <w:rFonts w:cstheme="minorHAnsi"/>
          <w:sz w:val="21"/>
          <w:lang w:val="en-AU"/>
        </w:rPr>
        <w:t xml:space="preserve">Supporting the HT-MDTF </w:t>
      </w:r>
      <w:r w:rsidR="00A34D00" w:rsidRPr="00BA23EC">
        <w:rPr>
          <w:rFonts w:cstheme="minorHAnsi"/>
          <w:sz w:val="21"/>
          <w:szCs w:val="21"/>
          <w:lang w:val="en-AU"/>
        </w:rPr>
        <w:t>will provide Australia with</w:t>
      </w:r>
      <w:r w:rsidR="00A60A84" w:rsidRPr="00BA23EC">
        <w:rPr>
          <w:rFonts w:cstheme="minorHAnsi"/>
          <w:sz w:val="21"/>
          <w:lang w:val="en-AU"/>
        </w:rPr>
        <w:t xml:space="preserve"> a unique opportunity to </w:t>
      </w:r>
      <w:r w:rsidR="00A34D00" w:rsidRPr="00BA23EC">
        <w:rPr>
          <w:rFonts w:cstheme="minorHAnsi"/>
          <w:sz w:val="21"/>
          <w:szCs w:val="21"/>
          <w:lang w:val="en-AU"/>
        </w:rPr>
        <w:t xml:space="preserve">build </w:t>
      </w:r>
      <w:r w:rsidR="00A1597F">
        <w:rPr>
          <w:rFonts w:cstheme="minorHAnsi"/>
          <w:sz w:val="21"/>
          <w:szCs w:val="21"/>
          <w:lang w:val="en-AU"/>
        </w:rPr>
        <w:t>on</w:t>
      </w:r>
      <w:r w:rsidR="00A1597F" w:rsidRPr="00BA23EC">
        <w:rPr>
          <w:rFonts w:cstheme="minorHAnsi"/>
          <w:sz w:val="21"/>
          <w:lang w:val="en-AU"/>
        </w:rPr>
        <w:t xml:space="preserve"> </w:t>
      </w:r>
      <w:r w:rsidR="00080301" w:rsidRPr="00BA23EC">
        <w:rPr>
          <w:rFonts w:cstheme="minorHAnsi"/>
          <w:sz w:val="21"/>
          <w:lang w:val="en-AU"/>
        </w:rPr>
        <w:t xml:space="preserve">our reputation as a </w:t>
      </w:r>
      <w:r w:rsidR="00A34D00" w:rsidRPr="00BA23EC">
        <w:rPr>
          <w:rFonts w:cstheme="minorHAnsi"/>
          <w:sz w:val="21"/>
          <w:szCs w:val="21"/>
          <w:lang w:val="en-AU"/>
        </w:rPr>
        <w:t>trusted health development</w:t>
      </w:r>
      <w:r w:rsidR="00080301" w:rsidRPr="00BA23EC">
        <w:rPr>
          <w:rFonts w:cstheme="minorHAnsi"/>
          <w:sz w:val="21"/>
          <w:lang w:val="en-AU"/>
        </w:rPr>
        <w:t xml:space="preserve"> partner </w:t>
      </w:r>
      <w:r w:rsidR="00A34D00" w:rsidRPr="00BA23EC">
        <w:rPr>
          <w:rFonts w:cstheme="minorHAnsi"/>
          <w:sz w:val="21"/>
          <w:szCs w:val="21"/>
          <w:lang w:val="en-AU"/>
        </w:rPr>
        <w:t xml:space="preserve">and </w:t>
      </w:r>
      <w:r w:rsidR="003E512F">
        <w:rPr>
          <w:rFonts w:cstheme="minorHAnsi"/>
          <w:sz w:val="21"/>
          <w:szCs w:val="21"/>
          <w:lang w:val="en-AU"/>
        </w:rPr>
        <w:t xml:space="preserve">to </w:t>
      </w:r>
      <w:r w:rsidR="00A34D00" w:rsidRPr="00BA23EC">
        <w:rPr>
          <w:rFonts w:cstheme="minorHAnsi"/>
          <w:sz w:val="21"/>
          <w:szCs w:val="21"/>
          <w:lang w:val="en-AU"/>
        </w:rPr>
        <w:t>position us at the centre of</w:t>
      </w:r>
      <w:r w:rsidR="004250FC" w:rsidRPr="00BA23EC">
        <w:rPr>
          <w:rFonts w:cstheme="minorHAnsi"/>
          <w:sz w:val="21"/>
          <w:lang w:val="en-AU"/>
        </w:rPr>
        <w:t xml:space="preserve"> this </w:t>
      </w:r>
      <w:r w:rsidR="00A34D00" w:rsidRPr="00BA23EC">
        <w:rPr>
          <w:rFonts w:cstheme="minorHAnsi"/>
          <w:sz w:val="21"/>
          <w:szCs w:val="21"/>
          <w:lang w:val="en-AU"/>
        </w:rPr>
        <w:t>transformation agenda</w:t>
      </w:r>
      <w:r w:rsidR="004250FC" w:rsidRPr="00BA23EC">
        <w:rPr>
          <w:rFonts w:cstheme="minorHAnsi"/>
          <w:sz w:val="21"/>
          <w:lang w:val="en-AU"/>
        </w:rPr>
        <w:t xml:space="preserve">. </w:t>
      </w:r>
    </w:p>
    <w:bookmarkEnd w:id="8"/>
    <w:p w14:paraId="009A3246" w14:textId="3BB7EDE3" w:rsidR="00D82B9B" w:rsidRPr="00BA23EC" w:rsidRDefault="00EF34F5" w:rsidP="00F81159">
      <w:pPr>
        <w:pStyle w:val="BodyText"/>
        <w:jc w:val="both"/>
        <w:rPr>
          <w:rFonts w:cstheme="minorHAnsi"/>
          <w:sz w:val="21"/>
          <w:lang w:val="en-AU"/>
        </w:rPr>
      </w:pPr>
      <w:r w:rsidRPr="00BA23EC">
        <w:rPr>
          <w:rFonts w:cstheme="minorHAnsi"/>
          <w:b/>
          <w:sz w:val="21"/>
          <w:lang w:val="en-AU"/>
        </w:rPr>
        <w:t>The W</w:t>
      </w:r>
      <w:r w:rsidR="002936B6" w:rsidRPr="00BA23EC">
        <w:rPr>
          <w:rFonts w:cstheme="minorHAnsi"/>
          <w:b/>
          <w:sz w:val="21"/>
          <w:lang w:val="en-AU"/>
        </w:rPr>
        <w:t xml:space="preserve">orld Bank </w:t>
      </w:r>
      <w:r w:rsidRPr="00BA23EC">
        <w:rPr>
          <w:rFonts w:cstheme="minorHAnsi"/>
          <w:b/>
          <w:sz w:val="21"/>
          <w:lang w:val="en-AU"/>
        </w:rPr>
        <w:t>is a trusted long-term partner</w:t>
      </w:r>
      <w:r w:rsidR="00A1597F">
        <w:rPr>
          <w:rFonts w:cstheme="minorHAnsi"/>
          <w:b/>
          <w:sz w:val="21"/>
          <w:lang w:val="en-AU"/>
        </w:rPr>
        <w:t xml:space="preserve"> in</w:t>
      </w:r>
      <w:r w:rsidRPr="00BA23EC">
        <w:rPr>
          <w:rFonts w:cstheme="minorHAnsi"/>
          <w:b/>
          <w:sz w:val="21"/>
          <w:lang w:val="en-AU"/>
        </w:rPr>
        <w:t xml:space="preserve"> Indonesia</w:t>
      </w:r>
      <w:r w:rsidR="00A1597F">
        <w:rPr>
          <w:rFonts w:cstheme="minorHAnsi"/>
          <w:b/>
          <w:sz w:val="21"/>
          <w:lang w:val="en-AU"/>
        </w:rPr>
        <w:t>’s health sector</w:t>
      </w:r>
      <w:r w:rsidR="002E2DC6" w:rsidRPr="00BA23EC">
        <w:rPr>
          <w:rFonts w:cstheme="minorHAnsi"/>
          <w:b/>
          <w:sz w:val="21"/>
          <w:lang w:val="en-AU"/>
        </w:rPr>
        <w:t>.</w:t>
      </w:r>
      <w:r w:rsidR="00B03E1E" w:rsidRPr="00BA23EC">
        <w:rPr>
          <w:rFonts w:cstheme="minorHAnsi"/>
          <w:lang w:val="en-AU"/>
        </w:rPr>
        <w:t xml:space="preserve"> </w:t>
      </w:r>
      <w:r w:rsidR="002E6017" w:rsidRPr="00BA23EC">
        <w:rPr>
          <w:rFonts w:cstheme="minorHAnsi"/>
          <w:sz w:val="21"/>
          <w:lang w:val="en-AU"/>
        </w:rPr>
        <w:t xml:space="preserve">Given </w:t>
      </w:r>
      <w:r w:rsidR="000E3F10" w:rsidRPr="00BA23EC">
        <w:rPr>
          <w:rFonts w:cstheme="minorHAnsi"/>
          <w:sz w:val="21"/>
          <w:lang w:val="en-AU"/>
        </w:rPr>
        <w:t>the</w:t>
      </w:r>
      <w:r w:rsidR="002E6017" w:rsidRPr="00BA23EC">
        <w:rPr>
          <w:rFonts w:cstheme="minorHAnsi"/>
          <w:sz w:val="21"/>
          <w:lang w:val="en-AU"/>
        </w:rPr>
        <w:t xml:space="preserve"> </w:t>
      </w:r>
      <w:r w:rsidR="00E955A2" w:rsidRPr="00BA23EC">
        <w:rPr>
          <w:rFonts w:cstheme="minorHAnsi"/>
          <w:sz w:val="21"/>
          <w:lang w:val="en-AU"/>
        </w:rPr>
        <w:t>scale</w:t>
      </w:r>
      <w:r w:rsidR="002E6017" w:rsidRPr="00BA23EC">
        <w:rPr>
          <w:rFonts w:cstheme="minorHAnsi"/>
          <w:sz w:val="21"/>
          <w:lang w:val="en-AU"/>
        </w:rPr>
        <w:t xml:space="preserve"> </w:t>
      </w:r>
      <w:r w:rsidR="000E3F10" w:rsidRPr="00BA23EC">
        <w:rPr>
          <w:rFonts w:cstheme="minorHAnsi"/>
          <w:sz w:val="21"/>
          <w:lang w:val="en-AU"/>
        </w:rPr>
        <w:t>of these</w:t>
      </w:r>
      <w:r w:rsidR="002E6017" w:rsidRPr="00BA23EC">
        <w:rPr>
          <w:rFonts w:cstheme="minorHAnsi"/>
          <w:sz w:val="21"/>
          <w:lang w:val="en-AU"/>
        </w:rPr>
        <w:t xml:space="preserve"> ‘once a generation reforms’, the World Bank is best placed to support </w:t>
      </w:r>
      <w:r w:rsidR="00E955A2" w:rsidRPr="00BA23EC">
        <w:rPr>
          <w:rFonts w:cstheme="minorHAnsi"/>
          <w:sz w:val="21"/>
          <w:lang w:val="en-AU"/>
        </w:rPr>
        <w:t>this</w:t>
      </w:r>
      <w:r w:rsidR="00DB3443" w:rsidRPr="00BA23EC">
        <w:rPr>
          <w:rFonts w:cstheme="minorHAnsi"/>
          <w:sz w:val="21"/>
          <w:lang w:val="en-AU"/>
        </w:rPr>
        <w:t xml:space="preserve"> national</w:t>
      </w:r>
      <w:r w:rsidR="002E6017" w:rsidRPr="00BA23EC">
        <w:rPr>
          <w:rFonts w:cstheme="minorHAnsi"/>
          <w:sz w:val="21"/>
          <w:lang w:val="en-AU"/>
        </w:rPr>
        <w:t xml:space="preserve"> transformation</w:t>
      </w:r>
      <w:r w:rsidR="00DB3443" w:rsidRPr="00BA23EC">
        <w:rPr>
          <w:rFonts w:cstheme="minorHAnsi"/>
          <w:sz w:val="21"/>
          <w:lang w:val="en-AU"/>
        </w:rPr>
        <w:t xml:space="preserve"> agenda</w:t>
      </w:r>
      <w:r w:rsidR="002E6017" w:rsidRPr="00BA23EC">
        <w:rPr>
          <w:rFonts w:cstheme="minorHAnsi"/>
          <w:sz w:val="21"/>
          <w:lang w:val="en-AU"/>
        </w:rPr>
        <w:t xml:space="preserve">, given its longstanding health partnership </w:t>
      </w:r>
      <w:r w:rsidR="0030053D">
        <w:rPr>
          <w:rFonts w:cstheme="minorHAnsi"/>
          <w:sz w:val="21"/>
          <w:lang w:val="en-AU"/>
        </w:rPr>
        <w:t xml:space="preserve">with </w:t>
      </w:r>
      <w:proofErr w:type="spellStart"/>
      <w:r w:rsidR="004F4FAC">
        <w:rPr>
          <w:rFonts w:cstheme="minorHAnsi"/>
          <w:sz w:val="21"/>
          <w:lang w:val="en-AU"/>
        </w:rPr>
        <w:t>GoI</w:t>
      </w:r>
      <w:proofErr w:type="spellEnd"/>
      <w:r w:rsidR="004F4FAC">
        <w:rPr>
          <w:rFonts w:cstheme="minorHAnsi"/>
          <w:sz w:val="21"/>
          <w:lang w:val="en-AU"/>
        </w:rPr>
        <w:t xml:space="preserve"> </w:t>
      </w:r>
      <w:r w:rsidR="002E6017" w:rsidRPr="00BA23EC">
        <w:rPr>
          <w:rFonts w:cstheme="minorHAnsi"/>
          <w:sz w:val="21"/>
          <w:lang w:val="en-AU"/>
        </w:rPr>
        <w:t xml:space="preserve">and the MoH, its </w:t>
      </w:r>
      <w:r w:rsidR="00DB3443" w:rsidRPr="00BA23EC">
        <w:rPr>
          <w:rFonts w:cstheme="minorHAnsi"/>
          <w:sz w:val="21"/>
          <w:lang w:val="en-AU"/>
        </w:rPr>
        <w:t>extensive</w:t>
      </w:r>
      <w:r w:rsidR="002E6017" w:rsidRPr="00BA23EC">
        <w:rPr>
          <w:rFonts w:cstheme="minorHAnsi"/>
          <w:sz w:val="21"/>
          <w:lang w:val="en-AU"/>
        </w:rPr>
        <w:t xml:space="preserve"> lending portfolio</w:t>
      </w:r>
      <w:r w:rsidR="00DB3443" w:rsidRPr="00BA23EC">
        <w:rPr>
          <w:rFonts w:cstheme="minorHAnsi"/>
          <w:sz w:val="21"/>
          <w:lang w:val="en-AU"/>
        </w:rPr>
        <w:t>, wide-ranging</w:t>
      </w:r>
      <w:r w:rsidR="002E6017" w:rsidRPr="00BA23EC">
        <w:rPr>
          <w:rFonts w:cstheme="minorHAnsi"/>
          <w:sz w:val="21"/>
          <w:lang w:val="en-AU"/>
        </w:rPr>
        <w:t xml:space="preserve"> technical expertise, convening power, and capacity to </w:t>
      </w:r>
      <w:r w:rsidR="0025290F" w:rsidRPr="00BA23EC">
        <w:rPr>
          <w:rFonts w:cstheme="minorHAnsi"/>
          <w:sz w:val="21"/>
          <w:lang w:val="en-AU"/>
        </w:rPr>
        <w:t xml:space="preserve">leverage funding and </w:t>
      </w:r>
      <w:r w:rsidR="002E6017" w:rsidRPr="00BA23EC">
        <w:rPr>
          <w:rFonts w:cstheme="minorHAnsi"/>
          <w:sz w:val="21"/>
          <w:lang w:val="en-AU"/>
        </w:rPr>
        <w:t>mobilise resources.</w:t>
      </w:r>
      <w:r w:rsidR="00DB3443" w:rsidRPr="00BA23EC">
        <w:rPr>
          <w:rFonts w:cstheme="minorHAnsi"/>
          <w:sz w:val="21"/>
          <w:lang w:val="en-AU"/>
        </w:rPr>
        <w:t xml:space="preserve"> </w:t>
      </w:r>
      <w:r w:rsidR="007A25D8" w:rsidRPr="00BA23EC">
        <w:rPr>
          <w:rFonts w:cstheme="minorHAnsi"/>
          <w:sz w:val="21"/>
          <w:lang w:val="en-AU"/>
        </w:rPr>
        <w:t xml:space="preserve">In line with Indonesia’s </w:t>
      </w:r>
      <w:r w:rsidR="004F4FAC" w:rsidRPr="004F4FAC">
        <w:rPr>
          <w:rFonts w:cstheme="minorHAnsi"/>
          <w:sz w:val="21"/>
        </w:rPr>
        <w:t>National Medium-Term Development Plan</w:t>
      </w:r>
      <w:r w:rsidR="004F4FAC" w:rsidRPr="003C1B51">
        <w:rPr>
          <w:rFonts w:cstheme="minorHAnsi"/>
          <w:iCs/>
          <w:sz w:val="21"/>
          <w:lang w:val="en-AU"/>
        </w:rPr>
        <w:t xml:space="preserve"> 2020–2024</w:t>
      </w:r>
      <w:r w:rsidR="007A25D8" w:rsidRPr="00BA23EC">
        <w:rPr>
          <w:rFonts w:cstheme="minorHAnsi"/>
          <w:sz w:val="21"/>
          <w:lang w:val="en-AU"/>
        </w:rPr>
        <w:t>, the World Bank’s 2021-2025 Indonesia Country Partnership Framework has a focus on health system strengthening in the post-pandemic period, which has strong relevance to the six pillars of the health transformation agenda.</w:t>
      </w:r>
    </w:p>
    <w:p w14:paraId="311233E6" w14:textId="29BA17D7" w:rsidR="00C05AAB" w:rsidRPr="00BA23EC" w:rsidRDefault="00A5092E" w:rsidP="00100560">
      <w:pPr>
        <w:pStyle w:val="BodyText"/>
        <w:jc w:val="both"/>
        <w:rPr>
          <w:rFonts w:cstheme="minorHAnsi"/>
          <w:sz w:val="21"/>
          <w:lang w:val="en-AU"/>
        </w:rPr>
      </w:pPr>
      <w:r w:rsidRPr="00BA23EC">
        <w:rPr>
          <w:rFonts w:cstheme="minorHAnsi"/>
          <w:b/>
          <w:sz w:val="21"/>
          <w:lang w:val="en-AU"/>
        </w:rPr>
        <w:t xml:space="preserve">The </w:t>
      </w:r>
      <w:r w:rsidR="004D31C4" w:rsidRPr="00BA23EC">
        <w:rPr>
          <w:rFonts w:cstheme="minorHAnsi"/>
          <w:b/>
          <w:sz w:val="21"/>
          <w:lang w:val="en-AU"/>
        </w:rPr>
        <w:t>overarching</w:t>
      </w:r>
      <w:r w:rsidRPr="00BA23EC">
        <w:rPr>
          <w:rFonts w:cstheme="minorHAnsi"/>
          <w:b/>
          <w:sz w:val="21"/>
          <w:lang w:val="en-AU"/>
        </w:rPr>
        <w:t xml:space="preserve"> objective of the HT-MDTF is </w:t>
      </w:r>
      <w:r w:rsidR="002B0AB3" w:rsidRPr="00BA23EC">
        <w:rPr>
          <w:rFonts w:cstheme="minorHAnsi"/>
          <w:b/>
          <w:sz w:val="21"/>
          <w:lang w:val="en-AU"/>
        </w:rPr>
        <w:t xml:space="preserve">to </w:t>
      </w:r>
      <w:r w:rsidR="00966D3A">
        <w:rPr>
          <w:rFonts w:cstheme="minorHAnsi"/>
          <w:b/>
          <w:sz w:val="21"/>
          <w:lang w:val="en-AU"/>
        </w:rPr>
        <w:t>c</w:t>
      </w:r>
      <w:r w:rsidR="00966D3A" w:rsidRPr="00966D3A">
        <w:rPr>
          <w:rFonts w:cstheme="minorHAnsi"/>
          <w:b/>
          <w:sz w:val="21"/>
          <w:lang w:val="en-AU"/>
        </w:rPr>
        <w:t>ontribute to and be a key enabler of the Indonesian MoH’s Health System Transformation Agenda to strengthen primary and secondary health care, health financing, technology, talent, and health system</w:t>
      </w:r>
      <w:r w:rsidR="00966D3A">
        <w:rPr>
          <w:rFonts w:cstheme="minorHAnsi"/>
          <w:b/>
          <w:sz w:val="21"/>
          <w:lang w:val="en-AU"/>
        </w:rPr>
        <w:t xml:space="preserve"> resilience. </w:t>
      </w:r>
      <w:r w:rsidR="00966D3A">
        <w:rPr>
          <w:rFonts w:cstheme="minorHAnsi"/>
          <w:sz w:val="21"/>
          <w:lang w:val="en-AU"/>
        </w:rPr>
        <w:t xml:space="preserve"> A key </w:t>
      </w:r>
      <w:r w:rsidR="00D161BD">
        <w:rPr>
          <w:rFonts w:cstheme="minorHAnsi"/>
          <w:sz w:val="21"/>
          <w:lang w:val="en-AU"/>
        </w:rPr>
        <w:t>focus</w:t>
      </w:r>
      <w:r w:rsidR="00966D3A">
        <w:rPr>
          <w:rFonts w:cstheme="minorHAnsi"/>
          <w:sz w:val="21"/>
          <w:lang w:val="en-AU"/>
        </w:rPr>
        <w:t xml:space="preserve"> will be </w:t>
      </w:r>
      <w:r w:rsidR="00D161BD">
        <w:rPr>
          <w:rFonts w:cstheme="minorHAnsi"/>
          <w:sz w:val="21"/>
          <w:lang w:val="en-AU"/>
        </w:rPr>
        <w:t xml:space="preserve">providing </w:t>
      </w:r>
      <w:r w:rsidR="00966D3A">
        <w:rPr>
          <w:rFonts w:cstheme="minorHAnsi"/>
          <w:sz w:val="21"/>
          <w:lang w:val="en-AU"/>
        </w:rPr>
        <w:t xml:space="preserve">support to the MoH to </w:t>
      </w:r>
      <w:r w:rsidR="004435A2" w:rsidRPr="001252BC">
        <w:rPr>
          <w:rFonts w:cstheme="minorHAnsi"/>
          <w:sz w:val="21"/>
          <w:lang w:val="en-AU"/>
        </w:rPr>
        <w:t xml:space="preserve">reduce inequality for women and girls and people with disability and </w:t>
      </w:r>
      <w:r w:rsidR="00C63E21" w:rsidRPr="001252BC">
        <w:rPr>
          <w:rFonts w:cstheme="minorHAnsi"/>
          <w:sz w:val="21"/>
          <w:lang w:val="en-AU"/>
        </w:rPr>
        <w:t xml:space="preserve">to </w:t>
      </w:r>
      <w:r w:rsidR="00966D3A" w:rsidRPr="00C63E21">
        <w:rPr>
          <w:rFonts w:cstheme="minorHAnsi"/>
          <w:sz w:val="21"/>
          <w:lang w:val="en-AU"/>
        </w:rPr>
        <w:t xml:space="preserve">build </w:t>
      </w:r>
      <w:r w:rsidR="00C63E21">
        <w:rPr>
          <w:rFonts w:cstheme="minorHAnsi"/>
          <w:sz w:val="21"/>
          <w:lang w:val="en-AU"/>
        </w:rPr>
        <w:t xml:space="preserve">the </w:t>
      </w:r>
      <w:r w:rsidR="00966D3A" w:rsidRPr="00C63E21">
        <w:rPr>
          <w:rFonts w:cstheme="minorHAnsi"/>
          <w:sz w:val="21"/>
          <w:lang w:val="en-AU"/>
        </w:rPr>
        <w:t xml:space="preserve">climate </w:t>
      </w:r>
      <w:r w:rsidR="00966D3A">
        <w:rPr>
          <w:rFonts w:cstheme="minorHAnsi"/>
          <w:sz w:val="21"/>
          <w:lang w:val="en-AU"/>
        </w:rPr>
        <w:t xml:space="preserve">resilience </w:t>
      </w:r>
      <w:r w:rsidR="004435A2">
        <w:rPr>
          <w:rFonts w:cstheme="minorHAnsi"/>
          <w:sz w:val="21"/>
          <w:lang w:val="en-AU"/>
        </w:rPr>
        <w:t xml:space="preserve">of the </w:t>
      </w:r>
      <w:r w:rsidR="00966D3A">
        <w:rPr>
          <w:rFonts w:cstheme="minorHAnsi"/>
          <w:sz w:val="21"/>
          <w:lang w:val="en-AU"/>
        </w:rPr>
        <w:t xml:space="preserve">health sector. </w:t>
      </w:r>
      <w:r w:rsidR="006B6403">
        <w:rPr>
          <w:rFonts w:cstheme="minorHAnsi"/>
          <w:sz w:val="21"/>
          <w:lang w:val="en-AU"/>
        </w:rPr>
        <w:t xml:space="preserve">HT-MDTF funding will specifically focus on improving the reform management capability of the MoH through the provision of analytics that will inform and better ensure the effective operationalisation of the reforms. </w:t>
      </w:r>
      <w:r w:rsidR="00F60BC4" w:rsidRPr="00BA23EC">
        <w:rPr>
          <w:rFonts w:cstheme="minorHAnsi"/>
          <w:sz w:val="21"/>
          <w:lang w:val="en-AU"/>
        </w:rPr>
        <w:t xml:space="preserve">The HT-MDTF will be </w:t>
      </w:r>
      <w:r w:rsidR="00512AB1" w:rsidRPr="00BA23EC">
        <w:rPr>
          <w:rFonts w:cstheme="minorHAnsi"/>
          <w:sz w:val="21"/>
          <w:lang w:val="en-AU"/>
        </w:rPr>
        <w:t>established</w:t>
      </w:r>
      <w:r w:rsidR="00097C74" w:rsidRPr="00BA23EC">
        <w:rPr>
          <w:rFonts w:cstheme="minorHAnsi"/>
          <w:sz w:val="21"/>
          <w:lang w:val="en-AU"/>
        </w:rPr>
        <w:t xml:space="preserve"> in </w:t>
      </w:r>
      <w:r w:rsidR="00100560" w:rsidRPr="00BA23EC">
        <w:rPr>
          <w:rFonts w:cstheme="minorHAnsi"/>
          <w:sz w:val="21"/>
          <w:lang w:val="en-AU"/>
        </w:rPr>
        <w:t xml:space="preserve">April </w:t>
      </w:r>
      <w:r w:rsidR="00C47D70" w:rsidRPr="00BA23EC">
        <w:rPr>
          <w:rFonts w:cstheme="minorHAnsi"/>
          <w:sz w:val="21"/>
          <w:lang w:val="en-AU"/>
        </w:rPr>
        <w:t>2023</w:t>
      </w:r>
      <w:r w:rsidR="00227917" w:rsidRPr="00BA23EC">
        <w:rPr>
          <w:rFonts w:cstheme="minorHAnsi"/>
          <w:sz w:val="21"/>
          <w:lang w:val="en-AU"/>
        </w:rPr>
        <w:t xml:space="preserve"> with arrangements between the Bank and </w:t>
      </w:r>
      <w:proofErr w:type="spellStart"/>
      <w:r w:rsidR="00227917" w:rsidRPr="00BA23EC">
        <w:rPr>
          <w:rFonts w:cstheme="minorHAnsi"/>
          <w:sz w:val="21"/>
          <w:lang w:val="en-AU"/>
        </w:rPr>
        <w:t>G</w:t>
      </w:r>
      <w:r w:rsidR="004F4FAC">
        <w:rPr>
          <w:rFonts w:cstheme="minorHAnsi"/>
          <w:sz w:val="21"/>
          <w:lang w:val="en-AU"/>
        </w:rPr>
        <w:t>o</w:t>
      </w:r>
      <w:r w:rsidR="00227917" w:rsidRPr="00BA23EC">
        <w:rPr>
          <w:rFonts w:cstheme="minorHAnsi"/>
          <w:sz w:val="21"/>
          <w:lang w:val="en-AU"/>
        </w:rPr>
        <w:t>I</w:t>
      </w:r>
      <w:proofErr w:type="spellEnd"/>
      <w:r w:rsidR="00227917" w:rsidRPr="00BA23EC">
        <w:rPr>
          <w:rFonts w:cstheme="minorHAnsi"/>
          <w:sz w:val="21"/>
          <w:lang w:val="en-AU"/>
        </w:rPr>
        <w:t xml:space="preserve"> to be finalised in</w:t>
      </w:r>
      <w:r w:rsidR="00C47D70" w:rsidRPr="00BA23EC">
        <w:rPr>
          <w:rFonts w:cstheme="minorHAnsi"/>
          <w:sz w:val="21"/>
          <w:lang w:val="en-AU"/>
        </w:rPr>
        <w:t xml:space="preserve"> July</w:t>
      </w:r>
      <w:r w:rsidR="009E2D39" w:rsidRPr="00BA23EC">
        <w:rPr>
          <w:rFonts w:cstheme="minorHAnsi"/>
          <w:sz w:val="21"/>
          <w:lang w:val="en-AU"/>
        </w:rPr>
        <w:t xml:space="preserve"> 2023.</w:t>
      </w:r>
      <w:r w:rsidR="002E170C">
        <w:rPr>
          <w:rFonts w:cstheme="minorHAnsi"/>
          <w:sz w:val="21"/>
          <w:lang w:val="en-AU"/>
        </w:rPr>
        <w:t xml:space="preserve"> </w:t>
      </w:r>
    </w:p>
    <w:p w14:paraId="49B655FE" w14:textId="367C2D4E" w:rsidR="00BE1ACB" w:rsidRPr="00BA23EC" w:rsidRDefault="002C7B31" w:rsidP="00F81159">
      <w:pPr>
        <w:pStyle w:val="BodyText"/>
        <w:jc w:val="both"/>
        <w:rPr>
          <w:rFonts w:cstheme="minorHAnsi"/>
          <w:sz w:val="21"/>
          <w:lang w:val="en-AU"/>
        </w:rPr>
      </w:pPr>
      <w:r w:rsidRPr="00BA23EC">
        <w:rPr>
          <w:rFonts w:cstheme="minorHAnsi"/>
          <w:b/>
          <w:sz w:val="21"/>
          <w:lang w:val="en-AU"/>
        </w:rPr>
        <w:t xml:space="preserve">Australia’s </w:t>
      </w:r>
      <w:r w:rsidR="00C46B78" w:rsidRPr="00BA23EC">
        <w:rPr>
          <w:rFonts w:cstheme="minorHAnsi"/>
          <w:b/>
          <w:sz w:val="21"/>
          <w:lang w:val="en-AU"/>
        </w:rPr>
        <w:t xml:space="preserve">contribution to the </w:t>
      </w:r>
      <w:r w:rsidRPr="00BA23EC">
        <w:rPr>
          <w:rFonts w:cstheme="minorHAnsi"/>
          <w:b/>
          <w:sz w:val="21"/>
          <w:lang w:val="en-AU"/>
        </w:rPr>
        <w:t xml:space="preserve">HT-MDTF </w:t>
      </w:r>
      <w:r w:rsidR="00D01500" w:rsidRPr="00BA23EC">
        <w:rPr>
          <w:rFonts w:eastAsia="Times New Roman" w:cstheme="minorHAnsi"/>
          <w:b/>
          <w:bCs/>
          <w:sz w:val="21"/>
          <w:szCs w:val="21"/>
          <w:lang w:val="en-AU" w:eastAsia="en-AU"/>
        </w:rPr>
        <w:t xml:space="preserve">will have a total budget of </w:t>
      </w:r>
      <w:r w:rsidR="00915376">
        <w:rPr>
          <w:rFonts w:eastAsia="Times New Roman" w:cstheme="minorHAnsi"/>
          <w:b/>
          <w:bCs/>
          <w:sz w:val="21"/>
          <w:szCs w:val="21"/>
          <w:lang w:val="en-AU" w:eastAsia="en-AU"/>
        </w:rPr>
        <w:t xml:space="preserve">up to </w:t>
      </w:r>
      <w:r w:rsidR="00C46B78" w:rsidRPr="00BA23EC">
        <w:rPr>
          <w:rFonts w:eastAsia="Times New Roman" w:cstheme="minorHAnsi"/>
          <w:b/>
          <w:bCs/>
          <w:sz w:val="21"/>
          <w:szCs w:val="21"/>
          <w:lang w:val="en-AU" w:eastAsia="en-AU"/>
        </w:rPr>
        <w:t>AUD</w:t>
      </w:r>
      <w:r w:rsidR="00D01500" w:rsidRPr="00BA23EC">
        <w:rPr>
          <w:rFonts w:eastAsia="Times New Roman" w:cstheme="minorHAnsi"/>
          <w:b/>
          <w:bCs/>
          <w:sz w:val="21"/>
          <w:szCs w:val="21"/>
          <w:lang w:val="en-AU" w:eastAsia="en-AU"/>
        </w:rPr>
        <w:t>9.6 million</w:t>
      </w:r>
      <w:r w:rsidR="00A96FF9" w:rsidRPr="00BA23EC">
        <w:rPr>
          <w:rFonts w:eastAsia="Times New Roman" w:cstheme="minorHAnsi"/>
          <w:b/>
          <w:bCs/>
          <w:sz w:val="21"/>
          <w:szCs w:val="21"/>
          <w:lang w:val="en-AU" w:eastAsia="en-AU"/>
        </w:rPr>
        <w:t xml:space="preserve"> over three years. </w:t>
      </w:r>
      <w:r w:rsidR="00D01500" w:rsidRPr="00BA23EC">
        <w:rPr>
          <w:rFonts w:eastAsia="Times New Roman" w:cstheme="minorHAnsi"/>
          <w:sz w:val="21"/>
          <w:szCs w:val="21"/>
          <w:lang w:val="en-AU" w:eastAsia="en-AU"/>
        </w:rPr>
        <w:t xml:space="preserve"> </w:t>
      </w:r>
      <w:r w:rsidR="00E3625D" w:rsidRPr="00BA23EC">
        <w:rPr>
          <w:rFonts w:cstheme="minorHAnsi"/>
          <w:sz w:val="21"/>
          <w:lang w:val="en-AU"/>
        </w:rPr>
        <w:t xml:space="preserve">Supporting the trust </w:t>
      </w:r>
      <w:r w:rsidR="004F4FAC">
        <w:rPr>
          <w:rFonts w:cstheme="minorHAnsi"/>
          <w:sz w:val="21"/>
          <w:lang w:val="en-AU"/>
        </w:rPr>
        <w:t xml:space="preserve">fund </w:t>
      </w:r>
      <w:r w:rsidR="00E3625D" w:rsidRPr="00BA23EC">
        <w:rPr>
          <w:rFonts w:cstheme="minorHAnsi"/>
          <w:sz w:val="21"/>
          <w:lang w:val="en-AU"/>
        </w:rPr>
        <w:t>will enable Australia to build our influence and leverage in health governance</w:t>
      </w:r>
      <w:r w:rsidR="00915376">
        <w:rPr>
          <w:rFonts w:cstheme="minorHAnsi"/>
          <w:sz w:val="21"/>
          <w:lang w:val="en-AU"/>
        </w:rPr>
        <w:t xml:space="preserve"> in Indonesia</w:t>
      </w:r>
      <w:r w:rsidR="00E3625D" w:rsidRPr="00BA23EC">
        <w:rPr>
          <w:rFonts w:cstheme="minorHAnsi"/>
          <w:sz w:val="21"/>
          <w:lang w:val="en-AU"/>
        </w:rPr>
        <w:t xml:space="preserve">, as well as further our reputation as a trusted partner. Joining early </w:t>
      </w:r>
      <w:r w:rsidR="00C162AB" w:rsidRPr="00BA23EC">
        <w:rPr>
          <w:rFonts w:cstheme="minorHAnsi"/>
          <w:sz w:val="21"/>
          <w:lang w:val="en-AU"/>
        </w:rPr>
        <w:t xml:space="preserve">will </w:t>
      </w:r>
      <w:r w:rsidR="00E3625D" w:rsidRPr="00BA23EC">
        <w:rPr>
          <w:rFonts w:cstheme="minorHAnsi"/>
          <w:sz w:val="21"/>
          <w:lang w:val="en-AU"/>
        </w:rPr>
        <w:t xml:space="preserve">allow us to sit on </w:t>
      </w:r>
      <w:r w:rsidR="00A216A4" w:rsidRPr="00BA23EC">
        <w:rPr>
          <w:rFonts w:cstheme="minorHAnsi"/>
          <w:sz w:val="21"/>
          <w:lang w:val="en-AU"/>
        </w:rPr>
        <w:t>a</w:t>
      </w:r>
      <w:r w:rsidR="00C162AB" w:rsidRPr="00BA23EC">
        <w:rPr>
          <w:rFonts w:cstheme="minorHAnsi"/>
          <w:sz w:val="21"/>
          <w:lang w:val="en-AU"/>
        </w:rPr>
        <w:t xml:space="preserve"> </w:t>
      </w:r>
      <w:r w:rsidR="00E3625D" w:rsidRPr="00BA23EC">
        <w:rPr>
          <w:rFonts w:cstheme="minorHAnsi"/>
          <w:sz w:val="21"/>
          <w:lang w:val="en-AU"/>
        </w:rPr>
        <w:t>Partnership Co</w:t>
      </w:r>
      <w:r w:rsidR="00B452A7" w:rsidRPr="00BA23EC">
        <w:rPr>
          <w:rFonts w:cstheme="minorHAnsi"/>
          <w:sz w:val="21"/>
          <w:lang w:val="en-AU"/>
        </w:rPr>
        <w:t>uncil</w:t>
      </w:r>
      <w:r w:rsidR="001E5C72">
        <w:rPr>
          <w:rFonts w:cstheme="minorHAnsi"/>
          <w:sz w:val="21"/>
          <w:lang w:val="en-AU"/>
        </w:rPr>
        <w:t xml:space="preserve"> alongside senior echelon </w:t>
      </w:r>
      <w:proofErr w:type="spellStart"/>
      <w:r w:rsidR="001E5C72">
        <w:rPr>
          <w:rFonts w:cstheme="minorHAnsi"/>
          <w:sz w:val="21"/>
          <w:lang w:val="en-AU"/>
        </w:rPr>
        <w:t>GoI</w:t>
      </w:r>
      <w:proofErr w:type="spellEnd"/>
      <w:r w:rsidR="001E5C72">
        <w:rPr>
          <w:rFonts w:cstheme="minorHAnsi"/>
          <w:sz w:val="21"/>
          <w:lang w:val="en-AU"/>
        </w:rPr>
        <w:t xml:space="preserve"> counterparts, initial </w:t>
      </w:r>
      <w:proofErr w:type="gramStart"/>
      <w:r w:rsidR="001E5C72">
        <w:rPr>
          <w:rFonts w:cstheme="minorHAnsi"/>
          <w:sz w:val="21"/>
          <w:lang w:val="en-AU"/>
        </w:rPr>
        <w:t>donors</w:t>
      </w:r>
      <w:proofErr w:type="gramEnd"/>
      <w:r w:rsidR="001E5C72">
        <w:rPr>
          <w:rFonts w:cstheme="minorHAnsi"/>
          <w:sz w:val="21"/>
          <w:lang w:val="en-AU"/>
        </w:rPr>
        <w:t xml:space="preserve"> and the World Bank, </w:t>
      </w:r>
      <w:r w:rsidR="00E3625D" w:rsidRPr="00BA23EC">
        <w:rPr>
          <w:rFonts w:cstheme="minorHAnsi"/>
          <w:sz w:val="21"/>
          <w:lang w:val="en-AU"/>
        </w:rPr>
        <w:t xml:space="preserve">enabling us greater influence over the strategic direction of the </w:t>
      </w:r>
      <w:r w:rsidR="00CB6433" w:rsidRPr="00BA23EC">
        <w:rPr>
          <w:rFonts w:cstheme="minorHAnsi"/>
          <w:sz w:val="21"/>
          <w:lang w:val="en-AU"/>
        </w:rPr>
        <w:t>HT-</w:t>
      </w:r>
      <w:r w:rsidR="00E3625D" w:rsidRPr="00BA23EC">
        <w:rPr>
          <w:rFonts w:cstheme="minorHAnsi"/>
          <w:sz w:val="21"/>
          <w:lang w:val="en-AU"/>
        </w:rPr>
        <w:t>MDTF</w:t>
      </w:r>
      <w:r w:rsidR="00EC4056" w:rsidRPr="00BA23EC">
        <w:rPr>
          <w:rFonts w:cstheme="minorHAnsi"/>
          <w:sz w:val="21"/>
          <w:lang w:val="en-AU"/>
        </w:rPr>
        <w:t xml:space="preserve">, including </w:t>
      </w:r>
      <w:r w:rsidR="00EC4056" w:rsidRPr="00BA23EC">
        <w:rPr>
          <w:rFonts w:eastAsia="Times New Roman" w:cstheme="minorHAnsi"/>
          <w:sz w:val="21"/>
          <w:szCs w:val="21"/>
          <w:lang w:val="en-AU" w:eastAsia="en-AU"/>
        </w:rPr>
        <w:t xml:space="preserve">setting clear expectations on key </w:t>
      </w:r>
      <w:r w:rsidR="00EC4056" w:rsidRPr="00BA23EC">
        <w:rPr>
          <w:rFonts w:eastAsia="Times New Roman" w:cstheme="minorHAnsi"/>
          <w:sz w:val="21"/>
          <w:szCs w:val="21"/>
          <w:lang w:val="en-AU" w:eastAsia="en-AU"/>
        </w:rPr>
        <w:lastRenderedPageBreak/>
        <w:t xml:space="preserve">policy priorities, such as </w:t>
      </w:r>
      <w:r w:rsidR="00D63DBA" w:rsidRPr="00BA23EC">
        <w:rPr>
          <w:rFonts w:eastAsia="Times New Roman" w:cstheme="minorHAnsi"/>
          <w:sz w:val="21"/>
          <w:szCs w:val="21"/>
          <w:lang w:val="en-AU" w:eastAsia="en-AU"/>
        </w:rPr>
        <w:t>GEDSI</w:t>
      </w:r>
      <w:r w:rsidR="0023526B">
        <w:rPr>
          <w:rFonts w:eastAsia="Times New Roman" w:cstheme="minorHAnsi"/>
          <w:sz w:val="21"/>
          <w:szCs w:val="21"/>
          <w:lang w:val="en-AU" w:eastAsia="en-AU"/>
        </w:rPr>
        <w:t xml:space="preserve"> and climate change</w:t>
      </w:r>
      <w:r w:rsidR="00D63DBA" w:rsidRPr="00BA23EC">
        <w:rPr>
          <w:rFonts w:eastAsia="Times New Roman" w:cstheme="minorHAnsi"/>
          <w:sz w:val="21"/>
          <w:szCs w:val="21"/>
          <w:lang w:val="en-AU" w:eastAsia="en-AU"/>
        </w:rPr>
        <w:t xml:space="preserve">. </w:t>
      </w:r>
      <w:r w:rsidR="00FA6883" w:rsidRPr="00BA23EC">
        <w:rPr>
          <w:rFonts w:cstheme="minorHAnsi"/>
          <w:sz w:val="21"/>
          <w:lang w:val="en-AU"/>
        </w:rPr>
        <w:t>Monitoring and evaluation will be managed by the Jakarta Post Health sub-unit</w:t>
      </w:r>
      <w:r w:rsidR="00DD0164" w:rsidRPr="00BA23EC">
        <w:rPr>
          <w:rFonts w:cstheme="minorHAnsi"/>
          <w:sz w:val="21"/>
          <w:lang w:val="en-AU"/>
        </w:rPr>
        <w:t xml:space="preserve"> to ensure consistency with other health bilateral programs. </w:t>
      </w:r>
    </w:p>
    <w:p w14:paraId="62834517" w14:textId="6FCC9D1D" w:rsidR="00E25BC4" w:rsidRDefault="00BE1ACB" w:rsidP="00F81159">
      <w:pPr>
        <w:pStyle w:val="BodyText"/>
        <w:jc w:val="both"/>
        <w:rPr>
          <w:rFonts w:cstheme="minorHAnsi"/>
          <w:sz w:val="21"/>
          <w:lang w:val="en-AU"/>
        </w:rPr>
      </w:pPr>
      <w:r w:rsidRPr="00BA23EC">
        <w:rPr>
          <w:rFonts w:cstheme="minorHAnsi"/>
          <w:sz w:val="21"/>
          <w:lang w:val="en-AU"/>
        </w:rPr>
        <w:t xml:space="preserve">The </w:t>
      </w:r>
      <w:r w:rsidR="00C271EE" w:rsidRPr="00BA23EC">
        <w:rPr>
          <w:rFonts w:cstheme="minorHAnsi"/>
          <w:sz w:val="21"/>
          <w:lang w:val="en-AU"/>
        </w:rPr>
        <w:t xml:space="preserve">upcoming </w:t>
      </w:r>
      <w:r w:rsidRPr="00BA23EC">
        <w:rPr>
          <w:rFonts w:cstheme="minorHAnsi"/>
          <w:sz w:val="21"/>
          <w:lang w:val="en-AU"/>
        </w:rPr>
        <w:t xml:space="preserve">2024 general elections </w:t>
      </w:r>
      <w:r w:rsidR="005357AB" w:rsidRPr="00BA23EC">
        <w:rPr>
          <w:rFonts w:cstheme="minorHAnsi"/>
          <w:sz w:val="21"/>
          <w:lang w:val="en-AU"/>
        </w:rPr>
        <w:t>bring</w:t>
      </w:r>
      <w:r w:rsidR="00482ED0" w:rsidRPr="00BA23EC">
        <w:rPr>
          <w:rFonts w:cstheme="minorHAnsi"/>
          <w:sz w:val="21"/>
          <w:lang w:val="en-AU"/>
        </w:rPr>
        <w:t>s</w:t>
      </w:r>
      <w:r w:rsidR="005357AB" w:rsidRPr="00BA23EC">
        <w:rPr>
          <w:rFonts w:cstheme="minorHAnsi"/>
          <w:sz w:val="21"/>
          <w:lang w:val="en-AU"/>
        </w:rPr>
        <w:t xml:space="preserve"> with it the </w:t>
      </w:r>
      <w:r w:rsidR="0090627E" w:rsidRPr="00BA23EC">
        <w:rPr>
          <w:rFonts w:cstheme="minorHAnsi"/>
          <w:sz w:val="21"/>
          <w:lang w:val="en-AU"/>
        </w:rPr>
        <w:t>risk that a new</w:t>
      </w:r>
      <w:r w:rsidR="005357AB" w:rsidRPr="00BA23EC">
        <w:rPr>
          <w:rFonts w:cstheme="minorHAnsi"/>
          <w:sz w:val="21"/>
          <w:lang w:val="en-AU"/>
        </w:rPr>
        <w:t xml:space="preserve"> administration </w:t>
      </w:r>
      <w:r w:rsidR="00E47315" w:rsidRPr="00BA23EC">
        <w:rPr>
          <w:rFonts w:cstheme="minorHAnsi"/>
          <w:sz w:val="21"/>
          <w:lang w:val="en-AU"/>
        </w:rPr>
        <w:t xml:space="preserve">will </w:t>
      </w:r>
      <w:r w:rsidR="0090627E" w:rsidRPr="00BA23EC">
        <w:rPr>
          <w:rFonts w:cstheme="minorHAnsi"/>
          <w:sz w:val="21"/>
          <w:lang w:val="en-AU"/>
        </w:rPr>
        <w:t>de-prioritis</w:t>
      </w:r>
      <w:r w:rsidR="00E47315" w:rsidRPr="00BA23EC">
        <w:rPr>
          <w:rFonts w:cstheme="minorHAnsi"/>
          <w:sz w:val="21"/>
          <w:lang w:val="en-AU"/>
        </w:rPr>
        <w:t>e</w:t>
      </w:r>
      <w:r w:rsidR="0090627E" w:rsidRPr="00BA23EC">
        <w:rPr>
          <w:rFonts w:cstheme="minorHAnsi"/>
          <w:sz w:val="21"/>
          <w:lang w:val="en-AU"/>
        </w:rPr>
        <w:t xml:space="preserve"> </w:t>
      </w:r>
      <w:r w:rsidR="0090627E" w:rsidRPr="00BA23EC">
        <w:rPr>
          <w:rFonts w:cstheme="minorHAnsi"/>
          <w:sz w:val="21"/>
          <w:szCs w:val="21"/>
          <w:lang w:val="en-AU"/>
        </w:rPr>
        <w:t>health</w:t>
      </w:r>
      <w:r w:rsidR="00A34D00" w:rsidRPr="00BA23EC">
        <w:rPr>
          <w:rFonts w:cstheme="minorHAnsi"/>
          <w:sz w:val="21"/>
          <w:szCs w:val="21"/>
          <w:lang w:val="en-AU"/>
        </w:rPr>
        <w:t xml:space="preserve"> </w:t>
      </w:r>
      <w:r w:rsidR="0090627E" w:rsidRPr="00BA23EC">
        <w:rPr>
          <w:rFonts w:cstheme="minorHAnsi"/>
          <w:sz w:val="21"/>
          <w:lang w:val="en-AU"/>
        </w:rPr>
        <w:t xml:space="preserve">transformation </w:t>
      </w:r>
      <w:r w:rsidR="004F4FAC">
        <w:rPr>
          <w:rFonts w:cstheme="minorHAnsi"/>
          <w:sz w:val="21"/>
          <w:lang w:val="en-AU"/>
        </w:rPr>
        <w:t>reforms</w:t>
      </w:r>
      <w:r w:rsidR="0090627E" w:rsidRPr="00BA23EC">
        <w:rPr>
          <w:rFonts w:cstheme="minorHAnsi"/>
          <w:sz w:val="21"/>
          <w:lang w:val="en-AU"/>
        </w:rPr>
        <w:t>.</w:t>
      </w:r>
      <w:r w:rsidR="00E47315" w:rsidRPr="00BA23EC">
        <w:rPr>
          <w:rFonts w:cstheme="minorHAnsi"/>
          <w:sz w:val="21"/>
          <w:lang w:val="en-AU"/>
        </w:rPr>
        <w:t xml:space="preserve"> </w:t>
      </w:r>
      <w:r w:rsidR="00F528F1" w:rsidRPr="00BA23EC">
        <w:rPr>
          <w:rFonts w:cstheme="minorHAnsi"/>
          <w:sz w:val="21"/>
          <w:lang w:val="en-AU"/>
        </w:rPr>
        <w:t xml:space="preserve">Efforts </w:t>
      </w:r>
      <w:r w:rsidR="005B0C17" w:rsidRPr="00BA23EC">
        <w:rPr>
          <w:rFonts w:cstheme="minorHAnsi"/>
          <w:sz w:val="21"/>
          <w:lang w:val="en-AU"/>
        </w:rPr>
        <w:t xml:space="preserve">are underway </w:t>
      </w:r>
      <w:r w:rsidR="00F528F1" w:rsidRPr="00BA23EC">
        <w:rPr>
          <w:rFonts w:cstheme="minorHAnsi"/>
          <w:sz w:val="21"/>
          <w:lang w:val="en-AU"/>
        </w:rPr>
        <w:t xml:space="preserve">to embed these reforms beyond the current administration, including through </w:t>
      </w:r>
      <w:r w:rsidR="00DF0654">
        <w:rPr>
          <w:rFonts w:cstheme="minorHAnsi"/>
          <w:sz w:val="21"/>
          <w:lang w:val="en-AU"/>
        </w:rPr>
        <w:t xml:space="preserve">a comprehensive new Health Omnibus Law </w:t>
      </w:r>
      <w:r w:rsidR="00E25BC4">
        <w:rPr>
          <w:rFonts w:cstheme="minorHAnsi"/>
          <w:sz w:val="21"/>
          <w:lang w:val="en-AU"/>
        </w:rPr>
        <w:t>that will be ratified in July 2023</w:t>
      </w:r>
      <w:r w:rsidR="0023526B">
        <w:rPr>
          <w:rFonts w:cstheme="minorHAnsi"/>
          <w:sz w:val="21"/>
          <w:lang w:val="en-AU"/>
        </w:rPr>
        <w:t xml:space="preserve">, </w:t>
      </w:r>
      <w:r w:rsidR="00E25BC4">
        <w:rPr>
          <w:rFonts w:cstheme="minorHAnsi"/>
          <w:sz w:val="21"/>
          <w:lang w:val="en-AU"/>
        </w:rPr>
        <w:t xml:space="preserve">which </w:t>
      </w:r>
      <w:r w:rsidR="00DF0654">
        <w:rPr>
          <w:rFonts w:cstheme="minorHAnsi"/>
          <w:sz w:val="21"/>
          <w:lang w:val="en-AU"/>
        </w:rPr>
        <w:t xml:space="preserve">represents a massive overhaul of existing health laws and includes a minimum 10 percent </w:t>
      </w:r>
      <w:r w:rsidR="00E25BC4">
        <w:rPr>
          <w:rFonts w:cstheme="minorHAnsi"/>
          <w:sz w:val="21"/>
          <w:lang w:val="en-AU"/>
        </w:rPr>
        <w:t>budget allocation for h</w:t>
      </w:r>
      <w:r w:rsidR="00DF0654">
        <w:rPr>
          <w:rFonts w:cstheme="minorHAnsi"/>
          <w:sz w:val="21"/>
          <w:lang w:val="en-AU"/>
        </w:rPr>
        <w:t>ealth at the national, provincial and city levels</w:t>
      </w:r>
      <w:r w:rsidR="005B0C17" w:rsidRPr="00BA23EC">
        <w:rPr>
          <w:rFonts w:cstheme="minorHAnsi"/>
          <w:sz w:val="21"/>
          <w:lang w:val="en-AU"/>
        </w:rPr>
        <w:t xml:space="preserve">. </w:t>
      </w:r>
    </w:p>
    <w:p w14:paraId="366EFD52" w14:textId="46811EB1" w:rsidR="00832EA6" w:rsidRPr="00BA23EC" w:rsidRDefault="009A1745" w:rsidP="00F81159">
      <w:pPr>
        <w:pStyle w:val="BodyText"/>
        <w:jc w:val="both"/>
        <w:rPr>
          <w:rFonts w:cstheme="minorHAnsi"/>
          <w:sz w:val="21"/>
          <w:lang w:val="en-AU"/>
        </w:rPr>
      </w:pPr>
      <w:r w:rsidRPr="00BA23EC">
        <w:rPr>
          <w:rFonts w:cstheme="minorHAnsi"/>
          <w:sz w:val="21"/>
          <w:lang w:val="en-AU"/>
        </w:rPr>
        <w:t xml:space="preserve">A key objective of the HT-MDTF will be to </w:t>
      </w:r>
      <w:r w:rsidR="00BB19E6" w:rsidRPr="00BA23EC">
        <w:rPr>
          <w:rFonts w:cstheme="minorHAnsi"/>
          <w:sz w:val="21"/>
          <w:lang w:val="en-AU"/>
        </w:rPr>
        <w:t>ensure the reform process is embedded within MoH institution</w:t>
      </w:r>
      <w:r w:rsidR="008E5093" w:rsidRPr="00BA23EC">
        <w:rPr>
          <w:rFonts w:cstheme="minorHAnsi"/>
          <w:sz w:val="21"/>
          <w:lang w:val="en-AU"/>
        </w:rPr>
        <w:t>al arrangements to ensure ongoing sustainability.</w:t>
      </w:r>
      <w:r w:rsidR="008155FF" w:rsidRPr="00BA23EC">
        <w:rPr>
          <w:rFonts w:cstheme="minorHAnsi"/>
          <w:sz w:val="21"/>
          <w:lang w:val="en-AU"/>
        </w:rPr>
        <w:t xml:space="preserve"> </w:t>
      </w:r>
      <w:r w:rsidR="00F93255" w:rsidRPr="00BA23EC">
        <w:rPr>
          <w:rFonts w:cstheme="minorHAnsi"/>
          <w:sz w:val="21"/>
          <w:lang w:val="en-AU"/>
        </w:rPr>
        <w:t xml:space="preserve">Flexibility in the arrangements will ensure the HT-MDTF </w:t>
      </w:r>
      <w:r w:rsidR="004F4FAC">
        <w:rPr>
          <w:rFonts w:cstheme="minorHAnsi"/>
          <w:sz w:val="21"/>
          <w:lang w:val="en-AU"/>
        </w:rPr>
        <w:t>can</w:t>
      </w:r>
      <w:r w:rsidR="00F93255" w:rsidRPr="00BA23EC">
        <w:rPr>
          <w:rFonts w:cstheme="minorHAnsi"/>
          <w:sz w:val="21"/>
          <w:lang w:val="en-AU"/>
        </w:rPr>
        <w:t xml:space="preserve"> </w:t>
      </w:r>
      <w:r w:rsidR="00F50F7D" w:rsidRPr="00BA23EC">
        <w:rPr>
          <w:rFonts w:cstheme="minorHAnsi"/>
          <w:sz w:val="21"/>
          <w:lang w:val="en-AU"/>
        </w:rPr>
        <w:t xml:space="preserve">accommodate a </w:t>
      </w:r>
      <w:r w:rsidR="006B12FE" w:rsidRPr="00BA23EC">
        <w:rPr>
          <w:rFonts w:cstheme="minorHAnsi"/>
          <w:sz w:val="21"/>
          <w:lang w:val="en-AU"/>
        </w:rPr>
        <w:t>new Health Minister’s priority</w:t>
      </w:r>
      <w:r w:rsidR="00F50F7D" w:rsidRPr="00BA23EC">
        <w:rPr>
          <w:rFonts w:cstheme="minorHAnsi"/>
          <w:sz w:val="21"/>
          <w:lang w:val="en-AU"/>
        </w:rPr>
        <w:t>, if the</w:t>
      </w:r>
      <w:r w:rsidR="008B2891" w:rsidRPr="00BA23EC">
        <w:rPr>
          <w:rFonts w:cstheme="minorHAnsi"/>
          <w:sz w:val="21"/>
          <w:lang w:val="en-AU"/>
        </w:rPr>
        <w:t xml:space="preserve">se are </w:t>
      </w:r>
      <w:r w:rsidR="006B12FE" w:rsidRPr="00BA23EC">
        <w:rPr>
          <w:rFonts w:cstheme="minorHAnsi"/>
          <w:sz w:val="21"/>
          <w:lang w:val="en-AU"/>
        </w:rPr>
        <w:t xml:space="preserve">assessed to be </w:t>
      </w:r>
      <w:r w:rsidR="00F50F7D" w:rsidRPr="00BA23EC">
        <w:rPr>
          <w:rFonts w:cstheme="minorHAnsi"/>
          <w:sz w:val="21"/>
          <w:lang w:val="en-AU"/>
        </w:rPr>
        <w:t>beneficial to Indonesia.</w:t>
      </w:r>
    </w:p>
    <w:p w14:paraId="38969662" w14:textId="4F7BFBAB" w:rsidR="002D4DE7" w:rsidRPr="00BA23EC" w:rsidRDefault="00271FB6" w:rsidP="00271FB6">
      <w:pPr>
        <w:pStyle w:val="Heading2"/>
      </w:pPr>
      <w:bookmarkStart w:id="9" w:name="DevelopmentContextandSituationalAnalysis"/>
      <w:r>
        <w:t xml:space="preserve">B. </w:t>
      </w:r>
      <w:r w:rsidR="0025403C" w:rsidRPr="00BA23EC">
        <w:t>Development Context and Situational Analysis</w:t>
      </w:r>
    </w:p>
    <w:bookmarkEnd w:id="9"/>
    <w:p w14:paraId="21FA065D" w14:textId="2FF4AE55" w:rsidR="004F256C" w:rsidRPr="00BA23EC" w:rsidRDefault="004F256C" w:rsidP="004F256C">
      <w:pPr>
        <w:pStyle w:val="BodyText"/>
        <w:jc w:val="both"/>
        <w:rPr>
          <w:rFonts w:cstheme="minorHAnsi"/>
          <w:sz w:val="21"/>
          <w:szCs w:val="21"/>
          <w:lang w:val="en-AU"/>
        </w:rPr>
      </w:pPr>
      <w:r w:rsidRPr="00BA23EC">
        <w:rPr>
          <w:rFonts w:cstheme="minorHAnsi"/>
          <w:sz w:val="21"/>
          <w:szCs w:val="21"/>
          <w:lang w:val="en-AU"/>
        </w:rPr>
        <w:t xml:space="preserve">Since the late 1990s, Indonesia embarked on a process of decentralization with responsibility for major public services like health, education, and infrastructure devolving to local authorities at the district level.  Over this time Indonesia’s health system has undergone rapid changes, accompanied by significant improvements in overall </w:t>
      </w:r>
      <w:r w:rsidR="00A34D00" w:rsidRPr="00BA23EC">
        <w:rPr>
          <w:rFonts w:cstheme="minorHAnsi"/>
          <w:sz w:val="21"/>
          <w:szCs w:val="21"/>
          <w:lang w:val="en-AU"/>
        </w:rPr>
        <w:t xml:space="preserve">health </w:t>
      </w:r>
      <w:r w:rsidRPr="00BA23EC">
        <w:rPr>
          <w:rFonts w:cstheme="minorHAnsi"/>
          <w:sz w:val="21"/>
          <w:szCs w:val="21"/>
          <w:lang w:val="en-AU"/>
        </w:rPr>
        <w:t>status with life expectancy at birth rising from 63 years in 1990 to 69 years for men and 74 years for women in 2018, and infant mortality falling from 65 deaths per 1000 live births in 1990, to 29 deaths in 2019. The Indonesian National Health Insurance (</w:t>
      </w:r>
      <w:proofErr w:type="spellStart"/>
      <w:r w:rsidRPr="00BA23EC">
        <w:rPr>
          <w:rFonts w:cstheme="minorHAnsi"/>
          <w:sz w:val="21"/>
          <w:szCs w:val="21"/>
          <w:lang w:val="en-AU"/>
        </w:rPr>
        <w:t>Jaminan</w:t>
      </w:r>
      <w:proofErr w:type="spellEnd"/>
      <w:r w:rsidRPr="00BA23EC">
        <w:rPr>
          <w:rFonts w:cstheme="minorHAnsi"/>
          <w:sz w:val="21"/>
          <w:szCs w:val="21"/>
          <w:lang w:val="en-AU"/>
        </w:rPr>
        <w:t xml:space="preserve"> Kesehatan Nasional/JKN) has had a major role in improving people’s access to equitable healthcare services. Since its inception in 2014 </w:t>
      </w:r>
      <w:r w:rsidR="00477DD8">
        <w:rPr>
          <w:rFonts w:cstheme="minorHAnsi"/>
          <w:sz w:val="21"/>
          <w:szCs w:val="21"/>
          <w:lang w:val="en-AU"/>
        </w:rPr>
        <w:t xml:space="preserve">JKN </w:t>
      </w:r>
      <w:r w:rsidRPr="00BA23EC">
        <w:rPr>
          <w:rFonts w:cstheme="minorHAnsi"/>
          <w:sz w:val="21"/>
          <w:szCs w:val="21"/>
          <w:lang w:val="en-AU"/>
        </w:rPr>
        <w:t>coverage has reached over 90</w:t>
      </w:r>
      <w:r w:rsidR="008019DB">
        <w:rPr>
          <w:rFonts w:cstheme="minorHAnsi"/>
          <w:sz w:val="21"/>
          <w:szCs w:val="21"/>
          <w:lang w:val="en-AU"/>
        </w:rPr>
        <w:t xml:space="preserve"> </w:t>
      </w:r>
      <w:r w:rsidR="00E70D30">
        <w:rPr>
          <w:rFonts w:cstheme="minorHAnsi"/>
          <w:sz w:val="21"/>
          <w:szCs w:val="21"/>
          <w:lang w:val="en-AU"/>
        </w:rPr>
        <w:t>percent</w:t>
      </w:r>
      <w:r w:rsidRPr="00BA23EC">
        <w:rPr>
          <w:rFonts w:cstheme="minorHAnsi"/>
          <w:sz w:val="21"/>
          <w:szCs w:val="21"/>
          <w:lang w:val="en-AU"/>
        </w:rPr>
        <w:t xml:space="preserve"> of the population and out of pocket expenditure has dropped significantly.</w:t>
      </w:r>
      <w:r w:rsidR="00E52C00">
        <w:rPr>
          <w:rStyle w:val="FootnoteReference"/>
          <w:rFonts w:cstheme="minorHAnsi"/>
          <w:sz w:val="21"/>
          <w:szCs w:val="21"/>
          <w:lang w:val="en-AU"/>
        </w:rPr>
        <w:footnoteReference w:id="9"/>
      </w:r>
      <w:r w:rsidRPr="00BA23EC">
        <w:rPr>
          <w:rFonts w:cstheme="minorHAnsi"/>
          <w:sz w:val="21"/>
          <w:szCs w:val="21"/>
          <w:lang w:val="en-AU"/>
        </w:rPr>
        <w:t xml:space="preserve"> </w:t>
      </w:r>
    </w:p>
    <w:p w14:paraId="0FD2EE30" w14:textId="65F2BB50" w:rsidR="004F256C" w:rsidRPr="00BA23EC" w:rsidRDefault="002F2E4D" w:rsidP="004F256C">
      <w:pPr>
        <w:pStyle w:val="BodyText"/>
        <w:jc w:val="both"/>
        <w:rPr>
          <w:rFonts w:cstheme="minorHAnsi"/>
          <w:sz w:val="21"/>
          <w:szCs w:val="21"/>
          <w:lang w:val="en-AU"/>
        </w:rPr>
      </w:pPr>
      <w:r w:rsidRPr="00BA23EC">
        <w:rPr>
          <w:rFonts w:cstheme="minorHAnsi"/>
          <w:sz w:val="21"/>
          <w:szCs w:val="21"/>
          <w:lang w:val="en-AU"/>
        </w:rPr>
        <w:t>D</w:t>
      </w:r>
      <w:bookmarkStart w:id="10" w:name="_Hlk130914545"/>
      <w:r w:rsidR="004F256C" w:rsidRPr="00BA23EC">
        <w:rPr>
          <w:rFonts w:cstheme="minorHAnsi"/>
          <w:sz w:val="21"/>
          <w:szCs w:val="21"/>
          <w:lang w:val="en-AU"/>
        </w:rPr>
        <w:t>espite these advances</w:t>
      </w:r>
      <w:r w:rsidRPr="00BA23EC">
        <w:rPr>
          <w:rFonts w:cstheme="minorHAnsi"/>
          <w:sz w:val="21"/>
          <w:szCs w:val="21"/>
          <w:lang w:val="en-AU"/>
        </w:rPr>
        <w:t>,</w:t>
      </w:r>
      <w:r w:rsidR="004F256C" w:rsidRPr="00BA23EC">
        <w:rPr>
          <w:rFonts w:cstheme="minorHAnsi"/>
          <w:sz w:val="21"/>
          <w:szCs w:val="21"/>
          <w:lang w:val="en-AU"/>
        </w:rPr>
        <w:t xml:space="preserve"> certain health indicators and service delivery standards in Indonesia are well behind other comparative middle-income countries</w:t>
      </w:r>
      <w:bookmarkEnd w:id="10"/>
      <w:r w:rsidR="004F256C" w:rsidRPr="00BA23EC">
        <w:rPr>
          <w:rFonts w:cstheme="minorHAnsi"/>
          <w:sz w:val="21"/>
          <w:szCs w:val="21"/>
          <w:lang w:val="en-AU"/>
        </w:rPr>
        <w:t>. Maternal mortality rates remain high (177 deaths per 100</w:t>
      </w:r>
      <w:r w:rsidRPr="00BA23EC">
        <w:rPr>
          <w:rFonts w:cstheme="minorHAnsi"/>
          <w:sz w:val="21"/>
          <w:szCs w:val="21"/>
          <w:lang w:val="en-AU"/>
        </w:rPr>
        <w:t>,</w:t>
      </w:r>
      <w:r w:rsidR="004F256C" w:rsidRPr="00BA23EC">
        <w:rPr>
          <w:rFonts w:cstheme="minorHAnsi"/>
          <w:sz w:val="21"/>
          <w:szCs w:val="21"/>
          <w:lang w:val="en-AU"/>
        </w:rPr>
        <w:t>000 live births in 2017), and almost a third (30.8</w:t>
      </w:r>
      <w:r w:rsidR="008019DB">
        <w:rPr>
          <w:rFonts w:cstheme="minorHAnsi"/>
          <w:sz w:val="21"/>
          <w:szCs w:val="21"/>
          <w:lang w:val="en-AU"/>
        </w:rPr>
        <w:t xml:space="preserve"> </w:t>
      </w:r>
      <w:r w:rsidR="00E70D30">
        <w:rPr>
          <w:rFonts w:cstheme="minorHAnsi"/>
          <w:sz w:val="21"/>
          <w:szCs w:val="21"/>
          <w:lang w:val="en-AU"/>
        </w:rPr>
        <w:t>percent</w:t>
      </w:r>
      <w:r w:rsidR="004F256C" w:rsidRPr="00BA23EC">
        <w:rPr>
          <w:rFonts w:cstheme="minorHAnsi"/>
          <w:sz w:val="21"/>
          <w:szCs w:val="21"/>
          <w:lang w:val="en-AU"/>
        </w:rPr>
        <w:t xml:space="preserve">) of children under five are stunted due to undernutrition (2018). Non-communicable disease </w:t>
      </w:r>
      <w:r w:rsidR="00574CBB">
        <w:rPr>
          <w:rFonts w:cstheme="minorHAnsi"/>
          <w:sz w:val="21"/>
          <w:szCs w:val="21"/>
          <w:lang w:val="en-AU"/>
        </w:rPr>
        <w:t xml:space="preserve">(NCDs) </w:t>
      </w:r>
      <w:r w:rsidR="004F256C" w:rsidRPr="00BA23EC">
        <w:rPr>
          <w:rFonts w:cstheme="minorHAnsi"/>
          <w:sz w:val="21"/>
          <w:szCs w:val="21"/>
          <w:lang w:val="en-AU"/>
        </w:rPr>
        <w:t>such as stroke, heart disease and diabetes are the main cause of death in Indonesia</w:t>
      </w:r>
      <w:r w:rsidR="00A2356D">
        <w:rPr>
          <w:rFonts w:cstheme="minorHAnsi"/>
          <w:sz w:val="21"/>
          <w:szCs w:val="21"/>
          <w:lang w:val="en-AU"/>
        </w:rPr>
        <w:t xml:space="preserve">. </w:t>
      </w:r>
      <w:r w:rsidR="004F256C" w:rsidRPr="00BA23EC">
        <w:rPr>
          <w:rFonts w:cstheme="minorHAnsi"/>
          <w:sz w:val="21"/>
          <w:szCs w:val="21"/>
          <w:lang w:val="en-AU"/>
        </w:rPr>
        <w:t>Although decreasing, specific communicable diseases remain significant. Tuberculosis is the fifth leading cause of death</w:t>
      </w:r>
      <w:r w:rsidR="004F256C" w:rsidRPr="00BA23EC">
        <w:rPr>
          <w:rStyle w:val="FootnoteReference"/>
          <w:rFonts w:cstheme="minorHAnsi"/>
          <w:sz w:val="21"/>
          <w:szCs w:val="21"/>
          <w:lang w:val="en-AU"/>
        </w:rPr>
        <w:footnoteReference w:id="10"/>
      </w:r>
      <w:r w:rsidR="004F256C" w:rsidRPr="00BA23EC">
        <w:rPr>
          <w:rFonts w:cstheme="minorHAnsi"/>
          <w:sz w:val="21"/>
          <w:szCs w:val="21"/>
          <w:lang w:val="en-AU"/>
        </w:rPr>
        <w:t xml:space="preserve"> (Indonesia has the second highest burden of </w:t>
      </w:r>
      <w:r w:rsidR="00477DD8" w:rsidRPr="00BA23EC">
        <w:rPr>
          <w:rFonts w:cstheme="minorHAnsi"/>
          <w:sz w:val="21"/>
          <w:szCs w:val="21"/>
          <w:lang w:val="en-AU"/>
        </w:rPr>
        <w:t xml:space="preserve">Tuberculosis </w:t>
      </w:r>
      <w:r w:rsidR="004F256C" w:rsidRPr="00BA23EC">
        <w:rPr>
          <w:rFonts w:cstheme="minorHAnsi"/>
          <w:sz w:val="21"/>
          <w:szCs w:val="21"/>
          <w:lang w:val="en-AU"/>
        </w:rPr>
        <w:t>in the world)</w:t>
      </w:r>
      <w:r w:rsidR="004F256C" w:rsidRPr="00BA23EC">
        <w:rPr>
          <w:rStyle w:val="FootnoteReference"/>
          <w:rFonts w:cstheme="minorHAnsi"/>
          <w:sz w:val="21"/>
          <w:szCs w:val="21"/>
          <w:lang w:val="en-AU"/>
        </w:rPr>
        <w:footnoteReference w:id="11"/>
      </w:r>
      <w:r w:rsidR="004F256C" w:rsidRPr="00BA23EC">
        <w:rPr>
          <w:rFonts w:cstheme="minorHAnsi"/>
          <w:sz w:val="21"/>
          <w:szCs w:val="21"/>
          <w:lang w:val="en-AU"/>
        </w:rPr>
        <w:t xml:space="preserve">, and there are continuing outbreaks of vaccine preventable illness </w:t>
      </w:r>
      <w:r w:rsidR="00477DD8">
        <w:rPr>
          <w:rFonts w:cstheme="minorHAnsi"/>
          <w:sz w:val="21"/>
          <w:szCs w:val="21"/>
          <w:lang w:val="en-AU"/>
        </w:rPr>
        <w:t xml:space="preserve">such as </w:t>
      </w:r>
      <w:r w:rsidR="004F256C" w:rsidRPr="00BA23EC">
        <w:rPr>
          <w:rFonts w:cstheme="minorHAnsi"/>
          <w:sz w:val="21"/>
          <w:szCs w:val="21"/>
          <w:lang w:val="en-AU"/>
        </w:rPr>
        <w:t>measles</w:t>
      </w:r>
      <w:r w:rsidR="00477DD8">
        <w:rPr>
          <w:rFonts w:cstheme="minorHAnsi"/>
          <w:sz w:val="21"/>
          <w:szCs w:val="21"/>
          <w:lang w:val="en-AU"/>
        </w:rPr>
        <w:t xml:space="preserve"> and</w:t>
      </w:r>
      <w:r w:rsidR="004F256C" w:rsidRPr="00BA23EC">
        <w:rPr>
          <w:rFonts w:cstheme="minorHAnsi"/>
          <w:sz w:val="21"/>
          <w:szCs w:val="21"/>
          <w:lang w:val="en-AU"/>
        </w:rPr>
        <w:t xml:space="preserve"> diphtheria, and zoonoses such as anthrax, </w:t>
      </w:r>
      <w:proofErr w:type="gramStart"/>
      <w:r w:rsidR="004F256C" w:rsidRPr="00BA23EC">
        <w:rPr>
          <w:rFonts w:cstheme="minorHAnsi"/>
          <w:sz w:val="21"/>
          <w:szCs w:val="21"/>
          <w:lang w:val="en-AU"/>
        </w:rPr>
        <w:t>leptospirosis</w:t>
      </w:r>
      <w:proofErr w:type="gramEnd"/>
      <w:r w:rsidR="004F256C" w:rsidRPr="00BA23EC">
        <w:rPr>
          <w:rFonts w:cstheme="minorHAnsi"/>
          <w:sz w:val="21"/>
          <w:szCs w:val="21"/>
          <w:lang w:val="en-AU"/>
        </w:rPr>
        <w:t xml:space="preserve"> and rabies</w:t>
      </w:r>
      <w:r w:rsidR="004F256C" w:rsidRPr="00BA23EC">
        <w:rPr>
          <w:rStyle w:val="FootnoteReference"/>
          <w:rFonts w:cstheme="minorHAnsi"/>
          <w:sz w:val="21"/>
          <w:szCs w:val="21"/>
          <w:lang w:val="en-AU"/>
        </w:rPr>
        <w:footnoteReference w:id="12"/>
      </w:r>
      <w:r w:rsidR="004F256C" w:rsidRPr="00BA23EC">
        <w:rPr>
          <w:rFonts w:cstheme="minorHAnsi"/>
          <w:sz w:val="21"/>
          <w:szCs w:val="21"/>
          <w:lang w:val="en-AU"/>
        </w:rPr>
        <w:t>.  Malaria causes several hundred thousand infections and around 2,000 deaths annually.</w:t>
      </w:r>
    </w:p>
    <w:p w14:paraId="6BD5CFF6" w14:textId="77777777" w:rsidR="00C0799A" w:rsidRDefault="00600FE0" w:rsidP="00600FE0">
      <w:pPr>
        <w:pStyle w:val="BodyText"/>
        <w:jc w:val="both"/>
        <w:rPr>
          <w:rFonts w:cstheme="minorHAnsi"/>
          <w:sz w:val="21"/>
          <w:szCs w:val="21"/>
          <w:lang w:val="en-AU"/>
        </w:rPr>
      </w:pPr>
      <w:r w:rsidRPr="00BA23EC">
        <w:rPr>
          <w:rFonts w:cstheme="minorHAnsi"/>
          <w:sz w:val="21"/>
          <w:szCs w:val="21"/>
          <w:lang w:val="en-AU"/>
        </w:rPr>
        <w:t xml:space="preserve">Accessibility and the quality of services received are influenced by geographic, socio-economic and gender inequalities. Indicators measuring the sufficiency of health personnel in </w:t>
      </w:r>
      <w:proofErr w:type="spellStart"/>
      <w:r w:rsidRPr="00B5678F">
        <w:rPr>
          <w:rFonts w:cstheme="minorHAnsi"/>
          <w:i/>
          <w:iCs/>
          <w:sz w:val="21"/>
          <w:szCs w:val="21"/>
          <w:lang w:val="en-AU"/>
        </w:rPr>
        <w:t>puskesmas</w:t>
      </w:r>
      <w:proofErr w:type="spellEnd"/>
      <w:r w:rsidRPr="00BA23EC">
        <w:rPr>
          <w:rFonts w:cstheme="minorHAnsi"/>
          <w:sz w:val="21"/>
          <w:szCs w:val="21"/>
          <w:lang w:val="en-AU"/>
        </w:rPr>
        <w:t xml:space="preserve"> </w:t>
      </w:r>
      <w:r w:rsidR="00D05C53" w:rsidRPr="00BA23EC">
        <w:rPr>
          <w:rFonts w:cstheme="minorHAnsi"/>
          <w:sz w:val="21"/>
          <w:szCs w:val="21"/>
          <w:lang w:val="en-AU"/>
        </w:rPr>
        <w:t xml:space="preserve">(community health centres) </w:t>
      </w:r>
      <w:r w:rsidRPr="00BA23EC">
        <w:rPr>
          <w:rFonts w:cstheme="minorHAnsi"/>
          <w:sz w:val="21"/>
          <w:szCs w:val="21"/>
          <w:lang w:val="en-AU"/>
        </w:rPr>
        <w:t>reveal a stark regional contrast – with 99.2</w:t>
      </w:r>
      <w:r w:rsidR="008019DB">
        <w:rPr>
          <w:rFonts w:cstheme="minorHAnsi"/>
          <w:sz w:val="21"/>
          <w:szCs w:val="21"/>
          <w:lang w:val="en-AU"/>
        </w:rPr>
        <w:t xml:space="preserve"> </w:t>
      </w:r>
      <w:r w:rsidR="00E70D30">
        <w:rPr>
          <w:rFonts w:cstheme="minorHAnsi"/>
          <w:sz w:val="21"/>
          <w:szCs w:val="21"/>
          <w:lang w:val="en-AU"/>
        </w:rPr>
        <w:t>percent</w:t>
      </w:r>
      <w:r w:rsidRPr="00BA23EC">
        <w:rPr>
          <w:rFonts w:cstheme="minorHAnsi"/>
          <w:sz w:val="21"/>
          <w:szCs w:val="21"/>
          <w:lang w:val="en-AU"/>
        </w:rPr>
        <w:t xml:space="preserve"> of health centres in Yogyakarta having </w:t>
      </w:r>
      <w:proofErr w:type="gramStart"/>
      <w:r w:rsidRPr="00BA23EC">
        <w:rPr>
          <w:rFonts w:cstheme="minorHAnsi"/>
          <w:sz w:val="21"/>
          <w:szCs w:val="21"/>
          <w:lang w:val="en-AU"/>
        </w:rPr>
        <w:t>sufficient number</w:t>
      </w:r>
      <w:r w:rsidR="00D05C53" w:rsidRPr="00BA23EC">
        <w:rPr>
          <w:rFonts w:cstheme="minorHAnsi"/>
          <w:sz w:val="21"/>
          <w:szCs w:val="21"/>
          <w:lang w:val="en-AU"/>
        </w:rPr>
        <w:t>s</w:t>
      </w:r>
      <w:r w:rsidRPr="00BA23EC">
        <w:rPr>
          <w:rFonts w:cstheme="minorHAnsi"/>
          <w:sz w:val="21"/>
          <w:szCs w:val="21"/>
          <w:lang w:val="en-AU"/>
        </w:rPr>
        <w:t xml:space="preserve"> of</w:t>
      </w:r>
      <w:proofErr w:type="gramEnd"/>
      <w:r w:rsidRPr="00BA23EC">
        <w:rPr>
          <w:rFonts w:cstheme="minorHAnsi"/>
          <w:sz w:val="21"/>
          <w:szCs w:val="21"/>
          <w:lang w:val="en-AU"/>
        </w:rPr>
        <w:t xml:space="preserve"> general practitioners compared to 34.4</w:t>
      </w:r>
      <w:r w:rsidR="00E70D30">
        <w:rPr>
          <w:rFonts w:cstheme="minorHAnsi"/>
          <w:sz w:val="21"/>
          <w:szCs w:val="21"/>
          <w:lang w:val="en-AU"/>
        </w:rPr>
        <w:t xml:space="preserve"> percent</w:t>
      </w:r>
      <w:r w:rsidRPr="00BA23EC">
        <w:rPr>
          <w:rFonts w:cstheme="minorHAnsi"/>
          <w:sz w:val="21"/>
          <w:szCs w:val="21"/>
          <w:lang w:val="en-AU"/>
        </w:rPr>
        <w:t xml:space="preserve"> in West Papua. Chronic shortages of midwives are also apparent in West Papua with only 12</w:t>
      </w:r>
      <w:r w:rsidR="008019DB">
        <w:rPr>
          <w:rFonts w:cstheme="minorHAnsi"/>
          <w:sz w:val="21"/>
          <w:szCs w:val="21"/>
          <w:lang w:val="en-AU"/>
        </w:rPr>
        <w:t xml:space="preserve"> </w:t>
      </w:r>
      <w:r w:rsidR="00E70D30">
        <w:rPr>
          <w:rFonts w:cstheme="minorHAnsi"/>
          <w:sz w:val="21"/>
          <w:szCs w:val="21"/>
          <w:lang w:val="en-AU"/>
        </w:rPr>
        <w:t>percent</w:t>
      </w:r>
      <w:r w:rsidRPr="00BA23EC">
        <w:rPr>
          <w:rFonts w:cstheme="minorHAnsi"/>
          <w:sz w:val="21"/>
          <w:szCs w:val="21"/>
          <w:lang w:val="en-AU"/>
        </w:rPr>
        <w:t xml:space="preserve"> of </w:t>
      </w:r>
      <w:proofErr w:type="spellStart"/>
      <w:r w:rsidRPr="00B5678F">
        <w:rPr>
          <w:rFonts w:cstheme="minorHAnsi"/>
          <w:i/>
          <w:iCs/>
          <w:sz w:val="21"/>
          <w:szCs w:val="21"/>
          <w:lang w:val="en-AU"/>
        </w:rPr>
        <w:t>puskesmas</w:t>
      </w:r>
      <w:proofErr w:type="spellEnd"/>
      <w:r w:rsidRPr="00BA23EC">
        <w:rPr>
          <w:rFonts w:cstheme="minorHAnsi"/>
          <w:sz w:val="21"/>
          <w:szCs w:val="21"/>
          <w:lang w:val="en-AU"/>
        </w:rPr>
        <w:t xml:space="preserve"> having sufficient coverage. </w:t>
      </w:r>
    </w:p>
    <w:p w14:paraId="64200783" w14:textId="6F5899B5" w:rsidR="00861548" w:rsidRPr="00BA23EC" w:rsidRDefault="00DD6D7E" w:rsidP="00600FE0">
      <w:pPr>
        <w:pStyle w:val="BodyText"/>
        <w:jc w:val="both"/>
        <w:rPr>
          <w:rFonts w:cstheme="minorHAnsi"/>
          <w:sz w:val="21"/>
          <w:szCs w:val="21"/>
          <w:lang w:val="en-AU"/>
        </w:rPr>
      </w:pPr>
      <w:r w:rsidRPr="00BA23EC">
        <w:rPr>
          <w:rFonts w:cstheme="minorHAnsi"/>
          <w:sz w:val="21"/>
          <w:szCs w:val="21"/>
          <w:lang w:val="en-AU"/>
        </w:rPr>
        <w:t xml:space="preserve">Women and girls continue to be disadvantaged in the Indonesian health context, </w:t>
      </w:r>
      <w:r w:rsidR="004D6C2E" w:rsidRPr="00BA23EC">
        <w:rPr>
          <w:rFonts w:cstheme="minorHAnsi"/>
          <w:sz w:val="21"/>
          <w:szCs w:val="21"/>
          <w:lang w:val="en-AU"/>
        </w:rPr>
        <w:t xml:space="preserve">with </w:t>
      </w:r>
      <w:r w:rsidR="00FC7ABC" w:rsidRPr="00BA23EC">
        <w:rPr>
          <w:rFonts w:cstheme="minorHAnsi"/>
          <w:sz w:val="21"/>
          <w:szCs w:val="21"/>
          <w:lang w:val="en-AU"/>
        </w:rPr>
        <w:t xml:space="preserve">persistent </w:t>
      </w:r>
      <w:r w:rsidR="00860E39" w:rsidRPr="00BA23EC">
        <w:rPr>
          <w:rFonts w:cstheme="minorHAnsi"/>
          <w:sz w:val="21"/>
          <w:szCs w:val="21"/>
          <w:lang w:val="en-AU"/>
        </w:rPr>
        <w:t>poor health outcomes across a range of indicators, incl</w:t>
      </w:r>
      <w:r w:rsidR="008732AE" w:rsidRPr="00BA23EC">
        <w:rPr>
          <w:rFonts w:cstheme="minorHAnsi"/>
          <w:sz w:val="21"/>
          <w:szCs w:val="21"/>
          <w:lang w:val="en-AU"/>
        </w:rPr>
        <w:t>uding maternal</w:t>
      </w:r>
      <w:r w:rsidR="00804B52" w:rsidRPr="00BA23EC">
        <w:rPr>
          <w:rFonts w:cstheme="minorHAnsi"/>
          <w:sz w:val="21"/>
          <w:szCs w:val="21"/>
          <w:lang w:val="en-AU"/>
        </w:rPr>
        <w:t xml:space="preserve"> morbidity and</w:t>
      </w:r>
      <w:r w:rsidR="008732AE" w:rsidRPr="00BA23EC">
        <w:rPr>
          <w:rFonts w:cstheme="minorHAnsi"/>
          <w:sz w:val="21"/>
          <w:szCs w:val="21"/>
          <w:lang w:val="en-AU"/>
        </w:rPr>
        <w:t xml:space="preserve"> mortality, nutrition, adolescent fertility, a</w:t>
      </w:r>
      <w:r w:rsidR="007A17D4" w:rsidRPr="00BA23EC">
        <w:rPr>
          <w:rFonts w:cstheme="minorHAnsi"/>
          <w:sz w:val="21"/>
          <w:szCs w:val="21"/>
          <w:lang w:val="en-AU"/>
        </w:rPr>
        <w:t>s well as</w:t>
      </w:r>
      <w:r w:rsidR="004873E2" w:rsidRPr="00BA23EC">
        <w:rPr>
          <w:rFonts w:cstheme="minorHAnsi"/>
          <w:sz w:val="21"/>
          <w:szCs w:val="21"/>
          <w:lang w:val="en-AU"/>
        </w:rPr>
        <w:t xml:space="preserve"> higher rates </w:t>
      </w:r>
      <w:r w:rsidR="00A90332" w:rsidRPr="00BA23EC">
        <w:rPr>
          <w:rFonts w:cstheme="minorHAnsi"/>
          <w:sz w:val="21"/>
          <w:szCs w:val="21"/>
          <w:lang w:val="en-AU"/>
        </w:rPr>
        <w:t xml:space="preserve">of risk factors associated with </w:t>
      </w:r>
      <w:r w:rsidR="00EE2A07" w:rsidRPr="00BA23EC">
        <w:rPr>
          <w:rFonts w:cstheme="minorHAnsi"/>
          <w:sz w:val="21"/>
          <w:szCs w:val="21"/>
          <w:lang w:val="en-AU"/>
        </w:rPr>
        <w:t>chronic disease</w:t>
      </w:r>
      <w:r w:rsidR="00EA5DDF" w:rsidRPr="00BA23EC">
        <w:rPr>
          <w:rFonts w:cstheme="minorHAnsi"/>
          <w:sz w:val="21"/>
          <w:szCs w:val="21"/>
          <w:lang w:val="en-AU"/>
        </w:rPr>
        <w:t xml:space="preserve">, such as stroke. </w:t>
      </w:r>
      <w:r w:rsidR="00C0799A" w:rsidRPr="00C0799A">
        <w:rPr>
          <w:rFonts w:cstheme="minorHAnsi"/>
          <w:sz w:val="21"/>
          <w:szCs w:val="21"/>
          <w:lang w:val="en-AU"/>
        </w:rPr>
        <w:t xml:space="preserve">As noted in the Gender Brief in the attached World Bank’s Concept Note at Annex 1 there are several key differences observed in the burden of disease and risk factors associated with NCDs observed for men and women. For example, stroke results in a noticeably higher mortality and loss-of-disability-adjusted life year (DALYs) rate in women (110.69 deaths, and 2,984.87 DALYs lost per 100,000 population, respectively) than for men (83.66 deaths, and 2,381.98 DALYs lost per 100,000 population). </w:t>
      </w:r>
      <w:r w:rsidR="009C3FF2" w:rsidRPr="00BA23EC">
        <w:rPr>
          <w:rFonts w:cstheme="minorHAnsi"/>
          <w:sz w:val="21"/>
          <w:szCs w:val="21"/>
          <w:lang w:val="en-AU"/>
        </w:rPr>
        <w:t>A</w:t>
      </w:r>
      <w:r w:rsidRPr="00BA23EC">
        <w:rPr>
          <w:rFonts w:cstheme="minorHAnsi"/>
          <w:sz w:val="21"/>
          <w:szCs w:val="21"/>
          <w:lang w:val="en-AU"/>
        </w:rPr>
        <w:t>t the same time, most primary care workers are female volunteers who receive minimal compensation</w:t>
      </w:r>
      <w:r w:rsidR="004B519B" w:rsidRPr="00BA23EC">
        <w:rPr>
          <w:rFonts w:cstheme="minorHAnsi"/>
          <w:sz w:val="21"/>
          <w:szCs w:val="21"/>
          <w:lang w:val="en-AU"/>
        </w:rPr>
        <w:t xml:space="preserve">. </w:t>
      </w:r>
    </w:p>
    <w:p w14:paraId="13D45D3B" w14:textId="74AC1D76" w:rsidR="00BA0B0D" w:rsidRDefault="008070C8" w:rsidP="00BA0B0D">
      <w:pPr>
        <w:jc w:val="both"/>
        <w:rPr>
          <w:rFonts w:cstheme="minorHAnsi"/>
          <w:sz w:val="21"/>
          <w:szCs w:val="21"/>
          <w:lang w:val="en-AU"/>
        </w:rPr>
      </w:pPr>
      <w:r w:rsidRPr="00BA23EC">
        <w:rPr>
          <w:rFonts w:cstheme="minorHAnsi"/>
          <w:sz w:val="21"/>
          <w:szCs w:val="21"/>
          <w:lang w:val="en-AU"/>
        </w:rPr>
        <w:lastRenderedPageBreak/>
        <w:t xml:space="preserve">Indonesia </w:t>
      </w:r>
      <w:r w:rsidR="002B3F34" w:rsidRPr="00BA23EC">
        <w:rPr>
          <w:rFonts w:cstheme="minorHAnsi"/>
          <w:sz w:val="21"/>
          <w:szCs w:val="21"/>
          <w:lang w:val="en-AU"/>
        </w:rPr>
        <w:t>experienced</w:t>
      </w:r>
      <w:r w:rsidR="00AF6C99" w:rsidRPr="00BA23EC">
        <w:rPr>
          <w:rFonts w:cstheme="minorHAnsi"/>
          <w:sz w:val="21"/>
          <w:szCs w:val="21"/>
          <w:lang w:val="en-AU"/>
        </w:rPr>
        <w:t xml:space="preserve"> </w:t>
      </w:r>
      <w:r w:rsidR="00552A6E" w:rsidRPr="00BA23EC">
        <w:rPr>
          <w:rFonts w:cstheme="minorHAnsi"/>
          <w:sz w:val="21"/>
          <w:szCs w:val="21"/>
          <w:lang w:val="en-AU"/>
        </w:rPr>
        <w:t xml:space="preserve">devastating impacts from the COVID-19 pandemic </w:t>
      </w:r>
      <w:r w:rsidR="00AF6C99" w:rsidRPr="00BA23EC">
        <w:rPr>
          <w:rFonts w:cstheme="minorHAnsi"/>
          <w:sz w:val="21"/>
          <w:szCs w:val="21"/>
          <w:lang w:val="en-AU"/>
        </w:rPr>
        <w:t>with over 6</w:t>
      </w:r>
      <w:r w:rsidR="002F2E4D" w:rsidRPr="00BA23EC">
        <w:rPr>
          <w:rFonts w:cstheme="minorHAnsi"/>
          <w:sz w:val="21"/>
          <w:szCs w:val="21"/>
          <w:lang w:val="en-AU"/>
        </w:rPr>
        <w:t>.</w:t>
      </w:r>
      <w:r w:rsidR="00AF6C99" w:rsidRPr="00BA23EC">
        <w:rPr>
          <w:rFonts w:cstheme="minorHAnsi"/>
          <w:sz w:val="21"/>
          <w:szCs w:val="21"/>
          <w:lang w:val="en-AU"/>
        </w:rPr>
        <w:t xml:space="preserve">7 million confirmed cases and 160,956 deaths </w:t>
      </w:r>
      <w:r w:rsidR="002B3F34" w:rsidRPr="00BA23EC">
        <w:rPr>
          <w:rFonts w:cstheme="minorHAnsi"/>
          <w:sz w:val="21"/>
          <w:szCs w:val="21"/>
          <w:lang w:val="en-AU"/>
        </w:rPr>
        <w:t>(</w:t>
      </w:r>
      <w:r w:rsidR="00AF6C99" w:rsidRPr="00BA23EC">
        <w:rPr>
          <w:rFonts w:cstheme="minorHAnsi"/>
          <w:sz w:val="21"/>
          <w:szCs w:val="21"/>
          <w:lang w:val="en-AU"/>
        </w:rPr>
        <w:t xml:space="preserve">as </w:t>
      </w:r>
      <w:proofErr w:type="gramStart"/>
      <w:r w:rsidR="00AF6C99" w:rsidRPr="00BA23EC">
        <w:rPr>
          <w:rFonts w:cstheme="minorHAnsi"/>
          <w:sz w:val="21"/>
          <w:szCs w:val="21"/>
          <w:lang w:val="en-AU"/>
        </w:rPr>
        <w:t>at</w:t>
      </w:r>
      <w:proofErr w:type="gramEnd"/>
      <w:r w:rsidR="00AF6C99" w:rsidRPr="00BA23EC">
        <w:rPr>
          <w:rFonts w:cstheme="minorHAnsi"/>
          <w:sz w:val="21"/>
          <w:szCs w:val="21"/>
          <w:lang w:val="en-AU"/>
        </w:rPr>
        <w:t xml:space="preserve"> </w:t>
      </w:r>
      <w:r w:rsidR="00A341E7" w:rsidRPr="00BA23EC">
        <w:rPr>
          <w:rFonts w:cstheme="minorHAnsi"/>
          <w:sz w:val="21"/>
          <w:szCs w:val="21"/>
          <w:lang w:val="en-AU"/>
        </w:rPr>
        <w:t>16 March 2023</w:t>
      </w:r>
      <w:r w:rsidR="002B3F34" w:rsidRPr="00BA23EC">
        <w:rPr>
          <w:rFonts w:cstheme="minorHAnsi"/>
          <w:sz w:val="21"/>
          <w:szCs w:val="21"/>
          <w:lang w:val="en-AU"/>
        </w:rPr>
        <w:t>)</w:t>
      </w:r>
      <w:r w:rsidR="00C746DF" w:rsidRPr="00BA23EC">
        <w:rPr>
          <w:rFonts w:cstheme="minorHAnsi"/>
          <w:sz w:val="21"/>
          <w:szCs w:val="21"/>
          <w:lang w:val="en-AU"/>
        </w:rPr>
        <w:t xml:space="preserve">. </w:t>
      </w:r>
      <w:r w:rsidR="00361AD3" w:rsidRPr="00BA23EC">
        <w:rPr>
          <w:rFonts w:cstheme="minorHAnsi"/>
          <w:sz w:val="21"/>
          <w:szCs w:val="21"/>
          <w:lang w:val="en-AU"/>
        </w:rPr>
        <w:t>The economi</w:t>
      </w:r>
      <w:r w:rsidR="0034726C" w:rsidRPr="00BA23EC">
        <w:rPr>
          <w:rFonts w:cstheme="minorHAnsi"/>
          <w:sz w:val="21"/>
          <w:szCs w:val="21"/>
          <w:lang w:val="en-AU"/>
        </w:rPr>
        <w:t>c and social impacts were widespread</w:t>
      </w:r>
      <w:r w:rsidR="002F2E4D" w:rsidRPr="00BA23EC">
        <w:rPr>
          <w:rFonts w:cstheme="minorHAnsi"/>
          <w:sz w:val="21"/>
          <w:szCs w:val="21"/>
          <w:lang w:val="en-AU"/>
        </w:rPr>
        <w:t>,</w:t>
      </w:r>
      <w:r w:rsidR="0034726C" w:rsidRPr="00BA23EC">
        <w:rPr>
          <w:rFonts w:cstheme="minorHAnsi"/>
          <w:sz w:val="21"/>
          <w:szCs w:val="21"/>
          <w:lang w:val="en-AU"/>
        </w:rPr>
        <w:t xml:space="preserve"> </w:t>
      </w:r>
      <w:r w:rsidR="00D6769A" w:rsidRPr="00BA23EC">
        <w:rPr>
          <w:rFonts w:cstheme="minorHAnsi"/>
          <w:sz w:val="21"/>
          <w:szCs w:val="21"/>
          <w:lang w:val="en-AU"/>
        </w:rPr>
        <w:t>with</w:t>
      </w:r>
      <w:r w:rsidR="0034726C" w:rsidRPr="00BA23EC">
        <w:rPr>
          <w:rFonts w:cstheme="minorHAnsi"/>
          <w:sz w:val="21"/>
          <w:szCs w:val="21"/>
          <w:lang w:val="en-AU"/>
        </w:rPr>
        <w:t xml:space="preserve"> </w:t>
      </w:r>
      <w:r w:rsidR="00C746DF" w:rsidRPr="00BA23EC">
        <w:rPr>
          <w:rFonts w:cstheme="minorHAnsi"/>
          <w:sz w:val="21"/>
          <w:szCs w:val="21"/>
          <w:lang w:val="en-AU"/>
        </w:rPr>
        <w:t>GDP contract</w:t>
      </w:r>
      <w:r w:rsidR="00B4601A" w:rsidRPr="00BA23EC">
        <w:rPr>
          <w:rFonts w:cstheme="minorHAnsi"/>
          <w:sz w:val="21"/>
          <w:szCs w:val="21"/>
          <w:lang w:val="en-AU"/>
        </w:rPr>
        <w:t>ing</w:t>
      </w:r>
      <w:r w:rsidR="00C746DF" w:rsidRPr="00BA23EC">
        <w:rPr>
          <w:rFonts w:cstheme="minorHAnsi"/>
          <w:sz w:val="21"/>
          <w:szCs w:val="21"/>
          <w:lang w:val="en-AU"/>
        </w:rPr>
        <w:t xml:space="preserve"> by 2.07</w:t>
      </w:r>
      <w:r w:rsidR="008019DB">
        <w:rPr>
          <w:rFonts w:cstheme="minorHAnsi"/>
          <w:sz w:val="21"/>
          <w:szCs w:val="21"/>
          <w:lang w:val="en-AU"/>
        </w:rPr>
        <w:t xml:space="preserve"> </w:t>
      </w:r>
      <w:r w:rsidR="00E70D30">
        <w:rPr>
          <w:rFonts w:cstheme="minorHAnsi"/>
          <w:sz w:val="21"/>
          <w:szCs w:val="21"/>
          <w:lang w:val="en-AU"/>
        </w:rPr>
        <w:t>percent</w:t>
      </w:r>
      <w:r w:rsidR="00C746DF" w:rsidRPr="00BA23EC">
        <w:rPr>
          <w:rFonts w:cstheme="minorHAnsi"/>
          <w:sz w:val="21"/>
          <w:szCs w:val="21"/>
          <w:lang w:val="en-AU"/>
        </w:rPr>
        <w:t xml:space="preserve"> </w:t>
      </w:r>
      <w:r w:rsidR="00B4601A" w:rsidRPr="00BA23EC">
        <w:rPr>
          <w:rFonts w:cstheme="minorHAnsi"/>
          <w:sz w:val="21"/>
          <w:szCs w:val="21"/>
          <w:lang w:val="en-AU"/>
        </w:rPr>
        <w:t>and</w:t>
      </w:r>
      <w:r w:rsidR="00C746DF" w:rsidRPr="00BA23EC">
        <w:rPr>
          <w:rFonts w:cstheme="minorHAnsi"/>
          <w:sz w:val="21"/>
          <w:szCs w:val="21"/>
          <w:lang w:val="en-AU"/>
        </w:rPr>
        <w:t xml:space="preserve"> poverty rates r</w:t>
      </w:r>
      <w:r w:rsidR="00D6769A" w:rsidRPr="00BA23EC">
        <w:rPr>
          <w:rFonts w:cstheme="minorHAnsi"/>
          <w:sz w:val="21"/>
          <w:szCs w:val="21"/>
          <w:lang w:val="en-AU"/>
        </w:rPr>
        <w:t>ising</w:t>
      </w:r>
      <w:r w:rsidR="00C746DF" w:rsidRPr="00BA23EC">
        <w:rPr>
          <w:rFonts w:cstheme="minorHAnsi"/>
          <w:sz w:val="21"/>
          <w:szCs w:val="21"/>
          <w:lang w:val="en-AU"/>
        </w:rPr>
        <w:t xml:space="preserve"> to 10.2</w:t>
      </w:r>
      <w:r w:rsidR="008019DB">
        <w:rPr>
          <w:rFonts w:cstheme="minorHAnsi"/>
          <w:sz w:val="21"/>
          <w:szCs w:val="21"/>
          <w:lang w:val="en-AU"/>
        </w:rPr>
        <w:t xml:space="preserve"> </w:t>
      </w:r>
      <w:r w:rsidR="00E70D30">
        <w:rPr>
          <w:rFonts w:cstheme="minorHAnsi"/>
          <w:sz w:val="21"/>
          <w:szCs w:val="21"/>
          <w:lang w:val="en-AU"/>
        </w:rPr>
        <w:t>percent</w:t>
      </w:r>
      <w:r w:rsidR="00B4601A" w:rsidRPr="00BA23EC">
        <w:rPr>
          <w:rFonts w:cstheme="minorHAnsi"/>
          <w:sz w:val="21"/>
          <w:szCs w:val="21"/>
          <w:lang w:val="en-AU"/>
        </w:rPr>
        <w:t xml:space="preserve"> </w:t>
      </w:r>
      <w:r w:rsidR="002F2E4D" w:rsidRPr="00BA23EC">
        <w:rPr>
          <w:rFonts w:cstheme="minorHAnsi"/>
          <w:sz w:val="21"/>
          <w:szCs w:val="21"/>
          <w:lang w:val="en-AU"/>
        </w:rPr>
        <w:t>in</w:t>
      </w:r>
      <w:r w:rsidR="00B4601A" w:rsidRPr="00BA23EC">
        <w:rPr>
          <w:rFonts w:cstheme="minorHAnsi"/>
          <w:sz w:val="21"/>
          <w:szCs w:val="21"/>
          <w:lang w:val="en-AU"/>
        </w:rPr>
        <w:t xml:space="preserve"> 2020. T</w:t>
      </w:r>
      <w:r w:rsidR="00C746DF" w:rsidRPr="00BA23EC">
        <w:rPr>
          <w:rFonts w:cstheme="minorHAnsi"/>
          <w:sz w:val="21"/>
          <w:szCs w:val="21"/>
          <w:lang w:val="en-AU"/>
        </w:rPr>
        <w:t>hree quarters of households report</w:t>
      </w:r>
      <w:r w:rsidR="00B4601A" w:rsidRPr="00BA23EC">
        <w:rPr>
          <w:rFonts w:cstheme="minorHAnsi"/>
          <w:sz w:val="21"/>
          <w:szCs w:val="21"/>
          <w:lang w:val="en-AU"/>
        </w:rPr>
        <w:t>ed</w:t>
      </w:r>
      <w:r w:rsidR="00C746DF" w:rsidRPr="00BA23EC">
        <w:rPr>
          <w:rFonts w:cstheme="minorHAnsi"/>
          <w:sz w:val="21"/>
          <w:szCs w:val="21"/>
          <w:lang w:val="en-AU"/>
        </w:rPr>
        <w:t xml:space="preserve"> a </w:t>
      </w:r>
      <w:r w:rsidR="00B4601A" w:rsidRPr="00BA23EC">
        <w:rPr>
          <w:rFonts w:cstheme="minorHAnsi"/>
          <w:sz w:val="21"/>
          <w:szCs w:val="21"/>
          <w:lang w:val="en-AU"/>
        </w:rPr>
        <w:t>reduced</w:t>
      </w:r>
      <w:r w:rsidR="00C746DF" w:rsidRPr="00BA23EC">
        <w:rPr>
          <w:rFonts w:cstheme="minorHAnsi"/>
          <w:sz w:val="21"/>
          <w:szCs w:val="21"/>
          <w:lang w:val="en-AU"/>
        </w:rPr>
        <w:t xml:space="preserve"> income, 12.6</w:t>
      </w:r>
      <w:r w:rsidR="008019DB">
        <w:rPr>
          <w:rFonts w:cstheme="minorHAnsi"/>
          <w:sz w:val="21"/>
          <w:szCs w:val="21"/>
          <w:lang w:val="en-AU"/>
        </w:rPr>
        <w:t xml:space="preserve"> </w:t>
      </w:r>
      <w:r w:rsidR="00E70D30">
        <w:rPr>
          <w:rFonts w:cstheme="minorHAnsi"/>
          <w:sz w:val="21"/>
          <w:szCs w:val="21"/>
          <w:lang w:val="en-AU"/>
        </w:rPr>
        <w:t>percent</w:t>
      </w:r>
      <w:r w:rsidR="00C746DF" w:rsidRPr="00BA23EC">
        <w:rPr>
          <w:rFonts w:cstheme="minorHAnsi"/>
          <w:sz w:val="21"/>
          <w:szCs w:val="21"/>
          <w:lang w:val="en-AU"/>
        </w:rPr>
        <w:t xml:space="preserve"> </w:t>
      </w:r>
      <w:r w:rsidR="00B4601A" w:rsidRPr="00BA23EC">
        <w:rPr>
          <w:rFonts w:cstheme="minorHAnsi"/>
          <w:sz w:val="21"/>
          <w:szCs w:val="21"/>
          <w:lang w:val="en-AU"/>
        </w:rPr>
        <w:t>of</w:t>
      </w:r>
      <w:r w:rsidR="00C746DF" w:rsidRPr="00BA23EC">
        <w:rPr>
          <w:rFonts w:cstheme="minorHAnsi"/>
          <w:sz w:val="21"/>
          <w:szCs w:val="21"/>
          <w:lang w:val="en-AU"/>
        </w:rPr>
        <w:t xml:space="preserve"> households with children report</w:t>
      </w:r>
      <w:r w:rsidR="00B4601A" w:rsidRPr="00BA23EC">
        <w:rPr>
          <w:rFonts w:cstheme="minorHAnsi"/>
          <w:sz w:val="21"/>
          <w:szCs w:val="21"/>
          <w:lang w:val="en-AU"/>
        </w:rPr>
        <w:t>ed</w:t>
      </w:r>
      <w:r w:rsidR="00C746DF" w:rsidRPr="00BA23EC">
        <w:rPr>
          <w:rFonts w:cstheme="minorHAnsi"/>
          <w:sz w:val="21"/>
          <w:szCs w:val="21"/>
          <w:lang w:val="en-AU"/>
        </w:rPr>
        <w:t xml:space="preserve"> food insecurity</w:t>
      </w:r>
      <w:r w:rsidR="00055708" w:rsidRPr="00BA23EC">
        <w:rPr>
          <w:rFonts w:cstheme="minorHAnsi"/>
          <w:sz w:val="21"/>
          <w:szCs w:val="21"/>
          <w:lang w:val="en-AU"/>
        </w:rPr>
        <w:t xml:space="preserve">, and learning loss </w:t>
      </w:r>
      <w:r w:rsidR="00B4601A" w:rsidRPr="00BA23EC">
        <w:rPr>
          <w:rFonts w:cstheme="minorHAnsi"/>
          <w:sz w:val="21"/>
          <w:szCs w:val="21"/>
          <w:lang w:val="en-AU"/>
        </w:rPr>
        <w:t xml:space="preserve">amongst children and adolescents </w:t>
      </w:r>
      <w:r w:rsidR="00EB4DD0">
        <w:rPr>
          <w:rFonts w:cstheme="minorHAnsi"/>
          <w:sz w:val="21"/>
          <w:szCs w:val="21"/>
          <w:lang w:val="en-AU"/>
        </w:rPr>
        <w:t xml:space="preserve">is </w:t>
      </w:r>
      <w:r w:rsidR="00055708" w:rsidRPr="00BA23EC">
        <w:rPr>
          <w:rFonts w:cstheme="minorHAnsi"/>
          <w:sz w:val="21"/>
          <w:szCs w:val="21"/>
          <w:lang w:val="en-AU"/>
        </w:rPr>
        <w:t xml:space="preserve">estimated </w:t>
      </w:r>
      <w:r w:rsidR="00B4601A" w:rsidRPr="00BA23EC">
        <w:rPr>
          <w:rFonts w:cstheme="minorHAnsi"/>
          <w:sz w:val="21"/>
          <w:szCs w:val="21"/>
          <w:lang w:val="en-AU"/>
        </w:rPr>
        <w:t>at between</w:t>
      </w:r>
      <w:r w:rsidR="00055708" w:rsidRPr="00BA23EC">
        <w:rPr>
          <w:rFonts w:cstheme="minorHAnsi"/>
          <w:sz w:val="21"/>
          <w:szCs w:val="21"/>
          <w:lang w:val="en-AU"/>
        </w:rPr>
        <w:t xml:space="preserve"> </w:t>
      </w:r>
      <w:r w:rsidR="000E48D6" w:rsidRPr="00BA23EC">
        <w:rPr>
          <w:rFonts w:cstheme="minorHAnsi"/>
          <w:sz w:val="21"/>
          <w:szCs w:val="21"/>
          <w:lang w:val="en-AU"/>
        </w:rPr>
        <w:t xml:space="preserve">0.9 to 1.2 years due to school closures. </w:t>
      </w:r>
      <w:r w:rsidR="00EB6ABE" w:rsidRPr="00BA23EC">
        <w:rPr>
          <w:rFonts w:cstheme="minorHAnsi"/>
          <w:sz w:val="21"/>
          <w:szCs w:val="21"/>
          <w:lang w:val="en-AU"/>
        </w:rPr>
        <w:t xml:space="preserve">The pandemic </w:t>
      </w:r>
      <w:r w:rsidR="002F2E4D" w:rsidRPr="00BA23EC">
        <w:rPr>
          <w:rFonts w:cstheme="minorHAnsi"/>
          <w:sz w:val="21"/>
          <w:szCs w:val="21"/>
          <w:lang w:val="en-AU"/>
        </w:rPr>
        <w:t>exposed</w:t>
      </w:r>
      <w:r w:rsidR="00882B14" w:rsidRPr="00BA23EC">
        <w:rPr>
          <w:rFonts w:cstheme="minorHAnsi"/>
          <w:sz w:val="21"/>
          <w:szCs w:val="21"/>
          <w:lang w:val="en-AU"/>
        </w:rPr>
        <w:t xml:space="preserve"> </w:t>
      </w:r>
      <w:r w:rsidR="00EB6ABE" w:rsidRPr="00BA23EC">
        <w:rPr>
          <w:rFonts w:cstheme="minorHAnsi"/>
          <w:sz w:val="21"/>
          <w:szCs w:val="21"/>
          <w:lang w:val="en-AU"/>
        </w:rPr>
        <w:t xml:space="preserve">significant </w:t>
      </w:r>
      <w:r w:rsidR="00882B14" w:rsidRPr="00BA23EC">
        <w:rPr>
          <w:rFonts w:cstheme="minorHAnsi"/>
          <w:sz w:val="21"/>
          <w:szCs w:val="21"/>
          <w:lang w:val="en-AU"/>
        </w:rPr>
        <w:t>capacity gaps</w:t>
      </w:r>
      <w:r w:rsidR="00EB6ABE" w:rsidRPr="00BA23EC">
        <w:rPr>
          <w:rFonts w:cstheme="minorHAnsi"/>
          <w:sz w:val="21"/>
          <w:szCs w:val="21"/>
          <w:lang w:val="en-AU"/>
        </w:rPr>
        <w:t xml:space="preserve"> </w:t>
      </w:r>
      <w:r w:rsidR="00EB4DD0">
        <w:rPr>
          <w:rFonts w:cstheme="minorHAnsi"/>
          <w:sz w:val="21"/>
          <w:szCs w:val="21"/>
          <w:lang w:val="en-AU"/>
        </w:rPr>
        <w:t>in</w:t>
      </w:r>
      <w:r w:rsidR="00EB6ABE" w:rsidRPr="00BA23EC">
        <w:rPr>
          <w:rFonts w:cstheme="minorHAnsi"/>
          <w:sz w:val="21"/>
          <w:szCs w:val="21"/>
          <w:lang w:val="en-AU"/>
        </w:rPr>
        <w:t xml:space="preserve"> the </w:t>
      </w:r>
      <w:r w:rsidR="007E5763" w:rsidRPr="00BA23EC">
        <w:rPr>
          <w:rFonts w:cstheme="minorHAnsi"/>
          <w:sz w:val="21"/>
          <w:szCs w:val="21"/>
          <w:lang w:val="en-AU"/>
        </w:rPr>
        <w:t xml:space="preserve">Indonesian </w:t>
      </w:r>
      <w:r w:rsidR="00EB6ABE" w:rsidRPr="00BA23EC">
        <w:rPr>
          <w:rFonts w:cstheme="minorHAnsi"/>
          <w:sz w:val="21"/>
          <w:szCs w:val="21"/>
          <w:lang w:val="en-AU"/>
        </w:rPr>
        <w:t>health care system</w:t>
      </w:r>
      <w:r w:rsidR="008712B2" w:rsidRPr="00BA23EC">
        <w:rPr>
          <w:rFonts w:cstheme="minorHAnsi"/>
          <w:sz w:val="21"/>
          <w:szCs w:val="21"/>
          <w:lang w:val="en-AU"/>
        </w:rPr>
        <w:t xml:space="preserve"> </w:t>
      </w:r>
      <w:r w:rsidR="00EB6ABE" w:rsidRPr="00BA23EC">
        <w:rPr>
          <w:rFonts w:cstheme="minorHAnsi"/>
          <w:sz w:val="21"/>
          <w:szCs w:val="21"/>
          <w:lang w:val="en-AU"/>
        </w:rPr>
        <w:t>at the primary care level</w:t>
      </w:r>
      <w:r w:rsidR="00017E90" w:rsidRPr="00BA23EC">
        <w:rPr>
          <w:rFonts w:cstheme="minorHAnsi"/>
          <w:sz w:val="21"/>
          <w:szCs w:val="21"/>
          <w:lang w:val="en-AU"/>
        </w:rPr>
        <w:t xml:space="preserve"> </w:t>
      </w:r>
      <w:r w:rsidR="00352BB6" w:rsidRPr="00BA23EC">
        <w:rPr>
          <w:rFonts w:cstheme="minorHAnsi"/>
          <w:sz w:val="21"/>
          <w:szCs w:val="21"/>
          <w:lang w:val="en-AU"/>
        </w:rPr>
        <w:t>with</w:t>
      </w:r>
      <w:r w:rsidR="00017E90" w:rsidRPr="00BA23EC">
        <w:rPr>
          <w:rFonts w:cstheme="minorHAnsi"/>
          <w:sz w:val="21"/>
          <w:szCs w:val="21"/>
          <w:lang w:val="en-AU"/>
        </w:rPr>
        <w:t xml:space="preserve"> severe disruptions in regular services</w:t>
      </w:r>
      <w:r w:rsidR="00886E31" w:rsidRPr="00BA23EC">
        <w:rPr>
          <w:rFonts w:cstheme="minorHAnsi"/>
          <w:sz w:val="21"/>
          <w:szCs w:val="21"/>
          <w:lang w:val="en-AU"/>
        </w:rPr>
        <w:t xml:space="preserve">, particularly </w:t>
      </w:r>
      <w:r w:rsidR="008738E2" w:rsidRPr="00BA23EC">
        <w:rPr>
          <w:rFonts w:cstheme="minorHAnsi"/>
          <w:sz w:val="21"/>
          <w:szCs w:val="21"/>
          <w:lang w:val="en-AU"/>
        </w:rPr>
        <w:t>around</w:t>
      </w:r>
      <w:r w:rsidR="00017E90" w:rsidRPr="00BA23EC">
        <w:rPr>
          <w:rFonts w:cstheme="minorHAnsi"/>
          <w:sz w:val="21"/>
          <w:szCs w:val="21"/>
          <w:lang w:val="en-AU"/>
        </w:rPr>
        <w:t xml:space="preserve"> maternal, </w:t>
      </w:r>
      <w:r w:rsidR="00920DFE" w:rsidRPr="00BA23EC">
        <w:rPr>
          <w:rFonts w:cstheme="minorHAnsi"/>
          <w:sz w:val="21"/>
          <w:szCs w:val="21"/>
          <w:lang w:val="en-AU"/>
        </w:rPr>
        <w:t>newborn</w:t>
      </w:r>
      <w:r w:rsidR="00017E90" w:rsidRPr="00BA23EC">
        <w:rPr>
          <w:rFonts w:cstheme="minorHAnsi"/>
          <w:sz w:val="21"/>
          <w:szCs w:val="21"/>
          <w:lang w:val="en-AU"/>
        </w:rPr>
        <w:t xml:space="preserve">, </w:t>
      </w:r>
      <w:proofErr w:type="gramStart"/>
      <w:r w:rsidR="00017E90" w:rsidRPr="00BA23EC">
        <w:rPr>
          <w:rFonts w:cstheme="minorHAnsi"/>
          <w:sz w:val="21"/>
          <w:szCs w:val="21"/>
          <w:lang w:val="en-AU"/>
        </w:rPr>
        <w:t>child</w:t>
      </w:r>
      <w:proofErr w:type="gramEnd"/>
      <w:r w:rsidR="00017E90" w:rsidRPr="00BA23EC">
        <w:rPr>
          <w:rFonts w:cstheme="minorHAnsi"/>
          <w:sz w:val="21"/>
          <w:szCs w:val="21"/>
          <w:lang w:val="en-AU"/>
        </w:rPr>
        <w:t xml:space="preserve"> and adolescent health</w:t>
      </w:r>
      <w:r w:rsidR="00352BB6" w:rsidRPr="00BA23EC">
        <w:rPr>
          <w:rFonts w:cstheme="minorHAnsi"/>
          <w:sz w:val="21"/>
          <w:szCs w:val="21"/>
          <w:lang w:val="en-AU"/>
        </w:rPr>
        <w:t xml:space="preserve"> – leading to the</w:t>
      </w:r>
      <w:r w:rsidR="00111CBC" w:rsidRPr="00BA23EC">
        <w:rPr>
          <w:rFonts w:cstheme="minorHAnsi"/>
          <w:sz w:val="21"/>
          <w:szCs w:val="21"/>
          <w:lang w:val="en-AU"/>
        </w:rPr>
        <w:t xml:space="preserve"> partial erosion of </w:t>
      </w:r>
      <w:r w:rsidR="003A56E3" w:rsidRPr="00BA23EC">
        <w:rPr>
          <w:rFonts w:cstheme="minorHAnsi"/>
          <w:sz w:val="21"/>
          <w:szCs w:val="21"/>
          <w:lang w:val="en-AU"/>
        </w:rPr>
        <w:t xml:space="preserve">Indonesia’s health and development </w:t>
      </w:r>
      <w:r w:rsidR="0054292A" w:rsidRPr="00BA23EC">
        <w:rPr>
          <w:rFonts w:cstheme="minorHAnsi"/>
          <w:sz w:val="21"/>
          <w:szCs w:val="21"/>
          <w:lang w:val="en-AU"/>
        </w:rPr>
        <w:t xml:space="preserve">gains </w:t>
      </w:r>
      <w:r w:rsidR="009F6BB3" w:rsidRPr="00BA23EC">
        <w:rPr>
          <w:rFonts w:cstheme="minorHAnsi"/>
          <w:sz w:val="21"/>
          <w:szCs w:val="21"/>
          <w:lang w:val="en-AU"/>
        </w:rPr>
        <w:t>from the past few decades</w:t>
      </w:r>
      <w:r w:rsidR="00351C66" w:rsidRPr="00BA23EC">
        <w:rPr>
          <w:rFonts w:cstheme="minorHAnsi"/>
          <w:sz w:val="21"/>
          <w:szCs w:val="21"/>
          <w:lang w:val="en-AU"/>
        </w:rPr>
        <w:t>.</w:t>
      </w:r>
    </w:p>
    <w:p w14:paraId="16A463BF" w14:textId="11935449" w:rsidR="009E6388" w:rsidRDefault="009E6388" w:rsidP="009E6388">
      <w:pPr>
        <w:jc w:val="both"/>
        <w:rPr>
          <w:rFonts w:cstheme="minorHAnsi"/>
          <w:sz w:val="21"/>
          <w:szCs w:val="21"/>
          <w:lang w:val="en-AU"/>
        </w:rPr>
      </w:pPr>
      <w:r>
        <w:rPr>
          <w:rFonts w:cstheme="minorHAnsi"/>
          <w:sz w:val="21"/>
          <w:lang w:val="en-AU"/>
        </w:rPr>
        <w:t>W</w:t>
      </w:r>
      <w:r w:rsidR="00DA6058">
        <w:rPr>
          <w:rFonts w:cstheme="minorHAnsi"/>
          <w:sz w:val="21"/>
          <w:lang w:val="en-AU"/>
        </w:rPr>
        <w:t>ith a</w:t>
      </w:r>
      <w:r w:rsidR="00DA6058" w:rsidRPr="00BA23EC">
        <w:rPr>
          <w:rFonts w:cstheme="minorHAnsi"/>
          <w:sz w:val="21"/>
          <w:lang w:val="en-AU"/>
        </w:rPr>
        <w:t xml:space="preserve"> ranking of 14th of 181 countries on the Global Climate Risk Index</w:t>
      </w:r>
      <w:r w:rsidR="00DA6058">
        <w:rPr>
          <w:rFonts w:cstheme="minorHAnsi"/>
          <w:sz w:val="21"/>
          <w:lang w:val="en-AU"/>
        </w:rPr>
        <w:t>,</w:t>
      </w:r>
      <w:r w:rsidR="00DA6058" w:rsidRPr="00BA23EC">
        <w:rPr>
          <w:rFonts w:cstheme="minorHAnsi"/>
          <w:sz w:val="21"/>
          <w:lang w:val="en-AU"/>
        </w:rPr>
        <w:t xml:space="preserve"> </w:t>
      </w:r>
      <w:r w:rsidR="00DA6058">
        <w:rPr>
          <w:rFonts w:cstheme="minorHAnsi"/>
          <w:sz w:val="21"/>
          <w:lang w:val="en-AU"/>
        </w:rPr>
        <w:t xml:space="preserve">Indonesia’s health system is already experiencing the impacts of </w:t>
      </w:r>
      <w:r w:rsidR="00DA6058" w:rsidRPr="00DA6058">
        <w:rPr>
          <w:rFonts w:cstheme="minorHAnsi"/>
          <w:sz w:val="21"/>
          <w:szCs w:val="21"/>
          <w:lang w:val="en-AU"/>
        </w:rPr>
        <w:t xml:space="preserve">climate </w:t>
      </w:r>
      <w:r w:rsidR="00470A07" w:rsidRPr="00DA6058">
        <w:rPr>
          <w:rFonts w:cstheme="minorHAnsi"/>
          <w:sz w:val="21"/>
          <w:szCs w:val="21"/>
          <w:lang w:val="en-AU"/>
        </w:rPr>
        <w:t>change,</w:t>
      </w:r>
      <w:r w:rsidR="00DA6058" w:rsidRPr="00DA6058">
        <w:rPr>
          <w:rFonts w:cstheme="minorHAnsi"/>
          <w:sz w:val="21"/>
          <w:szCs w:val="21"/>
          <w:lang w:val="en-AU"/>
        </w:rPr>
        <w:t xml:space="preserve"> </w:t>
      </w:r>
      <w:r w:rsidR="00DA6058">
        <w:rPr>
          <w:rFonts w:cstheme="minorHAnsi"/>
          <w:sz w:val="21"/>
          <w:szCs w:val="21"/>
          <w:lang w:val="en-AU"/>
        </w:rPr>
        <w:t xml:space="preserve">which is likely to intensify </w:t>
      </w:r>
      <w:r w:rsidR="00DA6058" w:rsidRPr="00DA6058">
        <w:rPr>
          <w:rFonts w:cstheme="minorHAnsi"/>
          <w:sz w:val="21"/>
          <w:szCs w:val="21"/>
          <w:lang w:val="en-AU"/>
        </w:rPr>
        <w:t>particular</w:t>
      </w:r>
      <w:r w:rsidR="00DA6058">
        <w:rPr>
          <w:rFonts w:cstheme="minorHAnsi"/>
          <w:sz w:val="21"/>
          <w:szCs w:val="21"/>
          <w:lang w:val="en-AU"/>
        </w:rPr>
        <w:t xml:space="preserve">ly in </w:t>
      </w:r>
      <w:r w:rsidR="00DA6058" w:rsidRPr="00DA6058">
        <w:rPr>
          <w:rFonts w:cstheme="minorHAnsi"/>
          <w:sz w:val="21"/>
          <w:szCs w:val="21"/>
          <w:lang w:val="en-AU"/>
        </w:rPr>
        <w:t xml:space="preserve">rural, remote areas that are vulnerable to </w:t>
      </w:r>
      <w:r w:rsidR="00DA6058">
        <w:rPr>
          <w:rFonts w:cstheme="minorHAnsi"/>
          <w:sz w:val="21"/>
          <w:szCs w:val="21"/>
          <w:lang w:val="en-AU"/>
        </w:rPr>
        <w:t xml:space="preserve">extreme weather events that disrupt </w:t>
      </w:r>
      <w:r w:rsidR="00DA6058" w:rsidRPr="00DA6058">
        <w:rPr>
          <w:rFonts w:cstheme="minorHAnsi"/>
          <w:sz w:val="21"/>
          <w:szCs w:val="21"/>
          <w:lang w:val="en-AU"/>
        </w:rPr>
        <w:t>health service</w:t>
      </w:r>
      <w:r w:rsidR="00DA6058">
        <w:rPr>
          <w:rFonts w:cstheme="minorHAnsi"/>
          <w:sz w:val="21"/>
          <w:szCs w:val="21"/>
          <w:lang w:val="en-AU"/>
        </w:rPr>
        <w:t xml:space="preserve">s. </w:t>
      </w:r>
      <w:r>
        <w:rPr>
          <w:rFonts w:cstheme="minorHAnsi"/>
          <w:sz w:val="21"/>
          <w:szCs w:val="21"/>
          <w:lang w:val="en-AU"/>
        </w:rPr>
        <w:t>C</w:t>
      </w:r>
      <w:r w:rsidRPr="00DA6058">
        <w:rPr>
          <w:rFonts w:cstheme="minorHAnsi"/>
          <w:sz w:val="21"/>
          <w:szCs w:val="21"/>
          <w:lang w:val="en-AU"/>
        </w:rPr>
        <w:t>limate change is projected to cause significant morbidity and mortality due to flooding, heat, landslides, drought, and air pollution in Indonesia</w:t>
      </w:r>
      <w:r>
        <w:rPr>
          <w:rFonts w:cstheme="minorHAnsi"/>
          <w:sz w:val="21"/>
          <w:szCs w:val="21"/>
          <w:lang w:val="en-AU"/>
        </w:rPr>
        <w:t>.</w:t>
      </w:r>
    </w:p>
    <w:p w14:paraId="61014888" w14:textId="690DDABE" w:rsidR="00A40BEA" w:rsidRPr="00BA23EC" w:rsidRDefault="00A14AB4" w:rsidP="00B60385">
      <w:pPr>
        <w:pStyle w:val="BodyText"/>
        <w:jc w:val="both"/>
        <w:rPr>
          <w:rFonts w:cstheme="minorHAnsi"/>
          <w:sz w:val="21"/>
          <w:szCs w:val="21"/>
          <w:u w:val="single"/>
          <w:lang w:val="en-AU"/>
        </w:rPr>
      </w:pPr>
      <w:r w:rsidRPr="00BA23EC">
        <w:rPr>
          <w:rFonts w:cstheme="minorHAnsi"/>
          <w:sz w:val="21"/>
          <w:szCs w:val="21"/>
          <w:u w:val="single"/>
          <w:lang w:val="en-AU"/>
        </w:rPr>
        <w:t>Investment Description</w:t>
      </w:r>
    </w:p>
    <w:p w14:paraId="00925EAA" w14:textId="045B835A" w:rsidR="009C7F82" w:rsidRPr="009C7F82" w:rsidRDefault="00E53796" w:rsidP="00A82166">
      <w:pPr>
        <w:pStyle w:val="BodyText"/>
        <w:jc w:val="both"/>
        <w:rPr>
          <w:rFonts w:cstheme="minorHAnsi"/>
          <w:sz w:val="21"/>
          <w:lang w:val="en-AU"/>
        </w:rPr>
      </w:pPr>
      <w:r w:rsidRPr="00BA23EC">
        <w:rPr>
          <w:rFonts w:cstheme="minorHAnsi"/>
          <w:b/>
          <w:sz w:val="21"/>
          <w:szCs w:val="21"/>
          <w:lang w:val="en-AU"/>
        </w:rPr>
        <w:t>Australia</w:t>
      </w:r>
      <w:r w:rsidR="00A34EA7" w:rsidRPr="00BA23EC">
        <w:rPr>
          <w:rFonts w:cstheme="minorHAnsi"/>
          <w:b/>
          <w:sz w:val="21"/>
          <w:szCs w:val="21"/>
          <w:lang w:val="en-AU"/>
        </w:rPr>
        <w:t xml:space="preserve">’s contribution of </w:t>
      </w:r>
      <w:r w:rsidRPr="00BA23EC">
        <w:rPr>
          <w:rFonts w:cstheme="minorHAnsi"/>
          <w:b/>
          <w:sz w:val="21"/>
          <w:szCs w:val="21"/>
          <w:lang w:val="en-AU"/>
        </w:rPr>
        <w:t xml:space="preserve">AUD9.6 million to the HT-MDTF </w:t>
      </w:r>
      <w:r w:rsidR="00A34EA7" w:rsidRPr="00BA23EC">
        <w:rPr>
          <w:rFonts w:cstheme="minorHAnsi"/>
          <w:b/>
          <w:sz w:val="21"/>
          <w:szCs w:val="21"/>
          <w:lang w:val="en-AU"/>
        </w:rPr>
        <w:t xml:space="preserve">will be </w:t>
      </w:r>
      <w:r w:rsidR="00584180" w:rsidRPr="00BA23EC">
        <w:rPr>
          <w:rFonts w:cstheme="minorHAnsi"/>
          <w:b/>
          <w:sz w:val="21"/>
          <w:szCs w:val="21"/>
          <w:lang w:val="en-AU"/>
        </w:rPr>
        <w:t>funded</w:t>
      </w:r>
      <w:r w:rsidR="00A34EA7" w:rsidRPr="00BA23EC">
        <w:rPr>
          <w:rFonts w:cstheme="minorHAnsi"/>
          <w:b/>
          <w:sz w:val="21"/>
          <w:szCs w:val="21"/>
          <w:lang w:val="en-AU"/>
        </w:rPr>
        <w:t xml:space="preserve"> from the Indonesia bilateral development budget </w:t>
      </w:r>
      <w:r w:rsidR="008975DF" w:rsidRPr="00BA23EC">
        <w:rPr>
          <w:rFonts w:cstheme="minorHAnsi"/>
          <w:b/>
          <w:sz w:val="21"/>
          <w:szCs w:val="21"/>
          <w:lang w:val="en-AU"/>
        </w:rPr>
        <w:t xml:space="preserve">over three years (2023 - 2026) </w:t>
      </w:r>
      <w:r w:rsidR="008975DF" w:rsidRPr="00BA23EC">
        <w:rPr>
          <w:rFonts w:cstheme="minorHAnsi"/>
          <w:sz w:val="21"/>
          <w:szCs w:val="21"/>
          <w:lang w:val="en-AU"/>
        </w:rPr>
        <w:t>with an option for a two-year extension contingent on performance and budget availability.</w:t>
      </w:r>
      <w:r w:rsidR="005C5C25">
        <w:rPr>
          <w:rFonts w:cstheme="minorHAnsi"/>
          <w:sz w:val="21"/>
          <w:szCs w:val="21"/>
          <w:lang w:val="en-AU"/>
        </w:rPr>
        <w:t xml:space="preserve"> This funding, t</w:t>
      </w:r>
      <w:r w:rsidR="00603F47" w:rsidRPr="00BA23EC">
        <w:rPr>
          <w:rFonts w:cstheme="minorHAnsi"/>
          <w:sz w:val="21"/>
          <w:szCs w:val="21"/>
          <w:lang w:val="en-AU"/>
        </w:rPr>
        <w:t xml:space="preserve">ogether with contributions from other </w:t>
      </w:r>
      <w:r w:rsidR="00C67D99" w:rsidRPr="00BA23EC">
        <w:rPr>
          <w:rFonts w:cstheme="minorHAnsi"/>
          <w:sz w:val="21"/>
          <w:szCs w:val="21"/>
          <w:lang w:val="en-AU"/>
        </w:rPr>
        <w:t xml:space="preserve">development </w:t>
      </w:r>
      <w:r w:rsidR="00C67D99" w:rsidRPr="00545EDA">
        <w:rPr>
          <w:rFonts w:cstheme="minorHAnsi"/>
          <w:sz w:val="21"/>
          <w:szCs w:val="21"/>
          <w:lang w:val="en-AU"/>
        </w:rPr>
        <w:t>partners</w:t>
      </w:r>
      <w:r w:rsidR="00B6275D" w:rsidRPr="00545EDA">
        <w:rPr>
          <w:rFonts w:cstheme="minorHAnsi"/>
          <w:sz w:val="21"/>
          <w:szCs w:val="21"/>
          <w:lang w:val="en-AU"/>
        </w:rPr>
        <w:t xml:space="preserve"> (</w:t>
      </w:r>
      <w:r w:rsidR="00B6275D" w:rsidRPr="001252BC">
        <w:rPr>
          <w:rFonts w:cstheme="minorHAnsi"/>
          <w:sz w:val="21"/>
          <w:lang w:val="en-AU"/>
        </w:rPr>
        <w:t>Gavi (the Vaccine Alliance), Global Fund, Gates Foundation, and USAID</w:t>
      </w:r>
      <w:r w:rsidR="00545EDA" w:rsidRPr="001252BC">
        <w:rPr>
          <w:rFonts w:cstheme="minorHAnsi"/>
          <w:sz w:val="21"/>
          <w:lang w:val="en-AU"/>
        </w:rPr>
        <w:t>)</w:t>
      </w:r>
      <w:r w:rsidR="00603F47" w:rsidRPr="00545EDA">
        <w:rPr>
          <w:rFonts w:cstheme="minorHAnsi"/>
          <w:sz w:val="21"/>
          <w:szCs w:val="21"/>
          <w:lang w:val="en-AU"/>
        </w:rPr>
        <w:t xml:space="preserve">, </w:t>
      </w:r>
      <w:r w:rsidR="005C5C25">
        <w:rPr>
          <w:rFonts w:cstheme="minorHAnsi"/>
          <w:sz w:val="21"/>
          <w:szCs w:val="21"/>
          <w:lang w:val="en-AU"/>
        </w:rPr>
        <w:t xml:space="preserve">will support and build </w:t>
      </w:r>
      <w:r w:rsidR="00356AB1">
        <w:rPr>
          <w:rFonts w:cstheme="minorHAnsi"/>
          <w:sz w:val="21"/>
          <w:szCs w:val="21"/>
          <w:lang w:val="en-AU"/>
        </w:rPr>
        <w:t xml:space="preserve">the </w:t>
      </w:r>
      <w:r w:rsidR="005C5C25">
        <w:rPr>
          <w:rFonts w:cstheme="minorHAnsi"/>
          <w:sz w:val="21"/>
          <w:szCs w:val="21"/>
          <w:lang w:val="en-AU"/>
        </w:rPr>
        <w:t xml:space="preserve">reform management capability within the MoH. </w:t>
      </w:r>
      <w:r w:rsidR="00FA0904">
        <w:rPr>
          <w:rFonts w:cstheme="minorHAnsi"/>
          <w:sz w:val="21"/>
          <w:szCs w:val="21"/>
          <w:lang w:val="en-AU"/>
        </w:rPr>
        <w:t>T</w:t>
      </w:r>
      <w:r w:rsidR="00B957F1">
        <w:rPr>
          <w:rFonts w:cstheme="minorHAnsi"/>
          <w:sz w:val="21"/>
          <w:szCs w:val="21"/>
          <w:lang w:val="en-AU"/>
        </w:rPr>
        <w:t xml:space="preserve">he </w:t>
      </w:r>
      <w:r w:rsidR="00DE0502">
        <w:rPr>
          <w:rFonts w:cstheme="minorHAnsi"/>
          <w:sz w:val="21"/>
          <w:szCs w:val="21"/>
          <w:lang w:val="en-AU"/>
        </w:rPr>
        <w:t xml:space="preserve">HT-MDTF will </w:t>
      </w:r>
      <w:r w:rsidR="009C7F82">
        <w:rPr>
          <w:rFonts w:cstheme="minorHAnsi"/>
          <w:sz w:val="21"/>
          <w:szCs w:val="21"/>
          <w:lang w:val="en-AU"/>
        </w:rPr>
        <w:t xml:space="preserve">provide </w:t>
      </w:r>
      <w:r w:rsidR="00021928">
        <w:rPr>
          <w:rFonts w:cstheme="minorHAnsi"/>
          <w:sz w:val="21"/>
          <w:szCs w:val="21"/>
          <w:lang w:val="en-AU"/>
        </w:rPr>
        <w:t>fund</w:t>
      </w:r>
      <w:r w:rsidR="009C7F82">
        <w:rPr>
          <w:rFonts w:cstheme="minorHAnsi"/>
          <w:sz w:val="21"/>
          <w:szCs w:val="21"/>
          <w:lang w:val="en-AU"/>
        </w:rPr>
        <w:t>ing to</w:t>
      </w:r>
      <w:r w:rsidR="00021928">
        <w:rPr>
          <w:rFonts w:cstheme="minorHAnsi"/>
          <w:sz w:val="21"/>
          <w:szCs w:val="21"/>
          <w:lang w:val="en-AU"/>
        </w:rPr>
        <w:t xml:space="preserve"> the </w:t>
      </w:r>
      <w:r w:rsidR="00021928">
        <w:rPr>
          <w:rFonts w:cstheme="minorHAnsi"/>
          <w:sz w:val="21"/>
          <w:lang w:val="en-AU"/>
        </w:rPr>
        <w:t>M</w:t>
      </w:r>
      <w:r w:rsidR="005160D9" w:rsidRPr="00545EDA">
        <w:rPr>
          <w:rFonts w:cstheme="minorHAnsi"/>
          <w:sz w:val="21"/>
          <w:szCs w:val="21"/>
          <w:lang w:val="en-AU"/>
        </w:rPr>
        <w:t xml:space="preserve">oH </w:t>
      </w:r>
      <w:r w:rsidR="009C7F82">
        <w:rPr>
          <w:rFonts w:cstheme="minorHAnsi"/>
          <w:sz w:val="21"/>
          <w:szCs w:val="21"/>
          <w:lang w:val="en-AU"/>
        </w:rPr>
        <w:t>for</w:t>
      </w:r>
      <w:r w:rsidR="00C23237">
        <w:rPr>
          <w:rFonts w:cstheme="minorHAnsi"/>
          <w:sz w:val="21"/>
          <w:szCs w:val="21"/>
          <w:lang w:val="en-AU"/>
        </w:rPr>
        <w:t xml:space="preserve"> the </w:t>
      </w:r>
      <w:r w:rsidR="00107A83" w:rsidRPr="00BA23EC">
        <w:rPr>
          <w:rFonts w:cstheme="minorHAnsi"/>
          <w:sz w:val="21"/>
          <w:szCs w:val="21"/>
          <w:lang w:val="en-AU"/>
        </w:rPr>
        <w:t>procure</w:t>
      </w:r>
      <w:r w:rsidR="00C23237">
        <w:rPr>
          <w:rFonts w:cstheme="minorHAnsi"/>
          <w:sz w:val="21"/>
          <w:szCs w:val="21"/>
          <w:lang w:val="en-AU"/>
        </w:rPr>
        <w:t>ment of</w:t>
      </w:r>
      <w:r w:rsidR="00107A83" w:rsidRPr="00BA23EC">
        <w:rPr>
          <w:rFonts w:cstheme="minorHAnsi"/>
          <w:sz w:val="21"/>
          <w:szCs w:val="21"/>
          <w:lang w:val="en-AU"/>
        </w:rPr>
        <w:t xml:space="preserve"> analytical and advisory services, and technical expertise </w:t>
      </w:r>
      <w:r w:rsidR="002117CB" w:rsidRPr="00BA23EC">
        <w:rPr>
          <w:rFonts w:cstheme="minorHAnsi"/>
          <w:sz w:val="21"/>
          <w:szCs w:val="21"/>
          <w:lang w:val="en-AU"/>
        </w:rPr>
        <w:t>to</w:t>
      </w:r>
      <w:r w:rsidR="00107A83" w:rsidRPr="00BA23EC">
        <w:rPr>
          <w:rFonts w:cstheme="minorHAnsi"/>
          <w:sz w:val="21"/>
          <w:szCs w:val="21"/>
          <w:lang w:val="en-AU"/>
        </w:rPr>
        <w:t xml:space="preserve"> inform the design</w:t>
      </w:r>
      <w:r w:rsidR="009C1F53">
        <w:rPr>
          <w:rFonts w:cstheme="minorHAnsi"/>
          <w:sz w:val="21"/>
          <w:szCs w:val="21"/>
          <w:lang w:val="en-AU"/>
        </w:rPr>
        <w:t xml:space="preserve"> and </w:t>
      </w:r>
      <w:r w:rsidR="00107A83" w:rsidRPr="00BA23EC">
        <w:rPr>
          <w:rFonts w:cstheme="minorHAnsi"/>
          <w:sz w:val="21"/>
          <w:szCs w:val="21"/>
          <w:lang w:val="en-AU"/>
        </w:rPr>
        <w:t>implementation</w:t>
      </w:r>
      <w:r w:rsidR="009C1F53">
        <w:rPr>
          <w:rFonts w:cstheme="minorHAnsi"/>
          <w:sz w:val="21"/>
          <w:szCs w:val="21"/>
          <w:lang w:val="en-AU"/>
        </w:rPr>
        <w:t xml:space="preserve"> of </w:t>
      </w:r>
      <w:r w:rsidR="00FA0904">
        <w:rPr>
          <w:rFonts w:cstheme="minorHAnsi"/>
          <w:sz w:val="21"/>
          <w:szCs w:val="21"/>
          <w:lang w:val="en-AU"/>
        </w:rPr>
        <w:t xml:space="preserve">health reform programs, </w:t>
      </w:r>
      <w:proofErr w:type="gramStart"/>
      <w:r w:rsidR="00FA0904">
        <w:rPr>
          <w:rFonts w:cstheme="minorHAnsi"/>
          <w:sz w:val="21"/>
          <w:szCs w:val="21"/>
          <w:lang w:val="en-AU"/>
        </w:rPr>
        <w:t>projects</w:t>
      </w:r>
      <w:proofErr w:type="gramEnd"/>
      <w:r w:rsidR="00FA0904">
        <w:rPr>
          <w:rFonts w:cstheme="minorHAnsi"/>
          <w:sz w:val="21"/>
          <w:szCs w:val="21"/>
          <w:lang w:val="en-AU"/>
        </w:rPr>
        <w:t xml:space="preserve"> and pilots. </w:t>
      </w:r>
      <w:proofErr w:type="gramStart"/>
      <w:r w:rsidR="00D77680">
        <w:rPr>
          <w:rFonts w:cstheme="minorHAnsi"/>
          <w:sz w:val="21"/>
          <w:szCs w:val="21"/>
          <w:lang w:val="en-AU"/>
        </w:rPr>
        <w:t>In particular, HT-MDTF-supported</w:t>
      </w:r>
      <w:proofErr w:type="gramEnd"/>
      <w:r w:rsidR="00D77680">
        <w:rPr>
          <w:rFonts w:cstheme="minorHAnsi"/>
          <w:sz w:val="21"/>
          <w:szCs w:val="21"/>
          <w:lang w:val="en-AU"/>
        </w:rPr>
        <w:t xml:space="preserve"> </w:t>
      </w:r>
      <w:r w:rsidR="005C5C25">
        <w:rPr>
          <w:rFonts w:cstheme="minorHAnsi"/>
          <w:sz w:val="21"/>
          <w:szCs w:val="21"/>
          <w:lang w:val="en-AU"/>
        </w:rPr>
        <w:t xml:space="preserve">analytics </w:t>
      </w:r>
      <w:r w:rsidR="00AB100F">
        <w:rPr>
          <w:rFonts w:cstheme="minorHAnsi"/>
          <w:sz w:val="21"/>
          <w:szCs w:val="21"/>
          <w:lang w:val="en-AU"/>
        </w:rPr>
        <w:t xml:space="preserve">will </w:t>
      </w:r>
      <w:r w:rsidR="00D77680">
        <w:rPr>
          <w:rFonts w:cstheme="minorHAnsi"/>
          <w:sz w:val="21"/>
          <w:szCs w:val="21"/>
          <w:lang w:val="en-AU"/>
        </w:rPr>
        <w:t>inform the operationalisation of interventions to address the</w:t>
      </w:r>
      <w:r w:rsidR="00AB100F" w:rsidRPr="00AB100F">
        <w:rPr>
          <w:rFonts w:cstheme="minorHAnsi"/>
          <w:sz w:val="21"/>
          <w:szCs w:val="21"/>
          <w:lang w:val="en-AU"/>
        </w:rPr>
        <w:t xml:space="preserve"> inequality </w:t>
      </w:r>
      <w:r w:rsidR="005C5C25">
        <w:rPr>
          <w:rFonts w:cstheme="minorHAnsi"/>
          <w:sz w:val="21"/>
          <w:szCs w:val="21"/>
          <w:lang w:val="en-AU"/>
        </w:rPr>
        <w:t xml:space="preserve">faced by </w:t>
      </w:r>
      <w:r w:rsidR="00AB100F" w:rsidRPr="00AB100F">
        <w:rPr>
          <w:rFonts w:cstheme="minorHAnsi"/>
          <w:sz w:val="21"/>
          <w:szCs w:val="21"/>
          <w:lang w:val="en-AU"/>
        </w:rPr>
        <w:t>women and girls</w:t>
      </w:r>
      <w:r w:rsidR="00D77680">
        <w:rPr>
          <w:rFonts w:cstheme="minorHAnsi"/>
          <w:sz w:val="21"/>
          <w:szCs w:val="21"/>
          <w:lang w:val="en-AU"/>
        </w:rPr>
        <w:t xml:space="preserve"> and </w:t>
      </w:r>
      <w:r w:rsidR="00AB100F" w:rsidRPr="00AB100F">
        <w:rPr>
          <w:rFonts w:cstheme="minorHAnsi"/>
          <w:sz w:val="21"/>
          <w:szCs w:val="21"/>
          <w:lang w:val="en-AU"/>
        </w:rPr>
        <w:t>people with disabilit</w:t>
      </w:r>
      <w:r w:rsidR="00356AB1">
        <w:rPr>
          <w:rFonts w:cstheme="minorHAnsi"/>
          <w:sz w:val="21"/>
          <w:szCs w:val="21"/>
          <w:lang w:val="en-AU"/>
        </w:rPr>
        <w:t xml:space="preserve">ies, and to build the climate resilience of </w:t>
      </w:r>
      <w:r w:rsidR="009C1F53">
        <w:rPr>
          <w:rFonts w:cstheme="minorHAnsi"/>
          <w:sz w:val="21"/>
          <w:szCs w:val="21"/>
          <w:lang w:val="en-AU"/>
        </w:rPr>
        <w:t>the health sector</w:t>
      </w:r>
      <w:r w:rsidR="00356AB1">
        <w:rPr>
          <w:rFonts w:cstheme="minorHAnsi"/>
          <w:sz w:val="21"/>
          <w:szCs w:val="21"/>
          <w:lang w:val="en-AU"/>
        </w:rPr>
        <w:t xml:space="preserve">. </w:t>
      </w:r>
      <w:r w:rsidR="00DB3BF9">
        <w:rPr>
          <w:rFonts w:cstheme="minorHAnsi"/>
          <w:sz w:val="21"/>
          <w:szCs w:val="21"/>
          <w:lang w:val="en-AU"/>
        </w:rPr>
        <w:t>Coupled</w:t>
      </w:r>
      <w:r w:rsidR="00A82166">
        <w:rPr>
          <w:rFonts w:cstheme="minorHAnsi"/>
          <w:sz w:val="21"/>
          <w:szCs w:val="21"/>
          <w:lang w:val="en-AU"/>
        </w:rPr>
        <w:t xml:space="preserve"> with the </w:t>
      </w:r>
      <w:r w:rsidR="00DB3BF9">
        <w:rPr>
          <w:rFonts w:cstheme="minorHAnsi"/>
          <w:sz w:val="21"/>
          <w:szCs w:val="21"/>
          <w:lang w:val="en-AU"/>
        </w:rPr>
        <w:t xml:space="preserve">significant </w:t>
      </w:r>
      <w:r w:rsidR="009C7F82" w:rsidRPr="009C7F82">
        <w:rPr>
          <w:rFonts w:cstheme="minorHAnsi"/>
          <w:sz w:val="21"/>
          <w:lang w:val="en-AU"/>
        </w:rPr>
        <w:t xml:space="preserve">health sector lending portfolio </w:t>
      </w:r>
      <w:r w:rsidR="00DB3BF9">
        <w:rPr>
          <w:rFonts w:cstheme="minorHAnsi"/>
          <w:sz w:val="21"/>
          <w:lang w:val="en-AU"/>
        </w:rPr>
        <w:t xml:space="preserve">that will fund the implementation of the </w:t>
      </w:r>
      <w:r w:rsidR="00A82166">
        <w:rPr>
          <w:rFonts w:cstheme="minorHAnsi"/>
          <w:sz w:val="21"/>
          <w:lang w:val="en-AU"/>
        </w:rPr>
        <w:t xml:space="preserve">reforms, </w:t>
      </w:r>
      <w:r w:rsidR="009722B7">
        <w:rPr>
          <w:rFonts w:cstheme="minorHAnsi"/>
          <w:sz w:val="21"/>
          <w:lang w:val="en-AU"/>
        </w:rPr>
        <w:t xml:space="preserve">this enabling support to the MoH will ensure the </w:t>
      </w:r>
      <w:r w:rsidR="009C7F82" w:rsidRPr="009C7F82">
        <w:rPr>
          <w:rFonts w:cstheme="minorHAnsi"/>
          <w:sz w:val="21"/>
          <w:lang w:val="en-AU"/>
        </w:rPr>
        <w:t xml:space="preserve">maximum impact. </w:t>
      </w:r>
    </w:p>
    <w:p w14:paraId="67FF6959" w14:textId="0CC2EA75" w:rsidR="009C1F53" w:rsidRDefault="00DE49DF" w:rsidP="009C1F53">
      <w:pPr>
        <w:pStyle w:val="BodyText"/>
        <w:jc w:val="both"/>
        <w:rPr>
          <w:rFonts w:cstheme="minorHAnsi"/>
          <w:sz w:val="21"/>
          <w:szCs w:val="21"/>
          <w:lang w:val="en-AU"/>
        </w:rPr>
      </w:pPr>
      <w:r w:rsidRPr="00BA23EC">
        <w:rPr>
          <w:rFonts w:cstheme="minorHAnsi"/>
          <w:sz w:val="21"/>
          <w:szCs w:val="21"/>
          <w:lang w:val="en-AU"/>
        </w:rPr>
        <w:t xml:space="preserve">Guided by the strategic oversight of the Partnership Council, </w:t>
      </w:r>
      <w:r w:rsidR="002846F5">
        <w:rPr>
          <w:rFonts w:cstheme="minorHAnsi"/>
          <w:sz w:val="21"/>
          <w:szCs w:val="21"/>
          <w:lang w:val="en-AU"/>
        </w:rPr>
        <w:t xml:space="preserve">the </w:t>
      </w:r>
      <w:r w:rsidRPr="00BA23EC">
        <w:rPr>
          <w:rFonts w:cstheme="minorHAnsi"/>
          <w:sz w:val="21"/>
          <w:szCs w:val="21"/>
          <w:lang w:val="en-AU"/>
        </w:rPr>
        <w:t>predominant share (90</w:t>
      </w:r>
      <w:r>
        <w:rPr>
          <w:rFonts w:cstheme="minorHAnsi"/>
          <w:sz w:val="21"/>
          <w:szCs w:val="21"/>
          <w:lang w:val="en-AU"/>
        </w:rPr>
        <w:t>+ percent</w:t>
      </w:r>
      <w:r w:rsidRPr="00BA23EC">
        <w:rPr>
          <w:rFonts w:cstheme="minorHAnsi"/>
          <w:sz w:val="21"/>
          <w:szCs w:val="21"/>
          <w:lang w:val="en-AU"/>
        </w:rPr>
        <w:t xml:space="preserve">) of HT-MDTF </w:t>
      </w:r>
      <w:r w:rsidR="002846F5">
        <w:rPr>
          <w:rFonts w:cstheme="minorHAnsi"/>
          <w:sz w:val="21"/>
          <w:szCs w:val="21"/>
          <w:lang w:val="en-AU"/>
        </w:rPr>
        <w:t xml:space="preserve">donor </w:t>
      </w:r>
      <w:r>
        <w:rPr>
          <w:rFonts w:cstheme="minorHAnsi"/>
          <w:sz w:val="21"/>
          <w:szCs w:val="21"/>
          <w:lang w:val="en-AU"/>
        </w:rPr>
        <w:t xml:space="preserve">contributions </w:t>
      </w:r>
      <w:r w:rsidRPr="00BA23EC">
        <w:rPr>
          <w:rFonts w:cstheme="minorHAnsi"/>
          <w:sz w:val="21"/>
          <w:szCs w:val="21"/>
          <w:lang w:val="en-AU"/>
        </w:rPr>
        <w:t xml:space="preserve">will be </w:t>
      </w:r>
      <w:r w:rsidR="002846F5">
        <w:rPr>
          <w:rFonts w:cstheme="minorHAnsi"/>
          <w:sz w:val="21"/>
          <w:szCs w:val="21"/>
          <w:lang w:val="en-AU"/>
        </w:rPr>
        <w:t>used to finance activities (</w:t>
      </w:r>
      <w:proofErr w:type="spellStart"/>
      <w:proofErr w:type="gramStart"/>
      <w:r w:rsidR="002846F5">
        <w:rPr>
          <w:rFonts w:cstheme="minorHAnsi"/>
          <w:sz w:val="21"/>
          <w:szCs w:val="21"/>
          <w:lang w:val="en-AU"/>
        </w:rPr>
        <w:t>ie</w:t>
      </w:r>
      <w:proofErr w:type="spellEnd"/>
      <w:proofErr w:type="gramEnd"/>
      <w:r w:rsidR="002846F5">
        <w:rPr>
          <w:rFonts w:cstheme="minorHAnsi"/>
          <w:sz w:val="21"/>
          <w:szCs w:val="21"/>
          <w:lang w:val="en-AU"/>
        </w:rPr>
        <w:t xml:space="preserve"> analytics) that will be implemented by the </w:t>
      </w:r>
      <w:proofErr w:type="spellStart"/>
      <w:r w:rsidRPr="00BA23EC">
        <w:rPr>
          <w:rFonts w:cstheme="minorHAnsi"/>
          <w:sz w:val="21"/>
          <w:szCs w:val="21"/>
          <w:lang w:val="en-AU"/>
        </w:rPr>
        <w:t>GoI</w:t>
      </w:r>
      <w:proofErr w:type="spellEnd"/>
      <w:r w:rsidRPr="00BA23EC">
        <w:rPr>
          <w:rFonts w:cstheme="minorHAnsi"/>
          <w:sz w:val="21"/>
          <w:szCs w:val="21"/>
          <w:lang w:val="en-AU"/>
        </w:rPr>
        <w:t xml:space="preserve"> </w:t>
      </w:r>
      <w:r w:rsidR="002846F5">
        <w:rPr>
          <w:rFonts w:cstheme="minorHAnsi"/>
          <w:sz w:val="21"/>
          <w:szCs w:val="21"/>
          <w:lang w:val="en-AU"/>
        </w:rPr>
        <w:t>(</w:t>
      </w:r>
      <w:r w:rsidRPr="00BA23EC">
        <w:rPr>
          <w:rFonts w:cstheme="minorHAnsi"/>
          <w:sz w:val="21"/>
          <w:szCs w:val="21"/>
          <w:lang w:val="en-AU"/>
        </w:rPr>
        <w:t>MoH</w:t>
      </w:r>
      <w:r w:rsidR="002846F5">
        <w:rPr>
          <w:rFonts w:cstheme="minorHAnsi"/>
          <w:sz w:val="21"/>
          <w:szCs w:val="21"/>
          <w:lang w:val="en-AU"/>
        </w:rPr>
        <w:t xml:space="preserve">) </w:t>
      </w:r>
      <w:r w:rsidR="00606AE5">
        <w:rPr>
          <w:rFonts w:cstheme="minorHAnsi"/>
          <w:sz w:val="21"/>
          <w:szCs w:val="21"/>
          <w:lang w:val="en-AU"/>
        </w:rPr>
        <w:t>and</w:t>
      </w:r>
      <w:r w:rsidR="002846F5">
        <w:rPr>
          <w:rFonts w:cstheme="minorHAnsi"/>
          <w:sz w:val="21"/>
          <w:szCs w:val="21"/>
          <w:lang w:val="en-AU"/>
        </w:rPr>
        <w:t xml:space="preserve"> appraised and supervised by the World Bank in accordance with the agreed terms</w:t>
      </w:r>
      <w:r w:rsidR="00356AB1">
        <w:rPr>
          <w:rFonts w:cstheme="minorHAnsi"/>
          <w:sz w:val="21"/>
          <w:szCs w:val="21"/>
          <w:lang w:val="en-AU"/>
        </w:rPr>
        <w:t xml:space="preserve"> of the trust fund</w:t>
      </w:r>
      <w:r>
        <w:rPr>
          <w:rFonts w:cstheme="minorHAnsi"/>
          <w:sz w:val="21"/>
          <w:szCs w:val="21"/>
          <w:lang w:val="en-AU"/>
        </w:rPr>
        <w:t xml:space="preserve">. </w:t>
      </w:r>
      <w:r w:rsidR="009C1F53">
        <w:rPr>
          <w:rFonts w:cstheme="minorHAnsi"/>
          <w:sz w:val="21"/>
          <w:szCs w:val="21"/>
          <w:lang w:val="en-AU"/>
        </w:rPr>
        <w:t>T</w:t>
      </w:r>
      <w:r w:rsidR="009C1F53" w:rsidRPr="00BA23EC">
        <w:rPr>
          <w:rFonts w:cstheme="minorHAnsi"/>
          <w:sz w:val="21"/>
          <w:szCs w:val="21"/>
          <w:lang w:val="en-AU"/>
        </w:rPr>
        <w:t xml:space="preserve">he remaining </w:t>
      </w:r>
      <w:r w:rsidR="009C1F53">
        <w:rPr>
          <w:rFonts w:cstheme="minorHAnsi"/>
          <w:sz w:val="21"/>
          <w:szCs w:val="21"/>
          <w:lang w:val="en-AU"/>
        </w:rPr>
        <w:t xml:space="preserve">share of the </w:t>
      </w:r>
      <w:r w:rsidR="00356AB1">
        <w:rPr>
          <w:rFonts w:cstheme="minorHAnsi"/>
          <w:sz w:val="21"/>
          <w:szCs w:val="21"/>
          <w:lang w:val="en-AU"/>
        </w:rPr>
        <w:t>HT-</w:t>
      </w:r>
      <w:r w:rsidR="009C1F53">
        <w:rPr>
          <w:rFonts w:cstheme="minorHAnsi"/>
          <w:sz w:val="21"/>
          <w:szCs w:val="21"/>
          <w:lang w:val="en-AU"/>
        </w:rPr>
        <w:t xml:space="preserve">MDTF (10 percent) will fund </w:t>
      </w:r>
      <w:r w:rsidR="009C1F53" w:rsidRPr="00BA23EC">
        <w:rPr>
          <w:rFonts w:cstheme="minorHAnsi"/>
          <w:sz w:val="21"/>
          <w:szCs w:val="21"/>
          <w:lang w:val="en-AU"/>
        </w:rPr>
        <w:t>Bank</w:t>
      </w:r>
      <w:r w:rsidR="009C1F53">
        <w:rPr>
          <w:rFonts w:cstheme="minorHAnsi"/>
          <w:sz w:val="21"/>
          <w:szCs w:val="21"/>
          <w:lang w:val="en-AU"/>
        </w:rPr>
        <w:t>-</w:t>
      </w:r>
      <w:r w:rsidR="009C1F53" w:rsidRPr="00BA23EC">
        <w:rPr>
          <w:rFonts w:cstheme="minorHAnsi"/>
          <w:sz w:val="21"/>
          <w:szCs w:val="21"/>
          <w:lang w:val="en-AU"/>
        </w:rPr>
        <w:t>executed analytics and technical assistance</w:t>
      </w:r>
      <w:r w:rsidR="009C1F53">
        <w:rPr>
          <w:rFonts w:cstheme="minorHAnsi"/>
          <w:sz w:val="21"/>
          <w:szCs w:val="21"/>
          <w:lang w:val="en-AU"/>
        </w:rPr>
        <w:t xml:space="preserve">, for instances where international expertise is identified as being required by MoH. </w:t>
      </w:r>
      <w:r w:rsidR="009C1F53" w:rsidRPr="00BA23EC">
        <w:rPr>
          <w:rFonts w:cstheme="minorHAnsi"/>
          <w:sz w:val="21"/>
          <w:szCs w:val="21"/>
          <w:lang w:val="en-AU"/>
        </w:rPr>
        <w:t xml:space="preserve"> </w:t>
      </w:r>
    </w:p>
    <w:p w14:paraId="2C3DDF8E" w14:textId="44CBB6EC" w:rsidR="000C6A66" w:rsidRDefault="000C6A66" w:rsidP="000C6A66">
      <w:pPr>
        <w:pStyle w:val="BodyText"/>
        <w:jc w:val="both"/>
        <w:rPr>
          <w:rFonts w:cstheme="minorHAnsi"/>
          <w:sz w:val="21"/>
          <w:szCs w:val="21"/>
          <w:lang w:val="en-AU"/>
        </w:rPr>
      </w:pPr>
      <w:r>
        <w:rPr>
          <w:rFonts w:cstheme="minorHAnsi"/>
          <w:sz w:val="21"/>
          <w:szCs w:val="21"/>
          <w:lang w:val="en-AU"/>
        </w:rPr>
        <w:t xml:space="preserve">As </w:t>
      </w:r>
      <w:r w:rsidR="00746873">
        <w:rPr>
          <w:rFonts w:cstheme="minorHAnsi"/>
          <w:sz w:val="21"/>
          <w:szCs w:val="21"/>
          <w:lang w:val="en-AU"/>
        </w:rPr>
        <w:t>a founding donor</w:t>
      </w:r>
      <w:r>
        <w:rPr>
          <w:rFonts w:cstheme="minorHAnsi"/>
          <w:sz w:val="21"/>
          <w:szCs w:val="21"/>
          <w:lang w:val="en-AU"/>
        </w:rPr>
        <w:t xml:space="preserve">, DFAT has had the opportunity to </w:t>
      </w:r>
      <w:r w:rsidR="00746873">
        <w:rPr>
          <w:rFonts w:cstheme="minorHAnsi"/>
          <w:sz w:val="21"/>
          <w:szCs w:val="21"/>
          <w:lang w:val="en-AU"/>
        </w:rPr>
        <w:t>contribute to shaping the design of the HT-MDTF</w:t>
      </w:r>
      <w:r w:rsidR="009B1D94">
        <w:rPr>
          <w:rFonts w:cstheme="minorHAnsi"/>
          <w:sz w:val="21"/>
          <w:szCs w:val="21"/>
          <w:lang w:val="en-AU"/>
        </w:rPr>
        <w:t xml:space="preserve">. </w:t>
      </w:r>
      <w:r w:rsidR="00FA1FED">
        <w:rPr>
          <w:rFonts w:cstheme="minorHAnsi"/>
          <w:sz w:val="21"/>
          <w:szCs w:val="21"/>
          <w:lang w:val="en-AU"/>
        </w:rPr>
        <w:t>However</w:t>
      </w:r>
      <w:r w:rsidR="00D75B73">
        <w:rPr>
          <w:rFonts w:cstheme="minorHAnsi"/>
          <w:sz w:val="21"/>
          <w:szCs w:val="21"/>
          <w:lang w:val="en-AU"/>
        </w:rPr>
        <w:t>,</w:t>
      </w:r>
      <w:r w:rsidR="00FA1FED">
        <w:rPr>
          <w:rFonts w:cstheme="minorHAnsi"/>
          <w:sz w:val="21"/>
          <w:szCs w:val="21"/>
          <w:lang w:val="en-AU"/>
        </w:rPr>
        <w:t xml:space="preserve"> a</w:t>
      </w:r>
      <w:r w:rsidR="009B1D94">
        <w:rPr>
          <w:rFonts w:cstheme="minorHAnsi"/>
          <w:sz w:val="21"/>
          <w:szCs w:val="21"/>
          <w:lang w:val="en-AU"/>
        </w:rPr>
        <w:t xml:space="preserve">s </w:t>
      </w:r>
      <w:r w:rsidR="00746873">
        <w:rPr>
          <w:rFonts w:cstheme="minorHAnsi"/>
          <w:sz w:val="21"/>
          <w:szCs w:val="21"/>
          <w:lang w:val="en-AU"/>
        </w:rPr>
        <w:t>a</w:t>
      </w:r>
      <w:r w:rsidR="00606AE5">
        <w:rPr>
          <w:rFonts w:cstheme="minorHAnsi"/>
          <w:sz w:val="21"/>
          <w:szCs w:val="21"/>
          <w:lang w:val="en-AU"/>
        </w:rPr>
        <w:t xml:space="preserve"> predominantly</w:t>
      </w:r>
      <w:r w:rsidR="00746873">
        <w:rPr>
          <w:rFonts w:cstheme="minorHAnsi"/>
          <w:sz w:val="21"/>
          <w:szCs w:val="21"/>
          <w:lang w:val="en-AU"/>
        </w:rPr>
        <w:t xml:space="preserve"> </w:t>
      </w:r>
      <w:proofErr w:type="spellStart"/>
      <w:r w:rsidR="00746873">
        <w:rPr>
          <w:rFonts w:cstheme="minorHAnsi"/>
          <w:sz w:val="21"/>
          <w:szCs w:val="21"/>
          <w:lang w:val="en-AU"/>
        </w:rPr>
        <w:t>GoI</w:t>
      </w:r>
      <w:proofErr w:type="spellEnd"/>
      <w:r w:rsidR="00746873">
        <w:rPr>
          <w:rFonts w:cstheme="minorHAnsi"/>
          <w:sz w:val="21"/>
          <w:szCs w:val="21"/>
          <w:lang w:val="en-AU"/>
        </w:rPr>
        <w:t xml:space="preserve">-executed </w:t>
      </w:r>
      <w:r w:rsidR="00D425A4">
        <w:rPr>
          <w:rFonts w:cstheme="minorHAnsi"/>
          <w:sz w:val="21"/>
          <w:szCs w:val="21"/>
          <w:lang w:val="en-AU"/>
        </w:rPr>
        <w:t xml:space="preserve">multi-donor trust fund, consensus on the design and approach </w:t>
      </w:r>
      <w:r w:rsidR="00D75B73">
        <w:rPr>
          <w:rFonts w:cstheme="minorHAnsi"/>
          <w:sz w:val="21"/>
          <w:szCs w:val="21"/>
          <w:lang w:val="en-AU"/>
        </w:rPr>
        <w:t xml:space="preserve">will need to be sought from the MoH and other contributing parties. </w:t>
      </w:r>
      <w:r w:rsidR="0056514C">
        <w:rPr>
          <w:rFonts w:cstheme="minorHAnsi"/>
          <w:sz w:val="21"/>
          <w:szCs w:val="21"/>
          <w:lang w:val="en-AU"/>
        </w:rPr>
        <w:t xml:space="preserve">DFAT will </w:t>
      </w:r>
      <w:r w:rsidR="000D1C4C">
        <w:rPr>
          <w:rFonts w:cstheme="minorHAnsi"/>
          <w:sz w:val="21"/>
          <w:szCs w:val="21"/>
          <w:lang w:val="en-AU"/>
        </w:rPr>
        <w:t xml:space="preserve">continue </w:t>
      </w:r>
      <w:r w:rsidR="0056514C">
        <w:rPr>
          <w:rFonts w:cstheme="minorHAnsi"/>
          <w:sz w:val="21"/>
          <w:szCs w:val="21"/>
          <w:lang w:val="en-AU"/>
        </w:rPr>
        <w:t xml:space="preserve">leverage our strong partnership with the MoH </w:t>
      </w:r>
      <w:r w:rsidR="000D1C4C">
        <w:rPr>
          <w:rFonts w:cstheme="minorHAnsi"/>
          <w:sz w:val="21"/>
          <w:szCs w:val="21"/>
          <w:lang w:val="en-AU"/>
        </w:rPr>
        <w:t>and</w:t>
      </w:r>
      <w:r w:rsidR="000B383D">
        <w:rPr>
          <w:rFonts w:cstheme="minorHAnsi"/>
          <w:sz w:val="21"/>
          <w:szCs w:val="21"/>
          <w:lang w:val="en-AU"/>
        </w:rPr>
        <w:t xml:space="preserve"> build a strong alliance with</w:t>
      </w:r>
      <w:r w:rsidR="00746873">
        <w:rPr>
          <w:rFonts w:cstheme="minorHAnsi"/>
          <w:sz w:val="21"/>
          <w:szCs w:val="21"/>
          <w:lang w:val="en-AU"/>
        </w:rPr>
        <w:t xml:space="preserve"> other </w:t>
      </w:r>
      <w:r w:rsidR="000B383D">
        <w:rPr>
          <w:rFonts w:cstheme="minorHAnsi"/>
          <w:sz w:val="21"/>
          <w:szCs w:val="21"/>
          <w:lang w:val="en-AU"/>
        </w:rPr>
        <w:t xml:space="preserve">like-minded </w:t>
      </w:r>
      <w:r w:rsidR="00746873">
        <w:rPr>
          <w:rFonts w:cstheme="minorHAnsi"/>
          <w:sz w:val="21"/>
          <w:szCs w:val="21"/>
          <w:lang w:val="en-AU"/>
        </w:rPr>
        <w:t>donors, through our membership on the Partnership Council</w:t>
      </w:r>
      <w:r w:rsidR="000D1C4C">
        <w:rPr>
          <w:rFonts w:cstheme="minorHAnsi"/>
          <w:sz w:val="21"/>
          <w:szCs w:val="21"/>
          <w:lang w:val="en-AU"/>
        </w:rPr>
        <w:t xml:space="preserve"> to ensure </w:t>
      </w:r>
      <w:r w:rsidR="00470A07">
        <w:rPr>
          <w:rFonts w:cstheme="minorHAnsi"/>
          <w:sz w:val="21"/>
          <w:szCs w:val="21"/>
          <w:lang w:val="en-AU"/>
        </w:rPr>
        <w:t xml:space="preserve">prioritisation of </w:t>
      </w:r>
      <w:r w:rsidR="000D1C4C">
        <w:rPr>
          <w:rFonts w:cstheme="minorHAnsi"/>
          <w:sz w:val="21"/>
          <w:szCs w:val="21"/>
          <w:lang w:val="en-AU"/>
        </w:rPr>
        <w:t xml:space="preserve">Australia’s </w:t>
      </w:r>
      <w:r w:rsidR="00470A07">
        <w:rPr>
          <w:rFonts w:cstheme="minorHAnsi"/>
          <w:sz w:val="21"/>
          <w:szCs w:val="21"/>
          <w:lang w:val="en-AU"/>
        </w:rPr>
        <w:t xml:space="preserve">key policy priorities.  </w:t>
      </w:r>
    </w:p>
    <w:p w14:paraId="788DEBAB" w14:textId="69BBA12C" w:rsidR="00D71352" w:rsidRDefault="004D1116" w:rsidP="00A75E7E">
      <w:pPr>
        <w:pStyle w:val="BodyText"/>
        <w:jc w:val="both"/>
        <w:rPr>
          <w:rFonts w:cstheme="minorHAnsi"/>
          <w:sz w:val="21"/>
          <w:szCs w:val="21"/>
          <w:lang w:val="en-AU"/>
        </w:rPr>
      </w:pPr>
      <w:r w:rsidRPr="00BA23EC">
        <w:rPr>
          <w:rFonts w:cstheme="minorHAnsi"/>
          <w:sz w:val="21"/>
          <w:szCs w:val="21"/>
          <w:lang w:val="en-AU"/>
        </w:rPr>
        <w:t>Under the MoH Secretary General, a MDTF Secretariat</w:t>
      </w:r>
      <w:r>
        <w:rPr>
          <w:rFonts w:cstheme="minorHAnsi"/>
          <w:sz w:val="21"/>
          <w:szCs w:val="21"/>
          <w:lang w:val="en-AU"/>
        </w:rPr>
        <w:t xml:space="preserve"> </w:t>
      </w:r>
      <w:r w:rsidRPr="00BA23EC">
        <w:rPr>
          <w:rFonts w:cstheme="minorHAnsi"/>
          <w:sz w:val="21"/>
          <w:szCs w:val="21"/>
          <w:lang w:val="en-AU"/>
        </w:rPr>
        <w:t xml:space="preserve">will be </w:t>
      </w:r>
      <w:r w:rsidR="0023526B">
        <w:rPr>
          <w:rFonts w:cstheme="minorHAnsi"/>
          <w:sz w:val="21"/>
          <w:szCs w:val="21"/>
          <w:lang w:val="en-AU"/>
        </w:rPr>
        <w:t xml:space="preserve">established within the MoH’s organisational structure </w:t>
      </w:r>
      <w:r w:rsidR="009C1F53">
        <w:rPr>
          <w:rFonts w:cstheme="minorHAnsi"/>
          <w:sz w:val="21"/>
          <w:szCs w:val="21"/>
          <w:lang w:val="en-AU"/>
        </w:rPr>
        <w:t xml:space="preserve">and will be </w:t>
      </w:r>
      <w:r w:rsidRPr="00BA23EC">
        <w:rPr>
          <w:rFonts w:cstheme="minorHAnsi"/>
          <w:sz w:val="21"/>
          <w:szCs w:val="21"/>
          <w:lang w:val="en-AU"/>
        </w:rPr>
        <w:t xml:space="preserve">responsible for managing the ‘recipient-executed’ component of HT-MDTF contributions, including development and delivery of work plans, procurement of consultants; M&amp;E; progress reporting; communication and outreach; </w:t>
      </w:r>
      <w:r w:rsidR="0023526B">
        <w:rPr>
          <w:rFonts w:cstheme="minorHAnsi"/>
          <w:sz w:val="21"/>
          <w:szCs w:val="21"/>
          <w:lang w:val="en-AU"/>
        </w:rPr>
        <w:t xml:space="preserve">risk management </w:t>
      </w:r>
      <w:r w:rsidRPr="00BA23EC">
        <w:rPr>
          <w:rFonts w:cstheme="minorHAnsi"/>
          <w:sz w:val="21"/>
          <w:szCs w:val="21"/>
          <w:lang w:val="en-AU"/>
        </w:rPr>
        <w:t xml:space="preserve">and engagement with development partners to </w:t>
      </w:r>
      <w:r>
        <w:rPr>
          <w:rFonts w:cstheme="minorHAnsi"/>
          <w:sz w:val="21"/>
          <w:szCs w:val="21"/>
          <w:lang w:val="en-AU"/>
        </w:rPr>
        <w:t>harmonise</w:t>
      </w:r>
      <w:r w:rsidRPr="00BA23EC">
        <w:rPr>
          <w:rFonts w:cstheme="minorHAnsi"/>
          <w:sz w:val="21"/>
          <w:szCs w:val="21"/>
          <w:lang w:val="en-AU"/>
        </w:rPr>
        <w:t xml:space="preserve"> all health partnerships. The </w:t>
      </w:r>
      <w:r>
        <w:rPr>
          <w:rFonts w:cstheme="minorHAnsi"/>
          <w:sz w:val="21"/>
          <w:szCs w:val="21"/>
          <w:lang w:val="en-AU"/>
        </w:rPr>
        <w:t xml:space="preserve">MDTF </w:t>
      </w:r>
      <w:r w:rsidRPr="00BA23EC">
        <w:rPr>
          <w:rFonts w:cstheme="minorHAnsi"/>
          <w:sz w:val="21"/>
          <w:szCs w:val="21"/>
          <w:lang w:val="en-AU"/>
        </w:rPr>
        <w:t xml:space="preserve">Secretariat </w:t>
      </w:r>
      <w:r>
        <w:rPr>
          <w:rFonts w:cstheme="minorHAnsi"/>
          <w:sz w:val="21"/>
          <w:szCs w:val="21"/>
          <w:lang w:val="en-AU"/>
        </w:rPr>
        <w:t xml:space="preserve">will be </w:t>
      </w:r>
      <w:r w:rsidR="0023526B">
        <w:rPr>
          <w:rFonts w:cstheme="minorHAnsi"/>
          <w:sz w:val="21"/>
          <w:szCs w:val="21"/>
          <w:lang w:val="en-AU"/>
        </w:rPr>
        <w:t>r</w:t>
      </w:r>
      <w:r>
        <w:rPr>
          <w:rFonts w:cstheme="minorHAnsi"/>
          <w:sz w:val="21"/>
          <w:szCs w:val="21"/>
          <w:lang w:val="en-AU"/>
        </w:rPr>
        <w:t>esourced with MoH staff</w:t>
      </w:r>
      <w:r w:rsidR="00606AE5">
        <w:rPr>
          <w:rFonts w:cstheme="minorHAnsi"/>
          <w:sz w:val="21"/>
          <w:szCs w:val="21"/>
          <w:lang w:val="en-AU"/>
        </w:rPr>
        <w:t xml:space="preserve">, working closely </w:t>
      </w:r>
      <w:r w:rsidR="00356AB1">
        <w:rPr>
          <w:rFonts w:cstheme="minorHAnsi"/>
          <w:sz w:val="21"/>
          <w:szCs w:val="21"/>
          <w:lang w:val="en-AU"/>
        </w:rPr>
        <w:t>with</w:t>
      </w:r>
      <w:r w:rsidR="00606AE5">
        <w:rPr>
          <w:rFonts w:cstheme="minorHAnsi"/>
          <w:sz w:val="21"/>
          <w:szCs w:val="21"/>
          <w:lang w:val="en-AU"/>
        </w:rPr>
        <w:t xml:space="preserve"> other </w:t>
      </w:r>
      <w:r w:rsidR="00606AE5" w:rsidRPr="00BA23EC">
        <w:rPr>
          <w:rFonts w:cstheme="minorHAnsi"/>
          <w:sz w:val="21"/>
          <w:szCs w:val="21"/>
          <w:lang w:val="en-AU"/>
        </w:rPr>
        <w:t xml:space="preserve">MoH Directorates-General to ensure </w:t>
      </w:r>
      <w:r w:rsidR="00606AE5">
        <w:rPr>
          <w:rFonts w:cstheme="minorHAnsi"/>
          <w:sz w:val="21"/>
          <w:szCs w:val="21"/>
          <w:lang w:val="en-AU"/>
        </w:rPr>
        <w:t>shared ownership of</w:t>
      </w:r>
      <w:r w:rsidR="00606AE5" w:rsidRPr="00BA23EC">
        <w:rPr>
          <w:rFonts w:cstheme="minorHAnsi"/>
          <w:sz w:val="21"/>
          <w:szCs w:val="21"/>
          <w:lang w:val="en-AU"/>
        </w:rPr>
        <w:t xml:space="preserve"> MDTF </w:t>
      </w:r>
      <w:r w:rsidR="00606AE5">
        <w:rPr>
          <w:rFonts w:cstheme="minorHAnsi"/>
          <w:sz w:val="21"/>
          <w:szCs w:val="21"/>
          <w:lang w:val="en-AU"/>
        </w:rPr>
        <w:t xml:space="preserve">priorities and </w:t>
      </w:r>
      <w:r w:rsidR="00606AE5" w:rsidRPr="00BA23EC">
        <w:rPr>
          <w:rFonts w:cstheme="minorHAnsi"/>
          <w:sz w:val="21"/>
          <w:szCs w:val="21"/>
          <w:lang w:val="en-AU"/>
        </w:rPr>
        <w:t>activities</w:t>
      </w:r>
      <w:r w:rsidR="00606AE5">
        <w:rPr>
          <w:rFonts w:cstheme="minorHAnsi"/>
          <w:sz w:val="21"/>
          <w:szCs w:val="21"/>
          <w:lang w:val="en-AU"/>
        </w:rPr>
        <w:t>. E</w:t>
      </w:r>
      <w:r>
        <w:rPr>
          <w:rFonts w:cstheme="minorHAnsi"/>
          <w:sz w:val="21"/>
          <w:szCs w:val="21"/>
          <w:lang w:val="en-AU"/>
        </w:rPr>
        <w:t xml:space="preserve">xperts in </w:t>
      </w:r>
      <w:r w:rsidRPr="00BA23EC">
        <w:rPr>
          <w:rFonts w:cstheme="minorHAnsi"/>
          <w:sz w:val="21"/>
          <w:szCs w:val="21"/>
          <w:lang w:val="en-AU"/>
        </w:rPr>
        <w:t>gender, M&amp;E, communications, knowledge management and partnership</w:t>
      </w:r>
      <w:r>
        <w:rPr>
          <w:rFonts w:cstheme="minorHAnsi"/>
          <w:sz w:val="21"/>
          <w:szCs w:val="21"/>
          <w:lang w:val="en-AU"/>
        </w:rPr>
        <w:t>s</w:t>
      </w:r>
      <w:r w:rsidR="00606AE5">
        <w:rPr>
          <w:rFonts w:cstheme="minorHAnsi"/>
          <w:sz w:val="21"/>
          <w:szCs w:val="21"/>
          <w:lang w:val="en-AU"/>
        </w:rPr>
        <w:t xml:space="preserve"> will be embedded in the </w:t>
      </w:r>
      <w:r>
        <w:rPr>
          <w:rFonts w:cstheme="minorHAnsi"/>
          <w:sz w:val="21"/>
          <w:szCs w:val="21"/>
          <w:lang w:val="en-AU"/>
        </w:rPr>
        <w:t xml:space="preserve">MDTF Secretariat </w:t>
      </w:r>
      <w:r w:rsidR="00606AE5">
        <w:rPr>
          <w:rFonts w:cstheme="minorHAnsi"/>
          <w:sz w:val="21"/>
          <w:szCs w:val="21"/>
          <w:lang w:val="en-AU"/>
        </w:rPr>
        <w:t xml:space="preserve">and </w:t>
      </w:r>
      <w:r>
        <w:rPr>
          <w:rFonts w:cstheme="minorHAnsi"/>
          <w:sz w:val="21"/>
          <w:szCs w:val="21"/>
          <w:lang w:val="en-AU"/>
        </w:rPr>
        <w:t xml:space="preserve">will be responsible for </w:t>
      </w:r>
      <w:r w:rsidRPr="00BA23EC">
        <w:rPr>
          <w:rFonts w:cstheme="minorHAnsi"/>
          <w:sz w:val="21"/>
          <w:szCs w:val="21"/>
          <w:lang w:val="en-AU"/>
        </w:rPr>
        <w:t>develop</w:t>
      </w:r>
      <w:r>
        <w:rPr>
          <w:rFonts w:cstheme="minorHAnsi"/>
          <w:sz w:val="21"/>
          <w:szCs w:val="21"/>
          <w:lang w:val="en-AU"/>
        </w:rPr>
        <w:t>ing</w:t>
      </w:r>
      <w:r w:rsidRPr="00BA23EC">
        <w:rPr>
          <w:rFonts w:cstheme="minorHAnsi"/>
          <w:sz w:val="21"/>
          <w:szCs w:val="21"/>
          <w:lang w:val="en-AU"/>
        </w:rPr>
        <w:t xml:space="preserve"> a Gender Strategy, Communications and Visibility Strategy and M&amp;E plan for endorsement by the Partnership Council. </w:t>
      </w:r>
    </w:p>
    <w:p w14:paraId="785CA140" w14:textId="404DF566" w:rsidR="00582C15" w:rsidRPr="00BA23EC" w:rsidRDefault="00B6275D" w:rsidP="00FB737C">
      <w:pPr>
        <w:pStyle w:val="BodyText"/>
        <w:jc w:val="both"/>
        <w:rPr>
          <w:rFonts w:cstheme="minorHAnsi"/>
          <w:sz w:val="21"/>
          <w:szCs w:val="21"/>
          <w:lang w:val="en-AU"/>
        </w:rPr>
      </w:pPr>
      <w:r>
        <w:rPr>
          <w:rFonts w:cstheme="minorHAnsi"/>
          <w:sz w:val="21"/>
          <w:szCs w:val="21"/>
          <w:lang w:val="en-AU"/>
        </w:rPr>
        <w:t xml:space="preserve">While the HT-MDTF contributions may be </w:t>
      </w:r>
      <w:r w:rsidR="00606AE5">
        <w:rPr>
          <w:rFonts w:cstheme="minorHAnsi"/>
          <w:sz w:val="21"/>
          <w:szCs w:val="21"/>
          <w:lang w:val="en-AU"/>
        </w:rPr>
        <w:t xml:space="preserve">used </w:t>
      </w:r>
      <w:r>
        <w:rPr>
          <w:rFonts w:cstheme="minorHAnsi"/>
          <w:sz w:val="21"/>
          <w:szCs w:val="21"/>
          <w:lang w:val="en-AU"/>
        </w:rPr>
        <w:t>to inform implementation of all six health reform</w:t>
      </w:r>
      <w:r w:rsidRPr="00B6275D">
        <w:rPr>
          <w:rFonts w:cstheme="minorHAnsi"/>
          <w:sz w:val="21"/>
          <w:szCs w:val="21"/>
          <w:lang w:val="en-AU"/>
        </w:rPr>
        <w:t xml:space="preserve"> </w:t>
      </w:r>
      <w:r>
        <w:rPr>
          <w:rFonts w:cstheme="minorHAnsi"/>
          <w:sz w:val="21"/>
          <w:szCs w:val="21"/>
          <w:lang w:val="en-AU"/>
        </w:rPr>
        <w:t xml:space="preserve">pillars, the MoH have advised the </w:t>
      </w:r>
      <w:r w:rsidR="00606AE5">
        <w:rPr>
          <w:rFonts w:cstheme="minorHAnsi"/>
          <w:sz w:val="21"/>
          <w:szCs w:val="21"/>
          <w:lang w:val="en-AU"/>
        </w:rPr>
        <w:t xml:space="preserve">primary </w:t>
      </w:r>
      <w:r w:rsidR="00A1612B">
        <w:rPr>
          <w:rFonts w:cstheme="minorHAnsi"/>
          <w:sz w:val="21"/>
          <w:szCs w:val="21"/>
          <w:lang w:val="en-AU"/>
        </w:rPr>
        <w:t xml:space="preserve">focus </w:t>
      </w:r>
      <w:r w:rsidR="00606AE5">
        <w:rPr>
          <w:rFonts w:cstheme="minorHAnsi"/>
          <w:sz w:val="21"/>
          <w:szCs w:val="21"/>
          <w:lang w:val="en-AU"/>
        </w:rPr>
        <w:t>will be to support the</w:t>
      </w:r>
      <w:r>
        <w:rPr>
          <w:rFonts w:cstheme="minorHAnsi"/>
          <w:sz w:val="21"/>
          <w:szCs w:val="21"/>
          <w:lang w:val="en-AU"/>
        </w:rPr>
        <w:t xml:space="preserve"> implementation of </w:t>
      </w:r>
      <w:r w:rsidR="00606AE5">
        <w:rPr>
          <w:rFonts w:cstheme="minorHAnsi"/>
          <w:sz w:val="21"/>
          <w:szCs w:val="21"/>
          <w:lang w:val="en-AU"/>
        </w:rPr>
        <w:t xml:space="preserve">programs and projects under </w:t>
      </w:r>
      <w:r>
        <w:rPr>
          <w:rFonts w:cstheme="minorHAnsi"/>
          <w:sz w:val="21"/>
          <w:szCs w:val="21"/>
          <w:lang w:val="en-AU"/>
        </w:rPr>
        <w:t>the</w:t>
      </w:r>
      <w:r w:rsidR="00A1612B">
        <w:rPr>
          <w:rFonts w:cstheme="minorHAnsi"/>
          <w:sz w:val="21"/>
          <w:szCs w:val="21"/>
          <w:lang w:val="en-AU"/>
        </w:rPr>
        <w:t xml:space="preserve"> </w:t>
      </w:r>
      <w:r w:rsidR="00582C15" w:rsidRPr="00BA23EC">
        <w:rPr>
          <w:rFonts w:cstheme="minorHAnsi"/>
          <w:sz w:val="21"/>
          <w:szCs w:val="21"/>
          <w:lang w:val="en-AU"/>
        </w:rPr>
        <w:t xml:space="preserve">primary care and health technology pillars </w:t>
      </w:r>
      <w:r w:rsidR="00606AE5">
        <w:rPr>
          <w:rFonts w:cstheme="minorHAnsi"/>
          <w:sz w:val="21"/>
          <w:szCs w:val="21"/>
          <w:lang w:val="en-AU"/>
        </w:rPr>
        <w:t xml:space="preserve">- </w:t>
      </w:r>
      <w:r w:rsidR="00582C15">
        <w:rPr>
          <w:rFonts w:cstheme="minorHAnsi"/>
          <w:sz w:val="21"/>
          <w:szCs w:val="21"/>
          <w:lang w:val="en-AU"/>
        </w:rPr>
        <w:t xml:space="preserve">as </w:t>
      </w:r>
      <w:r w:rsidR="00582C15" w:rsidRPr="00BA23EC">
        <w:rPr>
          <w:rFonts w:cstheme="minorHAnsi"/>
          <w:sz w:val="21"/>
          <w:szCs w:val="21"/>
          <w:lang w:val="en-AU"/>
        </w:rPr>
        <w:t>the two major bottlenecks that emerged during the COVID-19 pandemic. Under the primary care pillar HT-MDTF</w:t>
      </w:r>
      <w:r>
        <w:rPr>
          <w:rFonts w:cstheme="minorHAnsi"/>
          <w:sz w:val="21"/>
          <w:szCs w:val="21"/>
          <w:lang w:val="en-AU"/>
        </w:rPr>
        <w:t xml:space="preserve"> analytics</w:t>
      </w:r>
      <w:r w:rsidR="00582C15" w:rsidRPr="00BA23EC">
        <w:rPr>
          <w:rFonts w:cstheme="minorHAnsi"/>
          <w:sz w:val="21"/>
          <w:szCs w:val="21"/>
          <w:lang w:val="en-AU"/>
        </w:rPr>
        <w:t xml:space="preserve"> will </w:t>
      </w:r>
      <w:r>
        <w:rPr>
          <w:rFonts w:cstheme="minorHAnsi"/>
          <w:sz w:val="21"/>
          <w:szCs w:val="21"/>
          <w:lang w:val="en-AU"/>
        </w:rPr>
        <w:t xml:space="preserve">inform the design of </w:t>
      </w:r>
      <w:r w:rsidR="00582C15" w:rsidRPr="00BA23EC">
        <w:rPr>
          <w:rFonts w:cstheme="minorHAnsi"/>
          <w:sz w:val="21"/>
          <w:szCs w:val="21"/>
          <w:lang w:val="en-AU"/>
        </w:rPr>
        <w:t xml:space="preserve">population education </w:t>
      </w:r>
      <w:r>
        <w:rPr>
          <w:rFonts w:cstheme="minorHAnsi"/>
          <w:sz w:val="21"/>
          <w:szCs w:val="21"/>
          <w:lang w:val="en-AU"/>
        </w:rPr>
        <w:t>and</w:t>
      </w:r>
      <w:r w:rsidR="00582C15" w:rsidRPr="00BA23EC">
        <w:rPr>
          <w:rFonts w:cstheme="minorHAnsi"/>
          <w:sz w:val="21"/>
          <w:szCs w:val="21"/>
          <w:lang w:val="en-AU"/>
        </w:rPr>
        <w:t xml:space="preserve"> information campaigns on topics such as immunization, non-smoking, and disease screening, as well as </w:t>
      </w:r>
      <w:r>
        <w:rPr>
          <w:rFonts w:cstheme="minorHAnsi"/>
          <w:sz w:val="21"/>
          <w:szCs w:val="21"/>
          <w:lang w:val="en-AU"/>
        </w:rPr>
        <w:t xml:space="preserve">approaches for </w:t>
      </w:r>
      <w:r w:rsidR="00582C15" w:rsidRPr="00BA23EC">
        <w:rPr>
          <w:rFonts w:cstheme="minorHAnsi"/>
          <w:sz w:val="21"/>
          <w:szCs w:val="21"/>
          <w:lang w:val="en-AU"/>
        </w:rPr>
        <w:t xml:space="preserve">strengthening </w:t>
      </w:r>
      <w:r>
        <w:rPr>
          <w:rFonts w:cstheme="minorHAnsi"/>
          <w:sz w:val="21"/>
          <w:szCs w:val="21"/>
          <w:lang w:val="en-AU"/>
        </w:rPr>
        <w:t xml:space="preserve">the </w:t>
      </w:r>
      <w:r w:rsidR="00582C15" w:rsidRPr="00BA23EC">
        <w:rPr>
          <w:rFonts w:cstheme="minorHAnsi"/>
          <w:sz w:val="21"/>
          <w:szCs w:val="21"/>
          <w:lang w:val="en-AU"/>
        </w:rPr>
        <w:t xml:space="preserve">capacity and capability </w:t>
      </w:r>
      <w:r w:rsidR="00582C15">
        <w:rPr>
          <w:rFonts w:cstheme="minorHAnsi"/>
          <w:sz w:val="21"/>
          <w:szCs w:val="21"/>
          <w:lang w:val="en-AU"/>
        </w:rPr>
        <w:t>in</w:t>
      </w:r>
      <w:r w:rsidR="00582C15" w:rsidRPr="00BA23EC">
        <w:rPr>
          <w:rFonts w:cstheme="minorHAnsi"/>
          <w:sz w:val="21"/>
          <w:szCs w:val="21"/>
          <w:lang w:val="en-AU"/>
        </w:rPr>
        <w:t xml:space="preserve"> primary care sector, including facilities, </w:t>
      </w:r>
      <w:r w:rsidR="00582C15" w:rsidRPr="00BA23EC">
        <w:rPr>
          <w:rFonts w:cstheme="minorHAnsi"/>
          <w:sz w:val="21"/>
          <w:szCs w:val="21"/>
          <w:lang w:val="en-AU"/>
        </w:rPr>
        <w:lastRenderedPageBreak/>
        <w:t xml:space="preserve">equipment, medical </w:t>
      </w:r>
      <w:proofErr w:type="gramStart"/>
      <w:r w:rsidR="00582C15" w:rsidRPr="00BA23EC">
        <w:rPr>
          <w:rFonts w:cstheme="minorHAnsi"/>
          <w:sz w:val="21"/>
          <w:szCs w:val="21"/>
          <w:lang w:val="en-AU"/>
        </w:rPr>
        <w:t>supplies</w:t>
      </w:r>
      <w:proofErr w:type="gramEnd"/>
      <w:r w:rsidR="00582C15" w:rsidRPr="00BA23EC">
        <w:rPr>
          <w:rFonts w:cstheme="minorHAnsi"/>
          <w:sz w:val="21"/>
          <w:szCs w:val="21"/>
          <w:lang w:val="en-AU"/>
        </w:rPr>
        <w:t xml:space="preserve"> and the health workforce. Under the digitalisation/technology pillar, the HT-MDTF</w:t>
      </w:r>
      <w:r>
        <w:rPr>
          <w:rFonts w:cstheme="minorHAnsi"/>
          <w:sz w:val="21"/>
          <w:szCs w:val="21"/>
          <w:lang w:val="en-AU"/>
        </w:rPr>
        <w:t xml:space="preserve"> technical advice</w:t>
      </w:r>
      <w:r w:rsidR="00582C15" w:rsidRPr="00BA23EC">
        <w:rPr>
          <w:rFonts w:cstheme="minorHAnsi"/>
          <w:sz w:val="21"/>
          <w:szCs w:val="21"/>
          <w:lang w:val="en-AU"/>
        </w:rPr>
        <w:t xml:space="preserve"> will support </w:t>
      </w:r>
      <w:r w:rsidR="002E4CAF">
        <w:rPr>
          <w:rFonts w:cstheme="minorHAnsi"/>
          <w:sz w:val="21"/>
          <w:szCs w:val="21"/>
          <w:lang w:val="en-AU"/>
        </w:rPr>
        <w:t>the</w:t>
      </w:r>
      <w:r w:rsidR="00582C15" w:rsidRPr="00BA23EC">
        <w:rPr>
          <w:rFonts w:cstheme="minorHAnsi"/>
          <w:sz w:val="21"/>
          <w:szCs w:val="21"/>
          <w:lang w:val="en-AU"/>
        </w:rPr>
        <w:t xml:space="preserve"> harmonis</w:t>
      </w:r>
      <w:r w:rsidR="002E4CAF">
        <w:rPr>
          <w:rFonts w:cstheme="minorHAnsi"/>
          <w:sz w:val="21"/>
          <w:szCs w:val="21"/>
          <w:lang w:val="en-AU"/>
        </w:rPr>
        <w:t>ation of</w:t>
      </w:r>
      <w:r w:rsidR="00582C15" w:rsidRPr="00BA23EC">
        <w:rPr>
          <w:rFonts w:cstheme="minorHAnsi"/>
          <w:sz w:val="21"/>
          <w:szCs w:val="21"/>
          <w:lang w:val="en-AU"/>
        </w:rPr>
        <w:t xml:space="preserve"> health data </w:t>
      </w:r>
      <w:r w:rsidR="002E4CAF">
        <w:rPr>
          <w:rFonts w:cstheme="minorHAnsi"/>
          <w:sz w:val="21"/>
          <w:szCs w:val="21"/>
          <w:lang w:val="en-AU"/>
        </w:rPr>
        <w:t xml:space="preserve">and improved data disaggregation </w:t>
      </w:r>
      <w:r w:rsidR="00582C15" w:rsidRPr="00BA23EC">
        <w:rPr>
          <w:rFonts w:cstheme="minorHAnsi"/>
          <w:sz w:val="21"/>
          <w:szCs w:val="21"/>
          <w:lang w:val="en-AU"/>
        </w:rPr>
        <w:t xml:space="preserve">to support </w:t>
      </w:r>
      <w:r w:rsidR="00582C15" w:rsidRPr="00BA23EC">
        <w:rPr>
          <w:rFonts w:eastAsia="Times New Roman" w:cstheme="minorHAnsi"/>
          <w:sz w:val="21"/>
          <w:szCs w:val="21"/>
          <w:lang w:val="en-AU" w:eastAsia="en-AU"/>
        </w:rPr>
        <w:t xml:space="preserve">data-driven, </w:t>
      </w:r>
      <w:proofErr w:type="gramStart"/>
      <w:r w:rsidR="00582C15" w:rsidRPr="00BA23EC">
        <w:rPr>
          <w:rFonts w:eastAsia="Times New Roman" w:cstheme="minorHAnsi"/>
          <w:sz w:val="21"/>
          <w:szCs w:val="21"/>
          <w:lang w:val="en-AU" w:eastAsia="en-AU"/>
        </w:rPr>
        <w:t>inclusive</w:t>
      </w:r>
      <w:proofErr w:type="gramEnd"/>
      <w:r w:rsidR="00582C15" w:rsidRPr="00BA23EC">
        <w:rPr>
          <w:rFonts w:eastAsia="Times New Roman" w:cstheme="minorHAnsi"/>
          <w:sz w:val="21"/>
          <w:szCs w:val="21"/>
          <w:lang w:val="en-AU" w:eastAsia="en-AU"/>
        </w:rPr>
        <w:t xml:space="preserve"> and evidence-based policymaking and efficient targeting of resources. </w:t>
      </w:r>
      <w:r w:rsidR="00582C15" w:rsidRPr="00BA23EC">
        <w:rPr>
          <w:rFonts w:cstheme="minorHAnsi"/>
          <w:sz w:val="21"/>
          <w:szCs w:val="21"/>
          <w:lang w:val="en-AU"/>
        </w:rPr>
        <w:t xml:space="preserve"> </w:t>
      </w:r>
      <w:r w:rsidR="0066162B" w:rsidRPr="002E4CAF">
        <w:rPr>
          <w:rFonts w:cstheme="minorHAnsi"/>
          <w:sz w:val="21"/>
          <w:szCs w:val="21"/>
          <w:lang w:val="en-AU"/>
        </w:rPr>
        <w:t>The HT-MDTF may also provide analytical support to the World Bank’s USD4 HSS-IPF</w:t>
      </w:r>
      <w:r w:rsidR="00553B74">
        <w:rPr>
          <w:rFonts w:cstheme="minorHAnsi"/>
          <w:sz w:val="21"/>
          <w:szCs w:val="21"/>
          <w:lang w:val="en-AU"/>
        </w:rPr>
        <w:t xml:space="preserve"> loan operation</w:t>
      </w:r>
      <w:r w:rsidR="0066162B" w:rsidRPr="002E4CAF">
        <w:rPr>
          <w:rFonts w:cstheme="minorHAnsi"/>
          <w:sz w:val="21"/>
          <w:szCs w:val="21"/>
          <w:lang w:val="en-AU"/>
        </w:rPr>
        <w:t xml:space="preserve"> which will primarily address the infrastructure gaps in both primary and secondary health care; and emergency response and health technology, including equipment to health and laboratory facilities across the country.</w:t>
      </w:r>
    </w:p>
    <w:p w14:paraId="1BFFFA94" w14:textId="042BD196" w:rsidR="002D4DE7" w:rsidRPr="00BA23EC" w:rsidRDefault="00271FB6" w:rsidP="00271FB6">
      <w:pPr>
        <w:pStyle w:val="Heading2"/>
      </w:pPr>
      <w:bookmarkStart w:id="11" w:name="StrategicIntentandRationale"/>
      <w:r>
        <w:t xml:space="preserve">C. </w:t>
      </w:r>
      <w:r w:rsidR="002D4DE7" w:rsidRPr="00BA23EC">
        <w:t>Strategic Intent and Rationale</w:t>
      </w:r>
    </w:p>
    <w:bookmarkEnd w:id="11"/>
    <w:p w14:paraId="086F1A41" w14:textId="09FCDE97" w:rsidR="00A40708" w:rsidRPr="00BA23EC" w:rsidRDefault="00A40708" w:rsidP="008B5FED">
      <w:pPr>
        <w:pStyle w:val="BodyText"/>
        <w:jc w:val="both"/>
        <w:rPr>
          <w:rFonts w:cstheme="minorHAnsi"/>
          <w:sz w:val="21"/>
          <w:szCs w:val="21"/>
          <w:lang w:val="en-AU"/>
        </w:rPr>
      </w:pPr>
      <w:r w:rsidRPr="00BA23EC">
        <w:rPr>
          <w:rFonts w:cstheme="minorHAnsi"/>
          <w:sz w:val="21"/>
          <w:szCs w:val="21"/>
          <w:lang w:val="en-AU"/>
        </w:rPr>
        <w:t xml:space="preserve">The </w:t>
      </w:r>
      <w:r w:rsidRPr="00BA23EC">
        <w:rPr>
          <w:rFonts w:cstheme="minorHAnsi"/>
          <w:b/>
          <w:sz w:val="21"/>
          <w:szCs w:val="21"/>
          <w:lang w:val="en-AU"/>
        </w:rPr>
        <w:t xml:space="preserve">Foreign Policy White Paper </w:t>
      </w:r>
      <w:r w:rsidRPr="00BA23EC">
        <w:rPr>
          <w:rFonts w:cstheme="minorHAnsi"/>
          <w:sz w:val="21"/>
          <w:szCs w:val="21"/>
          <w:lang w:val="en-AU"/>
        </w:rPr>
        <w:t xml:space="preserve">places the prosperity and stability of the Indo-Pacific at the heart of protecting our national interests and requires Australia’s aid and diplomacy efforts to be focussed on promoting economic reform and social stability. This </w:t>
      </w:r>
      <w:r w:rsidR="0034490B" w:rsidRPr="00BA23EC">
        <w:rPr>
          <w:rFonts w:cstheme="minorHAnsi"/>
          <w:sz w:val="21"/>
          <w:szCs w:val="21"/>
          <w:lang w:val="en-AU"/>
        </w:rPr>
        <w:t xml:space="preserve">HT-MDTF </w:t>
      </w:r>
      <w:r w:rsidR="00645F2D" w:rsidRPr="00BA23EC">
        <w:rPr>
          <w:rFonts w:cstheme="minorHAnsi"/>
          <w:sz w:val="21"/>
          <w:szCs w:val="21"/>
          <w:lang w:val="en-AU"/>
        </w:rPr>
        <w:t xml:space="preserve">investment </w:t>
      </w:r>
      <w:r w:rsidR="00C67D99" w:rsidRPr="00BA23EC">
        <w:rPr>
          <w:rFonts w:cstheme="minorHAnsi"/>
          <w:sz w:val="21"/>
          <w:szCs w:val="21"/>
          <w:lang w:val="en-AU"/>
        </w:rPr>
        <w:t xml:space="preserve">contributes to </w:t>
      </w:r>
      <w:r w:rsidR="00D15390" w:rsidRPr="00BA23EC">
        <w:rPr>
          <w:rFonts w:cstheme="minorHAnsi"/>
          <w:sz w:val="21"/>
          <w:szCs w:val="21"/>
          <w:lang w:val="en-AU"/>
        </w:rPr>
        <w:t xml:space="preserve">the </w:t>
      </w:r>
      <w:r w:rsidR="00EB4DD0" w:rsidRPr="007B409F">
        <w:rPr>
          <w:rFonts w:cstheme="minorHAnsi"/>
          <w:bCs/>
          <w:sz w:val="21"/>
          <w:szCs w:val="21"/>
          <w:lang w:val="en-AU"/>
        </w:rPr>
        <w:t>Foreign Policy White Paper</w:t>
      </w:r>
      <w:r w:rsidR="00D15390" w:rsidRPr="00BA23EC">
        <w:rPr>
          <w:rFonts w:cstheme="minorHAnsi"/>
          <w:sz w:val="21"/>
          <w:szCs w:val="21"/>
          <w:lang w:val="en-AU"/>
        </w:rPr>
        <w:t xml:space="preserve">’s vision </w:t>
      </w:r>
      <w:r w:rsidR="004C4D4E" w:rsidRPr="00BA23EC">
        <w:rPr>
          <w:rFonts w:cstheme="minorHAnsi"/>
          <w:sz w:val="21"/>
          <w:szCs w:val="21"/>
          <w:lang w:val="en-AU"/>
        </w:rPr>
        <w:t xml:space="preserve">and </w:t>
      </w:r>
      <w:r w:rsidRPr="00BA23EC">
        <w:rPr>
          <w:rFonts w:cstheme="minorHAnsi"/>
          <w:sz w:val="21"/>
          <w:szCs w:val="21"/>
          <w:lang w:val="en-AU"/>
        </w:rPr>
        <w:t>recogni</w:t>
      </w:r>
      <w:r w:rsidR="004C4D4E" w:rsidRPr="00BA23EC">
        <w:rPr>
          <w:rFonts w:cstheme="minorHAnsi"/>
          <w:sz w:val="21"/>
          <w:szCs w:val="21"/>
          <w:lang w:val="en-AU"/>
        </w:rPr>
        <w:t>tion of</w:t>
      </w:r>
      <w:r w:rsidRPr="00BA23EC">
        <w:rPr>
          <w:rFonts w:cstheme="minorHAnsi"/>
          <w:sz w:val="21"/>
          <w:szCs w:val="21"/>
          <w:lang w:val="en-AU"/>
        </w:rPr>
        <w:t xml:space="preserve"> the importance of good health and strong and resilient health systems to support productive societies and economic growth.</w:t>
      </w:r>
      <w:r w:rsidR="005F4FEA" w:rsidRPr="00BA23EC">
        <w:rPr>
          <w:rFonts w:cstheme="minorHAnsi"/>
          <w:sz w:val="21"/>
          <w:szCs w:val="21"/>
          <w:lang w:val="en-AU"/>
        </w:rPr>
        <w:t xml:space="preserve"> </w:t>
      </w:r>
    </w:p>
    <w:p w14:paraId="26ABEC07" w14:textId="33915EDF" w:rsidR="00C50CDC" w:rsidRPr="00BA23EC" w:rsidRDefault="001B7149" w:rsidP="008B5FED">
      <w:pPr>
        <w:pStyle w:val="BodyText"/>
        <w:jc w:val="both"/>
        <w:rPr>
          <w:rFonts w:cstheme="minorHAnsi"/>
          <w:sz w:val="21"/>
          <w:szCs w:val="21"/>
          <w:lang w:val="en-AU"/>
        </w:rPr>
      </w:pPr>
      <w:r w:rsidRPr="00BA23EC">
        <w:rPr>
          <w:rFonts w:cstheme="minorHAnsi"/>
          <w:sz w:val="21"/>
          <w:szCs w:val="21"/>
          <w:lang w:val="en-AU"/>
        </w:rPr>
        <w:t xml:space="preserve">Reflecting Australia and Indonesia’s </w:t>
      </w:r>
      <w:r w:rsidR="0089511A" w:rsidRPr="00BA23EC">
        <w:rPr>
          <w:rFonts w:cstheme="minorHAnsi"/>
          <w:sz w:val="21"/>
          <w:szCs w:val="21"/>
          <w:lang w:val="en-AU"/>
        </w:rPr>
        <w:t xml:space="preserve">longstanding relationship as strategic partners, </w:t>
      </w:r>
      <w:r w:rsidR="008A2045" w:rsidRPr="00BA23EC">
        <w:rPr>
          <w:rFonts w:cstheme="minorHAnsi"/>
          <w:sz w:val="21"/>
          <w:szCs w:val="21"/>
          <w:lang w:val="en-AU"/>
        </w:rPr>
        <w:t>both countries had a shared interest in combatting COVID-19</w:t>
      </w:r>
      <w:r w:rsidR="008127C6" w:rsidRPr="00BA23EC">
        <w:rPr>
          <w:rFonts w:cstheme="minorHAnsi"/>
          <w:sz w:val="21"/>
          <w:szCs w:val="21"/>
          <w:lang w:val="en-AU"/>
        </w:rPr>
        <w:t xml:space="preserve">, </w:t>
      </w:r>
      <w:proofErr w:type="gramStart"/>
      <w:r w:rsidR="008127C6" w:rsidRPr="00BA23EC">
        <w:rPr>
          <w:rFonts w:cstheme="minorHAnsi"/>
          <w:sz w:val="21"/>
          <w:szCs w:val="21"/>
          <w:lang w:val="en-AU"/>
        </w:rPr>
        <w:t>in particular through</w:t>
      </w:r>
      <w:proofErr w:type="gramEnd"/>
      <w:r w:rsidR="008127C6" w:rsidRPr="00BA23EC">
        <w:rPr>
          <w:rFonts w:cstheme="minorHAnsi"/>
          <w:sz w:val="21"/>
          <w:szCs w:val="21"/>
          <w:lang w:val="en-AU"/>
        </w:rPr>
        <w:t xml:space="preserve"> our </w:t>
      </w:r>
      <w:r w:rsidR="00413443" w:rsidRPr="00BA23EC">
        <w:rPr>
          <w:rFonts w:cstheme="minorHAnsi"/>
          <w:sz w:val="21"/>
          <w:szCs w:val="21"/>
          <w:lang w:val="en-AU"/>
        </w:rPr>
        <w:t xml:space="preserve">development partnership. </w:t>
      </w:r>
      <w:r w:rsidR="0060437D" w:rsidRPr="00BA23EC">
        <w:rPr>
          <w:rFonts w:cstheme="minorHAnsi"/>
          <w:sz w:val="21"/>
          <w:szCs w:val="21"/>
          <w:lang w:val="en-AU"/>
        </w:rPr>
        <w:t xml:space="preserve">Guided by the </w:t>
      </w:r>
      <w:r w:rsidR="0060437D" w:rsidRPr="00BA23EC">
        <w:rPr>
          <w:rFonts w:cstheme="minorHAnsi"/>
          <w:b/>
          <w:i/>
          <w:sz w:val="21"/>
          <w:szCs w:val="21"/>
          <w:lang w:val="en-AU"/>
        </w:rPr>
        <w:t>Partnerships for Recovery: Australia’s COVID-19 Development Response 2020-2022</w:t>
      </w:r>
      <w:r w:rsidR="0060437D" w:rsidRPr="00BA23EC">
        <w:rPr>
          <w:rFonts w:cstheme="minorHAnsi"/>
          <w:b/>
          <w:sz w:val="21"/>
          <w:szCs w:val="21"/>
          <w:lang w:val="en-AU"/>
        </w:rPr>
        <w:t xml:space="preserve"> </w:t>
      </w:r>
      <w:r w:rsidR="0060437D" w:rsidRPr="00861BF2">
        <w:rPr>
          <w:rFonts w:cstheme="minorHAnsi"/>
          <w:bCs/>
          <w:sz w:val="21"/>
          <w:szCs w:val="21"/>
          <w:lang w:val="en-AU"/>
        </w:rPr>
        <w:t>and</w:t>
      </w:r>
      <w:r w:rsidR="0060437D" w:rsidRPr="00BA23EC">
        <w:rPr>
          <w:rFonts w:cstheme="minorHAnsi"/>
          <w:b/>
          <w:sz w:val="21"/>
          <w:szCs w:val="21"/>
          <w:lang w:val="en-AU"/>
        </w:rPr>
        <w:t xml:space="preserve"> </w:t>
      </w:r>
      <w:r w:rsidR="0060437D" w:rsidRPr="00BA23EC">
        <w:rPr>
          <w:rFonts w:cstheme="minorHAnsi"/>
          <w:b/>
          <w:i/>
          <w:sz w:val="21"/>
          <w:szCs w:val="21"/>
          <w:lang w:val="en-AU"/>
        </w:rPr>
        <w:t>Indonesia COVID-19 Development Response Plan</w:t>
      </w:r>
      <w:r w:rsidR="0060437D" w:rsidRPr="00BA23EC">
        <w:rPr>
          <w:rFonts w:cstheme="minorHAnsi"/>
          <w:b/>
          <w:sz w:val="21"/>
          <w:szCs w:val="21"/>
          <w:lang w:val="en-AU"/>
        </w:rPr>
        <w:t>,</w:t>
      </w:r>
      <w:r w:rsidR="0060437D" w:rsidRPr="00BA23EC">
        <w:rPr>
          <w:rFonts w:cstheme="minorHAnsi"/>
          <w:sz w:val="21"/>
          <w:szCs w:val="21"/>
          <w:lang w:val="en-AU"/>
        </w:rPr>
        <w:t xml:space="preserve"> Australia</w:t>
      </w:r>
      <w:r w:rsidR="00AF37B3" w:rsidRPr="00BA23EC">
        <w:rPr>
          <w:rFonts w:cstheme="minorHAnsi"/>
          <w:sz w:val="21"/>
          <w:szCs w:val="21"/>
          <w:lang w:val="en-AU"/>
        </w:rPr>
        <w:t xml:space="preserve"> reshaped its</w:t>
      </w:r>
      <w:r w:rsidR="00932FFF" w:rsidRPr="00BA23EC">
        <w:rPr>
          <w:rFonts w:cstheme="minorHAnsi"/>
          <w:sz w:val="21"/>
          <w:szCs w:val="21"/>
          <w:lang w:val="en-AU"/>
        </w:rPr>
        <w:t xml:space="preserve"> development </w:t>
      </w:r>
      <w:r w:rsidR="00AF37B3" w:rsidRPr="00BA23EC">
        <w:rPr>
          <w:rFonts w:cstheme="minorHAnsi"/>
          <w:sz w:val="21"/>
          <w:szCs w:val="21"/>
          <w:lang w:val="en-AU"/>
        </w:rPr>
        <w:t>partnership</w:t>
      </w:r>
      <w:r w:rsidR="00932FFF" w:rsidRPr="00BA23EC">
        <w:rPr>
          <w:rFonts w:cstheme="minorHAnsi"/>
          <w:sz w:val="21"/>
          <w:szCs w:val="21"/>
          <w:lang w:val="en-AU"/>
        </w:rPr>
        <w:t xml:space="preserve"> </w:t>
      </w:r>
      <w:r w:rsidR="00AF37B3" w:rsidRPr="00BA23EC">
        <w:rPr>
          <w:rFonts w:cstheme="minorHAnsi"/>
          <w:sz w:val="21"/>
          <w:szCs w:val="21"/>
          <w:lang w:val="en-AU"/>
        </w:rPr>
        <w:t xml:space="preserve">to </w:t>
      </w:r>
      <w:r w:rsidR="00AC7445" w:rsidRPr="00BA23EC">
        <w:rPr>
          <w:rFonts w:cstheme="minorHAnsi"/>
          <w:sz w:val="21"/>
          <w:szCs w:val="21"/>
          <w:lang w:val="en-AU"/>
        </w:rPr>
        <w:t>support Indonesia to maximise the effectiveness of its efforts to tackle COVID-19.</w:t>
      </w:r>
      <w:r w:rsidR="002B33B7" w:rsidRPr="00BA23EC">
        <w:rPr>
          <w:rFonts w:cstheme="minorHAnsi"/>
          <w:sz w:val="21"/>
          <w:szCs w:val="21"/>
          <w:lang w:val="en-AU"/>
        </w:rPr>
        <w:t xml:space="preserve"> </w:t>
      </w:r>
      <w:r w:rsidR="008F5C8F" w:rsidRPr="00BA23EC">
        <w:rPr>
          <w:rFonts w:cstheme="minorHAnsi"/>
          <w:sz w:val="21"/>
          <w:szCs w:val="21"/>
          <w:lang w:val="en-AU"/>
        </w:rPr>
        <w:t xml:space="preserve">Under the Health Security pillar of the </w:t>
      </w:r>
      <w:r w:rsidR="00376B00" w:rsidRPr="007B409F">
        <w:rPr>
          <w:rFonts w:cstheme="minorHAnsi"/>
          <w:b/>
          <w:iCs/>
          <w:sz w:val="21"/>
          <w:szCs w:val="21"/>
          <w:lang w:val="en-AU"/>
        </w:rPr>
        <w:t>COVID-19 Development Response Plan</w:t>
      </w:r>
      <w:r w:rsidR="0047708A" w:rsidRPr="00376B00">
        <w:rPr>
          <w:rFonts w:cstheme="minorHAnsi"/>
          <w:iCs/>
          <w:sz w:val="21"/>
          <w:szCs w:val="21"/>
          <w:lang w:val="en-AU"/>
        </w:rPr>
        <w:t>,</w:t>
      </w:r>
      <w:r w:rsidR="005965A5" w:rsidRPr="00BA23EC">
        <w:rPr>
          <w:rFonts w:cstheme="minorHAnsi"/>
          <w:sz w:val="21"/>
          <w:szCs w:val="21"/>
          <w:lang w:val="en-AU"/>
        </w:rPr>
        <w:t xml:space="preserve"> the</w:t>
      </w:r>
      <w:r w:rsidR="0047708A" w:rsidRPr="00BA23EC">
        <w:rPr>
          <w:rFonts w:cstheme="minorHAnsi"/>
          <w:sz w:val="21"/>
          <w:szCs w:val="21"/>
          <w:lang w:val="en-AU"/>
        </w:rPr>
        <w:t xml:space="preserve"> </w:t>
      </w:r>
      <w:r w:rsidR="004C4D4E" w:rsidRPr="00BA23EC">
        <w:rPr>
          <w:rFonts w:cstheme="minorHAnsi"/>
          <w:i/>
          <w:iCs/>
          <w:sz w:val="21"/>
          <w:szCs w:val="21"/>
          <w:lang w:val="en-AU"/>
        </w:rPr>
        <w:t>Australia Indonesia Health Security Partnership (</w:t>
      </w:r>
      <w:r w:rsidR="005965A5" w:rsidRPr="00BA23EC">
        <w:rPr>
          <w:rFonts w:cstheme="minorHAnsi"/>
          <w:i/>
          <w:sz w:val="21"/>
          <w:szCs w:val="21"/>
          <w:lang w:val="en-AU"/>
        </w:rPr>
        <w:t>AIHSP</w:t>
      </w:r>
      <w:r w:rsidR="004C4D4E" w:rsidRPr="00BA23EC">
        <w:rPr>
          <w:rFonts w:cstheme="minorHAnsi"/>
          <w:i/>
          <w:iCs/>
          <w:sz w:val="21"/>
          <w:szCs w:val="21"/>
          <w:lang w:val="en-AU"/>
        </w:rPr>
        <w:t>)</w:t>
      </w:r>
      <w:r w:rsidR="005965A5" w:rsidRPr="00BA23EC">
        <w:rPr>
          <w:rFonts w:cstheme="minorHAnsi"/>
          <w:sz w:val="21"/>
          <w:szCs w:val="21"/>
          <w:lang w:val="en-AU"/>
        </w:rPr>
        <w:t xml:space="preserve"> </w:t>
      </w:r>
      <w:r w:rsidR="0027248B" w:rsidRPr="00BA23EC">
        <w:rPr>
          <w:rFonts w:cstheme="minorHAnsi"/>
          <w:sz w:val="21"/>
          <w:szCs w:val="21"/>
          <w:lang w:val="en-AU"/>
        </w:rPr>
        <w:t>work</w:t>
      </w:r>
      <w:r w:rsidR="005965A5" w:rsidRPr="00BA23EC">
        <w:rPr>
          <w:rFonts w:cstheme="minorHAnsi"/>
          <w:sz w:val="21"/>
          <w:szCs w:val="21"/>
          <w:lang w:val="en-AU"/>
        </w:rPr>
        <w:t>ed</w:t>
      </w:r>
      <w:r w:rsidR="0027248B" w:rsidRPr="00BA23EC">
        <w:rPr>
          <w:rFonts w:cstheme="minorHAnsi"/>
          <w:sz w:val="21"/>
          <w:szCs w:val="21"/>
          <w:lang w:val="en-AU"/>
        </w:rPr>
        <w:t xml:space="preserve"> directly with </w:t>
      </w:r>
      <w:proofErr w:type="spellStart"/>
      <w:r w:rsidR="00376B00">
        <w:rPr>
          <w:rFonts w:cstheme="minorHAnsi"/>
          <w:sz w:val="21"/>
          <w:szCs w:val="21"/>
          <w:lang w:val="en-AU"/>
        </w:rPr>
        <w:t>GoI</w:t>
      </w:r>
      <w:proofErr w:type="spellEnd"/>
      <w:r w:rsidR="0027248B" w:rsidRPr="00BA23EC">
        <w:rPr>
          <w:rFonts w:cstheme="minorHAnsi"/>
          <w:sz w:val="21"/>
          <w:szCs w:val="21"/>
          <w:lang w:val="en-AU"/>
        </w:rPr>
        <w:t xml:space="preserve"> counterparts and in collaboration with international health partners, such as the World Health Organization, to build stronger systems to respond to public health threats, including COVID-19.</w:t>
      </w:r>
      <w:r w:rsidR="005965A5" w:rsidRPr="00BA23EC">
        <w:rPr>
          <w:rFonts w:cstheme="minorHAnsi"/>
          <w:sz w:val="21"/>
          <w:szCs w:val="21"/>
          <w:lang w:val="en-AU"/>
        </w:rPr>
        <w:t xml:space="preserve"> </w:t>
      </w:r>
      <w:r w:rsidR="00F46105" w:rsidRPr="00BA23EC">
        <w:rPr>
          <w:rFonts w:cstheme="minorHAnsi"/>
          <w:sz w:val="21"/>
          <w:szCs w:val="21"/>
          <w:lang w:val="en-AU"/>
        </w:rPr>
        <w:t>During the peak of the emergency</w:t>
      </w:r>
      <w:r w:rsidR="000207CB" w:rsidRPr="00BA23EC">
        <w:rPr>
          <w:rFonts w:cstheme="minorHAnsi"/>
          <w:sz w:val="21"/>
          <w:szCs w:val="21"/>
          <w:lang w:val="en-AU"/>
        </w:rPr>
        <w:t xml:space="preserve">, Australia provided </w:t>
      </w:r>
      <w:r w:rsidR="00277040" w:rsidRPr="00BA23EC">
        <w:rPr>
          <w:rFonts w:cstheme="minorHAnsi"/>
          <w:sz w:val="21"/>
          <w:szCs w:val="21"/>
          <w:lang w:val="en-AU"/>
        </w:rPr>
        <w:t>humanitarian assistance in the form of oxygen-related and other medical equipment, rapid antigen tests</w:t>
      </w:r>
      <w:r w:rsidR="0034490B" w:rsidRPr="00BA23EC">
        <w:rPr>
          <w:rFonts w:cstheme="minorHAnsi"/>
          <w:sz w:val="21"/>
          <w:szCs w:val="21"/>
          <w:lang w:val="en-AU"/>
        </w:rPr>
        <w:t xml:space="preserve">, and support for </w:t>
      </w:r>
      <w:r w:rsidR="00E770D6" w:rsidRPr="00BA23EC">
        <w:rPr>
          <w:rFonts w:cstheme="minorHAnsi"/>
          <w:sz w:val="21"/>
          <w:szCs w:val="21"/>
          <w:lang w:val="en-AU"/>
        </w:rPr>
        <w:t>local-level responses for affected population</w:t>
      </w:r>
      <w:r w:rsidR="004C4D4E" w:rsidRPr="00BA23EC">
        <w:rPr>
          <w:rFonts w:cstheme="minorHAnsi"/>
          <w:sz w:val="21"/>
          <w:szCs w:val="21"/>
          <w:lang w:val="en-AU"/>
        </w:rPr>
        <w:t>s</w:t>
      </w:r>
      <w:r w:rsidR="00E770D6" w:rsidRPr="00BA23EC">
        <w:rPr>
          <w:rFonts w:cstheme="minorHAnsi"/>
          <w:sz w:val="21"/>
          <w:szCs w:val="21"/>
          <w:lang w:val="en-AU"/>
        </w:rPr>
        <w:t xml:space="preserve"> in hard hit regions</w:t>
      </w:r>
      <w:r w:rsidR="00383A40" w:rsidRPr="00BA23EC">
        <w:rPr>
          <w:rFonts w:cstheme="minorHAnsi"/>
          <w:sz w:val="21"/>
          <w:szCs w:val="21"/>
          <w:lang w:val="en-AU"/>
        </w:rPr>
        <w:t xml:space="preserve">. </w:t>
      </w:r>
      <w:r w:rsidR="002E5D96" w:rsidRPr="00BA23EC">
        <w:rPr>
          <w:rFonts w:cstheme="minorHAnsi"/>
          <w:sz w:val="21"/>
          <w:szCs w:val="21"/>
          <w:lang w:val="en-AU"/>
        </w:rPr>
        <w:t>Through DFAT</w:t>
      </w:r>
      <w:r w:rsidR="00383A40" w:rsidRPr="00BA23EC">
        <w:rPr>
          <w:rFonts w:cstheme="minorHAnsi"/>
          <w:sz w:val="21"/>
          <w:szCs w:val="21"/>
          <w:lang w:val="en-AU"/>
        </w:rPr>
        <w:t>’s</w:t>
      </w:r>
      <w:r w:rsidR="002E5D96" w:rsidRPr="00BA23EC">
        <w:rPr>
          <w:rFonts w:cstheme="minorHAnsi"/>
          <w:sz w:val="21"/>
          <w:szCs w:val="21"/>
          <w:lang w:val="en-AU"/>
        </w:rPr>
        <w:t xml:space="preserve"> regional health investments</w:t>
      </w:r>
      <w:r w:rsidR="00031399" w:rsidRPr="00BA23EC">
        <w:rPr>
          <w:rFonts w:cstheme="minorHAnsi"/>
          <w:sz w:val="21"/>
          <w:szCs w:val="21"/>
          <w:lang w:val="en-AU"/>
        </w:rPr>
        <w:t xml:space="preserve">, Australia committed AUD101.9 million under </w:t>
      </w:r>
      <w:r w:rsidR="00080035" w:rsidRPr="00BA23EC">
        <w:rPr>
          <w:rFonts w:cstheme="minorHAnsi"/>
          <w:sz w:val="21"/>
          <w:szCs w:val="21"/>
          <w:lang w:val="en-AU"/>
        </w:rPr>
        <w:t xml:space="preserve">the </w:t>
      </w:r>
      <w:r w:rsidR="00080035" w:rsidRPr="00BA23EC">
        <w:rPr>
          <w:rFonts w:cstheme="minorHAnsi"/>
          <w:i/>
          <w:sz w:val="21"/>
          <w:szCs w:val="21"/>
          <w:lang w:val="en-AU"/>
        </w:rPr>
        <w:t xml:space="preserve">Vaccine Access and Health Security Initiative </w:t>
      </w:r>
      <w:r w:rsidR="00031399" w:rsidRPr="00BA23EC">
        <w:rPr>
          <w:rFonts w:cstheme="minorHAnsi"/>
          <w:i/>
          <w:sz w:val="21"/>
          <w:szCs w:val="21"/>
          <w:lang w:val="en-AU"/>
        </w:rPr>
        <w:t>(2020-23)</w:t>
      </w:r>
      <w:r w:rsidR="00031399" w:rsidRPr="00BA23EC">
        <w:rPr>
          <w:rFonts w:cstheme="minorHAnsi"/>
          <w:sz w:val="21"/>
          <w:szCs w:val="21"/>
          <w:lang w:val="en-AU"/>
        </w:rPr>
        <w:t xml:space="preserve"> and AUD33 million under the </w:t>
      </w:r>
      <w:r w:rsidR="00031399" w:rsidRPr="00BA23EC">
        <w:rPr>
          <w:rFonts w:cstheme="minorHAnsi"/>
          <w:i/>
          <w:sz w:val="21"/>
          <w:szCs w:val="21"/>
          <w:lang w:val="en-AU"/>
        </w:rPr>
        <w:t>Quad partnership (2021-22</w:t>
      </w:r>
      <w:r w:rsidR="00031399" w:rsidRPr="00BA23EC">
        <w:rPr>
          <w:rFonts w:cstheme="minorHAnsi"/>
          <w:sz w:val="21"/>
          <w:szCs w:val="21"/>
          <w:lang w:val="en-AU"/>
        </w:rPr>
        <w:t>) for COVID-19 vaccine access, including delivery support and vaccine procurement</w:t>
      </w:r>
      <w:r w:rsidR="00F26475" w:rsidRPr="00BA23EC">
        <w:rPr>
          <w:rFonts w:cstheme="minorHAnsi"/>
          <w:sz w:val="21"/>
          <w:szCs w:val="21"/>
          <w:lang w:val="en-AU"/>
        </w:rPr>
        <w:t xml:space="preserve">. </w:t>
      </w:r>
      <w:r w:rsidR="007B5C7C" w:rsidRPr="00BA23EC">
        <w:rPr>
          <w:rFonts w:cstheme="minorHAnsi"/>
          <w:sz w:val="21"/>
          <w:szCs w:val="21"/>
          <w:lang w:val="en-AU"/>
        </w:rPr>
        <w:t>This funding support</w:t>
      </w:r>
      <w:r w:rsidR="00F26475" w:rsidRPr="00BA23EC">
        <w:rPr>
          <w:rFonts w:cstheme="minorHAnsi"/>
          <w:sz w:val="21"/>
          <w:szCs w:val="21"/>
          <w:lang w:val="en-AU"/>
        </w:rPr>
        <w:t>ed</w:t>
      </w:r>
      <w:r w:rsidR="007B5C7C" w:rsidRPr="00BA23EC">
        <w:rPr>
          <w:rFonts w:cstheme="minorHAnsi"/>
          <w:sz w:val="21"/>
          <w:szCs w:val="21"/>
          <w:lang w:val="en-AU"/>
        </w:rPr>
        <w:t xml:space="preserve"> Indonesia on critical issues including risk communications, supply chain, cold chain management, genomic sequencing, and providing essential staff </w:t>
      </w:r>
      <w:r w:rsidR="00F26475" w:rsidRPr="00BA23EC">
        <w:rPr>
          <w:rFonts w:cstheme="minorHAnsi"/>
          <w:sz w:val="21"/>
          <w:szCs w:val="21"/>
          <w:lang w:val="en-AU"/>
        </w:rPr>
        <w:t>such as</w:t>
      </w:r>
      <w:r w:rsidR="007B5C7C" w:rsidRPr="00BA23EC">
        <w:rPr>
          <w:rFonts w:cstheme="minorHAnsi"/>
          <w:sz w:val="21"/>
          <w:szCs w:val="21"/>
          <w:lang w:val="en-AU"/>
        </w:rPr>
        <w:t xml:space="preserve"> vaccinators. Funds also assisted the development of a publicly accessible vaccine monitoring dashboard for the national, provincial and district level. Through the World Bank, Australia support</w:t>
      </w:r>
      <w:r w:rsidR="00F26475" w:rsidRPr="00BA23EC">
        <w:rPr>
          <w:rFonts w:cstheme="minorHAnsi"/>
          <w:sz w:val="21"/>
          <w:szCs w:val="21"/>
          <w:lang w:val="en-AU"/>
        </w:rPr>
        <w:t>ed</w:t>
      </w:r>
      <w:r w:rsidR="007B5C7C" w:rsidRPr="00BA23EC">
        <w:rPr>
          <w:rFonts w:cstheme="minorHAnsi"/>
          <w:sz w:val="21"/>
          <w:szCs w:val="21"/>
          <w:lang w:val="en-AU"/>
        </w:rPr>
        <w:t xml:space="preserve"> Indonesia to implement a national pharmacovigilance system and install remote temperature monitoring in vaccine storage locations across the country at the province, </w:t>
      </w:r>
      <w:proofErr w:type="gramStart"/>
      <w:r w:rsidR="007B5C7C" w:rsidRPr="00BA23EC">
        <w:rPr>
          <w:rFonts w:cstheme="minorHAnsi"/>
          <w:sz w:val="21"/>
          <w:szCs w:val="21"/>
          <w:lang w:val="en-AU"/>
        </w:rPr>
        <w:t>district</w:t>
      </w:r>
      <w:proofErr w:type="gramEnd"/>
      <w:r w:rsidR="007B5C7C" w:rsidRPr="00BA23EC">
        <w:rPr>
          <w:rFonts w:cstheme="minorHAnsi"/>
          <w:sz w:val="21"/>
          <w:szCs w:val="21"/>
          <w:lang w:val="en-AU"/>
        </w:rPr>
        <w:t xml:space="preserve"> and community health level. The </w:t>
      </w:r>
      <w:r w:rsidR="00F26475" w:rsidRPr="00BA23EC">
        <w:rPr>
          <w:rFonts w:cstheme="minorHAnsi"/>
          <w:sz w:val="21"/>
          <w:szCs w:val="21"/>
          <w:lang w:val="en-AU"/>
        </w:rPr>
        <w:t>AI</w:t>
      </w:r>
      <w:r w:rsidR="00E227C1" w:rsidRPr="00BA23EC">
        <w:rPr>
          <w:rFonts w:cstheme="minorHAnsi"/>
          <w:sz w:val="21"/>
          <w:szCs w:val="21"/>
          <w:lang w:val="en-AU"/>
        </w:rPr>
        <w:t>HSP</w:t>
      </w:r>
      <w:r w:rsidR="007B5C7C" w:rsidRPr="00BA23EC">
        <w:rPr>
          <w:rFonts w:cstheme="minorHAnsi"/>
          <w:sz w:val="21"/>
          <w:szCs w:val="21"/>
          <w:lang w:val="en-AU"/>
        </w:rPr>
        <w:t xml:space="preserve"> paired with </w:t>
      </w:r>
      <w:r w:rsidR="00376B00" w:rsidRPr="00376B00">
        <w:rPr>
          <w:rFonts w:cstheme="minorHAnsi"/>
          <w:sz w:val="21"/>
          <w:szCs w:val="21"/>
          <w:lang w:val="en-AU"/>
        </w:rPr>
        <w:t xml:space="preserve">Commonwealth Scientific and Industrial Research Organisation </w:t>
      </w:r>
      <w:r w:rsidR="00376B00">
        <w:rPr>
          <w:rFonts w:cstheme="minorHAnsi"/>
          <w:sz w:val="21"/>
          <w:szCs w:val="21"/>
          <w:lang w:val="en-AU"/>
        </w:rPr>
        <w:t>(</w:t>
      </w:r>
      <w:r w:rsidR="007B5C7C" w:rsidRPr="00BA23EC">
        <w:rPr>
          <w:rFonts w:cstheme="minorHAnsi"/>
          <w:sz w:val="21"/>
          <w:szCs w:val="21"/>
          <w:lang w:val="en-AU"/>
        </w:rPr>
        <w:t>CSIRO</w:t>
      </w:r>
      <w:r w:rsidR="00376B00">
        <w:rPr>
          <w:rFonts w:cstheme="minorHAnsi"/>
          <w:sz w:val="21"/>
          <w:szCs w:val="21"/>
          <w:lang w:val="en-AU"/>
        </w:rPr>
        <w:t>)</w:t>
      </w:r>
      <w:r w:rsidR="007B5C7C" w:rsidRPr="00BA23EC">
        <w:rPr>
          <w:rFonts w:cstheme="minorHAnsi"/>
          <w:sz w:val="21"/>
          <w:szCs w:val="21"/>
          <w:lang w:val="en-AU"/>
        </w:rPr>
        <w:t xml:space="preserve"> experts to assist </w:t>
      </w:r>
      <w:r w:rsidR="00E227C1" w:rsidRPr="00BA23EC">
        <w:rPr>
          <w:rFonts w:cstheme="minorHAnsi"/>
          <w:sz w:val="21"/>
          <w:szCs w:val="21"/>
          <w:lang w:val="en-AU"/>
        </w:rPr>
        <w:t>MoH</w:t>
      </w:r>
      <w:r w:rsidR="007B5C7C" w:rsidRPr="00BA23EC">
        <w:rPr>
          <w:rFonts w:cstheme="minorHAnsi"/>
          <w:sz w:val="21"/>
          <w:szCs w:val="21"/>
          <w:lang w:val="en-AU"/>
        </w:rPr>
        <w:t xml:space="preserve"> to develop a prototype platform for advanced Whole Genome Sequencing analysis. Under a regional partnership with UNICEF, Australia procur</w:t>
      </w:r>
      <w:r w:rsidR="00E227C1" w:rsidRPr="00BA23EC">
        <w:rPr>
          <w:rFonts w:cstheme="minorHAnsi"/>
          <w:sz w:val="21"/>
          <w:szCs w:val="21"/>
          <w:lang w:val="en-AU"/>
        </w:rPr>
        <w:t>ed</w:t>
      </w:r>
      <w:r w:rsidR="007B5C7C" w:rsidRPr="00BA23EC">
        <w:rPr>
          <w:rFonts w:cstheme="minorHAnsi"/>
          <w:sz w:val="21"/>
          <w:szCs w:val="21"/>
          <w:lang w:val="en-AU"/>
        </w:rPr>
        <w:t xml:space="preserve"> 10.2 million COVID-19 vacc</w:t>
      </w:r>
      <w:r w:rsidR="002D264D" w:rsidRPr="00BA23EC">
        <w:rPr>
          <w:rFonts w:cstheme="minorHAnsi"/>
          <w:sz w:val="21"/>
          <w:szCs w:val="21"/>
          <w:lang w:val="en-AU"/>
        </w:rPr>
        <w:t>ine</w:t>
      </w:r>
      <w:r w:rsidR="009E716E" w:rsidRPr="00BA23EC">
        <w:rPr>
          <w:rFonts w:cstheme="minorHAnsi"/>
          <w:sz w:val="21"/>
          <w:szCs w:val="21"/>
          <w:lang w:val="en-AU"/>
        </w:rPr>
        <w:t xml:space="preserve"> d</w:t>
      </w:r>
      <w:r w:rsidR="007B5C7C" w:rsidRPr="00BA23EC">
        <w:rPr>
          <w:rFonts w:cstheme="minorHAnsi"/>
          <w:sz w:val="21"/>
          <w:szCs w:val="21"/>
          <w:lang w:val="en-AU"/>
        </w:rPr>
        <w:t>oses on behalf of Indonesia</w:t>
      </w:r>
      <w:r w:rsidR="00E227C1" w:rsidRPr="00BA23EC">
        <w:rPr>
          <w:rFonts w:cstheme="minorHAnsi"/>
          <w:sz w:val="21"/>
          <w:szCs w:val="21"/>
          <w:lang w:val="en-AU"/>
        </w:rPr>
        <w:t xml:space="preserve"> which was </w:t>
      </w:r>
      <w:r w:rsidR="007B5C7C" w:rsidRPr="00BA23EC">
        <w:rPr>
          <w:rFonts w:cstheme="minorHAnsi"/>
          <w:sz w:val="21"/>
          <w:szCs w:val="21"/>
          <w:lang w:val="en-AU"/>
        </w:rPr>
        <w:t xml:space="preserve">complemented by </w:t>
      </w:r>
      <w:r w:rsidR="00E227C1" w:rsidRPr="00BA23EC">
        <w:rPr>
          <w:rFonts w:cstheme="minorHAnsi"/>
          <w:sz w:val="21"/>
          <w:szCs w:val="21"/>
          <w:lang w:val="en-AU"/>
        </w:rPr>
        <w:t xml:space="preserve">the delivery of </w:t>
      </w:r>
      <w:r w:rsidR="007B5C7C" w:rsidRPr="00BA23EC">
        <w:rPr>
          <w:rFonts w:cstheme="minorHAnsi"/>
          <w:sz w:val="21"/>
          <w:szCs w:val="21"/>
          <w:lang w:val="en-AU"/>
        </w:rPr>
        <w:t xml:space="preserve">8.4 million vaccine doses </w:t>
      </w:r>
      <w:r w:rsidR="00E227C1" w:rsidRPr="00BA23EC">
        <w:rPr>
          <w:rFonts w:cstheme="minorHAnsi"/>
          <w:sz w:val="21"/>
          <w:szCs w:val="21"/>
          <w:lang w:val="en-AU"/>
        </w:rPr>
        <w:t xml:space="preserve">from Australia’s </w:t>
      </w:r>
      <w:r w:rsidR="00920DFE" w:rsidRPr="00BA23EC">
        <w:rPr>
          <w:rFonts w:cstheme="minorHAnsi"/>
          <w:sz w:val="21"/>
          <w:szCs w:val="21"/>
          <w:lang w:val="en-AU"/>
        </w:rPr>
        <w:t>supply</w:t>
      </w:r>
      <w:r w:rsidR="00E227C1" w:rsidRPr="00BA23EC">
        <w:rPr>
          <w:rFonts w:cstheme="minorHAnsi"/>
          <w:sz w:val="21"/>
          <w:szCs w:val="21"/>
          <w:lang w:val="en-AU"/>
        </w:rPr>
        <w:t xml:space="preserve">. </w:t>
      </w:r>
    </w:p>
    <w:p w14:paraId="28092C99" w14:textId="26FE4ECA" w:rsidR="00354C60" w:rsidRPr="00BA23EC" w:rsidRDefault="00591B31" w:rsidP="00354C60">
      <w:pPr>
        <w:pStyle w:val="BodyText"/>
        <w:jc w:val="both"/>
        <w:rPr>
          <w:rFonts w:cstheme="minorHAnsi"/>
          <w:sz w:val="21"/>
          <w:szCs w:val="21"/>
          <w:lang w:val="en-AU"/>
        </w:rPr>
      </w:pPr>
      <w:r>
        <w:rPr>
          <w:rFonts w:cstheme="minorHAnsi"/>
          <w:sz w:val="21"/>
          <w:szCs w:val="21"/>
          <w:lang w:val="en-AU"/>
        </w:rPr>
        <w:t xml:space="preserve">While </w:t>
      </w:r>
      <w:r w:rsidR="00E12941" w:rsidRPr="00BA23EC">
        <w:rPr>
          <w:rFonts w:cstheme="minorHAnsi"/>
          <w:sz w:val="21"/>
          <w:szCs w:val="21"/>
          <w:lang w:val="en-AU"/>
        </w:rPr>
        <w:t>Australia’s</w:t>
      </w:r>
      <w:r>
        <w:rPr>
          <w:rFonts w:cstheme="minorHAnsi"/>
          <w:sz w:val="21"/>
          <w:szCs w:val="21"/>
          <w:lang w:val="en-AU"/>
        </w:rPr>
        <w:t xml:space="preserve"> new</w:t>
      </w:r>
      <w:r w:rsidR="00E12941" w:rsidRPr="00BA23EC">
        <w:rPr>
          <w:rFonts w:cstheme="minorHAnsi"/>
          <w:sz w:val="21"/>
          <w:szCs w:val="21"/>
          <w:lang w:val="en-AU"/>
        </w:rPr>
        <w:t xml:space="preserve"> </w:t>
      </w:r>
      <w:r w:rsidRPr="00BA23EC">
        <w:rPr>
          <w:rFonts w:cstheme="minorHAnsi"/>
          <w:b/>
          <w:sz w:val="21"/>
          <w:szCs w:val="21"/>
          <w:lang w:val="en-AU"/>
        </w:rPr>
        <w:t>International Development Policy</w:t>
      </w:r>
      <w:r w:rsidRPr="00BA23EC">
        <w:rPr>
          <w:rFonts w:cstheme="minorHAnsi"/>
          <w:sz w:val="21"/>
          <w:szCs w:val="21"/>
          <w:lang w:val="en-AU"/>
        </w:rPr>
        <w:t xml:space="preserve"> </w:t>
      </w:r>
      <w:r>
        <w:rPr>
          <w:rFonts w:cstheme="minorHAnsi"/>
          <w:sz w:val="21"/>
          <w:szCs w:val="21"/>
          <w:lang w:val="en-AU"/>
        </w:rPr>
        <w:t>is still pending</w:t>
      </w:r>
      <w:r w:rsidR="00E839F5">
        <w:rPr>
          <w:rFonts w:cstheme="minorHAnsi"/>
          <w:sz w:val="21"/>
          <w:szCs w:val="21"/>
          <w:lang w:val="en-AU"/>
        </w:rPr>
        <w:t xml:space="preserve">, the Australian government has flagged </w:t>
      </w:r>
      <w:r w:rsidR="00D36A63">
        <w:rPr>
          <w:rFonts w:cstheme="minorHAnsi"/>
          <w:sz w:val="21"/>
          <w:szCs w:val="21"/>
          <w:lang w:val="en-AU"/>
        </w:rPr>
        <w:t>our ongoing commitment to i</w:t>
      </w:r>
      <w:r w:rsidR="00F24C84" w:rsidRPr="00F24C84">
        <w:rPr>
          <w:rFonts w:cstheme="minorHAnsi"/>
          <w:sz w:val="21"/>
          <w:szCs w:val="21"/>
          <w:lang w:val="en-AU"/>
        </w:rPr>
        <w:t>mproving the health and wellbeing of communities across the Pacific and Southeast Asia to ensur</w:t>
      </w:r>
      <w:r w:rsidR="00D36A63">
        <w:rPr>
          <w:rFonts w:cstheme="minorHAnsi"/>
          <w:sz w:val="21"/>
          <w:szCs w:val="21"/>
          <w:lang w:val="en-AU"/>
        </w:rPr>
        <w:t>e</w:t>
      </w:r>
      <w:r w:rsidR="00F24C84" w:rsidRPr="00F24C84">
        <w:rPr>
          <w:rFonts w:cstheme="minorHAnsi"/>
          <w:sz w:val="21"/>
          <w:szCs w:val="21"/>
          <w:lang w:val="en-AU"/>
        </w:rPr>
        <w:t xml:space="preserve"> our region’s security, </w:t>
      </w:r>
      <w:proofErr w:type="gramStart"/>
      <w:r w:rsidR="00F24C84" w:rsidRPr="00F24C84">
        <w:rPr>
          <w:rFonts w:cstheme="minorHAnsi"/>
          <w:sz w:val="21"/>
          <w:szCs w:val="21"/>
          <w:lang w:val="en-AU"/>
        </w:rPr>
        <w:t>prosperity</w:t>
      </w:r>
      <w:proofErr w:type="gramEnd"/>
      <w:r w:rsidR="00F24C84" w:rsidRPr="00F24C84">
        <w:rPr>
          <w:rFonts w:cstheme="minorHAnsi"/>
          <w:sz w:val="21"/>
          <w:szCs w:val="21"/>
          <w:lang w:val="en-AU"/>
        </w:rPr>
        <w:t xml:space="preserve"> and stability</w:t>
      </w:r>
      <w:r w:rsidR="00750EA2">
        <w:rPr>
          <w:rFonts w:cstheme="minorHAnsi"/>
          <w:sz w:val="21"/>
          <w:szCs w:val="21"/>
          <w:lang w:val="en-AU"/>
        </w:rPr>
        <w:t xml:space="preserve">, including working with </w:t>
      </w:r>
      <w:r w:rsidR="00F24C84" w:rsidRPr="00F24C84">
        <w:rPr>
          <w:rFonts w:cstheme="minorHAnsi"/>
          <w:sz w:val="21"/>
          <w:szCs w:val="21"/>
          <w:lang w:val="en-AU"/>
        </w:rPr>
        <w:t>partners to restore their health systems and build on investments made during the acute phase of the pandemic.</w:t>
      </w:r>
      <w:r w:rsidR="00354C60">
        <w:rPr>
          <w:rFonts w:cstheme="minorHAnsi"/>
          <w:sz w:val="21"/>
          <w:szCs w:val="21"/>
          <w:lang w:val="en-AU"/>
        </w:rPr>
        <w:t xml:space="preserve"> </w:t>
      </w:r>
    </w:p>
    <w:p w14:paraId="743E2732" w14:textId="2DFE18D2" w:rsidR="00947E22" w:rsidRPr="00BA23EC" w:rsidRDefault="00216A6B" w:rsidP="008B5FED">
      <w:pPr>
        <w:pStyle w:val="BodyText"/>
        <w:jc w:val="both"/>
        <w:rPr>
          <w:rFonts w:cstheme="minorHAnsi"/>
          <w:sz w:val="21"/>
          <w:szCs w:val="21"/>
          <w:lang w:val="en-AU"/>
        </w:rPr>
      </w:pPr>
      <w:r w:rsidRPr="00BA23EC">
        <w:rPr>
          <w:rFonts w:cstheme="minorHAnsi"/>
          <w:sz w:val="21"/>
          <w:szCs w:val="21"/>
          <w:lang w:val="en-AU"/>
        </w:rPr>
        <w:t>T</w:t>
      </w:r>
      <w:r w:rsidR="00DC6651" w:rsidRPr="00BA23EC">
        <w:rPr>
          <w:rFonts w:cstheme="minorHAnsi"/>
          <w:sz w:val="21"/>
          <w:szCs w:val="21"/>
          <w:lang w:val="en-AU"/>
        </w:rPr>
        <w:t xml:space="preserve">hese policy objectives are </w:t>
      </w:r>
      <w:r w:rsidR="00947E22" w:rsidRPr="00BA23EC">
        <w:rPr>
          <w:rFonts w:cstheme="minorHAnsi"/>
          <w:sz w:val="21"/>
          <w:szCs w:val="21"/>
          <w:lang w:val="en-AU"/>
        </w:rPr>
        <w:t xml:space="preserve">being implemented through </w:t>
      </w:r>
      <w:r w:rsidR="001B0419" w:rsidRPr="00BA23EC">
        <w:rPr>
          <w:rFonts w:cstheme="minorHAnsi"/>
          <w:sz w:val="21"/>
          <w:szCs w:val="21"/>
          <w:lang w:val="en-AU"/>
        </w:rPr>
        <w:t>our</w:t>
      </w:r>
      <w:r w:rsidR="00947E22" w:rsidRPr="00BA23EC">
        <w:rPr>
          <w:rFonts w:cstheme="minorHAnsi"/>
          <w:sz w:val="21"/>
          <w:szCs w:val="21"/>
          <w:lang w:val="en-AU"/>
        </w:rPr>
        <w:t xml:space="preserve"> direct and in-depth health reform assistance to </w:t>
      </w:r>
      <w:r w:rsidR="00DE24F9" w:rsidRPr="00BA23EC">
        <w:rPr>
          <w:rFonts w:cstheme="minorHAnsi"/>
          <w:sz w:val="21"/>
          <w:szCs w:val="21"/>
          <w:lang w:val="en-AU"/>
        </w:rPr>
        <w:t xml:space="preserve">the </w:t>
      </w:r>
      <w:proofErr w:type="spellStart"/>
      <w:r w:rsidR="00DE24F9" w:rsidRPr="00BA23EC">
        <w:rPr>
          <w:rFonts w:cstheme="minorHAnsi"/>
          <w:sz w:val="21"/>
          <w:szCs w:val="21"/>
          <w:lang w:val="en-AU"/>
        </w:rPr>
        <w:t>GoI’s</w:t>
      </w:r>
      <w:proofErr w:type="spellEnd"/>
      <w:r w:rsidR="00DE24F9" w:rsidRPr="00BA23EC">
        <w:rPr>
          <w:rFonts w:cstheme="minorHAnsi"/>
          <w:sz w:val="21"/>
          <w:szCs w:val="21"/>
          <w:lang w:val="en-AU"/>
        </w:rPr>
        <w:t xml:space="preserve"> </w:t>
      </w:r>
      <w:r w:rsidR="00947E22" w:rsidRPr="00BA23EC">
        <w:rPr>
          <w:rFonts w:cstheme="minorHAnsi"/>
          <w:sz w:val="21"/>
          <w:szCs w:val="21"/>
          <w:lang w:val="en-AU"/>
        </w:rPr>
        <w:t>health transformation agenda</w:t>
      </w:r>
      <w:r w:rsidRPr="00BA23EC">
        <w:rPr>
          <w:rFonts w:cstheme="minorHAnsi"/>
          <w:sz w:val="21"/>
          <w:szCs w:val="21"/>
          <w:lang w:val="en-AU"/>
        </w:rPr>
        <w:t xml:space="preserve"> </w:t>
      </w:r>
      <w:r w:rsidR="00947E22" w:rsidRPr="00BA23EC">
        <w:rPr>
          <w:rFonts w:cstheme="minorHAnsi"/>
          <w:sz w:val="21"/>
          <w:szCs w:val="21"/>
          <w:lang w:val="en-AU"/>
        </w:rPr>
        <w:t>through</w:t>
      </w:r>
      <w:r w:rsidR="00DE24F9" w:rsidRPr="00BA23EC">
        <w:rPr>
          <w:rFonts w:cstheme="minorHAnsi"/>
          <w:sz w:val="21"/>
          <w:szCs w:val="21"/>
          <w:lang w:val="en-AU"/>
        </w:rPr>
        <w:t xml:space="preserve"> our existing bilateral</w:t>
      </w:r>
      <w:r w:rsidR="00D374E7" w:rsidRPr="00BA23EC">
        <w:rPr>
          <w:rFonts w:cstheme="minorHAnsi"/>
          <w:sz w:val="21"/>
          <w:szCs w:val="21"/>
          <w:lang w:val="en-AU"/>
        </w:rPr>
        <w:t xml:space="preserve"> </w:t>
      </w:r>
      <w:r w:rsidR="00920DFE" w:rsidRPr="00BA23EC">
        <w:rPr>
          <w:rFonts w:cstheme="minorHAnsi"/>
          <w:sz w:val="21"/>
          <w:szCs w:val="21"/>
          <w:lang w:val="en-AU" w:eastAsia="en-AU"/>
        </w:rPr>
        <w:t>programs</w:t>
      </w:r>
      <w:r w:rsidR="00EC1E49" w:rsidRPr="00BA23EC">
        <w:rPr>
          <w:rFonts w:cstheme="minorHAnsi"/>
          <w:sz w:val="21"/>
          <w:szCs w:val="21"/>
          <w:lang w:val="en-AU"/>
        </w:rPr>
        <w:t xml:space="preserve"> including</w:t>
      </w:r>
      <w:r w:rsidR="00947E22" w:rsidRPr="00BA23EC">
        <w:rPr>
          <w:rFonts w:cstheme="minorHAnsi"/>
          <w:sz w:val="21"/>
          <w:szCs w:val="21"/>
          <w:lang w:val="en-AU"/>
        </w:rPr>
        <w:t>:</w:t>
      </w:r>
    </w:p>
    <w:p w14:paraId="0F729357" w14:textId="52A63978" w:rsidR="00947E22" w:rsidRPr="00BA23EC" w:rsidRDefault="00A424B2" w:rsidP="008B5FED">
      <w:pPr>
        <w:pStyle w:val="BodyText"/>
        <w:numPr>
          <w:ilvl w:val="0"/>
          <w:numId w:val="24"/>
        </w:numPr>
        <w:jc w:val="both"/>
        <w:rPr>
          <w:rFonts w:cstheme="minorHAnsi"/>
          <w:sz w:val="21"/>
          <w:szCs w:val="21"/>
          <w:lang w:val="en-AU"/>
        </w:rPr>
      </w:pPr>
      <w:r w:rsidRPr="00BA23EC">
        <w:rPr>
          <w:rFonts w:cstheme="minorHAnsi"/>
          <w:i/>
          <w:sz w:val="21"/>
          <w:szCs w:val="21"/>
          <w:lang w:val="en-AU"/>
        </w:rPr>
        <w:t>AIHSP</w:t>
      </w:r>
      <w:r w:rsidR="004C25A5" w:rsidRPr="00BA23EC">
        <w:rPr>
          <w:rFonts w:cstheme="minorHAnsi"/>
          <w:sz w:val="21"/>
          <w:szCs w:val="21"/>
          <w:lang w:val="en-AU"/>
        </w:rPr>
        <w:t xml:space="preserve"> – </w:t>
      </w:r>
      <w:r w:rsidR="006A4D75" w:rsidRPr="00BA23EC">
        <w:rPr>
          <w:rFonts w:cstheme="minorHAnsi"/>
          <w:sz w:val="21"/>
          <w:szCs w:val="21"/>
          <w:lang w:val="en-AU"/>
        </w:rPr>
        <w:t>providing</w:t>
      </w:r>
      <w:r w:rsidR="00947E22" w:rsidRPr="00BA23EC">
        <w:rPr>
          <w:rFonts w:cstheme="minorHAnsi"/>
          <w:sz w:val="21"/>
          <w:szCs w:val="21"/>
          <w:lang w:val="en-AU"/>
        </w:rPr>
        <w:t xml:space="preserve"> technical support around health promotion and disease prevention under the primary care pillar, as well as work under the health system resilience, health workforce and health technology pillars.</w:t>
      </w:r>
      <w:r w:rsidR="00EE653A" w:rsidRPr="00BA23EC">
        <w:rPr>
          <w:rFonts w:cstheme="minorHAnsi"/>
          <w:sz w:val="21"/>
          <w:szCs w:val="21"/>
          <w:lang w:val="en-AU"/>
        </w:rPr>
        <w:t xml:space="preserve"> </w:t>
      </w:r>
      <w:r w:rsidR="00EE653A" w:rsidRPr="00BA23EC">
        <w:rPr>
          <w:sz w:val="21"/>
          <w:lang w:val="en-AU"/>
        </w:rPr>
        <w:t>This included technical support for the design, development, implementation, and monitoring of a centralised IT application used by health workers to input and monitor data on patients who receive primary health services.</w:t>
      </w:r>
      <w:r w:rsidR="005D4F42">
        <w:rPr>
          <w:sz w:val="21"/>
          <w:lang w:val="en-AU"/>
        </w:rPr>
        <w:t xml:space="preserve"> </w:t>
      </w:r>
      <w:r w:rsidR="004D24AE">
        <w:rPr>
          <w:sz w:val="21"/>
          <w:lang w:val="en-AU"/>
        </w:rPr>
        <w:t xml:space="preserve">Looking forward it is anticipated </w:t>
      </w:r>
      <w:r w:rsidR="005D4F42" w:rsidRPr="005D4F42">
        <w:rPr>
          <w:sz w:val="21"/>
          <w:lang w:val="en-AU"/>
        </w:rPr>
        <w:t>AIHSP’s support on the health reforms will focus more on implementation at the regional level, including piloting of new approaches.</w:t>
      </w:r>
    </w:p>
    <w:p w14:paraId="5D8220A9" w14:textId="2DE3B0E8" w:rsidR="002E4CAF" w:rsidRDefault="006A4D75" w:rsidP="008B5FED">
      <w:pPr>
        <w:pStyle w:val="BodyText"/>
        <w:numPr>
          <w:ilvl w:val="0"/>
          <w:numId w:val="24"/>
        </w:numPr>
        <w:jc w:val="both"/>
        <w:rPr>
          <w:rFonts w:cstheme="minorHAnsi"/>
          <w:sz w:val="21"/>
          <w:szCs w:val="21"/>
          <w:lang w:val="en-AU"/>
        </w:rPr>
      </w:pPr>
      <w:proofErr w:type="spellStart"/>
      <w:r w:rsidRPr="00BA23EC">
        <w:rPr>
          <w:rFonts w:cstheme="minorHAnsi"/>
          <w:i/>
          <w:sz w:val="21"/>
          <w:szCs w:val="21"/>
          <w:lang w:val="en-AU"/>
        </w:rPr>
        <w:t>Prospera</w:t>
      </w:r>
      <w:proofErr w:type="spellEnd"/>
      <w:r w:rsidR="00947E22" w:rsidRPr="00BA23EC">
        <w:rPr>
          <w:rFonts w:cstheme="minorHAnsi"/>
          <w:sz w:val="21"/>
          <w:szCs w:val="21"/>
          <w:lang w:val="en-AU"/>
        </w:rPr>
        <w:t xml:space="preserve"> – provid</w:t>
      </w:r>
      <w:r w:rsidRPr="00BA23EC">
        <w:rPr>
          <w:rFonts w:cstheme="minorHAnsi"/>
          <w:sz w:val="21"/>
          <w:szCs w:val="21"/>
          <w:lang w:val="en-AU"/>
        </w:rPr>
        <w:t>ing</w:t>
      </w:r>
      <w:r w:rsidR="00947E22" w:rsidRPr="00BA23EC">
        <w:rPr>
          <w:rFonts w:cstheme="minorHAnsi"/>
          <w:sz w:val="21"/>
          <w:szCs w:val="21"/>
          <w:lang w:val="en-AU"/>
        </w:rPr>
        <w:t xml:space="preserve"> specialist expertise </w:t>
      </w:r>
      <w:r w:rsidR="009315AA">
        <w:rPr>
          <w:rFonts w:cstheme="minorHAnsi"/>
          <w:sz w:val="21"/>
          <w:szCs w:val="21"/>
          <w:lang w:val="en-AU"/>
        </w:rPr>
        <w:t>to support MoH</w:t>
      </w:r>
      <w:r w:rsidR="00947E22" w:rsidRPr="00BA23EC">
        <w:rPr>
          <w:rFonts w:cstheme="minorHAnsi"/>
          <w:sz w:val="21"/>
          <w:szCs w:val="21"/>
          <w:lang w:val="en-AU"/>
        </w:rPr>
        <w:t xml:space="preserve"> internal organisational change, including assessing transformation plans, benchmarking policy actions against international best practice, identifying gaps, outcomes, persons-in-charge, </w:t>
      </w:r>
      <w:r w:rsidR="009D1016" w:rsidRPr="00BA23EC">
        <w:rPr>
          <w:rFonts w:cstheme="minorHAnsi"/>
          <w:sz w:val="21"/>
          <w:szCs w:val="21"/>
          <w:lang w:val="en-AU"/>
        </w:rPr>
        <w:t>timeframes,</w:t>
      </w:r>
      <w:r w:rsidR="00947E22" w:rsidRPr="00BA23EC">
        <w:rPr>
          <w:rFonts w:cstheme="minorHAnsi"/>
          <w:sz w:val="21"/>
          <w:szCs w:val="21"/>
          <w:lang w:val="en-AU"/>
        </w:rPr>
        <w:t xml:space="preserve"> and resourcing needs. This culminated </w:t>
      </w:r>
      <w:r w:rsidR="00947E22" w:rsidRPr="00BA23EC">
        <w:rPr>
          <w:rFonts w:cstheme="minorHAnsi"/>
          <w:sz w:val="21"/>
          <w:szCs w:val="21"/>
          <w:lang w:val="en-AU"/>
        </w:rPr>
        <w:lastRenderedPageBreak/>
        <w:t xml:space="preserve">in the identification of the MoH’s </w:t>
      </w:r>
      <w:r w:rsidR="004C4D4E" w:rsidRPr="00BA23EC">
        <w:rPr>
          <w:rFonts w:cstheme="minorHAnsi"/>
          <w:sz w:val="21"/>
          <w:szCs w:val="21"/>
          <w:lang w:val="en-AU"/>
        </w:rPr>
        <w:t>six</w:t>
      </w:r>
      <w:r w:rsidR="00947E22" w:rsidRPr="00BA23EC">
        <w:rPr>
          <w:rFonts w:cstheme="minorHAnsi"/>
          <w:sz w:val="21"/>
          <w:szCs w:val="21"/>
          <w:lang w:val="en-AU"/>
        </w:rPr>
        <w:t xml:space="preserve"> reform pillars and 18 priority initiatives which form the basis </w:t>
      </w:r>
      <w:r w:rsidR="004C4D4E" w:rsidRPr="00BA23EC">
        <w:rPr>
          <w:rFonts w:cstheme="minorHAnsi"/>
          <w:sz w:val="21"/>
          <w:szCs w:val="21"/>
          <w:lang w:val="en-AU"/>
        </w:rPr>
        <w:t xml:space="preserve">of </w:t>
      </w:r>
      <w:r w:rsidR="00947E22" w:rsidRPr="00BA23EC">
        <w:rPr>
          <w:rFonts w:cstheme="minorHAnsi"/>
          <w:sz w:val="21"/>
          <w:szCs w:val="21"/>
          <w:lang w:val="en-AU"/>
        </w:rPr>
        <w:t>a ‘Transformation Roadmap’</w:t>
      </w:r>
      <w:r w:rsidR="00A66F86">
        <w:rPr>
          <w:rFonts w:cstheme="minorHAnsi"/>
          <w:sz w:val="21"/>
          <w:szCs w:val="21"/>
          <w:lang w:val="en-AU"/>
        </w:rPr>
        <w:t>,</w:t>
      </w:r>
      <w:r w:rsidR="00947E22" w:rsidRPr="00BA23EC">
        <w:rPr>
          <w:rFonts w:cstheme="minorHAnsi"/>
          <w:sz w:val="21"/>
          <w:szCs w:val="21"/>
          <w:lang w:val="en-AU"/>
        </w:rPr>
        <w:t xml:space="preserve"> a cohesive plan of action </w:t>
      </w:r>
      <w:r w:rsidR="00781EBD" w:rsidRPr="00BA23EC">
        <w:rPr>
          <w:rFonts w:cstheme="minorHAnsi"/>
          <w:sz w:val="21"/>
          <w:szCs w:val="21"/>
          <w:lang w:val="en-AU"/>
        </w:rPr>
        <w:t xml:space="preserve">to the MoH </w:t>
      </w:r>
      <w:r w:rsidR="00947E22" w:rsidRPr="00BA23EC">
        <w:rPr>
          <w:rFonts w:cstheme="minorHAnsi"/>
          <w:sz w:val="21"/>
          <w:szCs w:val="21"/>
          <w:lang w:val="en-AU"/>
        </w:rPr>
        <w:t xml:space="preserve">for the next </w:t>
      </w:r>
      <w:r w:rsidR="004C4D4E" w:rsidRPr="00BA23EC">
        <w:rPr>
          <w:rFonts w:cstheme="minorHAnsi"/>
          <w:sz w:val="21"/>
          <w:szCs w:val="21"/>
          <w:lang w:val="en-AU"/>
        </w:rPr>
        <w:t>five</w:t>
      </w:r>
      <w:r w:rsidR="00947E22" w:rsidRPr="00BA23EC">
        <w:rPr>
          <w:rFonts w:cstheme="minorHAnsi"/>
          <w:sz w:val="21"/>
          <w:szCs w:val="21"/>
          <w:lang w:val="en-AU"/>
        </w:rPr>
        <w:t xml:space="preserve"> years</w:t>
      </w:r>
      <w:r w:rsidRPr="00BA23EC">
        <w:rPr>
          <w:rFonts w:cstheme="minorHAnsi"/>
          <w:sz w:val="21"/>
          <w:szCs w:val="21"/>
          <w:lang w:val="en-AU"/>
        </w:rPr>
        <w:t xml:space="preserve">. </w:t>
      </w:r>
      <w:r w:rsidR="0001125B" w:rsidRPr="00BA23EC">
        <w:rPr>
          <w:rFonts w:cstheme="minorHAnsi"/>
          <w:sz w:val="21"/>
          <w:szCs w:val="21"/>
          <w:lang w:val="en-AU"/>
        </w:rPr>
        <w:t>In addition</w:t>
      </w:r>
      <w:r w:rsidR="00781EBD" w:rsidRPr="00BA23EC">
        <w:rPr>
          <w:rFonts w:cstheme="minorHAnsi"/>
          <w:sz w:val="21"/>
          <w:szCs w:val="21"/>
          <w:lang w:val="en-AU"/>
        </w:rPr>
        <w:t>,</w:t>
      </w:r>
      <w:r w:rsidR="0001125B" w:rsidRPr="00BA23EC">
        <w:rPr>
          <w:rFonts w:cstheme="minorHAnsi"/>
          <w:sz w:val="21"/>
          <w:szCs w:val="21"/>
          <w:lang w:val="en-AU"/>
        </w:rPr>
        <w:t xml:space="preserve"> </w:t>
      </w:r>
      <w:proofErr w:type="spellStart"/>
      <w:r w:rsidR="00942B55" w:rsidRPr="00BA23EC">
        <w:rPr>
          <w:rFonts w:cstheme="minorHAnsi"/>
          <w:sz w:val="21"/>
          <w:szCs w:val="21"/>
          <w:lang w:val="en-AU"/>
        </w:rPr>
        <w:t>Prospera</w:t>
      </w:r>
      <w:proofErr w:type="spellEnd"/>
      <w:r w:rsidR="00942B55" w:rsidRPr="00BA23EC">
        <w:rPr>
          <w:rFonts w:cstheme="minorHAnsi"/>
          <w:sz w:val="21"/>
          <w:szCs w:val="21"/>
          <w:lang w:val="en-AU"/>
        </w:rPr>
        <w:t xml:space="preserve"> has supported </w:t>
      </w:r>
      <w:r w:rsidR="00947E22" w:rsidRPr="00BA23EC">
        <w:rPr>
          <w:rFonts w:cstheme="minorHAnsi"/>
          <w:sz w:val="21"/>
          <w:szCs w:val="21"/>
          <w:lang w:val="en-AU"/>
        </w:rPr>
        <w:t xml:space="preserve">MoH to design a new standard of primary care services </w:t>
      </w:r>
      <w:r w:rsidR="00942B55" w:rsidRPr="00BA23EC">
        <w:rPr>
          <w:rFonts w:cstheme="minorHAnsi"/>
          <w:sz w:val="21"/>
          <w:szCs w:val="21"/>
          <w:lang w:val="en-AU"/>
        </w:rPr>
        <w:t>for</w:t>
      </w:r>
      <w:r w:rsidR="00947E22" w:rsidRPr="00BA23EC">
        <w:rPr>
          <w:rFonts w:cstheme="minorHAnsi"/>
          <w:sz w:val="21"/>
          <w:szCs w:val="21"/>
          <w:lang w:val="en-AU"/>
        </w:rPr>
        <w:t xml:space="preserve"> </w:t>
      </w:r>
      <w:proofErr w:type="spellStart"/>
      <w:r w:rsidR="00947E22" w:rsidRPr="007B409F">
        <w:rPr>
          <w:rFonts w:cstheme="minorHAnsi"/>
          <w:i/>
          <w:iCs/>
          <w:sz w:val="21"/>
          <w:szCs w:val="21"/>
          <w:lang w:val="en-AU"/>
        </w:rPr>
        <w:t>Puskesmas</w:t>
      </w:r>
      <w:proofErr w:type="spellEnd"/>
      <w:r w:rsidR="00947E22" w:rsidRPr="00BA23EC">
        <w:rPr>
          <w:rFonts w:cstheme="minorHAnsi"/>
          <w:sz w:val="21"/>
          <w:szCs w:val="21"/>
          <w:lang w:val="en-AU"/>
        </w:rPr>
        <w:t xml:space="preserve">, </w:t>
      </w:r>
      <w:proofErr w:type="spellStart"/>
      <w:r w:rsidR="00947E22" w:rsidRPr="007B409F">
        <w:rPr>
          <w:rFonts w:cstheme="minorHAnsi"/>
          <w:i/>
          <w:iCs/>
          <w:sz w:val="21"/>
          <w:szCs w:val="21"/>
          <w:lang w:val="en-AU"/>
        </w:rPr>
        <w:t>Posyandu</w:t>
      </w:r>
      <w:proofErr w:type="spellEnd"/>
      <w:r w:rsidR="00947E22" w:rsidRPr="007B409F">
        <w:rPr>
          <w:rFonts w:cstheme="minorHAnsi"/>
          <w:i/>
          <w:iCs/>
          <w:sz w:val="21"/>
          <w:szCs w:val="21"/>
          <w:lang w:val="en-AU"/>
        </w:rPr>
        <w:t xml:space="preserve"> Prima</w:t>
      </w:r>
      <w:r w:rsidR="00947E22" w:rsidRPr="00BA23EC">
        <w:rPr>
          <w:rFonts w:cstheme="minorHAnsi"/>
          <w:sz w:val="21"/>
          <w:szCs w:val="21"/>
          <w:lang w:val="en-AU"/>
        </w:rPr>
        <w:t xml:space="preserve">, and </w:t>
      </w:r>
      <w:proofErr w:type="spellStart"/>
      <w:r w:rsidR="00947E22" w:rsidRPr="007B409F">
        <w:rPr>
          <w:rFonts w:cstheme="minorHAnsi"/>
          <w:i/>
          <w:iCs/>
          <w:sz w:val="21"/>
          <w:szCs w:val="21"/>
          <w:lang w:val="en-AU"/>
        </w:rPr>
        <w:t>Posyandu</w:t>
      </w:r>
      <w:proofErr w:type="spellEnd"/>
      <w:r w:rsidR="00947E22" w:rsidRPr="00BA23EC">
        <w:rPr>
          <w:rFonts w:cstheme="minorHAnsi"/>
          <w:sz w:val="21"/>
          <w:szCs w:val="21"/>
          <w:lang w:val="en-AU"/>
        </w:rPr>
        <w:t xml:space="preserve"> (district and village level health centres) </w:t>
      </w:r>
      <w:r w:rsidR="00B33B3A" w:rsidRPr="00BA23EC">
        <w:rPr>
          <w:rFonts w:cstheme="minorHAnsi"/>
          <w:sz w:val="21"/>
          <w:szCs w:val="21"/>
          <w:lang w:val="en-AU"/>
        </w:rPr>
        <w:t>currently</w:t>
      </w:r>
      <w:r w:rsidR="00947E22" w:rsidRPr="00BA23EC">
        <w:rPr>
          <w:rFonts w:cstheme="minorHAnsi"/>
          <w:sz w:val="21"/>
          <w:szCs w:val="21"/>
          <w:lang w:val="en-AU"/>
        </w:rPr>
        <w:t xml:space="preserve"> being piloted by MoH in </w:t>
      </w:r>
      <w:r w:rsidR="004C4D4E" w:rsidRPr="00BA23EC">
        <w:rPr>
          <w:rFonts w:cstheme="minorHAnsi"/>
          <w:sz w:val="21"/>
          <w:szCs w:val="21"/>
          <w:lang w:val="en-AU"/>
        </w:rPr>
        <w:t>nine</w:t>
      </w:r>
      <w:r w:rsidR="00947E22" w:rsidRPr="00BA23EC">
        <w:rPr>
          <w:rFonts w:cstheme="minorHAnsi"/>
          <w:sz w:val="21"/>
          <w:szCs w:val="21"/>
          <w:lang w:val="en-AU"/>
        </w:rPr>
        <w:t xml:space="preserve"> provinces</w:t>
      </w:r>
      <w:r w:rsidR="00942B55" w:rsidRPr="00BA23EC">
        <w:rPr>
          <w:rFonts w:cstheme="minorHAnsi"/>
          <w:sz w:val="21"/>
          <w:szCs w:val="21"/>
          <w:lang w:val="en-AU"/>
        </w:rPr>
        <w:t xml:space="preserve">, </w:t>
      </w:r>
      <w:r w:rsidR="00764979" w:rsidRPr="00BA23EC">
        <w:rPr>
          <w:rFonts w:cstheme="minorHAnsi"/>
          <w:sz w:val="21"/>
          <w:szCs w:val="21"/>
          <w:lang w:val="en-AU"/>
        </w:rPr>
        <w:t xml:space="preserve">with the plan to be rolled out </w:t>
      </w:r>
      <w:r w:rsidR="00B33B3A" w:rsidRPr="00BA23EC">
        <w:rPr>
          <w:rFonts w:cstheme="minorHAnsi"/>
          <w:sz w:val="21"/>
          <w:szCs w:val="21"/>
          <w:lang w:val="en-AU"/>
        </w:rPr>
        <w:t>national</w:t>
      </w:r>
      <w:r w:rsidR="00764979" w:rsidRPr="00BA23EC">
        <w:rPr>
          <w:rFonts w:cstheme="minorHAnsi"/>
          <w:sz w:val="21"/>
          <w:szCs w:val="21"/>
          <w:lang w:val="en-AU"/>
        </w:rPr>
        <w:t xml:space="preserve">ly as part of the </w:t>
      </w:r>
      <w:r w:rsidR="00947E22" w:rsidRPr="00BA23EC">
        <w:rPr>
          <w:rFonts w:cstheme="minorHAnsi"/>
          <w:sz w:val="21"/>
          <w:szCs w:val="21"/>
          <w:lang w:val="en-AU"/>
        </w:rPr>
        <w:t xml:space="preserve">World Bank HSS-IPF loan operation </w:t>
      </w:r>
      <w:r w:rsidR="00764979" w:rsidRPr="00BA23EC">
        <w:rPr>
          <w:rFonts w:cstheme="minorHAnsi"/>
          <w:sz w:val="21"/>
          <w:szCs w:val="21"/>
          <w:lang w:val="en-AU"/>
        </w:rPr>
        <w:t xml:space="preserve">and </w:t>
      </w:r>
      <w:r w:rsidR="00191377">
        <w:rPr>
          <w:rFonts w:cstheme="minorHAnsi"/>
          <w:sz w:val="21"/>
          <w:szCs w:val="21"/>
          <w:lang w:val="en-AU"/>
        </w:rPr>
        <w:t xml:space="preserve">supported by the </w:t>
      </w:r>
      <w:r w:rsidR="00764979" w:rsidRPr="00BA23EC">
        <w:rPr>
          <w:rFonts w:cstheme="minorHAnsi"/>
          <w:sz w:val="21"/>
          <w:szCs w:val="21"/>
          <w:lang w:val="en-AU"/>
        </w:rPr>
        <w:t>HT</w:t>
      </w:r>
      <w:r w:rsidR="004C4D4E" w:rsidRPr="00BA23EC">
        <w:rPr>
          <w:rFonts w:cstheme="minorHAnsi"/>
          <w:sz w:val="21"/>
          <w:szCs w:val="21"/>
          <w:lang w:val="en-AU"/>
        </w:rPr>
        <w:t>-</w:t>
      </w:r>
      <w:r w:rsidR="00764979" w:rsidRPr="00BA23EC">
        <w:rPr>
          <w:rFonts w:cstheme="minorHAnsi"/>
          <w:sz w:val="21"/>
          <w:szCs w:val="21"/>
          <w:lang w:val="en-AU"/>
        </w:rPr>
        <w:t xml:space="preserve">MDTF. </w:t>
      </w:r>
    </w:p>
    <w:p w14:paraId="211E1CE2" w14:textId="3B03815D" w:rsidR="00886783" w:rsidRPr="00BA23EC" w:rsidRDefault="00AE6F74" w:rsidP="00886783">
      <w:pPr>
        <w:pStyle w:val="BodyText"/>
        <w:jc w:val="both"/>
        <w:rPr>
          <w:rFonts w:cstheme="minorHAnsi"/>
          <w:sz w:val="21"/>
          <w:szCs w:val="21"/>
          <w:lang w:val="en-AU"/>
        </w:rPr>
      </w:pPr>
      <w:r w:rsidRPr="001252BC">
        <w:rPr>
          <w:rFonts w:cstheme="minorHAnsi"/>
          <w:sz w:val="21"/>
          <w:szCs w:val="21"/>
          <w:lang w:val="en-AU"/>
        </w:rPr>
        <w:t xml:space="preserve">Through this HT-MTDF investment and our existing bilateral health partnerships Australia intends to make health a core, ongoing focus of development engagement in Indonesia. This </w:t>
      </w:r>
      <w:r w:rsidR="001A0286" w:rsidRPr="001252BC">
        <w:rPr>
          <w:rFonts w:cstheme="minorHAnsi"/>
          <w:sz w:val="21"/>
          <w:szCs w:val="21"/>
          <w:lang w:val="en-AU"/>
        </w:rPr>
        <w:t xml:space="preserve">strategic </w:t>
      </w:r>
      <w:r w:rsidRPr="001252BC">
        <w:rPr>
          <w:rFonts w:cstheme="minorHAnsi"/>
          <w:sz w:val="21"/>
          <w:szCs w:val="21"/>
          <w:lang w:val="en-AU"/>
        </w:rPr>
        <w:t xml:space="preserve">intent will be </w:t>
      </w:r>
      <w:r w:rsidR="001A0286" w:rsidRPr="001252BC">
        <w:rPr>
          <w:rFonts w:cstheme="minorHAnsi"/>
          <w:sz w:val="21"/>
          <w:szCs w:val="21"/>
          <w:lang w:val="en-AU"/>
        </w:rPr>
        <w:t xml:space="preserve">articulated further </w:t>
      </w:r>
      <w:r w:rsidRPr="001252BC">
        <w:rPr>
          <w:rFonts w:cstheme="minorHAnsi"/>
          <w:sz w:val="21"/>
          <w:szCs w:val="21"/>
          <w:lang w:val="en-AU"/>
        </w:rPr>
        <w:t xml:space="preserve">in the </w:t>
      </w:r>
      <w:r w:rsidR="00924671" w:rsidRPr="001252BC">
        <w:rPr>
          <w:rFonts w:cstheme="minorHAnsi"/>
          <w:sz w:val="21"/>
          <w:szCs w:val="21"/>
          <w:lang w:val="en-AU"/>
        </w:rPr>
        <w:t xml:space="preserve">upcoming </w:t>
      </w:r>
      <w:r w:rsidRPr="001252BC">
        <w:rPr>
          <w:rFonts w:cstheme="minorHAnsi"/>
          <w:b/>
          <w:bCs/>
          <w:sz w:val="21"/>
          <w:szCs w:val="21"/>
          <w:lang w:val="en-AU"/>
        </w:rPr>
        <w:t>Indonesia Development Partnership Plan</w:t>
      </w:r>
      <w:r w:rsidR="001A0286" w:rsidRPr="00886783">
        <w:rPr>
          <w:rFonts w:cstheme="minorHAnsi"/>
          <w:sz w:val="21"/>
          <w:szCs w:val="21"/>
          <w:lang w:val="en-AU"/>
        </w:rPr>
        <w:t xml:space="preserve">, including </w:t>
      </w:r>
      <w:r w:rsidR="00E7706C" w:rsidRPr="00886783">
        <w:rPr>
          <w:rFonts w:cstheme="minorHAnsi"/>
          <w:sz w:val="21"/>
          <w:szCs w:val="21"/>
          <w:lang w:val="en-AU"/>
        </w:rPr>
        <w:t>how</w:t>
      </w:r>
      <w:r w:rsidR="00F20D40" w:rsidRPr="00886783">
        <w:rPr>
          <w:rFonts w:cstheme="minorHAnsi"/>
          <w:sz w:val="21"/>
          <w:szCs w:val="21"/>
          <w:lang w:val="en-AU"/>
        </w:rPr>
        <w:t xml:space="preserve"> DFAT’s </w:t>
      </w:r>
      <w:r w:rsidR="00391F9C" w:rsidRPr="00886783">
        <w:rPr>
          <w:rFonts w:cstheme="minorHAnsi"/>
          <w:sz w:val="21"/>
          <w:szCs w:val="21"/>
          <w:lang w:val="en-AU"/>
        </w:rPr>
        <w:t xml:space="preserve">health </w:t>
      </w:r>
      <w:r w:rsidR="00F20D40" w:rsidRPr="00886783">
        <w:rPr>
          <w:rFonts w:cstheme="minorHAnsi"/>
          <w:sz w:val="21"/>
          <w:szCs w:val="21"/>
          <w:lang w:val="en-AU"/>
        </w:rPr>
        <w:t xml:space="preserve">partnerships </w:t>
      </w:r>
      <w:r w:rsidR="004E03DC" w:rsidRPr="00886783">
        <w:rPr>
          <w:rFonts w:cstheme="minorHAnsi"/>
          <w:sz w:val="21"/>
          <w:szCs w:val="21"/>
          <w:lang w:val="en-AU"/>
        </w:rPr>
        <w:t xml:space="preserve">will </w:t>
      </w:r>
      <w:r w:rsidR="00391F9C" w:rsidRPr="00886783">
        <w:rPr>
          <w:rFonts w:cstheme="minorHAnsi"/>
          <w:sz w:val="21"/>
          <w:szCs w:val="21"/>
          <w:lang w:val="en-AU"/>
        </w:rPr>
        <w:t xml:space="preserve">work </w:t>
      </w:r>
      <w:r w:rsidR="00C73397" w:rsidRPr="00886783">
        <w:rPr>
          <w:rFonts w:cstheme="minorHAnsi"/>
          <w:sz w:val="21"/>
          <w:szCs w:val="21"/>
          <w:lang w:val="en-AU"/>
        </w:rPr>
        <w:t xml:space="preserve">collaboratively in </w:t>
      </w:r>
      <w:r w:rsidR="003A1CD5" w:rsidRPr="00886783">
        <w:rPr>
          <w:rFonts w:cstheme="minorHAnsi"/>
          <w:sz w:val="21"/>
          <w:szCs w:val="21"/>
          <w:lang w:val="en-AU"/>
        </w:rPr>
        <w:t xml:space="preserve">support </w:t>
      </w:r>
      <w:r w:rsidR="00C73397" w:rsidRPr="00886783">
        <w:rPr>
          <w:rFonts w:cstheme="minorHAnsi"/>
          <w:sz w:val="21"/>
          <w:szCs w:val="21"/>
          <w:lang w:val="en-AU"/>
        </w:rPr>
        <w:t>of</w:t>
      </w:r>
      <w:r w:rsidR="003A1CD5" w:rsidRPr="00886783">
        <w:rPr>
          <w:rFonts w:cstheme="minorHAnsi"/>
          <w:sz w:val="21"/>
          <w:szCs w:val="21"/>
          <w:lang w:val="en-AU"/>
        </w:rPr>
        <w:t xml:space="preserve"> Indonesia’s health reforms</w:t>
      </w:r>
      <w:r w:rsidR="00C80E08" w:rsidRPr="00886783">
        <w:rPr>
          <w:rFonts w:cstheme="minorHAnsi"/>
          <w:sz w:val="21"/>
          <w:szCs w:val="21"/>
          <w:lang w:val="en-AU"/>
        </w:rPr>
        <w:t xml:space="preserve">. </w:t>
      </w:r>
      <w:r w:rsidR="00886783" w:rsidRPr="00886783">
        <w:rPr>
          <w:rFonts w:cstheme="minorHAnsi"/>
          <w:sz w:val="21"/>
          <w:szCs w:val="21"/>
          <w:lang w:val="en-AU"/>
        </w:rPr>
        <w:t xml:space="preserve">Over the next three years, it intended that </w:t>
      </w:r>
      <w:r w:rsidR="00886783" w:rsidRPr="001252BC">
        <w:rPr>
          <w:rFonts w:cstheme="minorHAnsi"/>
          <w:sz w:val="21"/>
          <w:szCs w:val="21"/>
          <w:lang w:val="en-AU"/>
        </w:rPr>
        <w:t xml:space="preserve">Australia’s contribution to Indonesia’s health reforms will primarily be channelled </w:t>
      </w:r>
      <w:r w:rsidR="00886783" w:rsidRPr="00886783">
        <w:rPr>
          <w:rFonts w:cstheme="minorHAnsi"/>
          <w:sz w:val="21"/>
          <w:szCs w:val="21"/>
          <w:lang w:val="en-AU"/>
        </w:rPr>
        <w:t>through</w:t>
      </w:r>
      <w:r w:rsidR="00886783">
        <w:rPr>
          <w:rFonts w:cstheme="minorHAnsi"/>
          <w:sz w:val="21"/>
          <w:szCs w:val="21"/>
          <w:lang w:val="en-AU"/>
        </w:rPr>
        <w:t xml:space="preserve"> the HT-MDTF, with the complementary focus of AIHSP on regional implementation of the reforms and targeted health security interventions. </w:t>
      </w:r>
      <w:proofErr w:type="spellStart"/>
      <w:r w:rsidR="00886783">
        <w:rPr>
          <w:rFonts w:cstheme="minorHAnsi"/>
          <w:sz w:val="21"/>
          <w:szCs w:val="21"/>
          <w:lang w:val="en-AU"/>
        </w:rPr>
        <w:t>Prospera’s</w:t>
      </w:r>
      <w:proofErr w:type="spellEnd"/>
      <w:r w:rsidR="00886783">
        <w:rPr>
          <w:rFonts w:cstheme="minorHAnsi"/>
          <w:sz w:val="21"/>
          <w:szCs w:val="21"/>
          <w:lang w:val="en-AU"/>
        </w:rPr>
        <w:t xml:space="preserve"> health support will cease at the end of the </w:t>
      </w:r>
      <w:r w:rsidR="00886783" w:rsidRPr="003209CB">
        <w:rPr>
          <w:rFonts w:cstheme="minorHAnsi"/>
          <w:sz w:val="21"/>
          <w:szCs w:val="21"/>
          <w:lang w:val="en-AU"/>
        </w:rPr>
        <w:t>2023-24 financial year</w:t>
      </w:r>
      <w:r w:rsidR="00886783">
        <w:rPr>
          <w:rFonts w:cstheme="minorHAnsi"/>
          <w:sz w:val="21"/>
          <w:szCs w:val="21"/>
          <w:lang w:val="en-AU"/>
        </w:rPr>
        <w:t xml:space="preserve">, with the remaining work continuing to focus on the </w:t>
      </w:r>
      <w:r w:rsidR="00886783" w:rsidRPr="007F3F5B">
        <w:rPr>
          <w:rFonts w:cstheme="minorHAnsi"/>
          <w:sz w:val="21"/>
          <w:szCs w:val="21"/>
          <w:lang w:val="en-AU"/>
        </w:rPr>
        <w:t>execution and sequencing of internal reforms</w:t>
      </w:r>
      <w:r w:rsidR="00886783">
        <w:rPr>
          <w:rFonts w:cstheme="minorHAnsi"/>
          <w:sz w:val="21"/>
          <w:szCs w:val="21"/>
          <w:lang w:val="en-AU"/>
        </w:rPr>
        <w:t xml:space="preserve">, </w:t>
      </w:r>
      <w:proofErr w:type="gramStart"/>
      <w:r w:rsidR="00886783">
        <w:rPr>
          <w:rFonts w:cstheme="minorHAnsi"/>
          <w:sz w:val="21"/>
          <w:szCs w:val="21"/>
          <w:lang w:val="en-AU"/>
        </w:rPr>
        <w:t>in order to</w:t>
      </w:r>
      <w:proofErr w:type="gramEnd"/>
      <w:r w:rsidR="00886783">
        <w:rPr>
          <w:rFonts w:cstheme="minorHAnsi"/>
          <w:sz w:val="21"/>
          <w:szCs w:val="21"/>
          <w:lang w:val="en-AU"/>
        </w:rPr>
        <w:t xml:space="preserve"> maximise DFAT’s support before the 2024 Presidential election.</w:t>
      </w:r>
    </w:p>
    <w:p w14:paraId="5545CF54" w14:textId="11751C7A" w:rsidR="00D374E7" w:rsidRDefault="00D374E7" w:rsidP="008B5FED">
      <w:pPr>
        <w:pStyle w:val="BodyText"/>
        <w:jc w:val="both"/>
        <w:rPr>
          <w:rFonts w:cstheme="minorHAnsi"/>
          <w:sz w:val="21"/>
          <w:szCs w:val="21"/>
          <w:lang w:val="en-AU"/>
        </w:rPr>
      </w:pPr>
      <w:r w:rsidRPr="00BA23EC">
        <w:rPr>
          <w:rFonts w:cstheme="minorHAnsi"/>
          <w:sz w:val="21"/>
          <w:szCs w:val="21"/>
          <w:lang w:val="en-AU"/>
        </w:rPr>
        <w:t xml:space="preserve">Indonesia will </w:t>
      </w:r>
      <w:r w:rsidR="00B21402">
        <w:rPr>
          <w:rFonts w:cstheme="minorHAnsi"/>
          <w:sz w:val="21"/>
          <w:szCs w:val="21"/>
          <w:lang w:val="en-AU"/>
        </w:rPr>
        <w:t xml:space="preserve">also </w:t>
      </w:r>
      <w:r w:rsidRPr="00BA23EC">
        <w:rPr>
          <w:rFonts w:cstheme="minorHAnsi"/>
          <w:sz w:val="21"/>
          <w:szCs w:val="21"/>
          <w:lang w:val="en-AU"/>
        </w:rPr>
        <w:t xml:space="preserve">be supported through Australia’s new </w:t>
      </w:r>
      <w:r w:rsidRPr="00BA23EC">
        <w:rPr>
          <w:rFonts w:cstheme="minorHAnsi"/>
          <w:b/>
          <w:sz w:val="21"/>
          <w:szCs w:val="21"/>
          <w:lang w:val="en-AU"/>
        </w:rPr>
        <w:t>Partnerships for a Healthy Region program</w:t>
      </w:r>
      <w:r w:rsidRPr="00BA23EC">
        <w:rPr>
          <w:rFonts w:cstheme="minorHAnsi"/>
          <w:sz w:val="21"/>
          <w:szCs w:val="21"/>
          <w:lang w:val="en-AU"/>
        </w:rPr>
        <w:t xml:space="preserve"> which will continue to focus on communicable diseases while also expanding its scope to include non-communicable diseases, sexual and reproductive </w:t>
      </w:r>
      <w:proofErr w:type="gramStart"/>
      <w:r w:rsidRPr="00BA23EC">
        <w:rPr>
          <w:rFonts w:cstheme="minorHAnsi"/>
          <w:sz w:val="21"/>
          <w:szCs w:val="21"/>
          <w:lang w:val="en-AU"/>
        </w:rPr>
        <w:t>health</w:t>
      </w:r>
      <w:proofErr w:type="gramEnd"/>
      <w:r w:rsidRPr="00BA23EC">
        <w:rPr>
          <w:rFonts w:cstheme="minorHAnsi"/>
          <w:sz w:val="21"/>
          <w:szCs w:val="21"/>
          <w:lang w:val="en-AU"/>
        </w:rPr>
        <w:t xml:space="preserve"> and rights, and strengthening of health system functions.</w:t>
      </w:r>
      <w:r w:rsidR="00A35B96">
        <w:rPr>
          <w:rFonts w:cstheme="minorHAnsi"/>
          <w:sz w:val="21"/>
          <w:szCs w:val="21"/>
          <w:lang w:val="en-AU"/>
        </w:rPr>
        <w:t xml:space="preserve"> </w:t>
      </w:r>
      <w:r w:rsidR="00A35B96" w:rsidRPr="00A35B96">
        <w:rPr>
          <w:rFonts w:cstheme="minorHAnsi"/>
          <w:sz w:val="21"/>
          <w:szCs w:val="21"/>
          <w:lang w:val="en-AU"/>
        </w:rPr>
        <w:t xml:space="preserve">Australia is </w:t>
      </w:r>
      <w:r w:rsidR="00A35B96">
        <w:rPr>
          <w:rFonts w:cstheme="minorHAnsi"/>
          <w:sz w:val="21"/>
          <w:szCs w:val="21"/>
          <w:lang w:val="en-AU"/>
        </w:rPr>
        <w:t xml:space="preserve">also </w:t>
      </w:r>
      <w:r w:rsidR="00A35B96" w:rsidRPr="00A35B96">
        <w:rPr>
          <w:rFonts w:cstheme="minorHAnsi"/>
          <w:sz w:val="21"/>
          <w:szCs w:val="21"/>
          <w:lang w:val="en-AU"/>
        </w:rPr>
        <w:t xml:space="preserve">supporting the World Bank-managed Program for Results operation (USD400 million, 2022-26) which aims to strengthen the quality and efficiency Indonesia’s National Health Insurance program (JKN). We are providing USD3.5 million in co-financing and technical assistance under the World Bank </w:t>
      </w:r>
      <w:r w:rsidR="00A35B96" w:rsidRPr="001252BC">
        <w:rPr>
          <w:rFonts w:cstheme="minorHAnsi"/>
          <w:b/>
          <w:bCs/>
          <w:sz w:val="21"/>
          <w:szCs w:val="21"/>
          <w:lang w:val="en-AU"/>
        </w:rPr>
        <w:t>Advance Universal Health Coverage multi-donor trust fund</w:t>
      </w:r>
      <w:r w:rsidR="00A35B96" w:rsidRPr="00A35B96">
        <w:rPr>
          <w:rFonts w:cstheme="minorHAnsi"/>
          <w:sz w:val="21"/>
          <w:szCs w:val="21"/>
          <w:lang w:val="en-AU"/>
        </w:rPr>
        <w:t>.</w:t>
      </w:r>
    </w:p>
    <w:p w14:paraId="226A6DD4" w14:textId="2E9E2584" w:rsidR="00920DFE" w:rsidRPr="00BA23EC" w:rsidRDefault="002C7B0E" w:rsidP="008B5FED">
      <w:pPr>
        <w:pStyle w:val="BodyText"/>
        <w:jc w:val="both"/>
        <w:rPr>
          <w:rFonts w:cstheme="minorHAnsi"/>
          <w:sz w:val="21"/>
          <w:szCs w:val="21"/>
          <w:lang w:val="en-AU"/>
        </w:rPr>
      </w:pPr>
      <w:r w:rsidRPr="00BA23EC">
        <w:rPr>
          <w:rFonts w:cstheme="minorHAnsi"/>
          <w:sz w:val="21"/>
          <w:szCs w:val="21"/>
          <w:lang w:val="en-AU"/>
        </w:rPr>
        <w:t xml:space="preserve">Health is clearly stated as a key focus in the Indonesian constitution and prioritised in </w:t>
      </w:r>
      <w:proofErr w:type="spellStart"/>
      <w:r w:rsidRPr="00BA23EC">
        <w:rPr>
          <w:rFonts w:cstheme="minorHAnsi"/>
          <w:sz w:val="21"/>
          <w:szCs w:val="21"/>
          <w:lang w:val="en-AU"/>
        </w:rPr>
        <w:t>GoI’s</w:t>
      </w:r>
      <w:proofErr w:type="spellEnd"/>
      <w:r w:rsidRPr="00BA23EC">
        <w:rPr>
          <w:rFonts w:cstheme="minorHAnsi"/>
          <w:sz w:val="21"/>
          <w:szCs w:val="21"/>
          <w:lang w:val="en-AU"/>
        </w:rPr>
        <w:t xml:space="preserve"> </w:t>
      </w:r>
      <w:r w:rsidRPr="00BA23EC">
        <w:rPr>
          <w:rFonts w:cstheme="minorHAnsi"/>
          <w:i/>
          <w:sz w:val="21"/>
          <w:szCs w:val="21"/>
          <w:lang w:val="en-AU"/>
        </w:rPr>
        <w:t xml:space="preserve">National </w:t>
      </w:r>
      <w:r w:rsidR="00A66F86">
        <w:rPr>
          <w:rFonts w:cstheme="minorHAnsi"/>
          <w:i/>
          <w:sz w:val="21"/>
          <w:szCs w:val="21"/>
          <w:lang w:val="en-AU"/>
        </w:rPr>
        <w:t xml:space="preserve">Medium-Term </w:t>
      </w:r>
      <w:r w:rsidRPr="00BA23EC">
        <w:rPr>
          <w:rFonts w:cstheme="minorHAnsi"/>
          <w:i/>
          <w:sz w:val="21"/>
          <w:szCs w:val="21"/>
          <w:lang w:val="en-AU"/>
        </w:rPr>
        <w:t>Development Plan (RPJMN) 2020–2024.</w:t>
      </w:r>
      <w:r w:rsidRPr="00BA23EC">
        <w:rPr>
          <w:rFonts w:cstheme="minorHAnsi"/>
          <w:sz w:val="21"/>
          <w:szCs w:val="21"/>
          <w:lang w:val="en-AU"/>
        </w:rPr>
        <w:t xml:space="preserve"> </w:t>
      </w:r>
      <w:r w:rsidR="00920DFE" w:rsidRPr="00BA23EC">
        <w:rPr>
          <w:rFonts w:cstheme="minorHAnsi"/>
          <w:sz w:val="21"/>
          <w:szCs w:val="21"/>
          <w:lang w:val="en-AU"/>
        </w:rPr>
        <w:t>Aligned with this is the World Bank’s</w:t>
      </w:r>
      <w:r w:rsidR="00920DFE" w:rsidRPr="00BA23EC">
        <w:rPr>
          <w:rFonts w:cstheme="minorHAnsi"/>
          <w:i/>
          <w:iCs/>
          <w:sz w:val="21"/>
          <w:szCs w:val="21"/>
          <w:lang w:val="en-AU"/>
        </w:rPr>
        <w:t xml:space="preserve"> 2021-2025 Indonesia Country Partnership Framework</w:t>
      </w:r>
      <w:r w:rsidR="00920DFE" w:rsidRPr="00BA23EC">
        <w:rPr>
          <w:rFonts w:cstheme="minorHAnsi"/>
          <w:sz w:val="21"/>
          <w:szCs w:val="21"/>
          <w:lang w:val="en-AU"/>
        </w:rPr>
        <w:t xml:space="preserve"> focusing on health system strengthening in the post-pandemic period, as well as MoH’s </w:t>
      </w:r>
      <w:r w:rsidR="00920DFE" w:rsidRPr="00BA23EC">
        <w:rPr>
          <w:rFonts w:cstheme="minorHAnsi"/>
          <w:i/>
          <w:iCs/>
          <w:sz w:val="21"/>
          <w:szCs w:val="21"/>
          <w:lang w:val="en-AU"/>
        </w:rPr>
        <w:t>Healthy Indonesia Program</w:t>
      </w:r>
      <w:r w:rsidR="00920DFE" w:rsidRPr="00BA23EC">
        <w:rPr>
          <w:rFonts w:cstheme="minorHAnsi"/>
          <w:sz w:val="21"/>
          <w:szCs w:val="21"/>
          <w:lang w:val="en-AU"/>
        </w:rPr>
        <w:t xml:space="preserve"> efforts to accelerate and sustain progress towards U</w:t>
      </w:r>
      <w:r w:rsidR="00E80388" w:rsidRPr="00BA23EC">
        <w:rPr>
          <w:rFonts w:cstheme="minorHAnsi"/>
          <w:sz w:val="21"/>
          <w:szCs w:val="21"/>
          <w:lang w:val="en-AU"/>
        </w:rPr>
        <w:t xml:space="preserve">niversal </w:t>
      </w:r>
      <w:r w:rsidR="00920DFE" w:rsidRPr="00BA23EC">
        <w:rPr>
          <w:rFonts w:cstheme="minorHAnsi"/>
          <w:sz w:val="21"/>
          <w:szCs w:val="21"/>
          <w:lang w:val="en-AU"/>
        </w:rPr>
        <w:t>H</w:t>
      </w:r>
      <w:r w:rsidR="00E80388" w:rsidRPr="00BA23EC">
        <w:rPr>
          <w:rFonts w:cstheme="minorHAnsi"/>
          <w:sz w:val="21"/>
          <w:szCs w:val="21"/>
          <w:lang w:val="en-AU"/>
        </w:rPr>
        <w:t xml:space="preserve">ealth </w:t>
      </w:r>
      <w:r w:rsidR="00920DFE" w:rsidRPr="00BA23EC">
        <w:rPr>
          <w:rFonts w:cstheme="minorHAnsi"/>
          <w:sz w:val="21"/>
          <w:szCs w:val="21"/>
          <w:lang w:val="en-AU"/>
        </w:rPr>
        <w:t>C</w:t>
      </w:r>
      <w:r w:rsidR="00E80388" w:rsidRPr="00BA23EC">
        <w:rPr>
          <w:rFonts w:cstheme="minorHAnsi"/>
          <w:sz w:val="21"/>
          <w:szCs w:val="21"/>
          <w:lang w:val="en-AU"/>
        </w:rPr>
        <w:t>overage</w:t>
      </w:r>
      <w:r w:rsidR="00920DFE" w:rsidRPr="00BA23EC">
        <w:rPr>
          <w:rFonts w:cstheme="minorHAnsi"/>
          <w:sz w:val="21"/>
          <w:szCs w:val="21"/>
          <w:lang w:val="en-AU"/>
        </w:rPr>
        <w:t xml:space="preserve">. The World Bank is </w:t>
      </w:r>
      <w:r w:rsidR="00E80388" w:rsidRPr="00BA23EC">
        <w:rPr>
          <w:rFonts w:cstheme="minorHAnsi"/>
          <w:sz w:val="21"/>
          <w:szCs w:val="21"/>
          <w:lang w:val="en-AU"/>
        </w:rPr>
        <w:t xml:space="preserve">well </w:t>
      </w:r>
      <w:r w:rsidR="00920DFE" w:rsidRPr="00BA23EC">
        <w:rPr>
          <w:rFonts w:cstheme="minorHAnsi"/>
          <w:sz w:val="21"/>
          <w:szCs w:val="21"/>
          <w:lang w:val="en-AU"/>
        </w:rPr>
        <w:t xml:space="preserve">placed as a convening partner to support the health system transformation through its established engagement strategy in the health and nutrition sectors in Indonesia. </w:t>
      </w:r>
    </w:p>
    <w:p w14:paraId="4F096494" w14:textId="596BAB66" w:rsidR="002537EC" w:rsidRPr="00BA23EC" w:rsidRDefault="00113AE8" w:rsidP="008B5FED">
      <w:pPr>
        <w:pStyle w:val="BodyText"/>
        <w:jc w:val="both"/>
        <w:rPr>
          <w:rFonts w:cstheme="minorHAnsi"/>
          <w:sz w:val="21"/>
          <w:szCs w:val="21"/>
          <w:lang w:val="en-AU"/>
        </w:rPr>
      </w:pPr>
      <w:r w:rsidRPr="00BA23EC">
        <w:rPr>
          <w:rFonts w:cstheme="minorHAnsi"/>
          <w:sz w:val="21"/>
          <w:szCs w:val="21"/>
          <w:lang w:val="en-AU"/>
        </w:rPr>
        <w:t xml:space="preserve">With the election looming in </w:t>
      </w:r>
      <w:r w:rsidR="00E80388" w:rsidRPr="00BA23EC">
        <w:rPr>
          <w:rFonts w:cstheme="minorHAnsi"/>
          <w:sz w:val="21"/>
          <w:szCs w:val="21"/>
          <w:lang w:val="en-AU"/>
        </w:rPr>
        <w:t xml:space="preserve">February </w:t>
      </w:r>
      <w:r w:rsidRPr="00BA23EC">
        <w:rPr>
          <w:rFonts w:cstheme="minorHAnsi"/>
          <w:sz w:val="21"/>
          <w:szCs w:val="21"/>
          <w:lang w:val="en-AU"/>
        </w:rPr>
        <w:t xml:space="preserve">2024 and a definite change of government, both the Minister and </w:t>
      </w:r>
      <w:r w:rsidR="00E80388" w:rsidRPr="00BA23EC">
        <w:rPr>
          <w:rFonts w:cstheme="minorHAnsi"/>
          <w:sz w:val="21"/>
          <w:szCs w:val="21"/>
          <w:lang w:val="en-AU"/>
        </w:rPr>
        <w:t xml:space="preserve">development partners </w:t>
      </w:r>
      <w:r w:rsidRPr="00BA23EC">
        <w:rPr>
          <w:rFonts w:cstheme="minorHAnsi"/>
          <w:sz w:val="21"/>
          <w:szCs w:val="21"/>
          <w:lang w:val="en-AU"/>
        </w:rPr>
        <w:t>understand the need to embed funding and policy to take the</w:t>
      </w:r>
      <w:r w:rsidR="00781EBD" w:rsidRPr="00BA23EC">
        <w:rPr>
          <w:rFonts w:cstheme="minorHAnsi"/>
          <w:sz w:val="21"/>
          <w:szCs w:val="21"/>
          <w:lang w:val="en-AU"/>
        </w:rPr>
        <w:t>se health</w:t>
      </w:r>
      <w:r w:rsidRPr="00BA23EC">
        <w:rPr>
          <w:rFonts w:cstheme="minorHAnsi"/>
          <w:sz w:val="21"/>
          <w:szCs w:val="21"/>
          <w:lang w:val="en-AU"/>
        </w:rPr>
        <w:t xml:space="preserve"> reforms forward and </w:t>
      </w:r>
      <w:r w:rsidR="00E80388" w:rsidRPr="00BA23EC">
        <w:rPr>
          <w:rFonts w:cstheme="minorHAnsi"/>
          <w:sz w:val="21"/>
          <w:szCs w:val="21"/>
          <w:lang w:val="en-AU"/>
        </w:rPr>
        <w:t xml:space="preserve">mitigate against </w:t>
      </w:r>
      <w:r w:rsidRPr="00BA23EC">
        <w:rPr>
          <w:rFonts w:cstheme="minorHAnsi"/>
          <w:sz w:val="21"/>
          <w:szCs w:val="21"/>
          <w:lang w:val="en-AU"/>
        </w:rPr>
        <w:t xml:space="preserve">backsliding. </w:t>
      </w:r>
      <w:r w:rsidR="00971D31" w:rsidRPr="00BA23EC">
        <w:rPr>
          <w:rFonts w:cstheme="minorHAnsi"/>
          <w:sz w:val="21"/>
          <w:szCs w:val="21"/>
          <w:lang w:val="en-AU"/>
        </w:rPr>
        <w:t>The World Bank HSS-IPF loan operation and HT-MDTF will be key enablers that catalyse and</w:t>
      </w:r>
      <w:r w:rsidRPr="00BA23EC">
        <w:rPr>
          <w:rFonts w:cstheme="minorHAnsi"/>
          <w:sz w:val="21"/>
          <w:szCs w:val="21"/>
          <w:lang w:val="en-AU"/>
        </w:rPr>
        <w:t xml:space="preserve"> strengthen the sustainability of these reforms and mitigate risks of policy or funding changes following a new government in 2024</w:t>
      </w:r>
      <w:r w:rsidR="00781EBD" w:rsidRPr="00BA23EC">
        <w:rPr>
          <w:rFonts w:cstheme="minorHAnsi"/>
          <w:sz w:val="21"/>
          <w:szCs w:val="21"/>
          <w:lang w:val="en-AU"/>
        </w:rPr>
        <w:t>. Closing</w:t>
      </w:r>
      <w:r w:rsidR="002537EC" w:rsidRPr="00BA23EC">
        <w:rPr>
          <w:rFonts w:cstheme="minorHAnsi"/>
          <w:sz w:val="21"/>
          <w:szCs w:val="21"/>
          <w:lang w:val="en-AU"/>
        </w:rPr>
        <w:t xml:space="preserve"> spatial disparities in health care quality and access </w:t>
      </w:r>
      <w:r w:rsidR="00781EBD" w:rsidRPr="00BA23EC">
        <w:rPr>
          <w:rFonts w:cstheme="minorHAnsi"/>
          <w:sz w:val="21"/>
          <w:szCs w:val="21"/>
          <w:lang w:val="en-AU"/>
        </w:rPr>
        <w:t>will</w:t>
      </w:r>
      <w:r w:rsidR="002537EC" w:rsidRPr="00BA23EC">
        <w:rPr>
          <w:rFonts w:cstheme="minorHAnsi"/>
          <w:sz w:val="21"/>
          <w:szCs w:val="21"/>
          <w:lang w:val="en-AU"/>
        </w:rPr>
        <w:t xml:space="preserve"> lower </w:t>
      </w:r>
      <w:r w:rsidR="00781EBD" w:rsidRPr="00BA23EC">
        <w:rPr>
          <w:rFonts w:cstheme="minorHAnsi"/>
          <w:sz w:val="21"/>
          <w:szCs w:val="21"/>
          <w:lang w:val="en-AU"/>
        </w:rPr>
        <w:t xml:space="preserve">the </w:t>
      </w:r>
      <w:r w:rsidR="002537EC" w:rsidRPr="00BA23EC">
        <w:rPr>
          <w:rFonts w:cstheme="minorHAnsi"/>
          <w:sz w:val="21"/>
          <w:szCs w:val="21"/>
          <w:lang w:val="en-AU"/>
        </w:rPr>
        <w:t>burden of public health care expenditure</w:t>
      </w:r>
      <w:r w:rsidR="00781EBD" w:rsidRPr="00BA23EC">
        <w:rPr>
          <w:rFonts w:cstheme="minorHAnsi"/>
          <w:sz w:val="21"/>
          <w:szCs w:val="21"/>
          <w:lang w:val="en-AU"/>
        </w:rPr>
        <w:t xml:space="preserve"> </w:t>
      </w:r>
      <w:r w:rsidR="002537EC" w:rsidRPr="00BA23EC">
        <w:rPr>
          <w:rFonts w:cstheme="minorHAnsi"/>
          <w:sz w:val="21"/>
          <w:szCs w:val="21"/>
          <w:lang w:val="en-AU"/>
        </w:rPr>
        <w:t>and contribute to higher productivity, sustained economic growth</w:t>
      </w:r>
      <w:r w:rsidR="00781EBD" w:rsidRPr="00BA23EC">
        <w:rPr>
          <w:rFonts w:cstheme="minorHAnsi"/>
          <w:sz w:val="21"/>
          <w:szCs w:val="21"/>
          <w:lang w:val="en-AU"/>
        </w:rPr>
        <w:t xml:space="preserve"> and </w:t>
      </w:r>
      <w:r w:rsidR="002537EC" w:rsidRPr="00BA23EC">
        <w:rPr>
          <w:rFonts w:cstheme="minorHAnsi"/>
          <w:sz w:val="21"/>
          <w:szCs w:val="21"/>
          <w:lang w:val="en-AU"/>
        </w:rPr>
        <w:t xml:space="preserve">lower poverty rates. </w:t>
      </w:r>
    </w:p>
    <w:p w14:paraId="526578C7" w14:textId="55C366F6" w:rsidR="000B4FEC" w:rsidRPr="00BA23EC" w:rsidRDefault="00787897" w:rsidP="008B5FED">
      <w:pPr>
        <w:jc w:val="both"/>
        <w:rPr>
          <w:rFonts w:cstheme="minorHAnsi"/>
          <w:sz w:val="21"/>
          <w:szCs w:val="21"/>
          <w:lang w:val="en-AU"/>
        </w:rPr>
      </w:pPr>
      <w:r>
        <w:rPr>
          <w:rFonts w:cstheme="minorHAnsi"/>
          <w:sz w:val="21"/>
          <w:szCs w:val="21"/>
          <w:lang w:val="en-AU"/>
        </w:rPr>
        <w:t>The MoH ha</w:t>
      </w:r>
      <w:r w:rsidR="00BF222F">
        <w:rPr>
          <w:rFonts w:cstheme="minorHAnsi"/>
          <w:sz w:val="21"/>
          <w:szCs w:val="21"/>
          <w:lang w:val="en-AU"/>
        </w:rPr>
        <w:t>s</w:t>
      </w:r>
      <w:r>
        <w:rPr>
          <w:rFonts w:cstheme="minorHAnsi"/>
          <w:sz w:val="21"/>
          <w:szCs w:val="21"/>
          <w:lang w:val="en-AU"/>
        </w:rPr>
        <w:t xml:space="preserve"> identified the </w:t>
      </w:r>
      <w:r w:rsidR="009C003B" w:rsidRPr="00A66F86">
        <w:rPr>
          <w:rFonts w:cstheme="minorHAnsi"/>
          <w:sz w:val="21"/>
          <w:szCs w:val="21"/>
          <w:lang w:val="en-AU"/>
        </w:rPr>
        <w:t xml:space="preserve">HT-MDTF </w:t>
      </w:r>
      <w:r>
        <w:rPr>
          <w:rFonts w:cstheme="minorHAnsi"/>
          <w:sz w:val="21"/>
          <w:szCs w:val="21"/>
          <w:lang w:val="en-AU"/>
        </w:rPr>
        <w:t>as the</w:t>
      </w:r>
      <w:r w:rsidR="009C003B" w:rsidRPr="00A66F86">
        <w:rPr>
          <w:rFonts w:cstheme="minorHAnsi"/>
          <w:sz w:val="21"/>
          <w:szCs w:val="21"/>
          <w:lang w:val="en-AU"/>
        </w:rPr>
        <w:t xml:space="preserve"> single, integrated source for analytical</w:t>
      </w:r>
      <w:r w:rsidR="009C003B" w:rsidRPr="00BA23EC">
        <w:rPr>
          <w:rFonts w:cstheme="minorHAnsi"/>
          <w:sz w:val="21"/>
          <w:szCs w:val="21"/>
          <w:lang w:val="en-AU"/>
        </w:rPr>
        <w:t xml:space="preserve"> work to support </w:t>
      </w:r>
      <w:r>
        <w:rPr>
          <w:rFonts w:cstheme="minorHAnsi"/>
          <w:sz w:val="21"/>
          <w:szCs w:val="21"/>
          <w:lang w:val="en-AU"/>
        </w:rPr>
        <w:t xml:space="preserve">Indonesia’s </w:t>
      </w:r>
      <w:r w:rsidR="009C003B" w:rsidRPr="00BA23EC">
        <w:rPr>
          <w:rFonts w:cstheme="minorHAnsi"/>
          <w:sz w:val="21"/>
          <w:szCs w:val="21"/>
          <w:lang w:val="en-AU"/>
        </w:rPr>
        <w:t>health reform</w:t>
      </w:r>
      <w:r w:rsidR="00134F19">
        <w:rPr>
          <w:rFonts w:cstheme="minorHAnsi"/>
          <w:sz w:val="21"/>
          <w:szCs w:val="21"/>
          <w:lang w:val="en-AU"/>
        </w:rPr>
        <w:t>s</w:t>
      </w:r>
      <w:r w:rsidR="009C003B" w:rsidRPr="00BA23EC">
        <w:rPr>
          <w:rFonts w:cstheme="minorHAnsi"/>
          <w:sz w:val="21"/>
          <w:szCs w:val="21"/>
          <w:lang w:val="en-AU"/>
        </w:rPr>
        <w:t xml:space="preserve">, </w:t>
      </w:r>
      <w:r w:rsidR="00134F19">
        <w:rPr>
          <w:rFonts w:cstheme="minorHAnsi"/>
          <w:sz w:val="21"/>
          <w:szCs w:val="21"/>
          <w:lang w:val="en-AU"/>
        </w:rPr>
        <w:t xml:space="preserve">with the aim of </w:t>
      </w:r>
      <w:r w:rsidR="009C003B" w:rsidRPr="00BA23EC">
        <w:rPr>
          <w:rFonts w:cstheme="minorHAnsi"/>
          <w:sz w:val="21"/>
          <w:szCs w:val="21"/>
          <w:lang w:val="en-AU"/>
        </w:rPr>
        <w:t>providing greater coherence and a more effective and strategic way to coordinate support and health partnership.</w:t>
      </w:r>
      <w:r w:rsidR="00134F19">
        <w:rPr>
          <w:rFonts w:cstheme="minorHAnsi"/>
          <w:sz w:val="21"/>
          <w:szCs w:val="21"/>
          <w:lang w:val="en-AU"/>
        </w:rPr>
        <w:t xml:space="preserve"> </w:t>
      </w:r>
      <w:r w:rsidR="00D64339">
        <w:rPr>
          <w:rFonts w:cstheme="minorHAnsi"/>
          <w:sz w:val="21"/>
          <w:szCs w:val="21"/>
          <w:lang w:val="en-AU"/>
        </w:rPr>
        <w:t xml:space="preserve">MoH intend this mechanism </w:t>
      </w:r>
      <w:r w:rsidR="00130A4A">
        <w:rPr>
          <w:rFonts w:cstheme="minorHAnsi"/>
          <w:sz w:val="21"/>
          <w:szCs w:val="21"/>
          <w:lang w:val="en-AU"/>
        </w:rPr>
        <w:t xml:space="preserve">to be the </w:t>
      </w:r>
      <w:r w:rsidR="009C003B" w:rsidRPr="00BA23EC">
        <w:rPr>
          <w:rFonts w:cstheme="minorHAnsi"/>
          <w:sz w:val="21"/>
          <w:szCs w:val="21"/>
          <w:lang w:val="en-AU"/>
        </w:rPr>
        <w:t xml:space="preserve">solution to the current fragmented health support landscape </w:t>
      </w:r>
      <w:r w:rsidR="00130A4A">
        <w:rPr>
          <w:rFonts w:cstheme="minorHAnsi"/>
          <w:sz w:val="21"/>
          <w:szCs w:val="21"/>
          <w:lang w:val="en-AU"/>
        </w:rPr>
        <w:t>which has</w:t>
      </w:r>
      <w:r w:rsidR="00130A4A" w:rsidRPr="00BA23EC">
        <w:rPr>
          <w:rFonts w:cstheme="minorHAnsi"/>
          <w:sz w:val="21"/>
          <w:szCs w:val="21"/>
          <w:lang w:val="en-AU"/>
        </w:rPr>
        <w:t xml:space="preserve"> </w:t>
      </w:r>
      <w:r w:rsidR="00130A4A">
        <w:rPr>
          <w:rFonts w:cstheme="minorHAnsi"/>
          <w:sz w:val="21"/>
          <w:szCs w:val="21"/>
          <w:lang w:val="en-AU"/>
        </w:rPr>
        <w:t>the ministry</w:t>
      </w:r>
      <w:r w:rsidR="00130A4A" w:rsidRPr="00BA23EC">
        <w:rPr>
          <w:rFonts w:cstheme="minorHAnsi"/>
          <w:sz w:val="21"/>
          <w:szCs w:val="21"/>
          <w:lang w:val="en-AU"/>
        </w:rPr>
        <w:t xml:space="preserve"> </w:t>
      </w:r>
      <w:r w:rsidR="00781EBD" w:rsidRPr="00BA23EC">
        <w:rPr>
          <w:rFonts w:cstheme="minorHAnsi"/>
          <w:sz w:val="21"/>
          <w:szCs w:val="21"/>
          <w:lang w:val="en-AU"/>
        </w:rPr>
        <w:t xml:space="preserve">currently </w:t>
      </w:r>
      <w:r w:rsidR="009C003B" w:rsidRPr="00BA23EC">
        <w:rPr>
          <w:rFonts w:cstheme="minorHAnsi"/>
          <w:sz w:val="21"/>
          <w:szCs w:val="21"/>
          <w:lang w:val="en-AU"/>
        </w:rPr>
        <w:t xml:space="preserve">managing more than 93 separate agreements with 27 development partners, </w:t>
      </w:r>
      <w:r w:rsidR="00130A4A">
        <w:rPr>
          <w:rFonts w:cstheme="minorHAnsi"/>
          <w:sz w:val="21"/>
          <w:szCs w:val="21"/>
          <w:lang w:val="en-AU"/>
        </w:rPr>
        <w:t xml:space="preserve">providing </w:t>
      </w:r>
      <w:r w:rsidR="009C003B" w:rsidRPr="00BA23EC">
        <w:rPr>
          <w:rFonts w:cstheme="minorHAnsi"/>
          <w:sz w:val="21"/>
          <w:szCs w:val="21"/>
          <w:lang w:val="en-AU"/>
        </w:rPr>
        <w:t>limited visibility and coherence</w:t>
      </w:r>
      <w:r w:rsidR="00781EBD" w:rsidRPr="00BA23EC">
        <w:rPr>
          <w:rFonts w:cstheme="minorHAnsi"/>
          <w:sz w:val="21"/>
          <w:szCs w:val="21"/>
          <w:lang w:val="en-AU"/>
        </w:rPr>
        <w:t xml:space="preserve"> across these separate arrangements</w:t>
      </w:r>
      <w:r w:rsidR="009C003B" w:rsidRPr="00BA23EC">
        <w:rPr>
          <w:rFonts w:cstheme="minorHAnsi"/>
          <w:sz w:val="21"/>
          <w:szCs w:val="21"/>
          <w:lang w:val="en-AU"/>
        </w:rPr>
        <w:t xml:space="preserve">. </w:t>
      </w:r>
      <w:r w:rsidR="00BF222F">
        <w:rPr>
          <w:rFonts w:cstheme="minorHAnsi"/>
          <w:sz w:val="21"/>
          <w:szCs w:val="21"/>
          <w:lang w:val="en-AU"/>
        </w:rPr>
        <w:t xml:space="preserve">The MoH intend to harmonise donor support through improved internal coordination facilitated by the MDTF Secretariat and a process that </w:t>
      </w:r>
      <w:r w:rsidR="00BA4CC0">
        <w:rPr>
          <w:rFonts w:cstheme="minorHAnsi"/>
          <w:sz w:val="21"/>
          <w:szCs w:val="21"/>
          <w:lang w:val="en-AU"/>
        </w:rPr>
        <w:t xml:space="preserve">over time </w:t>
      </w:r>
      <w:r w:rsidR="00BF222F">
        <w:rPr>
          <w:rFonts w:cstheme="minorHAnsi"/>
          <w:sz w:val="21"/>
          <w:szCs w:val="21"/>
          <w:lang w:val="en-AU"/>
        </w:rPr>
        <w:t xml:space="preserve">will see out the terms of these separate </w:t>
      </w:r>
      <w:r w:rsidR="00142A22">
        <w:rPr>
          <w:rFonts w:cstheme="minorHAnsi"/>
          <w:sz w:val="21"/>
          <w:szCs w:val="21"/>
          <w:lang w:val="en-AU"/>
        </w:rPr>
        <w:t>agreements</w:t>
      </w:r>
      <w:r w:rsidR="00F33E7F">
        <w:rPr>
          <w:rFonts w:cstheme="minorHAnsi"/>
          <w:sz w:val="21"/>
          <w:szCs w:val="21"/>
          <w:lang w:val="en-AU"/>
        </w:rPr>
        <w:t>,</w:t>
      </w:r>
      <w:r w:rsidR="00142A22">
        <w:rPr>
          <w:rFonts w:cstheme="minorHAnsi"/>
          <w:sz w:val="21"/>
          <w:szCs w:val="21"/>
          <w:lang w:val="en-AU"/>
        </w:rPr>
        <w:t xml:space="preserve"> </w:t>
      </w:r>
      <w:r w:rsidR="00BF222F">
        <w:rPr>
          <w:rFonts w:cstheme="minorHAnsi"/>
          <w:sz w:val="21"/>
          <w:szCs w:val="21"/>
          <w:lang w:val="en-AU"/>
        </w:rPr>
        <w:t xml:space="preserve">with future donors being encouraged to channel </w:t>
      </w:r>
      <w:r w:rsidR="00142A22">
        <w:rPr>
          <w:rFonts w:cstheme="minorHAnsi"/>
          <w:sz w:val="21"/>
          <w:szCs w:val="21"/>
          <w:lang w:val="en-AU"/>
        </w:rPr>
        <w:t xml:space="preserve">their support through the HT-MDTF. </w:t>
      </w:r>
      <w:r w:rsidR="00BE270E" w:rsidRPr="00BA23EC">
        <w:rPr>
          <w:rFonts w:cstheme="minorHAnsi"/>
          <w:sz w:val="21"/>
          <w:szCs w:val="21"/>
          <w:lang w:val="en-AU"/>
        </w:rPr>
        <w:t xml:space="preserve">The </w:t>
      </w:r>
      <w:r w:rsidR="00142A22">
        <w:rPr>
          <w:rFonts w:cstheme="minorHAnsi"/>
          <w:sz w:val="21"/>
          <w:szCs w:val="21"/>
          <w:lang w:val="en-AU"/>
        </w:rPr>
        <w:t>HT-</w:t>
      </w:r>
      <w:r w:rsidR="00BE270E" w:rsidRPr="00BA23EC">
        <w:rPr>
          <w:rFonts w:cstheme="minorHAnsi"/>
          <w:sz w:val="21"/>
          <w:szCs w:val="21"/>
          <w:lang w:val="en-AU"/>
        </w:rPr>
        <w:t xml:space="preserve">MDTF </w:t>
      </w:r>
      <w:r w:rsidR="00142A22">
        <w:rPr>
          <w:rFonts w:cstheme="minorHAnsi"/>
          <w:sz w:val="21"/>
          <w:szCs w:val="21"/>
          <w:lang w:val="en-AU"/>
        </w:rPr>
        <w:t xml:space="preserve">therefore provides </w:t>
      </w:r>
      <w:r w:rsidR="00BE270E" w:rsidRPr="00BA23EC">
        <w:rPr>
          <w:rFonts w:cstheme="minorHAnsi"/>
          <w:sz w:val="21"/>
          <w:szCs w:val="21"/>
          <w:lang w:val="en-AU"/>
        </w:rPr>
        <w:t xml:space="preserve">a unique, comprehensive answer to this fragmented development landscape, and a unifying factor for the main actors in Indonesia’s health sector partner landscape to come together around a clear, common </w:t>
      </w:r>
      <w:r w:rsidR="00E80388" w:rsidRPr="00BA23EC">
        <w:rPr>
          <w:rFonts w:cstheme="minorHAnsi"/>
          <w:sz w:val="21"/>
          <w:szCs w:val="21"/>
          <w:lang w:val="en-AU"/>
        </w:rPr>
        <w:t xml:space="preserve">set of </w:t>
      </w:r>
      <w:r w:rsidR="00BE270E" w:rsidRPr="00BA23EC">
        <w:rPr>
          <w:rFonts w:cstheme="minorHAnsi"/>
          <w:sz w:val="21"/>
          <w:szCs w:val="21"/>
          <w:lang w:val="en-AU"/>
        </w:rPr>
        <w:t>objective</w:t>
      </w:r>
      <w:r w:rsidR="00E80388" w:rsidRPr="00BA23EC">
        <w:rPr>
          <w:rFonts w:cstheme="minorHAnsi"/>
          <w:sz w:val="21"/>
          <w:szCs w:val="21"/>
          <w:lang w:val="en-AU"/>
        </w:rPr>
        <w:t>s.</w:t>
      </w:r>
    </w:p>
    <w:p w14:paraId="39CBCBCF" w14:textId="524B4C86" w:rsidR="00600747" w:rsidRPr="00BA23EC" w:rsidRDefault="00016428" w:rsidP="008B5FED">
      <w:pPr>
        <w:pStyle w:val="BodyText"/>
        <w:jc w:val="both"/>
        <w:rPr>
          <w:rFonts w:cstheme="minorHAnsi"/>
          <w:sz w:val="21"/>
          <w:szCs w:val="21"/>
          <w:lang w:val="en-AU"/>
        </w:rPr>
      </w:pPr>
      <w:r w:rsidRPr="00BA23EC">
        <w:rPr>
          <w:rFonts w:cstheme="minorHAnsi"/>
          <w:sz w:val="21"/>
          <w:szCs w:val="21"/>
          <w:lang w:val="en-AU"/>
        </w:rPr>
        <w:t xml:space="preserve">Supporting </w:t>
      </w:r>
      <w:r w:rsidR="008776E2" w:rsidRPr="00BA23EC">
        <w:rPr>
          <w:rFonts w:cstheme="minorHAnsi"/>
          <w:sz w:val="21"/>
          <w:szCs w:val="21"/>
          <w:lang w:val="en-AU"/>
        </w:rPr>
        <w:t xml:space="preserve">the HT-MDTF will </w:t>
      </w:r>
      <w:r w:rsidR="002F3AEC" w:rsidRPr="00BA23EC">
        <w:rPr>
          <w:rFonts w:cstheme="minorHAnsi"/>
          <w:sz w:val="21"/>
          <w:szCs w:val="21"/>
          <w:lang w:val="en-AU"/>
        </w:rPr>
        <w:t xml:space="preserve">maximise </w:t>
      </w:r>
      <w:r w:rsidRPr="00BA23EC">
        <w:rPr>
          <w:rFonts w:cstheme="minorHAnsi"/>
          <w:sz w:val="21"/>
          <w:szCs w:val="21"/>
          <w:lang w:val="en-AU"/>
        </w:rPr>
        <w:t>Australia’s</w:t>
      </w:r>
      <w:r w:rsidR="00E353E5" w:rsidRPr="00BA23EC">
        <w:rPr>
          <w:rFonts w:cstheme="minorHAnsi"/>
          <w:sz w:val="21"/>
          <w:szCs w:val="21"/>
          <w:lang w:val="en-AU"/>
        </w:rPr>
        <w:t xml:space="preserve"> </w:t>
      </w:r>
      <w:r w:rsidR="002F3AEC" w:rsidRPr="00BA23EC">
        <w:rPr>
          <w:rFonts w:cstheme="minorHAnsi"/>
          <w:sz w:val="21"/>
          <w:szCs w:val="21"/>
          <w:lang w:val="en-AU"/>
        </w:rPr>
        <w:t xml:space="preserve">influence as a key partner with </w:t>
      </w:r>
      <w:proofErr w:type="spellStart"/>
      <w:r w:rsidR="002F3AEC" w:rsidRPr="00BA23EC">
        <w:rPr>
          <w:rFonts w:cstheme="minorHAnsi"/>
          <w:sz w:val="21"/>
          <w:szCs w:val="21"/>
          <w:lang w:val="en-AU"/>
        </w:rPr>
        <w:t>GoI</w:t>
      </w:r>
      <w:proofErr w:type="spellEnd"/>
      <w:r w:rsidR="002F3AEC" w:rsidRPr="00BA23EC">
        <w:rPr>
          <w:rFonts w:cstheme="minorHAnsi"/>
          <w:sz w:val="21"/>
          <w:szCs w:val="21"/>
          <w:lang w:val="en-AU"/>
        </w:rPr>
        <w:t xml:space="preserve"> </w:t>
      </w:r>
      <w:r w:rsidRPr="00BA23EC">
        <w:rPr>
          <w:rFonts w:cstheme="minorHAnsi"/>
          <w:sz w:val="21"/>
          <w:szCs w:val="21"/>
          <w:lang w:val="en-AU"/>
        </w:rPr>
        <w:t xml:space="preserve">in </w:t>
      </w:r>
      <w:r w:rsidR="00471F45" w:rsidRPr="00BA23EC">
        <w:rPr>
          <w:rFonts w:cstheme="minorHAnsi"/>
          <w:sz w:val="21"/>
          <w:szCs w:val="21"/>
          <w:lang w:val="en-AU"/>
        </w:rPr>
        <w:t>health reform</w:t>
      </w:r>
      <w:r w:rsidR="00E80388" w:rsidRPr="00BA23EC">
        <w:rPr>
          <w:rFonts w:cstheme="minorHAnsi"/>
          <w:sz w:val="21"/>
          <w:szCs w:val="21"/>
          <w:lang w:val="en-AU"/>
        </w:rPr>
        <w:t>,</w:t>
      </w:r>
      <w:r w:rsidR="00471F45" w:rsidRPr="00BA23EC">
        <w:rPr>
          <w:rFonts w:cstheme="minorHAnsi"/>
          <w:sz w:val="21"/>
          <w:szCs w:val="21"/>
          <w:lang w:val="en-AU"/>
        </w:rPr>
        <w:t xml:space="preserve"> building </w:t>
      </w:r>
      <w:r w:rsidR="00E80388" w:rsidRPr="00BA23EC">
        <w:rPr>
          <w:rFonts w:cstheme="minorHAnsi"/>
          <w:sz w:val="21"/>
          <w:szCs w:val="21"/>
          <w:lang w:val="en-AU"/>
        </w:rPr>
        <w:t xml:space="preserve">on </w:t>
      </w:r>
      <w:r w:rsidR="00471F45" w:rsidRPr="00BA23EC">
        <w:rPr>
          <w:rFonts w:cstheme="minorHAnsi"/>
          <w:sz w:val="21"/>
          <w:szCs w:val="21"/>
          <w:lang w:val="en-AU"/>
        </w:rPr>
        <w:t>the foundational work delivered through our bilateral and regional health investments</w:t>
      </w:r>
      <w:r w:rsidR="00A57622" w:rsidRPr="00BA23EC">
        <w:rPr>
          <w:rFonts w:cstheme="minorHAnsi"/>
          <w:sz w:val="21"/>
          <w:szCs w:val="21"/>
          <w:lang w:val="en-AU"/>
        </w:rPr>
        <w:t>.</w:t>
      </w:r>
      <w:r w:rsidR="00471F45" w:rsidRPr="00BA23EC">
        <w:rPr>
          <w:rFonts w:cstheme="minorHAnsi"/>
          <w:sz w:val="21"/>
          <w:szCs w:val="21"/>
          <w:lang w:val="en-AU"/>
        </w:rPr>
        <w:t xml:space="preserve"> </w:t>
      </w:r>
      <w:r w:rsidR="00CB7D62" w:rsidRPr="00BA23EC">
        <w:rPr>
          <w:rFonts w:cstheme="minorHAnsi"/>
          <w:sz w:val="21"/>
          <w:szCs w:val="21"/>
          <w:lang w:val="en-AU"/>
        </w:rPr>
        <w:t>Being</w:t>
      </w:r>
      <w:r w:rsidR="0038269E" w:rsidRPr="00BA23EC">
        <w:rPr>
          <w:rFonts w:cstheme="minorHAnsi"/>
          <w:sz w:val="21"/>
          <w:szCs w:val="21"/>
          <w:lang w:val="en-AU"/>
        </w:rPr>
        <w:t xml:space="preserve"> a founding donor and mem</w:t>
      </w:r>
      <w:r w:rsidR="00F40D7F" w:rsidRPr="00BA23EC">
        <w:rPr>
          <w:rFonts w:cstheme="minorHAnsi"/>
          <w:sz w:val="21"/>
          <w:szCs w:val="21"/>
          <w:lang w:val="en-AU"/>
        </w:rPr>
        <w:t>ber of the Partnership Coun</w:t>
      </w:r>
      <w:r w:rsidR="00362FE7" w:rsidRPr="00BA23EC">
        <w:rPr>
          <w:rFonts w:cstheme="minorHAnsi"/>
          <w:sz w:val="21"/>
          <w:szCs w:val="21"/>
          <w:lang w:val="en-AU"/>
        </w:rPr>
        <w:t>ci</w:t>
      </w:r>
      <w:r w:rsidR="00F40D7F" w:rsidRPr="00BA23EC">
        <w:rPr>
          <w:rFonts w:cstheme="minorHAnsi"/>
          <w:sz w:val="21"/>
          <w:szCs w:val="21"/>
          <w:lang w:val="en-AU"/>
        </w:rPr>
        <w:t>l</w:t>
      </w:r>
      <w:r w:rsidR="00FB681E" w:rsidRPr="00BA23EC">
        <w:rPr>
          <w:rFonts w:cstheme="minorHAnsi"/>
          <w:sz w:val="21"/>
          <w:szCs w:val="21"/>
          <w:lang w:val="en-AU"/>
        </w:rPr>
        <w:t xml:space="preserve"> </w:t>
      </w:r>
      <w:r w:rsidR="00CB7D62" w:rsidRPr="00BA23EC">
        <w:rPr>
          <w:rFonts w:cstheme="minorHAnsi"/>
          <w:sz w:val="21"/>
          <w:szCs w:val="21"/>
          <w:lang w:val="en-AU"/>
        </w:rPr>
        <w:t xml:space="preserve">will </w:t>
      </w:r>
      <w:r w:rsidR="00C346DD" w:rsidRPr="00BA23EC">
        <w:rPr>
          <w:rFonts w:cstheme="minorHAnsi"/>
          <w:sz w:val="21"/>
          <w:szCs w:val="21"/>
          <w:lang w:val="en-AU"/>
        </w:rPr>
        <w:t>broaden</w:t>
      </w:r>
      <w:r w:rsidR="00CB7D62" w:rsidRPr="00BA23EC">
        <w:rPr>
          <w:rFonts w:cstheme="minorHAnsi"/>
          <w:sz w:val="21"/>
          <w:szCs w:val="21"/>
          <w:lang w:val="en-AU"/>
        </w:rPr>
        <w:t xml:space="preserve"> DFAT</w:t>
      </w:r>
      <w:r w:rsidR="00C346DD" w:rsidRPr="00BA23EC">
        <w:rPr>
          <w:rFonts w:cstheme="minorHAnsi"/>
          <w:sz w:val="21"/>
          <w:szCs w:val="21"/>
          <w:lang w:val="en-AU"/>
        </w:rPr>
        <w:t xml:space="preserve">’s engagement in health governance, working alongside </w:t>
      </w:r>
      <w:r w:rsidR="00073F2A" w:rsidRPr="00BA23EC">
        <w:rPr>
          <w:rFonts w:cstheme="minorHAnsi"/>
          <w:sz w:val="21"/>
          <w:szCs w:val="21"/>
          <w:lang w:val="en-AU"/>
        </w:rPr>
        <w:t>t</w:t>
      </w:r>
      <w:r w:rsidR="00541281" w:rsidRPr="00BA23EC">
        <w:rPr>
          <w:rFonts w:cstheme="minorHAnsi"/>
          <w:sz w:val="21"/>
          <w:szCs w:val="21"/>
          <w:lang w:val="en-AU"/>
        </w:rPr>
        <w:t xml:space="preserve">he MoH, World Bank and other </w:t>
      </w:r>
      <w:r w:rsidR="00E80388" w:rsidRPr="00BA23EC">
        <w:rPr>
          <w:rFonts w:cstheme="minorHAnsi"/>
          <w:sz w:val="21"/>
          <w:szCs w:val="21"/>
          <w:lang w:val="en-AU"/>
        </w:rPr>
        <w:t>development partners</w:t>
      </w:r>
      <w:r w:rsidR="00541281" w:rsidRPr="00BA23EC">
        <w:rPr>
          <w:rFonts w:cstheme="minorHAnsi"/>
          <w:sz w:val="21"/>
          <w:szCs w:val="21"/>
          <w:lang w:val="en-AU"/>
        </w:rPr>
        <w:t xml:space="preserve">, </w:t>
      </w:r>
      <w:r w:rsidR="00CB7D62" w:rsidRPr="00BA23EC">
        <w:rPr>
          <w:rFonts w:cstheme="minorHAnsi"/>
          <w:sz w:val="21"/>
          <w:szCs w:val="21"/>
          <w:lang w:val="en-AU"/>
        </w:rPr>
        <w:t xml:space="preserve">to </w:t>
      </w:r>
      <w:r w:rsidR="0081491C" w:rsidRPr="00BA23EC">
        <w:rPr>
          <w:rFonts w:cstheme="minorHAnsi"/>
          <w:sz w:val="21"/>
          <w:szCs w:val="21"/>
          <w:lang w:val="en-AU"/>
        </w:rPr>
        <w:t>steer the critical portfolio of analytical products</w:t>
      </w:r>
      <w:r w:rsidR="00453641" w:rsidRPr="00BA23EC">
        <w:rPr>
          <w:rFonts w:cstheme="minorHAnsi"/>
          <w:sz w:val="21"/>
          <w:szCs w:val="21"/>
          <w:lang w:val="en-AU"/>
        </w:rPr>
        <w:t xml:space="preserve"> </w:t>
      </w:r>
      <w:r w:rsidR="00FB3809" w:rsidRPr="00BA23EC">
        <w:rPr>
          <w:rFonts w:cstheme="minorHAnsi"/>
          <w:sz w:val="21"/>
          <w:szCs w:val="21"/>
          <w:lang w:val="en-AU"/>
        </w:rPr>
        <w:t xml:space="preserve">and engaging in influential </w:t>
      </w:r>
      <w:r w:rsidR="008B1431">
        <w:rPr>
          <w:rFonts w:cstheme="minorHAnsi"/>
          <w:sz w:val="21"/>
          <w:szCs w:val="21"/>
          <w:lang w:val="en-AU"/>
        </w:rPr>
        <w:t xml:space="preserve">policy </w:t>
      </w:r>
      <w:r w:rsidR="00FB3809" w:rsidRPr="00BA23EC">
        <w:rPr>
          <w:rFonts w:cstheme="minorHAnsi"/>
          <w:sz w:val="21"/>
          <w:szCs w:val="21"/>
          <w:lang w:val="en-AU"/>
        </w:rPr>
        <w:t xml:space="preserve">dialogue. With the potential to </w:t>
      </w:r>
      <w:r w:rsidR="00380047" w:rsidRPr="00BA23EC">
        <w:rPr>
          <w:rFonts w:cstheme="minorHAnsi"/>
          <w:sz w:val="21"/>
          <w:szCs w:val="21"/>
          <w:lang w:val="en-AU"/>
        </w:rPr>
        <w:t xml:space="preserve">leverage </w:t>
      </w:r>
      <w:r w:rsidR="00380047" w:rsidRPr="00BA23EC">
        <w:rPr>
          <w:rFonts w:cstheme="minorHAnsi"/>
          <w:sz w:val="21"/>
          <w:szCs w:val="21"/>
          <w:lang w:val="en-AU"/>
        </w:rPr>
        <w:lastRenderedPageBreak/>
        <w:t>further funding</w:t>
      </w:r>
      <w:r w:rsidR="00104D3C" w:rsidRPr="00BA23EC">
        <w:rPr>
          <w:rFonts w:cstheme="minorHAnsi"/>
          <w:sz w:val="21"/>
          <w:szCs w:val="21"/>
          <w:lang w:val="en-AU"/>
        </w:rPr>
        <w:t xml:space="preserve"> and resourcing, including direct MoH budget support, </w:t>
      </w:r>
      <w:r w:rsidR="00FB3809" w:rsidRPr="00BA23EC">
        <w:rPr>
          <w:rFonts w:cstheme="minorHAnsi"/>
          <w:sz w:val="21"/>
          <w:szCs w:val="21"/>
          <w:lang w:val="en-AU"/>
        </w:rPr>
        <w:t xml:space="preserve">this investment has the potential to position </w:t>
      </w:r>
      <w:r w:rsidR="00104D3C" w:rsidRPr="00BA23EC">
        <w:rPr>
          <w:rFonts w:cstheme="minorHAnsi"/>
          <w:sz w:val="21"/>
          <w:szCs w:val="21"/>
          <w:lang w:val="en-AU"/>
        </w:rPr>
        <w:t xml:space="preserve">Australia at the centre </w:t>
      </w:r>
      <w:r w:rsidR="00FB3809" w:rsidRPr="00BA23EC">
        <w:rPr>
          <w:rFonts w:cstheme="minorHAnsi"/>
          <w:sz w:val="21"/>
          <w:szCs w:val="21"/>
          <w:lang w:val="en-AU"/>
        </w:rPr>
        <w:t>of current and future health reforms</w:t>
      </w:r>
      <w:r w:rsidR="008B1431">
        <w:rPr>
          <w:rFonts w:cstheme="minorHAnsi"/>
          <w:sz w:val="21"/>
          <w:szCs w:val="21"/>
          <w:lang w:val="en-AU"/>
        </w:rPr>
        <w:t xml:space="preserve"> in Indonesia</w:t>
      </w:r>
      <w:r w:rsidR="00FB3809" w:rsidRPr="00BA23EC">
        <w:rPr>
          <w:rFonts w:cstheme="minorHAnsi"/>
          <w:sz w:val="21"/>
          <w:szCs w:val="21"/>
          <w:lang w:val="en-AU"/>
        </w:rPr>
        <w:t>.</w:t>
      </w:r>
    </w:p>
    <w:p w14:paraId="11076BBE" w14:textId="0D9921FC" w:rsidR="001E5C72" w:rsidRDefault="00E62EC8" w:rsidP="00995A0E">
      <w:pPr>
        <w:jc w:val="both"/>
        <w:rPr>
          <w:rFonts w:cstheme="minorHAnsi"/>
          <w:sz w:val="21"/>
          <w:szCs w:val="21"/>
          <w:lang w:val="en-AU"/>
        </w:rPr>
      </w:pPr>
      <w:r>
        <w:rPr>
          <w:rFonts w:cstheme="minorHAnsi"/>
          <w:sz w:val="21"/>
          <w:szCs w:val="21"/>
          <w:lang w:val="en-AU"/>
        </w:rPr>
        <w:t>F</w:t>
      </w:r>
      <w:r w:rsidRPr="003F6AA8">
        <w:rPr>
          <w:rFonts w:cstheme="minorHAnsi"/>
          <w:sz w:val="21"/>
          <w:szCs w:val="21"/>
          <w:lang w:val="en-AU"/>
        </w:rPr>
        <w:t>or the implementation of gender mainstreaming in Indonesia</w:t>
      </w:r>
      <w:r>
        <w:rPr>
          <w:rFonts w:cstheme="minorHAnsi"/>
          <w:sz w:val="21"/>
          <w:szCs w:val="21"/>
          <w:lang w:val="en-AU"/>
        </w:rPr>
        <w:t>, t</w:t>
      </w:r>
      <w:r w:rsidR="003F6AA8" w:rsidRPr="003F6AA8">
        <w:rPr>
          <w:rFonts w:cstheme="minorHAnsi"/>
          <w:sz w:val="21"/>
          <w:szCs w:val="21"/>
          <w:lang w:val="en-AU"/>
        </w:rPr>
        <w:t xml:space="preserve">he Presidential Instruction on Gender Mainstreaming in Development No. 9/2000 </w:t>
      </w:r>
      <w:r>
        <w:rPr>
          <w:rFonts w:cstheme="minorHAnsi"/>
          <w:sz w:val="21"/>
          <w:szCs w:val="21"/>
          <w:lang w:val="en-AU"/>
        </w:rPr>
        <w:t>and</w:t>
      </w:r>
      <w:r w:rsidR="003F6AA8">
        <w:rPr>
          <w:rFonts w:cstheme="minorHAnsi"/>
          <w:sz w:val="21"/>
          <w:szCs w:val="21"/>
          <w:lang w:val="en-AU"/>
        </w:rPr>
        <w:t xml:space="preserve"> subsequent Ministerial joint circular issued in 2012</w:t>
      </w:r>
      <w:r>
        <w:rPr>
          <w:rFonts w:cstheme="minorHAnsi"/>
          <w:sz w:val="21"/>
          <w:szCs w:val="21"/>
          <w:lang w:val="en-AU"/>
        </w:rPr>
        <w:t xml:space="preserve"> are</w:t>
      </w:r>
      <w:r w:rsidRPr="003F6AA8">
        <w:rPr>
          <w:rFonts w:cstheme="minorHAnsi"/>
          <w:sz w:val="21"/>
          <w:szCs w:val="21"/>
          <w:lang w:val="en-AU"/>
        </w:rPr>
        <w:t xml:space="preserve"> </w:t>
      </w:r>
      <w:r>
        <w:rPr>
          <w:rFonts w:cstheme="minorHAnsi"/>
          <w:sz w:val="21"/>
          <w:szCs w:val="21"/>
          <w:lang w:val="en-AU"/>
        </w:rPr>
        <w:t>the key</w:t>
      </w:r>
      <w:r w:rsidRPr="003F6AA8">
        <w:rPr>
          <w:rFonts w:cstheme="minorHAnsi"/>
          <w:sz w:val="21"/>
          <w:szCs w:val="21"/>
          <w:lang w:val="en-AU"/>
        </w:rPr>
        <w:t xml:space="preserve"> polic</w:t>
      </w:r>
      <w:r>
        <w:rPr>
          <w:rFonts w:cstheme="minorHAnsi"/>
          <w:sz w:val="21"/>
          <w:szCs w:val="21"/>
          <w:lang w:val="en-AU"/>
        </w:rPr>
        <w:t>y frameworks that support the</w:t>
      </w:r>
      <w:r w:rsidR="003F6AA8">
        <w:rPr>
          <w:rFonts w:cstheme="minorHAnsi"/>
          <w:sz w:val="21"/>
          <w:szCs w:val="21"/>
          <w:lang w:val="en-AU"/>
        </w:rPr>
        <w:t xml:space="preserve"> accelerat</w:t>
      </w:r>
      <w:r>
        <w:rPr>
          <w:rFonts w:cstheme="minorHAnsi"/>
          <w:sz w:val="21"/>
          <w:szCs w:val="21"/>
          <w:lang w:val="en-AU"/>
        </w:rPr>
        <w:t>ion of</w:t>
      </w:r>
      <w:r w:rsidR="003F6AA8" w:rsidRPr="003F6AA8">
        <w:rPr>
          <w:rFonts w:cstheme="minorHAnsi"/>
          <w:sz w:val="21"/>
          <w:szCs w:val="21"/>
          <w:lang w:val="en-AU"/>
        </w:rPr>
        <w:t xml:space="preserve"> gender responsive planning and budget</w:t>
      </w:r>
      <w:r w:rsidR="003F6AA8">
        <w:rPr>
          <w:rFonts w:cstheme="minorHAnsi"/>
          <w:sz w:val="21"/>
          <w:szCs w:val="21"/>
          <w:lang w:val="en-AU"/>
        </w:rPr>
        <w:t xml:space="preserve">ing. However, </w:t>
      </w:r>
      <w:r w:rsidR="003511DB">
        <w:rPr>
          <w:rFonts w:cstheme="minorHAnsi"/>
          <w:sz w:val="21"/>
          <w:szCs w:val="21"/>
          <w:lang w:val="en-AU"/>
        </w:rPr>
        <w:t>despite</w:t>
      </w:r>
      <w:r w:rsidR="003F6AA8">
        <w:rPr>
          <w:rFonts w:cstheme="minorHAnsi"/>
          <w:sz w:val="21"/>
          <w:szCs w:val="21"/>
          <w:lang w:val="en-AU"/>
        </w:rPr>
        <w:t xml:space="preserve"> </w:t>
      </w:r>
      <w:r>
        <w:rPr>
          <w:rFonts w:cstheme="minorHAnsi"/>
          <w:sz w:val="21"/>
          <w:szCs w:val="21"/>
          <w:lang w:val="en-AU"/>
        </w:rPr>
        <w:t>this</w:t>
      </w:r>
      <w:r w:rsidR="003F6AA8">
        <w:rPr>
          <w:rFonts w:cstheme="minorHAnsi"/>
          <w:sz w:val="21"/>
          <w:szCs w:val="21"/>
          <w:lang w:val="en-AU"/>
        </w:rPr>
        <w:t xml:space="preserve"> policy intent, there are </w:t>
      </w:r>
      <w:r w:rsidR="003511DB">
        <w:rPr>
          <w:rFonts w:cstheme="minorHAnsi"/>
          <w:sz w:val="21"/>
          <w:szCs w:val="21"/>
          <w:lang w:val="en-AU"/>
        </w:rPr>
        <w:t>ongoing</w:t>
      </w:r>
      <w:r w:rsidR="003F6AA8">
        <w:rPr>
          <w:rFonts w:cstheme="minorHAnsi"/>
          <w:sz w:val="21"/>
          <w:szCs w:val="21"/>
          <w:lang w:val="en-AU"/>
        </w:rPr>
        <w:t xml:space="preserve"> </w:t>
      </w:r>
      <w:r w:rsidR="003F6AA8" w:rsidRPr="003F6AA8">
        <w:rPr>
          <w:rFonts w:cstheme="minorHAnsi"/>
          <w:sz w:val="21"/>
          <w:szCs w:val="21"/>
          <w:lang w:val="en-AU"/>
        </w:rPr>
        <w:t>challenges in</w:t>
      </w:r>
      <w:r w:rsidR="003511DB">
        <w:rPr>
          <w:rFonts w:cstheme="minorHAnsi"/>
          <w:sz w:val="21"/>
          <w:szCs w:val="21"/>
          <w:lang w:val="en-AU"/>
        </w:rPr>
        <w:t xml:space="preserve"> the</w:t>
      </w:r>
      <w:r w:rsidR="003F6AA8" w:rsidRPr="003F6AA8">
        <w:rPr>
          <w:rFonts w:cstheme="minorHAnsi"/>
          <w:sz w:val="21"/>
          <w:szCs w:val="21"/>
          <w:lang w:val="en-AU"/>
        </w:rPr>
        <w:t xml:space="preserve"> implementation of gender mainstreaming in planning and budgeting across government agencies at national and subnational levels.</w:t>
      </w:r>
      <w:r w:rsidR="003F6AA8">
        <w:rPr>
          <w:rFonts w:cstheme="minorHAnsi"/>
          <w:sz w:val="21"/>
          <w:szCs w:val="21"/>
          <w:lang w:val="en-AU"/>
        </w:rPr>
        <w:t xml:space="preserve"> Plans are underway for a stronger regulation on gender mainstreaming to be issued by the President this year, and </w:t>
      </w:r>
      <w:r w:rsidR="003F6AA8" w:rsidRPr="003F6AA8">
        <w:rPr>
          <w:rFonts w:cstheme="minorHAnsi"/>
          <w:sz w:val="21"/>
          <w:szCs w:val="21"/>
          <w:lang w:val="en-AU"/>
        </w:rPr>
        <w:t xml:space="preserve">gender </w:t>
      </w:r>
      <w:r w:rsidR="003F6AA8">
        <w:rPr>
          <w:rFonts w:cstheme="minorHAnsi"/>
          <w:sz w:val="21"/>
          <w:szCs w:val="21"/>
          <w:lang w:val="en-AU"/>
        </w:rPr>
        <w:t>will be</w:t>
      </w:r>
      <w:r w:rsidR="003F6AA8" w:rsidRPr="003F6AA8">
        <w:rPr>
          <w:rFonts w:cstheme="minorHAnsi"/>
          <w:sz w:val="21"/>
          <w:szCs w:val="21"/>
          <w:lang w:val="en-AU"/>
        </w:rPr>
        <w:t xml:space="preserve"> a key cross-cutting theme of the government’s </w:t>
      </w:r>
      <w:r w:rsidR="003F6AA8">
        <w:rPr>
          <w:rFonts w:cstheme="minorHAnsi"/>
          <w:sz w:val="21"/>
          <w:szCs w:val="21"/>
          <w:lang w:val="en-AU"/>
        </w:rPr>
        <w:t xml:space="preserve">next </w:t>
      </w:r>
      <w:r w:rsidR="003F6AA8" w:rsidRPr="003F6AA8">
        <w:rPr>
          <w:rFonts w:cstheme="minorHAnsi"/>
          <w:sz w:val="21"/>
          <w:szCs w:val="21"/>
          <w:lang w:val="en-AU"/>
        </w:rPr>
        <w:t>national medium and long-term development plans (RPJPN/RPJMN).</w:t>
      </w:r>
      <w:r w:rsidR="001E5C72">
        <w:rPr>
          <w:rFonts w:cstheme="minorHAnsi"/>
          <w:sz w:val="21"/>
          <w:szCs w:val="21"/>
          <w:lang w:val="en-AU"/>
        </w:rPr>
        <w:t xml:space="preserve"> </w:t>
      </w:r>
      <w:r w:rsidR="003511DB">
        <w:rPr>
          <w:rFonts w:cstheme="minorHAnsi"/>
          <w:sz w:val="21"/>
          <w:szCs w:val="21"/>
          <w:lang w:val="en-AU"/>
        </w:rPr>
        <w:t xml:space="preserve">A clear intention of </w:t>
      </w:r>
      <w:proofErr w:type="spellStart"/>
      <w:r w:rsidR="003511DB">
        <w:rPr>
          <w:rFonts w:cstheme="minorHAnsi"/>
          <w:sz w:val="21"/>
          <w:szCs w:val="21"/>
          <w:lang w:val="en-AU"/>
        </w:rPr>
        <w:t>GoI’s</w:t>
      </w:r>
      <w:proofErr w:type="spellEnd"/>
      <w:r w:rsidR="003511DB">
        <w:rPr>
          <w:rFonts w:cstheme="minorHAnsi"/>
          <w:sz w:val="21"/>
          <w:szCs w:val="21"/>
          <w:lang w:val="en-AU"/>
        </w:rPr>
        <w:t xml:space="preserve"> </w:t>
      </w:r>
      <w:r w:rsidR="003511DB" w:rsidRPr="00BA23EC">
        <w:rPr>
          <w:rFonts w:cstheme="minorHAnsi"/>
          <w:sz w:val="21"/>
          <w:szCs w:val="21"/>
          <w:lang w:val="en-AU"/>
        </w:rPr>
        <w:t xml:space="preserve">health system transformation agenda </w:t>
      </w:r>
      <w:r w:rsidR="003511DB">
        <w:rPr>
          <w:rFonts w:cstheme="minorHAnsi"/>
          <w:sz w:val="21"/>
          <w:szCs w:val="21"/>
          <w:lang w:val="en-AU"/>
        </w:rPr>
        <w:t>focus</w:t>
      </w:r>
      <w:r w:rsidR="006773BA">
        <w:rPr>
          <w:rFonts w:cstheme="minorHAnsi"/>
          <w:sz w:val="21"/>
          <w:szCs w:val="21"/>
          <w:lang w:val="en-AU"/>
        </w:rPr>
        <w:t>ses</w:t>
      </w:r>
      <w:r w:rsidR="003511DB">
        <w:rPr>
          <w:rFonts w:cstheme="minorHAnsi"/>
          <w:sz w:val="21"/>
          <w:szCs w:val="21"/>
          <w:lang w:val="en-AU"/>
        </w:rPr>
        <w:t xml:space="preserve"> on </w:t>
      </w:r>
      <w:r w:rsidR="003511DB" w:rsidRPr="00BA23EC">
        <w:rPr>
          <w:rFonts w:cstheme="minorHAnsi"/>
          <w:sz w:val="21"/>
          <w:szCs w:val="21"/>
          <w:lang w:val="en-AU"/>
        </w:rPr>
        <w:t xml:space="preserve">closing the gaps in gender health outcomes, access, and quality of service, particularly in relation to maternal and child health services, sexual and reproductive health services, and nutrition; as well as working conditions for the largely female health workforce. </w:t>
      </w:r>
    </w:p>
    <w:p w14:paraId="760A0808" w14:textId="00C57112" w:rsidR="00455097" w:rsidRDefault="00011321" w:rsidP="00CA3142">
      <w:pPr>
        <w:tabs>
          <w:tab w:val="left" w:pos="284"/>
        </w:tabs>
        <w:suppressAutoHyphens w:val="0"/>
        <w:jc w:val="both"/>
        <w:rPr>
          <w:rFonts w:cstheme="minorHAnsi"/>
          <w:sz w:val="21"/>
          <w:szCs w:val="21"/>
          <w:lang w:val="en-AU"/>
        </w:rPr>
      </w:pPr>
      <w:r>
        <w:rPr>
          <w:rFonts w:cstheme="minorHAnsi"/>
          <w:sz w:val="21"/>
          <w:szCs w:val="21"/>
          <w:lang w:val="en-AU"/>
        </w:rPr>
        <w:t xml:space="preserve">A key focus of the </w:t>
      </w:r>
      <w:r w:rsidR="00E96BAD">
        <w:rPr>
          <w:rFonts w:cstheme="minorHAnsi"/>
          <w:sz w:val="21"/>
          <w:szCs w:val="21"/>
          <w:lang w:val="en-AU"/>
        </w:rPr>
        <w:t xml:space="preserve">HT-MDTF </w:t>
      </w:r>
      <w:r w:rsidR="005421D1">
        <w:rPr>
          <w:rFonts w:cstheme="minorHAnsi"/>
          <w:sz w:val="21"/>
          <w:szCs w:val="21"/>
          <w:lang w:val="en-AU"/>
        </w:rPr>
        <w:t>is to</w:t>
      </w:r>
      <w:r w:rsidR="00E96BAD">
        <w:rPr>
          <w:rFonts w:cstheme="minorHAnsi"/>
          <w:sz w:val="21"/>
          <w:szCs w:val="21"/>
          <w:lang w:val="en-AU"/>
        </w:rPr>
        <w:t xml:space="preserve"> ensure </w:t>
      </w:r>
      <w:r w:rsidR="005421D1">
        <w:rPr>
          <w:rFonts w:cstheme="minorHAnsi"/>
          <w:sz w:val="21"/>
          <w:szCs w:val="21"/>
          <w:lang w:val="en-AU"/>
        </w:rPr>
        <w:t xml:space="preserve">the operationalisation of </w:t>
      </w:r>
      <w:proofErr w:type="spellStart"/>
      <w:r w:rsidR="000276A7">
        <w:rPr>
          <w:rFonts w:cstheme="minorHAnsi"/>
          <w:sz w:val="21"/>
          <w:szCs w:val="21"/>
          <w:lang w:val="en-AU"/>
        </w:rPr>
        <w:t>GoI’s</w:t>
      </w:r>
      <w:proofErr w:type="spellEnd"/>
      <w:r w:rsidR="000276A7">
        <w:rPr>
          <w:rFonts w:cstheme="minorHAnsi"/>
          <w:sz w:val="21"/>
          <w:szCs w:val="21"/>
          <w:lang w:val="en-AU"/>
        </w:rPr>
        <w:t xml:space="preserve"> health reform agenda is gender-sensitive, d</w:t>
      </w:r>
      <w:r w:rsidR="000276A7" w:rsidRPr="001252BC">
        <w:rPr>
          <w:rFonts w:cstheme="minorHAnsi"/>
          <w:sz w:val="21"/>
          <w:szCs w:val="21"/>
          <w:lang w:val="en-AU"/>
        </w:rPr>
        <w:t xml:space="preserve">isability-inclusive </w:t>
      </w:r>
      <w:r w:rsidR="000276A7">
        <w:rPr>
          <w:rFonts w:cstheme="minorHAnsi"/>
          <w:sz w:val="21"/>
          <w:szCs w:val="21"/>
          <w:lang w:val="en-AU"/>
        </w:rPr>
        <w:t>an</w:t>
      </w:r>
      <w:r w:rsidR="00CA3142">
        <w:rPr>
          <w:rFonts w:cstheme="minorHAnsi"/>
          <w:sz w:val="21"/>
          <w:szCs w:val="21"/>
          <w:lang w:val="en-AU"/>
        </w:rPr>
        <w:t xml:space="preserve">d climate resilient in line with </w:t>
      </w:r>
      <w:r w:rsidR="001E5C72" w:rsidRPr="00BA23EC">
        <w:rPr>
          <w:rFonts w:cstheme="minorHAnsi"/>
          <w:sz w:val="21"/>
          <w:szCs w:val="21"/>
          <w:lang w:val="en-AU"/>
        </w:rPr>
        <w:t>DFAT’s Gender Equality and Empowerment Strategy,</w:t>
      </w:r>
      <w:r w:rsidR="00A75E7E" w:rsidRPr="00A75E7E">
        <w:t xml:space="preserve"> </w:t>
      </w:r>
      <w:r w:rsidR="00A75E7E" w:rsidRPr="00A75E7E">
        <w:rPr>
          <w:rFonts w:cstheme="minorHAnsi"/>
          <w:sz w:val="21"/>
          <w:szCs w:val="21"/>
          <w:lang w:val="en-AU"/>
        </w:rPr>
        <w:t>Development for All Strategy</w:t>
      </w:r>
      <w:r w:rsidR="00A75E7E">
        <w:rPr>
          <w:rFonts w:cstheme="minorHAnsi"/>
          <w:sz w:val="21"/>
          <w:szCs w:val="21"/>
          <w:lang w:val="en-AU"/>
        </w:rPr>
        <w:t xml:space="preserve"> and Climate Change Action strategy</w:t>
      </w:r>
      <w:r w:rsidR="00CA3142">
        <w:rPr>
          <w:rFonts w:cstheme="minorHAnsi"/>
          <w:sz w:val="21"/>
          <w:szCs w:val="21"/>
          <w:lang w:val="en-AU"/>
        </w:rPr>
        <w:t>.</w:t>
      </w:r>
      <w:r w:rsidR="00A75E7E">
        <w:rPr>
          <w:rFonts w:cstheme="minorHAnsi"/>
          <w:sz w:val="21"/>
          <w:szCs w:val="21"/>
          <w:lang w:val="en-AU"/>
        </w:rPr>
        <w:t xml:space="preserve"> </w:t>
      </w:r>
    </w:p>
    <w:p w14:paraId="52E8090A" w14:textId="65A6A030" w:rsidR="002D4DE7" w:rsidRPr="00BA23EC" w:rsidRDefault="00271FB6" w:rsidP="00271FB6">
      <w:pPr>
        <w:pStyle w:val="Heading2"/>
      </w:pPr>
      <w:bookmarkStart w:id="12" w:name="ProposedOutcomesandInvestmentOptions"/>
      <w:r>
        <w:t xml:space="preserve">D. </w:t>
      </w:r>
      <w:r w:rsidR="002D4DE7" w:rsidRPr="00BA23EC">
        <w:t>Proposed Outcomes and Investment Options</w:t>
      </w:r>
    </w:p>
    <w:bookmarkEnd w:id="12"/>
    <w:p w14:paraId="4C214F16" w14:textId="295E71F1" w:rsidR="00184E99" w:rsidRPr="001567F7" w:rsidRDefault="00184E99" w:rsidP="001252BC">
      <w:pPr>
        <w:pStyle w:val="BodyText"/>
        <w:jc w:val="both"/>
        <w:rPr>
          <w:rFonts w:cstheme="minorHAnsi"/>
          <w:bCs/>
          <w:sz w:val="21"/>
          <w:lang w:val="en-AU"/>
        </w:rPr>
      </w:pPr>
      <w:proofErr w:type="spellStart"/>
      <w:r w:rsidRPr="001567F7">
        <w:rPr>
          <w:rFonts w:cstheme="minorHAnsi"/>
          <w:bCs/>
          <w:sz w:val="21"/>
          <w:lang w:val="en-AU"/>
        </w:rPr>
        <w:t>GoI’s</w:t>
      </w:r>
      <w:proofErr w:type="spellEnd"/>
      <w:r w:rsidRPr="001567F7">
        <w:rPr>
          <w:rFonts w:cstheme="minorHAnsi"/>
          <w:bCs/>
          <w:sz w:val="21"/>
          <w:lang w:val="en-AU"/>
        </w:rPr>
        <w:t xml:space="preserve"> </w:t>
      </w:r>
      <w:r w:rsidR="001567F7">
        <w:rPr>
          <w:rFonts w:cstheme="minorHAnsi"/>
          <w:bCs/>
          <w:sz w:val="21"/>
          <w:lang w:val="en-AU"/>
        </w:rPr>
        <w:t>vision</w:t>
      </w:r>
      <w:r w:rsidRPr="001567F7">
        <w:rPr>
          <w:rFonts w:cstheme="minorHAnsi"/>
          <w:bCs/>
          <w:sz w:val="21"/>
          <w:lang w:val="en-AU"/>
        </w:rPr>
        <w:t xml:space="preserve"> </w:t>
      </w:r>
      <w:r w:rsidR="009C1380" w:rsidRPr="001567F7">
        <w:rPr>
          <w:rFonts w:cstheme="minorHAnsi"/>
          <w:bCs/>
          <w:sz w:val="21"/>
          <w:lang w:val="en-AU"/>
        </w:rPr>
        <w:t xml:space="preserve">is for </w:t>
      </w:r>
      <w:r w:rsidRPr="001567F7">
        <w:rPr>
          <w:rFonts w:cstheme="minorHAnsi"/>
          <w:bCs/>
          <w:sz w:val="21"/>
          <w:lang w:val="en-AU"/>
        </w:rPr>
        <w:t xml:space="preserve">“a healthy, productive, independent and just Indonesian people” </w:t>
      </w:r>
      <w:r w:rsidR="001567F7">
        <w:rPr>
          <w:rFonts w:cstheme="minorHAnsi"/>
          <w:bCs/>
          <w:sz w:val="21"/>
          <w:lang w:val="en-AU"/>
        </w:rPr>
        <w:t xml:space="preserve">that will be </w:t>
      </w:r>
      <w:r w:rsidRPr="001567F7">
        <w:rPr>
          <w:rFonts w:cstheme="minorHAnsi"/>
          <w:bCs/>
          <w:sz w:val="21"/>
          <w:lang w:val="en-AU"/>
        </w:rPr>
        <w:t>delivered through the six pillars of the Health System Transformation Agenda</w:t>
      </w:r>
      <w:r w:rsidR="001567F7" w:rsidRPr="001567F7">
        <w:rPr>
          <w:rFonts w:cstheme="minorHAnsi"/>
          <w:bCs/>
          <w:sz w:val="21"/>
          <w:lang w:val="en-AU"/>
        </w:rPr>
        <w:t>.</w:t>
      </w:r>
      <w:r w:rsidR="007810B6" w:rsidRPr="001567F7">
        <w:rPr>
          <w:rFonts w:cstheme="minorHAnsi"/>
          <w:bCs/>
          <w:sz w:val="21"/>
          <w:lang w:val="en-AU"/>
        </w:rPr>
        <w:t xml:space="preserve"> </w:t>
      </w:r>
    </w:p>
    <w:p w14:paraId="21933718" w14:textId="1F494F62" w:rsidR="00A75E7E" w:rsidRDefault="004323EB" w:rsidP="00A75E7E">
      <w:pPr>
        <w:pStyle w:val="BodyText"/>
        <w:jc w:val="both"/>
        <w:rPr>
          <w:rFonts w:cstheme="minorHAnsi"/>
          <w:bCs/>
          <w:sz w:val="21"/>
          <w:lang w:val="en-AU"/>
        </w:rPr>
      </w:pPr>
      <w:r w:rsidRPr="001252BC">
        <w:rPr>
          <w:rFonts w:cstheme="minorHAnsi"/>
          <w:b/>
          <w:bCs/>
          <w:sz w:val="21"/>
          <w:lang w:val="en-AU"/>
        </w:rPr>
        <w:t>The key objective of the HT-MDTF is</w:t>
      </w:r>
      <w:r w:rsidRPr="004504CE">
        <w:rPr>
          <w:rFonts w:cstheme="minorHAnsi"/>
          <w:b/>
          <w:bCs/>
          <w:sz w:val="21"/>
          <w:lang w:val="en-AU"/>
        </w:rPr>
        <w:t xml:space="preserve"> </w:t>
      </w:r>
      <w:r w:rsidRPr="001252BC">
        <w:rPr>
          <w:rFonts w:cstheme="minorHAnsi"/>
          <w:b/>
          <w:bCs/>
          <w:sz w:val="21"/>
          <w:lang w:val="en-AU"/>
        </w:rPr>
        <w:t xml:space="preserve">to </w:t>
      </w:r>
      <w:r w:rsidR="00B94BE3" w:rsidRPr="001252BC">
        <w:rPr>
          <w:rFonts w:cstheme="minorHAnsi"/>
          <w:b/>
          <w:bCs/>
          <w:sz w:val="21"/>
          <w:lang w:val="en-AU"/>
        </w:rPr>
        <w:t>contribute to and be a key enabler of the Indonesian MoH’s Health System Transformation Agenda to strengthen primary and secondary health care, health financing, technology, talent, and health system resilience</w:t>
      </w:r>
      <w:r w:rsidR="005A3B6E" w:rsidRPr="00BA23EC">
        <w:rPr>
          <w:rFonts w:cstheme="minorHAnsi"/>
          <w:b/>
          <w:sz w:val="21"/>
          <w:lang w:val="en-AU"/>
        </w:rPr>
        <w:t>.</w:t>
      </w:r>
      <w:r w:rsidR="00A75E7E">
        <w:rPr>
          <w:rFonts w:cstheme="minorHAnsi"/>
          <w:b/>
          <w:sz w:val="21"/>
          <w:lang w:val="en-AU"/>
        </w:rPr>
        <w:t xml:space="preserve"> </w:t>
      </w:r>
      <w:r w:rsidR="00A75E7E">
        <w:rPr>
          <w:rFonts w:cstheme="minorHAnsi"/>
          <w:bCs/>
          <w:sz w:val="21"/>
          <w:lang w:val="en-AU"/>
        </w:rPr>
        <w:t xml:space="preserve">Targeted HT-MDTF-facilitated analytics will build the reform management capacity and capability of the MoH ensuring the effective operationalisation of the health agenda.  </w:t>
      </w:r>
    </w:p>
    <w:p w14:paraId="2AAC354E" w14:textId="14FC20C2" w:rsidR="004323EB" w:rsidRPr="00BA23EC" w:rsidRDefault="004323EB" w:rsidP="004323EB">
      <w:pPr>
        <w:pStyle w:val="BodyText"/>
        <w:jc w:val="both"/>
        <w:rPr>
          <w:rFonts w:cstheme="minorHAnsi"/>
          <w:sz w:val="21"/>
          <w:lang w:val="en-AU"/>
        </w:rPr>
      </w:pPr>
      <w:r w:rsidRPr="00BA23EC">
        <w:rPr>
          <w:rFonts w:cstheme="minorHAnsi"/>
          <w:sz w:val="21"/>
          <w:lang w:val="en-AU"/>
        </w:rPr>
        <w:t>The three end-of-program outcomes (EOPO) for the HT-MDTF are:</w:t>
      </w:r>
    </w:p>
    <w:p w14:paraId="2B85A8C9" w14:textId="57C7F47B" w:rsidR="004323EB" w:rsidRPr="00BA23EC" w:rsidRDefault="004323EB" w:rsidP="004323EB">
      <w:pPr>
        <w:pStyle w:val="BodyText"/>
        <w:numPr>
          <w:ilvl w:val="0"/>
          <w:numId w:val="27"/>
        </w:numPr>
        <w:jc w:val="both"/>
        <w:rPr>
          <w:rFonts w:cstheme="minorHAnsi"/>
          <w:sz w:val="21"/>
          <w:lang w:val="en-AU"/>
        </w:rPr>
      </w:pPr>
      <w:r w:rsidRPr="00BA23EC">
        <w:rPr>
          <w:rFonts w:cstheme="minorHAnsi"/>
          <w:b/>
          <w:sz w:val="21"/>
          <w:lang w:val="en-AU"/>
        </w:rPr>
        <w:t>EOPO1</w:t>
      </w:r>
      <w:r w:rsidRPr="00BA23EC">
        <w:rPr>
          <w:rFonts w:cstheme="minorHAnsi"/>
          <w:sz w:val="21"/>
          <w:lang w:val="en-AU"/>
        </w:rPr>
        <w:t xml:space="preserve">: </w:t>
      </w:r>
      <w:r w:rsidR="00B94BE3" w:rsidRPr="00B94BE3">
        <w:rPr>
          <w:rFonts w:cstheme="minorHAnsi"/>
          <w:sz w:val="21"/>
          <w:lang w:val="en-AU"/>
        </w:rPr>
        <w:t xml:space="preserve">Health sector reforms are increasingly evidence-based and informed by relevant and credible </w:t>
      </w:r>
      <w:r w:rsidR="004504CE">
        <w:rPr>
          <w:rFonts w:cstheme="minorHAnsi"/>
          <w:sz w:val="21"/>
          <w:lang w:val="en-AU"/>
        </w:rPr>
        <w:t>HT-</w:t>
      </w:r>
      <w:r w:rsidR="00B94BE3" w:rsidRPr="00B94BE3">
        <w:rPr>
          <w:rFonts w:cstheme="minorHAnsi"/>
          <w:sz w:val="21"/>
          <w:lang w:val="en-AU"/>
        </w:rPr>
        <w:t>MDTF-supported analytics and policy dialogue</w:t>
      </w:r>
      <w:r w:rsidRPr="00BA23EC">
        <w:rPr>
          <w:rFonts w:cstheme="minorHAnsi"/>
          <w:sz w:val="21"/>
          <w:lang w:val="en-AU"/>
        </w:rPr>
        <w:t>.</w:t>
      </w:r>
    </w:p>
    <w:p w14:paraId="41A8EA61" w14:textId="7069999B" w:rsidR="004323EB" w:rsidRPr="00BA23EC" w:rsidRDefault="004323EB" w:rsidP="004323EB">
      <w:pPr>
        <w:pStyle w:val="BodyText"/>
        <w:numPr>
          <w:ilvl w:val="0"/>
          <w:numId w:val="27"/>
        </w:numPr>
        <w:jc w:val="both"/>
        <w:rPr>
          <w:rFonts w:cstheme="minorHAnsi"/>
          <w:sz w:val="21"/>
          <w:lang w:val="en-AU"/>
        </w:rPr>
      </w:pPr>
      <w:r w:rsidRPr="00BA23EC">
        <w:rPr>
          <w:rFonts w:cstheme="minorHAnsi"/>
          <w:b/>
          <w:sz w:val="21"/>
          <w:lang w:val="en-AU"/>
        </w:rPr>
        <w:t>EOPO2</w:t>
      </w:r>
      <w:r w:rsidRPr="00BA23EC">
        <w:rPr>
          <w:rFonts w:cstheme="minorHAnsi"/>
          <w:sz w:val="21"/>
          <w:lang w:val="en-AU"/>
        </w:rPr>
        <w:t xml:space="preserve">: </w:t>
      </w:r>
      <w:r w:rsidR="00B94BE3" w:rsidRPr="00B94BE3">
        <w:rPr>
          <w:rFonts w:cstheme="minorHAnsi"/>
          <w:sz w:val="21"/>
          <w:lang w:val="en-AU"/>
        </w:rPr>
        <w:t xml:space="preserve">Health sector reforms are informed by </w:t>
      </w:r>
      <w:r w:rsidR="004504CE">
        <w:rPr>
          <w:rFonts w:cstheme="minorHAnsi"/>
          <w:sz w:val="21"/>
          <w:lang w:val="en-AU"/>
        </w:rPr>
        <w:t>HT-</w:t>
      </w:r>
      <w:r w:rsidR="00B94BE3" w:rsidRPr="00B94BE3">
        <w:rPr>
          <w:rFonts w:cstheme="minorHAnsi"/>
          <w:sz w:val="21"/>
          <w:lang w:val="en-AU"/>
        </w:rPr>
        <w:t>MDTF-supported analytics and technical assistance that pay particular attention to addressing inequalities for women and girls, people with disabilities, and climate resilience</w:t>
      </w:r>
      <w:r w:rsidRPr="00BA23EC">
        <w:rPr>
          <w:rFonts w:cstheme="minorHAnsi"/>
          <w:sz w:val="21"/>
          <w:lang w:val="en-AU"/>
        </w:rPr>
        <w:t xml:space="preserve">. </w:t>
      </w:r>
    </w:p>
    <w:p w14:paraId="08347065" w14:textId="035CB839" w:rsidR="004323EB" w:rsidRPr="00BA23EC" w:rsidRDefault="004323EB" w:rsidP="004323EB">
      <w:pPr>
        <w:pStyle w:val="BodyText"/>
        <w:numPr>
          <w:ilvl w:val="0"/>
          <w:numId w:val="27"/>
        </w:numPr>
        <w:jc w:val="both"/>
        <w:rPr>
          <w:rFonts w:cstheme="minorHAnsi"/>
          <w:sz w:val="21"/>
          <w:lang w:val="en-AU"/>
        </w:rPr>
      </w:pPr>
      <w:r w:rsidRPr="00BA23EC">
        <w:rPr>
          <w:rFonts w:cstheme="minorHAnsi"/>
          <w:b/>
          <w:sz w:val="21"/>
          <w:lang w:val="en-AU"/>
        </w:rPr>
        <w:t>EOPO3</w:t>
      </w:r>
      <w:r w:rsidRPr="00BA23EC">
        <w:rPr>
          <w:rFonts w:cstheme="minorHAnsi"/>
          <w:sz w:val="21"/>
          <w:lang w:val="en-AU"/>
        </w:rPr>
        <w:t xml:space="preserve">: </w:t>
      </w:r>
      <w:r w:rsidR="00B94BE3" w:rsidRPr="00B94BE3">
        <w:rPr>
          <w:rFonts w:cstheme="minorHAnsi"/>
          <w:sz w:val="21"/>
          <w:lang w:val="en-AU"/>
        </w:rPr>
        <w:t>The Health System Transformation Agenda informs and is reflected in the Government of Indonesia’s National Medium-Term Development Plan (RPJMN</w:t>
      </w:r>
      <w:r w:rsidR="00B7435D" w:rsidRPr="00B94BE3">
        <w:rPr>
          <w:rFonts w:cstheme="minorHAnsi"/>
          <w:sz w:val="21"/>
          <w:lang w:val="en-AU"/>
        </w:rPr>
        <w:t>) and</w:t>
      </w:r>
      <w:r w:rsidR="00B94BE3" w:rsidRPr="00B94BE3">
        <w:rPr>
          <w:rFonts w:cstheme="minorHAnsi"/>
          <w:sz w:val="21"/>
          <w:lang w:val="en-AU"/>
        </w:rPr>
        <w:t xml:space="preserve"> is adequately planned and resourced</w:t>
      </w:r>
      <w:r w:rsidRPr="00BA23EC">
        <w:rPr>
          <w:rFonts w:cstheme="minorHAnsi"/>
          <w:sz w:val="21"/>
          <w:lang w:val="en-AU"/>
        </w:rPr>
        <w:t>.</w:t>
      </w:r>
    </w:p>
    <w:p w14:paraId="2263283E" w14:textId="2570789F" w:rsidR="002061A5" w:rsidRDefault="002061A5" w:rsidP="00995A0E">
      <w:pPr>
        <w:pStyle w:val="BodyText"/>
        <w:jc w:val="both"/>
        <w:rPr>
          <w:rFonts w:cstheme="minorHAnsi"/>
          <w:sz w:val="21"/>
          <w:szCs w:val="21"/>
          <w:lang w:val="en-AU"/>
        </w:rPr>
      </w:pPr>
      <w:r>
        <w:rPr>
          <w:rFonts w:cstheme="minorHAnsi"/>
          <w:sz w:val="21"/>
          <w:szCs w:val="21"/>
          <w:lang w:val="en-AU"/>
        </w:rPr>
        <w:t xml:space="preserve">EOPO1 </w:t>
      </w:r>
      <w:r w:rsidR="004754BF">
        <w:rPr>
          <w:rFonts w:cstheme="minorHAnsi"/>
          <w:sz w:val="21"/>
          <w:szCs w:val="21"/>
          <w:lang w:val="en-AU"/>
        </w:rPr>
        <w:t>prioritises</w:t>
      </w:r>
      <w:r>
        <w:rPr>
          <w:rFonts w:cstheme="minorHAnsi"/>
          <w:sz w:val="21"/>
          <w:szCs w:val="21"/>
          <w:lang w:val="en-AU"/>
        </w:rPr>
        <w:t xml:space="preserve"> the application of high-quality, evidence-based, relevant, and credible, analysis and advice </w:t>
      </w:r>
      <w:r w:rsidR="00B7435D">
        <w:rPr>
          <w:rFonts w:cstheme="minorHAnsi"/>
          <w:sz w:val="21"/>
          <w:szCs w:val="21"/>
          <w:lang w:val="en-AU"/>
        </w:rPr>
        <w:t>that will underpin</w:t>
      </w:r>
      <w:r>
        <w:rPr>
          <w:rFonts w:cstheme="minorHAnsi"/>
          <w:sz w:val="21"/>
          <w:szCs w:val="21"/>
          <w:lang w:val="en-AU"/>
        </w:rPr>
        <w:t xml:space="preserve"> MoH’s implementation efforts</w:t>
      </w:r>
      <w:r w:rsidR="00C13BD5">
        <w:rPr>
          <w:rFonts w:cstheme="minorHAnsi"/>
          <w:sz w:val="21"/>
          <w:szCs w:val="21"/>
          <w:lang w:val="en-AU"/>
        </w:rPr>
        <w:t xml:space="preserve"> on health reform</w:t>
      </w:r>
      <w:r w:rsidR="00B7435D">
        <w:rPr>
          <w:rFonts w:cstheme="minorHAnsi"/>
          <w:sz w:val="21"/>
          <w:szCs w:val="21"/>
          <w:lang w:val="en-AU"/>
        </w:rPr>
        <w:t>.</w:t>
      </w:r>
    </w:p>
    <w:p w14:paraId="13A883A0" w14:textId="6B18B47D" w:rsidR="00421794" w:rsidRDefault="002061A5" w:rsidP="00995A0E">
      <w:pPr>
        <w:pStyle w:val="BodyText"/>
        <w:jc w:val="both"/>
        <w:rPr>
          <w:rFonts w:cstheme="minorHAnsi"/>
          <w:sz w:val="21"/>
          <w:szCs w:val="21"/>
          <w:lang w:val="en-AU"/>
        </w:rPr>
      </w:pPr>
      <w:r>
        <w:rPr>
          <w:rFonts w:cstheme="minorHAnsi"/>
          <w:sz w:val="21"/>
          <w:szCs w:val="21"/>
          <w:lang w:val="en-AU"/>
        </w:rPr>
        <w:t xml:space="preserve">EOPO2 prioritises the embedding of </w:t>
      </w:r>
      <w:r w:rsidR="009E6388">
        <w:rPr>
          <w:rFonts w:cstheme="minorHAnsi"/>
          <w:sz w:val="21"/>
          <w:szCs w:val="21"/>
          <w:lang w:val="en-AU"/>
        </w:rPr>
        <w:t>gender equality, disability inclusion and climate resilience</w:t>
      </w:r>
      <w:r>
        <w:rPr>
          <w:rFonts w:cstheme="minorHAnsi"/>
          <w:sz w:val="21"/>
          <w:szCs w:val="21"/>
          <w:lang w:val="en-AU"/>
        </w:rPr>
        <w:t>, and consideration of the i</w:t>
      </w:r>
      <w:r w:rsidR="009E6388">
        <w:rPr>
          <w:rFonts w:cstheme="minorHAnsi"/>
          <w:sz w:val="21"/>
          <w:szCs w:val="21"/>
          <w:lang w:val="en-AU"/>
        </w:rPr>
        <w:t>nter- and cross- intersectional of these aspects</w:t>
      </w:r>
      <w:r w:rsidR="00B7435D">
        <w:rPr>
          <w:rFonts w:cstheme="minorHAnsi"/>
          <w:sz w:val="21"/>
          <w:szCs w:val="21"/>
          <w:lang w:val="en-AU"/>
        </w:rPr>
        <w:t xml:space="preserve"> in the </w:t>
      </w:r>
      <w:r w:rsidR="009E6388">
        <w:rPr>
          <w:rFonts w:cstheme="minorHAnsi"/>
          <w:sz w:val="21"/>
          <w:szCs w:val="21"/>
          <w:lang w:val="en-AU"/>
        </w:rPr>
        <w:t>implementation of health programs, projects, and pilots</w:t>
      </w:r>
      <w:r w:rsidR="00421794">
        <w:rPr>
          <w:rFonts w:cstheme="minorHAnsi"/>
          <w:sz w:val="21"/>
          <w:szCs w:val="21"/>
          <w:lang w:val="en-AU"/>
        </w:rPr>
        <w:t>.</w:t>
      </w:r>
    </w:p>
    <w:p w14:paraId="48E29D09" w14:textId="7EB87F58" w:rsidR="002061A5" w:rsidRDefault="002061A5" w:rsidP="00995A0E">
      <w:pPr>
        <w:pStyle w:val="BodyText"/>
        <w:jc w:val="both"/>
        <w:rPr>
          <w:rFonts w:eastAsia="Times New Roman" w:cstheme="minorHAnsi"/>
          <w:sz w:val="21"/>
          <w:szCs w:val="21"/>
          <w:lang w:val="en-AU" w:eastAsia="en-AU"/>
        </w:rPr>
      </w:pPr>
      <w:r>
        <w:rPr>
          <w:rFonts w:eastAsia="Times New Roman" w:cstheme="minorHAnsi"/>
          <w:sz w:val="21"/>
          <w:szCs w:val="21"/>
          <w:lang w:val="en-AU" w:eastAsia="en-AU"/>
        </w:rPr>
        <w:t xml:space="preserve">EOPO3 </w:t>
      </w:r>
      <w:r w:rsidR="00C13BD5">
        <w:rPr>
          <w:rFonts w:eastAsia="Times New Roman" w:cstheme="minorHAnsi"/>
          <w:sz w:val="21"/>
          <w:szCs w:val="21"/>
          <w:lang w:val="en-AU" w:eastAsia="en-AU"/>
        </w:rPr>
        <w:t>prioritises the success of</w:t>
      </w:r>
      <w:r>
        <w:rPr>
          <w:rFonts w:eastAsia="Times New Roman" w:cstheme="minorHAnsi"/>
          <w:sz w:val="21"/>
          <w:szCs w:val="21"/>
          <w:lang w:val="en-AU" w:eastAsia="en-AU"/>
        </w:rPr>
        <w:t xml:space="preserve"> </w:t>
      </w:r>
      <w:r w:rsidR="00C13BD5">
        <w:rPr>
          <w:rFonts w:eastAsia="Times New Roman" w:cstheme="minorHAnsi"/>
          <w:sz w:val="21"/>
          <w:szCs w:val="21"/>
          <w:lang w:val="en-AU" w:eastAsia="en-AU"/>
        </w:rPr>
        <w:t xml:space="preserve">MoH’s reform management </w:t>
      </w:r>
      <w:r w:rsidR="00600AF0">
        <w:rPr>
          <w:rFonts w:eastAsia="Times New Roman" w:cstheme="minorHAnsi"/>
          <w:sz w:val="21"/>
          <w:szCs w:val="21"/>
          <w:lang w:val="en-AU" w:eastAsia="en-AU"/>
        </w:rPr>
        <w:t>processes</w:t>
      </w:r>
      <w:r w:rsidR="004657EE">
        <w:rPr>
          <w:rFonts w:eastAsia="Times New Roman" w:cstheme="minorHAnsi"/>
          <w:sz w:val="21"/>
          <w:szCs w:val="21"/>
          <w:lang w:val="en-AU" w:eastAsia="en-AU"/>
        </w:rPr>
        <w:t xml:space="preserve">, </w:t>
      </w:r>
      <w:r w:rsidR="00C13BD5">
        <w:rPr>
          <w:rFonts w:eastAsia="Times New Roman" w:cstheme="minorHAnsi"/>
          <w:sz w:val="21"/>
          <w:szCs w:val="21"/>
          <w:lang w:val="en-AU" w:eastAsia="en-AU"/>
        </w:rPr>
        <w:t xml:space="preserve">resulting in the embedding of </w:t>
      </w:r>
      <w:proofErr w:type="spellStart"/>
      <w:r w:rsidR="00C13BD5">
        <w:rPr>
          <w:rFonts w:eastAsia="Times New Roman" w:cstheme="minorHAnsi"/>
          <w:sz w:val="21"/>
          <w:szCs w:val="21"/>
          <w:lang w:val="en-AU" w:eastAsia="en-AU"/>
        </w:rPr>
        <w:t>GoI’s</w:t>
      </w:r>
      <w:proofErr w:type="spellEnd"/>
      <w:r w:rsidR="00C13BD5">
        <w:rPr>
          <w:rFonts w:eastAsia="Times New Roman" w:cstheme="minorHAnsi"/>
          <w:sz w:val="21"/>
          <w:szCs w:val="21"/>
          <w:lang w:val="en-AU" w:eastAsia="en-AU"/>
        </w:rPr>
        <w:t xml:space="preserve"> health agenda in </w:t>
      </w:r>
      <w:r>
        <w:rPr>
          <w:rFonts w:eastAsia="Times New Roman" w:cstheme="minorHAnsi"/>
          <w:sz w:val="21"/>
          <w:szCs w:val="21"/>
          <w:lang w:val="en-AU" w:eastAsia="en-AU"/>
        </w:rPr>
        <w:t>development planning and budget</w:t>
      </w:r>
      <w:r w:rsidR="00C13BD5">
        <w:rPr>
          <w:rFonts w:eastAsia="Times New Roman" w:cstheme="minorHAnsi"/>
          <w:sz w:val="21"/>
          <w:szCs w:val="21"/>
          <w:lang w:val="en-AU" w:eastAsia="en-AU"/>
        </w:rPr>
        <w:t>ing.</w:t>
      </w:r>
    </w:p>
    <w:p w14:paraId="489F1656" w14:textId="03328D7E" w:rsidR="004754BF" w:rsidRDefault="004754BF" w:rsidP="004754BF">
      <w:pPr>
        <w:pStyle w:val="BodyText"/>
        <w:jc w:val="both"/>
        <w:rPr>
          <w:rFonts w:cstheme="minorHAnsi"/>
          <w:sz w:val="21"/>
          <w:szCs w:val="21"/>
          <w:lang w:val="en-AU"/>
        </w:rPr>
      </w:pPr>
      <w:r w:rsidRPr="00B94BE3">
        <w:rPr>
          <w:rFonts w:cstheme="minorHAnsi"/>
          <w:sz w:val="21"/>
          <w:szCs w:val="21"/>
          <w:lang w:val="en-AU"/>
        </w:rPr>
        <w:t>Quality assurance, including adhering to fiduciary,</w:t>
      </w:r>
      <w:r>
        <w:rPr>
          <w:rFonts w:cstheme="minorHAnsi"/>
          <w:sz w:val="21"/>
          <w:szCs w:val="21"/>
          <w:lang w:val="en-AU"/>
        </w:rPr>
        <w:t xml:space="preserve"> </w:t>
      </w:r>
      <w:r w:rsidRPr="00B94BE3">
        <w:rPr>
          <w:rFonts w:cstheme="minorHAnsi"/>
          <w:sz w:val="21"/>
          <w:szCs w:val="21"/>
          <w:lang w:val="en-AU"/>
        </w:rPr>
        <w:t>procurement</w:t>
      </w:r>
      <w:r>
        <w:rPr>
          <w:rFonts w:cstheme="minorHAnsi"/>
          <w:sz w:val="21"/>
          <w:szCs w:val="21"/>
          <w:lang w:val="en-AU"/>
        </w:rPr>
        <w:t>,</w:t>
      </w:r>
      <w:r w:rsidRPr="00B94BE3">
        <w:rPr>
          <w:rFonts w:cstheme="minorHAnsi"/>
          <w:sz w:val="21"/>
          <w:szCs w:val="21"/>
          <w:lang w:val="en-AU"/>
        </w:rPr>
        <w:t xml:space="preserve"> environmental and social safeguards standards, gender, disability, inclusivity, climate, and citizen engagement </w:t>
      </w:r>
      <w:r>
        <w:rPr>
          <w:rFonts w:cstheme="minorHAnsi"/>
          <w:sz w:val="21"/>
          <w:szCs w:val="21"/>
          <w:lang w:val="en-AU"/>
        </w:rPr>
        <w:t>will also be mainstreamed across all HT-MDTF activities. As a World Bank corporate priority, c</w:t>
      </w:r>
      <w:r w:rsidRPr="004754BF">
        <w:rPr>
          <w:rFonts w:cstheme="minorHAnsi"/>
          <w:sz w:val="21"/>
          <w:szCs w:val="21"/>
          <w:lang w:val="en-AU"/>
        </w:rPr>
        <w:t>itizen engagement</w:t>
      </w:r>
      <w:r>
        <w:rPr>
          <w:rFonts w:cstheme="minorHAnsi"/>
          <w:sz w:val="21"/>
          <w:szCs w:val="21"/>
          <w:lang w:val="en-AU"/>
        </w:rPr>
        <w:t xml:space="preserve"> will </w:t>
      </w:r>
      <w:r w:rsidR="004657EE">
        <w:rPr>
          <w:rFonts w:cstheme="minorHAnsi"/>
          <w:sz w:val="21"/>
          <w:szCs w:val="21"/>
          <w:lang w:val="en-AU"/>
        </w:rPr>
        <w:t xml:space="preserve">involve </w:t>
      </w:r>
      <w:r>
        <w:rPr>
          <w:rFonts w:cstheme="minorHAnsi"/>
          <w:sz w:val="21"/>
          <w:szCs w:val="21"/>
          <w:lang w:val="en-AU"/>
        </w:rPr>
        <w:t xml:space="preserve">consultations with communities and </w:t>
      </w:r>
      <w:r w:rsidRPr="004754BF">
        <w:rPr>
          <w:rFonts w:cstheme="minorHAnsi"/>
          <w:sz w:val="21"/>
          <w:szCs w:val="21"/>
          <w:lang w:val="en-AU"/>
        </w:rPr>
        <w:t>civil society organi</w:t>
      </w:r>
      <w:r>
        <w:rPr>
          <w:rFonts w:cstheme="minorHAnsi"/>
          <w:sz w:val="21"/>
          <w:szCs w:val="21"/>
          <w:lang w:val="en-AU"/>
        </w:rPr>
        <w:t>s</w:t>
      </w:r>
      <w:r w:rsidRPr="004754BF">
        <w:rPr>
          <w:rFonts w:cstheme="minorHAnsi"/>
          <w:sz w:val="21"/>
          <w:szCs w:val="21"/>
          <w:lang w:val="en-AU"/>
        </w:rPr>
        <w:t>ations</w:t>
      </w:r>
      <w:r>
        <w:rPr>
          <w:rFonts w:cstheme="minorHAnsi"/>
          <w:sz w:val="21"/>
          <w:szCs w:val="21"/>
          <w:lang w:val="en-AU"/>
        </w:rPr>
        <w:t xml:space="preserve">, including </w:t>
      </w:r>
      <w:r w:rsidRPr="004754BF">
        <w:rPr>
          <w:rFonts w:cstheme="minorHAnsi"/>
          <w:sz w:val="21"/>
          <w:szCs w:val="21"/>
          <w:lang w:val="en-AU"/>
        </w:rPr>
        <w:t>organi</w:t>
      </w:r>
      <w:r w:rsidR="004657EE">
        <w:rPr>
          <w:rFonts w:cstheme="minorHAnsi"/>
          <w:sz w:val="21"/>
          <w:szCs w:val="21"/>
          <w:lang w:val="en-AU"/>
        </w:rPr>
        <w:t>s</w:t>
      </w:r>
      <w:r w:rsidRPr="004754BF">
        <w:rPr>
          <w:rFonts w:cstheme="minorHAnsi"/>
          <w:sz w:val="21"/>
          <w:szCs w:val="21"/>
          <w:lang w:val="en-AU"/>
        </w:rPr>
        <w:t>ations of persons with disabilities</w:t>
      </w:r>
      <w:r>
        <w:rPr>
          <w:rFonts w:cstheme="minorHAnsi"/>
          <w:sz w:val="21"/>
          <w:szCs w:val="21"/>
          <w:lang w:val="en-AU"/>
        </w:rPr>
        <w:t xml:space="preserve">. </w:t>
      </w:r>
    </w:p>
    <w:p w14:paraId="67A8F345" w14:textId="7465B0FE" w:rsidR="00836B94" w:rsidRPr="00BA23EC" w:rsidRDefault="009810E0" w:rsidP="001252BC">
      <w:pPr>
        <w:pStyle w:val="BodyText"/>
        <w:jc w:val="both"/>
        <w:rPr>
          <w:rFonts w:cstheme="minorHAnsi"/>
          <w:sz w:val="21"/>
          <w:lang w:val="en-AU"/>
        </w:rPr>
      </w:pPr>
      <w:r>
        <w:rPr>
          <w:rFonts w:eastAsia="Times New Roman" w:cstheme="minorHAnsi"/>
          <w:sz w:val="21"/>
          <w:szCs w:val="21"/>
          <w:lang w:val="en-AU" w:eastAsia="en-AU"/>
        </w:rPr>
        <w:t xml:space="preserve">As </w:t>
      </w:r>
      <w:r w:rsidR="00BF1855">
        <w:rPr>
          <w:rFonts w:eastAsia="Times New Roman" w:cstheme="minorHAnsi"/>
          <w:sz w:val="21"/>
          <w:szCs w:val="21"/>
          <w:lang w:val="en-AU" w:eastAsia="en-AU"/>
        </w:rPr>
        <w:t xml:space="preserve">one party to this </w:t>
      </w:r>
      <w:r>
        <w:rPr>
          <w:rFonts w:eastAsia="Times New Roman" w:cstheme="minorHAnsi"/>
          <w:sz w:val="21"/>
          <w:szCs w:val="21"/>
          <w:lang w:val="en-AU" w:eastAsia="en-AU"/>
        </w:rPr>
        <w:t xml:space="preserve">multi-donor trust fund </w:t>
      </w:r>
      <w:r w:rsidR="009C2EDA">
        <w:rPr>
          <w:rFonts w:eastAsia="Times New Roman" w:cstheme="minorHAnsi"/>
          <w:sz w:val="21"/>
          <w:szCs w:val="21"/>
          <w:lang w:val="en-AU" w:eastAsia="en-AU"/>
        </w:rPr>
        <w:t>DFAT</w:t>
      </w:r>
      <w:r w:rsidR="002061A5" w:rsidRPr="00BA23EC">
        <w:rPr>
          <w:rFonts w:eastAsia="Times New Roman" w:cstheme="minorHAnsi"/>
          <w:sz w:val="21"/>
          <w:szCs w:val="21"/>
          <w:lang w:val="en-AU" w:eastAsia="en-AU"/>
        </w:rPr>
        <w:t xml:space="preserve"> recognises that </w:t>
      </w:r>
      <w:r w:rsidR="00BC0234">
        <w:rPr>
          <w:rFonts w:eastAsia="Times New Roman" w:cstheme="minorHAnsi"/>
          <w:sz w:val="21"/>
          <w:szCs w:val="21"/>
          <w:lang w:val="en-AU" w:eastAsia="en-AU"/>
        </w:rPr>
        <w:t xml:space="preserve">program </w:t>
      </w:r>
      <w:r w:rsidR="002061A5" w:rsidRPr="00BA23EC">
        <w:rPr>
          <w:rFonts w:eastAsia="Times New Roman" w:cstheme="minorHAnsi"/>
          <w:sz w:val="21"/>
          <w:szCs w:val="21"/>
          <w:lang w:val="en-AU" w:eastAsia="en-AU"/>
        </w:rPr>
        <w:t xml:space="preserve">outcomes will only be achieved working alongside other </w:t>
      </w:r>
      <w:r w:rsidR="00C21985">
        <w:rPr>
          <w:rFonts w:eastAsia="Times New Roman" w:cstheme="minorHAnsi"/>
          <w:sz w:val="21"/>
          <w:szCs w:val="21"/>
          <w:lang w:val="en-AU" w:eastAsia="en-AU"/>
        </w:rPr>
        <w:t>partners</w:t>
      </w:r>
      <w:r w:rsidR="002061A5" w:rsidRPr="00BA23EC">
        <w:rPr>
          <w:rFonts w:eastAsia="Times New Roman" w:cstheme="minorHAnsi"/>
          <w:sz w:val="21"/>
          <w:szCs w:val="21"/>
          <w:lang w:val="en-AU" w:eastAsia="en-AU"/>
        </w:rPr>
        <w:t xml:space="preserve">. </w:t>
      </w:r>
      <w:r w:rsidR="004754BF">
        <w:rPr>
          <w:rFonts w:cstheme="minorHAnsi"/>
          <w:sz w:val="21"/>
          <w:lang w:val="en-AU"/>
        </w:rPr>
        <w:t>The</w:t>
      </w:r>
      <w:r w:rsidR="009C2EDA">
        <w:rPr>
          <w:rFonts w:cstheme="minorHAnsi"/>
          <w:sz w:val="21"/>
          <w:lang w:val="en-AU"/>
        </w:rPr>
        <w:t xml:space="preserve"> </w:t>
      </w:r>
      <w:r w:rsidR="004754BF">
        <w:rPr>
          <w:rFonts w:cstheme="minorHAnsi"/>
          <w:sz w:val="21"/>
          <w:lang w:val="en-AU"/>
        </w:rPr>
        <w:t xml:space="preserve">objectives will </w:t>
      </w:r>
      <w:r w:rsidR="00D61085">
        <w:rPr>
          <w:rFonts w:cstheme="minorHAnsi"/>
          <w:sz w:val="21"/>
          <w:lang w:val="en-AU"/>
        </w:rPr>
        <w:t xml:space="preserve">be </w:t>
      </w:r>
      <w:r w:rsidR="00836B94">
        <w:rPr>
          <w:rFonts w:cstheme="minorHAnsi"/>
          <w:sz w:val="21"/>
          <w:lang w:val="en-AU"/>
        </w:rPr>
        <w:t xml:space="preserve">delivered through </w:t>
      </w:r>
      <w:r w:rsidR="00CE17CD">
        <w:rPr>
          <w:rFonts w:cstheme="minorHAnsi"/>
          <w:sz w:val="21"/>
          <w:lang w:val="en-AU"/>
        </w:rPr>
        <w:t xml:space="preserve">a partnership approach that </w:t>
      </w:r>
      <w:r w:rsidR="00836B94">
        <w:rPr>
          <w:rFonts w:cstheme="minorHAnsi"/>
          <w:sz w:val="21"/>
          <w:lang w:val="en-AU"/>
        </w:rPr>
        <w:t>combine</w:t>
      </w:r>
      <w:r w:rsidR="00CE17CD">
        <w:rPr>
          <w:rFonts w:cstheme="minorHAnsi"/>
          <w:sz w:val="21"/>
          <w:lang w:val="en-AU"/>
        </w:rPr>
        <w:t>s the</w:t>
      </w:r>
      <w:r w:rsidR="00836B94">
        <w:rPr>
          <w:rFonts w:cstheme="minorHAnsi"/>
          <w:sz w:val="21"/>
          <w:lang w:val="en-AU"/>
        </w:rPr>
        <w:t xml:space="preserve"> efforts of Partnership Council</w:t>
      </w:r>
      <w:r w:rsidR="00CE17CD">
        <w:rPr>
          <w:rFonts w:cstheme="minorHAnsi"/>
          <w:sz w:val="21"/>
          <w:lang w:val="en-AU"/>
        </w:rPr>
        <w:t xml:space="preserve"> members</w:t>
      </w:r>
      <w:r w:rsidR="00836B94">
        <w:rPr>
          <w:rFonts w:cstheme="minorHAnsi"/>
          <w:sz w:val="21"/>
          <w:lang w:val="en-AU"/>
        </w:rPr>
        <w:t>, the MoH (through the MDTF Secretariat as the convening body of the MoH Directorate Generals), and the World Bank</w:t>
      </w:r>
      <w:r w:rsidR="00CE17CD">
        <w:rPr>
          <w:rFonts w:cstheme="minorHAnsi"/>
          <w:sz w:val="21"/>
          <w:lang w:val="en-AU"/>
        </w:rPr>
        <w:t>.</w:t>
      </w:r>
      <w:r w:rsidR="00FD2736">
        <w:rPr>
          <w:rFonts w:cstheme="minorHAnsi"/>
          <w:sz w:val="21"/>
          <w:lang w:val="en-AU"/>
        </w:rPr>
        <w:t xml:space="preserve"> </w:t>
      </w:r>
      <w:r w:rsidR="001939ED">
        <w:rPr>
          <w:rFonts w:cstheme="minorHAnsi"/>
          <w:sz w:val="21"/>
          <w:lang w:val="en-AU"/>
        </w:rPr>
        <w:t>DFAT’</w:t>
      </w:r>
      <w:r w:rsidR="00846D16">
        <w:rPr>
          <w:rFonts w:cstheme="minorHAnsi"/>
          <w:sz w:val="21"/>
          <w:lang w:val="en-AU"/>
        </w:rPr>
        <w:t>s</w:t>
      </w:r>
      <w:r w:rsidR="001939ED">
        <w:rPr>
          <w:rFonts w:cstheme="minorHAnsi"/>
          <w:sz w:val="21"/>
          <w:lang w:val="en-AU"/>
        </w:rPr>
        <w:t xml:space="preserve"> policy dialogue and </w:t>
      </w:r>
      <w:r w:rsidR="001939ED">
        <w:rPr>
          <w:rFonts w:cstheme="minorHAnsi"/>
          <w:sz w:val="21"/>
          <w:lang w:val="en-AU"/>
        </w:rPr>
        <w:lastRenderedPageBreak/>
        <w:t xml:space="preserve">partnership engagement will </w:t>
      </w:r>
      <w:r w:rsidR="00846D16">
        <w:rPr>
          <w:rFonts w:cstheme="minorHAnsi"/>
          <w:sz w:val="21"/>
          <w:lang w:val="en-AU"/>
        </w:rPr>
        <w:t xml:space="preserve">therefore </w:t>
      </w:r>
      <w:r w:rsidR="00B9188E">
        <w:rPr>
          <w:rFonts w:cstheme="minorHAnsi"/>
          <w:sz w:val="21"/>
          <w:lang w:val="en-AU"/>
        </w:rPr>
        <w:t>provide the</w:t>
      </w:r>
      <w:r w:rsidR="001939ED">
        <w:rPr>
          <w:rFonts w:cstheme="minorHAnsi"/>
          <w:sz w:val="21"/>
          <w:lang w:val="en-AU"/>
        </w:rPr>
        <w:t xml:space="preserve"> key </w:t>
      </w:r>
      <w:r w:rsidR="00846D16">
        <w:rPr>
          <w:rFonts w:cstheme="minorHAnsi"/>
          <w:sz w:val="21"/>
          <w:lang w:val="en-AU"/>
        </w:rPr>
        <w:t>opportunity</w:t>
      </w:r>
      <w:r w:rsidR="00B9188E">
        <w:rPr>
          <w:rFonts w:cstheme="minorHAnsi"/>
          <w:sz w:val="21"/>
          <w:lang w:val="en-AU"/>
        </w:rPr>
        <w:t xml:space="preserve"> to in</w:t>
      </w:r>
      <w:r w:rsidR="001939ED">
        <w:rPr>
          <w:rFonts w:cstheme="minorHAnsi"/>
          <w:sz w:val="21"/>
          <w:lang w:val="en-AU"/>
        </w:rPr>
        <w:t>fluenc</w:t>
      </w:r>
      <w:r w:rsidR="00B9188E">
        <w:rPr>
          <w:rFonts w:cstheme="minorHAnsi"/>
          <w:sz w:val="21"/>
          <w:lang w:val="en-AU"/>
        </w:rPr>
        <w:t>e</w:t>
      </w:r>
      <w:r w:rsidR="001939ED">
        <w:rPr>
          <w:rFonts w:cstheme="minorHAnsi"/>
          <w:sz w:val="21"/>
          <w:lang w:val="en-AU"/>
        </w:rPr>
        <w:t xml:space="preserve"> the direction and approach of the HT-MDTF. </w:t>
      </w:r>
      <w:r w:rsidR="00D61085">
        <w:rPr>
          <w:rFonts w:cstheme="minorHAnsi"/>
          <w:sz w:val="21"/>
          <w:lang w:val="en-AU"/>
        </w:rPr>
        <w:t xml:space="preserve">As the founding donor, DFAT has had the opportunity to </w:t>
      </w:r>
      <w:r w:rsidR="00B9188E">
        <w:rPr>
          <w:rFonts w:cstheme="minorHAnsi"/>
          <w:sz w:val="21"/>
          <w:lang w:val="en-AU"/>
        </w:rPr>
        <w:t xml:space="preserve">work </w:t>
      </w:r>
      <w:r w:rsidR="00BB12C0">
        <w:rPr>
          <w:rFonts w:cstheme="minorHAnsi"/>
          <w:sz w:val="21"/>
          <w:lang w:val="en-AU"/>
        </w:rPr>
        <w:t xml:space="preserve">closely with the </w:t>
      </w:r>
      <w:r w:rsidR="001E5C72" w:rsidRPr="00BA23EC">
        <w:rPr>
          <w:rFonts w:cstheme="minorHAnsi"/>
          <w:sz w:val="21"/>
          <w:lang w:val="en-AU"/>
        </w:rPr>
        <w:t>World Bank</w:t>
      </w:r>
      <w:r w:rsidR="00BB12C0">
        <w:rPr>
          <w:rFonts w:cstheme="minorHAnsi"/>
          <w:sz w:val="21"/>
          <w:lang w:val="en-AU"/>
        </w:rPr>
        <w:t xml:space="preserve"> in developing this draft Theory of Change</w:t>
      </w:r>
      <w:r w:rsidR="001E5C72" w:rsidRPr="00BA23EC">
        <w:rPr>
          <w:rFonts w:cstheme="minorHAnsi"/>
          <w:sz w:val="21"/>
          <w:lang w:val="en-AU"/>
        </w:rPr>
        <w:t xml:space="preserve"> with support from M&amp;E consultants from IOD</w:t>
      </w:r>
      <w:r w:rsidR="001E5C72">
        <w:rPr>
          <w:rFonts w:cstheme="minorHAnsi"/>
          <w:sz w:val="21"/>
          <w:lang w:val="en-AU"/>
        </w:rPr>
        <w:t xml:space="preserve"> </w:t>
      </w:r>
      <w:r w:rsidR="001E5C72" w:rsidRPr="00BA23EC">
        <w:rPr>
          <w:rFonts w:cstheme="minorHAnsi"/>
          <w:sz w:val="21"/>
          <w:lang w:val="en-AU"/>
        </w:rPr>
        <w:t>PARC</w:t>
      </w:r>
      <w:r w:rsidR="00D61085">
        <w:rPr>
          <w:rFonts w:cstheme="minorHAnsi"/>
          <w:sz w:val="21"/>
          <w:lang w:val="en-AU"/>
        </w:rPr>
        <w:t xml:space="preserve"> (See Figure 1 below), however, as one partner </w:t>
      </w:r>
      <w:r w:rsidR="00AB1201">
        <w:rPr>
          <w:rFonts w:cstheme="minorHAnsi"/>
          <w:sz w:val="21"/>
          <w:lang w:val="en-AU"/>
        </w:rPr>
        <w:t xml:space="preserve">in this multi-donor trust fund, this will need to be </w:t>
      </w:r>
      <w:r w:rsidR="00BB12C0">
        <w:rPr>
          <w:rFonts w:cstheme="minorHAnsi"/>
          <w:sz w:val="21"/>
          <w:lang w:val="en-AU"/>
        </w:rPr>
        <w:t>agreed with</w:t>
      </w:r>
      <w:r w:rsidR="00AB1201">
        <w:rPr>
          <w:rFonts w:cstheme="minorHAnsi"/>
          <w:sz w:val="21"/>
          <w:lang w:val="en-AU"/>
        </w:rPr>
        <w:t xml:space="preserve"> </w:t>
      </w:r>
      <w:proofErr w:type="spellStart"/>
      <w:r w:rsidR="00AB1201">
        <w:rPr>
          <w:rFonts w:cstheme="minorHAnsi"/>
          <w:sz w:val="21"/>
          <w:lang w:val="en-AU"/>
        </w:rPr>
        <w:t>GoI</w:t>
      </w:r>
      <w:proofErr w:type="spellEnd"/>
      <w:r w:rsidR="00AB1201">
        <w:rPr>
          <w:rFonts w:cstheme="minorHAnsi"/>
          <w:sz w:val="21"/>
          <w:lang w:val="en-AU"/>
        </w:rPr>
        <w:t xml:space="preserve"> and </w:t>
      </w:r>
      <w:r w:rsidR="00BB12C0">
        <w:rPr>
          <w:rFonts w:cstheme="minorHAnsi"/>
          <w:sz w:val="21"/>
          <w:lang w:val="en-AU"/>
        </w:rPr>
        <w:t xml:space="preserve">the other </w:t>
      </w:r>
      <w:r w:rsidR="00AB1201">
        <w:rPr>
          <w:rFonts w:cstheme="minorHAnsi"/>
          <w:sz w:val="21"/>
          <w:lang w:val="en-AU"/>
        </w:rPr>
        <w:t xml:space="preserve">members of the </w:t>
      </w:r>
      <w:r w:rsidR="00836B94" w:rsidRPr="00BA23EC">
        <w:rPr>
          <w:rFonts w:cstheme="minorHAnsi"/>
          <w:sz w:val="21"/>
          <w:lang w:val="en-AU"/>
        </w:rPr>
        <w:t>Partnership Council</w:t>
      </w:r>
      <w:r w:rsidR="00AB1201">
        <w:rPr>
          <w:rFonts w:cstheme="minorHAnsi"/>
          <w:sz w:val="21"/>
          <w:lang w:val="en-AU"/>
        </w:rPr>
        <w:t>.</w:t>
      </w:r>
    </w:p>
    <w:p w14:paraId="0D34A005" w14:textId="49E8ED2F" w:rsidR="005F06B1" w:rsidRPr="005F06B1" w:rsidRDefault="005F06B1" w:rsidP="005F06B1">
      <w:pPr>
        <w:rPr>
          <w:sz w:val="21"/>
        </w:rPr>
      </w:pPr>
      <w:r w:rsidRPr="005F06B1">
        <w:rPr>
          <w:sz w:val="21"/>
        </w:rPr>
        <w:t xml:space="preserve">The program logic is underpinned by </w:t>
      </w:r>
      <w:proofErr w:type="gramStart"/>
      <w:r w:rsidRPr="005F06B1">
        <w:rPr>
          <w:sz w:val="21"/>
        </w:rPr>
        <w:t>a number of</w:t>
      </w:r>
      <w:proofErr w:type="gramEnd"/>
      <w:r w:rsidRPr="005F06B1">
        <w:rPr>
          <w:sz w:val="21"/>
        </w:rPr>
        <w:t xml:space="preserve"> </w:t>
      </w:r>
      <w:r w:rsidRPr="005F06B1">
        <w:rPr>
          <w:b/>
          <w:sz w:val="21"/>
        </w:rPr>
        <w:t>assumptions</w:t>
      </w:r>
      <w:r w:rsidRPr="005F06B1">
        <w:rPr>
          <w:sz w:val="21"/>
        </w:rPr>
        <w:t xml:space="preserve"> </w:t>
      </w:r>
      <w:r w:rsidR="00D61085">
        <w:rPr>
          <w:sz w:val="21"/>
        </w:rPr>
        <w:t>outlined below</w:t>
      </w:r>
      <w:r w:rsidRPr="005F06B1">
        <w:rPr>
          <w:sz w:val="21"/>
        </w:rPr>
        <w:t xml:space="preserve">. It is possible that </w:t>
      </w:r>
      <w:r w:rsidR="00D61085">
        <w:rPr>
          <w:sz w:val="21"/>
        </w:rPr>
        <w:t xml:space="preserve">some of these </w:t>
      </w:r>
      <w:r w:rsidRPr="005F06B1">
        <w:rPr>
          <w:sz w:val="21"/>
        </w:rPr>
        <w:t>the assumptions will not hold</w:t>
      </w:r>
      <w:r w:rsidR="00D61085">
        <w:rPr>
          <w:sz w:val="21"/>
        </w:rPr>
        <w:t>,</w:t>
      </w:r>
      <w:r w:rsidR="004A7F13">
        <w:rPr>
          <w:sz w:val="21"/>
        </w:rPr>
        <w:t xml:space="preserve"> particularly with the change of </w:t>
      </w:r>
      <w:r w:rsidR="002772E0">
        <w:rPr>
          <w:sz w:val="21"/>
        </w:rPr>
        <w:t xml:space="preserve">administration following the 2024 elections. </w:t>
      </w:r>
      <w:r w:rsidRPr="005F06B1">
        <w:rPr>
          <w:sz w:val="21"/>
        </w:rPr>
        <w:t xml:space="preserve">As such, each of these assumptions and their impact on </w:t>
      </w:r>
      <w:r w:rsidR="00D61085">
        <w:rPr>
          <w:sz w:val="21"/>
        </w:rPr>
        <w:t xml:space="preserve">the </w:t>
      </w:r>
      <w:r w:rsidRPr="005F06B1">
        <w:rPr>
          <w:sz w:val="21"/>
        </w:rPr>
        <w:t xml:space="preserve">achievement of the program outcomes will be monitored through the risk management </w:t>
      </w:r>
      <w:r w:rsidR="00D61085">
        <w:rPr>
          <w:sz w:val="21"/>
        </w:rPr>
        <w:t>process</w:t>
      </w:r>
      <w:r w:rsidRPr="005F06B1">
        <w:rPr>
          <w:sz w:val="21"/>
        </w:rPr>
        <w:t xml:space="preserve">.  </w:t>
      </w:r>
    </w:p>
    <w:p w14:paraId="0B21F105" w14:textId="5AACD33C" w:rsidR="00545EDA" w:rsidRPr="001252BC" w:rsidRDefault="00545EDA" w:rsidP="00545EDA">
      <w:pPr>
        <w:pStyle w:val="BodyText"/>
        <w:numPr>
          <w:ilvl w:val="0"/>
          <w:numId w:val="62"/>
        </w:numPr>
        <w:suppressAutoHyphens w:val="0"/>
        <w:spacing w:before="0" w:after="120" w:line="280" w:lineRule="exact"/>
        <w:rPr>
          <w:sz w:val="21"/>
        </w:rPr>
      </w:pPr>
      <w:r w:rsidRPr="001252BC">
        <w:rPr>
          <w:sz w:val="21"/>
        </w:rPr>
        <w:t xml:space="preserve">The new </w:t>
      </w:r>
      <w:proofErr w:type="spellStart"/>
      <w:r w:rsidRPr="001252BC">
        <w:rPr>
          <w:sz w:val="21"/>
        </w:rPr>
        <w:t>GoI</w:t>
      </w:r>
      <w:proofErr w:type="spellEnd"/>
      <w:r w:rsidRPr="001252BC">
        <w:rPr>
          <w:sz w:val="21"/>
        </w:rPr>
        <w:t xml:space="preserve"> administration continues to support Indonesia’s health reforms in full</w:t>
      </w:r>
      <w:r w:rsidR="00083509" w:rsidRPr="001252BC">
        <w:rPr>
          <w:sz w:val="21"/>
        </w:rPr>
        <w:t>.</w:t>
      </w:r>
    </w:p>
    <w:p w14:paraId="0DE23599" w14:textId="765C343F" w:rsidR="00365A30" w:rsidRPr="001252BC" w:rsidRDefault="00545EDA" w:rsidP="00545EDA">
      <w:pPr>
        <w:pStyle w:val="BodyText"/>
        <w:numPr>
          <w:ilvl w:val="0"/>
          <w:numId w:val="62"/>
        </w:numPr>
        <w:suppressAutoHyphens w:val="0"/>
        <w:spacing w:before="0" w:after="120" w:line="280" w:lineRule="exact"/>
        <w:rPr>
          <w:sz w:val="21"/>
        </w:rPr>
      </w:pPr>
      <w:r w:rsidRPr="001252BC">
        <w:rPr>
          <w:sz w:val="21"/>
        </w:rPr>
        <w:t xml:space="preserve">There is a consensus amongst </w:t>
      </w:r>
      <w:r w:rsidR="00083509" w:rsidRPr="001252BC">
        <w:rPr>
          <w:sz w:val="21"/>
        </w:rPr>
        <w:t xml:space="preserve">Partnership Council members (including </w:t>
      </w:r>
      <w:proofErr w:type="spellStart"/>
      <w:r w:rsidR="00083509" w:rsidRPr="001252BC">
        <w:rPr>
          <w:sz w:val="21"/>
        </w:rPr>
        <w:t>GoI</w:t>
      </w:r>
      <w:proofErr w:type="spellEnd"/>
      <w:r w:rsidR="00083509" w:rsidRPr="001252BC">
        <w:rPr>
          <w:sz w:val="21"/>
        </w:rPr>
        <w:t xml:space="preserve"> (MoH), World Bank and other donors) </w:t>
      </w:r>
      <w:r w:rsidR="00AB1201">
        <w:rPr>
          <w:sz w:val="21"/>
        </w:rPr>
        <w:t xml:space="preserve">on HT-MDTF priorities, </w:t>
      </w:r>
      <w:proofErr w:type="gramStart"/>
      <w:r w:rsidR="00AB1201">
        <w:rPr>
          <w:sz w:val="21"/>
        </w:rPr>
        <w:t>objectives</w:t>
      </w:r>
      <w:proofErr w:type="gramEnd"/>
      <w:r w:rsidR="00AB1201">
        <w:rPr>
          <w:sz w:val="21"/>
        </w:rPr>
        <w:t xml:space="preserve"> and approaches. </w:t>
      </w:r>
    </w:p>
    <w:p w14:paraId="3027F308" w14:textId="6CE21894" w:rsidR="00545EDA" w:rsidRPr="001252BC" w:rsidRDefault="00AB1201" w:rsidP="00545EDA">
      <w:pPr>
        <w:pStyle w:val="BodyText"/>
        <w:numPr>
          <w:ilvl w:val="0"/>
          <w:numId w:val="62"/>
        </w:numPr>
        <w:suppressAutoHyphens w:val="0"/>
        <w:spacing w:before="0" w:after="120" w:line="280" w:lineRule="exact"/>
        <w:rPr>
          <w:sz w:val="21"/>
        </w:rPr>
      </w:pPr>
      <w:r>
        <w:rPr>
          <w:sz w:val="21"/>
        </w:rPr>
        <w:t>DFAT</w:t>
      </w:r>
      <w:r w:rsidR="009423E0" w:rsidRPr="001252BC">
        <w:rPr>
          <w:sz w:val="21"/>
        </w:rPr>
        <w:t xml:space="preserve"> can effectively influence implementation of the HT-MDTF</w:t>
      </w:r>
      <w:r>
        <w:rPr>
          <w:sz w:val="21"/>
        </w:rPr>
        <w:t>, including</w:t>
      </w:r>
      <w:r w:rsidR="009423E0" w:rsidRPr="001252BC">
        <w:rPr>
          <w:sz w:val="21"/>
        </w:rPr>
        <w:t xml:space="preserve"> in accordance with Australia’s</w:t>
      </w:r>
      <w:r w:rsidR="00083509" w:rsidRPr="001252BC">
        <w:rPr>
          <w:sz w:val="21"/>
        </w:rPr>
        <w:t xml:space="preserve"> priorities on </w:t>
      </w:r>
      <w:r w:rsidR="00545EDA" w:rsidRPr="001252BC">
        <w:rPr>
          <w:sz w:val="21"/>
        </w:rPr>
        <w:t>gender equality</w:t>
      </w:r>
      <w:r w:rsidR="00083509" w:rsidRPr="001252BC">
        <w:rPr>
          <w:sz w:val="21"/>
        </w:rPr>
        <w:t xml:space="preserve">, disability inclusion and climate change. </w:t>
      </w:r>
    </w:p>
    <w:p w14:paraId="07A345D0" w14:textId="3D460648" w:rsidR="00545EDA" w:rsidRPr="001252BC" w:rsidRDefault="00545EDA" w:rsidP="00545EDA">
      <w:pPr>
        <w:pStyle w:val="BodyText"/>
        <w:numPr>
          <w:ilvl w:val="0"/>
          <w:numId w:val="62"/>
        </w:numPr>
        <w:suppressAutoHyphens w:val="0"/>
        <w:spacing w:before="0" w:after="120" w:line="280" w:lineRule="exact"/>
        <w:rPr>
          <w:sz w:val="21"/>
        </w:rPr>
      </w:pPr>
      <w:r w:rsidRPr="001252BC">
        <w:rPr>
          <w:sz w:val="21"/>
        </w:rPr>
        <w:t xml:space="preserve">MoH has the capacity to effectively manage </w:t>
      </w:r>
      <w:r w:rsidR="00083509" w:rsidRPr="001252BC">
        <w:rPr>
          <w:sz w:val="21"/>
        </w:rPr>
        <w:t>HT-</w:t>
      </w:r>
      <w:r w:rsidRPr="001252BC">
        <w:rPr>
          <w:sz w:val="21"/>
        </w:rPr>
        <w:t>MDTF contributions</w:t>
      </w:r>
      <w:r w:rsidR="00083509" w:rsidRPr="001252BC">
        <w:rPr>
          <w:sz w:val="21"/>
        </w:rPr>
        <w:t>.</w:t>
      </w:r>
    </w:p>
    <w:p w14:paraId="7539B6CD" w14:textId="087DF205" w:rsidR="00545EDA" w:rsidRPr="001252BC" w:rsidRDefault="00545EDA" w:rsidP="00545EDA">
      <w:pPr>
        <w:pStyle w:val="BodyText"/>
        <w:numPr>
          <w:ilvl w:val="0"/>
          <w:numId w:val="62"/>
        </w:numPr>
        <w:suppressAutoHyphens w:val="0"/>
        <w:spacing w:before="0" w:after="120" w:line="280" w:lineRule="exact"/>
        <w:rPr>
          <w:sz w:val="21"/>
        </w:rPr>
      </w:pPr>
      <w:r w:rsidRPr="001252BC">
        <w:rPr>
          <w:sz w:val="21"/>
        </w:rPr>
        <w:t xml:space="preserve">The political economy within the </w:t>
      </w:r>
      <w:r w:rsidR="00083509" w:rsidRPr="001252BC">
        <w:rPr>
          <w:sz w:val="21"/>
        </w:rPr>
        <w:t xml:space="preserve">MoH, including all Directorate Generals, indicates consensus regarding the health reform priorities and objectives of the HT-MDTF </w:t>
      </w:r>
    </w:p>
    <w:p w14:paraId="70A52283" w14:textId="007EF87F" w:rsidR="005F06B1" w:rsidRPr="00BA23EC" w:rsidRDefault="00545EDA" w:rsidP="001252BC">
      <w:pPr>
        <w:pStyle w:val="BodyText"/>
        <w:numPr>
          <w:ilvl w:val="0"/>
          <w:numId w:val="62"/>
        </w:numPr>
        <w:jc w:val="both"/>
        <w:rPr>
          <w:rFonts w:eastAsia="Times New Roman" w:cstheme="minorHAnsi"/>
          <w:sz w:val="21"/>
          <w:szCs w:val="21"/>
          <w:lang w:val="en-AU" w:eastAsia="en-AU"/>
        </w:rPr>
      </w:pPr>
      <w:r w:rsidRPr="001252BC">
        <w:rPr>
          <w:sz w:val="21"/>
        </w:rPr>
        <w:t xml:space="preserve">Analytics and technical advice, and </w:t>
      </w:r>
      <w:r w:rsidR="00083509" w:rsidRPr="001252BC">
        <w:rPr>
          <w:sz w:val="21"/>
        </w:rPr>
        <w:t xml:space="preserve">the </w:t>
      </w:r>
      <w:r w:rsidRPr="001252BC">
        <w:rPr>
          <w:sz w:val="21"/>
        </w:rPr>
        <w:t xml:space="preserve">convening and consolidation of </w:t>
      </w:r>
      <w:r w:rsidR="00083509" w:rsidRPr="001252BC">
        <w:rPr>
          <w:sz w:val="21"/>
        </w:rPr>
        <w:t xml:space="preserve">MoH and </w:t>
      </w:r>
      <w:r w:rsidRPr="001252BC">
        <w:rPr>
          <w:sz w:val="21"/>
        </w:rPr>
        <w:t xml:space="preserve">donor efforts </w:t>
      </w:r>
      <w:r w:rsidR="00083509" w:rsidRPr="001252BC">
        <w:rPr>
          <w:sz w:val="21"/>
        </w:rPr>
        <w:t xml:space="preserve">through the HT-MDTF </w:t>
      </w:r>
      <w:r w:rsidRPr="001252BC">
        <w:rPr>
          <w:sz w:val="21"/>
        </w:rPr>
        <w:t xml:space="preserve">will leverage additional funding and resourcing from other donors and </w:t>
      </w:r>
      <w:proofErr w:type="spellStart"/>
      <w:r w:rsidRPr="001252BC">
        <w:rPr>
          <w:sz w:val="21"/>
        </w:rPr>
        <w:t>GoI</w:t>
      </w:r>
      <w:proofErr w:type="spellEnd"/>
      <w:r w:rsidRPr="001252BC">
        <w:rPr>
          <w:sz w:val="21"/>
        </w:rPr>
        <w:t>.</w:t>
      </w:r>
    </w:p>
    <w:p w14:paraId="1E66F0DC" w14:textId="77777777" w:rsidR="003A7C5C" w:rsidRPr="00BA23EC" w:rsidRDefault="003A7C5C" w:rsidP="006F498C">
      <w:pPr>
        <w:pStyle w:val="BodyText"/>
        <w:jc w:val="both"/>
        <w:rPr>
          <w:rFonts w:eastAsia="Times New Roman" w:cstheme="minorHAnsi"/>
          <w:sz w:val="21"/>
          <w:szCs w:val="21"/>
          <w:lang w:val="en-AU" w:eastAsia="en-AU"/>
        </w:rPr>
      </w:pPr>
    </w:p>
    <w:p w14:paraId="770E83B1" w14:textId="5CC5E6E4" w:rsidR="004A5655" w:rsidRPr="00BA23EC" w:rsidRDefault="004A5655" w:rsidP="006F498C">
      <w:pPr>
        <w:pStyle w:val="BodyText"/>
        <w:jc w:val="both"/>
        <w:rPr>
          <w:rFonts w:eastAsia="Times New Roman" w:cstheme="minorHAnsi"/>
          <w:sz w:val="21"/>
          <w:szCs w:val="21"/>
          <w:lang w:val="en-AU" w:eastAsia="en-AU"/>
        </w:rPr>
        <w:sectPr w:rsidR="004A5655" w:rsidRPr="00BA23EC" w:rsidSect="00BF2B07">
          <w:headerReference w:type="default" r:id="rId11"/>
          <w:footerReference w:type="default" r:id="rId12"/>
          <w:headerReference w:type="first" r:id="rId13"/>
          <w:footerReference w:type="first" r:id="rId14"/>
          <w:pgSz w:w="11906" w:h="16838" w:code="9"/>
          <w:pgMar w:top="1134" w:right="1440" w:bottom="1440" w:left="1440" w:header="227" w:footer="493" w:gutter="0"/>
          <w:cols w:space="397"/>
          <w:titlePg/>
          <w:docGrid w:linePitch="360"/>
        </w:sectPr>
      </w:pPr>
    </w:p>
    <w:p w14:paraId="2DBD49A8" w14:textId="09D93048" w:rsidR="00863994" w:rsidRPr="006A5EC6" w:rsidRDefault="006A5EC6" w:rsidP="00046E51">
      <w:pPr>
        <w:spacing w:before="0" w:after="0"/>
        <w:rPr>
          <w:b/>
          <w:bCs/>
          <w:i/>
          <w:iCs/>
          <w:lang w:val="en-AU"/>
        </w:rPr>
      </w:pPr>
      <w:r w:rsidRPr="006A5EC6">
        <w:rPr>
          <w:rFonts w:cstheme="minorHAnsi"/>
          <w:b/>
          <w:bCs/>
          <w:i/>
          <w:iCs/>
          <w:lang w:val="en-AU"/>
        </w:rPr>
        <w:lastRenderedPageBreak/>
        <w:t>Figure 1: HT-MDTF Draft Theory of Change</w:t>
      </w:r>
    </w:p>
    <w:p w14:paraId="0AE937C8" w14:textId="5DA2CF48" w:rsidR="003A7C5C" w:rsidRPr="006A5EC6" w:rsidRDefault="006A5EC6" w:rsidP="003A7C5C">
      <w:pPr>
        <w:rPr>
          <w:lang w:val="en-AU"/>
        </w:rPr>
      </w:pPr>
      <w:r>
        <w:rPr>
          <w:noProof/>
          <w:lang w:val="en-AU"/>
        </w:rPr>
        <w:drawing>
          <wp:inline distT="0" distB="0" distL="0" distR="0" wp14:anchorId="18EA970B" wp14:editId="26721E0C">
            <wp:extent cx="7248525" cy="5730931"/>
            <wp:effectExtent l="0" t="0" r="0" b="3175"/>
            <wp:docPr id="248" name="Picture 2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257772" cy="5738242"/>
                    </a:xfrm>
                    <a:prstGeom prst="rect">
                      <a:avLst/>
                    </a:prstGeom>
                    <a:noFill/>
                  </pic:spPr>
                </pic:pic>
              </a:graphicData>
            </a:graphic>
          </wp:inline>
        </w:drawing>
      </w:r>
    </w:p>
    <w:p w14:paraId="3B5CDFCB" w14:textId="2370CDAC" w:rsidR="003A7C5C" w:rsidRPr="00BA23EC" w:rsidRDefault="003A7C5C" w:rsidP="003A7C5C">
      <w:pPr>
        <w:rPr>
          <w:rFonts w:cstheme="minorHAnsi"/>
          <w:lang w:val="en-AU"/>
        </w:rPr>
        <w:sectPr w:rsidR="003A7C5C" w:rsidRPr="00BA23EC" w:rsidSect="001252BC">
          <w:pgSz w:w="16838" w:h="11906" w:orient="landscape" w:code="9"/>
          <w:pgMar w:top="534" w:right="1418" w:bottom="1134" w:left="1701" w:header="60" w:footer="170" w:gutter="0"/>
          <w:cols w:space="397"/>
          <w:titlePg/>
          <w:docGrid w:linePitch="360"/>
        </w:sectPr>
      </w:pPr>
    </w:p>
    <w:p w14:paraId="7F0EDFAC" w14:textId="6071C84F" w:rsidR="003E5ED2" w:rsidRPr="00BA23EC" w:rsidRDefault="004D08E1" w:rsidP="00960B9C">
      <w:pPr>
        <w:tabs>
          <w:tab w:val="left" w:pos="284"/>
        </w:tabs>
        <w:suppressAutoHyphens w:val="0"/>
        <w:spacing w:before="0" w:line="280" w:lineRule="exact"/>
        <w:jc w:val="both"/>
        <w:rPr>
          <w:rFonts w:cstheme="minorHAnsi"/>
          <w:u w:val="single"/>
          <w:lang w:val="en-AU"/>
        </w:rPr>
      </w:pPr>
      <w:r w:rsidRPr="00BA23EC">
        <w:rPr>
          <w:rFonts w:cstheme="minorHAnsi"/>
          <w:u w:val="single"/>
          <w:lang w:val="en-AU"/>
        </w:rPr>
        <w:lastRenderedPageBreak/>
        <w:t>Investment Options</w:t>
      </w:r>
    </w:p>
    <w:p w14:paraId="596E195D" w14:textId="56D874B6" w:rsidR="00F07C41" w:rsidRPr="00BA23EC" w:rsidRDefault="009976B4" w:rsidP="003E5ED2">
      <w:pPr>
        <w:tabs>
          <w:tab w:val="left" w:pos="284"/>
        </w:tabs>
        <w:suppressAutoHyphens w:val="0"/>
        <w:spacing w:before="0" w:line="280" w:lineRule="exact"/>
        <w:jc w:val="both"/>
        <w:rPr>
          <w:rFonts w:cstheme="minorHAnsi"/>
          <w:sz w:val="21"/>
          <w:lang w:val="en-AU"/>
        </w:rPr>
      </w:pPr>
      <w:r w:rsidRPr="00BA23EC">
        <w:rPr>
          <w:rFonts w:cstheme="minorHAnsi"/>
          <w:sz w:val="21"/>
          <w:lang w:val="en-AU"/>
        </w:rPr>
        <w:t xml:space="preserve">While </w:t>
      </w:r>
      <w:r w:rsidR="006F0A89" w:rsidRPr="00BA23EC">
        <w:rPr>
          <w:rFonts w:cstheme="minorHAnsi"/>
          <w:sz w:val="21"/>
          <w:lang w:val="en-AU"/>
        </w:rPr>
        <w:t>additional funding could be allocated across existing health bilateral investments</w:t>
      </w:r>
      <w:r w:rsidR="008F140A" w:rsidRPr="00BA23EC">
        <w:rPr>
          <w:rFonts w:cstheme="minorHAnsi"/>
          <w:sz w:val="21"/>
          <w:lang w:val="en-AU"/>
        </w:rPr>
        <w:t>,</w:t>
      </w:r>
      <w:r w:rsidR="006F0A89" w:rsidRPr="00BA23EC">
        <w:rPr>
          <w:rFonts w:cstheme="minorHAnsi"/>
          <w:sz w:val="21"/>
          <w:lang w:val="en-AU"/>
        </w:rPr>
        <w:t xml:space="preserve"> </w:t>
      </w:r>
      <w:r w:rsidR="00C22413" w:rsidRPr="00BA23EC">
        <w:rPr>
          <w:rFonts w:cstheme="minorHAnsi"/>
          <w:sz w:val="21"/>
          <w:lang w:val="en-AU"/>
        </w:rPr>
        <w:t xml:space="preserve">contributing to the </w:t>
      </w:r>
      <w:r w:rsidR="00CB0222" w:rsidRPr="00BA23EC">
        <w:rPr>
          <w:rFonts w:cstheme="minorHAnsi"/>
          <w:sz w:val="21"/>
          <w:lang w:val="en-AU"/>
        </w:rPr>
        <w:t>World Bank</w:t>
      </w:r>
      <w:r w:rsidR="001808B2" w:rsidRPr="00BA23EC">
        <w:rPr>
          <w:rFonts w:cstheme="minorHAnsi"/>
          <w:sz w:val="21"/>
          <w:lang w:val="en-AU"/>
        </w:rPr>
        <w:t xml:space="preserve">-managed </w:t>
      </w:r>
      <w:r w:rsidR="00C22413" w:rsidRPr="00BA23EC">
        <w:rPr>
          <w:rFonts w:cstheme="minorHAnsi"/>
          <w:sz w:val="21"/>
          <w:lang w:val="en-AU"/>
        </w:rPr>
        <w:t>HT-MDTF</w:t>
      </w:r>
      <w:r w:rsidR="00362E9A" w:rsidRPr="00BA23EC">
        <w:rPr>
          <w:rFonts w:cstheme="minorHAnsi"/>
          <w:sz w:val="21"/>
          <w:lang w:val="en-AU"/>
        </w:rPr>
        <w:t xml:space="preserve"> provides the best option </w:t>
      </w:r>
      <w:r w:rsidR="001808B2" w:rsidRPr="00BA23EC">
        <w:rPr>
          <w:rFonts w:cstheme="minorHAnsi"/>
          <w:sz w:val="21"/>
          <w:lang w:val="en-AU"/>
        </w:rPr>
        <w:t>for the large-scale</w:t>
      </w:r>
      <w:r w:rsidR="00362E9A" w:rsidRPr="00BA23EC">
        <w:rPr>
          <w:rFonts w:cstheme="minorHAnsi"/>
          <w:sz w:val="21"/>
          <w:lang w:val="en-AU"/>
        </w:rPr>
        <w:t xml:space="preserve"> </w:t>
      </w:r>
      <w:r w:rsidR="00FF4BC3" w:rsidRPr="00BA23EC">
        <w:rPr>
          <w:rFonts w:cstheme="minorHAnsi"/>
          <w:sz w:val="21"/>
          <w:lang w:val="en-AU"/>
        </w:rPr>
        <w:t>accelerat</w:t>
      </w:r>
      <w:r w:rsidR="001808B2" w:rsidRPr="00BA23EC">
        <w:rPr>
          <w:rFonts w:cstheme="minorHAnsi"/>
          <w:sz w:val="21"/>
          <w:lang w:val="en-AU"/>
        </w:rPr>
        <w:t>ion of t</w:t>
      </w:r>
      <w:r w:rsidR="00FF4BC3" w:rsidRPr="00BA23EC">
        <w:rPr>
          <w:rFonts w:cstheme="minorHAnsi"/>
          <w:sz w:val="21"/>
          <w:lang w:val="en-AU"/>
        </w:rPr>
        <w:t>his</w:t>
      </w:r>
      <w:r w:rsidR="00F07C41" w:rsidRPr="00BA23EC">
        <w:rPr>
          <w:rFonts w:cstheme="minorHAnsi"/>
          <w:sz w:val="21"/>
          <w:lang w:val="en-AU"/>
        </w:rPr>
        <w:t xml:space="preserve"> ambitious health agenda. </w:t>
      </w:r>
    </w:p>
    <w:p w14:paraId="226F6991" w14:textId="77777777" w:rsidR="00F07C41" w:rsidRPr="00BA23EC" w:rsidRDefault="00F07C41" w:rsidP="003E5ED2">
      <w:pPr>
        <w:tabs>
          <w:tab w:val="left" w:pos="284"/>
        </w:tabs>
        <w:suppressAutoHyphens w:val="0"/>
        <w:spacing w:before="0" w:line="280" w:lineRule="exact"/>
        <w:jc w:val="both"/>
        <w:rPr>
          <w:rFonts w:cstheme="minorHAnsi"/>
          <w:sz w:val="21"/>
          <w:lang w:val="en-AU"/>
        </w:rPr>
      </w:pPr>
      <w:r w:rsidRPr="00BA23EC">
        <w:rPr>
          <w:rFonts w:cstheme="minorHAnsi"/>
          <w:sz w:val="21"/>
          <w:lang w:val="en-AU"/>
        </w:rPr>
        <w:t>The principal considerations and conclusions that inform this decision are:</w:t>
      </w:r>
    </w:p>
    <w:p w14:paraId="04C74313" w14:textId="6F938729" w:rsidR="008D4471" w:rsidRPr="00BA23EC" w:rsidRDefault="008D4471" w:rsidP="008D4471">
      <w:pPr>
        <w:pStyle w:val="ListParagraph"/>
        <w:numPr>
          <w:ilvl w:val="0"/>
          <w:numId w:val="33"/>
        </w:numPr>
        <w:tabs>
          <w:tab w:val="left" w:pos="284"/>
        </w:tabs>
        <w:suppressAutoHyphens w:val="0"/>
        <w:spacing w:before="0" w:line="280" w:lineRule="exact"/>
        <w:jc w:val="both"/>
        <w:rPr>
          <w:rFonts w:cstheme="minorHAnsi"/>
          <w:sz w:val="21"/>
          <w:lang w:val="en-AU"/>
        </w:rPr>
      </w:pPr>
      <w:r w:rsidRPr="00BA23EC">
        <w:rPr>
          <w:rFonts w:cstheme="minorHAnsi"/>
          <w:sz w:val="21"/>
          <w:lang w:val="en-AU"/>
        </w:rPr>
        <w:t xml:space="preserve">The World Bank’s capacity to leverage funding and mobilise resources. </w:t>
      </w:r>
      <w:r w:rsidR="00705A10" w:rsidRPr="00BA23EC">
        <w:rPr>
          <w:rFonts w:cstheme="minorHAnsi"/>
          <w:sz w:val="21"/>
          <w:lang w:val="en-AU"/>
        </w:rPr>
        <w:t xml:space="preserve">The </w:t>
      </w:r>
      <w:r w:rsidR="00620932" w:rsidRPr="00BA23EC">
        <w:rPr>
          <w:rFonts w:cstheme="minorHAnsi"/>
          <w:sz w:val="21"/>
          <w:lang w:val="en-AU"/>
        </w:rPr>
        <w:t>HT-MDTF builds on a long-standing relationship between the Bank and the MoH</w:t>
      </w:r>
      <w:r w:rsidR="00EA1459" w:rsidRPr="00BA23EC">
        <w:rPr>
          <w:rFonts w:cstheme="minorHAnsi"/>
          <w:sz w:val="21"/>
          <w:lang w:val="en-AU"/>
        </w:rPr>
        <w:t>. T</w:t>
      </w:r>
      <w:r w:rsidR="00705A10" w:rsidRPr="00BA23EC">
        <w:rPr>
          <w:rFonts w:cstheme="minorHAnsi"/>
          <w:sz w:val="21"/>
          <w:lang w:val="en-AU"/>
        </w:rPr>
        <w:t>hrough</w:t>
      </w:r>
      <w:r w:rsidR="00D16CB2" w:rsidRPr="00BA23EC">
        <w:rPr>
          <w:rFonts w:cstheme="minorHAnsi"/>
          <w:sz w:val="21"/>
          <w:lang w:val="en-AU"/>
        </w:rPr>
        <w:t xml:space="preserve"> its current suite of lending operations </w:t>
      </w:r>
      <w:r w:rsidR="002530CA" w:rsidRPr="00BA23EC">
        <w:rPr>
          <w:rFonts w:cstheme="minorHAnsi"/>
          <w:sz w:val="21"/>
          <w:szCs w:val="21"/>
          <w:lang w:val="en-AU" w:eastAsia="en-AU"/>
        </w:rPr>
        <w:t xml:space="preserve">in the health sector (USD3.8 billion) </w:t>
      </w:r>
      <w:r w:rsidR="00D16CB2" w:rsidRPr="00BA23EC">
        <w:rPr>
          <w:rFonts w:cstheme="minorHAnsi"/>
          <w:sz w:val="21"/>
          <w:lang w:val="en-AU"/>
        </w:rPr>
        <w:t>and complementary analytical and advisory services</w:t>
      </w:r>
      <w:r w:rsidR="002530CA" w:rsidRPr="00BA23EC">
        <w:rPr>
          <w:rFonts w:cstheme="minorHAnsi"/>
          <w:sz w:val="21"/>
          <w:szCs w:val="21"/>
          <w:lang w:val="en-AU" w:eastAsia="en-AU"/>
        </w:rPr>
        <w:t>,</w:t>
      </w:r>
      <w:r w:rsidR="00D16CB2" w:rsidRPr="00BA23EC">
        <w:rPr>
          <w:rFonts w:cstheme="minorHAnsi"/>
          <w:sz w:val="21"/>
          <w:lang w:val="en-AU"/>
        </w:rPr>
        <w:t xml:space="preserve"> the Bank has been accelerating </w:t>
      </w:r>
      <w:proofErr w:type="spellStart"/>
      <w:r w:rsidR="00D16CB2" w:rsidRPr="00BA23EC">
        <w:rPr>
          <w:rFonts w:cstheme="minorHAnsi"/>
          <w:sz w:val="21"/>
          <w:lang w:val="en-AU"/>
        </w:rPr>
        <w:t>GoI’s</w:t>
      </w:r>
      <w:proofErr w:type="spellEnd"/>
      <w:r w:rsidR="00D16CB2" w:rsidRPr="00BA23EC">
        <w:rPr>
          <w:rFonts w:cstheme="minorHAnsi"/>
          <w:sz w:val="21"/>
          <w:lang w:val="en-AU"/>
        </w:rPr>
        <w:t xml:space="preserve"> efforts in the health sector to reduce stunting, supporting sustainable progress of universal health coverage, and improving the quality of health spending by strengthening the performance of its primary healthcare system. </w:t>
      </w:r>
      <w:r>
        <w:rPr>
          <w:rFonts w:cstheme="minorHAnsi"/>
          <w:sz w:val="21"/>
          <w:lang w:val="en-AU"/>
        </w:rPr>
        <w:t>A</w:t>
      </w:r>
      <w:r w:rsidRPr="00BA23EC">
        <w:rPr>
          <w:rFonts w:cstheme="minorHAnsi"/>
          <w:sz w:val="21"/>
          <w:lang w:val="en-AU"/>
        </w:rPr>
        <w:t xml:space="preserve"> further USD4 billion under its HSS-IPF loan operation </w:t>
      </w:r>
      <w:r>
        <w:rPr>
          <w:rFonts w:cstheme="minorHAnsi"/>
          <w:sz w:val="21"/>
          <w:lang w:val="en-AU"/>
        </w:rPr>
        <w:t xml:space="preserve">will </w:t>
      </w:r>
      <w:r w:rsidRPr="00BA23EC">
        <w:rPr>
          <w:rFonts w:cstheme="minorHAnsi"/>
          <w:sz w:val="21"/>
          <w:lang w:val="en-AU"/>
        </w:rPr>
        <w:t xml:space="preserve">support the implementation of the new health reforms. </w:t>
      </w:r>
    </w:p>
    <w:p w14:paraId="45ED08D1" w14:textId="6E6BB1C0" w:rsidR="008D4471" w:rsidRPr="00BA23EC" w:rsidRDefault="008D4471" w:rsidP="008D4471">
      <w:pPr>
        <w:pStyle w:val="ListParagraph"/>
        <w:numPr>
          <w:ilvl w:val="0"/>
          <w:numId w:val="33"/>
        </w:numPr>
        <w:tabs>
          <w:tab w:val="left" w:pos="284"/>
        </w:tabs>
        <w:suppressAutoHyphens w:val="0"/>
        <w:spacing w:before="0" w:line="280" w:lineRule="exact"/>
        <w:jc w:val="both"/>
        <w:rPr>
          <w:rFonts w:cstheme="minorHAnsi"/>
          <w:sz w:val="21"/>
          <w:lang w:val="en-AU"/>
        </w:rPr>
      </w:pPr>
      <w:r w:rsidRPr="00BA23EC">
        <w:rPr>
          <w:rFonts w:cstheme="minorHAnsi"/>
          <w:sz w:val="21"/>
          <w:lang w:val="en-AU"/>
        </w:rPr>
        <w:t>The relatively small contribution</w:t>
      </w:r>
      <w:r>
        <w:rPr>
          <w:rFonts w:cstheme="minorHAnsi"/>
          <w:sz w:val="21"/>
          <w:lang w:val="en-AU"/>
        </w:rPr>
        <w:t xml:space="preserve"> to the HT-MDTF</w:t>
      </w:r>
      <w:r w:rsidRPr="00BA23EC">
        <w:rPr>
          <w:rFonts w:cstheme="minorHAnsi"/>
          <w:sz w:val="21"/>
          <w:lang w:val="en-AU"/>
        </w:rPr>
        <w:t xml:space="preserve"> represents value for money </w:t>
      </w:r>
      <w:proofErr w:type="gramStart"/>
      <w:r w:rsidRPr="00BA23EC">
        <w:rPr>
          <w:rFonts w:cstheme="minorHAnsi"/>
          <w:sz w:val="21"/>
          <w:lang w:val="en-AU"/>
        </w:rPr>
        <w:t>in light of</w:t>
      </w:r>
      <w:proofErr w:type="gramEnd"/>
      <w:r w:rsidRPr="00BA23EC">
        <w:rPr>
          <w:rFonts w:cstheme="minorHAnsi"/>
          <w:sz w:val="21"/>
          <w:lang w:val="en-AU"/>
        </w:rPr>
        <w:t xml:space="preserve"> </w:t>
      </w:r>
      <w:r>
        <w:rPr>
          <w:rFonts w:cstheme="minorHAnsi"/>
          <w:sz w:val="21"/>
          <w:lang w:val="en-AU"/>
        </w:rPr>
        <w:t>its</w:t>
      </w:r>
      <w:r w:rsidRPr="00BA23EC">
        <w:rPr>
          <w:rFonts w:cstheme="minorHAnsi"/>
          <w:sz w:val="21"/>
          <w:lang w:val="en-AU"/>
        </w:rPr>
        <w:t xml:space="preserve"> potential </w:t>
      </w:r>
      <w:r>
        <w:rPr>
          <w:rFonts w:cstheme="minorHAnsi"/>
          <w:sz w:val="21"/>
          <w:lang w:val="en-AU"/>
        </w:rPr>
        <w:t xml:space="preserve">to leverage the Bank’s significant health sector lending portfolio for maximum impact in the implementation of the health reforms. </w:t>
      </w:r>
    </w:p>
    <w:p w14:paraId="7EC62EC6" w14:textId="39259BBC" w:rsidR="00D16CB2" w:rsidRPr="00BA23EC" w:rsidRDefault="00D16CB2" w:rsidP="00705A10">
      <w:pPr>
        <w:pStyle w:val="ListParagraph"/>
        <w:numPr>
          <w:ilvl w:val="0"/>
          <w:numId w:val="33"/>
        </w:numPr>
        <w:tabs>
          <w:tab w:val="left" w:pos="284"/>
        </w:tabs>
        <w:suppressAutoHyphens w:val="0"/>
        <w:spacing w:before="0" w:line="280" w:lineRule="exact"/>
        <w:jc w:val="both"/>
        <w:rPr>
          <w:rFonts w:cstheme="minorHAnsi"/>
          <w:sz w:val="21"/>
          <w:lang w:val="en-AU"/>
        </w:rPr>
      </w:pPr>
      <w:r w:rsidRPr="00BA23EC">
        <w:rPr>
          <w:rFonts w:cstheme="minorHAnsi"/>
          <w:sz w:val="21"/>
          <w:lang w:val="en-AU"/>
        </w:rPr>
        <w:t>The World Bank’s convening power in this sector</w:t>
      </w:r>
      <w:r w:rsidR="003862B4" w:rsidRPr="00BA23EC">
        <w:rPr>
          <w:rFonts w:cstheme="minorHAnsi"/>
          <w:sz w:val="21"/>
          <w:lang w:val="en-AU"/>
        </w:rPr>
        <w:t xml:space="preserve">, </w:t>
      </w:r>
      <w:r w:rsidRPr="00BA23EC">
        <w:rPr>
          <w:rFonts w:cstheme="minorHAnsi"/>
          <w:sz w:val="21"/>
          <w:lang w:val="en-AU"/>
        </w:rPr>
        <w:t>demonstrated by its close collaboration with MoH, Ministry of Finance</w:t>
      </w:r>
      <w:r w:rsidR="007A2A0C" w:rsidRPr="00BA23EC">
        <w:rPr>
          <w:rFonts w:cstheme="minorHAnsi"/>
          <w:sz w:val="21"/>
          <w:lang w:val="en-AU"/>
        </w:rPr>
        <w:t xml:space="preserve"> (MoF)</w:t>
      </w:r>
      <w:r w:rsidRPr="00BA23EC">
        <w:rPr>
          <w:rFonts w:cstheme="minorHAnsi"/>
          <w:sz w:val="21"/>
          <w:lang w:val="en-AU"/>
        </w:rPr>
        <w:t xml:space="preserve">, </w:t>
      </w:r>
      <w:proofErr w:type="spellStart"/>
      <w:r w:rsidRPr="00BA23EC">
        <w:rPr>
          <w:rFonts w:cstheme="minorHAnsi"/>
          <w:sz w:val="21"/>
          <w:lang w:val="en-AU"/>
        </w:rPr>
        <w:t>Bappenas</w:t>
      </w:r>
      <w:proofErr w:type="spellEnd"/>
      <w:r w:rsidRPr="00BA23EC">
        <w:rPr>
          <w:rFonts w:cstheme="minorHAnsi"/>
          <w:sz w:val="21"/>
          <w:lang w:val="en-AU"/>
        </w:rPr>
        <w:t xml:space="preserve"> (National Planning Ministry) and other key health sector stakeholders – a partnership that DFAT will be able to leverage through its engagement in the HT-MDTF.</w:t>
      </w:r>
    </w:p>
    <w:p w14:paraId="3B3E447C" w14:textId="45FBB2FE" w:rsidR="007A3889" w:rsidRPr="00A0606F" w:rsidRDefault="001808B2" w:rsidP="007A3889">
      <w:pPr>
        <w:tabs>
          <w:tab w:val="left" w:pos="284"/>
        </w:tabs>
        <w:suppressAutoHyphens w:val="0"/>
        <w:spacing w:before="0" w:line="280" w:lineRule="exact"/>
        <w:jc w:val="both"/>
        <w:rPr>
          <w:rFonts w:cstheme="minorHAnsi"/>
          <w:sz w:val="21"/>
          <w:szCs w:val="21"/>
          <w:lang w:val="en-AU" w:eastAsia="en-AU"/>
        </w:rPr>
      </w:pPr>
      <w:r w:rsidRPr="00BA23EC">
        <w:rPr>
          <w:rFonts w:cstheme="minorHAnsi"/>
          <w:sz w:val="21"/>
          <w:lang w:val="en-AU"/>
        </w:rPr>
        <w:t xml:space="preserve">The latest </w:t>
      </w:r>
      <w:r w:rsidRPr="00BA23EC">
        <w:rPr>
          <w:rFonts w:cstheme="minorHAnsi"/>
          <w:sz w:val="21"/>
          <w:szCs w:val="21"/>
          <w:lang w:val="en-AU" w:eastAsia="en-AU"/>
        </w:rPr>
        <w:t>W</w:t>
      </w:r>
      <w:r w:rsidR="002530CA" w:rsidRPr="00BA23EC">
        <w:rPr>
          <w:rFonts w:cstheme="minorHAnsi"/>
          <w:sz w:val="21"/>
          <w:szCs w:val="21"/>
          <w:lang w:val="en-AU" w:eastAsia="en-AU"/>
        </w:rPr>
        <w:t xml:space="preserve">orld </w:t>
      </w:r>
      <w:r w:rsidRPr="00BA23EC">
        <w:rPr>
          <w:rFonts w:cstheme="minorHAnsi"/>
          <w:sz w:val="21"/>
          <w:szCs w:val="21"/>
          <w:lang w:val="en-AU" w:eastAsia="en-AU"/>
        </w:rPr>
        <w:t>B</w:t>
      </w:r>
      <w:r w:rsidR="002530CA" w:rsidRPr="00BA23EC">
        <w:rPr>
          <w:rFonts w:cstheme="minorHAnsi"/>
          <w:sz w:val="21"/>
          <w:szCs w:val="21"/>
          <w:lang w:val="en-AU" w:eastAsia="en-AU"/>
        </w:rPr>
        <w:t>ank</w:t>
      </w:r>
      <w:r w:rsidRPr="00BA23EC">
        <w:rPr>
          <w:rFonts w:cstheme="minorHAnsi"/>
          <w:sz w:val="21"/>
          <w:lang w:val="en-AU"/>
        </w:rPr>
        <w:t xml:space="preserve"> Multilateral Performance Assessment </w:t>
      </w:r>
      <w:r w:rsidR="00DE2B21">
        <w:rPr>
          <w:rFonts w:cstheme="minorHAnsi"/>
          <w:sz w:val="21"/>
          <w:lang w:val="en-AU"/>
        </w:rPr>
        <w:t xml:space="preserve">(MPR) </w:t>
      </w:r>
      <w:r w:rsidR="00CE0F7D" w:rsidRPr="00BA23EC">
        <w:rPr>
          <w:rFonts w:cstheme="minorHAnsi"/>
          <w:sz w:val="21"/>
          <w:szCs w:val="21"/>
          <w:lang w:val="en-AU" w:eastAsia="en-AU"/>
        </w:rPr>
        <w:t>2021</w:t>
      </w:r>
      <w:r w:rsidRPr="00BA23EC">
        <w:rPr>
          <w:rFonts w:cstheme="minorHAnsi"/>
          <w:sz w:val="21"/>
          <w:szCs w:val="21"/>
          <w:lang w:val="en-AU" w:eastAsia="en-AU"/>
        </w:rPr>
        <w:t xml:space="preserve"> </w:t>
      </w:r>
      <w:r w:rsidRPr="00BA23EC">
        <w:rPr>
          <w:rFonts w:cstheme="minorHAnsi"/>
          <w:sz w:val="21"/>
          <w:lang w:val="en-AU"/>
        </w:rPr>
        <w:t>provided an overall rating of 5 (good)</w:t>
      </w:r>
      <w:r w:rsidR="007A3889">
        <w:rPr>
          <w:rFonts w:cstheme="minorHAnsi"/>
          <w:sz w:val="21"/>
          <w:lang w:val="en-AU"/>
        </w:rPr>
        <w:t xml:space="preserve"> finding that the </w:t>
      </w:r>
      <w:r w:rsidR="007A3889" w:rsidRPr="00A0606F">
        <w:rPr>
          <w:rFonts w:cstheme="minorHAnsi"/>
          <w:sz w:val="21"/>
          <w:szCs w:val="21"/>
          <w:lang w:val="en-AU" w:eastAsia="en-AU"/>
        </w:rPr>
        <w:t>Bank’s processes and tools conform to international standards and are widely regarded as examples of best practice, ensuring strong levels of accountability, due diligence, operational oversight, risk management and fraud prevention. These processes underwrite the Bank’s consistent AAA rating and the trust of its member countries and partners.</w:t>
      </w:r>
      <w:r w:rsidR="00AB6FB4" w:rsidRPr="00A0606F">
        <w:rPr>
          <w:rFonts w:cstheme="minorHAnsi"/>
          <w:sz w:val="21"/>
          <w:szCs w:val="21"/>
          <w:lang w:val="en-AU" w:eastAsia="en-AU"/>
        </w:rPr>
        <w:t xml:space="preserve"> On risk management specifically the MPR provided a rating of 5, noting the World Bank has a strong internal control and accountability architecture and practices a systematic and rigorous approach to risk management, as well as the number of steps have been taken to modernise its operational policies, grievances mechanisms, and Environmental and Social Framework (ESF).</w:t>
      </w:r>
    </w:p>
    <w:p w14:paraId="1131E674" w14:textId="7FCCA0E5" w:rsidR="00816A39" w:rsidRPr="00816A39" w:rsidRDefault="000A2638" w:rsidP="00816A39">
      <w:pPr>
        <w:tabs>
          <w:tab w:val="left" w:pos="284"/>
        </w:tabs>
        <w:suppressAutoHyphens w:val="0"/>
        <w:spacing w:before="0" w:line="280" w:lineRule="exact"/>
        <w:jc w:val="both"/>
        <w:rPr>
          <w:rFonts w:cstheme="minorHAnsi"/>
          <w:sz w:val="21"/>
          <w:lang w:val="en-AU"/>
        </w:rPr>
      </w:pPr>
      <w:r>
        <w:rPr>
          <w:rFonts w:cstheme="minorHAnsi"/>
          <w:sz w:val="21"/>
          <w:lang w:val="en-AU"/>
        </w:rPr>
        <w:t xml:space="preserve">On gender equality however, while </w:t>
      </w:r>
      <w:r w:rsidR="007A3E9A">
        <w:rPr>
          <w:rFonts w:cstheme="minorHAnsi"/>
          <w:sz w:val="21"/>
          <w:lang w:val="en-AU"/>
        </w:rPr>
        <w:t xml:space="preserve">findings from an independent review </w:t>
      </w:r>
      <w:r w:rsidR="00AE1BC3" w:rsidRPr="00AE1BC3">
        <w:rPr>
          <w:rFonts w:cstheme="minorHAnsi"/>
          <w:sz w:val="21"/>
          <w:lang w:val="en-AU"/>
        </w:rPr>
        <w:t xml:space="preserve">found that commitment to the gender strategy by </w:t>
      </w:r>
      <w:r w:rsidR="007A3E9A">
        <w:rPr>
          <w:rFonts w:cstheme="minorHAnsi"/>
          <w:sz w:val="21"/>
          <w:lang w:val="en-AU"/>
        </w:rPr>
        <w:t xml:space="preserve">Bank </w:t>
      </w:r>
      <w:r w:rsidR="00AE1BC3" w:rsidRPr="00AE1BC3">
        <w:rPr>
          <w:rFonts w:cstheme="minorHAnsi"/>
          <w:sz w:val="21"/>
          <w:lang w:val="en-AU"/>
        </w:rPr>
        <w:t>management, staff and partners ha</w:t>
      </w:r>
      <w:r>
        <w:rPr>
          <w:rFonts w:cstheme="minorHAnsi"/>
          <w:sz w:val="21"/>
          <w:lang w:val="en-AU"/>
        </w:rPr>
        <w:t>d</w:t>
      </w:r>
      <w:r w:rsidR="00AE1BC3" w:rsidRPr="00AE1BC3">
        <w:rPr>
          <w:rFonts w:cstheme="minorHAnsi"/>
          <w:sz w:val="21"/>
          <w:lang w:val="en-AU"/>
        </w:rPr>
        <w:t xml:space="preserve"> translated into progress following plans and improvements in project design</w:t>
      </w:r>
      <w:r w:rsidR="007029D1">
        <w:rPr>
          <w:rFonts w:cstheme="minorHAnsi"/>
          <w:sz w:val="21"/>
          <w:lang w:val="en-AU"/>
        </w:rPr>
        <w:t xml:space="preserve">, </w:t>
      </w:r>
      <w:r w:rsidR="00AE1BC3" w:rsidRPr="00AE1BC3">
        <w:rPr>
          <w:rFonts w:cstheme="minorHAnsi"/>
          <w:sz w:val="21"/>
          <w:lang w:val="en-AU"/>
        </w:rPr>
        <w:t xml:space="preserve">implementation actions </w:t>
      </w:r>
      <w:r w:rsidR="009061E9">
        <w:rPr>
          <w:rFonts w:cstheme="minorHAnsi"/>
          <w:sz w:val="21"/>
          <w:lang w:val="en-AU"/>
        </w:rPr>
        <w:t xml:space="preserve">across their global operations </w:t>
      </w:r>
      <w:r w:rsidR="007029D1">
        <w:rPr>
          <w:rFonts w:cstheme="minorHAnsi"/>
          <w:sz w:val="21"/>
          <w:lang w:val="en-AU"/>
        </w:rPr>
        <w:t xml:space="preserve">did not </w:t>
      </w:r>
      <w:r w:rsidR="00AE1BC3" w:rsidRPr="00AE1BC3">
        <w:rPr>
          <w:rFonts w:cstheme="minorHAnsi"/>
          <w:sz w:val="21"/>
          <w:lang w:val="en-AU"/>
        </w:rPr>
        <w:t xml:space="preserve">consistently match this commitment, nor </w:t>
      </w:r>
      <w:r w:rsidR="007029D1">
        <w:rPr>
          <w:rFonts w:cstheme="minorHAnsi"/>
          <w:sz w:val="21"/>
          <w:lang w:val="en-AU"/>
        </w:rPr>
        <w:t>were</w:t>
      </w:r>
      <w:r w:rsidR="00AE1BC3" w:rsidRPr="00AE1BC3">
        <w:rPr>
          <w:rFonts w:cstheme="minorHAnsi"/>
          <w:sz w:val="21"/>
          <w:lang w:val="en-AU"/>
        </w:rPr>
        <w:t xml:space="preserve"> commensurate with the level of ambition in the strategy. </w:t>
      </w:r>
      <w:r w:rsidR="00541B5D" w:rsidRPr="008164BF">
        <w:rPr>
          <w:rFonts w:cstheme="minorHAnsi"/>
          <w:sz w:val="21"/>
          <w:lang w:val="en-AU"/>
        </w:rPr>
        <w:t xml:space="preserve">Likewise, the MPR noted a lack of responsiveness from the Bank on disability and social inclusion issues. </w:t>
      </w:r>
      <w:r w:rsidR="00916EDE" w:rsidRPr="008164BF">
        <w:rPr>
          <w:rFonts w:cstheme="minorHAnsi"/>
          <w:sz w:val="21"/>
          <w:lang w:val="en-AU"/>
        </w:rPr>
        <w:t xml:space="preserve">More recently the Bank has </w:t>
      </w:r>
      <w:r w:rsidR="00816A39" w:rsidRPr="00816A39">
        <w:rPr>
          <w:rFonts w:cstheme="minorHAnsi"/>
          <w:sz w:val="21"/>
          <w:lang w:val="en-AU"/>
        </w:rPr>
        <w:t xml:space="preserve">strengthened </w:t>
      </w:r>
      <w:r w:rsidR="00916EDE">
        <w:rPr>
          <w:rFonts w:cstheme="minorHAnsi"/>
          <w:sz w:val="21"/>
          <w:lang w:val="en-AU"/>
        </w:rPr>
        <w:t>their</w:t>
      </w:r>
      <w:r w:rsidR="00816A39" w:rsidRPr="00816A39">
        <w:rPr>
          <w:rFonts w:cstheme="minorHAnsi"/>
          <w:sz w:val="21"/>
          <w:lang w:val="en-AU"/>
        </w:rPr>
        <w:t xml:space="preserve"> commitments </w:t>
      </w:r>
      <w:r w:rsidR="00916EDE">
        <w:rPr>
          <w:rFonts w:cstheme="minorHAnsi"/>
          <w:sz w:val="21"/>
          <w:lang w:val="en-AU"/>
        </w:rPr>
        <w:t>on disability inclusion</w:t>
      </w:r>
      <w:r w:rsidR="00816A39" w:rsidRPr="00816A39">
        <w:rPr>
          <w:rFonts w:cstheme="minorHAnsi"/>
          <w:sz w:val="21"/>
          <w:lang w:val="en-AU"/>
        </w:rPr>
        <w:t xml:space="preserve">, by scaling up disability data collection and use, and building capacity of institutions to reduce gaps in the availability of disaggregated core data for evidence-based policy making. </w:t>
      </w:r>
    </w:p>
    <w:p w14:paraId="205B1377" w14:textId="2F9ABCE6" w:rsidR="007A3889" w:rsidRDefault="009061E9" w:rsidP="007A3889">
      <w:pPr>
        <w:tabs>
          <w:tab w:val="left" w:pos="284"/>
        </w:tabs>
        <w:suppressAutoHyphens w:val="0"/>
        <w:spacing w:before="0" w:line="280" w:lineRule="exact"/>
        <w:jc w:val="both"/>
        <w:rPr>
          <w:rFonts w:eastAsia="Times New Roman" w:cs="Times New Roman"/>
          <w:szCs w:val="24"/>
          <w:lang w:val="en-AU"/>
        </w:rPr>
      </w:pPr>
      <w:r>
        <w:rPr>
          <w:rFonts w:cstheme="minorHAnsi"/>
          <w:sz w:val="21"/>
          <w:lang w:val="en-AU"/>
        </w:rPr>
        <w:t>In Indonesia, a</w:t>
      </w:r>
      <w:r w:rsidR="007A3889">
        <w:rPr>
          <w:rFonts w:cstheme="minorHAnsi"/>
          <w:sz w:val="21"/>
          <w:lang w:val="en-AU"/>
        </w:rPr>
        <w:t xml:space="preserve"> recent </w:t>
      </w:r>
      <w:r w:rsidR="007A3889" w:rsidRPr="00BA23EC">
        <w:rPr>
          <w:rFonts w:cstheme="minorHAnsi"/>
          <w:sz w:val="21"/>
          <w:lang w:val="en-AU"/>
        </w:rPr>
        <w:t>In</w:t>
      </w:r>
      <w:r w:rsidR="007A3889">
        <w:rPr>
          <w:rFonts w:cstheme="minorHAnsi"/>
          <w:sz w:val="21"/>
          <w:lang w:val="en-AU"/>
        </w:rPr>
        <w:t xml:space="preserve">dependent </w:t>
      </w:r>
      <w:r w:rsidR="007A3889" w:rsidRPr="00BA23EC">
        <w:rPr>
          <w:rFonts w:cstheme="minorHAnsi"/>
          <w:sz w:val="21"/>
          <w:lang w:val="en-AU"/>
        </w:rPr>
        <w:t xml:space="preserve">Mid-term </w:t>
      </w:r>
      <w:r w:rsidR="007A3889">
        <w:rPr>
          <w:rFonts w:cstheme="minorHAnsi"/>
          <w:sz w:val="21"/>
          <w:lang w:val="en-AU"/>
        </w:rPr>
        <w:t>R</w:t>
      </w:r>
      <w:r w:rsidR="007A3889" w:rsidRPr="00BA23EC">
        <w:rPr>
          <w:rFonts w:cstheme="minorHAnsi"/>
          <w:sz w:val="21"/>
          <w:lang w:val="en-AU"/>
        </w:rPr>
        <w:t>eview</w:t>
      </w:r>
      <w:r w:rsidR="007A3889">
        <w:rPr>
          <w:rFonts w:cstheme="minorHAnsi"/>
          <w:sz w:val="21"/>
          <w:lang w:val="en-AU"/>
        </w:rPr>
        <w:t xml:space="preserve"> (MTR) review of the </w:t>
      </w:r>
      <w:r w:rsidR="007A3889" w:rsidRPr="00BA23EC">
        <w:rPr>
          <w:rFonts w:cstheme="minorHAnsi"/>
          <w:i/>
          <w:sz w:val="21"/>
          <w:lang w:val="en-AU"/>
        </w:rPr>
        <w:t>Australia World Bank Indonesia Partnership (2020-2025</w:t>
      </w:r>
      <w:r w:rsidR="007A3889" w:rsidRPr="00BA23EC">
        <w:rPr>
          <w:rFonts w:cstheme="minorHAnsi"/>
          <w:sz w:val="21"/>
          <w:lang w:val="en-AU"/>
        </w:rPr>
        <w:t>) (</w:t>
      </w:r>
      <w:r w:rsidR="007A3889" w:rsidRPr="00BA23EC">
        <w:rPr>
          <w:rFonts w:cstheme="minorHAnsi"/>
          <w:i/>
          <w:sz w:val="21"/>
          <w:lang w:val="en-AU"/>
        </w:rPr>
        <w:t>ABIP</w:t>
      </w:r>
      <w:r w:rsidR="007A3889">
        <w:rPr>
          <w:rFonts w:cstheme="minorHAnsi"/>
          <w:sz w:val="21"/>
          <w:lang w:val="en-AU"/>
        </w:rPr>
        <w:t>) found that</w:t>
      </w:r>
      <w:r w:rsidR="007A3889" w:rsidRPr="00BA23EC">
        <w:rPr>
          <w:rFonts w:cstheme="minorHAnsi"/>
          <w:sz w:val="21"/>
          <w:lang w:val="en-AU"/>
        </w:rPr>
        <w:t xml:space="preserve"> the partnership between </w:t>
      </w:r>
      <w:proofErr w:type="spellStart"/>
      <w:r w:rsidR="007A3889" w:rsidRPr="00BA23EC">
        <w:rPr>
          <w:rFonts w:cstheme="minorHAnsi"/>
          <w:sz w:val="21"/>
          <w:lang w:val="en-AU"/>
        </w:rPr>
        <w:t>GoI</w:t>
      </w:r>
      <w:proofErr w:type="spellEnd"/>
      <w:r w:rsidR="007A3889" w:rsidRPr="00BA23EC">
        <w:rPr>
          <w:rFonts w:cstheme="minorHAnsi"/>
          <w:sz w:val="21"/>
          <w:lang w:val="en-AU"/>
        </w:rPr>
        <w:t xml:space="preserve"> and the Bank </w:t>
      </w:r>
      <w:r w:rsidR="007A3889">
        <w:rPr>
          <w:rFonts w:cstheme="minorHAnsi"/>
          <w:sz w:val="21"/>
          <w:lang w:val="en-AU"/>
        </w:rPr>
        <w:t xml:space="preserve">was </w:t>
      </w:r>
      <w:r w:rsidR="007A3889" w:rsidRPr="00BA23EC">
        <w:rPr>
          <w:rFonts w:cstheme="minorHAnsi"/>
          <w:sz w:val="21"/>
          <w:lang w:val="en-AU"/>
        </w:rPr>
        <w:t xml:space="preserve">maturing </w:t>
      </w:r>
      <w:r w:rsidR="007A3889">
        <w:rPr>
          <w:rFonts w:cstheme="minorHAnsi"/>
          <w:sz w:val="21"/>
          <w:lang w:val="en-AU"/>
        </w:rPr>
        <w:t>with</w:t>
      </w:r>
      <w:r w:rsidR="007A3889" w:rsidRPr="00BA23EC">
        <w:rPr>
          <w:rFonts w:cstheme="minorHAnsi"/>
          <w:sz w:val="21"/>
          <w:lang w:val="en-AU"/>
        </w:rPr>
        <w:t xml:space="preserve"> better supports </w:t>
      </w:r>
      <w:r w:rsidR="007A3889">
        <w:rPr>
          <w:rFonts w:cstheme="minorHAnsi"/>
          <w:sz w:val="21"/>
          <w:lang w:val="en-AU"/>
        </w:rPr>
        <w:t xml:space="preserve">for </w:t>
      </w:r>
      <w:r w:rsidR="007A3889" w:rsidRPr="00BA23EC">
        <w:rPr>
          <w:rFonts w:cstheme="minorHAnsi"/>
          <w:sz w:val="21"/>
          <w:lang w:val="en-AU"/>
        </w:rPr>
        <w:t>institutional strengthening</w:t>
      </w:r>
      <w:r w:rsidR="007A3889">
        <w:rPr>
          <w:rFonts w:cstheme="minorHAnsi"/>
          <w:sz w:val="21"/>
          <w:lang w:val="en-AU"/>
        </w:rPr>
        <w:t xml:space="preserve"> and that</w:t>
      </w:r>
      <w:r w:rsidR="007A3889" w:rsidRPr="005254E0">
        <w:rPr>
          <w:rFonts w:cstheme="minorHAnsi"/>
          <w:sz w:val="21"/>
          <w:lang w:val="en-AU"/>
        </w:rPr>
        <w:t xml:space="preserve"> considerable progress ha</w:t>
      </w:r>
      <w:r w:rsidR="007A3889">
        <w:rPr>
          <w:rFonts w:cstheme="minorHAnsi"/>
          <w:sz w:val="21"/>
          <w:lang w:val="en-AU"/>
        </w:rPr>
        <w:t>d</w:t>
      </w:r>
      <w:r w:rsidR="007A3889" w:rsidRPr="005254E0">
        <w:rPr>
          <w:rFonts w:cstheme="minorHAnsi"/>
          <w:sz w:val="21"/>
          <w:lang w:val="en-AU"/>
        </w:rPr>
        <w:t xml:space="preserve"> been made in elevating gender within the trust fund</w:t>
      </w:r>
      <w:r w:rsidR="007A3889">
        <w:rPr>
          <w:rFonts w:cstheme="minorHAnsi"/>
          <w:sz w:val="21"/>
          <w:lang w:val="en-AU"/>
        </w:rPr>
        <w:t xml:space="preserve">. This was attributed to DFAT’s strong advocacy to ensure ABIP had an explicit focus on gender equality, providing the scope to </w:t>
      </w:r>
      <w:r w:rsidR="007A3889" w:rsidRPr="008164BF">
        <w:rPr>
          <w:rFonts w:cstheme="minorHAnsi"/>
          <w:sz w:val="21"/>
          <w:lang w:val="en-AU"/>
        </w:rPr>
        <w:t xml:space="preserve">strengthen attention on disability and social inclusion, through an intersectionality pathway for the remaining time under the investment and under Phase II of ABIP. </w:t>
      </w:r>
      <w:r w:rsidRPr="008164BF">
        <w:rPr>
          <w:rFonts w:cstheme="minorHAnsi"/>
          <w:sz w:val="21"/>
          <w:lang w:val="en-AU"/>
        </w:rPr>
        <w:t xml:space="preserve">The review also found that </w:t>
      </w:r>
      <w:proofErr w:type="spellStart"/>
      <w:r w:rsidRPr="00BA23EC">
        <w:rPr>
          <w:rFonts w:cstheme="minorHAnsi"/>
          <w:sz w:val="21"/>
          <w:lang w:val="en-AU"/>
        </w:rPr>
        <w:t>GoI</w:t>
      </w:r>
      <w:proofErr w:type="spellEnd"/>
      <w:r w:rsidRPr="00BA23EC">
        <w:rPr>
          <w:rFonts w:cstheme="minorHAnsi"/>
          <w:sz w:val="21"/>
          <w:lang w:val="en-AU"/>
        </w:rPr>
        <w:t xml:space="preserve"> </w:t>
      </w:r>
      <w:r w:rsidR="00AB6FB4">
        <w:rPr>
          <w:rFonts w:cstheme="minorHAnsi"/>
          <w:sz w:val="21"/>
          <w:lang w:val="en-AU"/>
        </w:rPr>
        <w:t xml:space="preserve">counterparts </w:t>
      </w:r>
      <w:r w:rsidRPr="00BA23EC">
        <w:rPr>
          <w:rFonts w:cstheme="minorHAnsi"/>
          <w:sz w:val="21"/>
          <w:lang w:val="en-AU"/>
        </w:rPr>
        <w:t>confirmed the value of the Bank’s influential</w:t>
      </w:r>
      <w:r w:rsidRPr="008164BF">
        <w:rPr>
          <w:rFonts w:cstheme="minorHAnsi"/>
          <w:sz w:val="21"/>
          <w:lang w:val="en-AU"/>
        </w:rPr>
        <w:t>,</w:t>
      </w:r>
      <w:r w:rsidRPr="00BA23EC">
        <w:rPr>
          <w:rFonts w:cstheme="minorHAnsi"/>
          <w:sz w:val="21"/>
          <w:lang w:val="en-AU"/>
        </w:rPr>
        <w:t xml:space="preserve"> over-the-horizon and just-in-time research and analytics, credible and authoritative technical assistance, and policy advice</w:t>
      </w:r>
      <w:r w:rsidRPr="008164BF">
        <w:rPr>
          <w:rFonts w:cstheme="minorHAnsi"/>
          <w:sz w:val="21"/>
          <w:lang w:val="en-AU"/>
        </w:rPr>
        <w:t>;</w:t>
      </w:r>
      <w:r w:rsidRPr="00BA23EC">
        <w:rPr>
          <w:rFonts w:cstheme="minorHAnsi"/>
          <w:sz w:val="21"/>
          <w:lang w:val="en-AU"/>
        </w:rPr>
        <w:t xml:space="preserve"> and the </w:t>
      </w:r>
      <w:r w:rsidRPr="00BA23EC">
        <w:rPr>
          <w:rFonts w:cstheme="minorHAnsi"/>
          <w:sz w:val="21"/>
          <w:szCs w:val="21"/>
          <w:lang w:val="en-AU" w:eastAsia="en-AU"/>
        </w:rPr>
        <w:t>opportunity</w:t>
      </w:r>
      <w:r w:rsidRPr="00BA23EC">
        <w:rPr>
          <w:rFonts w:cstheme="minorHAnsi"/>
          <w:sz w:val="21"/>
          <w:lang w:val="en-AU"/>
        </w:rPr>
        <w:t xml:space="preserve"> for </w:t>
      </w:r>
      <w:proofErr w:type="spellStart"/>
      <w:r w:rsidRPr="00BA23EC">
        <w:rPr>
          <w:rFonts w:cstheme="minorHAnsi"/>
          <w:sz w:val="21"/>
          <w:lang w:val="en-AU"/>
        </w:rPr>
        <w:t>GoI</w:t>
      </w:r>
      <w:proofErr w:type="spellEnd"/>
      <w:r w:rsidRPr="00BA23EC">
        <w:rPr>
          <w:rFonts w:cstheme="minorHAnsi"/>
          <w:sz w:val="21"/>
          <w:lang w:val="en-AU"/>
        </w:rPr>
        <w:t xml:space="preserve"> to access globally recognised expertise, networks, and knowledge exchange. </w:t>
      </w:r>
      <w:proofErr w:type="spellStart"/>
      <w:r w:rsidRPr="00BA23EC">
        <w:rPr>
          <w:rFonts w:cstheme="minorHAnsi"/>
          <w:sz w:val="21"/>
          <w:lang w:val="en-AU"/>
        </w:rPr>
        <w:t>GoI</w:t>
      </w:r>
      <w:proofErr w:type="spellEnd"/>
      <w:r w:rsidRPr="00BA23EC">
        <w:rPr>
          <w:rFonts w:cstheme="minorHAnsi"/>
          <w:sz w:val="21"/>
          <w:lang w:val="en-AU"/>
        </w:rPr>
        <w:t xml:space="preserve"> interlocuters also valued the role of the Bank as a neutral actor with the profile to convene development partners and others to foster collaboration on shared issues.</w:t>
      </w:r>
    </w:p>
    <w:p w14:paraId="2CBC2B73" w14:textId="170C790B" w:rsidR="007A3889" w:rsidRDefault="009061E9" w:rsidP="007A3889">
      <w:pPr>
        <w:tabs>
          <w:tab w:val="left" w:pos="284"/>
        </w:tabs>
        <w:suppressAutoHyphens w:val="0"/>
        <w:spacing w:before="0" w:line="280" w:lineRule="exact"/>
        <w:jc w:val="both"/>
        <w:rPr>
          <w:rFonts w:cstheme="minorHAnsi"/>
          <w:sz w:val="21"/>
          <w:lang w:val="en-AU"/>
        </w:rPr>
      </w:pPr>
      <w:r w:rsidRPr="008164BF">
        <w:rPr>
          <w:rFonts w:cstheme="minorHAnsi"/>
          <w:sz w:val="21"/>
          <w:lang w:val="en-AU"/>
        </w:rPr>
        <w:t xml:space="preserve">Under the HT-MDTF, DFAT will build off </w:t>
      </w:r>
      <w:r w:rsidR="00AB6FB4" w:rsidRPr="008164BF">
        <w:rPr>
          <w:rFonts w:cstheme="minorHAnsi"/>
          <w:sz w:val="21"/>
          <w:lang w:val="en-AU"/>
        </w:rPr>
        <w:t>the</w:t>
      </w:r>
      <w:r w:rsidRPr="008164BF">
        <w:rPr>
          <w:rFonts w:cstheme="minorHAnsi"/>
          <w:sz w:val="21"/>
          <w:lang w:val="en-AU"/>
        </w:rPr>
        <w:t xml:space="preserve"> momentum </w:t>
      </w:r>
      <w:r w:rsidR="00AB6FB4" w:rsidRPr="008164BF">
        <w:rPr>
          <w:rFonts w:cstheme="minorHAnsi"/>
          <w:sz w:val="21"/>
          <w:lang w:val="en-AU"/>
        </w:rPr>
        <w:t xml:space="preserve">established with the Bank under </w:t>
      </w:r>
      <w:r w:rsidRPr="008164BF">
        <w:rPr>
          <w:rFonts w:cstheme="minorHAnsi"/>
          <w:sz w:val="21"/>
          <w:lang w:val="en-AU"/>
        </w:rPr>
        <w:t>ABIP</w:t>
      </w:r>
      <w:r w:rsidR="00AB6FB4" w:rsidRPr="008164BF">
        <w:rPr>
          <w:rFonts w:cstheme="minorHAnsi"/>
          <w:sz w:val="21"/>
          <w:lang w:val="en-AU"/>
        </w:rPr>
        <w:t>. T</w:t>
      </w:r>
      <w:r w:rsidRPr="008164BF">
        <w:rPr>
          <w:rFonts w:cstheme="minorHAnsi"/>
          <w:sz w:val="21"/>
          <w:lang w:val="en-AU"/>
        </w:rPr>
        <w:t xml:space="preserve">hrough our membership on the Partnership </w:t>
      </w:r>
      <w:r w:rsidR="008164BF" w:rsidRPr="008164BF">
        <w:rPr>
          <w:rFonts w:cstheme="minorHAnsi"/>
          <w:sz w:val="21"/>
          <w:lang w:val="en-AU"/>
        </w:rPr>
        <w:t>Council,</w:t>
      </w:r>
      <w:r w:rsidRPr="008164BF">
        <w:rPr>
          <w:rFonts w:cstheme="minorHAnsi"/>
          <w:sz w:val="21"/>
          <w:lang w:val="en-AU"/>
        </w:rPr>
        <w:t xml:space="preserve"> we will endeavour to build a strong alliance with </w:t>
      </w:r>
      <w:proofErr w:type="spellStart"/>
      <w:r w:rsidRPr="008164BF">
        <w:rPr>
          <w:rFonts w:cstheme="minorHAnsi"/>
          <w:sz w:val="21"/>
          <w:lang w:val="en-AU"/>
        </w:rPr>
        <w:t>GoI</w:t>
      </w:r>
      <w:proofErr w:type="spellEnd"/>
      <w:r w:rsidR="00FD2736" w:rsidRPr="008164BF">
        <w:rPr>
          <w:rFonts w:cstheme="minorHAnsi"/>
          <w:sz w:val="21"/>
          <w:lang w:val="en-AU"/>
        </w:rPr>
        <w:t xml:space="preserve">, the Bank, </w:t>
      </w:r>
      <w:r w:rsidRPr="008164BF">
        <w:rPr>
          <w:rFonts w:cstheme="minorHAnsi"/>
          <w:sz w:val="21"/>
          <w:lang w:val="en-AU"/>
        </w:rPr>
        <w:t xml:space="preserve">and other like-minded donors around </w:t>
      </w:r>
      <w:r w:rsidR="0013743C">
        <w:rPr>
          <w:rFonts w:cstheme="minorHAnsi"/>
          <w:sz w:val="21"/>
          <w:lang w:val="en-AU"/>
        </w:rPr>
        <w:t>our</w:t>
      </w:r>
      <w:r w:rsidRPr="008164BF">
        <w:rPr>
          <w:rFonts w:cstheme="minorHAnsi"/>
          <w:sz w:val="21"/>
          <w:lang w:val="en-AU"/>
        </w:rPr>
        <w:t xml:space="preserve"> priorities on gender equality, disability inclusion and climate resilience</w:t>
      </w:r>
      <w:r w:rsidR="00FD2736" w:rsidRPr="008164BF">
        <w:rPr>
          <w:rFonts w:cstheme="minorHAnsi"/>
          <w:sz w:val="21"/>
          <w:lang w:val="en-AU"/>
        </w:rPr>
        <w:t xml:space="preserve"> to ensure implementation is </w:t>
      </w:r>
      <w:r w:rsidR="007A3889" w:rsidRPr="008164BF">
        <w:rPr>
          <w:rFonts w:cstheme="minorHAnsi"/>
          <w:sz w:val="21"/>
          <w:lang w:val="en-AU"/>
        </w:rPr>
        <w:t xml:space="preserve">commensurate with </w:t>
      </w:r>
      <w:r w:rsidR="00FD2736" w:rsidRPr="008164BF">
        <w:rPr>
          <w:rFonts w:cstheme="minorHAnsi"/>
          <w:sz w:val="21"/>
          <w:lang w:val="en-AU"/>
        </w:rPr>
        <w:t xml:space="preserve">stated ambitions. </w:t>
      </w:r>
    </w:p>
    <w:p w14:paraId="41BFA90D" w14:textId="0289051A" w:rsidR="004C0F16" w:rsidRPr="00BA23EC" w:rsidRDefault="009C2435" w:rsidP="009C2435">
      <w:pPr>
        <w:tabs>
          <w:tab w:val="left" w:pos="284"/>
        </w:tabs>
        <w:suppressAutoHyphens w:val="0"/>
        <w:spacing w:before="0" w:line="280" w:lineRule="exact"/>
        <w:jc w:val="both"/>
        <w:rPr>
          <w:rFonts w:cstheme="minorHAnsi"/>
          <w:sz w:val="21"/>
          <w:lang w:val="en-AU"/>
        </w:rPr>
      </w:pPr>
      <w:r w:rsidRPr="00BA23EC">
        <w:rPr>
          <w:rFonts w:cstheme="minorHAnsi"/>
          <w:sz w:val="21"/>
          <w:lang w:val="en-AU"/>
        </w:rPr>
        <w:t xml:space="preserve">Consideration </w:t>
      </w:r>
      <w:r w:rsidR="00B17CAB" w:rsidRPr="00BA23EC">
        <w:rPr>
          <w:rFonts w:cstheme="minorHAnsi"/>
          <w:sz w:val="21"/>
          <w:lang w:val="en-AU"/>
        </w:rPr>
        <w:t xml:space="preserve">was given </w:t>
      </w:r>
      <w:r w:rsidRPr="00BA23EC">
        <w:rPr>
          <w:rFonts w:cstheme="minorHAnsi"/>
          <w:sz w:val="21"/>
          <w:lang w:val="en-AU"/>
        </w:rPr>
        <w:t xml:space="preserve">as to whether Australia’s contribution to the health reforms could be channelled through the single donor trust fund established under ABIP to the </w:t>
      </w:r>
      <w:r w:rsidRPr="00BA23EC">
        <w:rPr>
          <w:rFonts w:cstheme="minorHAnsi"/>
          <w:sz w:val="21"/>
          <w:szCs w:val="21"/>
          <w:lang w:val="en-AU" w:eastAsia="en-AU"/>
        </w:rPr>
        <w:t>H</w:t>
      </w:r>
      <w:r w:rsidR="00671904" w:rsidRPr="00BA23EC">
        <w:rPr>
          <w:rFonts w:cstheme="minorHAnsi"/>
          <w:sz w:val="21"/>
          <w:szCs w:val="21"/>
          <w:lang w:val="en-AU" w:eastAsia="en-AU"/>
        </w:rPr>
        <w:t>T-</w:t>
      </w:r>
      <w:r w:rsidRPr="00BA23EC">
        <w:rPr>
          <w:rFonts w:cstheme="minorHAnsi"/>
          <w:sz w:val="21"/>
          <w:lang w:val="en-AU"/>
        </w:rPr>
        <w:t>MDTF</w:t>
      </w:r>
      <w:r w:rsidR="0096073E">
        <w:rPr>
          <w:rFonts w:cstheme="minorHAnsi"/>
          <w:sz w:val="21"/>
          <w:lang w:val="en-AU"/>
        </w:rPr>
        <w:t>. H</w:t>
      </w:r>
      <w:r w:rsidRPr="00BA23EC">
        <w:rPr>
          <w:rFonts w:cstheme="minorHAnsi"/>
          <w:sz w:val="21"/>
          <w:lang w:val="en-AU"/>
        </w:rPr>
        <w:t xml:space="preserve">owever, this would not meet DFAT’s financial </w:t>
      </w:r>
      <w:r w:rsidRPr="00BA23EC">
        <w:rPr>
          <w:rFonts w:cstheme="minorHAnsi"/>
          <w:sz w:val="21"/>
          <w:lang w:val="en-AU"/>
        </w:rPr>
        <w:lastRenderedPageBreak/>
        <w:t>reporting requirements</w:t>
      </w:r>
      <w:r w:rsidR="00B17CAB" w:rsidRPr="00BA23EC">
        <w:rPr>
          <w:rFonts w:cstheme="minorHAnsi"/>
          <w:sz w:val="21"/>
          <w:lang w:val="en-AU"/>
        </w:rPr>
        <w:t xml:space="preserve"> and </w:t>
      </w:r>
      <w:r w:rsidR="00671904" w:rsidRPr="00BA23EC">
        <w:rPr>
          <w:rFonts w:cstheme="minorHAnsi"/>
          <w:sz w:val="21"/>
          <w:szCs w:val="21"/>
          <w:lang w:val="en-AU" w:eastAsia="en-AU"/>
        </w:rPr>
        <w:t xml:space="preserve">would </w:t>
      </w:r>
      <w:r w:rsidR="00B17CAB" w:rsidRPr="00BA23EC">
        <w:rPr>
          <w:rFonts w:cstheme="minorHAnsi"/>
          <w:sz w:val="21"/>
          <w:lang w:val="en-AU"/>
        </w:rPr>
        <w:t xml:space="preserve">not provide the opportunity for Australia to directly engage on the health reforms as a member of the </w:t>
      </w:r>
      <w:r w:rsidR="00B17CAB" w:rsidRPr="00BA23EC">
        <w:rPr>
          <w:rFonts w:cstheme="minorHAnsi"/>
          <w:sz w:val="21"/>
          <w:szCs w:val="21"/>
          <w:lang w:val="en-AU" w:eastAsia="en-AU"/>
        </w:rPr>
        <w:t>H</w:t>
      </w:r>
      <w:r w:rsidR="00671904" w:rsidRPr="00BA23EC">
        <w:rPr>
          <w:rFonts w:cstheme="minorHAnsi"/>
          <w:sz w:val="21"/>
          <w:szCs w:val="21"/>
          <w:lang w:val="en-AU" w:eastAsia="en-AU"/>
        </w:rPr>
        <w:t>T-</w:t>
      </w:r>
      <w:r w:rsidR="00B17CAB" w:rsidRPr="00BA23EC">
        <w:rPr>
          <w:rFonts w:cstheme="minorHAnsi"/>
          <w:sz w:val="21"/>
          <w:lang w:val="en-AU"/>
        </w:rPr>
        <w:t xml:space="preserve">MDTF Partnership </w:t>
      </w:r>
      <w:r w:rsidR="00B17CAB" w:rsidRPr="00BA23EC">
        <w:rPr>
          <w:rFonts w:cstheme="minorHAnsi"/>
          <w:sz w:val="21"/>
          <w:szCs w:val="21"/>
          <w:lang w:val="en-AU" w:eastAsia="en-AU"/>
        </w:rPr>
        <w:t>Coun</w:t>
      </w:r>
      <w:r w:rsidR="00671904" w:rsidRPr="00BA23EC">
        <w:rPr>
          <w:rFonts w:cstheme="minorHAnsi"/>
          <w:sz w:val="21"/>
          <w:szCs w:val="21"/>
          <w:lang w:val="en-AU" w:eastAsia="en-AU"/>
        </w:rPr>
        <w:t>ci</w:t>
      </w:r>
      <w:r w:rsidR="00B17CAB" w:rsidRPr="00BA23EC">
        <w:rPr>
          <w:rFonts w:cstheme="minorHAnsi"/>
          <w:sz w:val="21"/>
          <w:szCs w:val="21"/>
          <w:lang w:val="en-AU" w:eastAsia="en-AU"/>
        </w:rPr>
        <w:t>l</w:t>
      </w:r>
      <w:r w:rsidR="00B17CAB" w:rsidRPr="00BA23EC">
        <w:rPr>
          <w:rFonts w:cstheme="minorHAnsi"/>
          <w:sz w:val="21"/>
          <w:lang w:val="en-AU"/>
        </w:rPr>
        <w:t xml:space="preserve">. </w:t>
      </w:r>
    </w:p>
    <w:p w14:paraId="55709714" w14:textId="48C9D2E4" w:rsidR="002D4DE7" w:rsidRPr="00BA23EC" w:rsidRDefault="00271FB6" w:rsidP="00271FB6">
      <w:pPr>
        <w:pStyle w:val="Heading2"/>
      </w:pPr>
      <w:bookmarkStart w:id="13" w:name="ImplementationArrangements"/>
      <w:r>
        <w:t xml:space="preserve">E. </w:t>
      </w:r>
      <w:r w:rsidR="002D4DE7" w:rsidRPr="00BA23EC">
        <w:t>Implementation Arrangements</w:t>
      </w:r>
    </w:p>
    <w:bookmarkEnd w:id="13"/>
    <w:p w14:paraId="672C2BB3" w14:textId="78C1D208" w:rsidR="0052217B" w:rsidRPr="00BA23EC" w:rsidRDefault="0052217B" w:rsidP="00960B9C">
      <w:pPr>
        <w:tabs>
          <w:tab w:val="left" w:pos="284"/>
        </w:tabs>
        <w:suppressAutoHyphens w:val="0"/>
        <w:spacing w:before="0" w:line="280" w:lineRule="exact"/>
        <w:jc w:val="both"/>
        <w:rPr>
          <w:rFonts w:cstheme="minorHAnsi"/>
          <w:u w:val="single"/>
          <w:lang w:val="en-AU"/>
        </w:rPr>
      </w:pPr>
      <w:r w:rsidRPr="00BA23EC">
        <w:rPr>
          <w:rFonts w:cstheme="minorHAnsi"/>
          <w:u w:val="single"/>
          <w:lang w:val="en-AU"/>
        </w:rPr>
        <w:t>Modality</w:t>
      </w:r>
    </w:p>
    <w:p w14:paraId="363F6E08" w14:textId="3391B605" w:rsidR="00671904" w:rsidRPr="00BA23EC" w:rsidRDefault="0052217B" w:rsidP="003B562D">
      <w:pPr>
        <w:tabs>
          <w:tab w:val="left" w:pos="284"/>
        </w:tabs>
        <w:suppressAutoHyphens w:val="0"/>
        <w:spacing w:before="0" w:line="280" w:lineRule="exact"/>
        <w:jc w:val="both"/>
        <w:rPr>
          <w:rFonts w:cstheme="minorHAnsi"/>
          <w:sz w:val="21"/>
          <w:szCs w:val="21"/>
          <w:lang w:val="en-AU"/>
        </w:rPr>
      </w:pPr>
      <w:r w:rsidRPr="00BA23EC">
        <w:rPr>
          <w:rFonts w:cstheme="minorHAnsi"/>
          <w:sz w:val="21"/>
          <w:lang w:val="en-AU"/>
        </w:rPr>
        <w:t xml:space="preserve">Australia’s </w:t>
      </w:r>
      <w:r w:rsidR="00E702D0" w:rsidRPr="00BA23EC">
        <w:rPr>
          <w:rFonts w:cstheme="minorHAnsi"/>
          <w:sz w:val="21"/>
          <w:lang w:val="en-AU"/>
        </w:rPr>
        <w:t xml:space="preserve">contribution to the </w:t>
      </w:r>
      <w:r w:rsidR="00781EBD" w:rsidRPr="00BA23EC">
        <w:rPr>
          <w:rFonts w:cstheme="minorHAnsi"/>
          <w:sz w:val="21"/>
          <w:szCs w:val="21"/>
          <w:lang w:val="en-AU"/>
        </w:rPr>
        <w:t>HT-</w:t>
      </w:r>
      <w:r w:rsidR="00E702D0" w:rsidRPr="00BA23EC">
        <w:rPr>
          <w:rFonts w:cstheme="minorHAnsi"/>
          <w:sz w:val="21"/>
          <w:lang w:val="en-AU"/>
        </w:rPr>
        <w:t>MDTF</w:t>
      </w:r>
      <w:r w:rsidRPr="00BA23EC">
        <w:rPr>
          <w:rFonts w:cstheme="minorHAnsi"/>
          <w:sz w:val="21"/>
          <w:lang w:val="en-AU"/>
        </w:rPr>
        <w:t xml:space="preserve"> will be </w:t>
      </w:r>
      <w:r w:rsidR="0096073E">
        <w:rPr>
          <w:rFonts w:cstheme="minorHAnsi"/>
          <w:sz w:val="21"/>
          <w:lang w:val="en-AU"/>
        </w:rPr>
        <w:t>managed</w:t>
      </w:r>
      <w:r w:rsidR="0096073E" w:rsidRPr="00BA23EC">
        <w:rPr>
          <w:rFonts w:cstheme="minorHAnsi"/>
          <w:sz w:val="21"/>
          <w:lang w:val="en-AU"/>
        </w:rPr>
        <w:t xml:space="preserve"> </w:t>
      </w:r>
      <w:r w:rsidR="00781EBD" w:rsidRPr="00BA23EC">
        <w:rPr>
          <w:rFonts w:cstheme="minorHAnsi"/>
          <w:sz w:val="21"/>
          <w:szCs w:val="21"/>
          <w:lang w:val="en-AU"/>
        </w:rPr>
        <w:t>through</w:t>
      </w:r>
      <w:r w:rsidRPr="00BA23EC">
        <w:rPr>
          <w:rFonts w:cstheme="minorHAnsi"/>
          <w:sz w:val="21"/>
          <w:lang w:val="en-AU"/>
        </w:rPr>
        <w:t xml:space="preserve"> an Administrative Agreement with the </w:t>
      </w:r>
      <w:r w:rsidR="00E702D0" w:rsidRPr="00BA23EC">
        <w:rPr>
          <w:rFonts w:cstheme="minorHAnsi"/>
          <w:sz w:val="21"/>
          <w:lang w:val="en-AU"/>
        </w:rPr>
        <w:t xml:space="preserve">World Bank which will outline </w:t>
      </w:r>
      <w:r w:rsidR="00CB2B51" w:rsidRPr="00BA23EC">
        <w:rPr>
          <w:rFonts w:cstheme="minorHAnsi"/>
          <w:sz w:val="21"/>
          <w:lang w:val="en-AU"/>
        </w:rPr>
        <w:t xml:space="preserve">arrangements for </w:t>
      </w:r>
      <w:r w:rsidR="00E702D0" w:rsidRPr="00BA23EC">
        <w:rPr>
          <w:rFonts w:cstheme="minorHAnsi"/>
          <w:sz w:val="21"/>
          <w:lang w:val="en-AU"/>
        </w:rPr>
        <w:t xml:space="preserve">governance, progress reporting, financial management, and allocation and use of funds. </w:t>
      </w:r>
      <w:r w:rsidR="00E8073C" w:rsidRPr="00BA23EC">
        <w:rPr>
          <w:rFonts w:cstheme="minorHAnsi"/>
          <w:sz w:val="21"/>
          <w:lang w:val="en-AU"/>
        </w:rPr>
        <w:t xml:space="preserve">DFAT will work closely with the Bank to articulate </w:t>
      </w:r>
      <w:r w:rsidR="00DA2DF6" w:rsidRPr="00BA23EC">
        <w:rPr>
          <w:rFonts w:cstheme="minorHAnsi"/>
          <w:sz w:val="21"/>
          <w:lang w:val="en-AU"/>
        </w:rPr>
        <w:t xml:space="preserve">DFAT’s </w:t>
      </w:r>
      <w:r w:rsidR="00E8073C" w:rsidRPr="00BA23EC">
        <w:rPr>
          <w:rFonts w:cstheme="minorHAnsi"/>
          <w:sz w:val="21"/>
          <w:lang w:val="en-AU"/>
        </w:rPr>
        <w:t>requirements</w:t>
      </w:r>
      <w:r w:rsidR="00DA2DF6" w:rsidRPr="00BA23EC">
        <w:rPr>
          <w:rFonts w:cstheme="minorHAnsi"/>
          <w:sz w:val="21"/>
          <w:lang w:val="en-AU"/>
        </w:rPr>
        <w:t xml:space="preserve"> on child protection and prevention of sexual exploitation, abuse and harassment </w:t>
      </w:r>
      <w:r w:rsidR="00E8073C" w:rsidRPr="00BA23EC">
        <w:rPr>
          <w:rFonts w:cstheme="minorHAnsi"/>
          <w:sz w:val="21"/>
          <w:lang w:val="en-AU"/>
        </w:rPr>
        <w:t xml:space="preserve">in the </w:t>
      </w:r>
      <w:r w:rsidR="00227917" w:rsidRPr="00BA23EC">
        <w:rPr>
          <w:rFonts w:cstheme="minorHAnsi"/>
          <w:sz w:val="21"/>
          <w:lang w:val="en-AU"/>
        </w:rPr>
        <w:t>agreement</w:t>
      </w:r>
      <w:r w:rsidR="00E8073C" w:rsidRPr="00BA23EC">
        <w:rPr>
          <w:rFonts w:cstheme="minorHAnsi"/>
          <w:sz w:val="21"/>
          <w:lang w:val="en-AU"/>
        </w:rPr>
        <w:t xml:space="preserve"> which aligns with DFAT Canberra’s approach </w:t>
      </w:r>
      <w:r w:rsidR="00227917" w:rsidRPr="00BA23EC">
        <w:rPr>
          <w:rFonts w:cstheme="minorHAnsi"/>
          <w:sz w:val="21"/>
          <w:lang w:val="en-AU"/>
        </w:rPr>
        <w:t>in</w:t>
      </w:r>
      <w:r w:rsidR="00E8073C" w:rsidRPr="00BA23EC">
        <w:rPr>
          <w:rFonts w:cstheme="minorHAnsi"/>
          <w:sz w:val="21"/>
          <w:lang w:val="en-AU"/>
        </w:rPr>
        <w:t xml:space="preserve"> current negotiations </w:t>
      </w:r>
      <w:r w:rsidR="00227917" w:rsidRPr="00BA23EC">
        <w:rPr>
          <w:rFonts w:cstheme="minorHAnsi"/>
          <w:sz w:val="21"/>
          <w:lang w:val="en-AU"/>
        </w:rPr>
        <w:t xml:space="preserve">with the Bank </w:t>
      </w:r>
      <w:r w:rsidR="00E8073C" w:rsidRPr="00BA23EC">
        <w:rPr>
          <w:rFonts w:cstheme="minorHAnsi"/>
          <w:sz w:val="21"/>
          <w:lang w:val="en-AU"/>
        </w:rPr>
        <w:t xml:space="preserve">at the global partnership level. </w:t>
      </w:r>
    </w:p>
    <w:p w14:paraId="2940AEBC" w14:textId="18CE4BD7" w:rsidR="00782717" w:rsidRPr="00BA23EC" w:rsidRDefault="00AB6FB4" w:rsidP="003B562D">
      <w:pPr>
        <w:tabs>
          <w:tab w:val="left" w:pos="284"/>
        </w:tabs>
        <w:suppressAutoHyphens w:val="0"/>
        <w:spacing w:before="0" w:line="280" w:lineRule="exact"/>
        <w:jc w:val="both"/>
        <w:rPr>
          <w:rFonts w:cstheme="minorHAnsi"/>
          <w:b/>
          <w:sz w:val="21"/>
          <w:lang w:val="en-AU"/>
        </w:rPr>
      </w:pPr>
      <w:r>
        <w:rPr>
          <w:rFonts w:cstheme="minorHAnsi"/>
          <w:sz w:val="21"/>
          <w:lang w:val="en-AU"/>
        </w:rPr>
        <w:t xml:space="preserve">The process for establishing the HT-MDTF mechanism has been expedited by the World Bank to enable DFAT to contribute funding this financial year. </w:t>
      </w:r>
      <w:r w:rsidR="00782717" w:rsidRPr="00BA23EC">
        <w:rPr>
          <w:rFonts w:cstheme="minorHAnsi"/>
          <w:sz w:val="21"/>
          <w:lang w:val="en-AU"/>
        </w:rPr>
        <w:t>Other interested donors include G</w:t>
      </w:r>
      <w:r w:rsidR="0096073E">
        <w:rPr>
          <w:rFonts w:cstheme="minorHAnsi"/>
          <w:sz w:val="21"/>
          <w:lang w:val="en-AU"/>
        </w:rPr>
        <w:t>avi (the Vaccine Alliance)</w:t>
      </w:r>
      <w:r w:rsidR="00782717" w:rsidRPr="00BA23EC">
        <w:rPr>
          <w:rFonts w:cstheme="minorHAnsi"/>
          <w:sz w:val="21"/>
          <w:lang w:val="en-AU"/>
        </w:rPr>
        <w:t>, Gates Foundation, USAID</w:t>
      </w:r>
      <w:r w:rsidR="000277AB">
        <w:rPr>
          <w:rFonts w:cstheme="minorHAnsi"/>
          <w:sz w:val="21"/>
          <w:lang w:val="en-AU"/>
        </w:rPr>
        <w:t xml:space="preserve">, and </w:t>
      </w:r>
      <w:r w:rsidR="000277AB" w:rsidRPr="00BA23EC">
        <w:rPr>
          <w:rFonts w:cstheme="minorHAnsi"/>
          <w:sz w:val="21"/>
          <w:lang w:val="en-AU"/>
        </w:rPr>
        <w:t>Global Fund</w:t>
      </w:r>
      <w:r w:rsidR="000277AB">
        <w:rPr>
          <w:rFonts w:cstheme="minorHAnsi"/>
          <w:sz w:val="21"/>
          <w:lang w:val="en-AU"/>
        </w:rPr>
        <w:t>.</w:t>
      </w:r>
    </w:p>
    <w:p w14:paraId="14F68B03" w14:textId="6E887507" w:rsidR="005F742F" w:rsidRPr="00BA23EC" w:rsidRDefault="00E702D0" w:rsidP="003B562D">
      <w:pPr>
        <w:tabs>
          <w:tab w:val="left" w:pos="284"/>
        </w:tabs>
        <w:suppressAutoHyphens w:val="0"/>
        <w:spacing w:before="0" w:line="280" w:lineRule="exact"/>
        <w:jc w:val="both"/>
        <w:rPr>
          <w:rFonts w:cstheme="minorHAnsi"/>
          <w:sz w:val="21"/>
          <w:lang w:val="en-AU"/>
        </w:rPr>
      </w:pPr>
      <w:r w:rsidRPr="00BA23EC">
        <w:rPr>
          <w:rFonts w:cstheme="minorHAnsi"/>
          <w:sz w:val="21"/>
          <w:lang w:val="en-AU"/>
        </w:rPr>
        <w:t xml:space="preserve">Disbursement of funds to </w:t>
      </w:r>
      <w:proofErr w:type="spellStart"/>
      <w:r w:rsidRPr="00BA23EC">
        <w:rPr>
          <w:rFonts w:cstheme="minorHAnsi"/>
          <w:sz w:val="21"/>
          <w:lang w:val="en-AU"/>
        </w:rPr>
        <w:t>GoI</w:t>
      </w:r>
      <w:proofErr w:type="spellEnd"/>
      <w:r w:rsidRPr="00BA23EC">
        <w:rPr>
          <w:rFonts w:cstheme="minorHAnsi"/>
          <w:sz w:val="21"/>
          <w:lang w:val="en-AU"/>
        </w:rPr>
        <w:t xml:space="preserve"> will be administered through a single Grant Agreement between the World Bank and </w:t>
      </w:r>
      <w:proofErr w:type="spellStart"/>
      <w:r w:rsidRPr="00BA23EC">
        <w:rPr>
          <w:rFonts w:cstheme="minorHAnsi"/>
          <w:sz w:val="21"/>
          <w:lang w:val="en-AU"/>
        </w:rPr>
        <w:t>GoI</w:t>
      </w:r>
      <w:proofErr w:type="spellEnd"/>
      <w:r w:rsidRPr="00BA23EC">
        <w:rPr>
          <w:rFonts w:cstheme="minorHAnsi"/>
          <w:sz w:val="21"/>
          <w:lang w:val="en-AU"/>
        </w:rPr>
        <w:t xml:space="preserve"> through the </w:t>
      </w:r>
      <w:r w:rsidR="007A2A0C" w:rsidRPr="00BA23EC">
        <w:rPr>
          <w:rFonts w:cstheme="minorHAnsi"/>
          <w:sz w:val="21"/>
          <w:lang w:val="en-AU"/>
        </w:rPr>
        <w:t>MoF</w:t>
      </w:r>
      <w:r w:rsidRPr="00BA23EC">
        <w:rPr>
          <w:rFonts w:cstheme="minorHAnsi"/>
          <w:sz w:val="21"/>
          <w:lang w:val="en-AU"/>
        </w:rPr>
        <w:t xml:space="preserve">, with funds </w:t>
      </w:r>
      <w:r w:rsidR="00CB2B51" w:rsidRPr="00BA23EC">
        <w:rPr>
          <w:rFonts w:cstheme="minorHAnsi"/>
          <w:sz w:val="21"/>
          <w:lang w:val="en-AU"/>
        </w:rPr>
        <w:t xml:space="preserve">to be </w:t>
      </w:r>
      <w:r w:rsidRPr="00BA23EC">
        <w:rPr>
          <w:rFonts w:cstheme="minorHAnsi"/>
          <w:sz w:val="21"/>
          <w:lang w:val="en-AU"/>
        </w:rPr>
        <w:t xml:space="preserve">passed </w:t>
      </w:r>
      <w:r w:rsidR="00CB2B51" w:rsidRPr="00BA23EC">
        <w:rPr>
          <w:rFonts w:cstheme="minorHAnsi"/>
          <w:sz w:val="21"/>
          <w:lang w:val="en-AU"/>
        </w:rPr>
        <w:t>through</w:t>
      </w:r>
      <w:r w:rsidRPr="00BA23EC">
        <w:rPr>
          <w:rFonts w:cstheme="minorHAnsi"/>
          <w:sz w:val="21"/>
          <w:lang w:val="en-AU"/>
        </w:rPr>
        <w:t xml:space="preserve"> to the MoH for implementation of the ‘recipient-executed’ activities as agreed with the </w:t>
      </w:r>
      <w:r w:rsidR="00781EBD" w:rsidRPr="00BA23EC">
        <w:rPr>
          <w:rFonts w:cstheme="minorHAnsi"/>
          <w:sz w:val="21"/>
          <w:szCs w:val="21"/>
          <w:lang w:val="en-AU"/>
        </w:rPr>
        <w:t>HT-</w:t>
      </w:r>
      <w:r w:rsidRPr="00BA23EC">
        <w:rPr>
          <w:rFonts w:cstheme="minorHAnsi"/>
          <w:sz w:val="21"/>
          <w:lang w:val="en-AU"/>
        </w:rPr>
        <w:t xml:space="preserve">MDTF </w:t>
      </w:r>
      <w:r w:rsidR="005F742F" w:rsidRPr="00BA23EC">
        <w:rPr>
          <w:rFonts w:cstheme="minorHAnsi"/>
          <w:sz w:val="21"/>
          <w:lang w:val="en-AU"/>
        </w:rPr>
        <w:t>Partnership</w:t>
      </w:r>
      <w:r w:rsidRPr="00BA23EC">
        <w:rPr>
          <w:rFonts w:cstheme="minorHAnsi"/>
          <w:sz w:val="21"/>
          <w:lang w:val="en-AU"/>
        </w:rPr>
        <w:t xml:space="preserve"> </w:t>
      </w:r>
      <w:r w:rsidR="00CB2B51" w:rsidRPr="00BA23EC">
        <w:rPr>
          <w:rFonts w:cstheme="minorHAnsi"/>
          <w:sz w:val="21"/>
          <w:lang w:val="en-AU"/>
        </w:rPr>
        <w:t>Council</w:t>
      </w:r>
      <w:r w:rsidR="005F742F" w:rsidRPr="00BA23EC">
        <w:rPr>
          <w:rFonts w:cstheme="minorHAnsi"/>
          <w:sz w:val="21"/>
          <w:lang w:val="en-AU"/>
        </w:rPr>
        <w:t xml:space="preserve">. A World Bank task team will be responsible to ensure these funds are executed in accordance with World Bank trust fund policies and guidelines. </w:t>
      </w:r>
    </w:p>
    <w:p w14:paraId="3F018C28" w14:textId="47E43B35" w:rsidR="0052217B" w:rsidRPr="00BA23EC" w:rsidRDefault="005F742F" w:rsidP="00960B9C">
      <w:pPr>
        <w:tabs>
          <w:tab w:val="left" w:pos="284"/>
        </w:tabs>
        <w:suppressAutoHyphens w:val="0"/>
        <w:spacing w:before="0" w:line="280" w:lineRule="exact"/>
        <w:jc w:val="both"/>
        <w:rPr>
          <w:rFonts w:cstheme="minorHAnsi"/>
          <w:u w:val="single"/>
          <w:lang w:val="en-AU"/>
        </w:rPr>
      </w:pPr>
      <w:r w:rsidRPr="00BA23EC">
        <w:rPr>
          <w:rFonts w:cstheme="minorHAnsi"/>
          <w:u w:val="single"/>
          <w:lang w:val="en-AU"/>
        </w:rPr>
        <w:t>Governance</w:t>
      </w:r>
      <w:r w:rsidR="00F32A82" w:rsidRPr="00BA23EC">
        <w:rPr>
          <w:rFonts w:cstheme="minorHAnsi"/>
          <w:u w:val="single"/>
          <w:lang w:val="en-AU"/>
        </w:rPr>
        <w:t xml:space="preserve"> and DFAT Supervision</w:t>
      </w:r>
    </w:p>
    <w:p w14:paraId="6EAA205E" w14:textId="7DEA8030" w:rsidR="00606AE5" w:rsidRPr="00BA23EC" w:rsidRDefault="007F199C" w:rsidP="003B562D">
      <w:pPr>
        <w:tabs>
          <w:tab w:val="left" w:pos="284"/>
        </w:tabs>
        <w:suppressAutoHyphens w:val="0"/>
        <w:spacing w:before="0" w:line="280" w:lineRule="exact"/>
        <w:jc w:val="both"/>
        <w:rPr>
          <w:rFonts w:cstheme="minorHAnsi"/>
          <w:sz w:val="21"/>
          <w:szCs w:val="21"/>
          <w:lang w:val="en-AU"/>
        </w:rPr>
      </w:pPr>
      <w:r w:rsidRPr="00BA23EC">
        <w:rPr>
          <w:rFonts w:cstheme="minorHAnsi"/>
          <w:b/>
          <w:sz w:val="21"/>
          <w:lang w:val="en-AU"/>
        </w:rPr>
        <w:t xml:space="preserve">As the head of Australia’s development program in Indonesia, the Deputy </w:t>
      </w:r>
      <w:r w:rsidR="00BC0163" w:rsidRPr="00BA23EC">
        <w:rPr>
          <w:rFonts w:cstheme="minorHAnsi"/>
          <w:b/>
          <w:sz w:val="21"/>
          <w:lang w:val="en-AU"/>
        </w:rPr>
        <w:t xml:space="preserve">Head of Mission </w:t>
      </w:r>
      <w:r w:rsidR="00671904" w:rsidRPr="00BA23EC">
        <w:rPr>
          <w:rFonts w:cstheme="minorHAnsi"/>
          <w:b/>
          <w:sz w:val="21"/>
          <w:szCs w:val="21"/>
          <w:lang w:val="en-AU"/>
        </w:rPr>
        <w:t>(DHOM)</w:t>
      </w:r>
      <w:r w:rsidR="00BC0163" w:rsidRPr="00BA23EC">
        <w:rPr>
          <w:rFonts w:cstheme="minorHAnsi"/>
          <w:sz w:val="21"/>
          <w:szCs w:val="21"/>
          <w:lang w:val="en-AU"/>
        </w:rPr>
        <w:t xml:space="preserve"> </w:t>
      </w:r>
      <w:r w:rsidR="00BC0163" w:rsidRPr="00BA23EC">
        <w:rPr>
          <w:rFonts w:cstheme="minorHAnsi"/>
          <w:b/>
          <w:sz w:val="21"/>
          <w:lang w:val="en-AU"/>
        </w:rPr>
        <w:t xml:space="preserve">will represent the Australian Government on the </w:t>
      </w:r>
      <w:r w:rsidR="00781EBD" w:rsidRPr="00BA23EC">
        <w:rPr>
          <w:rFonts w:cstheme="minorHAnsi"/>
          <w:b/>
          <w:bCs/>
          <w:sz w:val="21"/>
          <w:szCs w:val="21"/>
          <w:lang w:val="en-AU"/>
        </w:rPr>
        <w:t>HT</w:t>
      </w:r>
      <w:r w:rsidR="0096073E">
        <w:rPr>
          <w:rFonts w:cstheme="minorHAnsi"/>
          <w:b/>
          <w:bCs/>
          <w:sz w:val="21"/>
          <w:szCs w:val="21"/>
          <w:lang w:val="en-AU"/>
        </w:rPr>
        <w:t>-</w:t>
      </w:r>
      <w:r w:rsidR="00BC0163" w:rsidRPr="00BA23EC">
        <w:rPr>
          <w:rFonts w:cstheme="minorHAnsi"/>
          <w:b/>
          <w:sz w:val="21"/>
          <w:lang w:val="en-AU"/>
        </w:rPr>
        <w:t>MDTF Partnership Council</w:t>
      </w:r>
      <w:r w:rsidR="00BC0163" w:rsidRPr="00BA23EC">
        <w:rPr>
          <w:rFonts w:cstheme="minorHAnsi"/>
          <w:sz w:val="21"/>
          <w:lang w:val="en-AU"/>
        </w:rPr>
        <w:t>. The Council will be made</w:t>
      </w:r>
      <w:r w:rsidR="00CB2B51" w:rsidRPr="00BA23EC">
        <w:rPr>
          <w:rFonts w:cstheme="minorHAnsi"/>
          <w:sz w:val="21"/>
          <w:lang w:val="en-AU"/>
        </w:rPr>
        <w:t xml:space="preserve"> up </w:t>
      </w:r>
      <w:r w:rsidR="001973DC">
        <w:rPr>
          <w:rFonts w:cstheme="minorHAnsi"/>
          <w:sz w:val="21"/>
          <w:lang w:val="en-AU"/>
        </w:rPr>
        <w:t xml:space="preserve">of </w:t>
      </w:r>
      <w:r w:rsidR="00BC0163" w:rsidRPr="00BA23EC">
        <w:rPr>
          <w:rFonts w:cstheme="minorHAnsi"/>
          <w:sz w:val="21"/>
          <w:lang w:val="en-AU"/>
        </w:rPr>
        <w:t>MoH (Secretary General level), MoF, World Bank and other contributing</w:t>
      </w:r>
      <w:r w:rsidR="00CB2B51" w:rsidRPr="00BA23EC">
        <w:rPr>
          <w:rFonts w:cstheme="minorHAnsi"/>
          <w:sz w:val="21"/>
          <w:lang w:val="en-AU"/>
        </w:rPr>
        <w:t xml:space="preserve"> </w:t>
      </w:r>
      <w:r w:rsidR="00B452A7" w:rsidRPr="00BA23EC">
        <w:rPr>
          <w:rFonts w:cstheme="minorHAnsi"/>
          <w:sz w:val="21"/>
          <w:lang w:val="en-AU"/>
        </w:rPr>
        <w:t>donors</w:t>
      </w:r>
      <w:r w:rsidR="00041C02" w:rsidRPr="00BA23EC">
        <w:rPr>
          <w:rFonts w:cstheme="minorHAnsi"/>
          <w:sz w:val="21"/>
          <w:lang w:val="en-AU"/>
        </w:rPr>
        <w:t xml:space="preserve">. </w:t>
      </w:r>
      <w:r w:rsidR="000F409A">
        <w:rPr>
          <w:rFonts w:cstheme="minorHAnsi"/>
          <w:sz w:val="21"/>
          <w:szCs w:val="21"/>
          <w:lang w:val="en-AU"/>
        </w:rPr>
        <w:t>R</w:t>
      </w:r>
      <w:r w:rsidR="000F409A" w:rsidRPr="00BA23EC">
        <w:rPr>
          <w:rFonts w:cstheme="minorHAnsi"/>
          <w:sz w:val="21"/>
          <w:szCs w:val="21"/>
          <w:lang w:val="en-AU"/>
        </w:rPr>
        <w:t xml:space="preserve">elevant </w:t>
      </w:r>
      <w:r w:rsidR="000F409A">
        <w:rPr>
          <w:rFonts w:cstheme="minorHAnsi"/>
          <w:sz w:val="21"/>
          <w:szCs w:val="21"/>
          <w:lang w:val="en-AU"/>
        </w:rPr>
        <w:t xml:space="preserve">MoH </w:t>
      </w:r>
      <w:r w:rsidR="000F409A" w:rsidRPr="00BA23EC">
        <w:rPr>
          <w:rFonts w:cstheme="minorHAnsi"/>
          <w:sz w:val="21"/>
          <w:szCs w:val="21"/>
          <w:lang w:val="en-AU"/>
        </w:rPr>
        <w:t>Director-Generals</w:t>
      </w:r>
      <w:r w:rsidR="000F409A">
        <w:rPr>
          <w:rFonts w:cstheme="minorHAnsi"/>
          <w:sz w:val="21"/>
          <w:szCs w:val="21"/>
          <w:lang w:val="en-AU"/>
        </w:rPr>
        <w:t xml:space="preserve"> will also participate</w:t>
      </w:r>
      <w:r w:rsidR="000F409A" w:rsidRPr="00BA23EC">
        <w:rPr>
          <w:rFonts w:cstheme="minorHAnsi"/>
          <w:sz w:val="21"/>
          <w:szCs w:val="21"/>
          <w:lang w:val="en-AU"/>
        </w:rPr>
        <w:t xml:space="preserve"> in Partnership Council meetings.</w:t>
      </w:r>
      <w:r w:rsidR="000F409A">
        <w:rPr>
          <w:rFonts w:cstheme="minorHAnsi"/>
          <w:sz w:val="21"/>
          <w:szCs w:val="21"/>
          <w:lang w:val="en-AU"/>
        </w:rPr>
        <w:t xml:space="preserve"> </w:t>
      </w:r>
      <w:r w:rsidR="00041C02" w:rsidRPr="00BA23EC">
        <w:rPr>
          <w:rFonts w:cstheme="minorHAnsi"/>
          <w:sz w:val="21"/>
          <w:lang w:val="en-AU"/>
        </w:rPr>
        <w:t xml:space="preserve">The Council </w:t>
      </w:r>
      <w:r w:rsidR="00BC0163" w:rsidRPr="00BA23EC">
        <w:rPr>
          <w:rFonts w:cstheme="minorHAnsi"/>
          <w:sz w:val="21"/>
          <w:lang w:val="en-AU"/>
        </w:rPr>
        <w:t xml:space="preserve">will </w:t>
      </w:r>
      <w:r w:rsidR="00041C02" w:rsidRPr="00BA23EC">
        <w:rPr>
          <w:rFonts w:cstheme="minorHAnsi"/>
          <w:sz w:val="21"/>
          <w:lang w:val="en-AU"/>
        </w:rPr>
        <w:t xml:space="preserve">set the overall strategic direction for the MDTF, </w:t>
      </w:r>
      <w:r w:rsidR="00BC0163" w:rsidRPr="00BA23EC">
        <w:rPr>
          <w:rFonts w:cstheme="minorHAnsi"/>
          <w:sz w:val="21"/>
          <w:lang w:val="en-AU"/>
        </w:rPr>
        <w:t xml:space="preserve">approving </w:t>
      </w:r>
      <w:r w:rsidR="0096073E">
        <w:rPr>
          <w:rFonts w:cstheme="minorHAnsi"/>
          <w:sz w:val="21"/>
          <w:lang w:val="en-AU"/>
        </w:rPr>
        <w:t>annual</w:t>
      </w:r>
      <w:r w:rsidR="00BC0163" w:rsidRPr="00BA23EC">
        <w:rPr>
          <w:rFonts w:cstheme="minorHAnsi"/>
          <w:sz w:val="21"/>
          <w:lang w:val="en-AU"/>
        </w:rPr>
        <w:t xml:space="preserve"> workplans and budgets</w:t>
      </w:r>
      <w:r w:rsidR="005C05CA" w:rsidRPr="00BA23EC">
        <w:rPr>
          <w:rFonts w:cstheme="minorHAnsi"/>
          <w:sz w:val="21"/>
          <w:lang w:val="en-AU"/>
        </w:rPr>
        <w:t>;</w:t>
      </w:r>
      <w:r w:rsidR="006A7460">
        <w:rPr>
          <w:rFonts w:cstheme="minorHAnsi"/>
          <w:sz w:val="21"/>
          <w:lang w:val="en-AU"/>
        </w:rPr>
        <w:t xml:space="preserve"> engage in risk management and m</w:t>
      </w:r>
      <w:r w:rsidR="00BC0163" w:rsidRPr="00BA23EC">
        <w:rPr>
          <w:rFonts w:cstheme="minorHAnsi"/>
          <w:sz w:val="21"/>
          <w:lang w:val="en-AU"/>
        </w:rPr>
        <w:t xml:space="preserve">onitoring </w:t>
      </w:r>
      <w:r w:rsidR="006A7460">
        <w:rPr>
          <w:rFonts w:cstheme="minorHAnsi"/>
          <w:sz w:val="21"/>
          <w:lang w:val="en-AU"/>
        </w:rPr>
        <w:t xml:space="preserve">and evaluation </w:t>
      </w:r>
      <w:r w:rsidR="00041C02" w:rsidRPr="00BA23EC">
        <w:rPr>
          <w:rFonts w:cstheme="minorHAnsi"/>
          <w:sz w:val="21"/>
          <w:lang w:val="en-AU"/>
        </w:rPr>
        <w:t>of</w:t>
      </w:r>
      <w:r w:rsidR="00BC0163" w:rsidRPr="00BA23EC">
        <w:rPr>
          <w:rFonts w:cstheme="minorHAnsi"/>
          <w:sz w:val="21"/>
          <w:lang w:val="en-AU"/>
        </w:rPr>
        <w:t xml:space="preserve"> implementation</w:t>
      </w:r>
      <w:r w:rsidR="006A7460">
        <w:rPr>
          <w:rFonts w:cstheme="minorHAnsi"/>
          <w:sz w:val="21"/>
          <w:lang w:val="en-AU"/>
        </w:rPr>
        <w:t xml:space="preserve">. The Partnership Council will convene at least three times per year, through at least one annual meeting and biannual </w:t>
      </w:r>
      <w:r w:rsidR="00F276DA" w:rsidRPr="00BA23EC">
        <w:rPr>
          <w:rFonts w:cstheme="minorHAnsi"/>
          <w:sz w:val="21"/>
          <w:lang w:val="en-AU"/>
        </w:rPr>
        <w:t>joint monitoring visits</w:t>
      </w:r>
      <w:r w:rsidR="00BC0163" w:rsidRPr="00BA23EC">
        <w:rPr>
          <w:rFonts w:cstheme="minorHAnsi"/>
          <w:sz w:val="21"/>
          <w:lang w:val="en-AU"/>
        </w:rPr>
        <w:t xml:space="preserve">. </w:t>
      </w:r>
      <w:r w:rsidR="00705E6D" w:rsidRPr="00BA23EC">
        <w:rPr>
          <w:rFonts w:cstheme="minorHAnsi"/>
          <w:sz w:val="21"/>
          <w:lang w:val="en-AU"/>
        </w:rPr>
        <w:t>G</w:t>
      </w:r>
      <w:r w:rsidR="005A76EB" w:rsidRPr="00BA23EC">
        <w:rPr>
          <w:rFonts w:cstheme="minorHAnsi"/>
          <w:sz w:val="21"/>
          <w:lang w:val="en-AU"/>
        </w:rPr>
        <w:t>overnance arrangement</w:t>
      </w:r>
      <w:r w:rsidR="00705E6D" w:rsidRPr="00BA23EC">
        <w:rPr>
          <w:rFonts w:cstheme="minorHAnsi"/>
          <w:sz w:val="21"/>
          <w:lang w:val="en-AU"/>
        </w:rPr>
        <w:t xml:space="preserve"> details</w:t>
      </w:r>
      <w:r w:rsidR="005A76EB" w:rsidRPr="00BA23EC">
        <w:rPr>
          <w:rFonts w:cstheme="minorHAnsi"/>
          <w:sz w:val="21"/>
          <w:lang w:val="en-AU"/>
        </w:rPr>
        <w:t xml:space="preserve"> will be </w:t>
      </w:r>
      <w:r w:rsidR="00CF4BC3" w:rsidRPr="00BA23EC">
        <w:rPr>
          <w:rFonts w:cstheme="minorHAnsi"/>
          <w:sz w:val="21"/>
          <w:lang w:val="en-AU"/>
        </w:rPr>
        <w:t xml:space="preserve">agreed at the inaugural </w:t>
      </w:r>
      <w:r w:rsidR="00705E6D" w:rsidRPr="00BA23EC">
        <w:rPr>
          <w:rFonts w:cstheme="minorHAnsi"/>
          <w:sz w:val="21"/>
          <w:lang w:val="en-AU"/>
        </w:rPr>
        <w:t>Partnership Council meeting</w:t>
      </w:r>
      <w:r w:rsidR="00F0002A" w:rsidRPr="00BA23EC">
        <w:rPr>
          <w:rFonts w:cstheme="minorHAnsi"/>
          <w:sz w:val="21"/>
          <w:lang w:val="en-AU"/>
        </w:rPr>
        <w:t xml:space="preserve"> based on the </w:t>
      </w:r>
      <w:r w:rsidR="00A65D46" w:rsidRPr="00BA23EC">
        <w:rPr>
          <w:rFonts w:cstheme="minorHAnsi"/>
          <w:sz w:val="21"/>
          <w:lang w:val="en-AU"/>
        </w:rPr>
        <w:t xml:space="preserve">structure provided in the </w:t>
      </w:r>
      <w:r w:rsidR="0096073E">
        <w:rPr>
          <w:rFonts w:cstheme="minorHAnsi"/>
          <w:sz w:val="21"/>
          <w:lang w:val="en-AU"/>
        </w:rPr>
        <w:t xml:space="preserve">World </w:t>
      </w:r>
      <w:r w:rsidR="00A65D46" w:rsidRPr="00BA23EC">
        <w:rPr>
          <w:rFonts w:cstheme="minorHAnsi"/>
          <w:sz w:val="21"/>
          <w:lang w:val="en-AU"/>
        </w:rPr>
        <w:t>Bank</w:t>
      </w:r>
      <w:r w:rsidR="0096073E">
        <w:rPr>
          <w:rFonts w:cstheme="minorHAnsi"/>
          <w:sz w:val="21"/>
          <w:lang w:val="en-AU"/>
        </w:rPr>
        <w:t>’s</w:t>
      </w:r>
      <w:r w:rsidR="00A65D46" w:rsidRPr="00BA23EC">
        <w:rPr>
          <w:rFonts w:cstheme="minorHAnsi"/>
          <w:sz w:val="21"/>
          <w:lang w:val="en-AU"/>
        </w:rPr>
        <w:t xml:space="preserve"> Concept Note</w:t>
      </w:r>
      <w:r w:rsidR="00705E6D" w:rsidRPr="00BA23EC">
        <w:rPr>
          <w:rFonts w:cstheme="minorHAnsi"/>
          <w:sz w:val="21"/>
          <w:lang w:val="en-AU"/>
        </w:rPr>
        <w:t xml:space="preserve">. </w:t>
      </w:r>
      <w:r w:rsidR="00B6320B" w:rsidRPr="00BA23EC">
        <w:rPr>
          <w:rFonts w:cstheme="minorHAnsi"/>
          <w:sz w:val="21"/>
          <w:lang w:val="en-AU"/>
        </w:rPr>
        <w:t>Following the establishment of the Council</w:t>
      </w:r>
      <w:r w:rsidR="00CA5FCF">
        <w:rPr>
          <w:rFonts w:cstheme="minorHAnsi"/>
          <w:sz w:val="21"/>
          <w:lang w:val="en-AU"/>
        </w:rPr>
        <w:t>,</w:t>
      </w:r>
      <w:r w:rsidR="002B00F4" w:rsidRPr="00BA23EC">
        <w:rPr>
          <w:rFonts w:cstheme="minorHAnsi"/>
          <w:sz w:val="21"/>
          <w:lang w:val="en-AU"/>
        </w:rPr>
        <w:t xml:space="preserve"> the MDTF Secretariat will be set up </w:t>
      </w:r>
      <w:r w:rsidR="004410BD" w:rsidRPr="00BA23EC">
        <w:rPr>
          <w:rFonts w:cstheme="minorHAnsi"/>
          <w:sz w:val="21"/>
          <w:lang w:val="en-AU"/>
        </w:rPr>
        <w:t xml:space="preserve">prior to </w:t>
      </w:r>
      <w:r w:rsidR="00C853D7" w:rsidRPr="00BA23EC">
        <w:rPr>
          <w:rFonts w:cstheme="minorHAnsi"/>
          <w:sz w:val="21"/>
          <w:lang w:val="en-AU"/>
        </w:rPr>
        <w:t>funds being disbursed.</w:t>
      </w:r>
    </w:p>
    <w:p w14:paraId="54FA2876" w14:textId="5B74DB0A" w:rsidR="00E01CC9" w:rsidRPr="00BA23EC" w:rsidRDefault="00BC0163" w:rsidP="003B562D">
      <w:pPr>
        <w:tabs>
          <w:tab w:val="left" w:pos="284"/>
        </w:tabs>
        <w:suppressAutoHyphens w:val="0"/>
        <w:spacing w:before="0" w:line="280" w:lineRule="exact"/>
        <w:jc w:val="both"/>
        <w:rPr>
          <w:rFonts w:cstheme="minorHAnsi"/>
          <w:sz w:val="21"/>
          <w:lang w:val="en-AU"/>
        </w:rPr>
      </w:pPr>
      <w:r w:rsidRPr="00BA23EC">
        <w:rPr>
          <w:rFonts w:cstheme="minorHAnsi"/>
          <w:sz w:val="21"/>
          <w:lang w:val="en-AU"/>
        </w:rPr>
        <w:t>Australia</w:t>
      </w:r>
      <w:r w:rsidR="00FF621F" w:rsidRPr="00BA23EC">
        <w:rPr>
          <w:rFonts w:cstheme="minorHAnsi"/>
          <w:sz w:val="21"/>
          <w:lang w:val="en-AU"/>
        </w:rPr>
        <w:t xml:space="preserve">’s </w:t>
      </w:r>
      <w:r w:rsidR="00041C02" w:rsidRPr="00BA23EC">
        <w:rPr>
          <w:rFonts w:cstheme="minorHAnsi"/>
          <w:sz w:val="21"/>
          <w:lang w:val="en-AU"/>
        </w:rPr>
        <w:t>policy dialogue</w:t>
      </w:r>
      <w:r w:rsidR="00FF621F" w:rsidRPr="00BA23EC">
        <w:rPr>
          <w:rFonts w:cstheme="minorHAnsi"/>
          <w:sz w:val="21"/>
          <w:lang w:val="en-AU"/>
        </w:rPr>
        <w:t xml:space="preserve"> </w:t>
      </w:r>
      <w:r w:rsidR="00041C02" w:rsidRPr="00BA23EC">
        <w:rPr>
          <w:rFonts w:cstheme="minorHAnsi"/>
          <w:sz w:val="21"/>
          <w:lang w:val="en-AU"/>
        </w:rPr>
        <w:t xml:space="preserve">will </w:t>
      </w:r>
      <w:r w:rsidR="00FF621F" w:rsidRPr="00BA23EC">
        <w:rPr>
          <w:rFonts w:cstheme="minorHAnsi"/>
          <w:sz w:val="21"/>
          <w:lang w:val="en-AU"/>
        </w:rPr>
        <w:t xml:space="preserve">focus on </w:t>
      </w:r>
      <w:r w:rsidR="005C05CA" w:rsidRPr="00BA23EC">
        <w:rPr>
          <w:rFonts w:cstheme="minorHAnsi"/>
          <w:sz w:val="21"/>
          <w:lang w:val="en-AU"/>
        </w:rPr>
        <w:t xml:space="preserve">supporting the MDTF Secretariat to </w:t>
      </w:r>
      <w:r w:rsidR="00FF621F" w:rsidRPr="00BA23EC">
        <w:rPr>
          <w:rFonts w:cstheme="minorHAnsi"/>
          <w:sz w:val="21"/>
          <w:lang w:val="en-AU"/>
        </w:rPr>
        <w:t>maximis</w:t>
      </w:r>
      <w:r w:rsidR="005C05CA" w:rsidRPr="00BA23EC">
        <w:rPr>
          <w:rFonts w:cstheme="minorHAnsi"/>
          <w:sz w:val="21"/>
          <w:lang w:val="en-AU"/>
        </w:rPr>
        <w:t>e</w:t>
      </w:r>
      <w:r w:rsidR="00FF621F" w:rsidRPr="00BA23EC">
        <w:rPr>
          <w:rFonts w:cstheme="minorHAnsi"/>
          <w:sz w:val="21"/>
          <w:lang w:val="en-AU"/>
        </w:rPr>
        <w:t xml:space="preserve"> the impact of MDTF </w:t>
      </w:r>
      <w:r w:rsidR="003B562D" w:rsidRPr="00BA23EC">
        <w:rPr>
          <w:rFonts w:cstheme="minorHAnsi"/>
          <w:sz w:val="21"/>
          <w:lang w:val="en-AU"/>
        </w:rPr>
        <w:t>contributions as an enabler of h</w:t>
      </w:r>
      <w:r w:rsidR="00185B35" w:rsidRPr="00BA23EC">
        <w:rPr>
          <w:rFonts w:cstheme="minorHAnsi"/>
          <w:sz w:val="21"/>
          <w:lang w:val="en-AU"/>
        </w:rPr>
        <w:t>ealth reform goals</w:t>
      </w:r>
      <w:r w:rsidR="005C05CA" w:rsidRPr="00BA23EC">
        <w:rPr>
          <w:rFonts w:cstheme="minorHAnsi"/>
          <w:sz w:val="21"/>
          <w:lang w:val="en-AU"/>
        </w:rPr>
        <w:t>;</w:t>
      </w:r>
      <w:r w:rsidR="00041C02" w:rsidRPr="00BA23EC">
        <w:rPr>
          <w:rFonts w:cstheme="minorHAnsi"/>
          <w:sz w:val="21"/>
          <w:lang w:val="en-AU"/>
        </w:rPr>
        <w:t xml:space="preserve"> </w:t>
      </w:r>
      <w:r w:rsidR="00185B35" w:rsidRPr="00BA23EC">
        <w:rPr>
          <w:rFonts w:cstheme="minorHAnsi"/>
          <w:sz w:val="21"/>
          <w:lang w:val="en-AU"/>
        </w:rPr>
        <w:t>ensuring greater coherence and collaboration across other large health sector projects, including the HSS-IPF loan operation</w:t>
      </w:r>
      <w:r w:rsidR="005C05CA" w:rsidRPr="00BA23EC">
        <w:rPr>
          <w:rFonts w:cstheme="minorHAnsi"/>
          <w:sz w:val="21"/>
          <w:lang w:val="en-AU"/>
        </w:rPr>
        <w:t>;</w:t>
      </w:r>
      <w:r w:rsidR="00185B35" w:rsidRPr="00BA23EC">
        <w:rPr>
          <w:rFonts w:cstheme="minorHAnsi"/>
          <w:sz w:val="21"/>
          <w:lang w:val="en-AU"/>
        </w:rPr>
        <w:t xml:space="preserve"> and the </w:t>
      </w:r>
      <w:r w:rsidR="00FF621F" w:rsidRPr="00BA23EC">
        <w:rPr>
          <w:rFonts w:cstheme="minorHAnsi"/>
          <w:sz w:val="21"/>
          <w:lang w:val="en-AU"/>
        </w:rPr>
        <w:t xml:space="preserve">delivery of </w:t>
      </w:r>
      <w:r w:rsidR="001973DC">
        <w:rPr>
          <w:rFonts w:cstheme="minorHAnsi"/>
          <w:sz w:val="21"/>
          <w:lang w:val="en-AU"/>
        </w:rPr>
        <w:t xml:space="preserve">gender equality, disability inclusion and climate change </w:t>
      </w:r>
      <w:r w:rsidR="00FF621F" w:rsidRPr="00BA23EC">
        <w:rPr>
          <w:rFonts w:cstheme="minorHAnsi"/>
          <w:sz w:val="21"/>
          <w:lang w:val="en-AU"/>
        </w:rPr>
        <w:t>objectives.</w:t>
      </w:r>
      <w:r w:rsidR="00041C02" w:rsidRPr="00BA23EC">
        <w:rPr>
          <w:rFonts w:cstheme="minorHAnsi"/>
          <w:sz w:val="21"/>
          <w:lang w:val="en-AU"/>
        </w:rPr>
        <w:t xml:space="preserve"> </w:t>
      </w:r>
      <w:r w:rsidR="00FF621F" w:rsidRPr="00BA23EC">
        <w:rPr>
          <w:rFonts w:cstheme="minorHAnsi"/>
          <w:sz w:val="21"/>
          <w:lang w:val="en-AU"/>
        </w:rPr>
        <w:t xml:space="preserve"> </w:t>
      </w:r>
      <w:r w:rsidR="006B1AC6" w:rsidRPr="00BA23EC">
        <w:rPr>
          <w:rFonts w:cstheme="minorHAnsi"/>
          <w:sz w:val="21"/>
          <w:lang w:val="en-AU"/>
        </w:rPr>
        <w:t>It will contribute to broader policy discussion</w:t>
      </w:r>
      <w:r w:rsidR="00CA5FCF">
        <w:rPr>
          <w:rFonts w:cstheme="minorHAnsi"/>
          <w:sz w:val="21"/>
          <w:lang w:val="en-AU"/>
        </w:rPr>
        <w:t>s</w:t>
      </w:r>
      <w:r w:rsidR="006B1AC6" w:rsidRPr="00BA23EC">
        <w:rPr>
          <w:rFonts w:cstheme="minorHAnsi"/>
          <w:sz w:val="21"/>
          <w:lang w:val="en-AU"/>
        </w:rPr>
        <w:t xml:space="preserve"> on </w:t>
      </w:r>
      <w:r w:rsidR="00E863BF" w:rsidRPr="00BA23EC">
        <w:rPr>
          <w:rFonts w:cstheme="minorHAnsi"/>
          <w:sz w:val="21"/>
          <w:lang w:val="en-AU"/>
        </w:rPr>
        <w:t>ensuring the sustainability of the reforms into the future</w:t>
      </w:r>
      <w:r w:rsidR="002846B4" w:rsidRPr="00BA23EC">
        <w:rPr>
          <w:rFonts w:cstheme="minorHAnsi"/>
          <w:sz w:val="21"/>
          <w:lang w:val="en-AU"/>
        </w:rPr>
        <w:t>. P</w:t>
      </w:r>
      <w:r w:rsidR="00F276DA" w:rsidRPr="00BA23EC">
        <w:rPr>
          <w:rFonts w:cstheme="minorHAnsi"/>
          <w:sz w:val="21"/>
          <w:lang w:val="en-AU"/>
        </w:rPr>
        <w:t xml:space="preserve">riority focal areas for partner engagement are canvassed in more detail in the Policy and Partner Dialogue Matrix (Annex </w:t>
      </w:r>
      <w:r w:rsidR="002846B4" w:rsidRPr="00BA23EC">
        <w:rPr>
          <w:rFonts w:cstheme="minorHAnsi"/>
          <w:sz w:val="21"/>
          <w:lang w:val="en-AU"/>
        </w:rPr>
        <w:t>3</w:t>
      </w:r>
      <w:r w:rsidR="00F276DA" w:rsidRPr="00BA23EC">
        <w:rPr>
          <w:rFonts w:cstheme="minorHAnsi"/>
          <w:sz w:val="21"/>
          <w:lang w:val="en-AU"/>
        </w:rPr>
        <w:t>).</w:t>
      </w:r>
      <w:r w:rsidR="00C07453" w:rsidRPr="00C07453">
        <w:rPr>
          <w:rFonts w:cstheme="minorHAnsi"/>
          <w:sz w:val="21"/>
          <w:lang w:val="en-AU"/>
        </w:rPr>
        <w:t xml:space="preserve"> </w:t>
      </w:r>
      <w:r w:rsidR="00C07453">
        <w:rPr>
          <w:rFonts w:cstheme="minorHAnsi"/>
          <w:sz w:val="21"/>
          <w:lang w:val="en-AU"/>
        </w:rPr>
        <w:t xml:space="preserve">From the outset of these health reforms, there has been regular engagement at senior levels between Jakarta Post and </w:t>
      </w:r>
      <w:proofErr w:type="spellStart"/>
      <w:r w:rsidR="00C07453">
        <w:rPr>
          <w:rFonts w:cstheme="minorHAnsi"/>
          <w:sz w:val="21"/>
          <w:lang w:val="en-AU"/>
        </w:rPr>
        <w:t>GoI</w:t>
      </w:r>
      <w:proofErr w:type="spellEnd"/>
      <w:r w:rsidR="00C07453">
        <w:rPr>
          <w:rFonts w:cstheme="minorHAnsi"/>
          <w:sz w:val="21"/>
          <w:lang w:val="en-AU"/>
        </w:rPr>
        <w:t xml:space="preserve">, including HOM/DHOM engagement with the Minister for Health and other </w:t>
      </w:r>
      <w:r w:rsidR="001973DC">
        <w:rPr>
          <w:rFonts w:cstheme="minorHAnsi"/>
          <w:sz w:val="21"/>
          <w:lang w:val="en-AU"/>
        </w:rPr>
        <w:t>E</w:t>
      </w:r>
      <w:r w:rsidR="00C07453">
        <w:rPr>
          <w:rFonts w:cstheme="minorHAnsi"/>
          <w:sz w:val="21"/>
          <w:lang w:val="en-AU"/>
        </w:rPr>
        <w:t xml:space="preserve">chelon 1 </w:t>
      </w:r>
      <w:proofErr w:type="spellStart"/>
      <w:r w:rsidR="00C07453">
        <w:rPr>
          <w:rFonts w:cstheme="minorHAnsi"/>
          <w:sz w:val="21"/>
          <w:lang w:val="en-AU"/>
        </w:rPr>
        <w:t>GoI</w:t>
      </w:r>
      <w:proofErr w:type="spellEnd"/>
      <w:r w:rsidR="00C07453">
        <w:rPr>
          <w:rFonts w:cstheme="minorHAnsi"/>
          <w:sz w:val="21"/>
          <w:lang w:val="en-AU"/>
        </w:rPr>
        <w:t xml:space="preserve"> counterparts.</w:t>
      </w:r>
      <w:r w:rsidR="00C07453" w:rsidDel="00F87A9D">
        <w:rPr>
          <w:rFonts w:cstheme="minorHAnsi"/>
          <w:sz w:val="21"/>
          <w:lang w:val="en-AU"/>
        </w:rPr>
        <w:t xml:space="preserve"> </w:t>
      </w:r>
      <w:r w:rsidR="00C07453">
        <w:rPr>
          <w:rFonts w:cstheme="minorHAnsi"/>
          <w:sz w:val="21"/>
          <w:lang w:val="en-AU"/>
        </w:rPr>
        <w:t xml:space="preserve">In addition to the opportunities to engage with </w:t>
      </w:r>
      <w:proofErr w:type="spellStart"/>
      <w:r w:rsidR="00C07453">
        <w:rPr>
          <w:rFonts w:cstheme="minorHAnsi"/>
          <w:sz w:val="21"/>
          <w:lang w:val="en-AU"/>
        </w:rPr>
        <w:t>GoI</w:t>
      </w:r>
      <w:proofErr w:type="spellEnd"/>
      <w:r w:rsidR="00C07453">
        <w:rPr>
          <w:rFonts w:cstheme="minorHAnsi"/>
          <w:sz w:val="21"/>
          <w:lang w:val="en-AU"/>
        </w:rPr>
        <w:t xml:space="preserve"> through the Partnership Council it is anticipated that these ad-hoc channels of engagement will continue, providing further opportunity for Australia to contribute to the policy dialogue and to influence the direction and implementation of these reforms.</w:t>
      </w:r>
    </w:p>
    <w:p w14:paraId="1D60F346" w14:textId="14B2B9CF" w:rsidR="00F32A82" w:rsidRPr="00BA23EC" w:rsidRDefault="002054F2" w:rsidP="003B562D">
      <w:pPr>
        <w:tabs>
          <w:tab w:val="left" w:pos="284"/>
        </w:tabs>
        <w:suppressAutoHyphens w:val="0"/>
        <w:spacing w:before="0" w:line="280" w:lineRule="exact"/>
        <w:jc w:val="both"/>
        <w:rPr>
          <w:rFonts w:cstheme="minorHAnsi"/>
          <w:sz w:val="21"/>
          <w:lang w:val="en-AU"/>
        </w:rPr>
      </w:pPr>
      <w:r w:rsidRPr="00BA23EC">
        <w:rPr>
          <w:rFonts w:cstheme="minorHAnsi"/>
          <w:sz w:val="21"/>
          <w:lang w:val="en-AU"/>
        </w:rPr>
        <w:t xml:space="preserve">Australia will work closely </w:t>
      </w:r>
      <w:r w:rsidR="00244F8D">
        <w:rPr>
          <w:rFonts w:cstheme="minorHAnsi"/>
          <w:sz w:val="21"/>
          <w:lang w:val="en-AU"/>
        </w:rPr>
        <w:t xml:space="preserve">with </w:t>
      </w:r>
      <w:r w:rsidR="001E6D8E" w:rsidRPr="00BA23EC">
        <w:rPr>
          <w:rFonts w:cstheme="minorHAnsi"/>
          <w:sz w:val="21"/>
          <w:lang w:val="en-AU"/>
        </w:rPr>
        <w:t xml:space="preserve">the </w:t>
      </w:r>
      <w:r w:rsidRPr="00BA23EC">
        <w:rPr>
          <w:rFonts w:cstheme="minorHAnsi"/>
          <w:sz w:val="21"/>
          <w:lang w:val="en-AU"/>
        </w:rPr>
        <w:t xml:space="preserve">Bank’s Health Task </w:t>
      </w:r>
      <w:r w:rsidR="00CA5FCF">
        <w:rPr>
          <w:rFonts w:cstheme="minorHAnsi"/>
          <w:sz w:val="21"/>
          <w:lang w:val="en-AU"/>
        </w:rPr>
        <w:t>T</w:t>
      </w:r>
      <w:r w:rsidRPr="00BA23EC">
        <w:rPr>
          <w:rFonts w:cstheme="minorHAnsi"/>
          <w:sz w:val="21"/>
          <w:lang w:val="en-AU"/>
        </w:rPr>
        <w:t>eam</w:t>
      </w:r>
      <w:r w:rsidR="009038A6" w:rsidRPr="00BA23EC">
        <w:rPr>
          <w:rFonts w:cstheme="minorHAnsi"/>
          <w:sz w:val="21"/>
          <w:lang w:val="en-AU"/>
        </w:rPr>
        <w:t xml:space="preserve">, in particular the Task </w:t>
      </w:r>
      <w:r w:rsidR="00CA5FCF">
        <w:rPr>
          <w:rFonts w:cstheme="minorHAnsi"/>
          <w:sz w:val="21"/>
          <w:lang w:val="en-AU"/>
        </w:rPr>
        <w:t>T</w:t>
      </w:r>
      <w:r w:rsidR="009038A6" w:rsidRPr="00BA23EC">
        <w:rPr>
          <w:rFonts w:cstheme="minorHAnsi"/>
          <w:sz w:val="21"/>
          <w:lang w:val="en-AU"/>
        </w:rPr>
        <w:t xml:space="preserve">eam </w:t>
      </w:r>
      <w:r w:rsidR="00CA5FCF">
        <w:rPr>
          <w:rFonts w:cstheme="minorHAnsi"/>
          <w:sz w:val="21"/>
          <w:lang w:val="en-AU"/>
        </w:rPr>
        <w:t>L</w:t>
      </w:r>
      <w:r w:rsidR="009038A6" w:rsidRPr="00BA23EC">
        <w:rPr>
          <w:rFonts w:cstheme="minorHAnsi"/>
          <w:sz w:val="21"/>
          <w:lang w:val="en-AU"/>
        </w:rPr>
        <w:t xml:space="preserve">eader </w:t>
      </w:r>
      <w:r w:rsidR="00505C4C" w:rsidRPr="00BA23EC">
        <w:rPr>
          <w:rFonts w:cstheme="minorHAnsi"/>
          <w:sz w:val="21"/>
          <w:lang w:val="en-AU"/>
        </w:rPr>
        <w:t>who will be r</w:t>
      </w:r>
      <w:r w:rsidR="009038A6" w:rsidRPr="00BA23EC">
        <w:rPr>
          <w:rFonts w:cstheme="minorHAnsi"/>
          <w:sz w:val="21"/>
          <w:lang w:val="en-AU"/>
        </w:rPr>
        <w:t xml:space="preserve">esponsible for the overall management of the </w:t>
      </w:r>
      <w:r w:rsidR="00671904" w:rsidRPr="00BA23EC">
        <w:rPr>
          <w:rFonts w:cstheme="minorHAnsi"/>
          <w:sz w:val="21"/>
          <w:szCs w:val="21"/>
          <w:lang w:val="en-AU"/>
        </w:rPr>
        <w:t>HT-</w:t>
      </w:r>
      <w:r w:rsidR="009038A6" w:rsidRPr="00BA23EC">
        <w:rPr>
          <w:rFonts w:cstheme="minorHAnsi"/>
          <w:sz w:val="21"/>
          <w:lang w:val="en-AU"/>
        </w:rPr>
        <w:t xml:space="preserve">MDTF, including </w:t>
      </w:r>
      <w:r w:rsidR="001E6D8E" w:rsidRPr="00BA23EC">
        <w:rPr>
          <w:rFonts w:cstheme="minorHAnsi"/>
          <w:sz w:val="21"/>
          <w:lang w:val="en-AU"/>
        </w:rPr>
        <w:t>delivery of Bank-executed analy</w:t>
      </w:r>
      <w:r w:rsidR="00633520" w:rsidRPr="00BA23EC">
        <w:rPr>
          <w:rFonts w:cstheme="minorHAnsi"/>
          <w:sz w:val="21"/>
          <w:lang w:val="en-AU"/>
        </w:rPr>
        <w:t xml:space="preserve">sis and technical assistance, in addition to </w:t>
      </w:r>
      <w:r w:rsidR="008A3F36" w:rsidRPr="00BA23EC">
        <w:rPr>
          <w:rFonts w:cstheme="minorHAnsi"/>
          <w:sz w:val="21"/>
          <w:lang w:val="en-AU"/>
        </w:rPr>
        <w:t xml:space="preserve">due diligence </w:t>
      </w:r>
      <w:r w:rsidR="00633520" w:rsidRPr="00BA23EC">
        <w:rPr>
          <w:rFonts w:cstheme="minorHAnsi"/>
          <w:sz w:val="21"/>
          <w:lang w:val="en-AU"/>
        </w:rPr>
        <w:t>assessments on</w:t>
      </w:r>
      <w:r w:rsidR="008A3F36" w:rsidRPr="00BA23EC">
        <w:rPr>
          <w:rFonts w:cstheme="minorHAnsi"/>
          <w:sz w:val="21"/>
          <w:lang w:val="en-AU"/>
        </w:rPr>
        <w:t xml:space="preserve"> anti-corruption, fiduciary and environment and social safeguards requirements </w:t>
      </w:r>
      <w:r w:rsidR="00633520" w:rsidRPr="00BA23EC">
        <w:rPr>
          <w:rFonts w:cstheme="minorHAnsi"/>
          <w:sz w:val="21"/>
          <w:lang w:val="en-AU"/>
        </w:rPr>
        <w:t xml:space="preserve">for all </w:t>
      </w:r>
      <w:r w:rsidR="00671904" w:rsidRPr="00BA23EC">
        <w:rPr>
          <w:rFonts w:cstheme="minorHAnsi"/>
          <w:sz w:val="21"/>
          <w:szCs w:val="21"/>
          <w:lang w:val="en-AU"/>
        </w:rPr>
        <w:t>HT-</w:t>
      </w:r>
      <w:r w:rsidR="00633520" w:rsidRPr="00BA23EC">
        <w:rPr>
          <w:rFonts w:cstheme="minorHAnsi"/>
          <w:sz w:val="21"/>
          <w:lang w:val="en-AU"/>
        </w:rPr>
        <w:t xml:space="preserve">MDTF activities, </w:t>
      </w:r>
      <w:r w:rsidR="008A3F36" w:rsidRPr="00BA23EC">
        <w:rPr>
          <w:rFonts w:cstheme="minorHAnsi"/>
          <w:sz w:val="21"/>
          <w:lang w:val="en-AU"/>
        </w:rPr>
        <w:t xml:space="preserve">in accordance with World Bank regulations and procedures. The </w:t>
      </w:r>
      <w:r w:rsidR="005C05CA" w:rsidRPr="00BA23EC">
        <w:rPr>
          <w:rFonts w:cstheme="minorHAnsi"/>
          <w:sz w:val="21"/>
          <w:lang w:val="en-AU"/>
        </w:rPr>
        <w:t xml:space="preserve">World Bank </w:t>
      </w:r>
      <w:r w:rsidR="008A3F36" w:rsidRPr="00BA23EC">
        <w:rPr>
          <w:rFonts w:cstheme="minorHAnsi"/>
          <w:sz w:val="21"/>
          <w:lang w:val="en-AU"/>
        </w:rPr>
        <w:t>team will undertake</w:t>
      </w:r>
      <w:r w:rsidR="009038A6" w:rsidRPr="00BA23EC">
        <w:rPr>
          <w:rFonts w:cstheme="minorHAnsi"/>
          <w:sz w:val="21"/>
          <w:lang w:val="en-AU"/>
        </w:rPr>
        <w:t xml:space="preserve"> quality assurance of </w:t>
      </w:r>
      <w:r w:rsidR="008A3F36" w:rsidRPr="00BA23EC">
        <w:rPr>
          <w:rFonts w:cstheme="minorHAnsi"/>
          <w:sz w:val="21"/>
          <w:lang w:val="en-AU"/>
        </w:rPr>
        <w:t xml:space="preserve">analysis </w:t>
      </w:r>
      <w:r w:rsidR="00633520" w:rsidRPr="00BA23EC">
        <w:rPr>
          <w:rFonts w:cstheme="minorHAnsi"/>
          <w:sz w:val="21"/>
          <w:lang w:val="en-AU"/>
        </w:rPr>
        <w:t xml:space="preserve">and technical support </w:t>
      </w:r>
      <w:r w:rsidR="008A3F36" w:rsidRPr="00BA23EC">
        <w:rPr>
          <w:rFonts w:cstheme="minorHAnsi"/>
          <w:sz w:val="21"/>
          <w:lang w:val="en-AU"/>
        </w:rPr>
        <w:t xml:space="preserve">commissioned by the </w:t>
      </w:r>
      <w:r w:rsidR="00CF4C80" w:rsidRPr="00BA23EC">
        <w:rPr>
          <w:rFonts w:cstheme="minorHAnsi"/>
          <w:sz w:val="21"/>
          <w:lang w:val="en-AU"/>
        </w:rPr>
        <w:t>MoH</w:t>
      </w:r>
      <w:r w:rsidR="008A3F36" w:rsidRPr="00BA23EC">
        <w:rPr>
          <w:rFonts w:cstheme="minorHAnsi"/>
          <w:sz w:val="21"/>
          <w:lang w:val="en-AU"/>
        </w:rPr>
        <w:t xml:space="preserve"> </w:t>
      </w:r>
      <w:r w:rsidR="00671904" w:rsidRPr="00BA23EC">
        <w:rPr>
          <w:rFonts w:cstheme="minorHAnsi"/>
          <w:sz w:val="21"/>
          <w:szCs w:val="21"/>
          <w:lang w:val="en-AU"/>
        </w:rPr>
        <w:t>HT-</w:t>
      </w:r>
      <w:r w:rsidR="008A3F36" w:rsidRPr="00BA23EC">
        <w:rPr>
          <w:rFonts w:cstheme="minorHAnsi"/>
          <w:sz w:val="21"/>
          <w:lang w:val="en-AU"/>
        </w:rPr>
        <w:t xml:space="preserve">MDTF Secretariat, as well as annual </w:t>
      </w:r>
      <w:r w:rsidR="009038A6" w:rsidRPr="00BA23EC">
        <w:rPr>
          <w:rFonts w:cstheme="minorHAnsi"/>
          <w:sz w:val="21"/>
          <w:lang w:val="en-AU"/>
        </w:rPr>
        <w:t>workplans and budgets</w:t>
      </w:r>
      <w:r w:rsidR="008A3F36" w:rsidRPr="00BA23EC">
        <w:rPr>
          <w:rFonts w:cstheme="minorHAnsi"/>
          <w:sz w:val="21"/>
          <w:lang w:val="en-AU"/>
        </w:rPr>
        <w:t>.</w:t>
      </w:r>
      <w:r w:rsidR="001E6D8E" w:rsidRPr="00BA23EC">
        <w:rPr>
          <w:rFonts w:cstheme="minorHAnsi"/>
          <w:sz w:val="21"/>
          <w:lang w:val="en-AU"/>
        </w:rPr>
        <w:t xml:space="preserve"> </w:t>
      </w:r>
      <w:r w:rsidR="009E2F88" w:rsidRPr="00BA23EC">
        <w:rPr>
          <w:rFonts w:cstheme="minorHAnsi"/>
          <w:sz w:val="21"/>
          <w:lang w:val="en-AU"/>
        </w:rPr>
        <w:t xml:space="preserve">The </w:t>
      </w:r>
      <w:r w:rsidR="00B320DD" w:rsidRPr="00BA23EC">
        <w:rPr>
          <w:rFonts w:cstheme="minorHAnsi"/>
          <w:sz w:val="21"/>
          <w:lang w:val="en-AU"/>
        </w:rPr>
        <w:t xml:space="preserve">Health Task </w:t>
      </w:r>
      <w:r w:rsidR="00CA5FCF">
        <w:rPr>
          <w:rFonts w:cstheme="minorHAnsi"/>
          <w:sz w:val="21"/>
          <w:lang w:val="en-AU"/>
        </w:rPr>
        <w:t>T</w:t>
      </w:r>
      <w:r w:rsidR="00B320DD" w:rsidRPr="00BA23EC">
        <w:rPr>
          <w:rFonts w:cstheme="minorHAnsi"/>
          <w:sz w:val="21"/>
          <w:lang w:val="en-AU"/>
        </w:rPr>
        <w:t xml:space="preserve">eam will include a </w:t>
      </w:r>
      <w:r w:rsidR="00401F7B" w:rsidRPr="00BA23EC">
        <w:rPr>
          <w:rFonts w:cstheme="minorHAnsi"/>
          <w:sz w:val="21"/>
          <w:lang w:val="en-AU"/>
        </w:rPr>
        <w:t>focal point for gender-related coordination</w:t>
      </w:r>
      <w:r w:rsidR="00CA5FCF">
        <w:rPr>
          <w:rFonts w:cstheme="minorHAnsi"/>
          <w:sz w:val="21"/>
          <w:lang w:val="en-AU"/>
        </w:rPr>
        <w:t>,</w:t>
      </w:r>
      <w:r w:rsidR="00401F7B" w:rsidRPr="00BA23EC">
        <w:rPr>
          <w:rFonts w:cstheme="minorHAnsi"/>
          <w:sz w:val="21"/>
          <w:lang w:val="en-AU"/>
        </w:rPr>
        <w:t xml:space="preserve"> and </w:t>
      </w:r>
      <w:r w:rsidR="00CA5FCF">
        <w:rPr>
          <w:rFonts w:cstheme="minorHAnsi"/>
          <w:sz w:val="21"/>
          <w:lang w:val="en-AU"/>
        </w:rPr>
        <w:t xml:space="preserve">key </w:t>
      </w:r>
      <w:r w:rsidR="00DD732D" w:rsidRPr="00BA23EC">
        <w:rPr>
          <w:rFonts w:cstheme="minorHAnsi"/>
          <w:sz w:val="21"/>
          <w:lang w:val="en-AU"/>
        </w:rPr>
        <w:t>activities will be reviewed by the Bank’s in-house gender expert team.</w:t>
      </w:r>
    </w:p>
    <w:p w14:paraId="4E7C0918" w14:textId="2D03EF24" w:rsidR="00F32A82" w:rsidRDefault="00185B35">
      <w:pPr>
        <w:pStyle w:val="BodyText"/>
        <w:jc w:val="both"/>
        <w:rPr>
          <w:rFonts w:cstheme="minorHAnsi"/>
          <w:sz w:val="21"/>
          <w:lang w:val="en-AU"/>
        </w:rPr>
      </w:pPr>
      <w:r w:rsidRPr="00BA23EC">
        <w:rPr>
          <w:rFonts w:cstheme="minorHAnsi"/>
          <w:sz w:val="21"/>
          <w:lang w:val="en-AU"/>
        </w:rPr>
        <w:t xml:space="preserve">The </w:t>
      </w:r>
      <w:r w:rsidR="007F199C" w:rsidRPr="00BA23EC">
        <w:rPr>
          <w:rFonts w:cstheme="minorHAnsi"/>
          <w:sz w:val="21"/>
          <w:lang w:val="en-AU"/>
        </w:rPr>
        <w:t xml:space="preserve">DFAT Jakarta Post </w:t>
      </w:r>
      <w:r w:rsidRPr="00BA23EC">
        <w:rPr>
          <w:rFonts w:cstheme="minorHAnsi"/>
          <w:sz w:val="21"/>
          <w:lang w:val="en-AU"/>
        </w:rPr>
        <w:t xml:space="preserve">Health Team </w:t>
      </w:r>
      <w:r w:rsidR="00F32A82" w:rsidRPr="00BA23EC">
        <w:rPr>
          <w:rFonts w:cstheme="minorHAnsi"/>
          <w:sz w:val="21"/>
          <w:lang w:val="en-AU"/>
        </w:rPr>
        <w:t xml:space="preserve">(supported by the </w:t>
      </w:r>
      <w:r w:rsidR="00660327" w:rsidRPr="00BA23EC">
        <w:rPr>
          <w:rFonts w:cstheme="minorHAnsi"/>
          <w:sz w:val="21"/>
          <w:lang w:val="en-AU"/>
        </w:rPr>
        <w:t>Counsellor</w:t>
      </w:r>
      <w:r w:rsidR="00F32A82" w:rsidRPr="00BA23EC">
        <w:rPr>
          <w:rFonts w:cstheme="minorHAnsi"/>
          <w:sz w:val="21"/>
          <w:lang w:val="en-AU"/>
        </w:rPr>
        <w:t xml:space="preserve">, Human Development) </w:t>
      </w:r>
      <w:r w:rsidR="007F199C" w:rsidRPr="00BA23EC">
        <w:rPr>
          <w:rFonts w:cstheme="minorHAnsi"/>
          <w:sz w:val="21"/>
          <w:lang w:val="en-AU"/>
        </w:rPr>
        <w:t xml:space="preserve">will be </w:t>
      </w:r>
      <w:r w:rsidRPr="00BA23EC">
        <w:rPr>
          <w:rFonts w:cstheme="minorHAnsi"/>
          <w:sz w:val="21"/>
          <w:lang w:val="en-AU"/>
        </w:rPr>
        <w:t xml:space="preserve">responsible for the day-to-day management of </w:t>
      </w:r>
      <w:r w:rsidR="009E167C" w:rsidRPr="00BA23EC">
        <w:rPr>
          <w:rFonts w:cstheme="minorHAnsi"/>
          <w:sz w:val="21"/>
          <w:lang w:val="en-AU"/>
        </w:rPr>
        <w:t>this</w:t>
      </w:r>
      <w:r w:rsidRPr="00BA23EC">
        <w:rPr>
          <w:rFonts w:cstheme="minorHAnsi"/>
          <w:sz w:val="21"/>
          <w:lang w:val="en-AU"/>
        </w:rPr>
        <w:t xml:space="preserve"> investment including </w:t>
      </w:r>
      <w:r w:rsidR="00F32A82" w:rsidRPr="00BA23EC">
        <w:rPr>
          <w:rFonts w:cstheme="minorHAnsi"/>
          <w:sz w:val="21"/>
          <w:lang w:val="en-AU"/>
        </w:rPr>
        <w:t xml:space="preserve">regular </w:t>
      </w:r>
      <w:r w:rsidRPr="00BA23EC">
        <w:rPr>
          <w:rFonts w:cstheme="minorHAnsi"/>
          <w:sz w:val="21"/>
          <w:lang w:val="en-AU"/>
        </w:rPr>
        <w:t>engag</w:t>
      </w:r>
      <w:r w:rsidR="00F32A82" w:rsidRPr="00BA23EC">
        <w:rPr>
          <w:rFonts w:cstheme="minorHAnsi"/>
          <w:sz w:val="21"/>
          <w:lang w:val="en-AU"/>
        </w:rPr>
        <w:t xml:space="preserve">ement </w:t>
      </w:r>
      <w:r w:rsidRPr="00BA23EC">
        <w:rPr>
          <w:rFonts w:cstheme="minorHAnsi"/>
          <w:sz w:val="21"/>
          <w:lang w:val="en-AU"/>
        </w:rPr>
        <w:t xml:space="preserve">with the World </w:t>
      </w:r>
      <w:r w:rsidR="007F199C" w:rsidRPr="00BA23EC">
        <w:rPr>
          <w:rFonts w:cstheme="minorHAnsi"/>
          <w:sz w:val="21"/>
          <w:lang w:val="en-AU"/>
        </w:rPr>
        <w:t xml:space="preserve">Bank’s </w:t>
      </w:r>
      <w:r w:rsidRPr="00BA23EC">
        <w:rPr>
          <w:rFonts w:cstheme="minorHAnsi"/>
          <w:sz w:val="21"/>
          <w:lang w:val="en-AU"/>
        </w:rPr>
        <w:t xml:space="preserve">Health </w:t>
      </w:r>
      <w:r w:rsidR="007F199C" w:rsidRPr="00BA23EC">
        <w:rPr>
          <w:rFonts w:cstheme="minorHAnsi"/>
          <w:sz w:val="21"/>
          <w:lang w:val="en-AU"/>
        </w:rPr>
        <w:t>Task Team</w:t>
      </w:r>
      <w:r w:rsidR="002054F2" w:rsidRPr="00BA23EC">
        <w:rPr>
          <w:rFonts w:cstheme="minorHAnsi"/>
          <w:sz w:val="21"/>
          <w:lang w:val="en-AU"/>
        </w:rPr>
        <w:t>;</w:t>
      </w:r>
      <w:r w:rsidRPr="00BA23EC">
        <w:rPr>
          <w:rFonts w:cstheme="minorHAnsi"/>
          <w:sz w:val="21"/>
          <w:lang w:val="en-AU"/>
        </w:rPr>
        <w:t xml:space="preserve"> contract management of the Administrative Agreement</w:t>
      </w:r>
      <w:r w:rsidR="002054F2" w:rsidRPr="00BA23EC">
        <w:rPr>
          <w:rFonts w:cstheme="minorHAnsi"/>
          <w:sz w:val="21"/>
          <w:lang w:val="en-AU"/>
        </w:rPr>
        <w:t>;</w:t>
      </w:r>
      <w:r w:rsidRPr="00BA23EC">
        <w:rPr>
          <w:rFonts w:cstheme="minorHAnsi"/>
          <w:sz w:val="21"/>
          <w:lang w:val="en-AU"/>
        </w:rPr>
        <w:t xml:space="preserve"> </w:t>
      </w:r>
      <w:r w:rsidR="009E167C" w:rsidRPr="00BA23EC">
        <w:rPr>
          <w:rFonts w:cstheme="minorHAnsi"/>
          <w:sz w:val="21"/>
          <w:lang w:val="en-AU"/>
        </w:rPr>
        <w:t>supporting the strategic oversight of the trust fund, including through DHOM’s engagement on the Partnership Council</w:t>
      </w:r>
      <w:r w:rsidR="002054F2" w:rsidRPr="00BA23EC">
        <w:rPr>
          <w:rFonts w:cstheme="minorHAnsi"/>
          <w:sz w:val="21"/>
          <w:lang w:val="en-AU"/>
        </w:rPr>
        <w:t xml:space="preserve">; </w:t>
      </w:r>
      <w:r w:rsidR="00CA5FCF">
        <w:rPr>
          <w:rFonts w:cstheme="minorHAnsi"/>
          <w:sz w:val="21"/>
          <w:lang w:val="en-AU"/>
        </w:rPr>
        <w:t>M&amp;E</w:t>
      </w:r>
      <w:r w:rsidR="00536764" w:rsidRPr="00BA23EC">
        <w:rPr>
          <w:rFonts w:cstheme="minorHAnsi"/>
          <w:sz w:val="21"/>
          <w:lang w:val="en-AU"/>
        </w:rPr>
        <w:t xml:space="preserve">, </w:t>
      </w:r>
      <w:proofErr w:type="gramStart"/>
      <w:r w:rsidR="00536764" w:rsidRPr="00BA23EC">
        <w:rPr>
          <w:rFonts w:cstheme="minorHAnsi"/>
          <w:sz w:val="21"/>
          <w:lang w:val="en-AU"/>
        </w:rPr>
        <w:t>risk</w:t>
      </w:r>
      <w:proofErr w:type="gramEnd"/>
      <w:r w:rsidR="00536764" w:rsidRPr="00BA23EC">
        <w:rPr>
          <w:rFonts w:cstheme="minorHAnsi"/>
          <w:sz w:val="21"/>
          <w:lang w:val="en-AU"/>
        </w:rPr>
        <w:t xml:space="preserve"> and safeguards</w:t>
      </w:r>
      <w:r w:rsidR="002054F2" w:rsidRPr="00BA23EC">
        <w:rPr>
          <w:rFonts w:cstheme="minorHAnsi"/>
          <w:sz w:val="21"/>
          <w:lang w:val="en-AU"/>
        </w:rPr>
        <w:t>. To e</w:t>
      </w:r>
      <w:r w:rsidR="009E167C" w:rsidRPr="00BA23EC">
        <w:rPr>
          <w:rFonts w:cstheme="minorHAnsi"/>
          <w:sz w:val="21"/>
          <w:lang w:val="en-AU"/>
        </w:rPr>
        <w:t>ns</w:t>
      </w:r>
      <w:r w:rsidR="002054F2" w:rsidRPr="00BA23EC">
        <w:rPr>
          <w:rFonts w:cstheme="minorHAnsi"/>
          <w:sz w:val="21"/>
          <w:lang w:val="en-AU"/>
        </w:rPr>
        <w:t>ure</w:t>
      </w:r>
      <w:r w:rsidR="009E167C" w:rsidRPr="00BA23EC">
        <w:rPr>
          <w:rFonts w:cstheme="minorHAnsi"/>
          <w:sz w:val="21"/>
          <w:lang w:val="en-AU"/>
        </w:rPr>
        <w:t xml:space="preserve"> complementarity </w:t>
      </w:r>
      <w:r w:rsidR="002054F2" w:rsidRPr="00BA23EC">
        <w:rPr>
          <w:rFonts w:cstheme="minorHAnsi"/>
          <w:sz w:val="21"/>
          <w:lang w:val="en-AU"/>
        </w:rPr>
        <w:t xml:space="preserve">and to foster ongoing collaboration </w:t>
      </w:r>
      <w:r w:rsidR="009E167C" w:rsidRPr="00BA23EC">
        <w:rPr>
          <w:rFonts w:cstheme="minorHAnsi"/>
          <w:sz w:val="21"/>
          <w:lang w:val="en-AU"/>
        </w:rPr>
        <w:t xml:space="preserve">with other bilateral health </w:t>
      </w:r>
      <w:r w:rsidR="002054F2" w:rsidRPr="00BA23EC">
        <w:rPr>
          <w:rFonts w:cstheme="minorHAnsi"/>
          <w:sz w:val="21"/>
          <w:lang w:val="en-AU"/>
        </w:rPr>
        <w:t>investments</w:t>
      </w:r>
      <w:r w:rsidR="009E167C" w:rsidRPr="00BA23EC">
        <w:rPr>
          <w:rFonts w:cstheme="minorHAnsi"/>
          <w:sz w:val="21"/>
          <w:lang w:val="en-AU"/>
        </w:rPr>
        <w:t xml:space="preserve">, </w:t>
      </w:r>
      <w:r w:rsidR="002054F2" w:rsidRPr="00BA23EC">
        <w:rPr>
          <w:rFonts w:cstheme="minorHAnsi"/>
          <w:sz w:val="21"/>
          <w:lang w:val="en-AU"/>
        </w:rPr>
        <w:t xml:space="preserve">the Jakarta Post </w:t>
      </w:r>
      <w:r w:rsidR="002054F2" w:rsidRPr="00BA23EC">
        <w:rPr>
          <w:rFonts w:cstheme="minorHAnsi"/>
          <w:sz w:val="21"/>
          <w:lang w:val="en-AU"/>
        </w:rPr>
        <w:lastRenderedPageBreak/>
        <w:t xml:space="preserve">Health team will </w:t>
      </w:r>
      <w:r w:rsidRPr="00BA23EC">
        <w:rPr>
          <w:rFonts w:cstheme="minorHAnsi"/>
          <w:sz w:val="21"/>
          <w:lang w:val="en-AU"/>
        </w:rPr>
        <w:t>conven</w:t>
      </w:r>
      <w:r w:rsidR="002054F2" w:rsidRPr="00BA23EC">
        <w:rPr>
          <w:rFonts w:cstheme="minorHAnsi"/>
          <w:sz w:val="21"/>
          <w:lang w:val="en-AU"/>
        </w:rPr>
        <w:t xml:space="preserve">e </w:t>
      </w:r>
      <w:r w:rsidR="005F6393">
        <w:rPr>
          <w:rFonts w:cstheme="minorHAnsi"/>
          <w:sz w:val="21"/>
          <w:lang w:val="en-AU"/>
        </w:rPr>
        <w:t>quarterly</w:t>
      </w:r>
      <w:r w:rsidR="005F6393" w:rsidRPr="00BA23EC">
        <w:rPr>
          <w:rFonts w:cstheme="minorHAnsi"/>
          <w:sz w:val="21"/>
          <w:lang w:val="en-AU"/>
        </w:rPr>
        <w:t xml:space="preserve"> </w:t>
      </w:r>
      <w:r w:rsidRPr="00BA23EC">
        <w:rPr>
          <w:rFonts w:cstheme="minorHAnsi"/>
          <w:sz w:val="21"/>
          <w:lang w:val="en-AU"/>
        </w:rPr>
        <w:t xml:space="preserve">meetings with the World Bank and other health </w:t>
      </w:r>
      <w:r w:rsidR="002054F2" w:rsidRPr="00BA23EC">
        <w:rPr>
          <w:rFonts w:cstheme="minorHAnsi"/>
          <w:sz w:val="21"/>
          <w:lang w:val="en-AU"/>
        </w:rPr>
        <w:t xml:space="preserve">development </w:t>
      </w:r>
      <w:r w:rsidRPr="00BA23EC">
        <w:rPr>
          <w:rFonts w:cstheme="minorHAnsi"/>
          <w:sz w:val="21"/>
          <w:lang w:val="en-AU"/>
        </w:rPr>
        <w:t>partners</w:t>
      </w:r>
      <w:r w:rsidR="006A2BDB">
        <w:rPr>
          <w:rFonts w:cstheme="minorHAnsi"/>
          <w:sz w:val="21"/>
          <w:szCs w:val="21"/>
          <w:lang w:val="en-AU"/>
        </w:rPr>
        <w:t xml:space="preserve"> to identify opportunities to leverage each other’s results and to avoid duplication of efforts in supporting Indonesia’s health reforms. </w:t>
      </w:r>
      <w:r w:rsidR="00536764" w:rsidRPr="00BA23EC">
        <w:rPr>
          <w:rFonts w:cstheme="minorHAnsi"/>
          <w:sz w:val="21"/>
          <w:lang w:val="en-AU"/>
        </w:rPr>
        <w:t xml:space="preserve">The Jakarta Post Health team will also engage directly with the MoH, including attending any meetings convened by </w:t>
      </w:r>
      <w:r w:rsidR="00671904" w:rsidRPr="00BA23EC">
        <w:rPr>
          <w:rFonts w:cstheme="minorHAnsi"/>
          <w:sz w:val="21"/>
          <w:szCs w:val="21"/>
          <w:lang w:val="en-AU"/>
        </w:rPr>
        <w:t>the HT-</w:t>
      </w:r>
      <w:r w:rsidR="00536764" w:rsidRPr="00BA23EC">
        <w:rPr>
          <w:rFonts w:cstheme="minorHAnsi"/>
          <w:sz w:val="21"/>
          <w:lang w:val="en-AU"/>
        </w:rPr>
        <w:t xml:space="preserve">MDTF Secretariat for donors at the operational level. </w:t>
      </w:r>
    </w:p>
    <w:p w14:paraId="4C7673BF" w14:textId="010935A5" w:rsidR="009E167C" w:rsidRDefault="00096FC6" w:rsidP="003B562D">
      <w:pPr>
        <w:tabs>
          <w:tab w:val="left" w:pos="284"/>
        </w:tabs>
        <w:suppressAutoHyphens w:val="0"/>
        <w:spacing w:before="0" w:line="280" w:lineRule="exact"/>
        <w:jc w:val="both"/>
        <w:rPr>
          <w:rFonts w:cstheme="minorHAnsi"/>
          <w:sz w:val="21"/>
          <w:lang w:val="en-AU"/>
        </w:rPr>
      </w:pPr>
      <w:r w:rsidRPr="00BA23EC">
        <w:rPr>
          <w:rFonts w:cstheme="minorHAnsi"/>
          <w:sz w:val="21"/>
          <w:lang w:val="en-AU"/>
        </w:rPr>
        <w:t xml:space="preserve">Through the Partnership Council approval process, </w:t>
      </w:r>
      <w:r w:rsidR="003B562D" w:rsidRPr="00BA23EC">
        <w:rPr>
          <w:rFonts w:cstheme="minorHAnsi"/>
          <w:sz w:val="21"/>
          <w:lang w:val="en-AU"/>
        </w:rPr>
        <w:t xml:space="preserve">DFAT will </w:t>
      </w:r>
      <w:r w:rsidRPr="00BA23EC">
        <w:rPr>
          <w:rFonts w:cstheme="minorHAnsi"/>
          <w:sz w:val="21"/>
          <w:lang w:val="en-AU"/>
        </w:rPr>
        <w:t xml:space="preserve">work with the Bank and MoH </w:t>
      </w:r>
      <w:r w:rsidR="00CA5FCF">
        <w:rPr>
          <w:rFonts w:cstheme="minorHAnsi"/>
          <w:sz w:val="21"/>
          <w:lang w:val="en-AU"/>
        </w:rPr>
        <w:t xml:space="preserve">MDTF </w:t>
      </w:r>
      <w:r w:rsidRPr="00BA23EC">
        <w:rPr>
          <w:rFonts w:cstheme="minorHAnsi"/>
          <w:sz w:val="21"/>
          <w:lang w:val="en-AU"/>
        </w:rPr>
        <w:t xml:space="preserve">Secretariat during the development of the MDTF </w:t>
      </w:r>
      <w:r w:rsidR="003B562D" w:rsidRPr="00BA23EC">
        <w:rPr>
          <w:rFonts w:cstheme="minorHAnsi"/>
          <w:sz w:val="21"/>
          <w:lang w:val="en-AU"/>
        </w:rPr>
        <w:t xml:space="preserve">Communications </w:t>
      </w:r>
      <w:r w:rsidRPr="00BA23EC">
        <w:rPr>
          <w:rFonts w:cstheme="minorHAnsi"/>
          <w:sz w:val="21"/>
          <w:lang w:val="en-AU"/>
        </w:rPr>
        <w:t xml:space="preserve">and Visibility </w:t>
      </w:r>
      <w:r w:rsidR="003B562D" w:rsidRPr="00BA23EC">
        <w:rPr>
          <w:rFonts w:cstheme="minorHAnsi"/>
          <w:sz w:val="21"/>
          <w:lang w:val="en-AU"/>
        </w:rPr>
        <w:t xml:space="preserve">Strategy, </w:t>
      </w:r>
      <w:r w:rsidRPr="00BA23EC">
        <w:rPr>
          <w:rFonts w:cstheme="minorHAnsi"/>
          <w:sz w:val="21"/>
          <w:lang w:val="en-AU"/>
        </w:rPr>
        <w:t xml:space="preserve">to highlight Australia’s expectations regarding </w:t>
      </w:r>
      <w:r w:rsidR="003B562D" w:rsidRPr="00BA23EC">
        <w:rPr>
          <w:rFonts w:cstheme="minorHAnsi"/>
          <w:sz w:val="21"/>
          <w:lang w:val="en-AU"/>
        </w:rPr>
        <w:t>co-branding, media and social media engagement, and events</w:t>
      </w:r>
      <w:r w:rsidRPr="00BA23EC">
        <w:rPr>
          <w:rFonts w:cstheme="minorHAnsi"/>
          <w:sz w:val="21"/>
          <w:lang w:val="en-AU"/>
        </w:rPr>
        <w:t xml:space="preserve">, noting in some cases it may be appropriate for our support to be </w:t>
      </w:r>
      <w:r w:rsidR="003B562D" w:rsidRPr="00BA23EC">
        <w:rPr>
          <w:rFonts w:cstheme="minorHAnsi"/>
          <w:sz w:val="21"/>
          <w:lang w:val="en-AU"/>
        </w:rPr>
        <w:t>less visib</w:t>
      </w:r>
      <w:r w:rsidRPr="00BA23EC">
        <w:rPr>
          <w:rFonts w:cstheme="minorHAnsi"/>
          <w:sz w:val="21"/>
          <w:lang w:val="en-AU"/>
        </w:rPr>
        <w:t>le.</w:t>
      </w:r>
    </w:p>
    <w:p w14:paraId="150E4822" w14:textId="733498F6" w:rsidR="002504AF" w:rsidRPr="00BA23EC" w:rsidRDefault="00096FC6" w:rsidP="00C4230A">
      <w:pPr>
        <w:tabs>
          <w:tab w:val="left" w:pos="284"/>
        </w:tabs>
        <w:suppressAutoHyphens w:val="0"/>
        <w:spacing w:before="0" w:line="280" w:lineRule="exact"/>
        <w:jc w:val="both"/>
        <w:rPr>
          <w:rFonts w:cstheme="minorHAnsi"/>
          <w:u w:val="single"/>
          <w:lang w:val="en-AU"/>
        </w:rPr>
      </w:pPr>
      <w:r w:rsidRPr="00BA23EC">
        <w:rPr>
          <w:rFonts w:cstheme="minorHAnsi"/>
          <w:u w:val="single"/>
          <w:lang w:val="en-AU"/>
        </w:rPr>
        <w:t>Sustainability</w:t>
      </w:r>
      <w:r w:rsidR="00152572" w:rsidRPr="00BA23EC">
        <w:rPr>
          <w:rFonts w:cstheme="minorHAnsi"/>
          <w:u w:val="single"/>
          <w:lang w:val="en-AU"/>
        </w:rPr>
        <w:t xml:space="preserve"> and Localisation</w:t>
      </w:r>
    </w:p>
    <w:p w14:paraId="2D70268F" w14:textId="4A931700" w:rsidR="00ED1EC5" w:rsidRPr="00BA23EC" w:rsidRDefault="00152572" w:rsidP="00096FC6">
      <w:pPr>
        <w:jc w:val="both"/>
        <w:rPr>
          <w:rFonts w:cstheme="minorHAnsi"/>
          <w:sz w:val="21"/>
          <w:lang w:val="en-AU"/>
        </w:rPr>
      </w:pPr>
      <w:r w:rsidRPr="00BA23EC">
        <w:rPr>
          <w:rFonts w:cstheme="minorHAnsi"/>
          <w:sz w:val="21"/>
          <w:lang w:val="en-AU"/>
        </w:rPr>
        <w:t xml:space="preserve">While previous reviews </w:t>
      </w:r>
      <w:r w:rsidR="00096FC6" w:rsidRPr="00BA23EC">
        <w:rPr>
          <w:rFonts w:cstheme="minorHAnsi"/>
          <w:sz w:val="21"/>
          <w:lang w:val="en-AU"/>
        </w:rPr>
        <w:t>of the World Bank in Indonesia ha</w:t>
      </w:r>
      <w:r w:rsidRPr="00BA23EC">
        <w:rPr>
          <w:rFonts w:cstheme="minorHAnsi"/>
          <w:sz w:val="21"/>
          <w:lang w:val="en-AU"/>
        </w:rPr>
        <w:t xml:space="preserve">ve found there has been </w:t>
      </w:r>
      <w:r w:rsidR="00096FC6" w:rsidRPr="00BA23EC">
        <w:rPr>
          <w:rFonts w:cstheme="minorHAnsi"/>
          <w:sz w:val="21"/>
          <w:lang w:val="en-AU"/>
        </w:rPr>
        <w:t xml:space="preserve">insufficient focus on sustainability, including effective knowledge and capacity transfer to </w:t>
      </w:r>
      <w:proofErr w:type="spellStart"/>
      <w:r w:rsidR="00096FC6" w:rsidRPr="00BA23EC">
        <w:rPr>
          <w:rFonts w:cstheme="minorHAnsi"/>
          <w:sz w:val="21"/>
          <w:lang w:val="en-AU"/>
        </w:rPr>
        <w:t>GoI</w:t>
      </w:r>
      <w:proofErr w:type="spellEnd"/>
      <w:r w:rsidR="00096FC6" w:rsidRPr="00BA23EC">
        <w:rPr>
          <w:rFonts w:cstheme="minorHAnsi"/>
          <w:sz w:val="21"/>
          <w:lang w:val="en-AU"/>
        </w:rPr>
        <w:t xml:space="preserve"> and local organisations</w:t>
      </w:r>
      <w:r w:rsidRPr="00BA23EC">
        <w:rPr>
          <w:rFonts w:cstheme="minorHAnsi"/>
          <w:sz w:val="21"/>
          <w:lang w:val="en-AU"/>
        </w:rPr>
        <w:t>, the allocation of more than 90</w:t>
      </w:r>
      <w:r w:rsidR="008B1431">
        <w:rPr>
          <w:rFonts w:cstheme="minorHAnsi"/>
          <w:sz w:val="21"/>
          <w:lang w:val="en-AU"/>
        </w:rPr>
        <w:t xml:space="preserve"> </w:t>
      </w:r>
      <w:r w:rsidR="00E70D30">
        <w:rPr>
          <w:rFonts w:cstheme="minorHAnsi"/>
          <w:sz w:val="21"/>
          <w:lang w:val="en-AU"/>
        </w:rPr>
        <w:t>percent</w:t>
      </w:r>
      <w:r w:rsidRPr="00BA23EC">
        <w:rPr>
          <w:rFonts w:cstheme="minorHAnsi"/>
          <w:sz w:val="21"/>
          <w:lang w:val="en-AU"/>
        </w:rPr>
        <w:t xml:space="preserve"> of </w:t>
      </w:r>
      <w:r w:rsidR="00CA5FCF">
        <w:rPr>
          <w:rFonts w:cstheme="minorHAnsi"/>
          <w:sz w:val="21"/>
          <w:lang w:val="en-AU"/>
        </w:rPr>
        <w:t>the HT-</w:t>
      </w:r>
      <w:r w:rsidRPr="00BA23EC">
        <w:rPr>
          <w:rFonts w:cstheme="minorHAnsi"/>
          <w:sz w:val="21"/>
          <w:lang w:val="en-AU"/>
        </w:rPr>
        <w:t xml:space="preserve">MDTF budget to </w:t>
      </w:r>
      <w:r w:rsidR="000B0C6F" w:rsidRPr="00BA23EC">
        <w:rPr>
          <w:rFonts w:cstheme="minorHAnsi"/>
          <w:sz w:val="21"/>
          <w:lang w:val="en-AU"/>
        </w:rPr>
        <w:t xml:space="preserve">MoH-executed activities will enable </w:t>
      </w:r>
      <w:proofErr w:type="spellStart"/>
      <w:r w:rsidR="000B0C6F" w:rsidRPr="00BA23EC">
        <w:rPr>
          <w:rFonts w:cstheme="minorHAnsi"/>
          <w:sz w:val="21"/>
          <w:lang w:val="en-AU"/>
        </w:rPr>
        <w:t>GoI</w:t>
      </w:r>
      <w:proofErr w:type="spellEnd"/>
      <w:r w:rsidR="000B0C6F" w:rsidRPr="00BA23EC">
        <w:rPr>
          <w:rFonts w:cstheme="minorHAnsi"/>
          <w:sz w:val="21"/>
          <w:lang w:val="en-AU"/>
        </w:rPr>
        <w:t xml:space="preserve"> to procure its own research and analytics, including from capable local knowledge sector organisations. </w:t>
      </w:r>
      <w:r w:rsidR="009C0D39" w:rsidRPr="00BA23EC">
        <w:rPr>
          <w:rFonts w:cstheme="minorHAnsi"/>
          <w:sz w:val="21"/>
          <w:lang w:val="en-AU"/>
        </w:rPr>
        <w:t xml:space="preserve">The </w:t>
      </w:r>
      <w:r w:rsidR="008B1C57" w:rsidRPr="00BA23EC">
        <w:rPr>
          <w:rFonts w:cstheme="minorHAnsi"/>
          <w:sz w:val="21"/>
          <w:szCs w:val="21"/>
          <w:lang w:val="en-AU"/>
        </w:rPr>
        <w:t>HT-</w:t>
      </w:r>
      <w:r w:rsidR="009C0D39" w:rsidRPr="00BA23EC">
        <w:rPr>
          <w:rFonts w:cstheme="minorHAnsi"/>
          <w:sz w:val="21"/>
          <w:lang w:val="en-AU"/>
        </w:rPr>
        <w:t xml:space="preserve">MDTF </w:t>
      </w:r>
      <w:r w:rsidR="000B0C6F" w:rsidRPr="00BA23EC">
        <w:rPr>
          <w:rFonts w:cstheme="minorHAnsi"/>
          <w:sz w:val="21"/>
          <w:lang w:val="en-AU"/>
        </w:rPr>
        <w:t>draft Theory of Change includes an explicit focus on institutional strengthening</w:t>
      </w:r>
      <w:r w:rsidR="00D47574" w:rsidRPr="00BA23EC">
        <w:rPr>
          <w:rFonts w:cstheme="minorHAnsi"/>
          <w:sz w:val="21"/>
          <w:lang w:val="en-AU"/>
        </w:rPr>
        <w:t xml:space="preserve">, underpinned by the joint efforts of donors, </w:t>
      </w:r>
      <w:proofErr w:type="spellStart"/>
      <w:r w:rsidR="00D47574" w:rsidRPr="00BA23EC">
        <w:rPr>
          <w:rFonts w:cstheme="minorHAnsi"/>
          <w:sz w:val="21"/>
          <w:lang w:val="en-AU"/>
        </w:rPr>
        <w:t>GoI</w:t>
      </w:r>
      <w:proofErr w:type="spellEnd"/>
      <w:r w:rsidR="00D47574" w:rsidRPr="00BA23EC">
        <w:rPr>
          <w:rFonts w:cstheme="minorHAnsi"/>
          <w:sz w:val="21"/>
          <w:lang w:val="en-AU"/>
        </w:rPr>
        <w:t xml:space="preserve"> and the World Bank in knowledge exchange, joint M&amp;E and continuous and adaptive learning</w:t>
      </w:r>
      <w:r w:rsidR="001973DC">
        <w:rPr>
          <w:rFonts w:cstheme="minorHAnsi"/>
          <w:sz w:val="21"/>
          <w:lang w:val="en-AU"/>
        </w:rPr>
        <w:t xml:space="preserve"> to ensure the sustainability of these health reforms</w:t>
      </w:r>
      <w:r w:rsidR="00D47574" w:rsidRPr="00BA23EC">
        <w:rPr>
          <w:rFonts w:cstheme="minorHAnsi"/>
          <w:sz w:val="21"/>
          <w:lang w:val="en-AU"/>
        </w:rPr>
        <w:t>.</w:t>
      </w:r>
    </w:p>
    <w:p w14:paraId="74567235" w14:textId="7BC86EBF" w:rsidR="00F35454" w:rsidRPr="00BA23EC" w:rsidRDefault="00271FB6" w:rsidP="00271FB6">
      <w:pPr>
        <w:pStyle w:val="Heading2"/>
      </w:pPr>
      <w:bookmarkStart w:id="14" w:name="MonitoringandEvaluation"/>
      <w:r>
        <w:t xml:space="preserve">F. </w:t>
      </w:r>
      <w:r w:rsidR="002D4DE7" w:rsidRPr="00BA23EC">
        <w:t>Monitoring and Evaluation</w:t>
      </w:r>
    </w:p>
    <w:bookmarkEnd w:id="14"/>
    <w:p w14:paraId="666EA940" w14:textId="64962A61" w:rsidR="00C179C1" w:rsidRPr="00BA23EC" w:rsidRDefault="00C179C1" w:rsidP="000E5C4E">
      <w:pPr>
        <w:jc w:val="both"/>
        <w:rPr>
          <w:rFonts w:cstheme="minorHAnsi"/>
          <w:sz w:val="21"/>
          <w:lang w:val="en-AU"/>
        </w:rPr>
      </w:pPr>
      <w:r w:rsidRPr="00BA23EC">
        <w:rPr>
          <w:rFonts w:cstheme="minorHAnsi"/>
          <w:sz w:val="21"/>
          <w:lang w:val="en-AU"/>
        </w:rPr>
        <w:t xml:space="preserve">A draft </w:t>
      </w:r>
      <w:r w:rsidRPr="00BA23EC">
        <w:rPr>
          <w:rFonts w:cstheme="minorHAnsi"/>
          <w:b/>
          <w:sz w:val="21"/>
          <w:lang w:val="en-AU"/>
        </w:rPr>
        <w:t>Theory of Change and Results Framework</w:t>
      </w:r>
      <w:r w:rsidRPr="00BA23EC">
        <w:rPr>
          <w:rFonts w:cstheme="minorHAnsi"/>
          <w:sz w:val="21"/>
          <w:lang w:val="en-AU"/>
        </w:rPr>
        <w:t xml:space="preserve"> has been jointly developed by DFAT and the World Bank, with the support of M&amp;E consultants from IOD</w:t>
      </w:r>
      <w:r w:rsidR="00C23E80" w:rsidRPr="00BA23EC">
        <w:rPr>
          <w:rFonts w:cstheme="minorHAnsi"/>
          <w:sz w:val="21"/>
          <w:szCs w:val="21"/>
          <w:lang w:val="en-AU"/>
        </w:rPr>
        <w:t xml:space="preserve"> </w:t>
      </w:r>
      <w:r w:rsidRPr="00BA23EC">
        <w:rPr>
          <w:rFonts w:cstheme="minorHAnsi"/>
          <w:sz w:val="21"/>
          <w:lang w:val="en-AU"/>
        </w:rPr>
        <w:t xml:space="preserve">PARC. These will be finalised and agreed </w:t>
      </w:r>
      <w:r w:rsidR="00C062BB" w:rsidRPr="00BA23EC">
        <w:rPr>
          <w:rFonts w:cstheme="minorHAnsi"/>
          <w:sz w:val="21"/>
          <w:lang w:val="en-AU"/>
        </w:rPr>
        <w:t xml:space="preserve">to </w:t>
      </w:r>
      <w:r w:rsidRPr="00BA23EC">
        <w:rPr>
          <w:rFonts w:cstheme="minorHAnsi"/>
          <w:sz w:val="21"/>
          <w:lang w:val="en-AU"/>
        </w:rPr>
        <w:t>by the Partnership Council</w:t>
      </w:r>
      <w:r w:rsidR="00F36A55" w:rsidRPr="00BA23EC">
        <w:rPr>
          <w:rFonts w:cstheme="minorHAnsi"/>
          <w:sz w:val="21"/>
          <w:lang w:val="en-AU"/>
        </w:rPr>
        <w:t xml:space="preserve">, along with a monitoring and evaluation plan prepared by the MDTF </w:t>
      </w:r>
      <w:r w:rsidR="00825250" w:rsidRPr="00BA23EC">
        <w:rPr>
          <w:rFonts w:cstheme="minorHAnsi"/>
          <w:sz w:val="21"/>
          <w:lang w:val="en-AU"/>
        </w:rPr>
        <w:t>Secretariat</w:t>
      </w:r>
      <w:r w:rsidR="00F94E9E" w:rsidRPr="00BA23EC">
        <w:rPr>
          <w:rFonts w:cstheme="minorHAnsi"/>
          <w:sz w:val="21"/>
          <w:szCs w:val="21"/>
          <w:lang w:val="en-AU"/>
        </w:rPr>
        <w:t>. The Partnership Council</w:t>
      </w:r>
      <w:r w:rsidR="00F36A55" w:rsidRPr="00BA23EC">
        <w:rPr>
          <w:rFonts w:cstheme="minorHAnsi"/>
          <w:sz w:val="21"/>
          <w:lang w:val="en-AU"/>
        </w:rPr>
        <w:t xml:space="preserve"> will </w:t>
      </w:r>
      <w:r w:rsidRPr="00BA23EC">
        <w:rPr>
          <w:rFonts w:cstheme="minorHAnsi"/>
          <w:sz w:val="21"/>
          <w:lang w:val="en-AU"/>
        </w:rPr>
        <w:t xml:space="preserve">track performance of HT-MDTF activities against a set of agreed whole-of-trust fund outcomes </w:t>
      </w:r>
      <w:r w:rsidR="00F94E9E" w:rsidRPr="00BA23EC">
        <w:rPr>
          <w:rFonts w:cstheme="minorHAnsi"/>
          <w:sz w:val="21"/>
          <w:szCs w:val="21"/>
          <w:lang w:val="en-AU"/>
        </w:rPr>
        <w:t xml:space="preserve">measured through a limited number of </w:t>
      </w:r>
      <w:r w:rsidRPr="00BA23EC">
        <w:rPr>
          <w:rFonts w:cstheme="minorHAnsi"/>
          <w:sz w:val="21"/>
          <w:lang w:val="en-AU"/>
        </w:rPr>
        <w:t xml:space="preserve">key </w:t>
      </w:r>
      <w:r w:rsidR="00F94E9E" w:rsidRPr="00BA23EC">
        <w:rPr>
          <w:rFonts w:cstheme="minorHAnsi"/>
          <w:sz w:val="21"/>
          <w:szCs w:val="21"/>
          <w:lang w:val="en-AU"/>
        </w:rPr>
        <w:t xml:space="preserve">performance </w:t>
      </w:r>
      <w:r w:rsidRPr="00BA23EC">
        <w:rPr>
          <w:rFonts w:cstheme="minorHAnsi"/>
          <w:sz w:val="21"/>
          <w:lang w:val="en-AU"/>
        </w:rPr>
        <w:t>indicators</w:t>
      </w:r>
      <w:r w:rsidR="00C062BB" w:rsidRPr="00BA23EC">
        <w:rPr>
          <w:rFonts w:cstheme="minorHAnsi"/>
          <w:sz w:val="21"/>
          <w:lang w:val="en-AU"/>
        </w:rPr>
        <w:t xml:space="preserve"> (see </w:t>
      </w:r>
      <w:r w:rsidR="00F94E9E" w:rsidRPr="00BA23EC">
        <w:rPr>
          <w:rFonts w:cstheme="minorHAnsi"/>
          <w:sz w:val="21"/>
          <w:szCs w:val="21"/>
          <w:lang w:val="en-AU"/>
        </w:rPr>
        <w:t xml:space="preserve">Table 1: </w:t>
      </w:r>
      <w:r w:rsidR="00C062BB" w:rsidRPr="00BA23EC">
        <w:rPr>
          <w:rFonts w:cstheme="minorHAnsi"/>
          <w:sz w:val="21"/>
          <w:lang w:val="en-AU"/>
        </w:rPr>
        <w:t>Results Framework</w:t>
      </w:r>
      <w:r w:rsidR="00F94E9E" w:rsidRPr="00BA23EC">
        <w:rPr>
          <w:rFonts w:cstheme="minorHAnsi"/>
          <w:sz w:val="21"/>
          <w:szCs w:val="21"/>
          <w:lang w:val="en-AU"/>
        </w:rPr>
        <w:t xml:space="preserve"> below</w:t>
      </w:r>
      <w:r w:rsidR="00C062BB" w:rsidRPr="00BA23EC">
        <w:rPr>
          <w:rFonts w:cstheme="minorHAnsi"/>
          <w:sz w:val="21"/>
          <w:lang w:val="en-AU"/>
        </w:rPr>
        <w:t>)</w:t>
      </w:r>
      <w:r w:rsidRPr="00BA23EC">
        <w:rPr>
          <w:rFonts w:cstheme="minorHAnsi"/>
          <w:sz w:val="21"/>
          <w:lang w:val="en-AU"/>
        </w:rPr>
        <w:t>.</w:t>
      </w:r>
      <w:r w:rsidR="00F63854" w:rsidRPr="00BA23EC">
        <w:rPr>
          <w:rFonts w:cstheme="minorHAnsi"/>
          <w:sz w:val="21"/>
          <w:lang w:val="en-AU"/>
        </w:rPr>
        <w:t xml:space="preserve"> </w:t>
      </w:r>
      <w:r w:rsidR="005F7410" w:rsidRPr="00BA23EC">
        <w:rPr>
          <w:rFonts w:cstheme="minorHAnsi"/>
          <w:sz w:val="21"/>
          <w:lang w:val="en-AU"/>
        </w:rPr>
        <w:t>DFAT will share credit for the results achieved across the entire operation through our overall support to the MDTF.</w:t>
      </w:r>
    </w:p>
    <w:p w14:paraId="35504C13" w14:textId="32C0A664" w:rsidR="00F94E9E" w:rsidRPr="00BA23EC" w:rsidRDefault="00F94E9E" w:rsidP="00C4230A">
      <w:pPr>
        <w:pStyle w:val="Caption"/>
        <w:keepNext/>
        <w:jc w:val="both"/>
        <w:rPr>
          <w:rFonts w:cstheme="minorHAnsi"/>
          <w:lang w:val="en-AU"/>
        </w:rPr>
      </w:pPr>
      <w:r w:rsidRPr="00BA23EC">
        <w:rPr>
          <w:rFonts w:cstheme="minorHAnsi"/>
          <w:lang w:val="en-AU"/>
        </w:rPr>
        <w:t xml:space="preserve">Table </w:t>
      </w:r>
      <w:r w:rsidRPr="00BA23EC">
        <w:rPr>
          <w:rFonts w:cstheme="minorHAnsi"/>
          <w:lang w:val="en-AU"/>
        </w:rPr>
        <w:fldChar w:fldCharType="begin"/>
      </w:r>
      <w:r w:rsidRPr="00BA23EC">
        <w:rPr>
          <w:rFonts w:cstheme="minorHAnsi"/>
          <w:lang w:val="en-AU"/>
        </w:rPr>
        <w:instrText xml:space="preserve"> SEQ Table \* ARABIC </w:instrText>
      </w:r>
      <w:r w:rsidRPr="00BA23EC">
        <w:rPr>
          <w:rFonts w:cstheme="minorHAnsi"/>
          <w:lang w:val="en-AU"/>
        </w:rPr>
        <w:fldChar w:fldCharType="separate"/>
      </w:r>
      <w:r w:rsidR="00AF0C8B">
        <w:rPr>
          <w:rFonts w:cstheme="minorHAnsi"/>
          <w:noProof/>
          <w:lang w:val="en-AU"/>
        </w:rPr>
        <w:t>1</w:t>
      </w:r>
      <w:r w:rsidRPr="00BA23EC">
        <w:rPr>
          <w:rFonts w:cstheme="minorHAnsi"/>
          <w:lang w:val="en-AU"/>
        </w:rPr>
        <w:fldChar w:fldCharType="end"/>
      </w:r>
      <w:r w:rsidRPr="00BA23EC">
        <w:rPr>
          <w:rFonts w:cstheme="minorHAnsi"/>
          <w:lang w:val="en-AU"/>
        </w:rPr>
        <w:t>: HT-MDTF Results Framework</w:t>
      </w:r>
    </w:p>
    <w:tbl>
      <w:tblPr>
        <w:tblStyle w:val="GridTable5Dark-Accent5"/>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5528"/>
      </w:tblGrid>
      <w:tr w:rsidR="00A366E8" w:rsidRPr="009E5AA9" w14:paraId="0476FCF2" w14:textId="77777777" w:rsidTr="00822822">
        <w:trPr>
          <w:cnfStyle w:val="100000000000" w:firstRow="1" w:lastRow="0" w:firstColumn="0" w:lastColumn="0" w:oddVBand="0" w:evenVBand="0" w:oddHBand="0"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4248" w:type="dxa"/>
            <w:shd w:val="clear" w:color="auto" w:fill="3DA18F" w:themeFill="accent1" w:themeFillShade="BF"/>
          </w:tcPr>
          <w:p w14:paraId="52FA63C0" w14:textId="77777777" w:rsidR="00A366E8" w:rsidRPr="00C428D9" w:rsidRDefault="00A366E8" w:rsidP="00C428D9">
            <w:pPr>
              <w:tabs>
                <w:tab w:val="left" w:pos="284"/>
              </w:tabs>
              <w:suppressAutoHyphens w:val="0"/>
              <w:spacing w:before="0" w:line="280" w:lineRule="exact"/>
              <w:jc w:val="center"/>
              <w:rPr>
                <w:rFonts w:cstheme="minorHAnsi"/>
                <w:sz w:val="21"/>
                <w:lang w:val="en-AU"/>
              </w:rPr>
            </w:pPr>
            <w:r w:rsidRPr="00D92F24">
              <w:rPr>
                <w:rFonts w:cstheme="minorHAnsi"/>
                <w:color w:val="auto"/>
                <w:sz w:val="21"/>
                <w:lang w:val="en-AU"/>
              </w:rPr>
              <w:t>Outcome</w:t>
            </w:r>
          </w:p>
        </w:tc>
        <w:tc>
          <w:tcPr>
            <w:tcW w:w="5528" w:type="dxa"/>
            <w:shd w:val="clear" w:color="auto" w:fill="3DA18F" w:themeFill="accent1" w:themeFillShade="BF"/>
          </w:tcPr>
          <w:p w14:paraId="6AD18F65" w14:textId="77777777" w:rsidR="00A366E8" w:rsidRPr="00C428D9" w:rsidRDefault="00A366E8" w:rsidP="00C428D9">
            <w:pPr>
              <w:tabs>
                <w:tab w:val="left" w:pos="284"/>
              </w:tabs>
              <w:suppressAutoHyphens w:val="0"/>
              <w:spacing w:before="0" w:line="280" w:lineRule="exact"/>
              <w:jc w:val="center"/>
              <w:cnfStyle w:val="100000000000" w:firstRow="1" w:lastRow="0" w:firstColumn="0" w:lastColumn="0" w:oddVBand="0" w:evenVBand="0" w:oddHBand="0" w:evenHBand="0" w:firstRowFirstColumn="0" w:firstRowLastColumn="0" w:lastRowFirstColumn="0" w:lastRowLastColumn="0"/>
              <w:rPr>
                <w:rFonts w:cstheme="minorHAnsi"/>
                <w:sz w:val="21"/>
                <w:lang w:val="en-AU"/>
              </w:rPr>
            </w:pPr>
            <w:r w:rsidRPr="00D92F24">
              <w:rPr>
                <w:rFonts w:cstheme="minorHAnsi"/>
                <w:color w:val="auto"/>
                <w:sz w:val="21"/>
                <w:lang w:val="en-AU"/>
              </w:rPr>
              <w:t>Indicator</w:t>
            </w:r>
          </w:p>
        </w:tc>
      </w:tr>
      <w:tr w:rsidR="00A366E8" w:rsidRPr="009E5AA9" w14:paraId="4FA31155" w14:textId="77777777" w:rsidTr="00822822">
        <w:trPr>
          <w:cnfStyle w:val="000000100000" w:firstRow="0" w:lastRow="0" w:firstColumn="0" w:lastColumn="0" w:oddVBand="0" w:evenVBand="0" w:oddHBand="1" w:evenHBand="0" w:firstRowFirstColumn="0" w:firstRowLastColumn="0" w:lastRowFirstColumn="0" w:lastRowLastColumn="0"/>
          <w:trHeight w:val="702"/>
        </w:trPr>
        <w:tc>
          <w:tcPr>
            <w:cnfStyle w:val="001000000000" w:firstRow="0" w:lastRow="0" w:firstColumn="1" w:lastColumn="0" w:oddVBand="0" w:evenVBand="0" w:oddHBand="0" w:evenHBand="0" w:firstRowFirstColumn="0" w:firstRowLastColumn="0" w:lastRowFirstColumn="0" w:lastRowLastColumn="0"/>
            <w:tcW w:w="4248" w:type="dxa"/>
            <w:shd w:val="clear" w:color="auto" w:fill="A2DCD1" w:themeFill="accent1" w:themeFillTint="99"/>
            <w:vAlign w:val="center"/>
          </w:tcPr>
          <w:p w14:paraId="63D28F14" w14:textId="2B397B6E" w:rsidR="00A366E8" w:rsidRPr="00C428D9" w:rsidRDefault="00A366E8" w:rsidP="00C428D9">
            <w:pPr>
              <w:tabs>
                <w:tab w:val="left" w:pos="284"/>
              </w:tabs>
              <w:suppressAutoHyphens w:val="0"/>
              <w:spacing w:before="0" w:line="280" w:lineRule="exact"/>
              <w:rPr>
                <w:rFonts w:cstheme="minorHAnsi"/>
                <w:sz w:val="21"/>
                <w:lang w:val="en-AU"/>
              </w:rPr>
            </w:pPr>
            <w:r w:rsidRPr="00C428D9">
              <w:rPr>
                <w:rFonts w:cstheme="minorHAnsi"/>
                <w:sz w:val="21"/>
                <w:lang w:val="en-AU"/>
              </w:rPr>
              <w:t xml:space="preserve">EOPO1: </w:t>
            </w:r>
            <w:bookmarkStart w:id="15" w:name="_Hlk131500808"/>
            <w:r w:rsidR="00BB65D2" w:rsidRPr="00BB65D2">
              <w:rPr>
                <w:rFonts w:cstheme="minorHAnsi"/>
                <w:sz w:val="21"/>
                <w:lang w:val="en-AU"/>
              </w:rPr>
              <w:t>Health sector reforms are increasingly evidence-based and informed by relevant and credible MDTF-supported analytics and policy dialogue</w:t>
            </w:r>
            <w:bookmarkEnd w:id="15"/>
          </w:p>
        </w:tc>
        <w:tc>
          <w:tcPr>
            <w:tcW w:w="5528" w:type="dxa"/>
            <w:shd w:val="clear" w:color="auto" w:fill="auto"/>
            <w:vAlign w:val="center"/>
          </w:tcPr>
          <w:p w14:paraId="1FC7D0D4" w14:textId="73A7268C" w:rsidR="00A366E8" w:rsidRPr="00822822" w:rsidRDefault="00A366E8" w:rsidP="00822822">
            <w:pPr>
              <w:tabs>
                <w:tab w:val="left" w:pos="284"/>
              </w:tabs>
              <w:suppressAutoHyphens w:val="0"/>
              <w:spacing w:before="0" w:line="280" w:lineRule="exact"/>
              <w:cnfStyle w:val="000000100000" w:firstRow="0" w:lastRow="0" w:firstColumn="0" w:lastColumn="0" w:oddVBand="0" w:evenVBand="0" w:oddHBand="1" w:evenHBand="0" w:firstRowFirstColumn="0" w:firstRowLastColumn="0" w:lastRowFirstColumn="0" w:lastRowLastColumn="0"/>
              <w:rPr>
                <w:rFonts w:cstheme="minorHAnsi"/>
                <w:sz w:val="21"/>
                <w:lang w:val="en-AU"/>
              </w:rPr>
            </w:pPr>
            <w:r w:rsidRPr="00822822">
              <w:rPr>
                <w:rFonts w:cstheme="minorHAnsi"/>
                <w:sz w:val="21"/>
                <w:lang w:val="en-AU"/>
              </w:rPr>
              <w:t xml:space="preserve">E1.1. </w:t>
            </w:r>
            <w:r w:rsidR="00BB65D2" w:rsidRPr="00BB65D2">
              <w:rPr>
                <w:rFonts w:cstheme="minorHAnsi"/>
                <w:sz w:val="21"/>
                <w:lang w:val="en-AU"/>
              </w:rPr>
              <w:t xml:space="preserve">Documented instances </w:t>
            </w:r>
            <w:proofErr w:type="gramStart"/>
            <w:r w:rsidR="00BB65D2" w:rsidRPr="00BB65D2">
              <w:rPr>
                <w:rFonts w:cstheme="minorHAnsi"/>
                <w:sz w:val="21"/>
                <w:lang w:val="en-AU"/>
              </w:rPr>
              <w:t>of  evidence</w:t>
            </w:r>
            <w:proofErr w:type="gramEnd"/>
            <w:r w:rsidR="00BB65D2" w:rsidRPr="00BB65D2">
              <w:rPr>
                <w:rFonts w:cstheme="minorHAnsi"/>
                <w:sz w:val="21"/>
                <w:lang w:val="en-AU"/>
              </w:rPr>
              <w:t>-informed analytics and policy discussions facilitated by the MDTF Secretariat that inform and shape relevant health sector projects, program, policies, pilots and reforms.</w:t>
            </w:r>
          </w:p>
        </w:tc>
      </w:tr>
      <w:tr w:rsidR="00A366E8" w:rsidRPr="009E5AA9" w14:paraId="679F2155" w14:textId="77777777" w:rsidTr="00822822">
        <w:trPr>
          <w:trHeight w:val="957"/>
        </w:trPr>
        <w:tc>
          <w:tcPr>
            <w:cnfStyle w:val="001000000000" w:firstRow="0" w:lastRow="0" w:firstColumn="1" w:lastColumn="0" w:oddVBand="0" w:evenVBand="0" w:oddHBand="0" w:evenHBand="0" w:firstRowFirstColumn="0" w:firstRowLastColumn="0" w:lastRowFirstColumn="0" w:lastRowLastColumn="0"/>
            <w:tcW w:w="4248" w:type="dxa"/>
            <w:shd w:val="clear" w:color="auto" w:fill="A2DCD1" w:themeFill="accent1" w:themeFillTint="99"/>
            <w:vAlign w:val="center"/>
          </w:tcPr>
          <w:p w14:paraId="382876BE" w14:textId="6E7EC7EF" w:rsidR="00A366E8" w:rsidRPr="00C428D9" w:rsidRDefault="00A366E8" w:rsidP="00C428D9">
            <w:pPr>
              <w:tabs>
                <w:tab w:val="left" w:pos="284"/>
              </w:tabs>
              <w:suppressAutoHyphens w:val="0"/>
              <w:spacing w:before="0" w:line="280" w:lineRule="exact"/>
              <w:rPr>
                <w:rFonts w:cstheme="minorHAnsi"/>
                <w:sz w:val="21"/>
                <w:lang w:val="en-AU"/>
              </w:rPr>
            </w:pPr>
            <w:r w:rsidRPr="00C428D9">
              <w:rPr>
                <w:rFonts w:cstheme="minorHAnsi"/>
                <w:sz w:val="21"/>
                <w:lang w:val="en-AU"/>
              </w:rPr>
              <w:t xml:space="preserve">EOPO2: </w:t>
            </w:r>
            <w:bookmarkStart w:id="16" w:name="_Hlk131501522"/>
            <w:r w:rsidRPr="00C428D9">
              <w:rPr>
                <w:rFonts w:cstheme="minorHAnsi"/>
                <w:sz w:val="21"/>
                <w:lang w:val="en-AU"/>
              </w:rPr>
              <w:t xml:space="preserve"> </w:t>
            </w:r>
            <w:r w:rsidR="00BB65D2" w:rsidRPr="00BB65D2">
              <w:rPr>
                <w:rFonts w:cstheme="minorHAnsi"/>
                <w:sz w:val="21"/>
                <w:lang w:val="en-AU"/>
              </w:rPr>
              <w:t>Health sector reforms are informed by MDTF-supported analytics and technical assistance that pay particular attention to addressing inequalities for women and girls, people with disabilities, and climate resilience</w:t>
            </w:r>
            <w:bookmarkEnd w:id="16"/>
          </w:p>
        </w:tc>
        <w:tc>
          <w:tcPr>
            <w:tcW w:w="5528" w:type="dxa"/>
            <w:shd w:val="clear" w:color="auto" w:fill="auto"/>
            <w:vAlign w:val="center"/>
          </w:tcPr>
          <w:p w14:paraId="1D47D410" w14:textId="7F4B3FDB" w:rsidR="00A366E8" w:rsidRPr="00822822" w:rsidRDefault="00BF7DF6" w:rsidP="00822822">
            <w:pPr>
              <w:tabs>
                <w:tab w:val="left" w:pos="284"/>
              </w:tabs>
              <w:suppressAutoHyphens w:val="0"/>
              <w:spacing w:before="0" w:line="280" w:lineRule="exact"/>
              <w:cnfStyle w:val="000000000000" w:firstRow="0" w:lastRow="0" w:firstColumn="0" w:lastColumn="0" w:oddVBand="0" w:evenVBand="0" w:oddHBand="0" w:evenHBand="0" w:firstRowFirstColumn="0" w:firstRowLastColumn="0" w:lastRowFirstColumn="0" w:lastRowLastColumn="0"/>
              <w:rPr>
                <w:rFonts w:cstheme="minorHAnsi"/>
                <w:sz w:val="21"/>
                <w:lang w:val="en-AU"/>
              </w:rPr>
            </w:pPr>
            <w:r>
              <w:rPr>
                <w:rFonts w:cstheme="minorHAnsi"/>
                <w:sz w:val="21"/>
                <w:lang w:val="en-AU"/>
              </w:rPr>
              <w:t>E2.1.</w:t>
            </w:r>
            <w:r w:rsidR="00455537">
              <w:rPr>
                <w:rFonts w:cstheme="minorHAnsi"/>
                <w:sz w:val="21"/>
                <w:lang w:val="en-AU"/>
              </w:rPr>
              <w:t xml:space="preserve"> </w:t>
            </w:r>
            <w:r w:rsidRPr="00BF7DF6">
              <w:rPr>
                <w:rFonts w:cstheme="minorHAnsi"/>
                <w:sz w:val="21"/>
                <w:lang w:val="en-AU"/>
              </w:rPr>
              <w:t>Documented instances of evidence-informed analytics and policy discussions facilitated by the MDTF Secretariat that pay particular attention to addressing inequality for women and girls, people with disability and climate resilience, as well as the intersectionality between these aspects</w:t>
            </w:r>
          </w:p>
        </w:tc>
      </w:tr>
      <w:tr w:rsidR="00A366E8" w:rsidRPr="009E5AA9" w14:paraId="369C4E37" w14:textId="77777777" w:rsidTr="00822822">
        <w:trPr>
          <w:cnfStyle w:val="000000100000" w:firstRow="0" w:lastRow="0" w:firstColumn="0" w:lastColumn="0" w:oddVBand="0" w:evenVBand="0" w:oddHBand="1" w:evenHBand="0" w:firstRowFirstColumn="0" w:firstRowLastColumn="0" w:lastRowFirstColumn="0" w:lastRowLastColumn="0"/>
          <w:trHeight w:val="802"/>
        </w:trPr>
        <w:tc>
          <w:tcPr>
            <w:cnfStyle w:val="001000000000" w:firstRow="0" w:lastRow="0" w:firstColumn="1" w:lastColumn="0" w:oddVBand="0" w:evenVBand="0" w:oddHBand="0" w:evenHBand="0" w:firstRowFirstColumn="0" w:firstRowLastColumn="0" w:lastRowFirstColumn="0" w:lastRowLastColumn="0"/>
            <w:tcW w:w="4248" w:type="dxa"/>
            <w:shd w:val="clear" w:color="auto" w:fill="A2DCD1" w:themeFill="accent1" w:themeFillTint="99"/>
            <w:vAlign w:val="center"/>
          </w:tcPr>
          <w:p w14:paraId="1D0A878A" w14:textId="5AC1FBC9" w:rsidR="00A366E8" w:rsidRPr="00C428D9" w:rsidRDefault="00A366E8" w:rsidP="00C428D9">
            <w:pPr>
              <w:tabs>
                <w:tab w:val="left" w:pos="284"/>
              </w:tabs>
              <w:suppressAutoHyphens w:val="0"/>
              <w:spacing w:before="0" w:line="280" w:lineRule="exact"/>
              <w:rPr>
                <w:rFonts w:cstheme="minorHAnsi"/>
                <w:sz w:val="21"/>
                <w:lang w:val="en-AU"/>
              </w:rPr>
            </w:pPr>
            <w:r w:rsidRPr="00C428D9">
              <w:rPr>
                <w:rFonts w:cstheme="minorHAnsi"/>
                <w:sz w:val="21"/>
                <w:lang w:val="en-AU"/>
              </w:rPr>
              <w:t xml:space="preserve">EOPO3:  </w:t>
            </w:r>
            <w:bookmarkStart w:id="17" w:name="_Hlk131501085"/>
            <w:r w:rsidR="00455537" w:rsidRPr="00455537">
              <w:rPr>
                <w:rFonts w:cstheme="minorHAnsi"/>
                <w:sz w:val="21"/>
                <w:lang w:val="en-AU"/>
              </w:rPr>
              <w:t>The Health System Transformation Agenda informs and is reflected in the Government of Indonesia’s National Medium-Term Development Plan (RPJMN), and is adequately planned and resourced</w:t>
            </w:r>
            <w:bookmarkEnd w:id="17"/>
          </w:p>
        </w:tc>
        <w:tc>
          <w:tcPr>
            <w:tcW w:w="5528" w:type="dxa"/>
            <w:shd w:val="clear" w:color="auto" w:fill="auto"/>
            <w:vAlign w:val="center"/>
          </w:tcPr>
          <w:p w14:paraId="5E20B661" w14:textId="77777777" w:rsidR="00637003" w:rsidRPr="00637003" w:rsidRDefault="00637003" w:rsidP="00637003">
            <w:pPr>
              <w:tabs>
                <w:tab w:val="left" w:pos="284"/>
              </w:tabs>
              <w:suppressAutoHyphens w:val="0"/>
              <w:spacing w:before="0" w:line="280" w:lineRule="exact"/>
              <w:cnfStyle w:val="000000100000" w:firstRow="0" w:lastRow="0" w:firstColumn="0" w:lastColumn="0" w:oddVBand="0" w:evenVBand="0" w:oddHBand="1" w:evenHBand="0" w:firstRowFirstColumn="0" w:firstRowLastColumn="0" w:lastRowFirstColumn="0" w:lastRowLastColumn="0"/>
              <w:rPr>
                <w:rFonts w:cstheme="minorHAnsi"/>
                <w:sz w:val="21"/>
                <w:lang w:val="en-AU"/>
              </w:rPr>
            </w:pPr>
            <w:r w:rsidRPr="00637003">
              <w:rPr>
                <w:rFonts w:cstheme="minorHAnsi"/>
                <w:sz w:val="21"/>
                <w:lang w:val="en-AU"/>
              </w:rPr>
              <w:t xml:space="preserve">E3.1. MoH costs and resources reform agenda focus areas in annual </w:t>
            </w:r>
            <w:proofErr w:type="gramStart"/>
            <w:r w:rsidRPr="00637003">
              <w:rPr>
                <w:rFonts w:cstheme="minorHAnsi"/>
                <w:sz w:val="21"/>
                <w:lang w:val="en-AU"/>
              </w:rPr>
              <w:t>budgets</w:t>
            </w:r>
            <w:proofErr w:type="gramEnd"/>
          </w:p>
          <w:p w14:paraId="280192FD" w14:textId="77777777" w:rsidR="00637003" w:rsidRPr="00637003" w:rsidRDefault="00637003" w:rsidP="00637003">
            <w:pPr>
              <w:tabs>
                <w:tab w:val="left" w:pos="284"/>
              </w:tabs>
              <w:suppressAutoHyphens w:val="0"/>
              <w:spacing w:before="0" w:line="280" w:lineRule="exact"/>
              <w:cnfStyle w:val="000000100000" w:firstRow="0" w:lastRow="0" w:firstColumn="0" w:lastColumn="0" w:oddVBand="0" w:evenVBand="0" w:oddHBand="1" w:evenHBand="0" w:firstRowFirstColumn="0" w:firstRowLastColumn="0" w:lastRowFirstColumn="0" w:lastRowLastColumn="0"/>
              <w:rPr>
                <w:rFonts w:cstheme="minorHAnsi"/>
                <w:sz w:val="21"/>
                <w:lang w:val="en-AU"/>
              </w:rPr>
            </w:pPr>
            <w:r w:rsidRPr="00637003">
              <w:rPr>
                <w:rFonts w:cstheme="minorHAnsi"/>
                <w:sz w:val="21"/>
                <w:lang w:val="en-AU"/>
              </w:rPr>
              <w:t xml:space="preserve">E3.2. Number and volume of development partner funding contributions (including loans) to health systems </w:t>
            </w:r>
            <w:proofErr w:type="gramStart"/>
            <w:r w:rsidRPr="00637003">
              <w:rPr>
                <w:rFonts w:cstheme="minorHAnsi"/>
                <w:sz w:val="21"/>
                <w:lang w:val="en-AU"/>
              </w:rPr>
              <w:t>transformation</w:t>
            </w:r>
            <w:proofErr w:type="gramEnd"/>
          </w:p>
          <w:p w14:paraId="37FE6CAF" w14:textId="43AA9B3A" w:rsidR="00455537" w:rsidRPr="00822822" w:rsidRDefault="00637003" w:rsidP="00822822">
            <w:pPr>
              <w:tabs>
                <w:tab w:val="left" w:pos="284"/>
              </w:tabs>
              <w:suppressAutoHyphens w:val="0"/>
              <w:spacing w:before="0" w:line="280" w:lineRule="exact"/>
              <w:cnfStyle w:val="000000100000" w:firstRow="0" w:lastRow="0" w:firstColumn="0" w:lastColumn="0" w:oddVBand="0" w:evenVBand="0" w:oddHBand="1" w:evenHBand="0" w:firstRowFirstColumn="0" w:firstRowLastColumn="0" w:lastRowFirstColumn="0" w:lastRowLastColumn="0"/>
              <w:rPr>
                <w:rFonts w:cstheme="minorHAnsi"/>
                <w:sz w:val="21"/>
                <w:lang w:val="en-AU"/>
              </w:rPr>
            </w:pPr>
            <w:r w:rsidRPr="00637003">
              <w:rPr>
                <w:rFonts w:cstheme="minorHAnsi"/>
                <w:sz w:val="21"/>
                <w:lang w:val="en-AU"/>
              </w:rPr>
              <w:t>E3.3. RPJMN includes core elements of the Health System Transformation Agenda</w:t>
            </w:r>
          </w:p>
        </w:tc>
      </w:tr>
      <w:tr w:rsidR="00DD4022" w:rsidRPr="009E5AA9" w14:paraId="56540A1B" w14:textId="77777777" w:rsidTr="00822822">
        <w:trPr>
          <w:trHeight w:val="788"/>
        </w:trPr>
        <w:tc>
          <w:tcPr>
            <w:cnfStyle w:val="001000000000" w:firstRow="0" w:lastRow="0" w:firstColumn="1" w:lastColumn="0" w:oddVBand="0" w:evenVBand="0" w:oddHBand="0" w:evenHBand="0" w:firstRowFirstColumn="0" w:firstRowLastColumn="0" w:lastRowFirstColumn="0" w:lastRowLastColumn="0"/>
            <w:tcW w:w="4248" w:type="dxa"/>
            <w:shd w:val="clear" w:color="auto" w:fill="C1E7E0" w:themeFill="accent1" w:themeFillTint="66"/>
            <w:vAlign w:val="center"/>
          </w:tcPr>
          <w:p w14:paraId="23874844" w14:textId="0311E5FA" w:rsidR="00DD4022" w:rsidRPr="00C428D9" w:rsidRDefault="00DD4022" w:rsidP="00C428D9">
            <w:pPr>
              <w:tabs>
                <w:tab w:val="left" w:pos="284"/>
              </w:tabs>
              <w:suppressAutoHyphens w:val="0"/>
              <w:spacing w:before="0" w:line="280" w:lineRule="exact"/>
              <w:rPr>
                <w:rFonts w:cstheme="minorHAnsi"/>
                <w:sz w:val="21"/>
                <w:lang w:val="en-AU"/>
              </w:rPr>
            </w:pPr>
            <w:r w:rsidRPr="00C428D9">
              <w:rPr>
                <w:rFonts w:cstheme="minorHAnsi"/>
                <w:sz w:val="21"/>
                <w:lang w:val="en-AU"/>
              </w:rPr>
              <w:t xml:space="preserve">IO1: </w:t>
            </w:r>
            <w:bookmarkStart w:id="18" w:name="_Hlk131500820"/>
            <w:r w:rsidR="00A03875" w:rsidRPr="00A03875">
              <w:rPr>
                <w:rFonts w:cstheme="minorHAnsi"/>
                <w:sz w:val="21"/>
                <w:lang w:val="en-AU"/>
              </w:rPr>
              <w:t>MDTF Secretariat facilitates the development of credible analytical products, including peer-reviewed products</w:t>
            </w:r>
            <w:bookmarkEnd w:id="18"/>
          </w:p>
        </w:tc>
        <w:tc>
          <w:tcPr>
            <w:tcW w:w="5528" w:type="dxa"/>
            <w:shd w:val="clear" w:color="auto" w:fill="auto"/>
            <w:vAlign w:val="center"/>
          </w:tcPr>
          <w:p w14:paraId="17EC10FA" w14:textId="60B05C7E" w:rsidR="00DD4022" w:rsidRPr="00822822" w:rsidRDefault="00DD4022" w:rsidP="00822822">
            <w:pPr>
              <w:tabs>
                <w:tab w:val="left" w:pos="284"/>
              </w:tabs>
              <w:suppressAutoHyphens w:val="0"/>
              <w:spacing w:before="0" w:line="280" w:lineRule="exact"/>
              <w:cnfStyle w:val="000000000000" w:firstRow="0" w:lastRow="0" w:firstColumn="0" w:lastColumn="0" w:oddVBand="0" w:evenVBand="0" w:oddHBand="0" w:evenHBand="0" w:firstRowFirstColumn="0" w:firstRowLastColumn="0" w:lastRowFirstColumn="0" w:lastRowLastColumn="0"/>
              <w:rPr>
                <w:rFonts w:cstheme="minorHAnsi"/>
                <w:sz w:val="21"/>
                <w:lang w:val="en-AU"/>
              </w:rPr>
            </w:pPr>
            <w:r w:rsidRPr="00822822">
              <w:rPr>
                <w:rFonts w:cstheme="minorHAnsi"/>
                <w:sz w:val="21"/>
                <w:lang w:val="en-AU"/>
              </w:rPr>
              <w:t xml:space="preserve">I1.1. Documented instances of MDTF Secretariat facilitating the development of analytical inputs </w:t>
            </w:r>
            <w:r w:rsidR="006A37DD">
              <w:rPr>
                <w:rFonts w:cstheme="minorHAnsi"/>
                <w:sz w:val="21"/>
                <w:lang w:val="en-AU"/>
              </w:rPr>
              <w:t>on</w:t>
            </w:r>
            <w:r w:rsidRPr="00822822">
              <w:rPr>
                <w:rFonts w:cstheme="minorHAnsi"/>
                <w:sz w:val="21"/>
                <w:lang w:val="en-AU"/>
              </w:rPr>
              <w:t xml:space="preserve"> relevant and inclusive projects, programs, policies, and reforms, including peer-reviewed products.</w:t>
            </w:r>
          </w:p>
        </w:tc>
      </w:tr>
      <w:tr w:rsidR="00DD4022" w:rsidRPr="009E5AA9" w14:paraId="35E699DF" w14:textId="77777777" w:rsidTr="00822822">
        <w:trPr>
          <w:cnfStyle w:val="000000100000" w:firstRow="0" w:lastRow="0" w:firstColumn="0" w:lastColumn="0" w:oddVBand="0" w:evenVBand="0" w:oddHBand="1"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4248" w:type="dxa"/>
            <w:shd w:val="clear" w:color="auto" w:fill="C1E7E0" w:themeFill="accent1" w:themeFillTint="66"/>
            <w:vAlign w:val="center"/>
          </w:tcPr>
          <w:p w14:paraId="71148BFE" w14:textId="77777777" w:rsidR="00DD4022" w:rsidRPr="00C428D9" w:rsidRDefault="00DD4022" w:rsidP="00C428D9">
            <w:pPr>
              <w:tabs>
                <w:tab w:val="left" w:pos="284"/>
              </w:tabs>
              <w:suppressAutoHyphens w:val="0"/>
              <w:spacing w:before="0" w:line="280" w:lineRule="exact"/>
              <w:rPr>
                <w:rFonts w:cstheme="minorHAnsi"/>
                <w:sz w:val="21"/>
                <w:lang w:val="en-AU"/>
              </w:rPr>
            </w:pPr>
            <w:r w:rsidRPr="00C428D9">
              <w:rPr>
                <w:rFonts w:cstheme="minorHAnsi"/>
                <w:sz w:val="21"/>
                <w:lang w:val="en-AU"/>
              </w:rPr>
              <w:lastRenderedPageBreak/>
              <w:t xml:space="preserve">IO2: </w:t>
            </w:r>
            <w:bookmarkStart w:id="19" w:name="_Hlk131500850"/>
            <w:r w:rsidRPr="00C428D9">
              <w:rPr>
                <w:rFonts w:cstheme="minorHAnsi"/>
                <w:sz w:val="21"/>
                <w:lang w:val="en-AU"/>
              </w:rPr>
              <w:t xml:space="preserve"> MDTF Secretariat facilitates influential policy dialogue</w:t>
            </w:r>
            <w:bookmarkEnd w:id="19"/>
          </w:p>
        </w:tc>
        <w:tc>
          <w:tcPr>
            <w:tcW w:w="5528" w:type="dxa"/>
            <w:shd w:val="clear" w:color="auto" w:fill="auto"/>
            <w:vAlign w:val="center"/>
          </w:tcPr>
          <w:p w14:paraId="3C4B757A" w14:textId="77777777" w:rsidR="00DD4022" w:rsidRPr="00822822" w:rsidRDefault="00DD4022" w:rsidP="00822822">
            <w:pPr>
              <w:tabs>
                <w:tab w:val="left" w:pos="284"/>
              </w:tabs>
              <w:suppressAutoHyphens w:val="0"/>
              <w:spacing w:before="0" w:line="280" w:lineRule="exact"/>
              <w:cnfStyle w:val="000000100000" w:firstRow="0" w:lastRow="0" w:firstColumn="0" w:lastColumn="0" w:oddVBand="0" w:evenVBand="0" w:oddHBand="1" w:evenHBand="0" w:firstRowFirstColumn="0" w:firstRowLastColumn="0" w:lastRowFirstColumn="0" w:lastRowLastColumn="0"/>
              <w:rPr>
                <w:rFonts w:cstheme="minorHAnsi"/>
                <w:sz w:val="21"/>
                <w:lang w:val="en-AU"/>
              </w:rPr>
            </w:pPr>
            <w:r w:rsidRPr="00822822">
              <w:rPr>
                <w:rFonts w:cstheme="minorHAnsi"/>
                <w:sz w:val="21"/>
                <w:lang w:val="en-AU"/>
              </w:rPr>
              <w:t>I2.1. Documented instances of MDTF Secretariat facilitating influential policy dialogue on relevant and inclusive projects, programs, policy decisions, and reforms.</w:t>
            </w:r>
          </w:p>
        </w:tc>
      </w:tr>
      <w:tr w:rsidR="00DD4022" w:rsidRPr="009E5AA9" w14:paraId="3CDE956D" w14:textId="77777777" w:rsidTr="00822822">
        <w:trPr>
          <w:trHeight w:val="1175"/>
        </w:trPr>
        <w:tc>
          <w:tcPr>
            <w:cnfStyle w:val="001000000000" w:firstRow="0" w:lastRow="0" w:firstColumn="1" w:lastColumn="0" w:oddVBand="0" w:evenVBand="0" w:oddHBand="0" w:evenHBand="0" w:firstRowFirstColumn="0" w:firstRowLastColumn="0" w:lastRowFirstColumn="0" w:lastRowLastColumn="0"/>
            <w:tcW w:w="4248" w:type="dxa"/>
            <w:shd w:val="clear" w:color="auto" w:fill="C1E7E0" w:themeFill="accent1" w:themeFillTint="66"/>
            <w:vAlign w:val="center"/>
          </w:tcPr>
          <w:p w14:paraId="25716940" w14:textId="71CE0CCC" w:rsidR="00DD4022" w:rsidRPr="00C428D9" w:rsidRDefault="00DD4022" w:rsidP="00C428D9">
            <w:pPr>
              <w:tabs>
                <w:tab w:val="left" w:pos="284"/>
              </w:tabs>
              <w:suppressAutoHyphens w:val="0"/>
              <w:spacing w:before="0" w:line="280" w:lineRule="exact"/>
              <w:rPr>
                <w:rFonts w:cstheme="minorHAnsi"/>
                <w:sz w:val="21"/>
                <w:lang w:val="en-AU"/>
              </w:rPr>
            </w:pPr>
            <w:r w:rsidRPr="00C428D9">
              <w:rPr>
                <w:rFonts w:cstheme="minorHAnsi"/>
                <w:sz w:val="21"/>
                <w:lang w:val="en-AU"/>
              </w:rPr>
              <w:t xml:space="preserve">IO3: </w:t>
            </w:r>
            <w:bookmarkStart w:id="20" w:name="_Hlk131500872"/>
            <w:r w:rsidR="006209A6" w:rsidRPr="006209A6">
              <w:rPr>
                <w:rFonts w:cstheme="minorHAnsi"/>
                <w:sz w:val="21"/>
                <w:lang w:val="en-AU"/>
              </w:rPr>
              <w:t>MDTF Secretariat workplans and progress reports demonstrate continuous improvement of relevant and inclusive reform actions</w:t>
            </w:r>
            <w:bookmarkEnd w:id="20"/>
          </w:p>
        </w:tc>
        <w:tc>
          <w:tcPr>
            <w:tcW w:w="5528" w:type="dxa"/>
            <w:shd w:val="clear" w:color="auto" w:fill="auto"/>
            <w:vAlign w:val="center"/>
          </w:tcPr>
          <w:p w14:paraId="0ADF8ADA" w14:textId="08CDDFA1" w:rsidR="00DD4022" w:rsidRPr="00822822" w:rsidRDefault="00DD4022" w:rsidP="00822822">
            <w:pPr>
              <w:tabs>
                <w:tab w:val="left" w:pos="284"/>
              </w:tabs>
              <w:suppressAutoHyphens w:val="0"/>
              <w:spacing w:before="0" w:line="280" w:lineRule="exact"/>
              <w:cnfStyle w:val="000000000000" w:firstRow="0" w:lastRow="0" w:firstColumn="0" w:lastColumn="0" w:oddVBand="0" w:evenVBand="0" w:oddHBand="0" w:evenHBand="0" w:firstRowFirstColumn="0" w:firstRowLastColumn="0" w:lastRowFirstColumn="0" w:lastRowLastColumn="0"/>
              <w:rPr>
                <w:rFonts w:cstheme="minorHAnsi"/>
                <w:sz w:val="21"/>
                <w:lang w:val="en-AU"/>
              </w:rPr>
            </w:pPr>
            <w:r w:rsidRPr="00822822">
              <w:rPr>
                <w:rFonts w:cstheme="minorHAnsi"/>
                <w:sz w:val="21"/>
                <w:lang w:val="en-AU"/>
              </w:rPr>
              <w:t xml:space="preserve">I3.1. </w:t>
            </w:r>
            <w:r w:rsidR="00BE5FC5" w:rsidRPr="00BE5FC5">
              <w:rPr>
                <w:rFonts w:cstheme="minorHAnsi"/>
                <w:sz w:val="21"/>
                <w:lang w:val="en-AU"/>
              </w:rPr>
              <w:t>Documented instances where the MDTF Secretariat has used the knowledge and lessons learned from the monitoring and evaluation components of the MDTF to take policy, project, and programmatic action for the sustainable implementation of the Health System Transformation Agenda</w:t>
            </w:r>
            <w:r w:rsidRPr="00822822">
              <w:rPr>
                <w:rFonts w:cstheme="minorHAnsi"/>
                <w:sz w:val="21"/>
                <w:lang w:val="en-AU"/>
              </w:rPr>
              <w:t>.</w:t>
            </w:r>
          </w:p>
        </w:tc>
      </w:tr>
      <w:tr w:rsidR="00DD4022" w:rsidRPr="009E5AA9" w14:paraId="0A62E721" w14:textId="77777777" w:rsidTr="00822822">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4248" w:type="dxa"/>
            <w:shd w:val="clear" w:color="auto" w:fill="C1E7E0" w:themeFill="accent1" w:themeFillTint="66"/>
            <w:vAlign w:val="center"/>
          </w:tcPr>
          <w:p w14:paraId="42175455" w14:textId="5D08DE28" w:rsidR="00DD4022" w:rsidRPr="00C428D9" w:rsidRDefault="00DD4022" w:rsidP="00C428D9">
            <w:pPr>
              <w:tabs>
                <w:tab w:val="left" w:pos="284"/>
              </w:tabs>
              <w:suppressAutoHyphens w:val="0"/>
              <w:spacing w:before="0" w:line="280" w:lineRule="exact"/>
              <w:rPr>
                <w:rFonts w:cstheme="minorHAnsi"/>
                <w:sz w:val="21"/>
                <w:lang w:val="en-AU"/>
              </w:rPr>
            </w:pPr>
            <w:r w:rsidRPr="00C428D9">
              <w:rPr>
                <w:rFonts w:cstheme="minorHAnsi"/>
                <w:sz w:val="21"/>
                <w:lang w:val="en-AU"/>
              </w:rPr>
              <w:t>IO</w:t>
            </w:r>
            <w:r w:rsidR="00BB5E3A">
              <w:rPr>
                <w:rFonts w:cstheme="minorHAnsi"/>
                <w:sz w:val="21"/>
                <w:lang w:val="en-AU"/>
              </w:rPr>
              <w:t>4</w:t>
            </w:r>
            <w:r w:rsidRPr="00C428D9">
              <w:rPr>
                <w:rFonts w:cstheme="minorHAnsi"/>
                <w:sz w:val="21"/>
                <w:lang w:val="en-AU"/>
              </w:rPr>
              <w:t xml:space="preserve">:  </w:t>
            </w:r>
            <w:bookmarkStart w:id="21" w:name="_Hlk131500972"/>
            <w:r w:rsidRPr="00C428D9">
              <w:rPr>
                <w:rFonts w:cstheme="minorHAnsi"/>
                <w:sz w:val="21"/>
                <w:lang w:val="en-AU"/>
              </w:rPr>
              <w:t>Donor partnerships with MoH are harmonized and streamlined through the MDTF</w:t>
            </w:r>
            <w:bookmarkEnd w:id="21"/>
          </w:p>
        </w:tc>
        <w:tc>
          <w:tcPr>
            <w:tcW w:w="5528" w:type="dxa"/>
            <w:shd w:val="clear" w:color="auto" w:fill="auto"/>
            <w:vAlign w:val="center"/>
          </w:tcPr>
          <w:p w14:paraId="140B23A3" w14:textId="383F86FD" w:rsidR="00DD4022" w:rsidRPr="00822822" w:rsidRDefault="00DD4022" w:rsidP="00822822">
            <w:pPr>
              <w:tabs>
                <w:tab w:val="left" w:pos="284"/>
              </w:tabs>
              <w:suppressAutoHyphens w:val="0"/>
              <w:spacing w:before="0" w:line="280" w:lineRule="exact"/>
              <w:cnfStyle w:val="000000100000" w:firstRow="0" w:lastRow="0" w:firstColumn="0" w:lastColumn="0" w:oddVBand="0" w:evenVBand="0" w:oddHBand="1" w:evenHBand="0" w:firstRowFirstColumn="0" w:firstRowLastColumn="0" w:lastRowFirstColumn="0" w:lastRowLastColumn="0"/>
              <w:rPr>
                <w:rFonts w:cstheme="minorHAnsi"/>
                <w:sz w:val="21"/>
                <w:lang w:val="en-AU"/>
              </w:rPr>
            </w:pPr>
            <w:r w:rsidRPr="00822822">
              <w:rPr>
                <w:rFonts w:cstheme="minorHAnsi"/>
                <w:sz w:val="21"/>
                <w:lang w:val="en-AU"/>
              </w:rPr>
              <w:t>I</w:t>
            </w:r>
            <w:r w:rsidR="00BB5E3A">
              <w:rPr>
                <w:rFonts w:cstheme="minorHAnsi"/>
                <w:sz w:val="21"/>
                <w:lang w:val="en-AU"/>
              </w:rPr>
              <w:t>4</w:t>
            </w:r>
            <w:r w:rsidRPr="00822822">
              <w:rPr>
                <w:rFonts w:cstheme="minorHAnsi"/>
                <w:sz w:val="21"/>
                <w:lang w:val="en-AU"/>
              </w:rPr>
              <w:t>.1. Documented instances where MDTF partners have agreed joint priorities and approaches in support of the Health System Transformation Agenda.</w:t>
            </w:r>
          </w:p>
        </w:tc>
      </w:tr>
    </w:tbl>
    <w:p w14:paraId="4624A244" w14:textId="00A7AA76" w:rsidR="00F35454" w:rsidRPr="00BA23EC" w:rsidRDefault="00683D9A" w:rsidP="000E5C4E">
      <w:pPr>
        <w:jc w:val="both"/>
        <w:rPr>
          <w:rFonts w:cstheme="minorHAnsi"/>
          <w:sz w:val="21"/>
          <w:lang w:val="en-AU"/>
        </w:rPr>
      </w:pPr>
      <w:r w:rsidRPr="00BA23EC">
        <w:rPr>
          <w:rFonts w:cstheme="minorHAnsi"/>
          <w:sz w:val="21"/>
          <w:lang w:val="en-AU"/>
        </w:rPr>
        <w:t xml:space="preserve">DFAT </w:t>
      </w:r>
      <w:r w:rsidR="0027100C" w:rsidRPr="00BA23EC">
        <w:rPr>
          <w:rFonts w:cstheme="minorHAnsi"/>
          <w:sz w:val="21"/>
          <w:lang w:val="en-AU"/>
        </w:rPr>
        <w:t xml:space="preserve">will assess </w:t>
      </w:r>
      <w:r w:rsidRPr="00BA23EC">
        <w:rPr>
          <w:rFonts w:cstheme="minorHAnsi"/>
          <w:sz w:val="21"/>
          <w:lang w:val="en-AU"/>
        </w:rPr>
        <w:t xml:space="preserve">the performance of the HT-MDTF </w:t>
      </w:r>
      <w:r w:rsidR="0027100C" w:rsidRPr="00BA23EC">
        <w:rPr>
          <w:rFonts w:cstheme="minorHAnsi"/>
          <w:sz w:val="21"/>
          <w:lang w:val="en-AU"/>
        </w:rPr>
        <w:t xml:space="preserve">using </w:t>
      </w:r>
      <w:r w:rsidR="00825250" w:rsidRPr="00BA23EC">
        <w:rPr>
          <w:rFonts w:cstheme="minorHAnsi"/>
          <w:sz w:val="21"/>
          <w:lang w:val="en-AU"/>
        </w:rPr>
        <w:t>evidence collated from partner</w:t>
      </w:r>
      <w:r w:rsidR="00C062BB" w:rsidRPr="00BA23EC">
        <w:rPr>
          <w:rFonts w:cstheme="minorHAnsi"/>
          <w:sz w:val="21"/>
          <w:lang w:val="en-AU"/>
        </w:rPr>
        <w:t xml:space="preserve"> reporting </w:t>
      </w:r>
      <w:r w:rsidR="00825250" w:rsidRPr="00BA23EC">
        <w:rPr>
          <w:rFonts w:cstheme="minorHAnsi"/>
          <w:sz w:val="21"/>
          <w:lang w:val="en-AU"/>
        </w:rPr>
        <w:t xml:space="preserve">(MoH and World Bank), joint monitoring visits and Post engagement with health development partners. A </w:t>
      </w:r>
      <w:r w:rsidR="00852D83" w:rsidRPr="00BA23EC">
        <w:rPr>
          <w:rFonts w:cstheme="minorHAnsi"/>
          <w:sz w:val="21"/>
          <w:lang w:val="en-AU"/>
        </w:rPr>
        <w:t xml:space="preserve">draft </w:t>
      </w:r>
      <w:r w:rsidR="0027100C" w:rsidRPr="00BA23EC">
        <w:rPr>
          <w:rFonts w:cstheme="minorHAnsi"/>
          <w:sz w:val="21"/>
          <w:lang w:val="en-AU"/>
        </w:rPr>
        <w:t>Monitoring and Evaluation Framework at Annex</w:t>
      </w:r>
      <w:r w:rsidR="00034672" w:rsidRPr="00BA23EC">
        <w:rPr>
          <w:rFonts w:cstheme="minorHAnsi"/>
          <w:sz w:val="21"/>
          <w:lang w:val="en-AU"/>
        </w:rPr>
        <w:t xml:space="preserve"> 4</w:t>
      </w:r>
      <w:r w:rsidR="00825250" w:rsidRPr="00BA23EC">
        <w:rPr>
          <w:rFonts w:cstheme="minorHAnsi"/>
          <w:sz w:val="21"/>
          <w:lang w:val="en-AU"/>
        </w:rPr>
        <w:t xml:space="preserve"> outlines the key performance questions against the theory of change, and relevant data collection sources. </w:t>
      </w:r>
      <w:r w:rsidR="00DE6784" w:rsidRPr="00BA23EC">
        <w:rPr>
          <w:rFonts w:cstheme="minorHAnsi"/>
          <w:sz w:val="21"/>
          <w:lang w:val="en-AU"/>
        </w:rPr>
        <w:t xml:space="preserve">This will be finalised in consultation with the World Bank </w:t>
      </w:r>
      <w:r w:rsidR="00F94E9E" w:rsidRPr="00BA23EC">
        <w:rPr>
          <w:rFonts w:cstheme="minorHAnsi"/>
          <w:sz w:val="21"/>
          <w:szCs w:val="21"/>
          <w:lang w:val="en-AU"/>
        </w:rPr>
        <w:t xml:space="preserve">and will </w:t>
      </w:r>
      <w:r w:rsidR="00DE6784" w:rsidRPr="00BA23EC">
        <w:rPr>
          <w:rFonts w:cstheme="minorHAnsi"/>
          <w:sz w:val="21"/>
          <w:lang w:val="en-AU"/>
        </w:rPr>
        <w:t xml:space="preserve">inform the M&amp;E plan that will be developed by the MDTF Secretariat. </w:t>
      </w:r>
    </w:p>
    <w:p w14:paraId="3C861F7B" w14:textId="6C8B5F74" w:rsidR="00C179C1" w:rsidRPr="00BA23EC" w:rsidRDefault="00825250" w:rsidP="000E5C4E">
      <w:pPr>
        <w:jc w:val="both"/>
        <w:rPr>
          <w:rFonts w:cstheme="minorHAnsi"/>
          <w:sz w:val="21"/>
          <w:lang w:val="en-AU"/>
        </w:rPr>
      </w:pPr>
      <w:r w:rsidRPr="00BA23EC">
        <w:rPr>
          <w:rFonts w:cstheme="minorHAnsi"/>
          <w:sz w:val="21"/>
          <w:lang w:val="en-AU"/>
        </w:rPr>
        <w:t>T</w:t>
      </w:r>
      <w:r w:rsidR="00683D9A" w:rsidRPr="00BA23EC">
        <w:rPr>
          <w:rFonts w:cstheme="minorHAnsi"/>
          <w:sz w:val="21"/>
          <w:lang w:val="en-AU"/>
        </w:rPr>
        <w:t xml:space="preserve">he </w:t>
      </w:r>
      <w:r w:rsidR="00C179C1" w:rsidRPr="00BA23EC">
        <w:rPr>
          <w:rFonts w:cstheme="minorHAnsi"/>
          <w:sz w:val="21"/>
          <w:lang w:val="en-AU"/>
        </w:rPr>
        <w:t>MDTF Secretariat will provide an Annual Progress Report to the Partnership Council detailing the implementation status</w:t>
      </w:r>
      <w:r w:rsidR="00683D9A" w:rsidRPr="00BA23EC">
        <w:rPr>
          <w:rFonts w:cstheme="minorHAnsi"/>
          <w:sz w:val="21"/>
          <w:lang w:val="en-AU"/>
        </w:rPr>
        <w:t xml:space="preserve"> of recipient-executed activities, including financial reporting and </w:t>
      </w:r>
      <w:r w:rsidR="00C179C1" w:rsidRPr="00BA23EC">
        <w:rPr>
          <w:rFonts w:cstheme="minorHAnsi"/>
          <w:sz w:val="21"/>
          <w:lang w:val="en-AU"/>
        </w:rPr>
        <w:t xml:space="preserve">progress towards </w:t>
      </w:r>
      <w:r w:rsidR="00F94E9E" w:rsidRPr="00BA23EC">
        <w:rPr>
          <w:rFonts w:cstheme="minorHAnsi"/>
          <w:sz w:val="21"/>
          <w:szCs w:val="21"/>
          <w:lang w:val="en-AU"/>
        </w:rPr>
        <w:t>EOPOs</w:t>
      </w:r>
      <w:r w:rsidR="00683D9A" w:rsidRPr="00BA23EC">
        <w:rPr>
          <w:rFonts w:cstheme="minorHAnsi"/>
          <w:sz w:val="21"/>
          <w:lang w:val="en-AU"/>
        </w:rPr>
        <w:t>.</w:t>
      </w:r>
      <w:r w:rsidR="00C179C1" w:rsidRPr="00BA23EC">
        <w:rPr>
          <w:rFonts w:cstheme="minorHAnsi"/>
          <w:sz w:val="21"/>
          <w:lang w:val="en-AU"/>
        </w:rPr>
        <w:t xml:space="preserve"> </w:t>
      </w:r>
      <w:r w:rsidR="005F7410" w:rsidRPr="00BA23EC">
        <w:rPr>
          <w:rFonts w:cstheme="minorHAnsi"/>
          <w:sz w:val="21"/>
          <w:lang w:val="en-AU"/>
        </w:rPr>
        <w:t>Six months before the completion of the trust fund, a final completion report will be prepared by the Secretariat.</w:t>
      </w:r>
    </w:p>
    <w:p w14:paraId="2F0871B6" w14:textId="3CB374FF" w:rsidR="00C062BB" w:rsidRDefault="005F7410" w:rsidP="000E5C4E">
      <w:pPr>
        <w:jc w:val="both"/>
        <w:rPr>
          <w:rFonts w:cstheme="minorHAnsi"/>
          <w:sz w:val="21"/>
          <w:lang w:val="en-AU"/>
        </w:rPr>
      </w:pPr>
      <w:r w:rsidRPr="00BA23EC">
        <w:rPr>
          <w:rFonts w:cstheme="minorHAnsi"/>
          <w:sz w:val="21"/>
          <w:lang w:val="en-AU"/>
        </w:rPr>
        <w:t>In addition</w:t>
      </w:r>
      <w:r w:rsidR="0027100C" w:rsidRPr="00BA23EC">
        <w:rPr>
          <w:rFonts w:cstheme="minorHAnsi"/>
          <w:sz w:val="21"/>
          <w:lang w:val="en-AU"/>
        </w:rPr>
        <w:t xml:space="preserve">, the World Bank Task Team will provide </w:t>
      </w:r>
      <w:r w:rsidRPr="00BA23EC">
        <w:rPr>
          <w:rFonts w:cstheme="minorHAnsi"/>
          <w:sz w:val="21"/>
          <w:lang w:val="en-AU"/>
        </w:rPr>
        <w:t xml:space="preserve">DFAT </w:t>
      </w:r>
      <w:r w:rsidR="00C062BB" w:rsidRPr="00BA23EC">
        <w:rPr>
          <w:rFonts w:cstheme="minorHAnsi"/>
          <w:sz w:val="21"/>
          <w:lang w:val="en-AU"/>
        </w:rPr>
        <w:t xml:space="preserve">with </w:t>
      </w:r>
      <w:r w:rsidR="00F94E9E" w:rsidRPr="00BA23EC">
        <w:rPr>
          <w:rFonts w:cstheme="minorHAnsi"/>
          <w:sz w:val="21"/>
          <w:szCs w:val="21"/>
          <w:lang w:val="en-AU"/>
        </w:rPr>
        <w:t>six</w:t>
      </w:r>
      <w:r w:rsidR="0027100C" w:rsidRPr="00BA23EC">
        <w:rPr>
          <w:rFonts w:cstheme="minorHAnsi"/>
          <w:sz w:val="21"/>
          <w:lang w:val="en-AU"/>
        </w:rPr>
        <w:t>-monthly Implementation Status Reports</w:t>
      </w:r>
      <w:r w:rsidR="00EE781B" w:rsidRPr="00BA23EC">
        <w:rPr>
          <w:rFonts w:cstheme="minorHAnsi"/>
          <w:sz w:val="21"/>
          <w:lang w:val="en-AU"/>
        </w:rPr>
        <w:t xml:space="preserve"> providing the results from the Bank’s own M&amp;E processes, including due diligence checks</w:t>
      </w:r>
      <w:r w:rsidR="00067004">
        <w:rPr>
          <w:rFonts w:cstheme="minorHAnsi"/>
          <w:sz w:val="21"/>
          <w:lang w:val="en-AU"/>
        </w:rPr>
        <w:t xml:space="preserve">, </w:t>
      </w:r>
      <w:r w:rsidR="00EE781B" w:rsidRPr="00BA23EC">
        <w:rPr>
          <w:rFonts w:cstheme="minorHAnsi"/>
          <w:sz w:val="21"/>
          <w:lang w:val="en-AU"/>
        </w:rPr>
        <w:t>quality assurance of analytical products</w:t>
      </w:r>
      <w:r w:rsidR="00067004">
        <w:rPr>
          <w:rFonts w:cstheme="minorHAnsi"/>
          <w:sz w:val="21"/>
          <w:lang w:val="en-AU"/>
        </w:rPr>
        <w:t xml:space="preserve"> and risk assessments</w:t>
      </w:r>
      <w:r w:rsidR="0027100C" w:rsidRPr="00BA23EC">
        <w:rPr>
          <w:rFonts w:cstheme="minorHAnsi"/>
          <w:sz w:val="21"/>
          <w:lang w:val="en-AU"/>
        </w:rPr>
        <w:t xml:space="preserve">. </w:t>
      </w:r>
      <w:r w:rsidR="0028255E" w:rsidRPr="00BA23EC">
        <w:rPr>
          <w:rFonts w:cstheme="minorHAnsi"/>
          <w:sz w:val="21"/>
          <w:lang w:val="en-AU"/>
        </w:rPr>
        <w:t xml:space="preserve">These reports will </w:t>
      </w:r>
      <w:r w:rsidR="00EE781B" w:rsidRPr="00BA23EC">
        <w:rPr>
          <w:rFonts w:cstheme="minorHAnsi"/>
          <w:sz w:val="21"/>
          <w:lang w:val="en-AU"/>
        </w:rPr>
        <w:t xml:space="preserve">also </w:t>
      </w:r>
      <w:r w:rsidR="0028255E" w:rsidRPr="00BA23EC">
        <w:rPr>
          <w:rFonts w:cstheme="minorHAnsi"/>
          <w:sz w:val="21"/>
          <w:lang w:val="en-AU"/>
        </w:rPr>
        <w:t xml:space="preserve">be informed by observations and results from joint </w:t>
      </w:r>
      <w:r w:rsidR="0028255E" w:rsidRPr="00BA23EC">
        <w:rPr>
          <w:rFonts w:cstheme="minorHAnsi"/>
          <w:sz w:val="21"/>
          <w:szCs w:val="21"/>
          <w:lang w:val="en-AU"/>
        </w:rPr>
        <w:t>implement</w:t>
      </w:r>
      <w:r w:rsidR="00F94E9E" w:rsidRPr="00BA23EC">
        <w:rPr>
          <w:rFonts w:cstheme="minorHAnsi"/>
          <w:sz w:val="21"/>
          <w:szCs w:val="21"/>
          <w:lang w:val="en-AU"/>
        </w:rPr>
        <w:t>ation</w:t>
      </w:r>
      <w:r w:rsidR="0028255E" w:rsidRPr="00BA23EC">
        <w:rPr>
          <w:rFonts w:cstheme="minorHAnsi"/>
          <w:sz w:val="21"/>
          <w:lang w:val="en-AU"/>
        </w:rPr>
        <w:t xml:space="preserve"> support missions. </w:t>
      </w:r>
      <w:r w:rsidR="0027100C" w:rsidRPr="00BA23EC">
        <w:rPr>
          <w:rFonts w:cstheme="minorHAnsi"/>
          <w:sz w:val="21"/>
          <w:lang w:val="en-AU"/>
        </w:rPr>
        <w:t xml:space="preserve">In addition, </w:t>
      </w:r>
      <w:r w:rsidR="00C062BB" w:rsidRPr="00BA23EC">
        <w:rPr>
          <w:rFonts w:cstheme="minorHAnsi"/>
          <w:sz w:val="21"/>
          <w:lang w:val="en-AU"/>
        </w:rPr>
        <w:t xml:space="preserve">the World Bank MDTF Program Manager will generate an Annual Progress Review that will </w:t>
      </w:r>
      <w:r w:rsidR="0027100C" w:rsidRPr="00BA23EC">
        <w:rPr>
          <w:rFonts w:cstheme="minorHAnsi"/>
          <w:sz w:val="21"/>
          <w:lang w:val="en-AU"/>
        </w:rPr>
        <w:t>provide consolidat</w:t>
      </w:r>
      <w:r w:rsidR="000E5C4E" w:rsidRPr="00BA23EC">
        <w:rPr>
          <w:rFonts w:cstheme="minorHAnsi"/>
          <w:sz w:val="21"/>
          <w:lang w:val="en-AU"/>
        </w:rPr>
        <w:t>e</w:t>
      </w:r>
      <w:r w:rsidR="0027100C" w:rsidRPr="00BA23EC">
        <w:rPr>
          <w:rFonts w:cstheme="minorHAnsi"/>
          <w:sz w:val="21"/>
          <w:lang w:val="en-AU"/>
        </w:rPr>
        <w:t xml:space="preserve">d </w:t>
      </w:r>
      <w:r w:rsidR="00C062BB" w:rsidRPr="00BA23EC">
        <w:rPr>
          <w:rFonts w:cstheme="minorHAnsi"/>
          <w:sz w:val="21"/>
          <w:lang w:val="en-AU"/>
        </w:rPr>
        <w:t xml:space="preserve">in-depth </w:t>
      </w:r>
      <w:r w:rsidR="0027100C" w:rsidRPr="00BA23EC">
        <w:rPr>
          <w:rFonts w:cstheme="minorHAnsi"/>
          <w:sz w:val="21"/>
          <w:lang w:val="en-AU"/>
        </w:rPr>
        <w:t xml:space="preserve">performance reporting across </w:t>
      </w:r>
      <w:r w:rsidR="00C062BB" w:rsidRPr="00BA23EC">
        <w:rPr>
          <w:rFonts w:cstheme="minorHAnsi"/>
          <w:sz w:val="21"/>
          <w:lang w:val="en-AU"/>
        </w:rPr>
        <w:t>analytical products</w:t>
      </w:r>
      <w:r w:rsidRPr="00BA23EC">
        <w:rPr>
          <w:rFonts w:cstheme="minorHAnsi"/>
          <w:sz w:val="21"/>
          <w:lang w:val="en-AU"/>
        </w:rPr>
        <w:t xml:space="preserve">. </w:t>
      </w:r>
      <w:r w:rsidR="0028255E" w:rsidRPr="00BA23EC">
        <w:rPr>
          <w:rFonts w:cstheme="minorHAnsi"/>
          <w:sz w:val="21"/>
          <w:lang w:val="en-AU"/>
        </w:rPr>
        <w:t xml:space="preserve">Financial reporting will be made available to donors through the World Bank’s online Development Partner Centre, with financial statements being subject to </w:t>
      </w:r>
      <w:r w:rsidR="00EE781B" w:rsidRPr="00BA23EC">
        <w:rPr>
          <w:rFonts w:cstheme="minorHAnsi"/>
          <w:sz w:val="21"/>
          <w:lang w:val="en-AU"/>
        </w:rPr>
        <w:t xml:space="preserve">an </w:t>
      </w:r>
      <w:r w:rsidR="0028255E" w:rsidRPr="00BA23EC">
        <w:rPr>
          <w:rFonts w:cstheme="minorHAnsi"/>
          <w:sz w:val="21"/>
          <w:lang w:val="en-AU"/>
        </w:rPr>
        <w:t>annual trust fund audit</w:t>
      </w:r>
      <w:r w:rsidR="00EE781B" w:rsidRPr="00BA23EC">
        <w:rPr>
          <w:rFonts w:cstheme="minorHAnsi"/>
          <w:sz w:val="21"/>
          <w:lang w:val="en-AU"/>
        </w:rPr>
        <w:t xml:space="preserve"> required by the Bank. </w:t>
      </w:r>
    </w:p>
    <w:p w14:paraId="477F273E" w14:textId="41D2952C" w:rsidR="00067004" w:rsidRPr="00BA23EC" w:rsidRDefault="00067004" w:rsidP="000E5C4E">
      <w:pPr>
        <w:jc w:val="both"/>
        <w:rPr>
          <w:rFonts w:cstheme="minorHAnsi"/>
          <w:sz w:val="21"/>
          <w:lang w:val="en-AU"/>
        </w:rPr>
      </w:pPr>
      <w:r>
        <w:rPr>
          <w:rFonts w:cstheme="minorHAnsi"/>
          <w:sz w:val="21"/>
          <w:lang w:val="en-AU"/>
        </w:rPr>
        <w:t xml:space="preserve">Partnership Council </w:t>
      </w:r>
      <w:r w:rsidR="0063427C">
        <w:rPr>
          <w:rFonts w:cstheme="minorHAnsi"/>
          <w:sz w:val="21"/>
          <w:lang w:val="en-AU"/>
        </w:rPr>
        <w:t xml:space="preserve">will play a central role in </w:t>
      </w:r>
      <w:r>
        <w:rPr>
          <w:rFonts w:cstheme="minorHAnsi"/>
          <w:sz w:val="21"/>
          <w:lang w:val="en-AU"/>
        </w:rPr>
        <w:t>assessing performanc</w:t>
      </w:r>
      <w:r w:rsidR="0063427C">
        <w:rPr>
          <w:rFonts w:cstheme="minorHAnsi"/>
          <w:sz w:val="21"/>
          <w:lang w:val="en-AU"/>
        </w:rPr>
        <w:t xml:space="preserve">e and ensuring </w:t>
      </w:r>
      <w:r w:rsidR="002972C4">
        <w:rPr>
          <w:rFonts w:cstheme="minorHAnsi"/>
          <w:sz w:val="21"/>
          <w:lang w:val="en-AU"/>
        </w:rPr>
        <w:t xml:space="preserve">the lessons and insights from monitoring activities is </w:t>
      </w:r>
      <w:r w:rsidR="00857E6B">
        <w:rPr>
          <w:rFonts w:cstheme="minorHAnsi"/>
          <w:sz w:val="21"/>
          <w:lang w:val="en-AU"/>
        </w:rPr>
        <w:t xml:space="preserve">continuously informing and shaping HT-MDTF activities. </w:t>
      </w:r>
    </w:p>
    <w:p w14:paraId="47D66836" w14:textId="46B19944" w:rsidR="00EE781B" w:rsidRPr="00BA23EC" w:rsidRDefault="000E5C4E" w:rsidP="000E5C4E">
      <w:pPr>
        <w:jc w:val="both"/>
        <w:rPr>
          <w:rFonts w:cstheme="minorHAnsi"/>
          <w:sz w:val="21"/>
          <w:lang w:val="en-AU"/>
        </w:rPr>
      </w:pPr>
      <w:r w:rsidRPr="00BA23EC">
        <w:rPr>
          <w:rFonts w:cstheme="minorHAnsi"/>
          <w:sz w:val="21"/>
          <w:lang w:val="en-AU"/>
        </w:rPr>
        <w:t>T</w:t>
      </w:r>
      <w:r w:rsidR="00EE781B" w:rsidRPr="00BA23EC">
        <w:rPr>
          <w:rFonts w:cstheme="minorHAnsi"/>
          <w:sz w:val="21"/>
          <w:lang w:val="en-AU"/>
        </w:rPr>
        <w:t xml:space="preserve">he Jakarta Post Health team will undertake high-level monitoring of progress and performance of the investment through </w:t>
      </w:r>
      <w:r w:rsidR="00857E6B">
        <w:rPr>
          <w:rFonts w:cstheme="minorHAnsi"/>
          <w:sz w:val="21"/>
          <w:lang w:val="en-AU"/>
        </w:rPr>
        <w:t>quarterly</w:t>
      </w:r>
      <w:r w:rsidR="00857E6B" w:rsidRPr="00BA23EC">
        <w:rPr>
          <w:rFonts w:cstheme="minorHAnsi"/>
          <w:sz w:val="21"/>
          <w:lang w:val="en-AU"/>
        </w:rPr>
        <w:t xml:space="preserve"> </w:t>
      </w:r>
      <w:r w:rsidR="00EE781B" w:rsidRPr="00BA23EC">
        <w:rPr>
          <w:rFonts w:cstheme="minorHAnsi"/>
          <w:sz w:val="21"/>
          <w:lang w:val="en-AU"/>
        </w:rPr>
        <w:t xml:space="preserve">meetings with the World Bank Health </w:t>
      </w:r>
      <w:r w:rsidR="00F8485F">
        <w:rPr>
          <w:rFonts w:cstheme="minorHAnsi"/>
          <w:sz w:val="21"/>
          <w:lang w:val="en-AU"/>
        </w:rPr>
        <w:t>T</w:t>
      </w:r>
      <w:r w:rsidR="00EE781B" w:rsidRPr="00BA23EC">
        <w:rPr>
          <w:rFonts w:cstheme="minorHAnsi"/>
          <w:sz w:val="21"/>
          <w:lang w:val="en-AU"/>
        </w:rPr>
        <w:t xml:space="preserve">ask team to discuss progress, performance, and any delays or risks, as well as </w:t>
      </w:r>
      <w:r w:rsidRPr="00BA23EC">
        <w:rPr>
          <w:rFonts w:cstheme="minorHAnsi"/>
          <w:sz w:val="21"/>
          <w:lang w:val="en-AU"/>
        </w:rPr>
        <w:t xml:space="preserve">information gathered from other </w:t>
      </w:r>
      <w:r w:rsidR="00EE781B" w:rsidRPr="00BA23EC">
        <w:rPr>
          <w:rFonts w:cstheme="minorHAnsi"/>
          <w:sz w:val="21"/>
          <w:lang w:val="en-AU"/>
        </w:rPr>
        <w:t xml:space="preserve">bilateral health partners on progress related to the health reforms. </w:t>
      </w:r>
    </w:p>
    <w:p w14:paraId="76ED9DC7" w14:textId="5CE632DF" w:rsidR="00E01F81" w:rsidRPr="00BA23EC" w:rsidRDefault="00E01F81" w:rsidP="000E5C4E">
      <w:pPr>
        <w:jc w:val="both"/>
        <w:rPr>
          <w:rFonts w:cstheme="minorHAnsi"/>
          <w:sz w:val="21"/>
          <w:lang w:val="en-AU"/>
        </w:rPr>
      </w:pPr>
      <w:r w:rsidRPr="00BA23EC">
        <w:rPr>
          <w:rFonts w:cstheme="minorHAnsi"/>
          <w:sz w:val="21"/>
          <w:lang w:val="en-AU"/>
        </w:rPr>
        <w:t xml:space="preserve">After approximately two years of implementation, the World Bank and MDTF contributing partners will </w:t>
      </w:r>
      <w:r w:rsidR="00B04862" w:rsidRPr="00BA23EC">
        <w:rPr>
          <w:rFonts w:cstheme="minorHAnsi"/>
          <w:sz w:val="21"/>
          <w:lang w:val="en-AU"/>
        </w:rPr>
        <w:t>commission</w:t>
      </w:r>
      <w:r w:rsidRPr="00BA23EC">
        <w:rPr>
          <w:rFonts w:cstheme="minorHAnsi"/>
          <w:sz w:val="21"/>
          <w:lang w:val="en-AU"/>
        </w:rPr>
        <w:t xml:space="preserve"> a</w:t>
      </w:r>
      <w:r w:rsidR="00B04862" w:rsidRPr="00BA23EC">
        <w:rPr>
          <w:rFonts w:cstheme="minorHAnsi"/>
          <w:sz w:val="21"/>
          <w:lang w:val="en-AU"/>
        </w:rPr>
        <w:t>n independent</w:t>
      </w:r>
      <w:r w:rsidRPr="00BA23EC">
        <w:rPr>
          <w:rFonts w:cstheme="minorHAnsi"/>
          <w:sz w:val="21"/>
          <w:lang w:val="en-AU"/>
        </w:rPr>
        <w:t xml:space="preserve"> MTR jointly with MoH. The MTR will identify </w:t>
      </w:r>
      <w:r w:rsidR="00F94E9E" w:rsidRPr="00BA23EC">
        <w:rPr>
          <w:rFonts w:cstheme="minorHAnsi"/>
          <w:sz w:val="21"/>
          <w:szCs w:val="21"/>
          <w:lang w:val="en-AU"/>
        </w:rPr>
        <w:t xml:space="preserve">lessons and </w:t>
      </w:r>
      <w:r w:rsidRPr="00BA23EC">
        <w:rPr>
          <w:rFonts w:cstheme="minorHAnsi"/>
          <w:sz w:val="21"/>
          <w:lang w:val="en-AU"/>
        </w:rPr>
        <w:t>challenges in the design, implementation, and management</w:t>
      </w:r>
      <w:r w:rsidR="00B04862" w:rsidRPr="00BA23EC">
        <w:rPr>
          <w:rFonts w:cstheme="minorHAnsi"/>
          <w:sz w:val="21"/>
          <w:lang w:val="en-AU"/>
        </w:rPr>
        <w:t xml:space="preserve">, and </w:t>
      </w:r>
      <w:r w:rsidR="00F94E9E" w:rsidRPr="00BA23EC">
        <w:rPr>
          <w:rFonts w:cstheme="minorHAnsi"/>
          <w:sz w:val="21"/>
          <w:szCs w:val="21"/>
          <w:lang w:val="en-AU"/>
        </w:rPr>
        <w:t xml:space="preserve">provide </w:t>
      </w:r>
      <w:r w:rsidR="00B04862" w:rsidRPr="00BA23EC">
        <w:rPr>
          <w:rFonts w:cstheme="minorHAnsi"/>
          <w:sz w:val="21"/>
          <w:lang w:val="en-AU"/>
        </w:rPr>
        <w:t xml:space="preserve">recommendations on </w:t>
      </w:r>
      <w:r w:rsidRPr="00BA23EC">
        <w:rPr>
          <w:rFonts w:cstheme="minorHAnsi"/>
          <w:sz w:val="21"/>
          <w:lang w:val="en-AU"/>
        </w:rPr>
        <w:t>reinforc</w:t>
      </w:r>
      <w:r w:rsidR="00B04862" w:rsidRPr="00BA23EC">
        <w:rPr>
          <w:rFonts w:cstheme="minorHAnsi"/>
          <w:sz w:val="21"/>
          <w:lang w:val="en-AU"/>
        </w:rPr>
        <w:t>ing</w:t>
      </w:r>
      <w:r w:rsidRPr="00BA23EC">
        <w:rPr>
          <w:rFonts w:cstheme="minorHAnsi"/>
          <w:sz w:val="21"/>
          <w:lang w:val="en-AU"/>
        </w:rPr>
        <w:t xml:space="preserve"> initiatives that demonstrate the potential for success. </w:t>
      </w:r>
      <w:r w:rsidR="00B04862" w:rsidRPr="00BA23EC">
        <w:rPr>
          <w:rFonts w:cstheme="minorHAnsi"/>
          <w:sz w:val="21"/>
          <w:lang w:val="en-AU"/>
        </w:rPr>
        <w:t xml:space="preserve">Consideration by the Partnership Council on whether to extend the term of the HT-MDTF will be based on the findings of the MTR. </w:t>
      </w:r>
      <w:r w:rsidR="00CC6319" w:rsidRPr="00BA23EC">
        <w:rPr>
          <w:rFonts w:cstheme="minorHAnsi"/>
          <w:sz w:val="21"/>
          <w:lang w:val="en-AU"/>
        </w:rPr>
        <w:t xml:space="preserve"> </w:t>
      </w:r>
    </w:p>
    <w:p w14:paraId="77D9EDF9" w14:textId="785EEFBD" w:rsidR="00A662CC" w:rsidRPr="00BA23EC" w:rsidRDefault="00F94E9E" w:rsidP="000E5C4E">
      <w:pPr>
        <w:jc w:val="both"/>
        <w:rPr>
          <w:rFonts w:cstheme="minorHAnsi"/>
          <w:sz w:val="21"/>
          <w:lang w:val="en-AU"/>
        </w:rPr>
      </w:pPr>
      <w:r w:rsidRPr="00BA23EC">
        <w:rPr>
          <w:rFonts w:cstheme="minorHAnsi"/>
          <w:sz w:val="21"/>
          <w:szCs w:val="21"/>
          <w:lang w:val="en-AU"/>
        </w:rPr>
        <w:t>Two</w:t>
      </w:r>
      <w:r w:rsidR="00A662CC" w:rsidRPr="00BA23EC">
        <w:rPr>
          <w:rFonts w:cstheme="minorHAnsi"/>
          <w:sz w:val="21"/>
          <w:lang w:val="en-AU"/>
        </w:rPr>
        <w:t xml:space="preserve"> key evaluation questions will guide DFAT’s evaluation of the performance of implementation:</w:t>
      </w:r>
    </w:p>
    <w:p w14:paraId="33F3F796" w14:textId="0F486BB2" w:rsidR="00D31D86" w:rsidRPr="00BA23EC" w:rsidRDefault="00D31D86" w:rsidP="000E5C4E">
      <w:pPr>
        <w:pStyle w:val="ListParagraph"/>
        <w:numPr>
          <w:ilvl w:val="0"/>
          <w:numId w:val="43"/>
        </w:numPr>
        <w:jc w:val="both"/>
        <w:rPr>
          <w:rFonts w:cstheme="minorHAnsi"/>
          <w:sz w:val="21"/>
          <w:lang w:val="en-AU"/>
        </w:rPr>
      </w:pPr>
      <w:bookmarkStart w:id="22" w:name="_Hlk132025553"/>
      <w:r w:rsidRPr="00BA23EC">
        <w:rPr>
          <w:rFonts w:cstheme="minorHAnsi"/>
          <w:sz w:val="21"/>
          <w:lang w:val="en-AU"/>
        </w:rPr>
        <w:t xml:space="preserve">How effective is the HT-MDTF in supporting the MoH in generating high-quality analytics </w:t>
      </w:r>
      <w:r w:rsidR="00E84551">
        <w:rPr>
          <w:rFonts w:cstheme="minorHAnsi"/>
          <w:sz w:val="21"/>
          <w:lang w:val="en-AU"/>
        </w:rPr>
        <w:t xml:space="preserve">and policy dialogue </w:t>
      </w:r>
      <w:r w:rsidR="00154D0C">
        <w:rPr>
          <w:rFonts w:cstheme="minorHAnsi"/>
          <w:sz w:val="21"/>
          <w:lang w:val="en-AU"/>
        </w:rPr>
        <w:t>and</w:t>
      </w:r>
      <w:r w:rsidR="00154D0C" w:rsidRPr="00BA23EC">
        <w:rPr>
          <w:rFonts w:cstheme="minorHAnsi"/>
          <w:sz w:val="21"/>
          <w:lang w:val="en-AU"/>
        </w:rPr>
        <w:t xml:space="preserve"> </w:t>
      </w:r>
      <w:r w:rsidRPr="00BA23EC">
        <w:rPr>
          <w:rFonts w:cstheme="minorHAnsi"/>
          <w:sz w:val="21"/>
          <w:lang w:val="en-AU"/>
        </w:rPr>
        <w:t>inform</w:t>
      </w:r>
      <w:r w:rsidR="00154D0C">
        <w:rPr>
          <w:rFonts w:cstheme="minorHAnsi"/>
          <w:sz w:val="21"/>
          <w:lang w:val="en-AU"/>
        </w:rPr>
        <w:t>ing</w:t>
      </w:r>
      <w:r w:rsidRPr="00BA23EC">
        <w:rPr>
          <w:rFonts w:cstheme="minorHAnsi"/>
          <w:sz w:val="21"/>
          <w:lang w:val="en-AU"/>
        </w:rPr>
        <w:t xml:space="preserve"> </w:t>
      </w:r>
      <w:r w:rsidR="00154D0C">
        <w:rPr>
          <w:rFonts w:cstheme="minorHAnsi"/>
          <w:sz w:val="21"/>
          <w:lang w:val="en-AU"/>
        </w:rPr>
        <w:t xml:space="preserve">implementation of health </w:t>
      </w:r>
      <w:r w:rsidRPr="00BA23EC">
        <w:rPr>
          <w:rFonts w:cstheme="minorHAnsi"/>
          <w:sz w:val="21"/>
          <w:lang w:val="en-AU"/>
        </w:rPr>
        <w:t>reform project</w:t>
      </w:r>
      <w:r w:rsidR="000E5C4E" w:rsidRPr="00BA23EC">
        <w:rPr>
          <w:rFonts w:cstheme="minorHAnsi"/>
          <w:sz w:val="21"/>
          <w:lang w:val="en-AU"/>
        </w:rPr>
        <w:t>s</w:t>
      </w:r>
      <w:r w:rsidRPr="00BA23EC">
        <w:rPr>
          <w:rFonts w:cstheme="minorHAnsi"/>
          <w:sz w:val="21"/>
          <w:lang w:val="en-AU"/>
        </w:rPr>
        <w:t xml:space="preserve">, </w:t>
      </w:r>
      <w:r w:rsidR="00642625" w:rsidRPr="00BA23EC">
        <w:rPr>
          <w:rFonts w:cstheme="minorHAnsi"/>
          <w:sz w:val="21"/>
          <w:lang w:val="en-AU"/>
        </w:rPr>
        <w:t>policies,</w:t>
      </w:r>
      <w:r w:rsidRPr="00BA23EC">
        <w:rPr>
          <w:rFonts w:cstheme="minorHAnsi"/>
          <w:sz w:val="21"/>
          <w:lang w:val="en-AU"/>
        </w:rPr>
        <w:t xml:space="preserve"> and program</w:t>
      </w:r>
      <w:r w:rsidR="000E5C4E" w:rsidRPr="00BA23EC">
        <w:rPr>
          <w:rFonts w:cstheme="minorHAnsi"/>
          <w:sz w:val="21"/>
          <w:lang w:val="en-AU"/>
        </w:rPr>
        <w:t>s</w:t>
      </w:r>
      <w:r w:rsidR="00F205D0" w:rsidRPr="00BA23EC">
        <w:rPr>
          <w:rFonts w:cstheme="minorHAnsi"/>
          <w:sz w:val="21"/>
          <w:lang w:val="en-AU"/>
        </w:rPr>
        <w:t xml:space="preserve">, in particular </w:t>
      </w:r>
      <w:r w:rsidR="000E5C4E" w:rsidRPr="00BA23EC">
        <w:rPr>
          <w:rFonts w:cstheme="minorHAnsi"/>
          <w:sz w:val="21"/>
          <w:lang w:val="en-AU"/>
        </w:rPr>
        <w:t xml:space="preserve">efforts to close gender </w:t>
      </w:r>
      <w:r w:rsidR="00584A29">
        <w:rPr>
          <w:rFonts w:cstheme="minorHAnsi"/>
          <w:sz w:val="21"/>
          <w:lang w:val="en-AU"/>
        </w:rPr>
        <w:t xml:space="preserve">and disability inclusion </w:t>
      </w:r>
      <w:r w:rsidR="000E5C4E" w:rsidRPr="00BA23EC">
        <w:rPr>
          <w:rFonts w:cstheme="minorHAnsi"/>
          <w:sz w:val="21"/>
          <w:lang w:val="en-AU"/>
        </w:rPr>
        <w:t>gaps in coverage, access to and quality of health care</w:t>
      </w:r>
      <w:r w:rsidR="00584A29">
        <w:rPr>
          <w:rFonts w:cstheme="minorHAnsi"/>
          <w:sz w:val="21"/>
          <w:lang w:val="en-AU"/>
        </w:rPr>
        <w:t>,</w:t>
      </w:r>
      <w:r w:rsidR="00A34629">
        <w:rPr>
          <w:rFonts w:cstheme="minorHAnsi"/>
          <w:sz w:val="21"/>
          <w:lang w:val="en-AU"/>
        </w:rPr>
        <w:t xml:space="preserve"> and</w:t>
      </w:r>
      <w:r w:rsidR="00584A29">
        <w:rPr>
          <w:rFonts w:cstheme="minorHAnsi"/>
          <w:sz w:val="21"/>
          <w:lang w:val="en-AU"/>
        </w:rPr>
        <w:t xml:space="preserve"> to build a climate-resilient </w:t>
      </w:r>
      <w:r w:rsidR="00A34629">
        <w:rPr>
          <w:rFonts w:cstheme="minorHAnsi"/>
          <w:sz w:val="21"/>
          <w:lang w:val="en-AU"/>
        </w:rPr>
        <w:t>health sector</w:t>
      </w:r>
      <w:r w:rsidR="00F205D0" w:rsidRPr="00BA23EC">
        <w:rPr>
          <w:rFonts w:cstheme="minorHAnsi"/>
          <w:sz w:val="21"/>
          <w:lang w:val="en-AU"/>
        </w:rPr>
        <w:t>?</w:t>
      </w:r>
    </w:p>
    <w:p w14:paraId="7BE0E74D" w14:textId="7E2367FF" w:rsidR="002A689A" w:rsidRPr="00BA23EC" w:rsidRDefault="000E5C4E" w:rsidP="00CC6319">
      <w:pPr>
        <w:pStyle w:val="ListParagraph"/>
        <w:numPr>
          <w:ilvl w:val="0"/>
          <w:numId w:val="43"/>
        </w:numPr>
        <w:jc w:val="both"/>
        <w:rPr>
          <w:rFonts w:cstheme="minorHAnsi"/>
          <w:sz w:val="21"/>
          <w:lang w:val="en-AU"/>
        </w:rPr>
      </w:pPr>
      <w:r w:rsidRPr="00BA23EC">
        <w:rPr>
          <w:rFonts w:cstheme="minorHAnsi"/>
          <w:sz w:val="21"/>
          <w:lang w:val="en-AU"/>
        </w:rPr>
        <w:t xml:space="preserve">Is there evidence </w:t>
      </w:r>
      <w:r w:rsidR="00E01F81" w:rsidRPr="00BA23EC">
        <w:rPr>
          <w:rFonts w:cstheme="minorHAnsi"/>
          <w:sz w:val="21"/>
          <w:lang w:val="en-AU"/>
        </w:rPr>
        <w:t xml:space="preserve">for the </w:t>
      </w:r>
      <w:r w:rsidR="00A662CC" w:rsidRPr="00BA23EC">
        <w:rPr>
          <w:rFonts w:cstheme="minorHAnsi"/>
          <w:sz w:val="21"/>
          <w:lang w:val="en-AU"/>
        </w:rPr>
        <w:t xml:space="preserve">sustainability of health system improvements </w:t>
      </w:r>
      <w:r w:rsidR="00E01F81" w:rsidRPr="00BA23EC">
        <w:rPr>
          <w:rFonts w:cstheme="minorHAnsi"/>
          <w:sz w:val="21"/>
          <w:lang w:val="en-AU"/>
        </w:rPr>
        <w:t>with increased budget and resourcing and increased capacity of the MoH to design and implement current and future reforms</w:t>
      </w:r>
      <w:r w:rsidR="00A662CC" w:rsidRPr="00BA23EC">
        <w:rPr>
          <w:rFonts w:cstheme="minorHAnsi"/>
          <w:sz w:val="21"/>
          <w:lang w:val="en-AU"/>
        </w:rPr>
        <w:t>?</w:t>
      </w:r>
      <w:bookmarkEnd w:id="22"/>
    </w:p>
    <w:p w14:paraId="32798D51" w14:textId="12557F0F" w:rsidR="00CC6319" w:rsidRPr="00BA23EC" w:rsidRDefault="00DF13D3" w:rsidP="00DF13D3">
      <w:pPr>
        <w:jc w:val="both"/>
        <w:rPr>
          <w:rFonts w:cstheme="minorHAnsi"/>
          <w:sz w:val="21"/>
          <w:lang w:val="en-AU"/>
        </w:rPr>
      </w:pPr>
      <w:r w:rsidRPr="00BA23EC">
        <w:rPr>
          <w:rFonts w:cstheme="minorHAnsi"/>
          <w:sz w:val="21"/>
          <w:lang w:val="en-AU"/>
        </w:rPr>
        <w:t xml:space="preserve">The MDTF Secretariat will resource a M&amp;E specialist that will be responsible for </w:t>
      </w:r>
      <w:r w:rsidR="00F27CF7" w:rsidRPr="00BA23EC">
        <w:rPr>
          <w:rFonts w:cstheme="minorHAnsi"/>
          <w:sz w:val="21"/>
          <w:lang w:val="en-AU"/>
        </w:rPr>
        <w:t xml:space="preserve">the </w:t>
      </w:r>
      <w:r w:rsidRPr="00BA23EC">
        <w:rPr>
          <w:rFonts w:cstheme="minorHAnsi"/>
          <w:sz w:val="21"/>
          <w:lang w:val="en-AU"/>
        </w:rPr>
        <w:t>design and implementation of the MDTF M&amp;E plan. The Jakarta Post Health team will engage M&amp;E support for this investment through Post’s standing offer with IOD</w:t>
      </w:r>
      <w:r w:rsidR="00F27CF7" w:rsidRPr="00BA23EC">
        <w:rPr>
          <w:rFonts w:cstheme="minorHAnsi"/>
          <w:sz w:val="21"/>
          <w:lang w:val="en-AU"/>
        </w:rPr>
        <w:t xml:space="preserve"> </w:t>
      </w:r>
      <w:r w:rsidRPr="00BA23EC">
        <w:rPr>
          <w:rFonts w:cstheme="minorHAnsi"/>
          <w:sz w:val="21"/>
          <w:lang w:val="en-AU"/>
        </w:rPr>
        <w:t xml:space="preserve">PARC, including capturing of lessons learnt to support DFAT’s engagement with the Bank and MoH. </w:t>
      </w:r>
      <w:r w:rsidR="008B0398" w:rsidRPr="00BA23EC">
        <w:rPr>
          <w:rFonts w:cstheme="minorHAnsi"/>
          <w:sz w:val="21"/>
          <w:lang w:val="en-AU"/>
        </w:rPr>
        <w:t xml:space="preserve">It is </w:t>
      </w:r>
      <w:r w:rsidR="00CC6319" w:rsidRPr="00BA23EC">
        <w:rPr>
          <w:rFonts w:cstheme="minorHAnsi"/>
          <w:sz w:val="21"/>
          <w:lang w:val="en-AU"/>
        </w:rPr>
        <w:t>DFAT</w:t>
      </w:r>
      <w:r w:rsidR="008B0398" w:rsidRPr="00BA23EC">
        <w:rPr>
          <w:rFonts w:cstheme="minorHAnsi"/>
          <w:sz w:val="21"/>
          <w:lang w:val="en-AU"/>
        </w:rPr>
        <w:t>’s</w:t>
      </w:r>
      <w:r w:rsidR="00CC6319" w:rsidRPr="00BA23EC">
        <w:rPr>
          <w:rFonts w:cstheme="minorHAnsi"/>
          <w:sz w:val="21"/>
          <w:lang w:val="en-AU"/>
        </w:rPr>
        <w:t xml:space="preserve"> expect</w:t>
      </w:r>
      <w:r w:rsidR="008B0398" w:rsidRPr="00BA23EC">
        <w:rPr>
          <w:rFonts w:cstheme="minorHAnsi"/>
          <w:sz w:val="21"/>
          <w:lang w:val="en-AU"/>
        </w:rPr>
        <w:t>ation</w:t>
      </w:r>
      <w:r w:rsidR="00CC6319" w:rsidRPr="00BA23EC">
        <w:rPr>
          <w:rFonts w:cstheme="minorHAnsi"/>
          <w:sz w:val="21"/>
          <w:lang w:val="en-AU"/>
        </w:rPr>
        <w:t xml:space="preserve"> that the Bank will sufficiently resource the </w:t>
      </w:r>
      <w:r w:rsidR="008B0398" w:rsidRPr="00BA23EC">
        <w:rPr>
          <w:rFonts w:cstheme="minorHAnsi"/>
          <w:sz w:val="21"/>
          <w:lang w:val="en-AU"/>
        </w:rPr>
        <w:t>M&amp;E</w:t>
      </w:r>
      <w:r w:rsidR="00CC6319" w:rsidRPr="00BA23EC">
        <w:rPr>
          <w:rFonts w:cstheme="minorHAnsi"/>
          <w:sz w:val="21"/>
          <w:lang w:val="en-AU"/>
        </w:rPr>
        <w:t xml:space="preserve"> functions required to </w:t>
      </w:r>
      <w:r w:rsidR="008B0398" w:rsidRPr="00BA23EC">
        <w:rPr>
          <w:rFonts w:cstheme="minorHAnsi"/>
          <w:sz w:val="21"/>
          <w:lang w:val="en-AU"/>
        </w:rPr>
        <w:t>effectively meet</w:t>
      </w:r>
      <w:r w:rsidR="00CC6319" w:rsidRPr="00BA23EC">
        <w:rPr>
          <w:rFonts w:cstheme="minorHAnsi"/>
          <w:sz w:val="21"/>
          <w:lang w:val="en-AU"/>
        </w:rPr>
        <w:t xml:space="preserve"> DFAT’s requirements.</w:t>
      </w:r>
    </w:p>
    <w:p w14:paraId="50AA0BB2" w14:textId="48ADED69" w:rsidR="006F116F" w:rsidRPr="00BA23EC" w:rsidRDefault="00271FB6" w:rsidP="00271FB6">
      <w:pPr>
        <w:pStyle w:val="Heading2"/>
      </w:pPr>
      <w:bookmarkStart w:id="23" w:name="GenderDisabilityandOtherCrossCutting"/>
      <w:r>
        <w:lastRenderedPageBreak/>
        <w:t xml:space="preserve">G. </w:t>
      </w:r>
      <w:r w:rsidR="006F116F" w:rsidRPr="00BA23EC">
        <w:t>Gender, Disability and Other Cross Cutting Issues</w:t>
      </w:r>
    </w:p>
    <w:bookmarkEnd w:id="23"/>
    <w:p w14:paraId="7C3821E5" w14:textId="7874AAA1" w:rsidR="00B55112" w:rsidRDefault="008D518C" w:rsidP="00F81159">
      <w:pPr>
        <w:jc w:val="both"/>
        <w:rPr>
          <w:rFonts w:cstheme="minorHAnsi"/>
          <w:sz w:val="21"/>
          <w:lang w:val="en-AU"/>
        </w:rPr>
      </w:pPr>
      <w:r>
        <w:rPr>
          <w:rFonts w:cstheme="minorHAnsi"/>
          <w:sz w:val="21"/>
          <w:lang w:val="en-AU"/>
        </w:rPr>
        <w:t xml:space="preserve">Gender equality, disability inclusion and climate resilience </w:t>
      </w:r>
      <w:r w:rsidR="00C74D11">
        <w:rPr>
          <w:rFonts w:cstheme="minorHAnsi"/>
          <w:sz w:val="21"/>
          <w:lang w:val="en-AU"/>
        </w:rPr>
        <w:t xml:space="preserve">are reflected in the </w:t>
      </w:r>
      <w:proofErr w:type="spellStart"/>
      <w:r w:rsidR="00C74D11">
        <w:rPr>
          <w:rFonts w:cstheme="minorHAnsi"/>
          <w:sz w:val="21"/>
          <w:lang w:val="en-AU"/>
        </w:rPr>
        <w:t>ToC</w:t>
      </w:r>
      <w:proofErr w:type="spellEnd"/>
      <w:r w:rsidR="00C74D11">
        <w:rPr>
          <w:rFonts w:cstheme="minorHAnsi"/>
          <w:sz w:val="21"/>
          <w:lang w:val="en-AU"/>
        </w:rPr>
        <w:t xml:space="preserve"> </w:t>
      </w:r>
      <w:r w:rsidR="000B5EA2">
        <w:rPr>
          <w:rFonts w:cstheme="minorHAnsi"/>
          <w:sz w:val="21"/>
          <w:lang w:val="en-AU"/>
        </w:rPr>
        <w:t xml:space="preserve">as a stand-alone EOPO that </w:t>
      </w:r>
      <w:r w:rsidR="000D5CDB">
        <w:rPr>
          <w:rFonts w:cstheme="minorHAnsi"/>
          <w:sz w:val="21"/>
          <w:lang w:val="en-AU"/>
        </w:rPr>
        <w:t>focusses</w:t>
      </w:r>
      <w:r w:rsidR="00C55B5B">
        <w:rPr>
          <w:rFonts w:cstheme="minorHAnsi"/>
          <w:sz w:val="21"/>
          <w:lang w:val="en-AU"/>
        </w:rPr>
        <w:t xml:space="preserve"> attention on </w:t>
      </w:r>
      <w:r w:rsidR="00EB42C6" w:rsidRPr="00EB42C6">
        <w:rPr>
          <w:rFonts w:cstheme="minorHAnsi"/>
          <w:sz w:val="21"/>
          <w:lang w:val="en-AU"/>
        </w:rPr>
        <w:t xml:space="preserve">addressing </w:t>
      </w:r>
      <w:r w:rsidR="000D5CDB">
        <w:rPr>
          <w:rFonts w:cstheme="minorHAnsi"/>
          <w:sz w:val="21"/>
          <w:lang w:val="en-AU"/>
        </w:rPr>
        <w:t xml:space="preserve">the </w:t>
      </w:r>
      <w:r w:rsidR="00EB42C6" w:rsidRPr="00EB42C6">
        <w:rPr>
          <w:rFonts w:cstheme="minorHAnsi"/>
          <w:sz w:val="21"/>
          <w:lang w:val="en-AU"/>
        </w:rPr>
        <w:t>inequality f</w:t>
      </w:r>
      <w:r w:rsidR="00225D26">
        <w:rPr>
          <w:rFonts w:cstheme="minorHAnsi"/>
          <w:sz w:val="21"/>
          <w:lang w:val="en-AU"/>
        </w:rPr>
        <w:t xml:space="preserve">aced by </w:t>
      </w:r>
      <w:r w:rsidR="00EB42C6" w:rsidRPr="00EB42C6">
        <w:rPr>
          <w:rFonts w:cstheme="minorHAnsi"/>
          <w:sz w:val="21"/>
          <w:lang w:val="en-AU"/>
        </w:rPr>
        <w:t xml:space="preserve">women and girls, </w:t>
      </w:r>
      <w:r w:rsidR="00225D26">
        <w:rPr>
          <w:rFonts w:cstheme="minorHAnsi"/>
          <w:sz w:val="21"/>
          <w:lang w:val="en-AU"/>
        </w:rPr>
        <w:t xml:space="preserve">and </w:t>
      </w:r>
      <w:r w:rsidR="00EB42C6" w:rsidRPr="00EB42C6">
        <w:rPr>
          <w:rFonts w:cstheme="minorHAnsi"/>
          <w:sz w:val="21"/>
          <w:lang w:val="en-AU"/>
        </w:rPr>
        <w:t xml:space="preserve">people with disability and </w:t>
      </w:r>
      <w:r w:rsidR="00715468">
        <w:rPr>
          <w:rFonts w:cstheme="minorHAnsi"/>
          <w:sz w:val="21"/>
          <w:lang w:val="en-AU"/>
        </w:rPr>
        <w:t xml:space="preserve">the impacts of </w:t>
      </w:r>
      <w:r w:rsidR="00EB42C6" w:rsidRPr="00EB42C6">
        <w:rPr>
          <w:rFonts w:cstheme="minorHAnsi"/>
          <w:sz w:val="21"/>
          <w:lang w:val="en-AU"/>
        </w:rPr>
        <w:t xml:space="preserve">climate </w:t>
      </w:r>
      <w:r w:rsidR="00715468">
        <w:rPr>
          <w:rFonts w:cstheme="minorHAnsi"/>
          <w:sz w:val="21"/>
          <w:lang w:val="en-AU"/>
        </w:rPr>
        <w:t>change on the h</w:t>
      </w:r>
      <w:r w:rsidR="001704E1">
        <w:rPr>
          <w:rFonts w:cstheme="minorHAnsi"/>
          <w:sz w:val="21"/>
          <w:lang w:val="en-AU"/>
        </w:rPr>
        <w:t>ealth sector</w:t>
      </w:r>
      <w:r w:rsidR="00EB42C6" w:rsidRPr="00EB42C6">
        <w:rPr>
          <w:rFonts w:cstheme="minorHAnsi"/>
          <w:sz w:val="21"/>
          <w:lang w:val="en-AU"/>
        </w:rPr>
        <w:t>, as well as the intersectionality between these aspects</w:t>
      </w:r>
      <w:r w:rsidR="00206596">
        <w:rPr>
          <w:rFonts w:cstheme="minorHAnsi"/>
          <w:sz w:val="21"/>
          <w:lang w:val="en-AU"/>
        </w:rPr>
        <w:t>.</w:t>
      </w:r>
      <w:r w:rsidR="00DF1619">
        <w:rPr>
          <w:rFonts w:cstheme="minorHAnsi"/>
          <w:sz w:val="21"/>
          <w:lang w:val="en-AU"/>
        </w:rPr>
        <w:t xml:space="preserve"> These priorities will also be mainstreamed across all activities. </w:t>
      </w:r>
    </w:p>
    <w:p w14:paraId="4FB96D76" w14:textId="57A0B9CC" w:rsidR="00206596" w:rsidRDefault="00B55112" w:rsidP="00F81159">
      <w:pPr>
        <w:jc w:val="both"/>
        <w:rPr>
          <w:rFonts w:cstheme="minorHAnsi"/>
          <w:sz w:val="21"/>
          <w:lang w:val="en-AU"/>
        </w:rPr>
      </w:pPr>
      <w:r w:rsidRPr="001252BC">
        <w:rPr>
          <w:rFonts w:cstheme="minorHAnsi"/>
          <w:b/>
          <w:bCs/>
          <w:sz w:val="21"/>
          <w:szCs w:val="21"/>
          <w:lang w:val="en-AU"/>
        </w:rPr>
        <w:t>Integration of gender equality</w:t>
      </w:r>
      <w:r>
        <w:rPr>
          <w:rFonts w:cstheme="minorHAnsi"/>
          <w:sz w:val="21"/>
          <w:szCs w:val="21"/>
          <w:lang w:val="en-AU"/>
        </w:rPr>
        <w:t xml:space="preserve"> throughout implementation will be ensured through a </w:t>
      </w:r>
      <w:r w:rsidRPr="00BA23EC">
        <w:rPr>
          <w:rFonts w:cstheme="minorHAnsi"/>
          <w:sz w:val="21"/>
          <w:szCs w:val="21"/>
          <w:lang w:val="en-AU"/>
        </w:rPr>
        <w:t xml:space="preserve">dedicated gender expert embedded within the MDTF Secretariat </w:t>
      </w:r>
      <w:r>
        <w:rPr>
          <w:rFonts w:cstheme="minorHAnsi"/>
          <w:sz w:val="21"/>
          <w:szCs w:val="21"/>
          <w:lang w:val="en-AU"/>
        </w:rPr>
        <w:t xml:space="preserve">in MoH, development of a Gender Strategy, commissioning of targeted gender analytics and technical support, </w:t>
      </w:r>
      <w:r w:rsidRPr="00BA23EC">
        <w:rPr>
          <w:rFonts w:cstheme="minorHAnsi"/>
          <w:sz w:val="21"/>
          <w:szCs w:val="21"/>
          <w:lang w:val="en-AU"/>
        </w:rPr>
        <w:t xml:space="preserve">capacity building </w:t>
      </w:r>
      <w:r>
        <w:rPr>
          <w:rFonts w:cstheme="minorHAnsi"/>
          <w:sz w:val="21"/>
          <w:szCs w:val="21"/>
          <w:lang w:val="en-AU"/>
        </w:rPr>
        <w:t xml:space="preserve">of MoH across relevant MoH Directorate Generals in gender-sensitive policy development and programming, support from World Bank gender expertise and gender screening processes, as well as the strong alliance that DFAT will build with other like-minded international donors in addressing gender equality gaps. </w:t>
      </w:r>
    </w:p>
    <w:p w14:paraId="1E47CC46" w14:textId="03A3E0A4" w:rsidR="009A668B" w:rsidRPr="00BA23EC" w:rsidRDefault="00CB6F93" w:rsidP="00F81159">
      <w:pPr>
        <w:jc w:val="both"/>
        <w:rPr>
          <w:rFonts w:cstheme="minorHAnsi"/>
          <w:sz w:val="21"/>
          <w:lang w:val="en-AU"/>
        </w:rPr>
      </w:pPr>
      <w:r w:rsidRPr="00BA23EC">
        <w:rPr>
          <w:rFonts w:cstheme="minorHAnsi"/>
          <w:sz w:val="21"/>
          <w:lang w:val="en-AU"/>
        </w:rPr>
        <w:t xml:space="preserve">A key focus of the analytical work </w:t>
      </w:r>
      <w:r w:rsidR="005653DC" w:rsidRPr="00BA23EC">
        <w:rPr>
          <w:rFonts w:cstheme="minorHAnsi"/>
          <w:sz w:val="21"/>
          <w:lang w:val="en-AU"/>
        </w:rPr>
        <w:t xml:space="preserve">supported by the HT-MDTF </w:t>
      </w:r>
      <w:r w:rsidR="00ED4F6F" w:rsidRPr="00BA23EC">
        <w:rPr>
          <w:rFonts w:cstheme="minorHAnsi"/>
          <w:sz w:val="21"/>
          <w:lang w:val="en-AU"/>
        </w:rPr>
        <w:t xml:space="preserve">will be to address the </w:t>
      </w:r>
      <w:r w:rsidR="00335F7C" w:rsidRPr="00BA23EC">
        <w:rPr>
          <w:rFonts w:cstheme="minorHAnsi"/>
          <w:sz w:val="21"/>
          <w:lang w:val="en-AU"/>
        </w:rPr>
        <w:t xml:space="preserve">gaps in </w:t>
      </w:r>
      <w:r w:rsidR="00ED4F6F" w:rsidRPr="00BA23EC">
        <w:rPr>
          <w:rFonts w:cstheme="minorHAnsi"/>
          <w:sz w:val="21"/>
          <w:lang w:val="en-AU"/>
        </w:rPr>
        <w:t>access</w:t>
      </w:r>
      <w:r w:rsidR="001241B7" w:rsidRPr="00BA23EC">
        <w:rPr>
          <w:rFonts w:cstheme="minorHAnsi"/>
          <w:sz w:val="21"/>
          <w:lang w:val="en-AU"/>
        </w:rPr>
        <w:t>ibility</w:t>
      </w:r>
      <w:r w:rsidR="00335F7C" w:rsidRPr="00BA23EC">
        <w:rPr>
          <w:rFonts w:cstheme="minorHAnsi"/>
          <w:sz w:val="21"/>
          <w:lang w:val="en-AU"/>
        </w:rPr>
        <w:t xml:space="preserve"> </w:t>
      </w:r>
      <w:r w:rsidR="00A5765D" w:rsidRPr="00BA23EC">
        <w:rPr>
          <w:rFonts w:cstheme="minorHAnsi"/>
          <w:sz w:val="21"/>
          <w:lang w:val="en-AU"/>
        </w:rPr>
        <w:t>in</w:t>
      </w:r>
      <w:r w:rsidR="00ED4F6F" w:rsidRPr="00BA23EC">
        <w:rPr>
          <w:rFonts w:cstheme="minorHAnsi"/>
          <w:sz w:val="21"/>
          <w:lang w:val="en-AU"/>
        </w:rPr>
        <w:t xml:space="preserve"> quality healthcare for women and girls in Indonesia, particularly in remote regions. </w:t>
      </w:r>
      <w:r w:rsidR="00360069" w:rsidRPr="00BA23EC">
        <w:rPr>
          <w:rFonts w:cstheme="minorHAnsi"/>
          <w:sz w:val="21"/>
          <w:lang w:val="en-AU"/>
        </w:rPr>
        <w:t xml:space="preserve">With HT-MDTF contributions being used to primarily support measures </w:t>
      </w:r>
      <w:r w:rsidR="00B85FFB" w:rsidRPr="00BA23EC">
        <w:rPr>
          <w:rFonts w:cstheme="minorHAnsi"/>
          <w:sz w:val="21"/>
          <w:lang w:val="en-AU"/>
        </w:rPr>
        <w:t>that address shortfalls in</w:t>
      </w:r>
      <w:r w:rsidR="00360069" w:rsidRPr="00BA23EC">
        <w:rPr>
          <w:rFonts w:cstheme="minorHAnsi"/>
          <w:sz w:val="21"/>
          <w:lang w:val="en-AU"/>
        </w:rPr>
        <w:t xml:space="preserve"> primary care</w:t>
      </w:r>
      <w:r w:rsidR="00076F90" w:rsidRPr="00BA23EC">
        <w:rPr>
          <w:rFonts w:cstheme="minorHAnsi"/>
          <w:sz w:val="21"/>
          <w:lang w:val="en-AU"/>
        </w:rPr>
        <w:t xml:space="preserve">, technical assistance will be </w:t>
      </w:r>
      <w:r w:rsidR="00DA07DE" w:rsidRPr="00BA23EC">
        <w:rPr>
          <w:rFonts w:cstheme="minorHAnsi"/>
          <w:sz w:val="21"/>
          <w:lang w:val="en-AU"/>
        </w:rPr>
        <w:t xml:space="preserve">directly </w:t>
      </w:r>
      <w:r w:rsidR="00076F90" w:rsidRPr="00BA23EC">
        <w:rPr>
          <w:rFonts w:cstheme="minorHAnsi"/>
          <w:sz w:val="21"/>
          <w:lang w:val="en-AU"/>
        </w:rPr>
        <w:t xml:space="preserve">engaged </w:t>
      </w:r>
      <w:r w:rsidR="00B85FFB" w:rsidRPr="00BA23EC">
        <w:rPr>
          <w:rFonts w:cstheme="minorHAnsi"/>
          <w:sz w:val="21"/>
          <w:lang w:val="en-AU"/>
        </w:rPr>
        <w:t xml:space="preserve">on matters related to </w:t>
      </w:r>
      <w:r w:rsidR="00BF710E" w:rsidRPr="00BA23EC">
        <w:rPr>
          <w:rFonts w:cstheme="minorHAnsi"/>
          <w:sz w:val="21"/>
          <w:lang w:val="en-AU"/>
        </w:rPr>
        <w:t>women’s health including mater</w:t>
      </w:r>
      <w:r w:rsidR="004B42EC" w:rsidRPr="00BA23EC">
        <w:rPr>
          <w:rFonts w:cstheme="minorHAnsi"/>
          <w:sz w:val="21"/>
          <w:lang w:val="en-AU"/>
        </w:rPr>
        <w:t xml:space="preserve">nal health and sexual and reproductive health services. </w:t>
      </w:r>
      <w:r w:rsidR="00D81042" w:rsidRPr="00BA23EC">
        <w:rPr>
          <w:rFonts w:cstheme="minorHAnsi"/>
          <w:sz w:val="21"/>
          <w:lang w:val="en-AU"/>
        </w:rPr>
        <w:t xml:space="preserve">Likewise </w:t>
      </w:r>
      <w:r w:rsidR="006A37A1" w:rsidRPr="00BA23EC">
        <w:rPr>
          <w:rFonts w:cstheme="minorHAnsi"/>
          <w:sz w:val="21"/>
          <w:lang w:val="en-AU"/>
        </w:rPr>
        <w:t>support</w:t>
      </w:r>
      <w:r w:rsidR="00D81042" w:rsidRPr="00BA23EC">
        <w:rPr>
          <w:rFonts w:cstheme="minorHAnsi"/>
          <w:sz w:val="21"/>
          <w:lang w:val="en-AU"/>
        </w:rPr>
        <w:t xml:space="preserve"> to the health technology pillar, </w:t>
      </w:r>
      <w:r w:rsidR="0051686D" w:rsidRPr="00BA23EC">
        <w:rPr>
          <w:rFonts w:cstheme="minorHAnsi"/>
          <w:sz w:val="21"/>
          <w:lang w:val="en-AU"/>
        </w:rPr>
        <w:t xml:space="preserve">in particular </w:t>
      </w:r>
      <w:r w:rsidR="006A37A1" w:rsidRPr="00BA23EC">
        <w:rPr>
          <w:rFonts w:cstheme="minorHAnsi"/>
          <w:sz w:val="21"/>
          <w:lang w:val="en-AU"/>
        </w:rPr>
        <w:t xml:space="preserve">efforts to improve the </w:t>
      </w:r>
      <w:r w:rsidR="009A4C51" w:rsidRPr="00BA23EC">
        <w:rPr>
          <w:rFonts w:cstheme="minorHAnsi"/>
          <w:sz w:val="21"/>
          <w:lang w:val="en-AU"/>
        </w:rPr>
        <w:t xml:space="preserve">capture, use and harmonisation of health </w:t>
      </w:r>
      <w:r w:rsidR="00EC4125" w:rsidRPr="00BA23EC">
        <w:rPr>
          <w:rFonts w:cstheme="minorHAnsi"/>
          <w:sz w:val="21"/>
          <w:lang w:val="en-AU"/>
        </w:rPr>
        <w:t xml:space="preserve">disaggregated </w:t>
      </w:r>
      <w:r w:rsidR="009A4C51" w:rsidRPr="00BA23EC">
        <w:rPr>
          <w:rFonts w:cstheme="minorHAnsi"/>
          <w:sz w:val="21"/>
          <w:lang w:val="en-AU"/>
        </w:rPr>
        <w:t xml:space="preserve">data, </w:t>
      </w:r>
      <w:r w:rsidR="00C01378" w:rsidRPr="00BA23EC">
        <w:rPr>
          <w:rFonts w:cstheme="minorHAnsi"/>
          <w:sz w:val="21"/>
          <w:lang w:val="en-AU"/>
        </w:rPr>
        <w:t xml:space="preserve">will be aimed </w:t>
      </w:r>
      <w:r w:rsidR="009A668B" w:rsidRPr="00BA23EC">
        <w:rPr>
          <w:rFonts w:cstheme="minorHAnsi"/>
          <w:sz w:val="21"/>
          <w:lang w:val="en-AU"/>
        </w:rPr>
        <w:t xml:space="preserve">at delivering evidence-based policies and gender-informed programs. </w:t>
      </w:r>
    </w:p>
    <w:p w14:paraId="6D3FED66" w14:textId="756E5571" w:rsidR="00C43000" w:rsidRDefault="00FE150B" w:rsidP="009305CF">
      <w:pPr>
        <w:jc w:val="both"/>
        <w:rPr>
          <w:rFonts w:cstheme="minorHAnsi"/>
          <w:sz w:val="21"/>
          <w:lang w:val="en-AU"/>
        </w:rPr>
      </w:pPr>
      <w:r w:rsidRPr="00134F9E">
        <w:rPr>
          <w:rFonts w:cstheme="minorHAnsi"/>
          <w:sz w:val="21"/>
          <w:lang w:val="en-AU"/>
        </w:rPr>
        <w:t xml:space="preserve">The World Bank’s commitment </w:t>
      </w:r>
      <w:r>
        <w:rPr>
          <w:rFonts w:cstheme="minorHAnsi"/>
          <w:sz w:val="21"/>
          <w:lang w:val="en-AU"/>
        </w:rPr>
        <w:t xml:space="preserve">on gender </w:t>
      </w:r>
      <w:r w:rsidR="005006CF">
        <w:rPr>
          <w:rFonts w:cstheme="minorHAnsi"/>
          <w:sz w:val="21"/>
          <w:lang w:val="en-AU"/>
        </w:rPr>
        <w:t xml:space="preserve">equality and empowerment is articulated in the </w:t>
      </w:r>
      <w:r w:rsidR="005006CF" w:rsidRPr="00F420CF">
        <w:rPr>
          <w:rFonts w:cstheme="minorHAnsi"/>
          <w:i/>
          <w:iCs/>
          <w:sz w:val="21"/>
          <w:lang w:val="en-AU"/>
        </w:rPr>
        <w:t>Gender Strategy 2016-2023</w:t>
      </w:r>
      <w:r w:rsidR="006C34D8">
        <w:rPr>
          <w:rFonts w:cstheme="minorHAnsi"/>
          <w:i/>
          <w:iCs/>
          <w:sz w:val="21"/>
          <w:lang w:val="en-AU"/>
        </w:rPr>
        <w:t xml:space="preserve"> </w:t>
      </w:r>
      <w:r w:rsidR="006C34D8" w:rsidRPr="006C34D8">
        <w:rPr>
          <w:rFonts w:cstheme="minorHAnsi"/>
          <w:sz w:val="21"/>
          <w:lang w:val="en-AU"/>
        </w:rPr>
        <w:t>and</w:t>
      </w:r>
      <w:r w:rsidR="006C34D8">
        <w:rPr>
          <w:rFonts w:cstheme="minorHAnsi"/>
          <w:i/>
          <w:iCs/>
          <w:sz w:val="21"/>
          <w:lang w:val="en-AU"/>
        </w:rPr>
        <w:t xml:space="preserve"> </w:t>
      </w:r>
      <w:r w:rsidR="006C34D8" w:rsidRPr="001252BC">
        <w:rPr>
          <w:rFonts w:cstheme="minorHAnsi"/>
          <w:sz w:val="21"/>
          <w:lang w:val="en-AU"/>
        </w:rPr>
        <w:t>ESF</w:t>
      </w:r>
      <w:r w:rsidR="006C34D8">
        <w:rPr>
          <w:rFonts w:cstheme="minorHAnsi"/>
          <w:i/>
          <w:iCs/>
          <w:sz w:val="21"/>
          <w:lang w:val="en-AU"/>
        </w:rPr>
        <w:t xml:space="preserve">. </w:t>
      </w:r>
      <w:r w:rsidR="00F47F1E" w:rsidRPr="00BA23EC">
        <w:rPr>
          <w:rFonts w:cstheme="minorHAnsi"/>
          <w:sz w:val="21"/>
          <w:lang w:val="en-AU"/>
        </w:rPr>
        <w:t>The</w:t>
      </w:r>
      <w:r w:rsidR="009B595A" w:rsidRPr="00BA23EC">
        <w:rPr>
          <w:rFonts w:cstheme="minorHAnsi"/>
          <w:sz w:val="21"/>
          <w:lang w:val="en-AU"/>
        </w:rPr>
        <w:t xml:space="preserve"> World Bank Indonesia Country </w:t>
      </w:r>
      <w:r w:rsidR="00264CD6" w:rsidRPr="00BA23EC">
        <w:rPr>
          <w:rFonts w:cstheme="minorHAnsi"/>
          <w:sz w:val="21"/>
          <w:lang w:val="en-AU"/>
        </w:rPr>
        <w:t xml:space="preserve">Partnership Framework (2021-2025) </w:t>
      </w:r>
      <w:r w:rsidR="00DF23B6" w:rsidRPr="00BA23EC">
        <w:rPr>
          <w:rFonts w:cstheme="minorHAnsi"/>
          <w:sz w:val="21"/>
          <w:lang w:val="en-AU"/>
        </w:rPr>
        <w:t>prioritise</w:t>
      </w:r>
      <w:r w:rsidR="000242EA" w:rsidRPr="00BA23EC">
        <w:rPr>
          <w:rFonts w:cstheme="minorHAnsi"/>
          <w:sz w:val="21"/>
          <w:lang w:val="en-AU"/>
        </w:rPr>
        <w:t>s</w:t>
      </w:r>
      <w:r w:rsidR="00DF23B6" w:rsidRPr="00BA23EC">
        <w:rPr>
          <w:rFonts w:cstheme="minorHAnsi"/>
          <w:sz w:val="21"/>
          <w:lang w:val="en-AU"/>
        </w:rPr>
        <w:t xml:space="preserve"> </w:t>
      </w:r>
      <w:r w:rsidR="002D7E73" w:rsidRPr="00BA23EC">
        <w:rPr>
          <w:rFonts w:cstheme="minorHAnsi"/>
          <w:sz w:val="21"/>
          <w:lang w:val="en-AU"/>
        </w:rPr>
        <w:t xml:space="preserve">the mainstreaming of gender </w:t>
      </w:r>
      <w:r w:rsidR="00DF23B6" w:rsidRPr="00BA23EC">
        <w:rPr>
          <w:rFonts w:cstheme="minorHAnsi"/>
          <w:sz w:val="21"/>
          <w:lang w:val="en-AU"/>
        </w:rPr>
        <w:t>equity</w:t>
      </w:r>
      <w:r w:rsidR="002D7E73" w:rsidRPr="00BA23EC">
        <w:rPr>
          <w:rFonts w:cstheme="minorHAnsi"/>
          <w:sz w:val="21"/>
          <w:lang w:val="en-AU"/>
        </w:rPr>
        <w:t xml:space="preserve"> across all its operations to ensure the equal participation of women, men, </w:t>
      </w:r>
      <w:proofErr w:type="gramStart"/>
      <w:r w:rsidR="002D7E73" w:rsidRPr="00BA23EC">
        <w:rPr>
          <w:rFonts w:cstheme="minorHAnsi"/>
          <w:sz w:val="21"/>
          <w:lang w:val="en-AU"/>
        </w:rPr>
        <w:t>girls</w:t>
      </w:r>
      <w:proofErr w:type="gramEnd"/>
      <w:r w:rsidR="002D7E73" w:rsidRPr="00BA23EC">
        <w:rPr>
          <w:rFonts w:cstheme="minorHAnsi"/>
          <w:sz w:val="21"/>
          <w:lang w:val="en-AU"/>
        </w:rPr>
        <w:t xml:space="preserve"> and boys in all social, economic and political areas throughout the country</w:t>
      </w:r>
      <w:r w:rsidR="00DF23B6" w:rsidRPr="00BA23EC">
        <w:rPr>
          <w:rFonts w:cstheme="minorHAnsi"/>
          <w:sz w:val="21"/>
          <w:lang w:val="en-AU"/>
        </w:rPr>
        <w:t xml:space="preserve">. </w:t>
      </w:r>
      <w:r w:rsidR="003479E0" w:rsidRPr="00BA23EC">
        <w:rPr>
          <w:rFonts w:cstheme="minorHAnsi"/>
          <w:sz w:val="21"/>
          <w:lang w:val="en-AU"/>
        </w:rPr>
        <w:t>Th</w:t>
      </w:r>
      <w:r w:rsidR="000242EA" w:rsidRPr="00BA23EC">
        <w:rPr>
          <w:rFonts w:cstheme="minorHAnsi"/>
          <w:sz w:val="21"/>
          <w:lang w:val="en-AU"/>
        </w:rPr>
        <w:t xml:space="preserve">is will be facilitated </w:t>
      </w:r>
      <w:r w:rsidR="00157216" w:rsidRPr="00BA23EC">
        <w:rPr>
          <w:rFonts w:cstheme="minorHAnsi"/>
          <w:sz w:val="21"/>
          <w:lang w:val="en-AU"/>
        </w:rPr>
        <w:t>by the Bank</w:t>
      </w:r>
      <w:r w:rsidR="00F8485F">
        <w:rPr>
          <w:rFonts w:cstheme="minorHAnsi"/>
          <w:sz w:val="21"/>
          <w:lang w:val="en-AU"/>
        </w:rPr>
        <w:t>’s</w:t>
      </w:r>
      <w:r w:rsidR="00157216" w:rsidRPr="00BA23EC">
        <w:rPr>
          <w:rFonts w:cstheme="minorHAnsi"/>
          <w:sz w:val="21"/>
          <w:lang w:val="en-AU"/>
        </w:rPr>
        <w:t xml:space="preserve"> </w:t>
      </w:r>
      <w:r w:rsidR="00CC06F4" w:rsidRPr="00BA23EC">
        <w:rPr>
          <w:rFonts w:cstheme="minorHAnsi"/>
          <w:sz w:val="21"/>
          <w:lang w:val="en-AU"/>
        </w:rPr>
        <w:t xml:space="preserve">gender screening process that requires a gender analysis to be conducted for all </w:t>
      </w:r>
      <w:r w:rsidR="00157216" w:rsidRPr="00BA23EC">
        <w:rPr>
          <w:rFonts w:cstheme="minorHAnsi"/>
          <w:sz w:val="21"/>
          <w:lang w:val="en-AU"/>
        </w:rPr>
        <w:t xml:space="preserve">HT-MDTF </w:t>
      </w:r>
      <w:r w:rsidR="00CC06F4" w:rsidRPr="00BA23EC">
        <w:rPr>
          <w:rFonts w:cstheme="minorHAnsi"/>
          <w:sz w:val="21"/>
          <w:lang w:val="en-AU"/>
        </w:rPr>
        <w:t>activities</w:t>
      </w:r>
      <w:r w:rsidR="006B2E3D" w:rsidRPr="00BA23EC">
        <w:rPr>
          <w:rFonts w:cstheme="minorHAnsi"/>
          <w:sz w:val="21"/>
          <w:lang w:val="en-AU"/>
        </w:rPr>
        <w:t xml:space="preserve"> (</w:t>
      </w:r>
      <w:r w:rsidR="00F8485F">
        <w:rPr>
          <w:rFonts w:cstheme="minorHAnsi"/>
          <w:sz w:val="21"/>
          <w:lang w:val="en-AU"/>
        </w:rPr>
        <w:t xml:space="preserve">see the </w:t>
      </w:r>
      <w:r w:rsidR="008A6BDC" w:rsidRPr="00BA23EC">
        <w:rPr>
          <w:rFonts w:cstheme="minorHAnsi"/>
          <w:sz w:val="21"/>
          <w:lang w:val="en-AU"/>
        </w:rPr>
        <w:t xml:space="preserve">Gender Brief </w:t>
      </w:r>
      <w:r w:rsidR="00F8485F">
        <w:rPr>
          <w:rFonts w:cstheme="minorHAnsi"/>
          <w:sz w:val="21"/>
          <w:lang w:val="en-AU"/>
        </w:rPr>
        <w:t>at</w:t>
      </w:r>
      <w:r w:rsidR="008A6BDC" w:rsidRPr="00BA23EC">
        <w:rPr>
          <w:rFonts w:cstheme="minorHAnsi"/>
          <w:sz w:val="21"/>
          <w:lang w:val="en-AU"/>
        </w:rPr>
        <w:t xml:space="preserve"> Annex 1 of the </w:t>
      </w:r>
      <w:r w:rsidR="00F8485F" w:rsidRPr="00BA23EC">
        <w:rPr>
          <w:rFonts w:cstheme="minorHAnsi"/>
          <w:sz w:val="21"/>
          <w:lang w:val="en-AU"/>
        </w:rPr>
        <w:t>World Bank</w:t>
      </w:r>
      <w:r w:rsidR="00F8485F">
        <w:rPr>
          <w:rFonts w:cstheme="minorHAnsi"/>
          <w:sz w:val="21"/>
          <w:lang w:val="en-AU"/>
        </w:rPr>
        <w:t xml:space="preserve">’s </w:t>
      </w:r>
      <w:r w:rsidR="008A6BDC" w:rsidRPr="00BA23EC">
        <w:rPr>
          <w:rFonts w:cstheme="minorHAnsi"/>
          <w:sz w:val="21"/>
          <w:lang w:val="en-AU"/>
        </w:rPr>
        <w:t>Concept Note).</w:t>
      </w:r>
      <w:r w:rsidR="00D737F7" w:rsidRPr="00BA23EC">
        <w:rPr>
          <w:rFonts w:cstheme="minorHAnsi"/>
          <w:sz w:val="21"/>
          <w:lang w:val="en-AU"/>
        </w:rPr>
        <w:t xml:space="preserve"> A focal point for gender-related coordination </w:t>
      </w:r>
      <w:r w:rsidR="009305CF" w:rsidRPr="00BA23EC">
        <w:rPr>
          <w:rFonts w:cstheme="minorHAnsi"/>
          <w:sz w:val="21"/>
          <w:lang w:val="en-AU"/>
        </w:rPr>
        <w:t xml:space="preserve">will be situated </w:t>
      </w:r>
      <w:r w:rsidR="00D737F7" w:rsidRPr="00BA23EC">
        <w:rPr>
          <w:rFonts w:cstheme="minorHAnsi"/>
          <w:sz w:val="21"/>
          <w:lang w:val="en-AU"/>
        </w:rPr>
        <w:t>in the World Bank Health Task team and all activities will be reviewed by the Bank’s in-house gender expert team.</w:t>
      </w:r>
      <w:r w:rsidR="009305CF" w:rsidRPr="00BA23EC">
        <w:rPr>
          <w:rFonts w:cstheme="minorHAnsi"/>
          <w:sz w:val="21"/>
          <w:lang w:val="en-AU"/>
        </w:rPr>
        <w:t xml:space="preserve"> Likewise,</w:t>
      </w:r>
      <w:r w:rsidR="00F54220">
        <w:rPr>
          <w:rFonts w:cstheme="minorHAnsi"/>
          <w:sz w:val="21"/>
          <w:lang w:val="en-AU"/>
        </w:rPr>
        <w:t xml:space="preserve"> a</w:t>
      </w:r>
      <w:r w:rsidR="009305CF" w:rsidRPr="00BA23EC">
        <w:rPr>
          <w:rFonts w:cstheme="minorHAnsi"/>
          <w:sz w:val="21"/>
          <w:lang w:val="en-AU"/>
        </w:rPr>
        <w:t xml:space="preserve"> </w:t>
      </w:r>
      <w:r w:rsidR="00C43000" w:rsidRPr="00BA23EC">
        <w:rPr>
          <w:rFonts w:cstheme="minorHAnsi"/>
          <w:sz w:val="21"/>
          <w:lang w:val="en-AU"/>
        </w:rPr>
        <w:t xml:space="preserve">gender specialist </w:t>
      </w:r>
      <w:r w:rsidR="009305CF" w:rsidRPr="00BA23EC">
        <w:rPr>
          <w:rFonts w:cstheme="minorHAnsi"/>
          <w:sz w:val="21"/>
          <w:lang w:val="en-AU"/>
        </w:rPr>
        <w:t xml:space="preserve">will be embedded in the </w:t>
      </w:r>
      <w:r w:rsidR="00C43000" w:rsidRPr="00BA23EC">
        <w:rPr>
          <w:rFonts w:cstheme="minorHAnsi"/>
          <w:sz w:val="21"/>
          <w:lang w:val="en-AU"/>
        </w:rPr>
        <w:t xml:space="preserve">MDTF Secretariat </w:t>
      </w:r>
      <w:r w:rsidR="009305CF" w:rsidRPr="00BA23EC">
        <w:rPr>
          <w:rFonts w:cstheme="minorHAnsi"/>
          <w:sz w:val="21"/>
          <w:lang w:val="en-AU"/>
        </w:rPr>
        <w:t xml:space="preserve">and </w:t>
      </w:r>
      <w:r w:rsidR="00C43000" w:rsidRPr="00BA23EC">
        <w:rPr>
          <w:rFonts w:cstheme="minorHAnsi"/>
          <w:sz w:val="21"/>
          <w:lang w:val="en-AU"/>
        </w:rPr>
        <w:t xml:space="preserve">will be responsible for the development of a Gender Strategy, </w:t>
      </w:r>
      <w:r w:rsidR="000C54CD" w:rsidRPr="00BA23EC">
        <w:rPr>
          <w:rFonts w:cstheme="minorHAnsi"/>
          <w:sz w:val="21"/>
          <w:lang w:val="en-AU"/>
        </w:rPr>
        <w:t xml:space="preserve">ensuring </w:t>
      </w:r>
      <w:r w:rsidR="00B46431" w:rsidRPr="00BA23EC">
        <w:rPr>
          <w:rFonts w:cstheme="minorHAnsi"/>
          <w:sz w:val="21"/>
          <w:lang w:val="en-AU"/>
        </w:rPr>
        <w:t xml:space="preserve">all activities are informed by comprehensive gender analysis, </w:t>
      </w:r>
      <w:r w:rsidR="00F8485F">
        <w:rPr>
          <w:rFonts w:cstheme="minorHAnsi"/>
          <w:sz w:val="21"/>
          <w:lang w:val="en-AU"/>
        </w:rPr>
        <w:t>M&amp;E</w:t>
      </w:r>
      <w:r w:rsidR="002D33BC" w:rsidRPr="00BA23EC">
        <w:rPr>
          <w:rFonts w:cstheme="minorHAnsi"/>
          <w:sz w:val="21"/>
          <w:lang w:val="en-AU"/>
        </w:rPr>
        <w:t xml:space="preserve">, </w:t>
      </w:r>
      <w:r w:rsidR="00B46431" w:rsidRPr="00BA23EC">
        <w:rPr>
          <w:rFonts w:cstheme="minorHAnsi"/>
          <w:sz w:val="21"/>
          <w:lang w:val="en-AU"/>
        </w:rPr>
        <w:t xml:space="preserve">and building the capacity of MoH on gender equality issues. </w:t>
      </w:r>
    </w:p>
    <w:p w14:paraId="1AB8A24A" w14:textId="65A54496" w:rsidR="001F5942" w:rsidRDefault="00A67E23" w:rsidP="00FC7C9B">
      <w:pPr>
        <w:jc w:val="both"/>
        <w:rPr>
          <w:rFonts w:cstheme="minorHAnsi"/>
          <w:sz w:val="21"/>
          <w:lang w:val="en-AU"/>
        </w:rPr>
      </w:pPr>
      <w:r w:rsidRPr="00BA23EC">
        <w:rPr>
          <w:rFonts w:cstheme="minorHAnsi"/>
          <w:sz w:val="21"/>
          <w:lang w:val="en-AU"/>
        </w:rPr>
        <w:t xml:space="preserve">As detailed in the </w:t>
      </w:r>
      <w:r w:rsidR="00727809" w:rsidRPr="00BA23EC">
        <w:rPr>
          <w:rFonts w:cstheme="minorHAnsi"/>
          <w:sz w:val="21"/>
          <w:lang w:val="en-AU"/>
        </w:rPr>
        <w:t xml:space="preserve">Gender Brief at Annex 1 to the World Bank Concept </w:t>
      </w:r>
      <w:r w:rsidR="00F8485F">
        <w:rPr>
          <w:rFonts w:cstheme="minorHAnsi"/>
          <w:sz w:val="21"/>
          <w:lang w:val="en-AU"/>
        </w:rPr>
        <w:t>N</w:t>
      </w:r>
      <w:r w:rsidR="00727809" w:rsidRPr="00BA23EC">
        <w:rPr>
          <w:rFonts w:cstheme="minorHAnsi"/>
          <w:sz w:val="21"/>
          <w:lang w:val="en-AU"/>
        </w:rPr>
        <w:t xml:space="preserve">ote, </w:t>
      </w:r>
      <w:r w:rsidRPr="00BA23EC">
        <w:rPr>
          <w:rFonts w:cstheme="minorHAnsi"/>
          <w:sz w:val="21"/>
          <w:lang w:val="en-AU"/>
        </w:rPr>
        <w:t>this</w:t>
      </w:r>
      <w:r w:rsidR="0018615C" w:rsidRPr="00BA23EC">
        <w:rPr>
          <w:rFonts w:cstheme="minorHAnsi"/>
          <w:sz w:val="21"/>
          <w:lang w:val="en-AU"/>
        </w:rPr>
        <w:t xml:space="preserve"> partner-led design has been </w:t>
      </w:r>
      <w:r w:rsidRPr="00BA23EC">
        <w:rPr>
          <w:rFonts w:cstheme="minorHAnsi"/>
          <w:sz w:val="21"/>
          <w:lang w:val="en-AU"/>
        </w:rPr>
        <w:t>informed</w:t>
      </w:r>
      <w:r w:rsidR="0018615C" w:rsidRPr="00BA23EC">
        <w:rPr>
          <w:rFonts w:cstheme="minorHAnsi"/>
          <w:sz w:val="21"/>
          <w:lang w:val="en-AU"/>
        </w:rPr>
        <w:t xml:space="preserve"> by </w:t>
      </w:r>
      <w:r w:rsidR="00F24A19" w:rsidRPr="00BA23EC">
        <w:rPr>
          <w:rFonts w:cstheme="minorHAnsi"/>
          <w:sz w:val="21"/>
          <w:lang w:val="en-AU"/>
        </w:rPr>
        <w:t xml:space="preserve">World Bank </w:t>
      </w:r>
      <w:r w:rsidR="00A10C0B" w:rsidRPr="00BA23EC">
        <w:rPr>
          <w:rFonts w:cstheme="minorHAnsi"/>
          <w:sz w:val="21"/>
          <w:lang w:val="en-AU"/>
        </w:rPr>
        <w:t>evidence and data</w:t>
      </w:r>
      <w:r w:rsidR="00F24A19" w:rsidRPr="00BA23EC">
        <w:rPr>
          <w:rFonts w:cstheme="minorHAnsi"/>
          <w:sz w:val="21"/>
          <w:lang w:val="en-AU"/>
        </w:rPr>
        <w:t xml:space="preserve"> </w:t>
      </w:r>
      <w:r w:rsidR="00A10C0B" w:rsidRPr="00BA23EC">
        <w:rPr>
          <w:rFonts w:cstheme="minorHAnsi"/>
          <w:sz w:val="21"/>
          <w:lang w:val="en-AU"/>
        </w:rPr>
        <w:t>collated</w:t>
      </w:r>
      <w:r w:rsidR="00F24A19" w:rsidRPr="00BA23EC">
        <w:rPr>
          <w:rFonts w:cstheme="minorHAnsi"/>
          <w:sz w:val="21"/>
          <w:lang w:val="en-AU"/>
        </w:rPr>
        <w:t xml:space="preserve"> through its ongoing </w:t>
      </w:r>
      <w:r w:rsidR="00A10C0B" w:rsidRPr="00BA23EC">
        <w:rPr>
          <w:rFonts w:cstheme="minorHAnsi"/>
          <w:sz w:val="21"/>
          <w:lang w:val="en-AU"/>
        </w:rPr>
        <w:t xml:space="preserve">analytical </w:t>
      </w:r>
      <w:r w:rsidR="00F24A19" w:rsidRPr="00BA23EC">
        <w:rPr>
          <w:rFonts w:cstheme="minorHAnsi"/>
          <w:sz w:val="21"/>
          <w:lang w:val="en-AU"/>
        </w:rPr>
        <w:t xml:space="preserve">work supporting </w:t>
      </w:r>
      <w:r w:rsidR="00A10C0B" w:rsidRPr="00BA23EC">
        <w:rPr>
          <w:rFonts w:cstheme="minorHAnsi"/>
          <w:sz w:val="21"/>
          <w:lang w:val="en-AU"/>
        </w:rPr>
        <w:t>Indonesia’s</w:t>
      </w:r>
      <w:r w:rsidR="00125B7E" w:rsidRPr="00BA23EC">
        <w:rPr>
          <w:rFonts w:cstheme="minorHAnsi"/>
          <w:sz w:val="21"/>
          <w:lang w:val="en-AU"/>
        </w:rPr>
        <w:t xml:space="preserve"> progress towards </w:t>
      </w:r>
      <w:r w:rsidR="005C0C46" w:rsidRPr="00BA23EC">
        <w:rPr>
          <w:rFonts w:cstheme="minorHAnsi"/>
          <w:sz w:val="21"/>
          <w:lang w:val="en-AU"/>
        </w:rPr>
        <w:t xml:space="preserve">gender equality, including </w:t>
      </w:r>
      <w:r w:rsidR="00125B7E" w:rsidRPr="00BA23EC">
        <w:rPr>
          <w:rFonts w:cstheme="minorHAnsi"/>
          <w:sz w:val="21"/>
          <w:lang w:val="en-AU"/>
        </w:rPr>
        <w:t xml:space="preserve">health sector </w:t>
      </w:r>
      <w:r w:rsidR="00512178" w:rsidRPr="00BA23EC">
        <w:rPr>
          <w:rFonts w:cstheme="minorHAnsi"/>
          <w:sz w:val="21"/>
          <w:lang w:val="en-AU"/>
        </w:rPr>
        <w:t>operations</w:t>
      </w:r>
      <w:r w:rsidR="00A10C0B" w:rsidRPr="00BA23EC">
        <w:rPr>
          <w:rFonts w:cstheme="minorHAnsi"/>
          <w:sz w:val="21"/>
          <w:lang w:val="en-AU"/>
        </w:rPr>
        <w:t>.</w:t>
      </w:r>
      <w:r w:rsidR="000261A6" w:rsidRPr="00BA23EC">
        <w:rPr>
          <w:rFonts w:cstheme="minorHAnsi"/>
          <w:sz w:val="21"/>
          <w:lang w:val="en-AU"/>
        </w:rPr>
        <w:t xml:space="preserve"> This analysis</w:t>
      </w:r>
      <w:r w:rsidR="00512178" w:rsidRPr="00BA23EC">
        <w:rPr>
          <w:rFonts w:cstheme="minorHAnsi"/>
          <w:sz w:val="21"/>
          <w:lang w:val="en-AU"/>
        </w:rPr>
        <w:t>,</w:t>
      </w:r>
      <w:r w:rsidR="001E7656" w:rsidRPr="00BA23EC">
        <w:rPr>
          <w:rFonts w:cstheme="minorHAnsi"/>
          <w:sz w:val="21"/>
          <w:lang w:val="en-AU"/>
        </w:rPr>
        <w:t xml:space="preserve"> </w:t>
      </w:r>
      <w:r w:rsidR="00BD0C46" w:rsidRPr="00BA23EC">
        <w:rPr>
          <w:rFonts w:cstheme="minorHAnsi"/>
          <w:sz w:val="21"/>
          <w:lang w:val="en-AU"/>
        </w:rPr>
        <w:t xml:space="preserve">which </w:t>
      </w:r>
      <w:r w:rsidR="001E7656" w:rsidRPr="00BA23EC">
        <w:rPr>
          <w:rFonts w:cstheme="minorHAnsi"/>
          <w:sz w:val="21"/>
          <w:lang w:val="en-AU"/>
        </w:rPr>
        <w:t xml:space="preserve">forms part of </w:t>
      </w:r>
      <w:r w:rsidR="00BD0C46" w:rsidRPr="00BA23EC">
        <w:rPr>
          <w:rFonts w:cstheme="minorHAnsi"/>
          <w:sz w:val="21"/>
          <w:lang w:val="en-AU"/>
        </w:rPr>
        <w:t>a</w:t>
      </w:r>
      <w:r w:rsidR="001E7656" w:rsidRPr="00BA23EC">
        <w:rPr>
          <w:rFonts w:cstheme="minorHAnsi"/>
          <w:sz w:val="21"/>
          <w:lang w:val="en-AU"/>
        </w:rPr>
        <w:t xml:space="preserve"> large bo</w:t>
      </w:r>
      <w:r w:rsidR="00BD0C46" w:rsidRPr="00BA23EC">
        <w:rPr>
          <w:rFonts w:cstheme="minorHAnsi"/>
          <w:sz w:val="21"/>
          <w:lang w:val="en-AU"/>
        </w:rPr>
        <w:t>dy of evidence on gender gaps in primary care</w:t>
      </w:r>
      <w:r w:rsidR="00512178" w:rsidRPr="00BA23EC">
        <w:rPr>
          <w:rFonts w:cstheme="minorHAnsi"/>
          <w:sz w:val="21"/>
          <w:lang w:val="en-AU"/>
        </w:rPr>
        <w:t xml:space="preserve"> in Indonesia</w:t>
      </w:r>
      <w:r w:rsidR="00BD0C46" w:rsidRPr="00BA23EC">
        <w:rPr>
          <w:rFonts w:cstheme="minorHAnsi"/>
          <w:sz w:val="21"/>
          <w:lang w:val="en-AU"/>
        </w:rPr>
        <w:t xml:space="preserve">, </w:t>
      </w:r>
      <w:r w:rsidR="00571F18" w:rsidRPr="00BA23EC">
        <w:rPr>
          <w:rFonts w:cstheme="minorHAnsi"/>
          <w:sz w:val="21"/>
          <w:lang w:val="en-AU"/>
        </w:rPr>
        <w:t xml:space="preserve">validates the </w:t>
      </w:r>
      <w:r w:rsidR="00A753F3" w:rsidRPr="00BA23EC">
        <w:rPr>
          <w:rFonts w:cstheme="minorHAnsi"/>
          <w:sz w:val="21"/>
          <w:lang w:val="en-AU"/>
        </w:rPr>
        <w:t xml:space="preserve">focus of the MDTF </w:t>
      </w:r>
      <w:r w:rsidR="00167B01" w:rsidRPr="00BA23EC">
        <w:rPr>
          <w:rFonts w:cstheme="minorHAnsi"/>
          <w:sz w:val="21"/>
          <w:lang w:val="en-AU"/>
        </w:rPr>
        <w:t xml:space="preserve">to support the </w:t>
      </w:r>
      <w:r w:rsidR="009F154C" w:rsidRPr="00BA23EC">
        <w:rPr>
          <w:rFonts w:cstheme="minorHAnsi"/>
          <w:sz w:val="21"/>
          <w:lang w:val="en-AU"/>
        </w:rPr>
        <w:t>strengthen</w:t>
      </w:r>
      <w:r w:rsidR="00167B01" w:rsidRPr="00BA23EC">
        <w:rPr>
          <w:rFonts w:cstheme="minorHAnsi"/>
          <w:sz w:val="21"/>
          <w:lang w:val="en-AU"/>
        </w:rPr>
        <w:t>ing of</w:t>
      </w:r>
      <w:r w:rsidR="009F154C" w:rsidRPr="00BA23EC">
        <w:rPr>
          <w:rFonts w:cstheme="minorHAnsi"/>
          <w:sz w:val="21"/>
          <w:lang w:val="en-AU"/>
        </w:rPr>
        <w:t xml:space="preserve"> primary health care, particularly </w:t>
      </w:r>
      <w:r w:rsidR="00CA585C" w:rsidRPr="00BA23EC">
        <w:rPr>
          <w:rFonts w:cstheme="minorHAnsi"/>
          <w:sz w:val="21"/>
          <w:lang w:val="en-AU"/>
        </w:rPr>
        <w:t>to address</w:t>
      </w:r>
      <w:r w:rsidR="009F154C" w:rsidRPr="00BA23EC">
        <w:rPr>
          <w:rFonts w:cstheme="minorHAnsi"/>
          <w:sz w:val="21"/>
          <w:lang w:val="en-AU"/>
        </w:rPr>
        <w:t xml:space="preserve"> gender, socio-economic, </w:t>
      </w:r>
      <w:r w:rsidR="001F5942" w:rsidRPr="00BA23EC">
        <w:rPr>
          <w:rFonts w:cstheme="minorHAnsi"/>
          <w:sz w:val="21"/>
          <w:lang w:val="en-AU"/>
        </w:rPr>
        <w:t xml:space="preserve">and geographical </w:t>
      </w:r>
      <w:r w:rsidR="004A2D8C" w:rsidRPr="00BA23EC">
        <w:rPr>
          <w:rFonts w:cstheme="minorHAnsi"/>
          <w:sz w:val="21"/>
          <w:lang w:val="en-AU"/>
        </w:rPr>
        <w:t>inequalities</w:t>
      </w:r>
      <w:r w:rsidR="001F5942" w:rsidRPr="00BA23EC">
        <w:rPr>
          <w:rFonts w:cstheme="minorHAnsi"/>
          <w:sz w:val="21"/>
          <w:lang w:val="en-AU"/>
        </w:rPr>
        <w:t xml:space="preserve">. </w:t>
      </w:r>
    </w:p>
    <w:p w14:paraId="19E438B8" w14:textId="6A3DF8A2" w:rsidR="00797857" w:rsidRDefault="00B55112" w:rsidP="00420DF6">
      <w:pPr>
        <w:jc w:val="both"/>
        <w:rPr>
          <w:rFonts w:cstheme="minorHAnsi"/>
          <w:sz w:val="21"/>
          <w:lang w:val="en-AU"/>
        </w:rPr>
      </w:pPr>
      <w:r w:rsidRPr="001252BC">
        <w:rPr>
          <w:rFonts w:cstheme="minorHAnsi"/>
          <w:b/>
          <w:bCs/>
          <w:sz w:val="21"/>
          <w:lang w:val="en-AU"/>
        </w:rPr>
        <w:t xml:space="preserve">HT-MDTF analytics </w:t>
      </w:r>
      <w:r w:rsidR="00F05E26" w:rsidRPr="001252BC">
        <w:rPr>
          <w:rFonts w:cstheme="minorHAnsi"/>
          <w:b/>
          <w:bCs/>
          <w:sz w:val="21"/>
          <w:lang w:val="en-AU"/>
        </w:rPr>
        <w:t xml:space="preserve">will also consider </w:t>
      </w:r>
      <w:r w:rsidR="004E79FE" w:rsidRPr="001252BC">
        <w:rPr>
          <w:rFonts w:cstheme="minorHAnsi"/>
          <w:b/>
          <w:bCs/>
          <w:sz w:val="21"/>
          <w:lang w:val="en-AU"/>
        </w:rPr>
        <w:t xml:space="preserve">the </w:t>
      </w:r>
      <w:proofErr w:type="gramStart"/>
      <w:r w:rsidR="004E79FE" w:rsidRPr="001252BC">
        <w:rPr>
          <w:rFonts w:cstheme="minorHAnsi"/>
          <w:b/>
          <w:bCs/>
          <w:sz w:val="21"/>
          <w:lang w:val="en-AU"/>
        </w:rPr>
        <w:t>particular challenges</w:t>
      </w:r>
      <w:proofErr w:type="gramEnd"/>
      <w:r w:rsidR="004E79FE" w:rsidRPr="001252BC">
        <w:rPr>
          <w:rFonts w:cstheme="minorHAnsi"/>
          <w:b/>
          <w:bCs/>
          <w:sz w:val="21"/>
          <w:lang w:val="en-AU"/>
        </w:rPr>
        <w:t xml:space="preserve"> faced by people with disabilities</w:t>
      </w:r>
      <w:r w:rsidR="004E79FE" w:rsidRPr="00BA23EC">
        <w:rPr>
          <w:rFonts w:cstheme="minorHAnsi"/>
          <w:sz w:val="21"/>
          <w:lang w:val="en-AU"/>
        </w:rPr>
        <w:t xml:space="preserve"> in accessing quality health care services in Indonesia</w:t>
      </w:r>
      <w:r w:rsidR="00524E24" w:rsidRPr="00BA23EC">
        <w:rPr>
          <w:rFonts w:cstheme="minorHAnsi"/>
          <w:sz w:val="21"/>
          <w:lang w:val="en-AU"/>
        </w:rPr>
        <w:t>, including ensuring universal access to primary and secondary facilities, creating a health workforce focused on providing tailored care for people with disabilities, and that financing mechanisms are inclusive for all.</w:t>
      </w:r>
      <w:r w:rsidR="00B407EE" w:rsidRPr="00BA23EC">
        <w:rPr>
          <w:rFonts w:cstheme="minorHAnsi"/>
          <w:sz w:val="21"/>
          <w:lang w:val="en-AU"/>
        </w:rPr>
        <w:t xml:space="preserve"> </w:t>
      </w:r>
      <w:r w:rsidR="00DD450E">
        <w:rPr>
          <w:rFonts w:cstheme="minorHAnsi"/>
          <w:sz w:val="21"/>
          <w:lang w:val="en-AU"/>
        </w:rPr>
        <w:t xml:space="preserve">In addition, technical </w:t>
      </w:r>
      <w:r w:rsidR="006D70DF">
        <w:rPr>
          <w:rFonts w:cstheme="minorHAnsi"/>
          <w:sz w:val="21"/>
          <w:lang w:val="en-AU"/>
        </w:rPr>
        <w:t>advice</w:t>
      </w:r>
      <w:r w:rsidR="00DD450E">
        <w:rPr>
          <w:rFonts w:cstheme="minorHAnsi"/>
          <w:sz w:val="21"/>
          <w:lang w:val="en-AU"/>
        </w:rPr>
        <w:t xml:space="preserve"> </w:t>
      </w:r>
      <w:r w:rsidR="00C108B6">
        <w:rPr>
          <w:rFonts w:cstheme="minorHAnsi"/>
          <w:sz w:val="21"/>
          <w:lang w:val="en-AU"/>
        </w:rPr>
        <w:t xml:space="preserve">provided under the digitalisation pillar will facilitate </w:t>
      </w:r>
      <w:r w:rsidR="00E740F3">
        <w:rPr>
          <w:rFonts w:cstheme="minorHAnsi"/>
          <w:sz w:val="21"/>
          <w:lang w:val="en-AU"/>
        </w:rPr>
        <w:t>improved collection of the disability-</w:t>
      </w:r>
      <w:r w:rsidR="00C108B6" w:rsidRPr="00C108B6">
        <w:rPr>
          <w:rFonts w:cstheme="minorHAnsi"/>
          <w:sz w:val="21"/>
          <w:lang w:val="en-AU"/>
        </w:rPr>
        <w:t xml:space="preserve">disaggregated data </w:t>
      </w:r>
      <w:r w:rsidR="00E740F3">
        <w:rPr>
          <w:rFonts w:cstheme="minorHAnsi"/>
          <w:sz w:val="21"/>
          <w:lang w:val="en-AU"/>
        </w:rPr>
        <w:t xml:space="preserve">to support </w:t>
      </w:r>
      <w:r w:rsidR="006D70DF">
        <w:rPr>
          <w:rFonts w:cstheme="minorHAnsi"/>
          <w:sz w:val="21"/>
          <w:lang w:val="en-AU"/>
        </w:rPr>
        <w:t>disability-inclusive health program design</w:t>
      </w:r>
      <w:r w:rsidR="00816A39">
        <w:rPr>
          <w:rFonts w:cstheme="minorHAnsi"/>
          <w:sz w:val="21"/>
          <w:lang w:val="en-AU"/>
        </w:rPr>
        <w:t>.</w:t>
      </w:r>
    </w:p>
    <w:p w14:paraId="7EEA303B" w14:textId="7EE1D598" w:rsidR="007262F0" w:rsidRDefault="006D3F47" w:rsidP="00420DF6">
      <w:pPr>
        <w:jc w:val="both"/>
        <w:rPr>
          <w:rFonts w:cstheme="minorHAnsi"/>
          <w:sz w:val="21"/>
          <w:lang w:val="en-AU"/>
        </w:rPr>
      </w:pPr>
      <w:r w:rsidRPr="00134F9E">
        <w:rPr>
          <w:rFonts w:cstheme="minorHAnsi"/>
          <w:sz w:val="21"/>
          <w:lang w:val="en-AU"/>
        </w:rPr>
        <w:t>The World Bank’s commitment</w:t>
      </w:r>
      <w:r>
        <w:rPr>
          <w:rFonts w:cstheme="minorHAnsi"/>
          <w:sz w:val="21"/>
          <w:lang w:val="en-AU"/>
        </w:rPr>
        <w:t>s</w:t>
      </w:r>
      <w:r w:rsidRPr="00134F9E">
        <w:rPr>
          <w:rFonts w:cstheme="minorHAnsi"/>
          <w:sz w:val="21"/>
          <w:lang w:val="en-AU"/>
        </w:rPr>
        <w:t xml:space="preserve"> </w:t>
      </w:r>
      <w:r>
        <w:rPr>
          <w:rFonts w:cstheme="minorHAnsi"/>
          <w:sz w:val="21"/>
          <w:lang w:val="en-AU"/>
        </w:rPr>
        <w:t xml:space="preserve">on disability inclusion are articulated in the World Bank </w:t>
      </w:r>
      <w:r w:rsidRPr="00BB55F6">
        <w:rPr>
          <w:rFonts w:cstheme="minorHAnsi"/>
          <w:i/>
          <w:iCs/>
          <w:sz w:val="21"/>
          <w:lang w:val="en-AU"/>
        </w:rPr>
        <w:t>Disability Inclusion and Accountability Framework</w:t>
      </w:r>
      <w:r>
        <w:rPr>
          <w:rFonts w:cstheme="minorHAnsi"/>
          <w:i/>
          <w:iCs/>
          <w:sz w:val="21"/>
          <w:lang w:val="en-AU"/>
        </w:rPr>
        <w:t xml:space="preserve">. </w:t>
      </w:r>
      <w:r w:rsidR="00745BD1">
        <w:rPr>
          <w:rFonts w:cstheme="minorHAnsi"/>
          <w:sz w:val="21"/>
          <w:lang w:val="en-AU"/>
        </w:rPr>
        <w:t xml:space="preserve">Under its corporate priority on citizen engagement the World Bank notes </w:t>
      </w:r>
      <w:r w:rsidR="007262F0">
        <w:rPr>
          <w:rFonts w:cstheme="minorHAnsi"/>
          <w:sz w:val="21"/>
          <w:lang w:val="en-AU"/>
        </w:rPr>
        <w:t xml:space="preserve">the intention for all HT-MDTF activities to be informed </w:t>
      </w:r>
      <w:r>
        <w:rPr>
          <w:rFonts w:cstheme="minorHAnsi"/>
          <w:sz w:val="21"/>
          <w:lang w:val="en-AU"/>
        </w:rPr>
        <w:t xml:space="preserve">by feedback from </w:t>
      </w:r>
      <w:r w:rsidRPr="001252BC">
        <w:rPr>
          <w:rFonts w:cstheme="minorHAnsi"/>
          <w:sz w:val="21"/>
          <w:lang w:val="en-AU"/>
        </w:rPr>
        <w:t>program and project beneficiaries and civil society organizations such as organizations of persons with disabilities</w:t>
      </w:r>
      <w:r>
        <w:rPr>
          <w:rFonts w:cstheme="minorHAnsi"/>
          <w:sz w:val="21"/>
          <w:lang w:val="en-AU"/>
        </w:rPr>
        <w:t>.</w:t>
      </w:r>
    </w:p>
    <w:p w14:paraId="4C6718A9" w14:textId="4437AC4C" w:rsidR="008F2E5E" w:rsidRPr="00BA23EC" w:rsidRDefault="001D05FA" w:rsidP="00FC7C9B">
      <w:pPr>
        <w:jc w:val="both"/>
        <w:rPr>
          <w:rFonts w:cstheme="minorHAnsi"/>
          <w:sz w:val="21"/>
          <w:lang w:val="en-AU"/>
        </w:rPr>
      </w:pPr>
      <w:r w:rsidRPr="00BA23EC">
        <w:rPr>
          <w:rFonts w:cstheme="minorHAnsi"/>
          <w:sz w:val="21"/>
          <w:lang w:val="en-AU"/>
        </w:rPr>
        <w:t xml:space="preserve">In 2016, </w:t>
      </w:r>
      <w:proofErr w:type="spellStart"/>
      <w:r w:rsidRPr="00BA23EC">
        <w:rPr>
          <w:rFonts w:cstheme="minorHAnsi"/>
          <w:sz w:val="21"/>
          <w:lang w:val="en-AU"/>
        </w:rPr>
        <w:t>GoI</w:t>
      </w:r>
      <w:proofErr w:type="spellEnd"/>
      <w:r w:rsidRPr="00BA23EC">
        <w:rPr>
          <w:rFonts w:cstheme="minorHAnsi"/>
          <w:sz w:val="21"/>
          <w:lang w:val="en-AU"/>
        </w:rPr>
        <w:t xml:space="preserve"> passed </w:t>
      </w:r>
      <w:r w:rsidR="00262544" w:rsidRPr="00BA23EC">
        <w:rPr>
          <w:rFonts w:cstheme="minorHAnsi"/>
          <w:sz w:val="21"/>
          <w:lang w:val="en-AU"/>
        </w:rPr>
        <w:t xml:space="preserve">legislation providing a legal guarantee for disabled person’s right to </w:t>
      </w:r>
      <w:r w:rsidR="00524E24" w:rsidRPr="00BA23EC">
        <w:rPr>
          <w:rFonts w:cstheme="minorHAnsi"/>
          <w:sz w:val="21"/>
          <w:lang w:val="en-AU"/>
        </w:rPr>
        <w:t>accessibility and</w:t>
      </w:r>
      <w:r w:rsidR="00574192" w:rsidRPr="00BA23EC">
        <w:rPr>
          <w:rFonts w:cstheme="minorHAnsi"/>
          <w:sz w:val="21"/>
          <w:lang w:val="en-AU"/>
        </w:rPr>
        <w:t xml:space="preserve"> obligat</w:t>
      </w:r>
      <w:r w:rsidR="00524E24" w:rsidRPr="00BA23EC">
        <w:rPr>
          <w:rFonts w:cstheme="minorHAnsi"/>
          <w:sz w:val="21"/>
          <w:lang w:val="en-AU"/>
        </w:rPr>
        <w:t>ing</w:t>
      </w:r>
      <w:r w:rsidR="00574192" w:rsidRPr="00BA23EC">
        <w:rPr>
          <w:rFonts w:cstheme="minorHAnsi"/>
          <w:sz w:val="21"/>
          <w:lang w:val="en-AU"/>
        </w:rPr>
        <w:t xml:space="preserve"> the state at all levels to accommodate persons with disabilities.</w:t>
      </w:r>
      <w:r w:rsidR="00F629B6" w:rsidRPr="00BA23EC">
        <w:rPr>
          <w:rFonts w:cstheme="minorHAnsi"/>
          <w:sz w:val="21"/>
          <w:lang w:val="en-AU"/>
        </w:rPr>
        <w:t xml:space="preserve"> </w:t>
      </w:r>
      <w:r w:rsidR="00086BEF" w:rsidRPr="00BA23EC">
        <w:rPr>
          <w:rFonts w:cstheme="minorHAnsi"/>
          <w:sz w:val="21"/>
          <w:lang w:val="en-AU"/>
        </w:rPr>
        <w:t xml:space="preserve">Disability inclusion </w:t>
      </w:r>
      <w:r w:rsidR="00BB341C" w:rsidRPr="00BA23EC">
        <w:rPr>
          <w:rFonts w:cstheme="minorHAnsi"/>
          <w:sz w:val="21"/>
          <w:lang w:val="en-AU"/>
        </w:rPr>
        <w:t xml:space="preserve">is also a priority in the RJPMN (2020-2024). However, </w:t>
      </w:r>
      <w:r w:rsidR="00007699" w:rsidRPr="00BA23EC">
        <w:rPr>
          <w:rFonts w:cstheme="minorHAnsi"/>
          <w:sz w:val="21"/>
          <w:lang w:val="en-AU"/>
        </w:rPr>
        <w:t>implementation o</w:t>
      </w:r>
      <w:r w:rsidR="00524E24" w:rsidRPr="00BA23EC">
        <w:rPr>
          <w:rFonts w:cstheme="minorHAnsi"/>
          <w:sz w:val="21"/>
          <w:lang w:val="en-AU"/>
        </w:rPr>
        <w:t>f</w:t>
      </w:r>
      <w:r w:rsidR="00007699" w:rsidRPr="00BA23EC">
        <w:rPr>
          <w:rFonts w:cstheme="minorHAnsi"/>
          <w:sz w:val="21"/>
          <w:lang w:val="en-AU"/>
        </w:rPr>
        <w:t xml:space="preserve"> these laws is still limited impacting the </w:t>
      </w:r>
      <w:r w:rsidR="00C45D67" w:rsidRPr="00BA23EC">
        <w:rPr>
          <w:rFonts w:cstheme="minorHAnsi"/>
          <w:sz w:val="21"/>
          <w:lang w:val="en-AU"/>
        </w:rPr>
        <w:t xml:space="preserve">day-to-day lives of people with disabilities across Indonesia. </w:t>
      </w:r>
    </w:p>
    <w:p w14:paraId="784013F0" w14:textId="754E96F5" w:rsidR="008C1545" w:rsidRPr="00BA23EC" w:rsidRDefault="00376162" w:rsidP="008F3614">
      <w:pPr>
        <w:jc w:val="both"/>
        <w:rPr>
          <w:rFonts w:cstheme="minorHAnsi"/>
          <w:sz w:val="21"/>
          <w:lang w:val="en-AU"/>
        </w:rPr>
      </w:pPr>
      <w:r w:rsidRPr="00BA23EC">
        <w:rPr>
          <w:rFonts w:cstheme="minorHAnsi"/>
          <w:sz w:val="21"/>
          <w:lang w:val="en-AU"/>
        </w:rPr>
        <w:t>Indonesia</w:t>
      </w:r>
      <w:r w:rsidR="00041528" w:rsidRPr="00BA23EC">
        <w:rPr>
          <w:rFonts w:cstheme="minorHAnsi"/>
          <w:sz w:val="21"/>
          <w:lang w:val="en-AU"/>
        </w:rPr>
        <w:t xml:space="preserve">’s ranking of </w:t>
      </w:r>
      <w:r w:rsidR="009F792B" w:rsidRPr="00BA23EC">
        <w:rPr>
          <w:rFonts w:cstheme="minorHAnsi"/>
          <w:sz w:val="21"/>
          <w:lang w:val="en-AU"/>
        </w:rPr>
        <w:t xml:space="preserve">14th of </w:t>
      </w:r>
      <w:r w:rsidR="00F43844" w:rsidRPr="00BA23EC">
        <w:rPr>
          <w:rFonts w:cstheme="minorHAnsi"/>
          <w:sz w:val="21"/>
          <w:lang w:val="en-AU"/>
        </w:rPr>
        <w:t>181 countries on the Global Climate Risk Index</w:t>
      </w:r>
      <w:r w:rsidR="004C5104" w:rsidRPr="00BA23EC">
        <w:rPr>
          <w:rFonts w:cstheme="minorHAnsi"/>
          <w:sz w:val="21"/>
          <w:lang w:val="en-AU"/>
        </w:rPr>
        <w:t xml:space="preserve"> demonstrates the need to ensure that the </w:t>
      </w:r>
      <w:r w:rsidR="004C5104" w:rsidRPr="001252BC">
        <w:rPr>
          <w:rFonts w:cstheme="minorHAnsi"/>
          <w:b/>
          <w:bCs/>
          <w:sz w:val="21"/>
          <w:lang w:val="en-AU"/>
        </w:rPr>
        <w:t>impacts of climate change are considered and mitigated</w:t>
      </w:r>
      <w:r w:rsidR="00803FDE" w:rsidRPr="00BA23EC">
        <w:rPr>
          <w:rFonts w:cstheme="minorHAnsi"/>
          <w:sz w:val="21"/>
          <w:lang w:val="en-AU"/>
        </w:rPr>
        <w:t xml:space="preserve"> </w:t>
      </w:r>
      <w:r w:rsidR="005E033E" w:rsidRPr="00BA23EC">
        <w:rPr>
          <w:rFonts w:cstheme="minorHAnsi"/>
          <w:sz w:val="21"/>
          <w:lang w:val="en-AU"/>
        </w:rPr>
        <w:t xml:space="preserve">as a priority. </w:t>
      </w:r>
      <w:r w:rsidR="00B7408C" w:rsidRPr="00BA23EC">
        <w:rPr>
          <w:rFonts w:cstheme="minorHAnsi"/>
          <w:sz w:val="21"/>
          <w:lang w:val="en-AU"/>
        </w:rPr>
        <w:t>In response to</w:t>
      </w:r>
      <w:r w:rsidR="003E4543" w:rsidRPr="00BA23EC">
        <w:rPr>
          <w:rFonts w:cstheme="minorHAnsi"/>
          <w:sz w:val="21"/>
          <w:lang w:val="en-AU"/>
        </w:rPr>
        <w:t xml:space="preserve"> the se</w:t>
      </w:r>
      <w:r w:rsidR="007673B4" w:rsidRPr="00BA23EC">
        <w:rPr>
          <w:rFonts w:cstheme="minorHAnsi"/>
          <w:sz w:val="21"/>
          <w:lang w:val="en-AU"/>
        </w:rPr>
        <w:t xml:space="preserve">vere health and socio-economic impacts of disaster events being </w:t>
      </w:r>
      <w:r w:rsidR="00B7408C" w:rsidRPr="00BA23EC">
        <w:rPr>
          <w:rFonts w:cstheme="minorHAnsi"/>
          <w:sz w:val="21"/>
          <w:lang w:val="en-AU"/>
        </w:rPr>
        <w:t xml:space="preserve">increasingly felt due to </w:t>
      </w:r>
      <w:r w:rsidR="007673B4" w:rsidRPr="00BA23EC">
        <w:rPr>
          <w:rFonts w:cstheme="minorHAnsi"/>
          <w:sz w:val="21"/>
          <w:lang w:val="en-AU"/>
        </w:rPr>
        <w:t>increased frequency and intensity of climate-induced disasters</w:t>
      </w:r>
      <w:r w:rsidR="00B7408C" w:rsidRPr="00BA23EC">
        <w:rPr>
          <w:rFonts w:cstheme="minorHAnsi"/>
          <w:sz w:val="21"/>
          <w:lang w:val="en-AU"/>
        </w:rPr>
        <w:t>, Indonesia, along with 50 other countri</w:t>
      </w:r>
      <w:r w:rsidR="00EF773C" w:rsidRPr="00BA23EC">
        <w:rPr>
          <w:rFonts w:cstheme="minorHAnsi"/>
          <w:sz w:val="21"/>
          <w:lang w:val="en-AU"/>
        </w:rPr>
        <w:t xml:space="preserve">es committed to develop a climate responsive health system at the </w:t>
      </w:r>
      <w:r w:rsidR="00011A9C" w:rsidRPr="00BA23EC">
        <w:rPr>
          <w:rFonts w:cstheme="minorHAnsi"/>
          <w:sz w:val="21"/>
          <w:lang w:val="en-AU"/>
        </w:rPr>
        <w:t>United Nations Climate Change Conference in Glasgow (COP26) Health Program.</w:t>
      </w:r>
      <w:r w:rsidR="00FC1532" w:rsidRPr="00BA23EC">
        <w:rPr>
          <w:rFonts w:cstheme="minorHAnsi"/>
          <w:sz w:val="21"/>
          <w:lang w:val="en-AU"/>
        </w:rPr>
        <w:t xml:space="preserve"> </w:t>
      </w:r>
    </w:p>
    <w:p w14:paraId="34CB121B" w14:textId="4A95790D" w:rsidR="00284B78" w:rsidRPr="00BA23EC" w:rsidRDefault="007B7D9E" w:rsidP="008F3614">
      <w:pPr>
        <w:jc w:val="both"/>
        <w:rPr>
          <w:rFonts w:cstheme="minorHAnsi"/>
          <w:sz w:val="21"/>
          <w:lang w:val="en-AU"/>
        </w:rPr>
      </w:pPr>
      <w:r w:rsidRPr="00BA23EC">
        <w:rPr>
          <w:rFonts w:cstheme="minorHAnsi"/>
          <w:sz w:val="21"/>
          <w:lang w:val="en-AU"/>
        </w:rPr>
        <w:lastRenderedPageBreak/>
        <w:t xml:space="preserve">The World Bank Group’s </w:t>
      </w:r>
      <w:r w:rsidRPr="00BA23EC">
        <w:rPr>
          <w:rFonts w:cstheme="minorHAnsi"/>
          <w:i/>
          <w:iCs/>
          <w:sz w:val="21"/>
          <w:lang w:val="en-AU"/>
        </w:rPr>
        <w:t>Action Plan on Climate Change Adaptation and Resilience</w:t>
      </w:r>
      <w:r w:rsidRPr="00BA23EC">
        <w:rPr>
          <w:rFonts w:cstheme="minorHAnsi"/>
          <w:sz w:val="21"/>
          <w:lang w:val="en-AU"/>
        </w:rPr>
        <w:t xml:space="preserve"> includes </w:t>
      </w:r>
      <w:r w:rsidR="00393091" w:rsidRPr="00BA23EC">
        <w:rPr>
          <w:rFonts w:cstheme="minorHAnsi"/>
          <w:sz w:val="21"/>
          <w:lang w:val="en-AU"/>
        </w:rPr>
        <w:t xml:space="preserve">an objective to drive a mainstreamed, whole-of-government programmatic approach </w:t>
      </w:r>
      <w:r w:rsidR="00C23EF2" w:rsidRPr="00BA23EC">
        <w:rPr>
          <w:rFonts w:cstheme="minorHAnsi"/>
          <w:sz w:val="21"/>
          <w:lang w:val="en-AU"/>
        </w:rPr>
        <w:t xml:space="preserve">that integrates climate risks and opportunities at every level of policy planning, investment design, </w:t>
      </w:r>
      <w:proofErr w:type="gramStart"/>
      <w:r w:rsidR="00242C6D" w:rsidRPr="00BA23EC">
        <w:rPr>
          <w:rFonts w:cstheme="minorHAnsi"/>
          <w:sz w:val="21"/>
          <w:lang w:val="en-AU"/>
        </w:rPr>
        <w:t>implementation</w:t>
      </w:r>
      <w:proofErr w:type="gramEnd"/>
      <w:r w:rsidR="00242C6D" w:rsidRPr="00BA23EC">
        <w:rPr>
          <w:rFonts w:cstheme="minorHAnsi"/>
          <w:sz w:val="21"/>
          <w:lang w:val="en-AU"/>
        </w:rPr>
        <w:t xml:space="preserve"> and evaluations, across all </w:t>
      </w:r>
      <w:r w:rsidR="00D01E00" w:rsidRPr="00BA23EC">
        <w:rPr>
          <w:rFonts w:cstheme="minorHAnsi"/>
          <w:sz w:val="21"/>
          <w:lang w:val="en-AU"/>
        </w:rPr>
        <w:t xml:space="preserve">sectors. </w:t>
      </w:r>
      <w:r w:rsidR="00242C6D" w:rsidRPr="00BA23EC">
        <w:rPr>
          <w:rFonts w:cstheme="minorHAnsi"/>
          <w:sz w:val="21"/>
          <w:lang w:val="en-AU"/>
        </w:rPr>
        <w:t xml:space="preserve"> </w:t>
      </w:r>
    </w:p>
    <w:p w14:paraId="5B293424" w14:textId="3BE7672A" w:rsidR="008F3614" w:rsidRPr="00BA23EC" w:rsidRDefault="00560EAA" w:rsidP="008F3614">
      <w:pPr>
        <w:jc w:val="both"/>
        <w:rPr>
          <w:rFonts w:cstheme="minorHAnsi"/>
          <w:sz w:val="21"/>
          <w:lang w:val="en-AU"/>
        </w:rPr>
      </w:pPr>
      <w:r w:rsidRPr="00BA23EC">
        <w:rPr>
          <w:rFonts w:cstheme="minorHAnsi"/>
          <w:sz w:val="21"/>
          <w:lang w:val="en-AU"/>
        </w:rPr>
        <w:t xml:space="preserve">In line with DFAT’s </w:t>
      </w:r>
      <w:r w:rsidRPr="00BA23EC">
        <w:rPr>
          <w:rFonts w:cstheme="minorHAnsi"/>
          <w:i/>
          <w:iCs/>
          <w:sz w:val="21"/>
          <w:lang w:val="en-AU"/>
        </w:rPr>
        <w:t>Climate Action Strategy</w:t>
      </w:r>
      <w:r w:rsidR="00881DDE" w:rsidRPr="00BA23EC">
        <w:rPr>
          <w:rFonts w:cstheme="minorHAnsi"/>
          <w:sz w:val="21"/>
          <w:lang w:val="en-AU"/>
        </w:rPr>
        <w:t xml:space="preserve">, </w:t>
      </w:r>
      <w:r w:rsidRPr="00BA23EC">
        <w:rPr>
          <w:rFonts w:cstheme="minorHAnsi"/>
          <w:sz w:val="21"/>
          <w:lang w:val="en-AU"/>
        </w:rPr>
        <w:t>HT-</w:t>
      </w:r>
      <w:r w:rsidR="008F3614" w:rsidRPr="00BA23EC">
        <w:rPr>
          <w:rFonts w:cstheme="minorHAnsi"/>
          <w:sz w:val="21"/>
          <w:lang w:val="en-AU"/>
        </w:rPr>
        <w:t xml:space="preserve">MDTF analytical and technical advice </w:t>
      </w:r>
      <w:r w:rsidR="007A5650" w:rsidRPr="00BA23EC">
        <w:rPr>
          <w:rFonts w:cstheme="minorHAnsi"/>
          <w:sz w:val="21"/>
          <w:lang w:val="en-AU"/>
        </w:rPr>
        <w:t xml:space="preserve">will contribute to </w:t>
      </w:r>
      <w:r w:rsidR="008F3614" w:rsidRPr="00BA23EC">
        <w:rPr>
          <w:rFonts w:cstheme="minorHAnsi"/>
          <w:sz w:val="21"/>
          <w:lang w:val="en-AU"/>
        </w:rPr>
        <w:t xml:space="preserve">Indonesia’s aim to build a climate-resilient and responsive health system, including </w:t>
      </w:r>
      <w:r w:rsidR="00717232" w:rsidRPr="00BA23EC">
        <w:rPr>
          <w:rFonts w:cstheme="minorHAnsi"/>
          <w:sz w:val="21"/>
          <w:lang w:val="en-AU"/>
        </w:rPr>
        <w:t xml:space="preserve">mitigation and adaptation strategies </w:t>
      </w:r>
      <w:r w:rsidR="00C54908" w:rsidRPr="00BA23EC">
        <w:rPr>
          <w:rFonts w:cstheme="minorHAnsi"/>
          <w:sz w:val="21"/>
          <w:lang w:val="en-AU"/>
        </w:rPr>
        <w:t>to be</w:t>
      </w:r>
      <w:r w:rsidR="00717232" w:rsidRPr="00BA23EC">
        <w:rPr>
          <w:rFonts w:cstheme="minorHAnsi"/>
          <w:sz w:val="21"/>
          <w:lang w:val="en-AU"/>
        </w:rPr>
        <w:t xml:space="preserve"> implemented across the six pillars of the Health System Transformation Agenda. </w:t>
      </w:r>
      <w:r w:rsidR="0085597B" w:rsidRPr="00BA23EC">
        <w:rPr>
          <w:rFonts w:cstheme="minorHAnsi"/>
          <w:sz w:val="21"/>
          <w:lang w:val="en-AU"/>
        </w:rPr>
        <w:t xml:space="preserve">This support may </w:t>
      </w:r>
      <w:r w:rsidR="00016944" w:rsidRPr="00BA23EC">
        <w:rPr>
          <w:rFonts w:cstheme="minorHAnsi"/>
          <w:sz w:val="21"/>
          <w:lang w:val="en-AU"/>
        </w:rPr>
        <w:t>include</w:t>
      </w:r>
      <w:r w:rsidR="001430E3" w:rsidRPr="00BA23EC">
        <w:rPr>
          <w:rFonts w:cstheme="minorHAnsi"/>
          <w:sz w:val="21"/>
          <w:lang w:val="en-AU"/>
        </w:rPr>
        <w:t>, but not be limited to,</w:t>
      </w:r>
      <w:r w:rsidR="0085597B" w:rsidRPr="00BA23EC">
        <w:rPr>
          <w:rFonts w:cstheme="minorHAnsi"/>
          <w:sz w:val="21"/>
          <w:lang w:val="en-AU"/>
        </w:rPr>
        <w:t xml:space="preserve"> </w:t>
      </w:r>
      <w:r w:rsidR="00697528" w:rsidRPr="00BA23EC">
        <w:rPr>
          <w:rFonts w:cstheme="minorHAnsi"/>
          <w:sz w:val="21"/>
          <w:lang w:val="en-AU"/>
        </w:rPr>
        <w:t>technical</w:t>
      </w:r>
      <w:r w:rsidR="0085597B" w:rsidRPr="00BA23EC">
        <w:rPr>
          <w:rFonts w:cstheme="minorHAnsi"/>
          <w:sz w:val="21"/>
          <w:lang w:val="en-AU"/>
        </w:rPr>
        <w:t xml:space="preserve"> </w:t>
      </w:r>
      <w:r w:rsidR="00BD2236" w:rsidRPr="00BA23EC">
        <w:rPr>
          <w:rFonts w:cstheme="minorHAnsi"/>
          <w:sz w:val="21"/>
          <w:lang w:val="en-AU"/>
        </w:rPr>
        <w:t xml:space="preserve">support </w:t>
      </w:r>
      <w:r w:rsidR="00635019">
        <w:rPr>
          <w:rFonts w:cstheme="minorHAnsi"/>
          <w:sz w:val="21"/>
          <w:lang w:val="en-AU"/>
        </w:rPr>
        <w:t xml:space="preserve">and analytics </w:t>
      </w:r>
      <w:r w:rsidR="003D4C71">
        <w:rPr>
          <w:rFonts w:cstheme="minorHAnsi"/>
          <w:sz w:val="21"/>
          <w:lang w:val="en-AU"/>
        </w:rPr>
        <w:t>on</w:t>
      </w:r>
      <w:r w:rsidR="0085597B" w:rsidRPr="00BA23EC">
        <w:rPr>
          <w:rFonts w:cstheme="minorHAnsi"/>
          <w:sz w:val="21"/>
          <w:lang w:val="en-AU"/>
        </w:rPr>
        <w:t>:</w:t>
      </w:r>
    </w:p>
    <w:p w14:paraId="22BE9A32" w14:textId="616D0A79" w:rsidR="009B1A64" w:rsidRDefault="009B1A64" w:rsidP="009B1A64">
      <w:pPr>
        <w:pStyle w:val="ListParagraph"/>
        <w:numPr>
          <w:ilvl w:val="0"/>
          <w:numId w:val="47"/>
        </w:numPr>
        <w:jc w:val="both"/>
        <w:rPr>
          <w:rFonts w:cstheme="minorHAnsi"/>
          <w:sz w:val="21"/>
          <w:lang w:val="en-AU"/>
        </w:rPr>
      </w:pPr>
      <w:r>
        <w:rPr>
          <w:rFonts w:cstheme="minorHAnsi"/>
          <w:sz w:val="21"/>
          <w:lang w:val="en-AU"/>
        </w:rPr>
        <w:t>Impacts of severe climate events on health systems</w:t>
      </w:r>
    </w:p>
    <w:p w14:paraId="0B4ED26F" w14:textId="39B31B76" w:rsidR="00F75E13" w:rsidRPr="00BA23EC" w:rsidRDefault="009B1A64">
      <w:pPr>
        <w:pStyle w:val="ListParagraph"/>
        <w:numPr>
          <w:ilvl w:val="0"/>
          <w:numId w:val="47"/>
        </w:numPr>
        <w:jc w:val="both"/>
        <w:rPr>
          <w:rFonts w:cstheme="minorHAnsi"/>
          <w:sz w:val="21"/>
          <w:lang w:val="en-AU"/>
        </w:rPr>
      </w:pPr>
      <w:r>
        <w:rPr>
          <w:rFonts w:cstheme="minorHAnsi"/>
          <w:sz w:val="21"/>
          <w:lang w:val="en-AU"/>
        </w:rPr>
        <w:t>B</w:t>
      </w:r>
      <w:r w:rsidR="001B6020" w:rsidRPr="00BA23EC">
        <w:rPr>
          <w:rFonts w:cstheme="minorHAnsi"/>
          <w:sz w:val="21"/>
          <w:lang w:val="en-AU"/>
        </w:rPr>
        <w:t>uilding robust, resilient, and adaptive primary and secondary care system</w:t>
      </w:r>
      <w:r w:rsidR="003D4C71">
        <w:rPr>
          <w:rFonts w:cstheme="minorHAnsi"/>
          <w:sz w:val="21"/>
          <w:lang w:val="en-AU"/>
        </w:rPr>
        <w:t>s</w:t>
      </w:r>
      <w:r w:rsidR="007218FD" w:rsidRPr="00BA23EC">
        <w:rPr>
          <w:rFonts w:cstheme="minorHAnsi"/>
          <w:sz w:val="21"/>
          <w:lang w:val="en-AU"/>
        </w:rPr>
        <w:t xml:space="preserve"> that are available and continue to function before, during, and after a disaster event</w:t>
      </w:r>
      <w:r w:rsidR="00064E44" w:rsidRPr="00BA23EC">
        <w:rPr>
          <w:rFonts w:cstheme="minorHAnsi"/>
          <w:sz w:val="21"/>
          <w:lang w:val="en-AU"/>
        </w:rPr>
        <w:t>, including through d</w:t>
      </w:r>
      <w:r w:rsidR="00BF3048" w:rsidRPr="00BA23EC">
        <w:rPr>
          <w:rFonts w:cstheme="minorHAnsi"/>
          <w:sz w:val="21"/>
          <w:lang w:val="en-AU"/>
        </w:rPr>
        <w:t>igital and i</w:t>
      </w:r>
      <w:r w:rsidR="007218FD" w:rsidRPr="00BA23EC">
        <w:rPr>
          <w:rFonts w:cstheme="minorHAnsi"/>
          <w:sz w:val="21"/>
          <w:lang w:val="en-AU"/>
        </w:rPr>
        <w:t xml:space="preserve">nformation </w:t>
      </w:r>
      <w:proofErr w:type="gramStart"/>
      <w:r w:rsidR="00BF3048" w:rsidRPr="00BA23EC">
        <w:rPr>
          <w:rFonts w:cstheme="minorHAnsi"/>
          <w:sz w:val="21"/>
          <w:lang w:val="en-AU"/>
        </w:rPr>
        <w:t>technology</w:t>
      </w:r>
      <w:proofErr w:type="gramEnd"/>
    </w:p>
    <w:p w14:paraId="67F402C2" w14:textId="34AB877A" w:rsidR="005561F9" w:rsidRDefault="009B1A64" w:rsidP="00BD2236">
      <w:pPr>
        <w:pStyle w:val="ListParagraph"/>
        <w:numPr>
          <w:ilvl w:val="0"/>
          <w:numId w:val="47"/>
        </w:numPr>
        <w:jc w:val="both"/>
        <w:rPr>
          <w:rFonts w:cstheme="minorHAnsi"/>
          <w:sz w:val="21"/>
          <w:lang w:val="en-AU"/>
        </w:rPr>
      </w:pPr>
      <w:r>
        <w:rPr>
          <w:rFonts w:cstheme="minorHAnsi"/>
          <w:sz w:val="21"/>
          <w:lang w:val="en-AU"/>
        </w:rPr>
        <w:t>E</w:t>
      </w:r>
      <w:r w:rsidR="005561F9" w:rsidRPr="00BA23EC">
        <w:rPr>
          <w:rFonts w:cstheme="minorHAnsi"/>
          <w:sz w:val="21"/>
          <w:lang w:val="en-AU"/>
        </w:rPr>
        <w:t>nergy-efficiency of health infrastructur</w:t>
      </w:r>
      <w:r w:rsidR="009753F3" w:rsidRPr="00BA23EC">
        <w:rPr>
          <w:rFonts w:cstheme="minorHAnsi"/>
          <w:sz w:val="21"/>
          <w:lang w:val="en-AU"/>
        </w:rPr>
        <w:t>e</w:t>
      </w:r>
    </w:p>
    <w:p w14:paraId="73F97D52" w14:textId="3EF709BB" w:rsidR="00B55112" w:rsidRDefault="00B55112" w:rsidP="00B55112">
      <w:pPr>
        <w:pStyle w:val="BodyText"/>
        <w:jc w:val="both"/>
        <w:rPr>
          <w:rFonts w:cstheme="minorHAnsi"/>
          <w:sz w:val="21"/>
          <w:szCs w:val="21"/>
          <w:lang w:val="en-AU"/>
        </w:rPr>
      </w:pPr>
      <w:r>
        <w:rPr>
          <w:rFonts w:cstheme="minorHAnsi"/>
          <w:sz w:val="21"/>
          <w:szCs w:val="21"/>
          <w:lang w:val="en-AU"/>
        </w:rPr>
        <w:t xml:space="preserve">Further consideration of how </w:t>
      </w:r>
      <w:r w:rsidRPr="000C6A66">
        <w:rPr>
          <w:rFonts w:cstheme="minorHAnsi"/>
          <w:sz w:val="21"/>
          <w:szCs w:val="21"/>
          <w:lang w:val="en-AU"/>
        </w:rPr>
        <w:t>gender, disabilit</w:t>
      </w:r>
      <w:r>
        <w:rPr>
          <w:rFonts w:cstheme="minorHAnsi"/>
          <w:sz w:val="21"/>
          <w:szCs w:val="21"/>
          <w:lang w:val="en-AU"/>
        </w:rPr>
        <w:t xml:space="preserve">y </w:t>
      </w:r>
      <w:r w:rsidRPr="000C6A66">
        <w:rPr>
          <w:rFonts w:cstheme="minorHAnsi"/>
          <w:sz w:val="21"/>
          <w:szCs w:val="21"/>
          <w:lang w:val="en-AU"/>
        </w:rPr>
        <w:t xml:space="preserve">inclusion, and climate resilience can be incorporated in an adequate set of </w:t>
      </w:r>
      <w:r w:rsidR="001F4128">
        <w:rPr>
          <w:rFonts w:cstheme="minorHAnsi"/>
          <w:sz w:val="21"/>
          <w:szCs w:val="21"/>
          <w:lang w:val="en-AU"/>
        </w:rPr>
        <w:t>HT-</w:t>
      </w:r>
      <w:r w:rsidRPr="000C6A66">
        <w:rPr>
          <w:rFonts w:cstheme="minorHAnsi"/>
          <w:sz w:val="21"/>
          <w:szCs w:val="21"/>
          <w:lang w:val="en-AU"/>
        </w:rPr>
        <w:t>MDTF-facilitated strategies and operationali</w:t>
      </w:r>
      <w:r>
        <w:rPr>
          <w:rFonts w:cstheme="minorHAnsi"/>
          <w:sz w:val="21"/>
          <w:szCs w:val="21"/>
          <w:lang w:val="en-AU"/>
        </w:rPr>
        <w:t>s</w:t>
      </w:r>
      <w:r w:rsidRPr="000C6A66">
        <w:rPr>
          <w:rFonts w:cstheme="minorHAnsi"/>
          <w:sz w:val="21"/>
          <w:szCs w:val="21"/>
          <w:lang w:val="en-AU"/>
        </w:rPr>
        <w:t xml:space="preserve">ed through analytics, policy dialogues, </w:t>
      </w:r>
      <w:r>
        <w:rPr>
          <w:rFonts w:cstheme="minorHAnsi"/>
          <w:sz w:val="21"/>
          <w:szCs w:val="21"/>
          <w:lang w:val="en-AU"/>
        </w:rPr>
        <w:t xml:space="preserve">and technical advice will be discussed and agreed with the MDTF Secretariat and the Partnership Council. </w:t>
      </w:r>
      <w:r w:rsidR="001F4128" w:rsidRPr="001F4128">
        <w:rPr>
          <w:rFonts w:cstheme="minorHAnsi"/>
          <w:sz w:val="21"/>
          <w:szCs w:val="21"/>
          <w:lang w:val="en-AU"/>
        </w:rPr>
        <w:t>DFAT will also seek to build consensus with the MoH, World Bank and other donors to further embed these priorities throughout implementation</w:t>
      </w:r>
      <w:r w:rsidR="001F4128">
        <w:rPr>
          <w:rFonts w:cstheme="minorHAnsi"/>
          <w:sz w:val="21"/>
          <w:szCs w:val="21"/>
          <w:lang w:val="en-AU"/>
        </w:rPr>
        <w:t xml:space="preserve"> of the HT-MDTF</w:t>
      </w:r>
      <w:r w:rsidR="001F4128" w:rsidRPr="001F4128">
        <w:rPr>
          <w:rFonts w:cstheme="minorHAnsi"/>
          <w:sz w:val="21"/>
          <w:szCs w:val="21"/>
          <w:lang w:val="en-AU"/>
        </w:rPr>
        <w:t xml:space="preserve">, </w:t>
      </w:r>
      <w:r w:rsidR="001F4128">
        <w:rPr>
          <w:rFonts w:cstheme="minorHAnsi"/>
          <w:sz w:val="21"/>
          <w:szCs w:val="21"/>
          <w:lang w:val="en-AU"/>
        </w:rPr>
        <w:t xml:space="preserve">including </w:t>
      </w:r>
      <w:r w:rsidR="001F4128" w:rsidRPr="001F4128">
        <w:rPr>
          <w:rFonts w:cstheme="minorHAnsi"/>
          <w:sz w:val="21"/>
          <w:szCs w:val="21"/>
          <w:lang w:val="en-AU"/>
        </w:rPr>
        <w:t>for example</w:t>
      </w:r>
      <w:r w:rsidR="001F4128">
        <w:rPr>
          <w:rFonts w:cstheme="minorHAnsi"/>
          <w:sz w:val="21"/>
          <w:szCs w:val="21"/>
          <w:lang w:val="en-AU"/>
        </w:rPr>
        <w:t xml:space="preserve">, through the </w:t>
      </w:r>
      <w:r w:rsidR="001F4128" w:rsidRPr="001F4128">
        <w:rPr>
          <w:rFonts w:cstheme="minorHAnsi"/>
          <w:sz w:val="21"/>
          <w:szCs w:val="21"/>
          <w:lang w:val="en-AU"/>
        </w:rPr>
        <w:t>development of a GEDSI strategy.</w:t>
      </w:r>
    </w:p>
    <w:p w14:paraId="1F6072FB" w14:textId="328578C7" w:rsidR="006F116F" w:rsidRPr="00BA23EC" w:rsidRDefault="006F116F" w:rsidP="00F81159">
      <w:pPr>
        <w:jc w:val="both"/>
        <w:rPr>
          <w:rFonts w:cstheme="minorHAnsi"/>
          <w:sz w:val="21"/>
          <w:u w:val="single"/>
          <w:lang w:val="en-AU"/>
        </w:rPr>
      </w:pPr>
      <w:r w:rsidRPr="00BA23EC">
        <w:rPr>
          <w:rFonts w:cstheme="minorHAnsi"/>
          <w:sz w:val="21"/>
          <w:szCs w:val="21"/>
          <w:u w:val="single"/>
          <w:lang w:val="en-AU"/>
        </w:rPr>
        <w:t>Innovation</w:t>
      </w:r>
      <w:r w:rsidR="0031204C" w:rsidRPr="00BA23EC">
        <w:rPr>
          <w:rFonts w:cstheme="minorHAnsi"/>
          <w:sz w:val="21"/>
          <w:szCs w:val="21"/>
          <w:u w:val="single"/>
          <w:lang w:val="en-AU"/>
        </w:rPr>
        <w:t xml:space="preserve"> and </w:t>
      </w:r>
      <w:r w:rsidR="0031204C" w:rsidRPr="00BA23EC">
        <w:rPr>
          <w:rFonts w:cstheme="minorHAnsi"/>
          <w:sz w:val="21"/>
          <w:u w:val="single"/>
          <w:lang w:val="en-AU"/>
        </w:rPr>
        <w:t>Private Sector</w:t>
      </w:r>
    </w:p>
    <w:p w14:paraId="759EE917" w14:textId="68631DD5" w:rsidR="004E68AD" w:rsidRPr="00BA23EC" w:rsidRDefault="004F5807" w:rsidP="00806A9E">
      <w:pPr>
        <w:jc w:val="both"/>
        <w:rPr>
          <w:rFonts w:cstheme="minorHAnsi"/>
          <w:sz w:val="21"/>
          <w:lang w:val="en-AU"/>
        </w:rPr>
      </w:pPr>
      <w:r w:rsidRPr="00BA23EC">
        <w:rPr>
          <w:rFonts w:cstheme="minorHAnsi"/>
          <w:sz w:val="21"/>
          <w:lang w:val="en-AU"/>
        </w:rPr>
        <w:t xml:space="preserve">Innovation will be a key requirement to </w:t>
      </w:r>
      <w:r w:rsidR="009E5983" w:rsidRPr="00BA23EC">
        <w:rPr>
          <w:rFonts w:cstheme="minorHAnsi"/>
          <w:sz w:val="21"/>
          <w:lang w:val="en-AU"/>
        </w:rPr>
        <w:t xml:space="preserve">deliver Indonesia’s health transformation agenda particularly under the </w:t>
      </w:r>
      <w:r w:rsidR="00170C2F" w:rsidRPr="00BA23EC">
        <w:rPr>
          <w:rFonts w:cstheme="minorHAnsi"/>
          <w:sz w:val="21"/>
          <w:lang w:val="en-AU"/>
        </w:rPr>
        <w:t>health technology and talent pillars</w:t>
      </w:r>
      <w:r w:rsidR="008733DB" w:rsidRPr="00BA23EC">
        <w:rPr>
          <w:rFonts w:cstheme="minorHAnsi"/>
          <w:sz w:val="21"/>
          <w:lang w:val="en-AU"/>
        </w:rPr>
        <w:t xml:space="preserve">. </w:t>
      </w:r>
      <w:r w:rsidR="00A6749F" w:rsidRPr="00BA23EC">
        <w:rPr>
          <w:rFonts w:cstheme="minorHAnsi"/>
          <w:sz w:val="21"/>
          <w:lang w:val="en-AU"/>
        </w:rPr>
        <w:t>The HT-</w:t>
      </w:r>
      <w:r w:rsidR="008733DB" w:rsidRPr="00BA23EC">
        <w:rPr>
          <w:rFonts w:cstheme="minorHAnsi"/>
          <w:sz w:val="21"/>
          <w:lang w:val="en-AU"/>
        </w:rPr>
        <w:t>MDTF</w:t>
      </w:r>
      <w:r w:rsidR="00A002E1">
        <w:rPr>
          <w:rFonts w:cstheme="minorHAnsi"/>
          <w:sz w:val="21"/>
          <w:lang w:val="en-AU"/>
        </w:rPr>
        <w:t xml:space="preserve"> </w:t>
      </w:r>
      <w:r w:rsidR="009E0F6E" w:rsidRPr="00BA23EC">
        <w:rPr>
          <w:rFonts w:cstheme="minorHAnsi"/>
          <w:sz w:val="21"/>
          <w:lang w:val="en-AU"/>
        </w:rPr>
        <w:t>supported analytics and technical advice will contribut</w:t>
      </w:r>
      <w:r w:rsidR="00A002E1">
        <w:rPr>
          <w:rFonts w:cstheme="minorHAnsi"/>
          <w:sz w:val="21"/>
          <w:lang w:val="en-AU"/>
        </w:rPr>
        <w:t>e</w:t>
      </w:r>
      <w:r w:rsidR="009E0F6E" w:rsidRPr="00BA23EC">
        <w:rPr>
          <w:rFonts w:cstheme="minorHAnsi"/>
          <w:sz w:val="21"/>
          <w:lang w:val="en-AU"/>
        </w:rPr>
        <w:t xml:space="preserve"> to Indonesia’s </w:t>
      </w:r>
      <w:r w:rsidR="00815BAB" w:rsidRPr="00BA23EC">
        <w:rPr>
          <w:rFonts w:cstheme="minorHAnsi"/>
          <w:sz w:val="21"/>
          <w:lang w:val="en-AU"/>
        </w:rPr>
        <w:t>objective for</w:t>
      </w:r>
      <w:r w:rsidR="000809F8" w:rsidRPr="00BA23EC">
        <w:rPr>
          <w:rFonts w:cstheme="minorHAnsi"/>
          <w:sz w:val="21"/>
          <w:lang w:val="en-AU"/>
        </w:rPr>
        <w:t xml:space="preserve"> a</w:t>
      </w:r>
      <w:r w:rsidR="00815BAB" w:rsidRPr="00BA23EC">
        <w:rPr>
          <w:rFonts w:cstheme="minorHAnsi"/>
          <w:sz w:val="21"/>
          <w:lang w:val="en-AU"/>
        </w:rPr>
        <w:t xml:space="preserve"> </w:t>
      </w:r>
      <w:r w:rsidR="000809F8" w:rsidRPr="00BA23EC">
        <w:rPr>
          <w:rFonts w:cstheme="minorHAnsi"/>
          <w:sz w:val="21"/>
          <w:lang w:val="en-AU"/>
        </w:rPr>
        <w:t>‘</w:t>
      </w:r>
      <w:proofErr w:type="spellStart"/>
      <w:r w:rsidR="000809F8" w:rsidRPr="00BA23EC">
        <w:rPr>
          <w:rFonts w:cstheme="minorHAnsi"/>
          <w:sz w:val="21"/>
          <w:lang w:val="en-AU"/>
        </w:rPr>
        <w:t>OneHealth</w:t>
      </w:r>
      <w:proofErr w:type="spellEnd"/>
      <w:r w:rsidR="000809F8" w:rsidRPr="00BA23EC">
        <w:rPr>
          <w:rFonts w:cstheme="minorHAnsi"/>
          <w:sz w:val="21"/>
          <w:lang w:val="en-AU"/>
        </w:rPr>
        <w:t xml:space="preserve">’ digital data approach. </w:t>
      </w:r>
    </w:p>
    <w:p w14:paraId="0F41F14A" w14:textId="03CCE5C7" w:rsidR="0031204C" w:rsidRPr="00BA23EC" w:rsidRDefault="00360C18" w:rsidP="00806A9E">
      <w:pPr>
        <w:jc w:val="both"/>
        <w:rPr>
          <w:rFonts w:cstheme="minorHAnsi"/>
          <w:sz w:val="21"/>
          <w:lang w:val="en-AU"/>
        </w:rPr>
      </w:pPr>
      <w:r w:rsidRPr="00BA23EC">
        <w:rPr>
          <w:rFonts w:cstheme="minorHAnsi"/>
          <w:sz w:val="21"/>
          <w:lang w:val="en-AU"/>
        </w:rPr>
        <w:t xml:space="preserve">While it is not anticipated that </w:t>
      </w:r>
      <w:r w:rsidR="005A04F4" w:rsidRPr="00BA23EC">
        <w:rPr>
          <w:rFonts w:cstheme="minorHAnsi"/>
          <w:sz w:val="21"/>
          <w:lang w:val="en-AU"/>
        </w:rPr>
        <w:t>this investment will involve</w:t>
      </w:r>
      <w:r w:rsidR="00131555" w:rsidRPr="00BA23EC">
        <w:rPr>
          <w:rFonts w:cstheme="minorHAnsi"/>
          <w:sz w:val="21"/>
          <w:lang w:val="en-AU"/>
        </w:rPr>
        <w:t xml:space="preserve"> direct engagement with </w:t>
      </w:r>
      <w:r w:rsidR="005A04F4" w:rsidRPr="00BA23EC">
        <w:rPr>
          <w:rFonts w:cstheme="minorHAnsi"/>
          <w:sz w:val="21"/>
          <w:lang w:val="en-AU"/>
        </w:rPr>
        <w:t xml:space="preserve">the </w:t>
      </w:r>
      <w:r w:rsidR="00131555" w:rsidRPr="00BA23EC">
        <w:rPr>
          <w:rFonts w:cstheme="minorHAnsi"/>
          <w:sz w:val="21"/>
          <w:lang w:val="en-AU"/>
        </w:rPr>
        <w:t xml:space="preserve">private </w:t>
      </w:r>
      <w:r w:rsidR="005A04F4" w:rsidRPr="00BA23EC">
        <w:rPr>
          <w:rFonts w:cstheme="minorHAnsi"/>
          <w:sz w:val="21"/>
          <w:lang w:val="en-AU"/>
        </w:rPr>
        <w:t xml:space="preserve">health </w:t>
      </w:r>
      <w:r w:rsidR="00131555" w:rsidRPr="00BA23EC">
        <w:rPr>
          <w:rFonts w:cstheme="minorHAnsi"/>
          <w:sz w:val="21"/>
          <w:lang w:val="en-AU"/>
        </w:rPr>
        <w:t>sector</w:t>
      </w:r>
      <w:r w:rsidR="00C57F56" w:rsidRPr="00BA23EC">
        <w:rPr>
          <w:rFonts w:cstheme="minorHAnsi"/>
          <w:sz w:val="21"/>
          <w:lang w:val="en-AU"/>
        </w:rPr>
        <w:t xml:space="preserve">, the overall enabling support that the MDTF will provide </w:t>
      </w:r>
      <w:r w:rsidR="0094621E" w:rsidRPr="00BA23EC">
        <w:rPr>
          <w:rFonts w:cstheme="minorHAnsi"/>
          <w:sz w:val="21"/>
          <w:lang w:val="en-AU"/>
        </w:rPr>
        <w:t xml:space="preserve">to health service delivery, infrastructure and equipment will </w:t>
      </w:r>
      <w:r w:rsidR="00256213" w:rsidRPr="00BA23EC">
        <w:rPr>
          <w:rFonts w:cstheme="minorHAnsi"/>
          <w:sz w:val="21"/>
          <w:lang w:val="en-AU"/>
        </w:rPr>
        <w:t xml:space="preserve">provide indirect </w:t>
      </w:r>
      <w:r w:rsidR="005A04F4" w:rsidRPr="00BA23EC">
        <w:rPr>
          <w:rFonts w:cstheme="minorHAnsi"/>
          <w:sz w:val="21"/>
          <w:lang w:val="en-AU"/>
        </w:rPr>
        <w:t xml:space="preserve">benefits for </w:t>
      </w:r>
      <w:r w:rsidR="00256213" w:rsidRPr="00BA23EC">
        <w:rPr>
          <w:rFonts w:cstheme="minorHAnsi"/>
          <w:sz w:val="21"/>
          <w:lang w:val="en-AU"/>
        </w:rPr>
        <w:t xml:space="preserve">the sustainability of </w:t>
      </w:r>
      <w:r w:rsidR="005A04F4" w:rsidRPr="00BA23EC">
        <w:rPr>
          <w:rFonts w:cstheme="minorHAnsi"/>
          <w:sz w:val="21"/>
          <w:lang w:val="en-AU"/>
        </w:rPr>
        <w:t>private health</w:t>
      </w:r>
      <w:r w:rsidR="00256213" w:rsidRPr="00BA23EC">
        <w:rPr>
          <w:rFonts w:cstheme="minorHAnsi"/>
          <w:sz w:val="21"/>
          <w:lang w:val="en-AU"/>
        </w:rPr>
        <w:t xml:space="preserve"> services, </w:t>
      </w:r>
      <w:r w:rsidR="00AB64ED" w:rsidRPr="00BA23EC">
        <w:rPr>
          <w:rFonts w:cstheme="minorHAnsi"/>
          <w:sz w:val="21"/>
          <w:lang w:val="en-AU"/>
        </w:rPr>
        <w:t xml:space="preserve">which contributes significantly to the Indonesian health system. </w:t>
      </w:r>
    </w:p>
    <w:p w14:paraId="200DDC8E" w14:textId="654FA90C" w:rsidR="003E0125" w:rsidRPr="00BA23EC" w:rsidRDefault="00EB1A2B" w:rsidP="00447F69">
      <w:pPr>
        <w:jc w:val="both"/>
        <w:rPr>
          <w:rFonts w:cstheme="minorHAnsi"/>
          <w:sz w:val="21"/>
          <w:lang w:val="en-AU"/>
        </w:rPr>
      </w:pPr>
      <w:r w:rsidRPr="00BA23EC">
        <w:rPr>
          <w:rFonts w:cstheme="minorHAnsi"/>
          <w:sz w:val="21"/>
          <w:lang w:val="en-AU"/>
        </w:rPr>
        <w:t>The World Bank’s commitment to these policy priorities is reflected through the</w:t>
      </w:r>
      <w:r w:rsidRPr="00BA23EC">
        <w:rPr>
          <w:rFonts w:cstheme="minorHAnsi"/>
          <w:i/>
          <w:iCs/>
          <w:sz w:val="21"/>
          <w:lang w:val="en-AU"/>
        </w:rPr>
        <w:t xml:space="preserve"> Principles for Crowding-in Private Sector Finance for Growth and Sustainable Development (the Hamburg Principles), </w:t>
      </w:r>
      <w:r w:rsidRPr="00BA23EC">
        <w:rPr>
          <w:rFonts w:cstheme="minorHAnsi"/>
          <w:sz w:val="21"/>
          <w:lang w:val="en-AU"/>
        </w:rPr>
        <w:t>and</w:t>
      </w:r>
      <w:r w:rsidRPr="00BA23EC">
        <w:rPr>
          <w:rFonts w:cstheme="minorHAnsi"/>
          <w:i/>
          <w:iCs/>
          <w:sz w:val="21"/>
          <w:lang w:val="en-AU"/>
        </w:rPr>
        <w:t xml:space="preserve"> Digital Development Partnership.</w:t>
      </w:r>
      <w:r w:rsidRPr="00BA23EC">
        <w:rPr>
          <w:rFonts w:cstheme="minorHAnsi"/>
          <w:sz w:val="21"/>
          <w:lang w:val="en-AU"/>
        </w:rPr>
        <w:t xml:space="preserve">  </w:t>
      </w:r>
    </w:p>
    <w:p w14:paraId="1CCD26D7" w14:textId="593578B7" w:rsidR="00673245" w:rsidRPr="00BA23EC" w:rsidRDefault="00271FB6" w:rsidP="00271FB6">
      <w:pPr>
        <w:pStyle w:val="Heading2"/>
      </w:pPr>
      <w:bookmarkStart w:id="24" w:name="BudgetingandResourcing"/>
      <w:r>
        <w:t xml:space="preserve">H. </w:t>
      </w:r>
      <w:r w:rsidR="00673245" w:rsidRPr="00BA23EC">
        <w:t>Budgeting and Resourcing</w:t>
      </w:r>
    </w:p>
    <w:bookmarkEnd w:id="24"/>
    <w:p w14:paraId="2F686739" w14:textId="0008541C" w:rsidR="00046DF5" w:rsidRPr="00BA23EC" w:rsidRDefault="00051A02" w:rsidP="007F1B6B">
      <w:pPr>
        <w:spacing w:after="120"/>
        <w:jc w:val="both"/>
        <w:rPr>
          <w:rFonts w:cstheme="minorHAnsi"/>
          <w:sz w:val="21"/>
          <w:lang w:val="en-AU"/>
        </w:rPr>
      </w:pPr>
      <w:r w:rsidRPr="00BA23EC">
        <w:rPr>
          <w:rFonts w:cstheme="minorHAnsi"/>
          <w:sz w:val="21"/>
          <w:lang w:val="en-AU"/>
        </w:rPr>
        <w:t>The following table provides an indicative breakdown of the total AUD9.6m contribution to the HT-MDTF over three years:</w:t>
      </w:r>
    </w:p>
    <w:tbl>
      <w:tblPr>
        <w:tblStyle w:val="TableGrid"/>
        <w:tblW w:w="9776" w:type="dxa"/>
        <w:tblLook w:val="04A0" w:firstRow="1" w:lastRow="0" w:firstColumn="1" w:lastColumn="0" w:noHBand="0" w:noVBand="1"/>
      </w:tblPr>
      <w:tblGrid>
        <w:gridCol w:w="1696"/>
        <w:gridCol w:w="2173"/>
        <w:gridCol w:w="2174"/>
        <w:gridCol w:w="2174"/>
        <w:gridCol w:w="1559"/>
      </w:tblGrid>
      <w:tr w:rsidR="00051A02" w:rsidRPr="00BA23EC" w14:paraId="1995371D" w14:textId="77777777" w:rsidTr="009D42D4">
        <w:tc>
          <w:tcPr>
            <w:tcW w:w="1696" w:type="dxa"/>
            <w:shd w:val="clear" w:color="auto" w:fill="E0F3EF" w:themeFill="accent1" w:themeFillTint="33"/>
            <w:vAlign w:val="center"/>
          </w:tcPr>
          <w:p w14:paraId="04EBA88A" w14:textId="77777777" w:rsidR="00051A02" w:rsidRPr="00BA23EC" w:rsidRDefault="00051A02">
            <w:pPr>
              <w:tabs>
                <w:tab w:val="left" w:pos="284"/>
              </w:tabs>
              <w:suppressAutoHyphens w:val="0"/>
              <w:spacing w:before="0" w:line="280" w:lineRule="exact"/>
              <w:jc w:val="center"/>
              <w:rPr>
                <w:rFonts w:cstheme="minorHAnsi"/>
                <w:b/>
                <w:bCs/>
                <w:sz w:val="21"/>
                <w:lang w:val="en-AU"/>
              </w:rPr>
            </w:pPr>
            <w:r w:rsidRPr="00BA23EC">
              <w:rPr>
                <w:rFonts w:cstheme="minorHAnsi"/>
                <w:b/>
                <w:bCs/>
                <w:sz w:val="21"/>
                <w:lang w:val="en-AU"/>
              </w:rPr>
              <w:t>Tranches</w:t>
            </w:r>
          </w:p>
        </w:tc>
        <w:tc>
          <w:tcPr>
            <w:tcW w:w="2173" w:type="dxa"/>
            <w:shd w:val="clear" w:color="auto" w:fill="E0F3EF" w:themeFill="accent1" w:themeFillTint="33"/>
            <w:vAlign w:val="center"/>
          </w:tcPr>
          <w:p w14:paraId="5FAD70BA" w14:textId="77777777" w:rsidR="00051A02" w:rsidRPr="00BA23EC" w:rsidRDefault="00051A02">
            <w:pPr>
              <w:tabs>
                <w:tab w:val="left" w:pos="284"/>
              </w:tabs>
              <w:suppressAutoHyphens w:val="0"/>
              <w:spacing w:before="0" w:line="280" w:lineRule="exact"/>
              <w:jc w:val="center"/>
              <w:rPr>
                <w:rFonts w:cstheme="minorHAnsi"/>
                <w:b/>
                <w:bCs/>
                <w:sz w:val="21"/>
                <w:lang w:val="en-AU"/>
              </w:rPr>
            </w:pPr>
            <w:r w:rsidRPr="00BA23EC">
              <w:rPr>
                <w:rFonts w:cstheme="minorHAnsi"/>
                <w:b/>
                <w:bCs/>
                <w:sz w:val="21"/>
                <w:lang w:val="en-AU"/>
              </w:rPr>
              <w:t>Year 1 Payment</w:t>
            </w:r>
          </w:p>
        </w:tc>
        <w:tc>
          <w:tcPr>
            <w:tcW w:w="2174" w:type="dxa"/>
            <w:shd w:val="clear" w:color="auto" w:fill="E0F3EF" w:themeFill="accent1" w:themeFillTint="33"/>
            <w:vAlign w:val="center"/>
          </w:tcPr>
          <w:p w14:paraId="1BCA6B0F" w14:textId="77777777" w:rsidR="00051A02" w:rsidRPr="00BA23EC" w:rsidRDefault="00051A02">
            <w:pPr>
              <w:tabs>
                <w:tab w:val="left" w:pos="284"/>
              </w:tabs>
              <w:suppressAutoHyphens w:val="0"/>
              <w:spacing w:before="0" w:line="280" w:lineRule="exact"/>
              <w:jc w:val="center"/>
              <w:rPr>
                <w:rFonts w:cstheme="minorHAnsi"/>
                <w:b/>
                <w:bCs/>
                <w:sz w:val="21"/>
                <w:lang w:val="en-AU"/>
              </w:rPr>
            </w:pPr>
            <w:r w:rsidRPr="00BA23EC">
              <w:rPr>
                <w:rFonts w:cstheme="minorHAnsi"/>
                <w:b/>
                <w:bCs/>
                <w:sz w:val="21"/>
                <w:lang w:val="en-AU"/>
              </w:rPr>
              <w:t>Year 2 Payment</w:t>
            </w:r>
          </w:p>
        </w:tc>
        <w:tc>
          <w:tcPr>
            <w:tcW w:w="2174" w:type="dxa"/>
            <w:shd w:val="clear" w:color="auto" w:fill="E0F3EF" w:themeFill="accent1" w:themeFillTint="33"/>
            <w:vAlign w:val="center"/>
          </w:tcPr>
          <w:p w14:paraId="3F79EFF9" w14:textId="77777777" w:rsidR="00051A02" w:rsidRPr="00BA23EC" w:rsidRDefault="00051A02">
            <w:pPr>
              <w:tabs>
                <w:tab w:val="left" w:pos="284"/>
              </w:tabs>
              <w:suppressAutoHyphens w:val="0"/>
              <w:spacing w:before="0" w:line="280" w:lineRule="exact"/>
              <w:jc w:val="center"/>
              <w:rPr>
                <w:rFonts w:cstheme="minorHAnsi"/>
                <w:b/>
                <w:bCs/>
                <w:sz w:val="21"/>
                <w:lang w:val="en-AU"/>
              </w:rPr>
            </w:pPr>
            <w:r w:rsidRPr="00BA23EC">
              <w:rPr>
                <w:rFonts w:cstheme="minorHAnsi"/>
                <w:b/>
                <w:bCs/>
                <w:sz w:val="21"/>
                <w:lang w:val="en-AU"/>
              </w:rPr>
              <w:t>Year 3 Payment</w:t>
            </w:r>
          </w:p>
        </w:tc>
        <w:tc>
          <w:tcPr>
            <w:tcW w:w="1559" w:type="dxa"/>
            <w:shd w:val="clear" w:color="auto" w:fill="E0F3EF" w:themeFill="accent1" w:themeFillTint="33"/>
            <w:vAlign w:val="center"/>
          </w:tcPr>
          <w:p w14:paraId="43F7EEE9" w14:textId="77777777" w:rsidR="00051A02" w:rsidRPr="00BA23EC" w:rsidRDefault="00051A02">
            <w:pPr>
              <w:tabs>
                <w:tab w:val="left" w:pos="284"/>
              </w:tabs>
              <w:suppressAutoHyphens w:val="0"/>
              <w:spacing w:before="0" w:line="280" w:lineRule="exact"/>
              <w:jc w:val="center"/>
              <w:rPr>
                <w:rFonts w:cstheme="minorHAnsi"/>
                <w:b/>
                <w:bCs/>
                <w:sz w:val="21"/>
                <w:lang w:val="en-AU"/>
              </w:rPr>
            </w:pPr>
            <w:r w:rsidRPr="00BA23EC">
              <w:rPr>
                <w:rFonts w:cstheme="minorHAnsi"/>
                <w:b/>
                <w:bCs/>
                <w:sz w:val="21"/>
                <w:lang w:val="en-AU"/>
              </w:rPr>
              <w:t>TOTAL</w:t>
            </w:r>
          </w:p>
        </w:tc>
      </w:tr>
      <w:tr w:rsidR="00051A02" w:rsidRPr="00BA23EC" w14:paraId="7AB0B767" w14:textId="77777777" w:rsidTr="009D42D4">
        <w:tc>
          <w:tcPr>
            <w:tcW w:w="1696" w:type="dxa"/>
            <w:shd w:val="clear" w:color="auto" w:fill="auto"/>
            <w:vAlign w:val="center"/>
          </w:tcPr>
          <w:p w14:paraId="0C701E8B" w14:textId="77777777" w:rsidR="00051A02" w:rsidRPr="00BA23EC" w:rsidRDefault="00051A02">
            <w:pPr>
              <w:tabs>
                <w:tab w:val="left" w:pos="284"/>
              </w:tabs>
              <w:suppressAutoHyphens w:val="0"/>
              <w:spacing w:before="0" w:line="280" w:lineRule="exact"/>
              <w:jc w:val="center"/>
              <w:rPr>
                <w:rFonts w:cstheme="minorHAnsi"/>
                <w:b/>
                <w:bCs/>
                <w:sz w:val="21"/>
                <w:lang w:val="en-AU"/>
              </w:rPr>
            </w:pPr>
            <w:r w:rsidRPr="00BA23EC">
              <w:rPr>
                <w:rFonts w:cstheme="minorHAnsi"/>
                <w:b/>
                <w:bCs/>
                <w:sz w:val="21"/>
                <w:lang w:val="en-AU"/>
              </w:rPr>
              <w:t>Payment timing</w:t>
            </w:r>
          </w:p>
        </w:tc>
        <w:tc>
          <w:tcPr>
            <w:tcW w:w="2173" w:type="dxa"/>
            <w:shd w:val="clear" w:color="auto" w:fill="auto"/>
            <w:vAlign w:val="center"/>
          </w:tcPr>
          <w:p w14:paraId="44506727" w14:textId="77777777" w:rsidR="00051A02" w:rsidRPr="00BA23EC" w:rsidRDefault="00051A02">
            <w:pPr>
              <w:tabs>
                <w:tab w:val="left" w:pos="284"/>
              </w:tabs>
              <w:suppressAutoHyphens w:val="0"/>
              <w:spacing w:before="0" w:line="280" w:lineRule="exact"/>
              <w:jc w:val="center"/>
              <w:rPr>
                <w:rFonts w:cstheme="minorHAnsi"/>
                <w:sz w:val="21"/>
                <w:lang w:val="en-AU"/>
              </w:rPr>
            </w:pPr>
            <w:r w:rsidRPr="00BA23EC">
              <w:rPr>
                <w:rFonts w:cstheme="minorHAnsi"/>
                <w:sz w:val="21"/>
                <w:lang w:val="en-AU"/>
              </w:rPr>
              <w:t>May 2023</w:t>
            </w:r>
          </w:p>
        </w:tc>
        <w:tc>
          <w:tcPr>
            <w:tcW w:w="2174" w:type="dxa"/>
            <w:shd w:val="clear" w:color="auto" w:fill="auto"/>
            <w:vAlign w:val="center"/>
          </w:tcPr>
          <w:p w14:paraId="5B9226E5" w14:textId="77777777" w:rsidR="00051A02" w:rsidRPr="00BA23EC" w:rsidRDefault="00051A02">
            <w:pPr>
              <w:tabs>
                <w:tab w:val="left" w:pos="284"/>
              </w:tabs>
              <w:suppressAutoHyphens w:val="0"/>
              <w:spacing w:before="0" w:line="280" w:lineRule="exact"/>
              <w:jc w:val="center"/>
              <w:rPr>
                <w:rFonts w:cstheme="minorHAnsi"/>
                <w:sz w:val="21"/>
                <w:lang w:val="en-AU"/>
              </w:rPr>
            </w:pPr>
            <w:r w:rsidRPr="00BA23EC">
              <w:rPr>
                <w:rFonts w:cstheme="minorHAnsi"/>
                <w:sz w:val="21"/>
                <w:lang w:val="en-AU"/>
              </w:rPr>
              <w:t>May 2024</w:t>
            </w:r>
          </w:p>
        </w:tc>
        <w:tc>
          <w:tcPr>
            <w:tcW w:w="2174" w:type="dxa"/>
            <w:shd w:val="clear" w:color="auto" w:fill="auto"/>
            <w:vAlign w:val="center"/>
          </w:tcPr>
          <w:p w14:paraId="10EB1655" w14:textId="77777777" w:rsidR="00051A02" w:rsidRPr="00BA23EC" w:rsidRDefault="00051A02">
            <w:pPr>
              <w:tabs>
                <w:tab w:val="left" w:pos="284"/>
              </w:tabs>
              <w:suppressAutoHyphens w:val="0"/>
              <w:spacing w:before="0" w:line="280" w:lineRule="exact"/>
              <w:jc w:val="center"/>
              <w:rPr>
                <w:rFonts w:cstheme="minorHAnsi"/>
                <w:sz w:val="21"/>
                <w:lang w:val="en-AU"/>
              </w:rPr>
            </w:pPr>
            <w:r w:rsidRPr="00BA23EC">
              <w:rPr>
                <w:rFonts w:cstheme="minorHAnsi"/>
                <w:sz w:val="21"/>
                <w:lang w:val="en-AU"/>
              </w:rPr>
              <w:t>May 2025</w:t>
            </w:r>
          </w:p>
        </w:tc>
        <w:tc>
          <w:tcPr>
            <w:tcW w:w="1559" w:type="dxa"/>
            <w:shd w:val="clear" w:color="auto" w:fill="auto"/>
            <w:vAlign w:val="center"/>
          </w:tcPr>
          <w:p w14:paraId="25C46703" w14:textId="77777777" w:rsidR="00051A02" w:rsidRPr="00BA23EC" w:rsidRDefault="00051A02">
            <w:pPr>
              <w:tabs>
                <w:tab w:val="left" w:pos="284"/>
              </w:tabs>
              <w:suppressAutoHyphens w:val="0"/>
              <w:spacing w:before="0" w:line="280" w:lineRule="exact"/>
              <w:jc w:val="center"/>
              <w:rPr>
                <w:rFonts w:cstheme="minorHAnsi"/>
                <w:sz w:val="21"/>
                <w:lang w:val="en-AU"/>
              </w:rPr>
            </w:pPr>
          </w:p>
        </w:tc>
      </w:tr>
      <w:tr w:rsidR="00051A02" w:rsidRPr="00BA23EC" w14:paraId="78CBA86D" w14:textId="77777777" w:rsidTr="009D42D4">
        <w:tc>
          <w:tcPr>
            <w:tcW w:w="1696" w:type="dxa"/>
            <w:vAlign w:val="center"/>
          </w:tcPr>
          <w:p w14:paraId="6878D809" w14:textId="77777777" w:rsidR="00051A02" w:rsidRPr="00BA23EC" w:rsidRDefault="00051A02">
            <w:pPr>
              <w:tabs>
                <w:tab w:val="left" w:pos="284"/>
              </w:tabs>
              <w:suppressAutoHyphens w:val="0"/>
              <w:spacing w:before="0" w:line="280" w:lineRule="exact"/>
              <w:jc w:val="center"/>
              <w:rPr>
                <w:rFonts w:cstheme="minorHAnsi"/>
                <w:b/>
                <w:bCs/>
                <w:sz w:val="21"/>
                <w:lang w:val="en-AU"/>
              </w:rPr>
            </w:pPr>
            <w:r w:rsidRPr="00BA23EC">
              <w:rPr>
                <w:rFonts w:cstheme="minorHAnsi"/>
                <w:b/>
                <w:bCs/>
                <w:sz w:val="21"/>
                <w:lang w:val="en-AU"/>
              </w:rPr>
              <w:t>Term</w:t>
            </w:r>
          </w:p>
        </w:tc>
        <w:tc>
          <w:tcPr>
            <w:tcW w:w="2173" w:type="dxa"/>
            <w:vAlign w:val="center"/>
          </w:tcPr>
          <w:p w14:paraId="7F04C794" w14:textId="77777777" w:rsidR="00051A02" w:rsidRPr="00BA23EC" w:rsidRDefault="00051A02">
            <w:pPr>
              <w:tabs>
                <w:tab w:val="left" w:pos="284"/>
              </w:tabs>
              <w:suppressAutoHyphens w:val="0"/>
              <w:spacing w:before="0" w:line="280" w:lineRule="exact"/>
              <w:jc w:val="center"/>
              <w:rPr>
                <w:rFonts w:cstheme="minorHAnsi"/>
                <w:sz w:val="21"/>
                <w:lang w:val="en-AU"/>
              </w:rPr>
            </w:pPr>
            <w:r w:rsidRPr="00BA23EC">
              <w:rPr>
                <w:rFonts w:cstheme="minorHAnsi"/>
                <w:sz w:val="21"/>
                <w:lang w:val="en-AU"/>
              </w:rPr>
              <w:t>Jun 2023 – May 2024</w:t>
            </w:r>
          </w:p>
        </w:tc>
        <w:tc>
          <w:tcPr>
            <w:tcW w:w="2174" w:type="dxa"/>
            <w:vAlign w:val="center"/>
          </w:tcPr>
          <w:p w14:paraId="756971B2" w14:textId="77777777" w:rsidR="00051A02" w:rsidRPr="00BA23EC" w:rsidRDefault="00051A02">
            <w:pPr>
              <w:tabs>
                <w:tab w:val="left" w:pos="284"/>
              </w:tabs>
              <w:suppressAutoHyphens w:val="0"/>
              <w:spacing w:before="0" w:line="280" w:lineRule="exact"/>
              <w:jc w:val="center"/>
              <w:rPr>
                <w:rFonts w:cstheme="minorHAnsi"/>
                <w:sz w:val="21"/>
                <w:lang w:val="en-AU"/>
              </w:rPr>
            </w:pPr>
            <w:r w:rsidRPr="00BA23EC">
              <w:rPr>
                <w:rFonts w:cstheme="minorHAnsi"/>
                <w:sz w:val="21"/>
                <w:lang w:val="en-AU"/>
              </w:rPr>
              <w:t>Jun 2024 – May 2025</w:t>
            </w:r>
          </w:p>
        </w:tc>
        <w:tc>
          <w:tcPr>
            <w:tcW w:w="2174" w:type="dxa"/>
            <w:vAlign w:val="center"/>
          </w:tcPr>
          <w:p w14:paraId="693BC075" w14:textId="77777777" w:rsidR="00051A02" w:rsidRPr="00BA23EC" w:rsidRDefault="00051A02">
            <w:pPr>
              <w:tabs>
                <w:tab w:val="left" w:pos="284"/>
              </w:tabs>
              <w:suppressAutoHyphens w:val="0"/>
              <w:spacing w:before="0" w:line="280" w:lineRule="exact"/>
              <w:jc w:val="center"/>
              <w:rPr>
                <w:rFonts w:cstheme="minorHAnsi"/>
                <w:sz w:val="21"/>
                <w:lang w:val="en-AU"/>
              </w:rPr>
            </w:pPr>
            <w:r w:rsidRPr="00BA23EC">
              <w:rPr>
                <w:rFonts w:cstheme="minorHAnsi"/>
                <w:sz w:val="21"/>
                <w:lang w:val="en-AU"/>
              </w:rPr>
              <w:t>Jun 2025 – May 2026</w:t>
            </w:r>
          </w:p>
        </w:tc>
        <w:tc>
          <w:tcPr>
            <w:tcW w:w="1559" w:type="dxa"/>
            <w:vAlign w:val="center"/>
          </w:tcPr>
          <w:p w14:paraId="34534004" w14:textId="77777777" w:rsidR="00051A02" w:rsidRPr="00BA23EC" w:rsidRDefault="00051A02">
            <w:pPr>
              <w:tabs>
                <w:tab w:val="left" w:pos="284"/>
              </w:tabs>
              <w:suppressAutoHyphens w:val="0"/>
              <w:spacing w:before="0" w:line="280" w:lineRule="exact"/>
              <w:jc w:val="center"/>
              <w:rPr>
                <w:rFonts w:cstheme="minorHAnsi"/>
                <w:sz w:val="21"/>
                <w:lang w:val="en-AU"/>
              </w:rPr>
            </w:pPr>
            <w:r w:rsidRPr="00BA23EC">
              <w:rPr>
                <w:rFonts w:cstheme="minorHAnsi"/>
                <w:sz w:val="21"/>
                <w:lang w:val="en-AU"/>
              </w:rPr>
              <w:t>3 years</w:t>
            </w:r>
          </w:p>
        </w:tc>
      </w:tr>
      <w:tr w:rsidR="00051A02" w:rsidRPr="00BA23EC" w14:paraId="333B7BB2" w14:textId="77777777" w:rsidTr="009D42D4">
        <w:tc>
          <w:tcPr>
            <w:tcW w:w="1696" w:type="dxa"/>
            <w:vAlign w:val="center"/>
          </w:tcPr>
          <w:p w14:paraId="380948AC" w14:textId="77777777" w:rsidR="00051A02" w:rsidRPr="00BA23EC" w:rsidRDefault="00051A02">
            <w:pPr>
              <w:tabs>
                <w:tab w:val="left" w:pos="284"/>
              </w:tabs>
              <w:suppressAutoHyphens w:val="0"/>
              <w:spacing w:before="0" w:line="280" w:lineRule="exact"/>
              <w:jc w:val="center"/>
              <w:rPr>
                <w:rFonts w:cstheme="minorHAnsi"/>
                <w:b/>
                <w:bCs/>
                <w:sz w:val="21"/>
                <w:lang w:val="en-AU"/>
              </w:rPr>
            </w:pPr>
            <w:r w:rsidRPr="00BA23EC">
              <w:rPr>
                <w:rFonts w:cstheme="minorHAnsi"/>
                <w:b/>
                <w:bCs/>
                <w:sz w:val="21"/>
                <w:lang w:val="en-AU"/>
              </w:rPr>
              <w:t>Amount (AUD)</w:t>
            </w:r>
          </w:p>
        </w:tc>
        <w:tc>
          <w:tcPr>
            <w:tcW w:w="2173" w:type="dxa"/>
            <w:vAlign w:val="center"/>
          </w:tcPr>
          <w:p w14:paraId="5735B7B0" w14:textId="3934EC97" w:rsidR="00051A02" w:rsidRPr="00BA23EC" w:rsidRDefault="00051A02">
            <w:pPr>
              <w:tabs>
                <w:tab w:val="left" w:pos="284"/>
              </w:tabs>
              <w:suppressAutoHyphens w:val="0"/>
              <w:spacing w:before="0" w:line="280" w:lineRule="exact"/>
              <w:jc w:val="center"/>
              <w:rPr>
                <w:rFonts w:cstheme="minorHAnsi"/>
                <w:sz w:val="21"/>
                <w:lang w:val="en-AU"/>
              </w:rPr>
            </w:pPr>
            <w:r w:rsidRPr="00BA23EC">
              <w:rPr>
                <w:rFonts w:cstheme="minorHAnsi"/>
                <w:sz w:val="21"/>
                <w:lang w:val="en-AU"/>
              </w:rPr>
              <w:t>4</w:t>
            </w:r>
            <w:r w:rsidR="00A002E1">
              <w:rPr>
                <w:rFonts w:cstheme="minorHAnsi"/>
                <w:sz w:val="21"/>
                <w:lang w:val="en-AU"/>
              </w:rPr>
              <w:t xml:space="preserve"> </w:t>
            </w:r>
            <w:r w:rsidRPr="00BA23EC">
              <w:rPr>
                <w:rFonts w:cstheme="minorHAnsi"/>
                <w:sz w:val="21"/>
                <w:lang w:val="en-AU"/>
              </w:rPr>
              <w:t>m</w:t>
            </w:r>
            <w:r w:rsidR="00A002E1">
              <w:rPr>
                <w:rFonts w:cstheme="minorHAnsi"/>
                <w:sz w:val="21"/>
                <w:lang w:val="en-AU"/>
              </w:rPr>
              <w:t>illion</w:t>
            </w:r>
          </w:p>
        </w:tc>
        <w:tc>
          <w:tcPr>
            <w:tcW w:w="2174" w:type="dxa"/>
            <w:vAlign w:val="center"/>
          </w:tcPr>
          <w:p w14:paraId="42D4C689" w14:textId="5FC230BF" w:rsidR="00051A02" w:rsidRPr="00BA23EC" w:rsidRDefault="00051A02">
            <w:pPr>
              <w:tabs>
                <w:tab w:val="left" w:pos="284"/>
              </w:tabs>
              <w:suppressAutoHyphens w:val="0"/>
              <w:spacing w:before="0" w:line="280" w:lineRule="exact"/>
              <w:jc w:val="center"/>
              <w:rPr>
                <w:rFonts w:cstheme="minorHAnsi"/>
                <w:sz w:val="21"/>
                <w:lang w:val="en-AU"/>
              </w:rPr>
            </w:pPr>
            <w:r w:rsidRPr="00BA23EC">
              <w:rPr>
                <w:rFonts w:cstheme="minorHAnsi"/>
                <w:sz w:val="21"/>
                <w:lang w:val="en-AU"/>
              </w:rPr>
              <w:t>3</w:t>
            </w:r>
            <w:r w:rsidR="00A002E1">
              <w:rPr>
                <w:rFonts w:cstheme="minorHAnsi"/>
                <w:sz w:val="21"/>
                <w:lang w:val="en-AU"/>
              </w:rPr>
              <w:t xml:space="preserve"> </w:t>
            </w:r>
            <w:r w:rsidR="00A002E1" w:rsidRPr="00BA23EC">
              <w:rPr>
                <w:rFonts w:cstheme="minorHAnsi"/>
                <w:sz w:val="21"/>
                <w:lang w:val="en-AU"/>
              </w:rPr>
              <w:t>m</w:t>
            </w:r>
            <w:r w:rsidR="00A002E1">
              <w:rPr>
                <w:rFonts w:cstheme="minorHAnsi"/>
                <w:sz w:val="21"/>
                <w:lang w:val="en-AU"/>
              </w:rPr>
              <w:t>illion</w:t>
            </w:r>
          </w:p>
        </w:tc>
        <w:tc>
          <w:tcPr>
            <w:tcW w:w="2174" w:type="dxa"/>
            <w:vAlign w:val="center"/>
          </w:tcPr>
          <w:p w14:paraId="77D14950" w14:textId="53DF070C" w:rsidR="00051A02" w:rsidRPr="00BA23EC" w:rsidRDefault="00051A02">
            <w:pPr>
              <w:tabs>
                <w:tab w:val="left" w:pos="284"/>
              </w:tabs>
              <w:suppressAutoHyphens w:val="0"/>
              <w:spacing w:before="0" w:line="280" w:lineRule="exact"/>
              <w:jc w:val="center"/>
              <w:rPr>
                <w:rFonts w:cstheme="minorHAnsi"/>
                <w:sz w:val="21"/>
                <w:lang w:val="en-AU"/>
              </w:rPr>
            </w:pPr>
            <w:r w:rsidRPr="00BA23EC">
              <w:rPr>
                <w:rFonts w:cstheme="minorHAnsi"/>
                <w:sz w:val="21"/>
                <w:lang w:val="en-AU"/>
              </w:rPr>
              <w:t>2.6</w:t>
            </w:r>
            <w:r w:rsidR="00A002E1">
              <w:rPr>
                <w:rFonts w:cstheme="minorHAnsi"/>
                <w:sz w:val="21"/>
                <w:lang w:val="en-AU"/>
              </w:rPr>
              <w:t xml:space="preserve"> </w:t>
            </w:r>
            <w:r w:rsidR="00A002E1" w:rsidRPr="00BA23EC">
              <w:rPr>
                <w:rFonts w:cstheme="minorHAnsi"/>
                <w:sz w:val="21"/>
                <w:lang w:val="en-AU"/>
              </w:rPr>
              <w:t>m</w:t>
            </w:r>
            <w:r w:rsidR="00A002E1">
              <w:rPr>
                <w:rFonts w:cstheme="minorHAnsi"/>
                <w:sz w:val="21"/>
                <w:lang w:val="en-AU"/>
              </w:rPr>
              <w:t>illion</w:t>
            </w:r>
          </w:p>
        </w:tc>
        <w:tc>
          <w:tcPr>
            <w:tcW w:w="1559" w:type="dxa"/>
            <w:vAlign w:val="center"/>
          </w:tcPr>
          <w:p w14:paraId="32F67035" w14:textId="494E34C3" w:rsidR="00051A02" w:rsidRPr="00BA23EC" w:rsidRDefault="00051A02">
            <w:pPr>
              <w:tabs>
                <w:tab w:val="left" w:pos="284"/>
              </w:tabs>
              <w:suppressAutoHyphens w:val="0"/>
              <w:spacing w:before="0" w:line="280" w:lineRule="exact"/>
              <w:jc w:val="center"/>
              <w:rPr>
                <w:rFonts w:cstheme="minorHAnsi"/>
                <w:sz w:val="21"/>
                <w:lang w:val="en-AU"/>
              </w:rPr>
            </w:pPr>
            <w:r w:rsidRPr="00BA23EC">
              <w:rPr>
                <w:rFonts w:cstheme="minorHAnsi"/>
                <w:sz w:val="21"/>
                <w:lang w:val="en-AU"/>
              </w:rPr>
              <w:t>9.6</w:t>
            </w:r>
            <w:r w:rsidR="00A002E1">
              <w:rPr>
                <w:rFonts w:cstheme="minorHAnsi"/>
                <w:sz w:val="21"/>
                <w:lang w:val="en-AU"/>
              </w:rPr>
              <w:t xml:space="preserve"> </w:t>
            </w:r>
            <w:r w:rsidR="00A002E1" w:rsidRPr="00BA23EC">
              <w:rPr>
                <w:rFonts w:cstheme="minorHAnsi"/>
                <w:sz w:val="21"/>
                <w:lang w:val="en-AU"/>
              </w:rPr>
              <w:t>m</w:t>
            </w:r>
            <w:r w:rsidR="00A002E1">
              <w:rPr>
                <w:rFonts w:cstheme="minorHAnsi"/>
                <w:sz w:val="21"/>
                <w:lang w:val="en-AU"/>
              </w:rPr>
              <w:t>illion</w:t>
            </w:r>
          </w:p>
        </w:tc>
      </w:tr>
    </w:tbl>
    <w:p w14:paraId="108978CA" w14:textId="3BC69F68" w:rsidR="00051A02" w:rsidRPr="00BA23EC" w:rsidRDefault="00AB2FA3" w:rsidP="00D41928">
      <w:pPr>
        <w:spacing w:after="120"/>
        <w:jc w:val="both"/>
        <w:rPr>
          <w:rFonts w:cstheme="minorHAnsi"/>
          <w:sz w:val="21"/>
          <w:lang w:val="en-AU"/>
        </w:rPr>
      </w:pPr>
      <w:r w:rsidRPr="00BA23EC">
        <w:rPr>
          <w:rFonts w:cstheme="minorHAnsi"/>
          <w:sz w:val="21"/>
          <w:lang w:val="en-AU"/>
        </w:rPr>
        <w:t xml:space="preserve">The investment will be funded from </w:t>
      </w:r>
      <w:r w:rsidR="00BF00DF" w:rsidRPr="00BA23EC">
        <w:rPr>
          <w:rFonts w:cstheme="minorHAnsi"/>
          <w:sz w:val="21"/>
          <w:lang w:val="en-AU"/>
        </w:rPr>
        <w:t xml:space="preserve">Indonesia’s bilateral development budget, </w:t>
      </w:r>
      <w:r w:rsidR="00D41928" w:rsidRPr="00BA23EC">
        <w:rPr>
          <w:rFonts w:cstheme="minorHAnsi"/>
          <w:sz w:val="21"/>
          <w:lang w:val="en-AU"/>
        </w:rPr>
        <w:t xml:space="preserve">noting that the </w:t>
      </w:r>
      <w:r w:rsidR="00BF00DF" w:rsidRPr="00BA23EC">
        <w:rPr>
          <w:rFonts w:cstheme="minorHAnsi"/>
          <w:sz w:val="21"/>
          <w:lang w:val="en-AU"/>
        </w:rPr>
        <w:t>indicative</w:t>
      </w:r>
      <w:r w:rsidR="00D41928" w:rsidRPr="00BA23EC">
        <w:rPr>
          <w:rFonts w:cstheme="minorHAnsi"/>
          <w:sz w:val="21"/>
          <w:lang w:val="en-AU"/>
        </w:rPr>
        <w:t xml:space="preserve"> payment schedule may be subject to flexibility year on year within this total</w:t>
      </w:r>
      <w:r w:rsidR="00BF00DF" w:rsidRPr="00BA23EC">
        <w:rPr>
          <w:rFonts w:cstheme="minorHAnsi"/>
          <w:sz w:val="21"/>
          <w:lang w:val="en-AU"/>
        </w:rPr>
        <w:t xml:space="preserve">. The </w:t>
      </w:r>
      <w:r w:rsidR="007802F2" w:rsidRPr="00BA23EC">
        <w:rPr>
          <w:rFonts w:cstheme="minorHAnsi"/>
          <w:sz w:val="21"/>
          <w:lang w:val="en-AU"/>
        </w:rPr>
        <w:t xml:space="preserve">first </w:t>
      </w:r>
      <w:r w:rsidR="00D41928" w:rsidRPr="00BA23EC">
        <w:rPr>
          <w:rFonts w:cstheme="minorHAnsi"/>
          <w:sz w:val="21"/>
          <w:lang w:val="en-AU"/>
        </w:rPr>
        <w:t>AUD4</w:t>
      </w:r>
      <w:r w:rsidR="00A002E1">
        <w:rPr>
          <w:rFonts w:cstheme="minorHAnsi"/>
          <w:sz w:val="21"/>
          <w:lang w:val="en-AU"/>
        </w:rPr>
        <w:t xml:space="preserve"> </w:t>
      </w:r>
      <w:r w:rsidR="00D41928" w:rsidRPr="00BA23EC">
        <w:rPr>
          <w:rFonts w:cstheme="minorHAnsi"/>
          <w:sz w:val="21"/>
          <w:lang w:val="en-AU"/>
        </w:rPr>
        <w:t>m</w:t>
      </w:r>
      <w:r w:rsidR="00A002E1">
        <w:rPr>
          <w:rFonts w:cstheme="minorHAnsi"/>
          <w:sz w:val="21"/>
          <w:lang w:val="en-AU"/>
        </w:rPr>
        <w:t>illion</w:t>
      </w:r>
      <w:r w:rsidR="00D41928" w:rsidRPr="00BA23EC">
        <w:rPr>
          <w:rFonts w:cstheme="minorHAnsi"/>
          <w:sz w:val="21"/>
          <w:lang w:val="en-AU"/>
        </w:rPr>
        <w:t xml:space="preserve"> </w:t>
      </w:r>
      <w:r w:rsidR="007374E8" w:rsidRPr="00BA23EC">
        <w:rPr>
          <w:rFonts w:cstheme="minorHAnsi"/>
          <w:sz w:val="21"/>
          <w:lang w:val="en-AU"/>
        </w:rPr>
        <w:t xml:space="preserve">tranche payment </w:t>
      </w:r>
      <w:r w:rsidR="00A002E1">
        <w:rPr>
          <w:rFonts w:cstheme="minorHAnsi"/>
          <w:sz w:val="21"/>
          <w:lang w:val="en-AU"/>
        </w:rPr>
        <w:t xml:space="preserve">has </w:t>
      </w:r>
      <w:r w:rsidR="00D41928" w:rsidRPr="00BA23EC">
        <w:rPr>
          <w:rFonts w:cstheme="minorHAnsi"/>
          <w:sz w:val="21"/>
          <w:lang w:val="en-AU"/>
        </w:rPr>
        <w:t xml:space="preserve">been identified from savings within the 2022-23 </w:t>
      </w:r>
      <w:r w:rsidR="00267CAA" w:rsidRPr="00BA23EC">
        <w:rPr>
          <w:rFonts w:cstheme="minorHAnsi"/>
          <w:sz w:val="21"/>
          <w:lang w:val="en-AU"/>
        </w:rPr>
        <w:t xml:space="preserve">financial year </w:t>
      </w:r>
      <w:r w:rsidR="00D41928" w:rsidRPr="00BA23EC">
        <w:rPr>
          <w:rFonts w:cstheme="minorHAnsi"/>
          <w:sz w:val="21"/>
          <w:lang w:val="en-AU"/>
        </w:rPr>
        <w:t>development budget.</w:t>
      </w:r>
    </w:p>
    <w:p w14:paraId="4BA55040" w14:textId="2B2D84CB" w:rsidR="008D70E7" w:rsidRPr="00BA23EC" w:rsidRDefault="008D70E7" w:rsidP="00057F79">
      <w:pPr>
        <w:pStyle w:val="BodyText"/>
        <w:spacing w:before="0" w:after="120" w:line="280" w:lineRule="atLeast"/>
        <w:jc w:val="both"/>
        <w:rPr>
          <w:rFonts w:eastAsia="Times New Roman" w:cstheme="minorHAnsi"/>
          <w:sz w:val="21"/>
          <w:szCs w:val="21"/>
          <w:u w:val="single"/>
          <w:lang w:val="en-AU" w:eastAsia="en-AU"/>
        </w:rPr>
      </w:pPr>
      <w:r w:rsidRPr="00BA23EC">
        <w:rPr>
          <w:rFonts w:eastAsia="Times New Roman" w:cstheme="minorHAnsi"/>
          <w:sz w:val="21"/>
          <w:szCs w:val="21"/>
          <w:u w:val="single"/>
          <w:lang w:val="en-AU" w:eastAsia="en-AU"/>
        </w:rPr>
        <w:t>HT-MDTF Budget</w:t>
      </w:r>
    </w:p>
    <w:tbl>
      <w:tblPr>
        <w:tblStyle w:val="GridTable1Light"/>
        <w:tblW w:w="9776" w:type="dxa"/>
        <w:tblLayout w:type="fixed"/>
        <w:tblLook w:val="04A0" w:firstRow="1" w:lastRow="0" w:firstColumn="1" w:lastColumn="0" w:noHBand="0" w:noVBand="1"/>
      </w:tblPr>
      <w:tblGrid>
        <w:gridCol w:w="610"/>
        <w:gridCol w:w="4914"/>
        <w:gridCol w:w="1063"/>
        <w:gridCol w:w="1063"/>
        <w:gridCol w:w="1063"/>
        <w:gridCol w:w="1063"/>
      </w:tblGrid>
      <w:tr w:rsidR="006A232B" w:rsidRPr="00BA23EC" w14:paraId="255595C8" w14:textId="77777777" w:rsidTr="007115A1">
        <w:trPr>
          <w:cnfStyle w:val="100000000000" w:firstRow="1" w:lastRow="0" w:firstColumn="0" w:lastColumn="0" w:oddVBand="0" w:evenVBand="0" w:oddHBand="0" w:evenHBand="0" w:firstRowFirstColumn="0" w:firstRowLastColumn="0" w:lastRowFirstColumn="0" w:lastRowLastColumn="0"/>
          <w:trHeight w:hRule="exact" w:val="397"/>
          <w:tblHeader/>
        </w:trPr>
        <w:tc>
          <w:tcPr>
            <w:cnfStyle w:val="001000000000" w:firstRow="0" w:lastRow="0" w:firstColumn="1" w:lastColumn="0" w:oddVBand="0" w:evenVBand="0" w:oddHBand="0" w:evenHBand="0" w:firstRowFirstColumn="0" w:firstRowLastColumn="0" w:lastRowFirstColumn="0" w:lastRowLastColumn="0"/>
            <w:tcW w:w="610" w:type="dxa"/>
            <w:tcBorders>
              <w:bottom w:val="single" w:sz="4" w:space="0" w:color="auto"/>
            </w:tcBorders>
            <w:shd w:val="clear" w:color="auto" w:fill="E0F3EF" w:themeFill="accent1" w:themeFillTint="33"/>
          </w:tcPr>
          <w:p w14:paraId="3B55044F" w14:textId="77777777" w:rsidR="006A232B" w:rsidRPr="00BA23EC" w:rsidRDefault="006A232B" w:rsidP="006A232B">
            <w:pPr>
              <w:rPr>
                <w:rFonts w:cstheme="minorHAnsi"/>
                <w:sz w:val="21"/>
                <w:lang w:val="en-AU"/>
              </w:rPr>
            </w:pPr>
            <w:r w:rsidRPr="00BA23EC">
              <w:rPr>
                <w:rFonts w:cstheme="minorHAnsi"/>
                <w:sz w:val="21"/>
                <w:lang w:val="en-AU"/>
              </w:rPr>
              <w:t xml:space="preserve">No. </w:t>
            </w:r>
          </w:p>
        </w:tc>
        <w:tc>
          <w:tcPr>
            <w:tcW w:w="4914" w:type="dxa"/>
            <w:tcBorders>
              <w:bottom w:val="single" w:sz="4" w:space="0" w:color="auto"/>
            </w:tcBorders>
            <w:shd w:val="clear" w:color="auto" w:fill="E0F3EF" w:themeFill="accent1" w:themeFillTint="33"/>
          </w:tcPr>
          <w:p w14:paraId="47931F25" w14:textId="1F87FFF3" w:rsidR="006A232B" w:rsidRPr="00BA23EC" w:rsidRDefault="006A232B" w:rsidP="006A232B">
            <w:pPr>
              <w:cnfStyle w:val="100000000000" w:firstRow="1" w:lastRow="0" w:firstColumn="0" w:lastColumn="0" w:oddVBand="0" w:evenVBand="0" w:oddHBand="0" w:evenHBand="0" w:firstRowFirstColumn="0" w:firstRowLastColumn="0" w:lastRowFirstColumn="0" w:lastRowLastColumn="0"/>
              <w:rPr>
                <w:rFonts w:cstheme="minorHAnsi"/>
                <w:sz w:val="21"/>
                <w:lang w:val="en-AU"/>
              </w:rPr>
            </w:pPr>
            <w:r w:rsidRPr="00BA23EC">
              <w:rPr>
                <w:rFonts w:cstheme="minorHAnsi"/>
                <w:sz w:val="21"/>
                <w:lang w:val="en-AU"/>
              </w:rPr>
              <w:t>MDTF Budget Components (USD</w:t>
            </w:r>
            <w:r w:rsidR="00696D70">
              <w:rPr>
                <w:rFonts w:cstheme="minorHAnsi"/>
                <w:sz w:val="21"/>
                <w:lang w:val="en-AU"/>
              </w:rPr>
              <w:t xml:space="preserve"> million</w:t>
            </w:r>
            <w:r w:rsidRPr="00BA23EC">
              <w:rPr>
                <w:rFonts w:cstheme="minorHAnsi"/>
                <w:sz w:val="21"/>
                <w:lang w:val="en-AU"/>
              </w:rPr>
              <w:t>)</w:t>
            </w:r>
          </w:p>
        </w:tc>
        <w:tc>
          <w:tcPr>
            <w:tcW w:w="1063" w:type="dxa"/>
            <w:tcBorders>
              <w:bottom w:val="single" w:sz="4" w:space="0" w:color="auto"/>
            </w:tcBorders>
            <w:shd w:val="clear" w:color="auto" w:fill="E0F3EF" w:themeFill="accent1" w:themeFillTint="33"/>
          </w:tcPr>
          <w:p w14:paraId="721EB41E" w14:textId="69C5A20B" w:rsidR="006A232B" w:rsidRPr="00BA23EC" w:rsidRDefault="006A232B" w:rsidP="006A232B">
            <w:pPr>
              <w:cnfStyle w:val="100000000000" w:firstRow="1" w:lastRow="0" w:firstColumn="0" w:lastColumn="0" w:oddVBand="0" w:evenVBand="0" w:oddHBand="0" w:evenHBand="0" w:firstRowFirstColumn="0" w:firstRowLastColumn="0" w:lastRowFirstColumn="0" w:lastRowLastColumn="0"/>
              <w:rPr>
                <w:rFonts w:cstheme="minorHAnsi"/>
                <w:sz w:val="21"/>
                <w:lang w:val="en-AU"/>
              </w:rPr>
            </w:pPr>
            <w:r w:rsidRPr="00BA23EC">
              <w:rPr>
                <w:rFonts w:cstheme="minorHAnsi"/>
                <w:sz w:val="21"/>
                <w:lang w:val="en-AU"/>
              </w:rPr>
              <w:t>Year 1</w:t>
            </w:r>
          </w:p>
        </w:tc>
        <w:tc>
          <w:tcPr>
            <w:tcW w:w="1063" w:type="dxa"/>
            <w:tcBorders>
              <w:bottom w:val="single" w:sz="4" w:space="0" w:color="auto"/>
            </w:tcBorders>
            <w:shd w:val="clear" w:color="auto" w:fill="E0F3EF" w:themeFill="accent1" w:themeFillTint="33"/>
          </w:tcPr>
          <w:p w14:paraId="1EF0CF66" w14:textId="2508B074" w:rsidR="006A232B" w:rsidRPr="00BA23EC" w:rsidRDefault="006A232B" w:rsidP="006A232B">
            <w:pPr>
              <w:cnfStyle w:val="100000000000" w:firstRow="1" w:lastRow="0" w:firstColumn="0" w:lastColumn="0" w:oddVBand="0" w:evenVBand="0" w:oddHBand="0" w:evenHBand="0" w:firstRowFirstColumn="0" w:firstRowLastColumn="0" w:lastRowFirstColumn="0" w:lastRowLastColumn="0"/>
              <w:rPr>
                <w:rFonts w:cstheme="minorHAnsi"/>
                <w:sz w:val="21"/>
                <w:lang w:val="en-AU"/>
              </w:rPr>
            </w:pPr>
            <w:r w:rsidRPr="00BA23EC">
              <w:rPr>
                <w:rFonts w:cstheme="minorHAnsi"/>
                <w:sz w:val="21"/>
                <w:lang w:val="en-AU"/>
              </w:rPr>
              <w:t xml:space="preserve">Year 2 </w:t>
            </w:r>
          </w:p>
        </w:tc>
        <w:tc>
          <w:tcPr>
            <w:tcW w:w="1063" w:type="dxa"/>
            <w:tcBorders>
              <w:bottom w:val="single" w:sz="4" w:space="0" w:color="auto"/>
            </w:tcBorders>
            <w:shd w:val="clear" w:color="auto" w:fill="E0F3EF" w:themeFill="accent1" w:themeFillTint="33"/>
          </w:tcPr>
          <w:p w14:paraId="17513022" w14:textId="54E1F64C" w:rsidR="006A232B" w:rsidRPr="00BA23EC" w:rsidRDefault="006A232B" w:rsidP="006A232B">
            <w:pPr>
              <w:cnfStyle w:val="100000000000" w:firstRow="1" w:lastRow="0" w:firstColumn="0" w:lastColumn="0" w:oddVBand="0" w:evenVBand="0" w:oddHBand="0" w:evenHBand="0" w:firstRowFirstColumn="0" w:firstRowLastColumn="0" w:lastRowFirstColumn="0" w:lastRowLastColumn="0"/>
              <w:rPr>
                <w:rFonts w:cstheme="minorHAnsi"/>
                <w:sz w:val="21"/>
                <w:lang w:val="en-AU"/>
              </w:rPr>
            </w:pPr>
            <w:r w:rsidRPr="00BA23EC">
              <w:rPr>
                <w:rFonts w:cstheme="minorHAnsi"/>
                <w:sz w:val="21"/>
                <w:lang w:val="en-AU"/>
              </w:rPr>
              <w:t xml:space="preserve">Year 3 </w:t>
            </w:r>
          </w:p>
        </w:tc>
        <w:tc>
          <w:tcPr>
            <w:tcW w:w="1063" w:type="dxa"/>
            <w:tcBorders>
              <w:bottom w:val="single" w:sz="4" w:space="0" w:color="auto"/>
            </w:tcBorders>
            <w:shd w:val="clear" w:color="auto" w:fill="E0F3EF" w:themeFill="accent1" w:themeFillTint="33"/>
          </w:tcPr>
          <w:p w14:paraId="20B0450C" w14:textId="4FAB4037" w:rsidR="006A232B" w:rsidRPr="00BA23EC" w:rsidRDefault="006A232B" w:rsidP="006A232B">
            <w:pPr>
              <w:cnfStyle w:val="100000000000" w:firstRow="1" w:lastRow="0" w:firstColumn="0" w:lastColumn="0" w:oddVBand="0" w:evenVBand="0" w:oddHBand="0" w:evenHBand="0" w:firstRowFirstColumn="0" w:firstRowLastColumn="0" w:lastRowFirstColumn="0" w:lastRowLastColumn="0"/>
              <w:rPr>
                <w:rFonts w:cstheme="minorHAnsi"/>
                <w:sz w:val="21"/>
                <w:lang w:val="en-AU"/>
              </w:rPr>
            </w:pPr>
            <w:r w:rsidRPr="00BA23EC">
              <w:rPr>
                <w:rFonts w:cstheme="minorHAnsi"/>
                <w:sz w:val="21"/>
                <w:lang w:val="en-AU"/>
              </w:rPr>
              <w:t>Total</w:t>
            </w:r>
          </w:p>
        </w:tc>
      </w:tr>
      <w:tr w:rsidR="007B19F5" w:rsidRPr="00BA23EC" w14:paraId="634A4E4A" w14:textId="77777777" w:rsidTr="007115A1">
        <w:trPr>
          <w:trHeight w:hRule="exact" w:val="397"/>
        </w:trPr>
        <w:tc>
          <w:tcPr>
            <w:cnfStyle w:val="001000000000" w:firstRow="0" w:lastRow="0" w:firstColumn="1" w:lastColumn="0" w:oddVBand="0" w:evenVBand="0" w:oddHBand="0" w:evenHBand="0" w:firstRowFirstColumn="0" w:firstRowLastColumn="0" w:lastRowFirstColumn="0" w:lastRowLastColumn="0"/>
            <w:tcW w:w="610" w:type="dxa"/>
          </w:tcPr>
          <w:p w14:paraId="5F5FEAE0" w14:textId="77777777" w:rsidR="006A232B" w:rsidRPr="00BA23EC" w:rsidRDefault="006A232B" w:rsidP="006A232B">
            <w:pPr>
              <w:jc w:val="center"/>
              <w:rPr>
                <w:rFonts w:cstheme="minorHAnsi"/>
                <w:b w:val="0"/>
                <w:sz w:val="21"/>
                <w:lang w:val="en-AU"/>
              </w:rPr>
            </w:pPr>
            <w:r w:rsidRPr="00BA23EC">
              <w:rPr>
                <w:rFonts w:cstheme="minorHAnsi"/>
                <w:b w:val="0"/>
                <w:sz w:val="21"/>
                <w:lang w:val="en-AU"/>
              </w:rPr>
              <w:t>1</w:t>
            </w:r>
          </w:p>
        </w:tc>
        <w:tc>
          <w:tcPr>
            <w:tcW w:w="4914" w:type="dxa"/>
          </w:tcPr>
          <w:p w14:paraId="7DC28FAD" w14:textId="3EDB09A4" w:rsidR="006A232B" w:rsidRPr="00BA23EC" w:rsidRDefault="006A232B" w:rsidP="006A232B">
            <w:pPr>
              <w:jc w:val="both"/>
              <w:cnfStyle w:val="000000000000" w:firstRow="0" w:lastRow="0" w:firstColumn="0" w:lastColumn="0" w:oddVBand="0" w:evenVBand="0" w:oddHBand="0" w:evenHBand="0" w:firstRowFirstColumn="0" w:firstRowLastColumn="0" w:lastRowFirstColumn="0" w:lastRowLastColumn="0"/>
              <w:rPr>
                <w:rFonts w:cstheme="minorHAnsi"/>
                <w:sz w:val="21"/>
                <w:lang w:val="en-AU"/>
              </w:rPr>
            </w:pPr>
            <w:r w:rsidRPr="00BA23EC">
              <w:rPr>
                <w:rFonts w:cstheme="minorHAnsi"/>
                <w:sz w:val="21"/>
                <w:lang w:val="en-AU"/>
              </w:rPr>
              <w:t xml:space="preserve">Bank-Executed Trust Funds </w:t>
            </w:r>
          </w:p>
        </w:tc>
        <w:tc>
          <w:tcPr>
            <w:tcW w:w="1063" w:type="dxa"/>
          </w:tcPr>
          <w:p w14:paraId="2C0EED2A" w14:textId="77CB551E" w:rsidR="006A232B" w:rsidRPr="00BA23EC" w:rsidRDefault="006A232B" w:rsidP="006A232B">
            <w:pPr>
              <w:cnfStyle w:val="000000000000" w:firstRow="0" w:lastRow="0" w:firstColumn="0" w:lastColumn="0" w:oddVBand="0" w:evenVBand="0" w:oddHBand="0" w:evenHBand="0" w:firstRowFirstColumn="0" w:firstRowLastColumn="0" w:lastRowFirstColumn="0" w:lastRowLastColumn="0"/>
              <w:rPr>
                <w:rFonts w:cstheme="minorHAnsi"/>
                <w:sz w:val="21"/>
                <w:lang w:val="en-AU"/>
              </w:rPr>
            </w:pPr>
            <w:r w:rsidRPr="00BA23EC">
              <w:rPr>
                <w:rFonts w:cstheme="minorHAnsi"/>
                <w:sz w:val="21"/>
                <w:lang w:val="en-AU"/>
              </w:rPr>
              <w:t>1.5m</w:t>
            </w:r>
          </w:p>
        </w:tc>
        <w:tc>
          <w:tcPr>
            <w:tcW w:w="1063" w:type="dxa"/>
          </w:tcPr>
          <w:p w14:paraId="53AD2DE9" w14:textId="4E8D699E" w:rsidR="006A232B" w:rsidRPr="00BA23EC" w:rsidRDefault="006A232B" w:rsidP="006A232B">
            <w:pPr>
              <w:cnfStyle w:val="000000000000" w:firstRow="0" w:lastRow="0" w:firstColumn="0" w:lastColumn="0" w:oddVBand="0" w:evenVBand="0" w:oddHBand="0" w:evenHBand="0" w:firstRowFirstColumn="0" w:firstRowLastColumn="0" w:lastRowFirstColumn="0" w:lastRowLastColumn="0"/>
              <w:rPr>
                <w:rFonts w:cstheme="minorHAnsi"/>
                <w:sz w:val="21"/>
                <w:lang w:val="en-AU"/>
              </w:rPr>
            </w:pPr>
            <w:r w:rsidRPr="00BA23EC">
              <w:rPr>
                <w:rFonts w:cstheme="minorHAnsi"/>
                <w:sz w:val="21"/>
                <w:lang w:val="en-AU"/>
              </w:rPr>
              <w:t>1.5m</w:t>
            </w:r>
          </w:p>
        </w:tc>
        <w:tc>
          <w:tcPr>
            <w:tcW w:w="1063" w:type="dxa"/>
          </w:tcPr>
          <w:p w14:paraId="35C732B0" w14:textId="2219A6D8" w:rsidR="006A232B" w:rsidRPr="00BA23EC" w:rsidRDefault="006A232B" w:rsidP="006A232B">
            <w:pPr>
              <w:cnfStyle w:val="000000000000" w:firstRow="0" w:lastRow="0" w:firstColumn="0" w:lastColumn="0" w:oddVBand="0" w:evenVBand="0" w:oddHBand="0" w:evenHBand="0" w:firstRowFirstColumn="0" w:firstRowLastColumn="0" w:lastRowFirstColumn="0" w:lastRowLastColumn="0"/>
              <w:rPr>
                <w:rFonts w:cstheme="minorHAnsi"/>
                <w:sz w:val="21"/>
                <w:lang w:val="en-AU"/>
              </w:rPr>
            </w:pPr>
            <w:r w:rsidRPr="00BA23EC">
              <w:rPr>
                <w:rFonts w:cstheme="minorHAnsi"/>
                <w:sz w:val="21"/>
                <w:lang w:val="en-AU"/>
              </w:rPr>
              <w:t>1.5m</w:t>
            </w:r>
          </w:p>
        </w:tc>
        <w:tc>
          <w:tcPr>
            <w:tcW w:w="1063" w:type="dxa"/>
          </w:tcPr>
          <w:p w14:paraId="35F06B1F" w14:textId="4D227B25" w:rsidR="006A232B" w:rsidRPr="00BA23EC" w:rsidRDefault="006A232B" w:rsidP="006A232B">
            <w:pPr>
              <w:cnfStyle w:val="000000000000" w:firstRow="0" w:lastRow="0" w:firstColumn="0" w:lastColumn="0" w:oddVBand="0" w:evenVBand="0" w:oddHBand="0" w:evenHBand="0" w:firstRowFirstColumn="0" w:firstRowLastColumn="0" w:lastRowFirstColumn="0" w:lastRowLastColumn="0"/>
              <w:rPr>
                <w:rFonts w:cstheme="minorHAnsi"/>
                <w:sz w:val="21"/>
                <w:lang w:val="en-AU"/>
              </w:rPr>
            </w:pPr>
            <w:r w:rsidRPr="00BA23EC">
              <w:rPr>
                <w:rFonts w:cstheme="minorHAnsi"/>
                <w:sz w:val="21"/>
                <w:lang w:val="en-AU"/>
              </w:rPr>
              <w:t>4.5m</w:t>
            </w:r>
          </w:p>
        </w:tc>
      </w:tr>
      <w:tr w:rsidR="007B19F5" w:rsidRPr="00BA23EC" w14:paraId="4B2864C3" w14:textId="77777777" w:rsidTr="007115A1">
        <w:trPr>
          <w:trHeight w:hRule="exact" w:val="397"/>
        </w:trPr>
        <w:tc>
          <w:tcPr>
            <w:cnfStyle w:val="001000000000" w:firstRow="0" w:lastRow="0" w:firstColumn="1" w:lastColumn="0" w:oddVBand="0" w:evenVBand="0" w:oddHBand="0" w:evenHBand="0" w:firstRowFirstColumn="0" w:firstRowLastColumn="0" w:lastRowFirstColumn="0" w:lastRowLastColumn="0"/>
            <w:tcW w:w="610" w:type="dxa"/>
          </w:tcPr>
          <w:p w14:paraId="34AA5868" w14:textId="77777777" w:rsidR="006A232B" w:rsidRPr="00BA23EC" w:rsidRDefault="006A232B" w:rsidP="006A232B">
            <w:pPr>
              <w:jc w:val="center"/>
              <w:rPr>
                <w:rFonts w:cstheme="minorHAnsi"/>
                <w:b w:val="0"/>
                <w:sz w:val="21"/>
                <w:lang w:val="en-AU"/>
              </w:rPr>
            </w:pPr>
            <w:r w:rsidRPr="00BA23EC">
              <w:rPr>
                <w:rFonts w:cstheme="minorHAnsi"/>
                <w:b w:val="0"/>
                <w:sz w:val="21"/>
                <w:lang w:val="en-AU"/>
              </w:rPr>
              <w:t>2</w:t>
            </w:r>
          </w:p>
        </w:tc>
        <w:tc>
          <w:tcPr>
            <w:tcW w:w="4914" w:type="dxa"/>
          </w:tcPr>
          <w:p w14:paraId="060E5A5D" w14:textId="2AC7B795" w:rsidR="006A232B" w:rsidRPr="00BA23EC" w:rsidRDefault="006A232B" w:rsidP="006A232B">
            <w:pPr>
              <w:jc w:val="both"/>
              <w:cnfStyle w:val="000000000000" w:firstRow="0" w:lastRow="0" w:firstColumn="0" w:lastColumn="0" w:oddVBand="0" w:evenVBand="0" w:oddHBand="0" w:evenHBand="0" w:firstRowFirstColumn="0" w:firstRowLastColumn="0" w:lastRowFirstColumn="0" w:lastRowLastColumn="0"/>
              <w:rPr>
                <w:rFonts w:cstheme="minorHAnsi"/>
                <w:sz w:val="21"/>
                <w:lang w:val="en-AU"/>
              </w:rPr>
            </w:pPr>
            <w:r w:rsidRPr="00BA23EC">
              <w:rPr>
                <w:rFonts w:cstheme="minorHAnsi"/>
                <w:sz w:val="21"/>
                <w:lang w:val="en-AU"/>
              </w:rPr>
              <w:t xml:space="preserve">Recipient-Executed Trust Funds by MDTF Secretariat </w:t>
            </w:r>
          </w:p>
        </w:tc>
        <w:tc>
          <w:tcPr>
            <w:tcW w:w="1063" w:type="dxa"/>
          </w:tcPr>
          <w:p w14:paraId="6FAD4752" w14:textId="166A6B98" w:rsidR="006A232B" w:rsidRPr="00BA23EC" w:rsidRDefault="006A232B" w:rsidP="006A232B">
            <w:pPr>
              <w:cnfStyle w:val="000000000000" w:firstRow="0" w:lastRow="0" w:firstColumn="0" w:lastColumn="0" w:oddVBand="0" w:evenVBand="0" w:oddHBand="0" w:evenHBand="0" w:firstRowFirstColumn="0" w:firstRowLastColumn="0" w:lastRowFirstColumn="0" w:lastRowLastColumn="0"/>
              <w:rPr>
                <w:rFonts w:cstheme="minorHAnsi"/>
                <w:sz w:val="21"/>
                <w:lang w:val="en-AU"/>
              </w:rPr>
            </w:pPr>
            <w:r w:rsidRPr="00BA23EC">
              <w:rPr>
                <w:rFonts w:cstheme="minorHAnsi"/>
                <w:sz w:val="21"/>
                <w:lang w:val="en-AU"/>
              </w:rPr>
              <w:t>13.5m</w:t>
            </w:r>
          </w:p>
        </w:tc>
        <w:tc>
          <w:tcPr>
            <w:tcW w:w="1063" w:type="dxa"/>
          </w:tcPr>
          <w:p w14:paraId="65961510" w14:textId="3B0FCF33" w:rsidR="006A232B" w:rsidRPr="00BA23EC" w:rsidRDefault="006A232B" w:rsidP="006A232B">
            <w:pPr>
              <w:cnfStyle w:val="000000000000" w:firstRow="0" w:lastRow="0" w:firstColumn="0" w:lastColumn="0" w:oddVBand="0" w:evenVBand="0" w:oddHBand="0" w:evenHBand="0" w:firstRowFirstColumn="0" w:firstRowLastColumn="0" w:lastRowFirstColumn="0" w:lastRowLastColumn="0"/>
              <w:rPr>
                <w:rFonts w:cstheme="minorHAnsi"/>
                <w:sz w:val="21"/>
                <w:lang w:val="en-AU"/>
              </w:rPr>
            </w:pPr>
            <w:r w:rsidRPr="00BA23EC">
              <w:rPr>
                <w:rFonts w:cstheme="minorHAnsi"/>
                <w:sz w:val="21"/>
                <w:lang w:val="en-AU"/>
              </w:rPr>
              <w:t>13.5m</w:t>
            </w:r>
          </w:p>
        </w:tc>
        <w:tc>
          <w:tcPr>
            <w:tcW w:w="1063" w:type="dxa"/>
          </w:tcPr>
          <w:p w14:paraId="49B305D1" w14:textId="75E81290" w:rsidR="006A232B" w:rsidRPr="00BA23EC" w:rsidRDefault="006A232B" w:rsidP="006A232B">
            <w:pPr>
              <w:cnfStyle w:val="000000000000" w:firstRow="0" w:lastRow="0" w:firstColumn="0" w:lastColumn="0" w:oddVBand="0" w:evenVBand="0" w:oddHBand="0" w:evenHBand="0" w:firstRowFirstColumn="0" w:firstRowLastColumn="0" w:lastRowFirstColumn="0" w:lastRowLastColumn="0"/>
              <w:rPr>
                <w:rFonts w:cstheme="minorHAnsi"/>
                <w:sz w:val="21"/>
                <w:lang w:val="en-AU"/>
              </w:rPr>
            </w:pPr>
            <w:r w:rsidRPr="00BA23EC">
              <w:rPr>
                <w:rFonts w:cstheme="minorHAnsi"/>
                <w:sz w:val="21"/>
                <w:lang w:val="en-AU"/>
              </w:rPr>
              <w:t>13.5m</w:t>
            </w:r>
          </w:p>
        </w:tc>
        <w:tc>
          <w:tcPr>
            <w:tcW w:w="1063" w:type="dxa"/>
          </w:tcPr>
          <w:p w14:paraId="73F2F831" w14:textId="6D6813DF" w:rsidR="006A232B" w:rsidRPr="00BA23EC" w:rsidRDefault="006A232B" w:rsidP="006A232B">
            <w:pPr>
              <w:cnfStyle w:val="000000000000" w:firstRow="0" w:lastRow="0" w:firstColumn="0" w:lastColumn="0" w:oddVBand="0" w:evenVBand="0" w:oddHBand="0" w:evenHBand="0" w:firstRowFirstColumn="0" w:firstRowLastColumn="0" w:lastRowFirstColumn="0" w:lastRowLastColumn="0"/>
              <w:rPr>
                <w:rFonts w:cstheme="minorHAnsi"/>
                <w:sz w:val="21"/>
                <w:lang w:val="en-AU"/>
              </w:rPr>
            </w:pPr>
            <w:r w:rsidRPr="00BA23EC">
              <w:rPr>
                <w:rFonts w:cstheme="minorHAnsi"/>
                <w:sz w:val="21"/>
                <w:lang w:val="en-AU"/>
              </w:rPr>
              <w:t>40.5m</w:t>
            </w:r>
          </w:p>
        </w:tc>
      </w:tr>
      <w:tr w:rsidR="007B19F5" w:rsidRPr="00BA23EC" w14:paraId="2839FA0D" w14:textId="77777777" w:rsidTr="007115A1">
        <w:trPr>
          <w:trHeight w:hRule="exact" w:val="397"/>
        </w:trPr>
        <w:tc>
          <w:tcPr>
            <w:cnfStyle w:val="001000000000" w:firstRow="0" w:lastRow="0" w:firstColumn="1" w:lastColumn="0" w:oddVBand="0" w:evenVBand="0" w:oddHBand="0" w:evenHBand="0" w:firstRowFirstColumn="0" w:firstRowLastColumn="0" w:lastRowFirstColumn="0" w:lastRowLastColumn="0"/>
            <w:tcW w:w="610" w:type="dxa"/>
          </w:tcPr>
          <w:p w14:paraId="67AE7B82" w14:textId="77777777" w:rsidR="006A232B" w:rsidRPr="00BA23EC" w:rsidRDefault="006A232B" w:rsidP="006A232B">
            <w:pPr>
              <w:rPr>
                <w:rFonts w:cstheme="minorHAnsi"/>
                <w:b w:val="0"/>
                <w:sz w:val="21"/>
                <w:lang w:val="en-AU"/>
              </w:rPr>
            </w:pPr>
          </w:p>
        </w:tc>
        <w:tc>
          <w:tcPr>
            <w:tcW w:w="4914" w:type="dxa"/>
          </w:tcPr>
          <w:p w14:paraId="2BC50EEF" w14:textId="77777777" w:rsidR="006A232B" w:rsidRPr="00BA23EC" w:rsidRDefault="006A232B" w:rsidP="006A232B">
            <w:pPr>
              <w:cnfStyle w:val="000000000000" w:firstRow="0" w:lastRow="0" w:firstColumn="0" w:lastColumn="0" w:oddVBand="0" w:evenVBand="0" w:oddHBand="0" w:evenHBand="0" w:firstRowFirstColumn="0" w:firstRowLastColumn="0" w:lastRowFirstColumn="0" w:lastRowLastColumn="0"/>
              <w:rPr>
                <w:rFonts w:cstheme="minorHAnsi"/>
                <w:sz w:val="21"/>
                <w:lang w:val="en-AU"/>
              </w:rPr>
            </w:pPr>
            <w:r w:rsidRPr="00BA23EC">
              <w:rPr>
                <w:rFonts w:cstheme="minorHAnsi"/>
                <w:sz w:val="21"/>
                <w:lang w:val="en-AU"/>
              </w:rPr>
              <w:t>Total</w:t>
            </w:r>
          </w:p>
        </w:tc>
        <w:tc>
          <w:tcPr>
            <w:tcW w:w="1063" w:type="dxa"/>
          </w:tcPr>
          <w:p w14:paraId="41DA9F18" w14:textId="0BAE5C19" w:rsidR="006A232B" w:rsidRPr="00BA23EC" w:rsidRDefault="006A232B" w:rsidP="006A232B">
            <w:pPr>
              <w:cnfStyle w:val="000000000000" w:firstRow="0" w:lastRow="0" w:firstColumn="0" w:lastColumn="0" w:oddVBand="0" w:evenVBand="0" w:oddHBand="0" w:evenHBand="0" w:firstRowFirstColumn="0" w:firstRowLastColumn="0" w:lastRowFirstColumn="0" w:lastRowLastColumn="0"/>
              <w:rPr>
                <w:rFonts w:cstheme="minorHAnsi"/>
                <w:sz w:val="21"/>
                <w:lang w:val="en-AU"/>
              </w:rPr>
            </w:pPr>
            <w:r w:rsidRPr="00BA23EC">
              <w:rPr>
                <w:rFonts w:cstheme="minorHAnsi"/>
                <w:sz w:val="21"/>
                <w:lang w:val="en-AU"/>
              </w:rPr>
              <w:t>15m</w:t>
            </w:r>
          </w:p>
        </w:tc>
        <w:tc>
          <w:tcPr>
            <w:tcW w:w="1063" w:type="dxa"/>
          </w:tcPr>
          <w:p w14:paraId="7B16455D" w14:textId="688CA021" w:rsidR="006A232B" w:rsidRPr="00BA23EC" w:rsidRDefault="006A232B" w:rsidP="006A232B">
            <w:pPr>
              <w:cnfStyle w:val="000000000000" w:firstRow="0" w:lastRow="0" w:firstColumn="0" w:lastColumn="0" w:oddVBand="0" w:evenVBand="0" w:oddHBand="0" w:evenHBand="0" w:firstRowFirstColumn="0" w:firstRowLastColumn="0" w:lastRowFirstColumn="0" w:lastRowLastColumn="0"/>
              <w:rPr>
                <w:rFonts w:cstheme="minorHAnsi"/>
                <w:sz w:val="21"/>
                <w:lang w:val="en-AU"/>
              </w:rPr>
            </w:pPr>
            <w:r w:rsidRPr="00BA23EC">
              <w:rPr>
                <w:rFonts w:cstheme="minorHAnsi"/>
                <w:sz w:val="21"/>
                <w:lang w:val="en-AU"/>
              </w:rPr>
              <w:t>15m</w:t>
            </w:r>
          </w:p>
        </w:tc>
        <w:tc>
          <w:tcPr>
            <w:tcW w:w="1063" w:type="dxa"/>
          </w:tcPr>
          <w:p w14:paraId="20700556" w14:textId="631D12D3" w:rsidR="006A232B" w:rsidRPr="00BA23EC" w:rsidRDefault="006A232B" w:rsidP="006A232B">
            <w:pPr>
              <w:cnfStyle w:val="000000000000" w:firstRow="0" w:lastRow="0" w:firstColumn="0" w:lastColumn="0" w:oddVBand="0" w:evenVBand="0" w:oddHBand="0" w:evenHBand="0" w:firstRowFirstColumn="0" w:firstRowLastColumn="0" w:lastRowFirstColumn="0" w:lastRowLastColumn="0"/>
              <w:rPr>
                <w:rFonts w:cstheme="minorHAnsi"/>
                <w:sz w:val="21"/>
                <w:lang w:val="en-AU"/>
              </w:rPr>
            </w:pPr>
            <w:r w:rsidRPr="00BA23EC">
              <w:rPr>
                <w:rFonts w:cstheme="minorHAnsi"/>
                <w:sz w:val="21"/>
                <w:lang w:val="en-AU"/>
              </w:rPr>
              <w:t>15m</w:t>
            </w:r>
          </w:p>
        </w:tc>
        <w:tc>
          <w:tcPr>
            <w:tcW w:w="1063" w:type="dxa"/>
          </w:tcPr>
          <w:p w14:paraId="04897429" w14:textId="4CCF4F71" w:rsidR="006A232B" w:rsidRPr="00BA23EC" w:rsidRDefault="006A232B" w:rsidP="006A232B">
            <w:pPr>
              <w:cnfStyle w:val="000000000000" w:firstRow="0" w:lastRow="0" w:firstColumn="0" w:lastColumn="0" w:oddVBand="0" w:evenVBand="0" w:oddHBand="0" w:evenHBand="0" w:firstRowFirstColumn="0" w:firstRowLastColumn="0" w:lastRowFirstColumn="0" w:lastRowLastColumn="0"/>
              <w:rPr>
                <w:rFonts w:cstheme="minorHAnsi"/>
                <w:b/>
                <w:sz w:val="21"/>
                <w:lang w:val="en-AU"/>
              </w:rPr>
            </w:pPr>
            <w:r w:rsidRPr="00BA23EC">
              <w:rPr>
                <w:rFonts w:cstheme="minorHAnsi"/>
                <w:b/>
                <w:sz w:val="21"/>
                <w:lang w:val="en-AU"/>
              </w:rPr>
              <w:t>45m</w:t>
            </w:r>
          </w:p>
        </w:tc>
      </w:tr>
    </w:tbl>
    <w:p w14:paraId="4663F263" w14:textId="0D7DC4B7" w:rsidR="00C61524" w:rsidRDefault="00C61524" w:rsidP="00FD2DF1">
      <w:pPr>
        <w:tabs>
          <w:tab w:val="left" w:pos="284"/>
        </w:tabs>
        <w:suppressAutoHyphens w:val="0"/>
        <w:spacing w:before="0" w:line="280" w:lineRule="exact"/>
        <w:jc w:val="both"/>
        <w:rPr>
          <w:rFonts w:cstheme="minorHAnsi"/>
          <w:lang w:val="en-AU"/>
        </w:rPr>
      </w:pPr>
    </w:p>
    <w:p w14:paraId="2CF06BC9" w14:textId="77777777" w:rsidR="000277AB" w:rsidRPr="00BA23EC" w:rsidRDefault="000277AB" w:rsidP="00FD2DF1">
      <w:pPr>
        <w:tabs>
          <w:tab w:val="left" w:pos="284"/>
        </w:tabs>
        <w:suppressAutoHyphens w:val="0"/>
        <w:spacing w:before="0" w:line="280" w:lineRule="exact"/>
        <w:jc w:val="both"/>
        <w:rPr>
          <w:rFonts w:cstheme="minorHAnsi"/>
          <w:lang w:val="en-AU"/>
        </w:rPr>
      </w:pPr>
    </w:p>
    <w:p w14:paraId="695FD4DF" w14:textId="7A2C511A" w:rsidR="00734A29" w:rsidRPr="00BA23EC" w:rsidRDefault="000277AB" w:rsidP="000277AB">
      <w:pPr>
        <w:tabs>
          <w:tab w:val="left" w:pos="284"/>
        </w:tabs>
        <w:suppressAutoHyphens w:val="0"/>
        <w:spacing w:before="0" w:line="280" w:lineRule="exact"/>
        <w:jc w:val="both"/>
        <w:rPr>
          <w:rFonts w:cstheme="minorHAnsi"/>
          <w:sz w:val="21"/>
          <w:lang w:val="en-AU"/>
        </w:rPr>
      </w:pPr>
      <w:r w:rsidRPr="00BA23EC">
        <w:rPr>
          <w:rFonts w:cstheme="minorHAnsi"/>
          <w:sz w:val="21"/>
          <w:lang w:val="en-AU"/>
        </w:rPr>
        <w:lastRenderedPageBreak/>
        <w:t>Other interested donors include G</w:t>
      </w:r>
      <w:r>
        <w:rPr>
          <w:rFonts w:cstheme="minorHAnsi"/>
          <w:sz w:val="21"/>
          <w:lang w:val="en-AU"/>
        </w:rPr>
        <w:t>avi (the Vaccine Alliance)</w:t>
      </w:r>
      <w:r w:rsidRPr="00BA23EC">
        <w:rPr>
          <w:rFonts w:cstheme="minorHAnsi"/>
          <w:sz w:val="21"/>
          <w:lang w:val="en-AU"/>
        </w:rPr>
        <w:t>, Gates Foundation, USAID</w:t>
      </w:r>
      <w:r>
        <w:rPr>
          <w:rFonts w:cstheme="minorHAnsi"/>
          <w:sz w:val="21"/>
          <w:lang w:val="en-AU"/>
        </w:rPr>
        <w:t xml:space="preserve">, and </w:t>
      </w:r>
      <w:r w:rsidRPr="00BA23EC">
        <w:rPr>
          <w:rFonts w:cstheme="minorHAnsi"/>
          <w:sz w:val="21"/>
          <w:lang w:val="en-AU"/>
        </w:rPr>
        <w:t>Global Fund</w:t>
      </w:r>
      <w:r>
        <w:rPr>
          <w:rFonts w:cstheme="minorHAnsi"/>
          <w:sz w:val="21"/>
          <w:lang w:val="en-AU"/>
        </w:rPr>
        <w:t>. Early signs already indicate that the full funding target of USD45 million is likely to be reached with the Global Fund to contribute USD20 million and</w:t>
      </w:r>
      <w:r w:rsidRPr="00BA23EC">
        <w:rPr>
          <w:rFonts w:cstheme="minorHAnsi"/>
          <w:sz w:val="21"/>
          <w:lang w:val="en-AU"/>
        </w:rPr>
        <w:t xml:space="preserve"> USAID </w:t>
      </w:r>
      <w:r>
        <w:rPr>
          <w:rFonts w:cstheme="minorHAnsi"/>
          <w:sz w:val="21"/>
          <w:lang w:val="en-AU"/>
        </w:rPr>
        <w:t>providing an</w:t>
      </w:r>
      <w:r w:rsidRPr="00BA23EC">
        <w:rPr>
          <w:rFonts w:cstheme="minorHAnsi"/>
          <w:sz w:val="21"/>
          <w:lang w:val="en-AU"/>
        </w:rPr>
        <w:t xml:space="preserve"> initial contribution </w:t>
      </w:r>
      <w:r>
        <w:rPr>
          <w:rFonts w:cstheme="minorHAnsi"/>
          <w:sz w:val="21"/>
          <w:lang w:val="en-AU"/>
        </w:rPr>
        <w:t xml:space="preserve">of </w:t>
      </w:r>
      <w:r w:rsidRPr="00BA23EC">
        <w:rPr>
          <w:rFonts w:cstheme="minorHAnsi"/>
          <w:sz w:val="21"/>
          <w:lang w:val="en-AU"/>
        </w:rPr>
        <w:t>around USD2 million, with the possibility of future increases.</w:t>
      </w:r>
      <w:r>
        <w:rPr>
          <w:rFonts w:cstheme="minorHAnsi"/>
          <w:sz w:val="21"/>
          <w:lang w:val="en-AU"/>
        </w:rPr>
        <w:t xml:space="preserve"> HT-MDTF activities will be able to commence in the Q2 2023/24, despite the staggered entry of donors. MoH will be strongly encouraging any future donors that wish to contribute to health system strengthening in Indonesia to funnel this support through the HT-MDTF. </w:t>
      </w:r>
      <w:r w:rsidR="00734A29" w:rsidRPr="00BA23EC">
        <w:rPr>
          <w:rFonts w:cstheme="minorHAnsi"/>
          <w:sz w:val="21"/>
          <w:lang w:val="en-AU"/>
        </w:rPr>
        <w:t xml:space="preserve">The HT-MDTF aims to leverage much larger funding amounts through </w:t>
      </w:r>
      <w:proofErr w:type="spellStart"/>
      <w:r w:rsidR="00734A29" w:rsidRPr="00BA23EC">
        <w:rPr>
          <w:rFonts w:cstheme="minorHAnsi"/>
          <w:sz w:val="21"/>
          <w:lang w:val="en-AU"/>
        </w:rPr>
        <w:t>GoI</w:t>
      </w:r>
      <w:proofErr w:type="spellEnd"/>
      <w:r w:rsidR="00734A29" w:rsidRPr="00BA23EC">
        <w:rPr>
          <w:rFonts w:cstheme="minorHAnsi"/>
          <w:sz w:val="21"/>
          <w:lang w:val="en-AU"/>
        </w:rPr>
        <w:t xml:space="preserve"> budget, World Bank lending, and other donor contributions.</w:t>
      </w:r>
      <w:r w:rsidR="00525B7A">
        <w:rPr>
          <w:rFonts w:cstheme="minorHAnsi"/>
          <w:sz w:val="21"/>
          <w:lang w:val="en-AU"/>
        </w:rPr>
        <w:t xml:space="preserve"> </w:t>
      </w:r>
      <w:r w:rsidR="00734A29" w:rsidRPr="00BA23EC">
        <w:rPr>
          <w:rFonts w:cstheme="minorHAnsi"/>
          <w:sz w:val="21"/>
          <w:lang w:val="en-AU"/>
        </w:rPr>
        <w:t xml:space="preserve">Australian funding will not be earmarked to any specific </w:t>
      </w:r>
      <w:r w:rsidRPr="00BA23EC">
        <w:rPr>
          <w:rFonts w:cstheme="minorHAnsi"/>
          <w:sz w:val="21"/>
          <w:lang w:val="en-AU"/>
        </w:rPr>
        <w:t>priorities;</w:t>
      </w:r>
      <w:r w:rsidR="00734A29" w:rsidRPr="00BA23EC">
        <w:rPr>
          <w:rFonts w:cstheme="minorHAnsi"/>
          <w:sz w:val="21"/>
          <w:lang w:val="en-AU"/>
        </w:rPr>
        <w:t xml:space="preserve"> however, this option could be explored should this be of interest to our health development partnership with </w:t>
      </w:r>
      <w:proofErr w:type="spellStart"/>
      <w:r w:rsidR="00734A29" w:rsidRPr="00BA23EC">
        <w:rPr>
          <w:rFonts w:cstheme="minorHAnsi"/>
          <w:sz w:val="21"/>
          <w:lang w:val="en-AU"/>
        </w:rPr>
        <w:t>GoI</w:t>
      </w:r>
      <w:proofErr w:type="spellEnd"/>
      <w:r w:rsidR="00734A29" w:rsidRPr="00BA23EC">
        <w:rPr>
          <w:rFonts w:cstheme="minorHAnsi"/>
          <w:sz w:val="21"/>
          <w:lang w:val="en-AU"/>
        </w:rPr>
        <w:t>.</w:t>
      </w:r>
    </w:p>
    <w:p w14:paraId="15EDC35D" w14:textId="54F4C4D5" w:rsidR="00BF1A7F" w:rsidRPr="00BA23EC" w:rsidRDefault="00734A29" w:rsidP="00FD2DF1">
      <w:pPr>
        <w:tabs>
          <w:tab w:val="left" w:pos="284"/>
        </w:tabs>
        <w:suppressAutoHyphens w:val="0"/>
        <w:spacing w:before="0" w:line="280" w:lineRule="exact"/>
        <w:jc w:val="both"/>
        <w:rPr>
          <w:rFonts w:cstheme="minorHAnsi"/>
          <w:sz w:val="21"/>
          <w:u w:val="single"/>
          <w:lang w:val="en-AU"/>
        </w:rPr>
      </w:pPr>
      <w:r w:rsidRPr="00BA23EC">
        <w:rPr>
          <w:rFonts w:cstheme="minorHAnsi"/>
          <w:sz w:val="21"/>
          <w:u w:val="single"/>
          <w:lang w:val="en-AU"/>
        </w:rPr>
        <w:t>Resourcing</w:t>
      </w:r>
    </w:p>
    <w:p w14:paraId="7851191E" w14:textId="1BC46B96" w:rsidR="00764AD9" w:rsidRDefault="00716BDA" w:rsidP="009741CD">
      <w:pPr>
        <w:tabs>
          <w:tab w:val="left" w:pos="284"/>
        </w:tabs>
        <w:suppressAutoHyphens w:val="0"/>
        <w:spacing w:before="0" w:line="280" w:lineRule="exact"/>
        <w:jc w:val="both"/>
        <w:rPr>
          <w:rFonts w:cstheme="minorHAnsi"/>
          <w:sz w:val="21"/>
          <w:lang w:val="en-AU"/>
        </w:rPr>
      </w:pPr>
      <w:r w:rsidRPr="00BA23EC">
        <w:rPr>
          <w:rFonts w:cstheme="minorHAnsi"/>
          <w:sz w:val="21"/>
          <w:lang w:val="en-AU"/>
        </w:rPr>
        <w:t xml:space="preserve">The HT-MDTF investment will be managed by </w:t>
      </w:r>
      <w:r w:rsidR="002D4B1C">
        <w:rPr>
          <w:rFonts w:cstheme="minorHAnsi"/>
          <w:sz w:val="21"/>
          <w:lang w:val="en-AU"/>
        </w:rPr>
        <w:t xml:space="preserve">the </w:t>
      </w:r>
      <w:r w:rsidRPr="00BA23EC">
        <w:rPr>
          <w:rFonts w:cstheme="minorHAnsi"/>
          <w:sz w:val="21"/>
          <w:lang w:val="en-AU"/>
        </w:rPr>
        <w:t xml:space="preserve">Jakarta Health team at post, led by </w:t>
      </w:r>
      <w:r w:rsidR="00D435B7" w:rsidRPr="00BA23EC">
        <w:rPr>
          <w:rFonts w:cstheme="minorHAnsi"/>
          <w:sz w:val="21"/>
          <w:lang w:val="en-AU"/>
        </w:rPr>
        <w:t xml:space="preserve">the </w:t>
      </w:r>
      <w:r w:rsidRPr="00BA23EC">
        <w:rPr>
          <w:rFonts w:cstheme="minorHAnsi"/>
          <w:sz w:val="21"/>
          <w:lang w:val="en-AU"/>
        </w:rPr>
        <w:t>Second Secretary</w:t>
      </w:r>
      <w:r w:rsidR="00827283" w:rsidRPr="00BA23EC">
        <w:rPr>
          <w:rFonts w:cstheme="minorHAnsi"/>
          <w:sz w:val="21"/>
          <w:lang w:val="en-AU"/>
        </w:rPr>
        <w:t xml:space="preserve"> </w:t>
      </w:r>
      <w:r w:rsidR="00B757F9">
        <w:rPr>
          <w:rFonts w:cstheme="minorHAnsi"/>
          <w:sz w:val="21"/>
          <w:lang w:val="en-AU"/>
        </w:rPr>
        <w:t>including diplomatic</w:t>
      </w:r>
      <w:r w:rsidR="00BA5F6D">
        <w:rPr>
          <w:rFonts w:cstheme="minorHAnsi"/>
          <w:sz w:val="21"/>
          <w:lang w:val="en-AU"/>
        </w:rPr>
        <w:t xml:space="preserve"> engagement</w:t>
      </w:r>
      <w:r w:rsidRPr="00BA23EC">
        <w:rPr>
          <w:rFonts w:cstheme="minorHAnsi"/>
          <w:sz w:val="21"/>
          <w:lang w:val="en-AU"/>
        </w:rPr>
        <w:t xml:space="preserve">, </w:t>
      </w:r>
      <w:r w:rsidR="003E60F4">
        <w:rPr>
          <w:rFonts w:cstheme="minorHAnsi"/>
          <w:sz w:val="21"/>
          <w:lang w:val="en-AU"/>
        </w:rPr>
        <w:t>partner engagement, program governance</w:t>
      </w:r>
      <w:r w:rsidR="00541914">
        <w:rPr>
          <w:rFonts w:cstheme="minorHAnsi"/>
          <w:sz w:val="21"/>
          <w:lang w:val="en-AU"/>
        </w:rPr>
        <w:t xml:space="preserve">, risk </w:t>
      </w:r>
      <w:r w:rsidR="003E60F4">
        <w:rPr>
          <w:rFonts w:cstheme="minorHAnsi"/>
          <w:sz w:val="21"/>
          <w:lang w:val="en-AU"/>
        </w:rPr>
        <w:t xml:space="preserve">management, </w:t>
      </w:r>
      <w:r w:rsidR="00C32DEC">
        <w:rPr>
          <w:rFonts w:cstheme="minorHAnsi"/>
          <w:sz w:val="21"/>
          <w:lang w:val="en-AU"/>
        </w:rPr>
        <w:t xml:space="preserve">and </w:t>
      </w:r>
      <w:r w:rsidR="003E60F4">
        <w:rPr>
          <w:rFonts w:cstheme="minorHAnsi"/>
          <w:sz w:val="21"/>
          <w:lang w:val="en-AU"/>
        </w:rPr>
        <w:t xml:space="preserve">investment monitoring </w:t>
      </w:r>
      <w:r w:rsidR="00B50443" w:rsidRPr="00BA23EC">
        <w:rPr>
          <w:rFonts w:cstheme="minorHAnsi"/>
          <w:sz w:val="21"/>
          <w:lang w:val="en-AU"/>
        </w:rPr>
        <w:t xml:space="preserve">Due to the increased demand on </w:t>
      </w:r>
      <w:r w:rsidR="00E8599D" w:rsidRPr="00BA23EC">
        <w:rPr>
          <w:rFonts w:cstheme="minorHAnsi"/>
          <w:sz w:val="21"/>
          <w:lang w:val="en-AU"/>
        </w:rPr>
        <w:t xml:space="preserve">Jakarta health team, Post is currently bidding for an additional </w:t>
      </w:r>
      <w:r w:rsidR="0083347B">
        <w:rPr>
          <w:rFonts w:cstheme="minorHAnsi"/>
          <w:sz w:val="21"/>
          <w:lang w:val="en-AU"/>
        </w:rPr>
        <w:t xml:space="preserve">locally engaged staff position </w:t>
      </w:r>
      <w:r w:rsidR="00A34561">
        <w:rPr>
          <w:rFonts w:cstheme="minorHAnsi"/>
          <w:sz w:val="21"/>
          <w:lang w:val="en-AU"/>
        </w:rPr>
        <w:t>(LE5 – Program Mana</w:t>
      </w:r>
      <w:r w:rsidR="00764AD9">
        <w:rPr>
          <w:rFonts w:cstheme="minorHAnsi"/>
          <w:sz w:val="21"/>
          <w:lang w:val="en-AU"/>
        </w:rPr>
        <w:t xml:space="preserve">ger) </w:t>
      </w:r>
      <w:r w:rsidR="00E00C21" w:rsidRPr="00BA23EC">
        <w:rPr>
          <w:rFonts w:cstheme="minorHAnsi"/>
          <w:sz w:val="21"/>
          <w:lang w:val="en-AU"/>
        </w:rPr>
        <w:t xml:space="preserve">to </w:t>
      </w:r>
      <w:r w:rsidR="0083347B">
        <w:rPr>
          <w:rFonts w:cstheme="minorHAnsi"/>
          <w:sz w:val="21"/>
          <w:lang w:val="en-AU"/>
        </w:rPr>
        <w:t xml:space="preserve">support the management of </w:t>
      </w:r>
      <w:r w:rsidR="00E00C21" w:rsidRPr="00BA23EC">
        <w:rPr>
          <w:rFonts w:cstheme="minorHAnsi"/>
          <w:sz w:val="21"/>
          <w:lang w:val="en-AU"/>
        </w:rPr>
        <w:t>investment.</w:t>
      </w:r>
      <w:r w:rsidR="007060F3">
        <w:rPr>
          <w:rFonts w:cstheme="minorHAnsi"/>
          <w:sz w:val="21"/>
          <w:lang w:val="en-AU"/>
        </w:rPr>
        <w:t xml:space="preserve"> The capacity of </w:t>
      </w:r>
      <w:r w:rsidR="006D5848">
        <w:rPr>
          <w:rFonts w:cstheme="minorHAnsi"/>
          <w:sz w:val="21"/>
          <w:lang w:val="en-AU"/>
        </w:rPr>
        <w:t xml:space="preserve">Post’s health team to </w:t>
      </w:r>
      <w:r w:rsidR="004F245A">
        <w:rPr>
          <w:rFonts w:cstheme="minorHAnsi"/>
          <w:sz w:val="21"/>
          <w:lang w:val="en-AU"/>
        </w:rPr>
        <w:t>manage this new investment</w:t>
      </w:r>
      <w:r w:rsidR="008B08E2">
        <w:rPr>
          <w:rFonts w:cstheme="minorHAnsi"/>
          <w:sz w:val="21"/>
          <w:lang w:val="en-AU"/>
        </w:rPr>
        <w:t xml:space="preserve"> to </w:t>
      </w:r>
      <w:r w:rsidR="005720F2">
        <w:rPr>
          <w:rFonts w:cstheme="minorHAnsi"/>
          <w:sz w:val="21"/>
          <w:lang w:val="en-AU"/>
        </w:rPr>
        <w:t>achieve our ambition as a key health partner and to sufficiently influence the HT-MDTF</w:t>
      </w:r>
      <w:r w:rsidR="008B08E2">
        <w:rPr>
          <w:rFonts w:cstheme="minorHAnsi"/>
          <w:sz w:val="21"/>
          <w:lang w:val="en-AU"/>
        </w:rPr>
        <w:t xml:space="preserve">, </w:t>
      </w:r>
      <w:r w:rsidR="004F245A">
        <w:rPr>
          <w:rFonts w:cstheme="minorHAnsi"/>
          <w:sz w:val="21"/>
          <w:lang w:val="en-AU"/>
        </w:rPr>
        <w:t xml:space="preserve">has been highlighted as a key </w:t>
      </w:r>
      <w:r w:rsidR="007060F3">
        <w:rPr>
          <w:rFonts w:cstheme="minorHAnsi"/>
          <w:sz w:val="21"/>
          <w:lang w:val="en-AU"/>
        </w:rPr>
        <w:t xml:space="preserve">risk </w:t>
      </w:r>
      <w:r w:rsidR="004F245A">
        <w:rPr>
          <w:rFonts w:cstheme="minorHAnsi"/>
          <w:sz w:val="21"/>
          <w:lang w:val="en-AU"/>
        </w:rPr>
        <w:t>in the design</w:t>
      </w:r>
      <w:r w:rsidR="007060F3">
        <w:rPr>
          <w:rFonts w:cstheme="minorHAnsi"/>
          <w:sz w:val="21"/>
          <w:lang w:val="en-AU"/>
        </w:rPr>
        <w:t xml:space="preserve"> Risk Assessment</w:t>
      </w:r>
      <w:r w:rsidR="00E01750">
        <w:rPr>
          <w:rFonts w:cstheme="minorHAnsi"/>
          <w:sz w:val="21"/>
          <w:lang w:val="en-AU"/>
        </w:rPr>
        <w:t xml:space="preserve">. </w:t>
      </w:r>
      <w:r w:rsidR="00764AD9">
        <w:rPr>
          <w:rFonts w:cstheme="minorHAnsi"/>
          <w:sz w:val="21"/>
          <w:lang w:val="en-AU"/>
        </w:rPr>
        <w:t xml:space="preserve">This additional resource will therefore </w:t>
      </w:r>
      <w:r w:rsidR="00E52EC8">
        <w:rPr>
          <w:rFonts w:cstheme="minorHAnsi"/>
          <w:sz w:val="21"/>
          <w:lang w:val="en-AU"/>
        </w:rPr>
        <w:t xml:space="preserve">ensure this risk is sufficiently mitigated. </w:t>
      </w:r>
    </w:p>
    <w:p w14:paraId="310231DD" w14:textId="5FE047CA" w:rsidR="00057113" w:rsidRDefault="00AA13D5" w:rsidP="00AA13D5">
      <w:pPr>
        <w:tabs>
          <w:tab w:val="left" w:pos="284"/>
        </w:tabs>
        <w:suppressAutoHyphens w:val="0"/>
        <w:spacing w:before="0" w:line="280" w:lineRule="exact"/>
        <w:jc w:val="both"/>
        <w:rPr>
          <w:rFonts w:eastAsia="Times New Roman" w:cs="Arial"/>
          <w:iCs/>
          <w:sz w:val="21"/>
          <w:szCs w:val="21"/>
          <w:lang w:val="en-AU" w:eastAsia="en-AU"/>
        </w:rPr>
      </w:pPr>
      <w:r>
        <w:rPr>
          <w:rFonts w:cstheme="minorHAnsi"/>
          <w:sz w:val="21"/>
          <w:lang w:val="en-AU"/>
        </w:rPr>
        <w:t>DFAT’s high level diplomatic engagement and policy dialogue engagement will be led by DHOM</w:t>
      </w:r>
      <w:r w:rsidR="00BD5F72">
        <w:rPr>
          <w:rFonts w:cstheme="minorHAnsi"/>
          <w:sz w:val="21"/>
          <w:lang w:val="en-AU"/>
        </w:rPr>
        <w:t xml:space="preserve"> </w:t>
      </w:r>
      <w:r w:rsidR="009C7EB0">
        <w:rPr>
          <w:rFonts w:cstheme="minorHAnsi"/>
          <w:sz w:val="21"/>
          <w:lang w:val="en-AU"/>
        </w:rPr>
        <w:t xml:space="preserve">through Australia’s engagement on the </w:t>
      </w:r>
      <w:r w:rsidR="00BD5F72">
        <w:rPr>
          <w:rFonts w:cstheme="minorHAnsi"/>
          <w:sz w:val="21"/>
          <w:lang w:val="en-AU"/>
        </w:rPr>
        <w:t>Partnership Council</w:t>
      </w:r>
      <w:r>
        <w:rPr>
          <w:rFonts w:cstheme="minorHAnsi"/>
          <w:sz w:val="21"/>
          <w:lang w:val="en-AU"/>
        </w:rPr>
        <w:t xml:space="preserve">, with support from </w:t>
      </w:r>
      <w:r w:rsidR="00057113">
        <w:rPr>
          <w:rFonts w:eastAsia="Times New Roman" w:cs="Arial"/>
          <w:iCs/>
          <w:sz w:val="21"/>
          <w:szCs w:val="21"/>
          <w:lang w:val="en-AU" w:eastAsia="en-AU"/>
        </w:rPr>
        <w:t>Minister Counsellor – Governance and Human Development and Counsellor – Human Development</w:t>
      </w:r>
      <w:r w:rsidR="001C7BDD">
        <w:rPr>
          <w:rFonts w:eastAsia="Times New Roman" w:cs="Arial"/>
          <w:iCs/>
          <w:sz w:val="21"/>
          <w:szCs w:val="21"/>
          <w:lang w:val="en-AU" w:eastAsia="en-AU"/>
        </w:rPr>
        <w:t xml:space="preserve"> (see table below).</w:t>
      </w:r>
    </w:p>
    <w:p w14:paraId="05569EBE" w14:textId="62F5AEF0" w:rsidR="00224332" w:rsidRPr="001252BC" w:rsidRDefault="00224332" w:rsidP="009741CD">
      <w:pPr>
        <w:tabs>
          <w:tab w:val="left" w:pos="284"/>
        </w:tabs>
        <w:suppressAutoHyphens w:val="0"/>
        <w:spacing w:before="0" w:line="280" w:lineRule="exact"/>
        <w:jc w:val="both"/>
        <w:rPr>
          <w:rFonts w:cstheme="minorHAnsi"/>
          <w:sz w:val="21"/>
          <w:u w:val="single"/>
          <w:lang w:val="en-AU"/>
        </w:rPr>
      </w:pPr>
      <w:r w:rsidRPr="001252BC">
        <w:rPr>
          <w:rFonts w:cstheme="minorHAnsi"/>
          <w:sz w:val="21"/>
          <w:u w:val="single"/>
          <w:lang w:val="en-AU"/>
        </w:rPr>
        <w:t>Staffing and Organisational Arrangements</w:t>
      </w:r>
    </w:p>
    <w:p w14:paraId="7B88C590" w14:textId="0071ADBE" w:rsidR="00622B8B" w:rsidRPr="001252BC" w:rsidRDefault="00622B8B" w:rsidP="009741CD">
      <w:pPr>
        <w:tabs>
          <w:tab w:val="left" w:pos="284"/>
        </w:tabs>
        <w:suppressAutoHyphens w:val="0"/>
        <w:spacing w:before="0" w:line="280" w:lineRule="exact"/>
        <w:jc w:val="both"/>
        <w:rPr>
          <w:rFonts w:cstheme="minorHAnsi"/>
          <w:sz w:val="21"/>
          <w:u w:val="single"/>
          <w:lang w:val="en-AU"/>
        </w:rPr>
      </w:pPr>
    </w:p>
    <w:tbl>
      <w:tblPr>
        <w:tblStyle w:val="TableGrid"/>
        <w:tblW w:w="9895" w:type="dxa"/>
        <w:tblLook w:val="04A0" w:firstRow="1" w:lastRow="0" w:firstColumn="1" w:lastColumn="0" w:noHBand="0" w:noVBand="1"/>
      </w:tblPr>
      <w:tblGrid>
        <w:gridCol w:w="2039"/>
        <w:gridCol w:w="1075"/>
        <w:gridCol w:w="5528"/>
        <w:gridCol w:w="1253"/>
      </w:tblGrid>
      <w:tr w:rsidR="00622B8B" w14:paraId="34384314" w14:textId="77777777" w:rsidTr="00622B8B">
        <w:trPr>
          <w:trHeight w:val="436"/>
        </w:trPr>
        <w:tc>
          <w:tcPr>
            <w:tcW w:w="2039" w:type="dxa"/>
            <w:tcBorders>
              <w:top w:val="single" w:sz="4" w:space="0" w:color="auto"/>
              <w:left w:val="single" w:sz="4" w:space="0" w:color="auto"/>
              <w:bottom w:val="single" w:sz="4" w:space="0" w:color="auto"/>
              <w:right w:val="single" w:sz="4" w:space="0" w:color="auto"/>
            </w:tcBorders>
            <w:shd w:val="clear" w:color="auto" w:fill="B4F7FF" w:themeFill="accent6" w:themeFillTint="33"/>
            <w:hideMark/>
          </w:tcPr>
          <w:p w14:paraId="288BF50A" w14:textId="77777777" w:rsidR="00622B8B" w:rsidRDefault="00622B8B">
            <w:pPr>
              <w:suppressAutoHyphens w:val="0"/>
              <w:spacing w:before="0" w:after="0" w:line="240" w:lineRule="auto"/>
              <w:jc w:val="center"/>
              <w:rPr>
                <w:rFonts w:eastAsia="Times New Roman" w:cs="Arial"/>
                <w:b/>
                <w:bCs/>
                <w:iCs/>
                <w:sz w:val="21"/>
                <w:szCs w:val="21"/>
                <w:lang w:val="en-AU" w:eastAsia="en-AU"/>
              </w:rPr>
            </w:pPr>
            <w:r>
              <w:rPr>
                <w:rFonts w:eastAsia="Times New Roman" w:cs="Arial"/>
                <w:b/>
                <w:bCs/>
                <w:iCs/>
                <w:sz w:val="21"/>
                <w:szCs w:val="21"/>
                <w:lang w:val="en-AU" w:eastAsia="en-AU"/>
              </w:rPr>
              <w:t>Position</w:t>
            </w:r>
          </w:p>
        </w:tc>
        <w:tc>
          <w:tcPr>
            <w:tcW w:w="1075" w:type="dxa"/>
            <w:tcBorders>
              <w:top w:val="single" w:sz="4" w:space="0" w:color="auto"/>
              <w:left w:val="single" w:sz="4" w:space="0" w:color="auto"/>
              <w:bottom w:val="single" w:sz="4" w:space="0" w:color="auto"/>
              <w:right w:val="single" w:sz="4" w:space="0" w:color="auto"/>
            </w:tcBorders>
            <w:shd w:val="clear" w:color="auto" w:fill="B4F7FF" w:themeFill="accent6" w:themeFillTint="33"/>
            <w:hideMark/>
          </w:tcPr>
          <w:p w14:paraId="1C4452C2" w14:textId="77777777" w:rsidR="00622B8B" w:rsidRDefault="00622B8B">
            <w:pPr>
              <w:suppressAutoHyphens w:val="0"/>
              <w:spacing w:before="0" w:after="0" w:line="240" w:lineRule="auto"/>
              <w:jc w:val="center"/>
              <w:rPr>
                <w:rFonts w:eastAsia="Times New Roman" w:cs="Arial"/>
                <w:b/>
                <w:bCs/>
                <w:iCs/>
                <w:sz w:val="21"/>
                <w:szCs w:val="21"/>
                <w:lang w:val="en-AU" w:eastAsia="en-AU"/>
              </w:rPr>
            </w:pPr>
            <w:r>
              <w:rPr>
                <w:rFonts w:eastAsia="Times New Roman" w:cs="Arial"/>
                <w:b/>
                <w:bCs/>
                <w:iCs/>
                <w:sz w:val="21"/>
                <w:szCs w:val="21"/>
                <w:lang w:val="en-AU" w:eastAsia="en-AU"/>
              </w:rPr>
              <w:t>Location</w:t>
            </w:r>
          </w:p>
        </w:tc>
        <w:tc>
          <w:tcPr>
            <w:tcW w:w="5528" w:type="dxa"/>
            <w:tcBorders>
              <w:top w:val="single" w:sz="4" w:space="0" w:color="auto"/>
              <w:left w:val="single" w:sz="4" w:space="0" w:color="auto"/>
              <w:bottom w:val="single" w:sz="4" w:space="0" w:color="auto"/>
              <w:right w:val="single" w:sz="4" w:space="0" w:color="auto"/>
            </w:tcBorders>
            <w:shd w:val="clear" w:color="auto" w:fill="B4F7FF" w:themeFill="accent6" w:themeFillTint="33"/>
            <w:hideMark/>
          </w:tcPr>
          <w:p w14:paraId="042792F4" w14:textId="77777777" w:rsidR="00622B8B" w:rsidRDefault="00622B8B">
            <w:pPr>
              <w:suppressAutoHyphens w:val="0"/>
              <w:spacing w:before="0" w:after="0" w:line="240" w:lineRule="auto"/>
              <w:jc w:val="center"/>
              <w:rPr>
                <w:rFonts w:eastAsia="Times New Roman" w:cs="Arial"/>
                <w:b/>
                <w:bCs/>
                <w:iCs/>
                <w:sz w:val="21"/>
                <w:szCs w:val="21"/>
                <w:lang w:val="en-AU" w:eastAsia="en-AU"/>
              </w:rPr>
            </w:pPr>
            <w:r>
              <w:rPr>
                <w:rFonts w:eastAsia="Times New Roman" w:cs="Arial"/>
                <w:b/>
                <w:bCs/>
                <w:iCs/>
                <w:sz w:val="21"/>
                <w:szCs w:val="21"/>
                <w:lang w:val="en-AU" w:eastAsia="en-AU"/>
              </w:rPr>
              <w:t>Role</w:t>
            </w:r>
          </w:p>
        </w:tc>
        <w:tc>
          <w:tcPr>
            <w:tcW w:w="1253" w:type="dxa"/>
            <w:tcBorders>
              <w:top w:val="single" w:sz="4" w:space="0" w:color="auto"/>
              <w:left w:val="single" w:sz="4" w:space="0" w:color="auto"/>
              <w:bottom w:val="single" w:sz="4" w:space="0" w:color="auto"/>
              <w:right w:val="single" w:sz="4" w:space="0" w:color="auto"/>
            </w:tcBorders>
            <w:shd w:val="clear" w:color="auto" w:fill="B4F7FF" w:themeFill="accent6" w:themeFillTint="33"/>
            <w:hideMark/>
          </w:tcPr>
          <w:p w14:paraId="7D3D5023" w14:textId="77777777" w:rsidR="00622B8B" w:rsidRDefault="00622B8B">
            <w:pPr>
              <w:suppressAutoHyphens w:val="0"/>
              <w:spacing w:before="0" w:after="0" w:line="240" w:lineRule="auto"/>
              <w:jc w:val="center"/>
              <w:rPr>
                <w:rFonts w:eastAsia="Times New Roman" w:cs="Arial"/>
                <w:b/>
                <w:bCs/>
                <w:iCs/>
                <w:sz w:val="21"/>
                <w:szCs w:val="21"/>
                <w:lang w:val="en-AU" w:eastAsia="en-AU"/>
              </w:rPr>
            </w:pPr>
            <w:r>
              <w:rPr>
                <w:rFonts w:eastAsia="Times New Roman" w:cs="Arial"/>
                <w:b/>
                <w:bCs/>
                <w:iCs/>
                <w:sz w:val="21"/>
                <w:szCs w:val="21"/>
                <w:lang w:val="en-AU" w:eastAsia="en-AU"/>
              </w:rPr>
              <w:t>Time allocation (FTE)</w:t>
            </w:r>
          </w:p>
        </w:tc>
      </w:tr>
      <w:tr w:rsidR="00622B8B" w14:paraId="42D131FD" w14:textId="77777777" w:rsidTr="00622B8B">
        <w:tc>
          <w:tcPr>
            <w:tcW w:w="2039" w:type="dxa"/>
            <w:tcBorders>
              <w:top w:val="single" w:sz="4" w:space="0" w:color="auto"/>
              <w:left w:val="single" w:sz="4" w:space="0" w:color="auto"/>
              <w:bottom w:val="single" w:sz="4" w:space="0" w:color="auto"/>
              <w:right w:val="single" w:sz="4" w:space="0" w:color="auto"/>
            </w:tcBorders>
            <w:hideMark/>
          </w:tcPr>
          <w:p w14:paraId="6D72338D" w14:textId="77777777" w:rsidR="00622B8B" w:rsidRDefault="00622B8B">
            <w:pPr>
              <w:suppressAutoHyphens w:val="0"/>
              <w:spacing w:before="0" w:after="0" w:line="240" w:lineRule="auto"/>
              <w:rPr>
                <w:rFonts w:eastAsia="Times New Roman" w:cs="Arial"/>
                <w:iCs/>
                <w:sz w:val="21"/>
                <w:szCs w:val="21"/>
                <w:lang w:val="en-AU" w:eastAsia="en-AU"/>
              </w:rPr>
            </w:pPr>
            <w:r>
              <w:rPr>
                <w:rFonts w:eastAsia="Times New Roman" w:cs="Arial"/>
                <w:iCs/>
                <w:sz w:val="21"/>
                <w:szCs w:val="21"/>
                <w:lang w:val="en-AU" w:eastAsia="en-AU"/>
              </w:rPr>
              <w:t>Minister Counsellor – Governance and Human Development</w:t>
            </w:r>
          </w:p>
        </w:tc>
        <w:tc>
          <w:tcPr>
            <w:tcW w:w="1075" w:type="dxa"/>
            <w:tcBorders>
              <w:top w:val="single" w:sz="4" w:space="0" w:color="auto"/>
              <w:left w:val="single" w:sz="4" w:space="0" w:color="auto"/>
              <w:bottom w:val="single" w:sz="4" w:space="0" w:color="auto"/>
              <w:right w:val="single" w:sz="4" w:space="0" w:color="auto"/>
            </w:tcBorders>
            <w:hideMark/>
          </w:tcPr>
          <w:p w14:paraId="51308788" w14:textId="77777777" w:rsidR="00622B8B" w:rsidRDefault="00622B8B">
            <w:pPr>
              <w:suppressAutoHyphens w:val="0"/>
              <w:spacing w:before="0" w:after="0" w:line="240" w:lineRule="auto"/>
              <w:rPr>
                <w:rFonts w:eastAsia="Times New Roman" w:cs="Arial"/>
                <w:iCs/>
                <w:sz w:val="21"/>
                <w:szCs w:val="21"/>
                <w:lang w:val="en-AU" w:eastAsia="en-AU"/>
              </w:rPr>
            </w:pPr>
            <w:r>
              <w:rPr>
                <w:rFonts w:eastAsia="Times New Roman" w:cs="Arial"/>
                <w:iCs/>
                <w:sz w:val="21"/>
                <w:szCs w:val="21"/>
                <w:lang w:val="en-AU" w:eastAsia="en-AU"/>
              </w:rPr>
              <w:t>Jakarta</w:t>
            </w:r>
          </w:p>
        </w:tc>
        <w:tc>
          <w:tcPr>
            <w:tcW w:w="5528" w:type="dxa"/>
            <w:tcBorders>
              <w:top w:val="single" w:sz="4" w:space="0" w:color="auto"/>
              <w:left w:val="single" w:sz="4" w:space="0" w:color="auto"/>
              <w:bottom w:val="single" w:sz="4" w:space="0" w:color="auto"/>
              <w:right w:val="single" w:sz="4" w:space="0" w:color="auto"/>
            </w:tcBorders>
            <w:hideMark/>
          </w:tcPr>
          <w:p w14:paraId="4DCC480B" w14:textId="7469E078" w:rsidR="00622B8B" w:rsidRDefault="001C7BDD" w:rsidP="00622B8B">
            <w:pPr>
              <w:pStyle w:val="ListParagraph"/>
              <w:numPr>
                <w:ilvl w:val="0"/>
                <w:numId w:val="59"/>
              </w:numPr>
              <w:suppressAutoHyphens w:val="0"/>
              <w:spacing w:before="0" w:after="0" w:line="240" w:lineRule="auto"/>
              <w:ind w:left="175" w:hanging="175"/>
              <w:rPr>
                <w:rFonts w:eastAsia="Times New Roman" w:cs="Arial"/>
                <w:iCs/>
                <w:sz w:val="21"/>
                <w:szCs w:val="21"/>
                <w:lang w:val="en-AU" w:eastAsia="en-AU"/>
              </w:rPr>
            </w:pPr>
            <w:r>
              <w:rPr>
                <w:rFonts w:eastAsia="Times New Roman" w:cs="Arial"/>
                <w:iCs/>
                <w:sz w:val="21"/>
                <w:szCs w:val="21"/>
                <w:lang w:val="en-AU" w:eastAsia="en-AU"/>
              </w:rPr>
              <w:t>D</w:t>
            </w:r>
            <w:r w:rsidR="00622B8B">
              <w:rPr>
                <w:rFonts w:eastAsia="Times New Roman" w:cs="Arial"/>
                <w:iCs/>
                <w:sz w:val="21"/>
                <w:szCs w:val="21"/>
                <w:lang w:val="en-AU" w:eastAsia="en-AU"/>
              </w:rPr>
              <w:t>iplomatic representation/external policy dialogue</w:t>
            </w:r>
          </w:p>
          <w:p w14:paraId="30F4AD75" w14:textId="77777777" w:rsidR="00622B8B" w:rsidRDefault="00622B8B" w:rsidP="00622B8B">
            <w:pPr>
              <w:pStyle w:val="ListParagraph"/>
              <w:numPr>
                <w:ilvl w:val="0"/>
                <w:numId w:val="59"/>
              </w:numPr>
              <w:suppressAutoHyphens w:val="0"/>
              <w:spacing w:before="0" w:after="0" w:line="240" w:lineRule="auto"/>
              <w:ind w:left="175" w:hanging="175"/>
              <w:rPr>
                <w:rFonts w:eastAsia="Times New Roman" w:cs="Arial"/>
                <w:iCs/>
                <w:sz w:val="21"/>
                <w:szCs w:val="21"/>
                <w:lang w:val="en-AU" w:eastAsia="en-AU"/>
              </w:rPr>
            </w:pPr>
            <w:r>
              <w:rPr>
                <w:rFonts w:eastAsia="Times New Roman" w:cs="Arial"/>
                <w:iCs/>
                <w:sz w:val="21"/>
                <w:szCs w:val="21"/>
                <w:lang w:val="en-AU" w:eastAsia="en-AU"/>
              </w:rPr>
              <w:t>Clearance of reporting/briefing</w:t>
            </w:r>
          </w:p>
          <w:p w14:paraId="35AF24B7" w14:textId="77777777" w:rsidR="00622B8B" w:rsidRDefault="00622B8B" w:rsidP="00622B8B">
            <w:pPr>
              <w:pStyle w:val="ListParagraph"/>
              <w:numPr>
                <w:ilvl w:val="0"/>
                <w:numId w:val="59"/>
              </w:numPr>
              <w:suppressAutoHyphens w:val="0"/>
              <w:spacing w:before="0" w:after="0" w:line="240" w:lineRule="auto"/>
              <w:ind w:left="175" w:hanging="175"/>
              <w:rPr>
                <w:rFonts w:eastAsia="Times New Roman" w:cs="Arial"/>
                <w:iCs/>
                <w:sz w:val="21"/>
                <w:szCs w:val="21"/>
                <w:lang w:val="en-AU" w:eastAsia="en-AU"/>
              </w:rPr>
            </w:pPr>
            <w:r>
              <w:rPr>
                <w:rFonts w:eastAsia="Times New Roman" w:cs="Arial"/>
                <w:iCs/>
                <w:sz w:val="21"/>
                <w:szCs w:val="21"/>
                <w:lang w:val="en-AU" w:eastAsia="en-AU"/>
              </w:rPr>
              <w:t>High-level WB engagement</w:t>
            </w:r>
          </w:p>
        </w:tc>
        <w:tc>
          <w:tcPr>
            <w:tcW w:w="1253" w:type="dxa"/>
            <w:tcBorders>
              <w:top w:val="single" w:sz="4" w:space="0" w:color="auto"/>
              <w:left w:val="single" w:sz="4" w:space="0" w:color="auto"/>
              <w:bottom w:val="single" w:sz="4" w:space="0" w:color="auto"/>
              <w:right w:val="single" w:sz="4" w:space="0" w:color="auto"/>
            </w:tcBorders>
            <w:hideMark/>
          </w:tcPr>
          <w:p w14:paraId="1B2057B3" w14:textId="77777777" w:rsidR="00622B8B" w:rsidRDefault="00622B8B">
            <w:pPr>
              <w:suppressAutoHyphens w:val="0"/>
              <w:spacing w:before="0" w:after="0" w:line="240" w:lineRule="auto"/>
              <w:jc w:val="center"/>
              <w:rPr>
                <w:rFonts w:eastAsia="Times New Roman" w:cs="Arial"/>
                <w:iCs/>
                <w:sz w:val="21"/>
                <w:szCs w:val="21"/>
                <w:lang w:val="en-AU" w:eastAsia="en-AU"/>
              </w:rPr>
            </w:pPr>
            <w:r>
              <w:rPr>
                <w:rFonts w:eastAsia="Times New Roman" w:cs="Arial"/>
                <w:iCs/>
                <w:sz w:val="21"/>
                <w:szCs w:val="21"/>
                <w:lang w:val="en-AU" w:eastAsia="en-AU"/>
              </w:rPr>
              <w:t>0.02</w:t>
            </w:r>
          </w:p>
        </w:tc>
      </w:tr>
      <w:tr w:rsidR="004941DF" w14:paraId="5F42EA57" w14:textId="77777777" w:rsidTr="00622B8B">
        <w:tc>
          <w:tcPr>
            <w:tcW w:w="2039" w:type="dxa"/>
            <w:tcBorders>
              <w:top w:val="single" w:sz="4" w:space="0" w:color="auto"/>
              <w:left w:val="single" w:sz="4" w:space="0" w:color="auto"/>
              <w:bottom w:val="single" w:sz="4" w:space="0" w:color="auto"/>
              <w:right w:val="single" w:sz="4" w:space="0" w:color="auto"/>
            </w:tcBorders>
          </w:tcPr>
          <w:p w14:paraId="7E661C7E" w14:textId="33018B95" w:rsidR="004941DF" w:rsidRDefault="004941DF" w:rsidP="004941DF">
            <w:pPr>
              <w:suppressAutoHyphens w:val="0"/>
              <w:spacing w:before="0" w:after="0" w:line="240" w:lineRule="auto"/>
              <w:rPr>
                <w:rFonts w:eastAsia="Times New Roman" w:cs="Arial"/>
                <w:iCs/>
                <w:sz w:val="21"/>
                <w:szCs w:val="21"/>
                <w:lang w:val="en-AU" w:eastAsia="en-AU"/>
              </w:rPr>
            </w:pPr>
            <w:r>
              <w:rPr>
                <w:rFonts w:eastAsia="Times New Roman" w:cs="Arial"/>
                <w:iCs/>
                <w:sz w:val="21"/>
                <w:szCs w:val="21"/>
                <w:lang w:val="en-AU" w:eastAsia="en-AU"/>
              </w:rPr>
              <w:t xml:space="preserve">Counsellor - Human Development </w:t>
            </w:r>
          </w:p>
        </w:tc>
        <w:tc>
          <w:tcPr>
            <w:tcW w:w="1075" w:type="dxa"/>
            <w:tcBorders>
              <w:top w:val="single" w:sz="4" w:space="0" w:color="auto"/>
              <w:left w:val="single" w:sz="4" w:space="0" w:color="auto"/>
              <w:bottom w:val="single" w:sz="4" w:space="0" w:color="auto"/>
              <w:right w:val="single" w:sz="4" w:space="0" w:color="auto"/>
            </w:tcBorders>
          </w:tcPr>
          <w:p w14:paraId="2E6007AF" w14:textId="5D549C7B" w:rsidR="004941DF" w:rsidRDefault="004941DF" w:rsidP="004941DF">
            <w:pPr>
              <w:suppressAutoHyphens w:val="0"/>
              <w:spacing w:before="0" w:after="0" w:line="240" w:lineRule="auto"/>
              <w:rPr>
                <w:rFonts w:eastAsia="Times New Roman" w:cs="Arial"/>
                <w:iCs/>
                <w:sz w:val="21"/>
                <w:szCs w:val="21"/>
                <w:lang w:val="en-AU" w:eastAsia="en-AU"/>
              </w:rPr>
            </w:pPr>
            <w:r>
              <w:rPr>
                <w:rFonts w:eastAsia="Times New Roman" w:cs="Arial"/>
                <w:iCs/>
                <w:sz w:val="21"/>
                <w:szCs w:val="21"/>
                <w:lang w:val="en-AU" w:eastAsia="en-AU"/>
              </w:rPr>
              <w:t>Jakarta</w:t>
            </w:r>
          </w:p>
        </w:tc>
        <w:tc>
          <w:tcPr>
            <w:tcW w:w="5528" w:type="dxa"/>
            <w:tcBorders>
              <w:top w:val="single" w:sz="4" w:space="0" w:color="auto"/>
              <w:left w:val="single" w:sz="4" w:space="0" w:color="auto"/>
              <w:bottom w:val="single" w:sz="4" w:space="0" w:color="auto"/>
              <w:right w:val="single" w:sz="4" w:space="0" w:color="auto"/>
            </w:tcBorders>
          </w:tcPr>
          <w:p w14:paraId="12041438" w14:textId="77777777" w:rsidR="004941DF" w:rsidRDefault="004941DF" w:rsidP="004941DF">
            <w:pPr>
              <w:pStyle w:val="ListParagraph"/>
              <w:numPr>
                <w:ilvl w:val="0"/>
                <w:numId w:val="59"/>
              </w:numPr>
              <w:suppressAutoHyphens w:val="0"/>
              <w:spacing w:before="0" w:after="0" w:line="240" w:lineRule="auto"/>
              <w:ind w:left="175" w:hanging="175"/>
              <w:rPr>
                <w:rFonts w:eastAsia="Times New Roman" w:cs="Arial"/>
                <w:iCs/>
                <w:sz w:val="21"/>
                <w:szCs w:val="21"/>
                <w:lang w:val="en-AU" w:eastAsia="en-AU"/>
              </w:rPr>
            </w:pPr>
            <w:r>
              <w:rPr>
                <w:rFonts w:eastAsia="Times New Roman" w:cs="Arial"/>
                <w:iCs/>
                <w:sz w:val="21"/>
                <w:szCs w:val="21"/>
                <w:lang w:val="en-AU" w:eastAsia="en-AU"/>
              </w:rPr>
              <w:t>Diplomatic representation</w:t>
            </w:r>
          </w:p>
          <w:p w14:paraId="418873A6" w14:textId="77777777" w:rsidR="004941DF" w:rsidRDefault="004941DF" w:rsidP="004941DF">
            <w:pPr>
              <w:pStyle w:val="ListParagraph"/>
              <w:numPr>
                <w:ilvl w:val="0"/>
                <w:numId w:val="59"/>
              </w:numPr>
              <w:suppressAutoHyphens w:val="0"/>
              <w:spacing w:before="0" w:after="0" w:line="240" w:lineRule="auto"/>
              <w:ind w:left="175" w:hanging="175"/>
              <w:rPr>
                <w:rFonts w:eastAsia="Times New Roman" w:cs="Arial"/>
                <w:iCs/>
                <w:sz w:val="21"/>
                <w:szCs w:val="21"/>
                <w:lang w:val="en-AU" w:eastAsia="en-AU"/>
              </w:rPr>
            </w:pPr>
            <w:r>
              <w:rPr>
                <w:rFonts w:eastAsia="Times New Roman" w:cs="Arial"/>
                <w:iCs/>
                <w:sz w:val="21"/>
                <w:szCs w:val="21"/>
                <w:lang w:val="en-AU" w:eastAsia="en-AU"/>
              </w:rPr>
              <w:t>Policy Dialogue</w:t>
            </w:r>
          </w:p>
          <w:p w14:paraId="35138C6E" w14:textId="2AC96FD6" w:rsidR="004941DF" w:rsidDel="001C7BDD" w:rsidRDefault="004941DF" w:rsidP="004941DF">
            <w:pPr>
              <w:pStyle w:val="ListParagraph"/>
              <w:numPr>
                <w:ilvl w:val="0"/>
                <w:numId w:val="59"/>
              </w:numPr>
              <w:suppressAutoHyphens w:val="0"/>
              <w:spacing w:before="0" w:after="0" w:line="240" w:lineRule="auto"/>
              <w:ind w:left="175" w:hanging="175"/>
              <w:rPr>
                <w:rFonts w:eastAsia="Times New Roman" w:cs="Arial"/>
                <w:iCs/>
                <w:sz w:val="21"/>
                <w:szCs w:val="21"/>
                <w:lang w:val="en-AU" w:eastAsia="en-AU"/>
              </w:rPr>
            </w:pPr>
            <w:r>
              <w:rPr>
                <w:rFonts w:eastAsia="Times New Roman" w:cs="Arial"/>
                <w:iCs/>
                <w:sz w:val="21"/>
                <w:szCs w:val="21"/>
                <w:lang w:val="en-AU" w:eastAsia="en-AU"/>
              </w:rPr>
              <w:t>Program governance and management representation</w:t>
            </w:r>
          </w:p>
        </w:tc>
        <w:tc>
          <w:tcPr>
            <w:tcW w:w="1253" w:type="dxa"/>
            <w:tcBorders>
              <w:top w:val="single" w:sz="4" w:space="0" w:color="auto"/>
              <w:left w:val="single" w:sz="4" w:space="0" w:color="auto"/>
              <w:bottom w:val="single" w:sz="4" w:space="0" w:color="auto"/>
              <w:right w:val="single" w:sz="4" w:space="0" w:color="auto"/>
            </w:tcBorders>
          </w:tcPr>
          <w:p w14:paraId="49FF3938" w14:textId="0CD437FE" w:rsidR="004941DF" w:rsidRDefault="004941DF" w:rsidP="004941DF">
            <w:pPr>
              <w:suppressAutoHyphens w:val="0"/>
              <w:spacing w:before="0" w:after="0" w:line="240" w:lineRule="auto"/>
              <w:jc w:val="center"/>
              <w:rPr>
                <w:rFonts w:eastAsia="Times New Roman" w:cs="Arial"/>
                <w:iCs/>
                <w:sz w:val="21"/>
                <w:szCs w:val="21"/>
                <w:lang w:val="en-AU" w:eastAsia="en-AU"/>
              </w:rPr>
            </w:pPr>
            <w:r>
              <w:rPr>
                <w:rFonts w:eastAsia="Times New Roman" w:cs="Arial"/>
                <w:iCs/>
                <w:sz w:val="21"/>
                <w:szCs w:val="21"/>
                <w:lang w:val="en-AU" w:eastAsia="en-AU"/>
              </w:rPr>
              <w:t>0.05</w:t>
            </w:r>
          </w:p>
        </w:tc>
      </w:tr>
      <w:tr w:rsidR="004941DF" w14:paraId="5C60B674" w14:textId="77777777" w:rsidTr="00622B8B">
        <w:tc>
          <w:tcPr>
            <w:tcW w:w="2039" w:type="dxa"/>
            <w:tcBorders>
              <w:top w:val="single" w:sz="4" w:space="0" w:color="auto"/>
              <w:left w:val="single" w:sz="4" w:space="0" w:color="auto"/>
              <w:bottom w:val="single" w:sz="4" w:space="0" w:color="auto"/>
              <w:right w:val="single" w:sz="4" w:space="0" w:color="auto"/>
            </w:tcBorders>
            <w:hideMark/>
          </w:tcPr>
          <w:p w14:paraId="6E778715" w14:textId="3D5833A7" w:rsidR="004941DF" w:rsidRDefault="00224332" w:rsidP="004941DF">
            <w:pPr>
              <w:suppressAutoHyphens w:val="0"/>
              <w:spacing w:before="0" w:after="0" w:line="240" w:lineRule="auto"/>
              <w:rPr>
                <w:rFonts w:eastAsia="Times New Roman" w:cs="Arial"/>
                <w:iCs/>
                <w:sz w:val="21"/>
                <w:szCs w:val="21"/>
                <w:lang w:val="en-AU" w:eastAsia="en-AU"/>
              </w:rPr>
            </w:pPr>
            <w:r>
              <w:rPr>
                <w:rFonts w:eastAsia="Times New Roman" w:cs="Arial"/>
                <w:iCs/>
                <w:sz w:val="21"/>
                <w:szCs w:val="21"/>
                <w:lang w:val="en-AU" w:eastAsia="en-AU"/>
              </w:rPr>
              <w:t>Second Secretary</w:t>
            </w:r>
            <w:r w:rsidR="00DB1A1B">
              <w:rPr>
                <w:rFonts w:eastAsia="Times New Roman" w:cs="Arial"/>
                <w:iCs/>
                <w:sz w:val="21"/>
                <w:szCs w:val="21"/>
                <w:lang w:val="en-AU" w:eastAsia="en-AU"/>
              </w:rPr>
              <w:t>, Health team</w:t>
            </w:r>
          </w:p>
        </w:tc>
        <w:tc>
          <w:tcPr>
            <w:tcW w:w="1075" w:type="dxa"/>
            <w:tcBorders>
              <w:top w:val="single" w:sz="4" w:space="0" w:color="auto"/>
              <w:left w:val="single" w:sz="4" w:space="0" w:color="auto"/>
              <w:bottom w:val="single" w:sz="4" w:space="0" w:color="auto"/>
              <w:right w:val="single" w:sz="4" w:space="0" w:color="auto"/>
            </w:tcBorders>
            <w:hideMark/>
          </w:tcPr>
          <w:p w14:paraId="7A86181A" w14:textId="77777777" w:rsidR="004941DF" w:rsidRDefault="004941DF" w:rsidP="004941DF">
            <w:pPr>
              <w:suppressAutoHyphens w:val="0"/>
              <w:spacing w:before="0" w:after="0" w:line="240" w:lineRule="auto"/>
              <w:rPr>
                <w:rFonts w:eastAsia="Times New Roman" w:cs="Arial"/>
                <w:iCs/>
                <w:sz w:val="21"/>
                <w:szCs w:val="21"/>
                <w:lang w:val="en-AU" w:eastAsia="en-AU"/>
              </w:rPr>
            </w:pPr>
            <w:r>
              <w:rPr>
                <w:rFonts w:eastAsia="Times New Roman" w:cs="Arial"/>
                <w:iCs/>
                <w:sz w:val="21"/>
                <w:szCs w:val="21"/>
                <w:lang w:val="en-AU" w:eastAsia="en-AU"/>
              </w:rPr>
              <w:t>Jakarta</w:t>
            </w:r>
          </w:p>
        </w:tc>
        <w:tc>
          <w:tcPr>
            <w:tcW w:w="5528" w:type="dxa"/>
            <w:tcBorders>
              <w:top w:val="single" w:sz="4" w:space="0" w:color="auto"/>
              <w:left w:val="single" w:sz="4" w:space="0" w:color="auto"/>
              <w:bottom w:val="single" w:sz="4" w:space="0" w:color="auto"/>
              <w:right w:val="single" w:sz="4" w:space="0" w:color="auto"/>
            </w:tcBorders>
            <w:hideMark/>
          </w:tcPr>
          <w:p w14:paraId="055797CF" w14:textId="77777777" w:rsidR="004941DF" w:rsidRDefault="004941DF" w:rsidP="004941DF">
            <w:pPr>
              <w:pStyle w:val="ListParagraph"/>
              <w:numPr>
                <w:ilvl w:val="0"/>
                <w:numId w:val="59"/>
              </w:numPr>
              <w:suppressAutoHyphens w:val="0"/>
              <w:spacing w:before="0" w:after="0" w:line="240" w:lineRule="auto"/>
              <w:ind w:left="175" w:hanging="175"/>
              <w:rPr>
                <w:rFonts w:eastAsia="Times New Roman" w:cs="Arial"/>
                <w:iCs/>
                <w:sz w:val="21"/>
                <w:szCs w:val="21"/>
                <w:lang w:val="en-AU" w:eastAsia="en-AU"/>
              </w:rPr>
            </w:pPr>
            <w:r>
              <w:rPr>
                <w:rFonts w:eastAsia="Times New Roman" w:cs="Arial"/>
                <w:iCs/>
                <w:sz w:val="21"/>
                <w:szCs w:val="21"/>
                <w:lang w:val="en-AU" w:eastAsia="en-AU"/>
              </w:rPr>
              <w:t>Diplomatic representation</w:t>
            </w:r>
          </w:p>
          <w:p w14:paraId="0C678524" w14:textId="77777777" w:rsidR="004941DF" w:rsidRDefault="004941DF" w:rsidP="004941DF">
            <w:pPr>
              <w:pStyle w:val="ListParagraph"/>
              <w:numPr>
                <w:ilvl w:val="0"/>
                <w:numId w:val="59"/>
              </w:numPr>
              <w:suppressAutoHyphens w:val="0"/>
              <w:spacing w:before="0" w:after="0" w:line="240" w:lineRule="auto"/>
              <w:ind w:left="175" w:hanging="175"/>
              <w:rPr>
                <w:rFonts w:eastAsia="Times New Roman" w:cs="Arial"/>
                <w:iCs/>
                <w:sz w:val="21"/>
                <w:szCs w:val="21"/>
                <w:lang w:val="en-AU" w:eastAsia="en-AU"/>
              </w:rPr>
            </w:pPr>
            <w:r>
              <w:rPr>
                <w:rFonts w:eastAsia="Times New Roman" w:cs="Arial"/>
                <w:iCs/>
                <w:sz w:val="21"/>
                <w:szCs w:val="21"/>
                <w:lang w:val="en-AU" w:eastAsia="en-AU"/>
              </w:rPr>
              <w:t>Day to day partner engagement</w:t>
            </w:r>
          </w:p>
          <w:p w14:paraId="7A6B7E9B" w14:textId="77777777" w:rsidR="004941DF" w:rsidRDefault="004941DF" w:rsidP="004941DF">
            <w:pPr>
              <w:pStyle w:val="ListParagraph"/>
              <w:numPr>
                <w:ilvl w:val="0"/>
                <w:numId w:val="59"/>
              </w:numPr>
              <w:suppressAutoHyphens w:val="0"/>
              <w:spacing w:before="0" w:after="0" w:line="240" w:lineRule="auto"/>
              <w:ind w:left="175" w:hanging="175"/>
              <w:rPr>
                <w:rFonts w:eastAsia="Times New Roman" w:cs="Arial"/>
                <w:iCs/>
                <w:sz w:val="21"/>
                <w:szCs w:val="21"/>
                <w:lang w:val="en-AU" w:eastAsia="en-AU"/>
              </w:rPr>
            </w:pPr>
            <w:r>
              <w:rPr>
                <w:rFonts w:eastAsia="Times New Roman" w:cs="Arial"/>
                <w:iCs/>
                <w:sz w:val="21"/>
                <w:szCs w:val="21"/>
                <w:lang w:val="en-AU" w:eastAsia="en-AU"/>
              </w:rPr>
              <w:t>Policy Dialogue</w:t>
            </w:r>
          </w:p>
          <w:p w14:paraId="08E4F9EC" w14:textId="77777777" w:rsidR="004941DF" w:rsidRDefault="004941DF" w:rsidP="004941DF">
            <w:pPr>
              <w:pStyle w:val="ListParagraph"/>
              <w:numPr>
                <w:ilvl w:val="0"/>
                <w:numId w:val="59"/>
              </w:numPr>
              <w:suppressAutoHyphens w:val="0"/>
              <w:spacing w:before="0" w:after="0" w:line="240" w:lineRule="auto"/>
              <w:ind w:left="175" w:hanging="175"/>
              <w:rPr>
                <w:rFonts w:eastAsia="Times New Roman" w:cs="Arial"/>
                <w:iCs/>
                <w:sz w:val="21"/>
                <w:szCs w:val="21"/>
                <w:lang w:val="en-AU" w:eastAsia="en-AU"/>
              </w:rPr>
            </w:pPr>
            <w:r>
              <w:rPr>
                <w:rFonts w:eastAsia="Times New Roman" w:cs="Arial"/>
                <w:iCs/>
                <w:sz w:val="21"/>
                <w:szCs w:val="21"/>
                <w:lang w:val="en-AU" w:eastAsia="en-AU"/>
              </w:rPr>
              <w:t>Program governance and management representation</w:t>
            </w:r>
          </w:p>
          <w:p w14:paraId="53547EB7" w14:textId="77777777" w:rsidR="004941DF" w:rsidRDefault="004941DF" w:rsidP="004941DF">
            <w:pPr>
              <w:pStyle w:val="ListParagraph"/>
              <w:numPr>
                <w:ilvl w:val="0"/>
                <w:numId w:val="59"/>
              </w:numPr>
              <w:suppressAutoHyphens w:val="0"/>
              <w:spacing w:before="0" w:after="0" w:line="240" w:lineRule="auto"/>
              <w:ind w:left="175" w:hanging="175"/>
              <w:rPr>
                <w:rFonts w:eastAsia="Times New Roman" w:cs="Arial"/>
                <w:iCs/>
                <w:sz w:val="21"/>
                <w:szCs w:val="21"/>
                <w:lang w:val="en-AU" w:eastAsia="en-AU"/>
              </w:rPr>
            </w:pPr>
            <w:r>
              <w:rPr>
                <w:rFonts w:eastAsia="Times New Roman" w:cs="Arial"/>
                <w:iCs/>
                <w:sz w:val="21"/>
                <w:szCs w:val="21"/>
                <w:lang w:val="en-AU" w:eastAsia="en-AU"/>
              </w:rPr>
              <w:t xml:space="preserve">Investment management and reporting </w:t>
            </w:r>
          </w:p>
          <w:p w14:paraId="6B8E2438" w14:textId="77777777" w:rsidR="004941DF" w:rsidRDefault="004941DF" w:rsidP="004941DF">
            <w:pPr>
              <w:pStyle w:val="ListParagraph"/>
              <w:numPr>
                <w:ilvl w:val="0"/>
                <w:numId w:val="59"/>
              </w:numPr>
              <w:suppressAutoHyphens w:val="0"/>
              <w:spacing w:before="0" w:after="0" w:line="240" w:lineRule="auto"/>
              <w:ind w:left="175" w:hanging="175"/>
              <w:rPr>
                <w:rFonts w:eastAsia="Times New Roman" w:cs="Arial"/>
                <w:iCs/>
                <w:sz w:val="21"/>
                <w:szCs w:val="21"/>
                <w:lang w:val="en-AU" w:eastAsia="en-AU"/>
              </w:rPr>
            </w:pPr>
            <w:r>
              <w:rPr>
                <w:rFonts w:eastAsia="Times New Roman" w:cs="Arial"/>
                <w:iCs/>
                <w:sz w:val="21"/>
                <w:szCs w:val="21"/>
                <w:lang w:val="en-AU" w:eastAsia="en-AU"/>
              </w:rPr>
              <w:t>Working level WB engagement</w:t>
            </w:r>
          </w:p>
        </w:tc>
        <w:tc>
          <w:tcPr>
            <w:tcW w:w="1253" w:type="dxa"/>
            <w:tcBorders>
              <w:top w:val="single" w:sz="4" w:space="0" w:color="auto"/>
              <w:left w:val="single" w:sz="4" w:space="0" w:color="auto"/>
              <w:bottom w:val="single" w:sz="4" w:space="0" w:color="auto"/>
              <w:right w:val="single" w:sz="4" w:space="0" w:color="auto"/>
            </w:tcBorders>
            <w:hideMark/>
          </w:tcPr>
          <w:p w14:paraId="47106E35" w14:textId="7BC25572" w:rsidR="004941DF" w:rsidRDefault="004941DF" w:rsidP="004941DF">
            <w:pPr>
              <w:suppressAutoHyphens w:val="0"/>
              <w:spacing w:before="0" w:after="0" w:line="240" w:lineRule="auto"/>
              <w:jc w:val="center"/>
              <w:rPr>
                <w:rFonts w:eastAsia="Times New Roman" w:cs="Arial"/>
                <w:iCs/>
                <w:sz w:val="21"/>
                <w:szCs w:val="21"/>
                <w:lang w:val="en-AU" w:eastAsia="en-AU"/>
              </w:rPr>
            </w:pPr>
            <w:r>
              <w:rPr>
                <w:rFonts w:eastAsia="Times New Roman" w:cs="Arial"/>
                <w:iCs/>
                <w:sz w:val="21"/>
                <w:szCs w:val="21"/>
                <w:lang w:val="en-AU" w:eastAsia="en-AU"/>
              </w:rPr>
              <w:t>0.25</w:t>
            </w:r>
          </w:p>
        </w:tc>
      </w:tr>
      <w:tr w:rsidR="004941DF" w14:paraId="371A7DC5" w14:textId="77777777" w:rsidTr="00622B8B">
        <w:tc>
          <w:tcPr>
            <w:tcW w:w="2039" w:type="dxa"/>
            <w:tcBorders>
              <w:top w:val="single" w:sz="4" w:space="0" w:color="auto"/>
              <w:left w:val="single" w:sz="4" w:space="0" w:color="auto"/>
              <w:bottom w:val="single" w:sz="4" w:space="0" w:color="auto"/>
              <w:right w:val="single" w:sz="4" w:space="0" w:color="auto"/>
            </w:tcBorders>
            <w:hideMark/>
          </w:tcPr>
          <w:p w14:paraId="2FA0FD61" w14:textId="662715B0" w:rsidR="004941DF" w:rsidRDefault="004941DF" w:rsidP="004941DF">
            <w:pPr>
              <w:suppressAutoHyphens w:val="0"/>
              <w:spacing w:before="0" w:after="0" w:line="240" w:lineRule="auto"/>
              <w:rPr>
                <w:rFonts w:eastAsia="Times New Roman" w:cs="Arial"/>
                <w:iCs/>
                <w:sz w:val="21"/>
                <w:szCs w:val="21"/>
                <w:lang w:val="en-AU" w:eastAsia="en-AU"/>
              </w:rPr>
            </w:pPr>
            <w:r>
              <w:rPr>
                <w:rFonts w:eastAsia="Times New Roman" w:cs="Arial"/>
                <w:iCs/>
                <w:sz w:val="21"/>
                <w:szCs w:val="21"/>
                <w:lang w:val="en-AU" w:eastAsia="en-AU"/>
              </w:rPr>
              <w:t>Program Manager – Health Section (LES)</w:t>
            </w:r>
          </w:p>
        </w:tc>
        <w:tc>
          <w:tcPr>
            <w:tcW w:w="1075" w:type="dxa"/>
            <w:tcBorders>
              <w:top w:val="single" w:sz="4" w:space="0" w:color="auto"/>
              <w:left w:val="single" w:sz="4" w:space="0" w:color="auto"/>
              <w:bottom w:val="single" w:sz="4" w:space="0" w:color="auto"/>
              <w:right w:val="single" w:sz="4" w:space="0" w:color="auto"/>
            </w:tcBorders>
            <w:hideMark/>
          </w:tcPr>
          <w:p w14:paraId="4E2531A1" w14:textId="77777777" w:rsidR="004941DF" w:rsidRDefault="004941DF" w:rsidP="004941DF">
            <w:pPr>
              <w:suppressAutoHyphens w:val="0"/>
              <w:spacing w:before="0" w:after="0" w:line="240" w:lineRule="auto"/>
              <w:rPr>
                <w:rFonts w:eastAsia="Times New Roman" w:cs="Arial"/>
                <w:iCs/>
                <w:sz w:val="21"/>
                <w:szCs w:val="21"/>
                <w:lang w:val="en-AU" w:eastAsia="en-AU"/>
              </w:rPr>
            </w:pPr>
            <w:r>
              <w:rPr>
                <w:rFonts w:eastAsia="Times New Roman" w:cs="Arial"/>
                <w:iCs/>
                <w:sz w:val="21"/>
                <w:szCs w:val="21"/>
                <w:lang w:val="en-AU" w:eastAsia="en-AU"/>
              </w:rPr>
              <w:t>Jakarta</w:t>
            </w:r>
          </w:p>
        </w:tc>
        <w:tc>
          <w:tcPr>
            <w:tcW w:w="5528" w:type="dxa"/>
            <w:tcBorders>
              <w:top w:val="single" w:sz="4" w:space="0" w:color="auto"/>
              <w:left w:val="single" w:sz="4" w:space="0" w:color="auto"/>
              <w:bottom w:val="single" w:sz="4" w:space="0" w:color="auto"/>
              <w:right w:val="single" w:sz="4" w:space="0" w:color="auto"/>
            </w:tcBorders>
            <w:hideMark/>
          </w:tcPr>
          <w:p w14:paraId="03EDBA98" w14:textId="77777777" w:rsidR="004941DF" w:rsidRDefault="004941DF" w:rsidP="004941DF">
            <w:pPr>
              <w:pStyle w:val="ListParagraph"/>
              <w:numPr>
                <w:ilvl w:val="0"/>
                <w:numId w:val="59"/>
              </w:numPr>
              <w:suppressAutoHyphens w:val="0"/>
              <w:spacing w:before="0" w:after="0" w:line="240" w:lineRule="auto"/>
              <w:ind w:left="175" w:hanging="175"/>
              <w:rPr>
                <w:rFonts w:eastAsia="Times New Roman" w:cs="Arial"/>
                <w:iCs/>
                <w:sz w:val="21"/>
                <w:szCs w:val="21"/>
                <w:lang w:val="en-AU" w:eastAsia="en-AU"/>
              </w:rPr>
            </w:pPr>
            <w:r>
              <w:rPr>
                <w:rFonts w:eastAsia="Times New Roman" w:cs="Arial"/>
                <w:iCs/>
                <w:sz w:val="21"/>
                <w:szCs w:val="21"/>
                <w:lang w:val="en-AU" w:eastAsia="en-AU"/>
              </w:rPr>
              <w:t xml:space="preserve">Investment management and reporting </w:t>
            </w:r>
          </w:p>
          <w:p w14:paraId="521C092C" w14:textId="77777777" w:rsidR="004941DF" w:rsidRDefault="004941DF" w:rsidP="004941DF">
            <w:pPr>
              <w:pStyle w:val="ListParagraph"/>
              <w:numPr>
                <w:ilvl w:val="0"/>
                <w:numId w:val="59"/>
              </w:numPr>
              <w:suppressAutoHyphens w:val="0"/>
              <w:spacing w:before="0" w:after="0" w:line="240" w:lineRule="auto"/>
              <w:ind w:left="175" w:hanging="175"/>
              <w:rPr>
                <w:rFonts w:eastAsia="Times New Roman" w:cs="Arial"/>
                <w:iCs/>
                <w:sz w:val="21"/>
                <w:szCs w:val="21"/>
                <w:lang w:val="en-AU" w:eastAsia="en-AU"/>
              </w:rPr>
            </w:pPr>
            <w:r>
              <w:rPr>
                <w:rFonts w:eastAsia="Times New Roman" w:cs="Arial"/>
                <w:iCs/>
                <w:sz w:val="21"/>
                <w:szCs w:val="21"/>
                <w:lang w:val="en-AU" w:eastAsia="en-AU"/>
              </w:rPr>
              <w:t>Working level WB engagement</w:t>
            </w:r>
          </w:p>
        </w:tc>
        <w:tc>
          <w:tcPr>
            <w:tcW w:w="1253" w:type="dxa"/>
            <w:tcBorders>
              <w:top w:val="single" w:sz="4" w:space="0" w:color="auto"/>
              <w:left w:val="single" w:sz="4" w:space="0" w:color="auto"/>
              <w:bottom w:val="single" w:sz="4" w:space="0" w:color="auto"/>
              <w:right w:val="single" w:sz="4" w:space="0" w:color="auto"/>
            </w:tcBorders>
            <w:hideMark/>
          </w:tcPr>
          <w:p w14:paraId="1898C06B" w14:textId="0477F1EF" w:rsidR="004941DF" w:rsidRDefault="004941DF" w:rsidP="004941DF">
            <w:pPr>
              <w:suppressAutoHyphens w:val="0"/>
              <w:spacing w:before="0" w:after="0" w:line="240" w:lineRule="auto"/>
              <w:jc w:val="center"/>
              <w:rPr>
                <w:rFonts w:eastAsia="Times New Roman" w:cs="Arial"/>
                <w:iCs/>
                <w:sz w:val="21"/>
                <w:szCs w:val="21"/>
                <w:lang w:val="en-AU" w:eastAsia="en-AU"/>
              </w:rPr>
            </w:pPr>
            <w:r>
              <w:rPr>
                <w:rFonts w:eastAsia="Times New Roman" w:cs="Arial"/>
                <w:iCs/>
                <w:sz w:val="21"/>
                <w:szCs w:val="21"/>
                <w:lang w:val="en-AU" w:eastAsia="en-AU"/>
              </w:rPr>
              <w:t>0.</w:t>
            </w:r>
            <w:r w:rsidR="00DB1A1B">
              <w:rPr>
                <w:rFonts w:eastAsia="Times New Roman" w:cs="Arial"/>
                <w:iCs/>
                <w:sz w:val="21"/>
                <w:szCs w:val="21"/>
                <w:lang w:val="en-AU" w:eastAsia="en-AU"/>
              </w:rPr>
              <w:t>5</w:t>
            </w:r>
          </w:p>
        </w:tc>
      </w:tr>
    </w:tbl>
    <w:p w14:paraId="712AA782" w14:textId="77777777" w:rsidR="00DB1A1B" w:rsidRDefault="00DB1A1B" w:rsidP="009741CD">
      <w:pPr>
        <w:tabs>
          <w:tab w:val="left" w:pos="284"/>
        </w:tabs>
        <w:suppressAutoHyphens w:val="0"/>
        <w:spacing w:before="0" w:line="280" w:lineRule="exact"/>
        <w:jc w:val="both"/>
        <w:rPr>
          <w:rFonts w:cstheme="minorHAnsi"/>
          <w:sz w:val="21"/>
          <w:lang w:val="en-AU"/>
        </w:rPr>
      </w:pPr>
    </w:p>
    <w:p w14:paraId="69EA8998" w14:textId="77777777" w:rsidR="00B61A53" w:rsidRPr="00BA23EC" w:rsidRDefault="00B61A53" w:rsidP="00B61A53">
      <w:pPr>
        <w:tabs>
          <w:tab w:val="left" w:pos="284"/>
        </w:tabs>
        <w:suppressAutoHyphens w:val="0"/>
        <w:spacing w:before="0" w:line="280" w:lineRule="exact"/>
        <w:jc w:val="both"/>
        <w:rPr>
          <w:rFonts w:cstheme="minorHAnsi"/>
          <w:sz w:val="21"/>
          <w:lang w:val="en-AU"/>
        </w:rPr>
      </w:pPr>
      <w:r w:rsidRPr="00BA23EC">
        <w:rPr>
          <w:rFonts w:cstheme="minorHAnsi"/>
          <w:sz w:val="21"/>
          <w:lang w:val="en-AU"/>
        </w:rPr>
        <w:t xml:space="preserve">The health unit will also draw on specialist DFAT expertise in Canberra and Jakarta on cross-cutting themes, particularly gender equality and disability inclusion, to support effective implementation. </w:t>
      </w:r>
    </w:p>
    <w:p w14:paraId="65AD8AB2" w14:textId="77777777" w:rsidR="00B61A53" w:rsidRDefault="00B61A53" w:rsidP="00B61A53">
      <w:pPr>
        <w:tabs>
          <w:tab w:val="left" w:pos="284"/>
        </w:tabs>
        <w:suppressAutoHyphens w:val="0"/>
        <w:spacing w:before="0" w:line="280" w:lineRule="exact"/>
        <w:jc w:val="both"/>
        <w:rPr>
          <w:rFonts w:cstheme="minorHAnsi"/>
          <w:sz w:val="21"/>
          <w:lang w:val="en-AU"/>
        </w:rPr>
      </w:pPr>
      <w:r w:rsidRPr="00BA23EC">
        <w:rPr>
          <w:rFonts w:cstheme="minorHAnsi"/>
          <w:sz w:val="21"/>
          <w:lang w:val="en-AU"/>
        </w:rPr>
        <w:t>M&amp;E support for the lifetime of the investment will also be engaged through Post’s standing offer with IOD PARC, including capturing of lessons learnt to support DFAT’s engagement with the Bank and MoH.</w:t>
      </w:r>
    </w:p>
    <w:p w14:paraId="4FF86AE7" w14:textId="2E046CA8" w:rsidR="0030172E" w:rsidRPr="00BA23EC" w:rsidRDefault="00271FB6" w:rsidP="00271FB6">
      <w:pPr>
        <w:pStyle w:val="Heading2"/>
      </w:pPr>
      <w:r>
        <w:t xml:space="preserve">I. </w:t>
      </w:r>
      <w:r w:rsidR="00FA137E" w:rsidRPr="00BA23EC">
        <w:t>Risk Management and Safeguards</w:t>
      </w:r>
    </w:p>
    <w:p w14:paraId="01E0A1D5" w14:textId="1F56351B" w:rsidR="003F1B0C" w:rsidRDefault="003A2E37" w:rsidP="00B8402B">
      <w:pPr>
        <w:tabs>
          <w:tab w:val="left" w:pos="284"/>
        </w:tabs>
        <w:suppressAutoHyphens w:val="0"/>
        <w:spacing w:before="0" w:line="280" w:lineRule="exact"/>
        <w:jc w:val="both"/>
        <w:rPr>
          <w:rFonts w:cstheme="minorHAnsi"/>
          <w:sz w:val="21"/>
          <w:lang w:val="en-AU"/>
        </w:rPr>
      </w:pPr>
      <w:r>
        <w:rPr>
          <w:rFonts w:cstheme="minorHAnsi"/>
          <w:sz w:val="21"/>
          <w:szCs w:val="21"/>
          <w:lang w:val="en-AU"/>
        </w:rPr>
        <w:t>A</w:t>
      </w:r>
      <w:r w:rsidR="00476746" w:rsidRPr="00BA23EC">
        <w:rPr>
          <w:rFonts w:cstheme="minorHAnsi"/>
          <w:sz w:val="21"/>
          <w:szCs w:val="21"/>
          <w:lang w:val="en-AU"/>
        </w:rPr>
        <w:t xml:space="preserve">ll </w:t>
      </w:r>
      <w:r w:rsidR="003441E2" w:rsidRPr="00BA23EC">
        <w:rPr>
          <w:rFonts w:cstheme="minorHAnsi"/>
          <w:sz w:val="21"/>
          <w:szCs w:val="21"/>
          <w:lang w:val="en-AU"/>
        </w:rPr>
        <w:t xml:space="preserve">Australian-funded </w:t>
      </w:r>
      <w:r w:rsidR="004F4864">
        <w:rPr>
          <w:rFonts w:cstheme="minorHAnsi"/>
          <w:sz w:val="21"/>
          <w:szCs w:val="21"/>
          <w:lang w:val="en-AU"/>
        </w:rPr>
        <w:t>HT-</w:t>
      </w:r>
      <w:r w:rsidR="008C1AAC" w:rsidRPr="00BA23EC">
        <w:rPr>
          <w:rFonts w:cstheme="minorHAnsi"/>
          <w:sz w:val="21"/>
          <w:szCs w:val="21"/>
          <w:lang w:val="en-AU"/>
        </w:rPr>
        <w:t>MDTF</w:t>
      </w:r>
      <w:r w:rsidR="003441E2" w:rsidRPr="00BA23EC">
        <w:rPr>
          <w:rFonts w:cstheme="minorHAnsi"/>
          <w:sz w:val="21"/>
          <w:szCs w:val="21"/>
          <w:lang w:val="en-AU"/>
        </w:rPr>
        <w:t xml:space="preserve"> activities in Indonesia</w:t>
      </w:r>
      <w:r>
        <w:rPr>
          <w:rFonts w:cstheme="minorHAnsi"/>
          <w:sz w:val="21"/>
          <w:szCs w:val="21"/>
          <w:lang w:val="en-AU"/>
        </w:rPr>
        <w:t xml:space="preserve"> </w:t>
      </w:r>
      <w:r w:rsidRPr="001252BC">
        <w:rPr>
          <w:rFonts w:cstheme="minorHAnsi"/>
          <w:sz w:val="21"/>
          <w:szCs w:val="21"/>
          <w:lang w:val="en-AU"/>
        </w:rPr>
        <w:t>shall be administered in accordance with the Bank’s applicable policies and procedures</w:t>
      </w:r>
      <w:r w:rsidR="00725726" w:rsidRPr="00BA23EC">
        <w:rPr>
          <w:rFonts w:cstheme="minorHAnsi"/>
          <w:sz w:val="21"/>
          <w:szCs w:val="21"/>
          <w:lang w:val="en-AU"/>
        </w:rPr>
        <w:t xml:space="preserve">, including </w:t>
      </w:r>
      <w:r w:rsidRPr="001252BC">
        <w:rPr>
          <w:rFonts w:cstheme="minorHAnsi"/>
          <w:sz w:val="21"/>
          <w:szCs w:val="21"/>
          <w:lang w:val="en-AU"/>
        </w:rPr>
        <w:t xml:space="preserve">procurement, financial management, disbursement and </w:t>
      </w:r>
      <w:r w:rsidR="00B8402B" w:rsidRPr="001252BC">
        <w:rPr>
          <w:rFonts w:cstheme="minorHAnsi"/>
          <w:sz w:val="21"/>
          <w:szCs w:val="21"/>
          <w:lang w:val="en-AU"/>
        </w:rPr>
        <w:t xml:space="preserve">environmental </w:t>
      </w:r>
      <w:r w:rsidRPr="001252BC">
        <w:rPr>
          <w:rFonts w:cstheme="minorHAnsi"/>
          <w:sz w:val="21"/>
          <w:szCs w:val="21"/>
          <w:lang w:val="en-AU"/>
        </w:rPr>
        <w:t>safeguard policies,</w:t>
      </w:r>
      <w:r w:rsidR="00971188" w:rsidRPr="00796AEF">
        <w:rPr>
          <w:rFonts w:cstheme="minorHAnsi"/>
          <w:sz w:val="21"/>
          <w:szCs w:val="21"/>
          <w:lang w:val="en-AU"/>
        </w:rPr>
        <w:t xml:space="preserve"> </w:t>
      </w:r>
      <w:r w:rsidRPr="001252BC">
        <w:rPr>
          <w:rFonts w:cstheme="minorHAnsi"/>
          <w:sz w:val="21"/>
          <w:szCs w:val="21"/>
          <w:lang w:val="en-AU"/>
        </w:rPr>
        <w:t>and its screening procedures to prevent the use of Bank resources to finance terrorist activity</w:t>
      </w:r>
      <w:r w:rsidR="00B8402B" w:rsidRPr="001252BC">
        <w:rPr>
          <w:rFonts w:cstheme="minorHAnsi"/>
          <w:sz w:val="21"/>
          <w:szCs w:val="21"/>
          <w:lang w:val="en-AU"/>
        </w:rPr>
        <w:t>.</w:t>
      </w:r>
      <w:r w:rsidRPr="00BA23EC">
        <w:rPr>
          <w:rFonts w:cstheme="minorHAnsi"/>
          <w:sz w:val="21"/>
          <w:szCs w:val="21"/>
          <w:lang w:val="en-AU"/>
        </w:rPr>
        <w:t xml:space="preserve"> </w:t>
      </w:r>
      <w:r w:rsidR="00465924">
        <w:rPr>
          <w:rFonts w:cstheme="minorHAnsi"/>
          <w:sz w:val="21"/>
          <w:szCs w:val="21"/>
          <w:lang w:val="en-AU"/>
        </w:rPr>
        <w:t xml:space="preserve">Risk management will be standing agenda item at Partnership Council meetings, and the quarterly meetings </w:t>
      </w:r>
      <w:r w:rsidR="00465924">
        <w:rPr>
          <w:rFonts w:cstheme="minorHAnsi"/>
          <w:sz w:val="21"/>
          <w:szCs w:val="21"/>
          <w:lang w:val="en-AU"/>
        </w:rPr>
        <w:lastRenderedPageBreak/>
        <w:t xml:space="preserve">between the Jakarta Post health team and World Bank. The DFAT Risk Register will be reviewed and updated by the Second Secretary, Jakarta Post health team. </w:t>
      </w:r>
      <w:r w:rsidR="003F1B0C" w:rsidRPr="00796AEF">
        <w:rPr>
          <w:rFonts w:cstheme="minorHAnsi"/>
          <w:sz w:val="21"/>
          <w:szCs w:val="21"/>
          <w:lang w:val="en-AU"/>
        </w:rPr>
        <w:t xml:space="preserve">Prior to the start of </w:t>
      </w:r>
      <w:r w:rsidR="009B1AFA" w:rsidRPr="00796AEF">
        <w:rPr>
          <w:rFonts w:cstheme="minorHAnsi"/>
          <w:sz w:val="21"/>
          <w:szCs w:val="21"/>
          <w:lang w:val="en-AU"/>
        </w:rPr>
        <w:t>any MoH</w:t>
      </w:r>
      <w:r w:rsidR="009B1AFA">
        <w:rPr>
          <w:rFonts w:cstheme="minorHAnsi"/>
          <w:sz w:val="21"/>
          <w:lang w:val="en-AU"/>
        </w:rPr>
        <w:t xml:space="preserve"> executed </w:t>
      </w:r>
      <w:r w:rsidR="00A63CEF" w:rsidRPr="00BA23EC">
        <w:rPr>
          <w:rFonts w:cstheme="minorHAnsi"/>
          <w:sz w:val="21"/>
          <w:lang w:val="en-AU"/>
        </w:rPr>
        <w:t>activit</w:t>
      </w:r>
      <w:r w:rsidR="00696D70">
        <w:rPr>
          <w:rFonts w:cstheme="minorHAnsi"/>
          <w:sz w:val="21"/>
          <w:lang w:val="en-AU"/>
        </w:rPr>
        <w:t>ies</w:t>
      </w:r>
      <w:r w:rsidR="00A63CEF" w:rsidRPr="00BA23EC">
        <w:rPr>
          <w:rFonts w:cstheme="minorHAnsi"/>
          <w:sz w:val="21"/>
          <w:lang w:val="en-AU"/>
        </w:rPr>
        <w:t xml:space="preserve">, </w:t>
      </w:r>
      <w:r w:rsidR="003F1B0C" w:rsidRPr="00BA23EC">
        <w:rPr>
          <w:rFonts w:cstheme="minorHAnsi"/>
          <w:sz w:val="21"/>
          <w:lang w:val="en-AU"/>
        </w:rPr>
        <w:t xml:space="preserve">an assessment </w:t>
      </w:r>
      <w:r w:rsidR="00A63CEF" w:rsidRPr="00BA23EC">
        <w:rPr>
          <w:rFonts w:cstheme="minorHAnsi"/>
          <w:sz w:val="21"/>
          <w:lang w:val="en-AU"/>
        </w:rPr>
        <w:t xml:space="preserve">will be carried out </w:t>
      </w:r>
      <w:r w:rsidR="003F1B0C" w:rsidRPr="00BA23EC">
        <w:rPr>
          <w:rFonts w:cstheme="minorHAnsi"/>
          <w:sz w:val="21"/>
          <w:lang w:val="en-AU"/>
        </w:rPr>
        <w:t xml:space="preserve">with </w:t>
      </w:r>
      <w:r w:rsidR="00A63CEF" w:rsidRPr="00BA23EC">
        <w:rPr>
          <w:rFonts w:cstheme="minorHAnsi"/>
          <w:sz w:val="21"/>
          <w:lang w:val="en-AU"/>
        </w:rPr>
        <w:t>consideration of</w:t>
      </w:r>
      <w:r w:rsidR="003F1B0C" w:rsidRPr="00BA23EC">
        <w:rPr>
          <w:rFonts w:cstheme="minorHAnsi"/>
          <w:sz w:val="21"/>
          <w:lang w:val="en-AU"/>
        </w:rPr>
        <w:t xml:space="preserve"> their alignment with ESF </w:t>
      </w:r>
      <w:proofErr w:type="gramStart"/>
      <w:r w:rsidR="003F1B0C" w:rsidRPr="00BA23EC">
        <w:rPr>
          <w:rFonts w:cstheme="minorHAnsi"/>
          <w:sz w:val="21"/>
          <w:lang w:val="en-AU"/>
        </w:rPr>
        <w:t>standards</w:t>
      </w:r>
      <w:proofErr w:type="gramEnd"/>
      <w:r w:rsidR="009D427A">
        <w:rPr>
          <w:rFonts w:cstheme="minorHAnsi"/>
          <w:sz w:val="21"/>
          <w:lang w:val="en-AU"/>
        </w:rPr>
        <w:t xml:space="preserve"> and the World Bank Guidance note on </w:t>
      </w:r>
      <w:r w:rsidR="009D427A" w:rsidRPr="001252BC">
        <w:rPr>
          <w:rFonts w:cstheme="minorHAnsi"/>
          <w:i/>
          <w:iCs/>
          <w:sz w:val="21"/>
          <w:lang w:val="en-AU"/>
        </w:rPr>
        <w:t>Addressing Sexual Exploitation and Abuse and Sexual Harassment (SEA/SH) in Human Development Operations</w:t>
      </w:r>
      <w:r w:rsidR="002B0B18">
        <w:rPr>
          <w:rFonts w:cstheme="minorHAnsi"/>
          <w:sz w:val="21"/>
          <w:lang w:val="en-AU"/>
        </w:rPr>
        <w:t xml:space="preserve">. </w:t>
      </w:r>
      <w:r w:rsidR="003F1B0C" w:rsidRPr="00BA23EC">
        <w:rPr>
          <w:rFonts w:cstheme="minorHAnsi"/>
          <w:sz w:val="21"/>
          <w:lang w:val="en-AU"/>
        </w:rPr>
        <w:t>This will be followed with regular and ongoing safeguards assessments throughout implementation, led by the World Bank</w:t>
      </w:r>
      <w:r w:rsidR="00696D70">
        <w:rPr>
          <w:rFonts w:cstheme="minorHAnsi"/>
          <w:sz w:val="21"/>
          <w:lang w:val="en-AU"/>
        </w:rPr>
        <w:t>. Compliance with the ESF will be</w:t>
      </w:r>
      <w:r w:rsidR="003F1B0C" w:rsidRPr="00BA23EC">
        <w:rPr>
          <w:rFonts w:cstheme="minorHAnsi"/>
          <w:sz w:val="21"/>
          <w:lang w:val="en-AU"/>
        </w:rPr>
        <w:t xml:space="preserve"> reported to the Partnership Council.</w:t>
      </w:r>
      <w:r w:rsidR="00A63CEF" w:rsidRPr="00BA23EC">
        <w:rPr>
          <w:rFonts w:cstheme="minorHAnsi"/>
          <w:sz w:val="21"/>
          <w:lang w:val="en-AU"/>
        </w:rPr>
        <w:t xml:space="preserve"> Any safeguards-related grievances</w:t>
      </w:r>
      <w:r w:rsidR="003F1B0C" w:rsidRPr="00BA23EC">
        <w:rPr>
          <w:rFonts w:cstheme="minorHAnsi"/>
          <w:sz w:val="21"/>
          <w:lang w:val="en-AU"/>
        </w:rPr>
        <w:t xml:space="preserve"> will be reported to and handled by an independent panel outside of the MDTF structure, as per World Bank guidelines.</w:t>
      </w:r>
    </w:p>
    <w:p w14:paraId="435AF477" w14:textId="2E0C0CDD" w:rsidR="007234CA" w:rsidRDefault="007231D0" w:rsidP="004C22FB">
      <w:pPr>
        <w:tabs>
          <w:tab w:val="left" w:pos="284"/>
        </w:tabs>
        <w:suppressAutoHyphens w:val="0"/>
        <w:spacing w:before="0" w:line="280" w:lineRule="exact"/>
        <w:jc w:val="both"/>
        <w:rPr>
          <w:rFonts w:cstheme="minorHAnsi"/>
          <w:sz w:val="21"/>
          <w:lang w:val="en-AU"/>
        </w:rPr>
      </w:pPr>
      <w:r>
        <w:rPr>
          <w:rFonts w:cstheme="minorHAnsi"/>
          <w:sz w:val="21"/>
          <w:szCs w:val="21"/>
          <w:lang w:val="en-AU"/>
        </w:rPr>
        <w:t xml:space="preserve">The </w:t>
      </w:r>
      <w:r w:rsidRPr="00BA23EC">
        <w:rPr>
          <w:rFonts w:cstheme="minorHAnsi"/>
          <w:sz w:val="21"/>
          <w:lang w:val="en-AU"/>
        </w:rPr>
        <w:t xml:space="preserve">Annual Progress Report </w:t>
      </w:r>
      <w:r>
        <w:rPr>
          <w:rFonts w:cstheme="minorHAnsi"/>
          <w:sz w:val="21"/>
          <w:lang w:val="en-AU"/>
        </w:rPr>
        <w:t xml:space="preserve">prepared by the </w:t>
      </w:r>
      <w:r w:rsidRPr="00BA23EC">
        <w:rPr>
          <w:rFonts w:cstheme="minorHAnsi"/>
          <w:sz w:val="21"/>
          <w:lang w:val="en-AU"/>
        </w:rPr>
        <w:t>MDTF Secretariat</w:t>
      </w:r>
      <w:r>
        <w:rPr>
          <w:rFonts w:cstheme="minorHAnsi"/>
          <w:sz w:val="21"/>
          <w:lang w:val="en-AU"/>
        </w:rPr>
        <w:t>, the six</w:t>
      </w:r>
      <w:r w:rsidR="00E21309">
        <w:rPr>
          <w:rFonts w:cstheme="minorHAnsi"/>
          <w:sz w:val="21"/>
          <w:lang w:val="en-AU"/>
        </w:rPr>
        <w:t xml:space="preserve">-monthly </w:t>
      </w:r>
      <w:r w:rsidRPr="00BA23EC">
        <w:rPr>
          <w:rFonts w:cstheme="minorHAnsi"/>
          <w:sz w:val="21"/>
          <w:lang w:val="en-AU"/>
        </w:rPr>
        <w:t>Implementation Status Reports</w:t>
      </w:r>
      <w:r w:rsidR="00E21309">
        <w:rPr>
          <w:rFonts w:cstheme="minorHAnsi"/>
          <w:sz w:val="21"/>
          <w:lang w:val="en-AU"/>
        </w:rPr>
        <w:t xml:space="preserve"> and </w:t>
      </w:r>
      <w:r w:rsidRPr="00BA23EC">
        <w:rPr>
          <w:rFonts w:cstheme="minorHAnsi"/>
          <w:sz w:val="21"/>
          <w:lang w:val="en-AU"/>
        </w:rPr>
        <w:t>Annual Progress Review</w:t>
      </w:r>
      <w:r w:rsidR="00E21309">
        <w:rPr>
          <w:rFonts w:cstheme="minorHAnsi"/>
          <w:sz w:val="21"/>
          <w:lang w:val="en-AU"/>
        </w:rPr>
        <w:t xml:space="preserve">s prepared by the World Bank will include a detailed risk assessment, including consideration of SEAH and child protection risks. </w:t>
      </w:r>
      <w:r w:rsidR="00933D29">
        <w:rPr>
          <w:rFonts w:cstheme="minorHAnsi"/>
          <w:sz w:val="21"/>
          <w:lang w:val="en-AU"/>
        </w:rPr>
        <w:t xml:space="preserve">DFAT will also use its position on the Partnership Council to </w:t>
      </w:r>
      <w:r w:rsidR="00383513" w:rsidRPr="00465924">
        <w:rPr>
          <w:rFonts w:cstheme="minorHAnsi"/>
          <w:sz w:val="21"/>
          <w:lang w:val="en-AU"/>
        </w:rPr>
        <w:t>build a strong</w:t>
      </w:r>
      <w:r w:rsidR="007234CA" w:rsidRPr="00465924">
        <w:rPr>
          <w:rFonts w:cstheme="minorHAnsi"/>
          <w:sz w:val="21"/>
          <w:lang w:val="en-AU"/>
        </w:rPr>
        <w:t xml:space="preserve"> alliance with other donors in addressing risks, including </w:t>
      </w:r>
      <w:r w:rsidR="00383513" w:rsidRPr="00465924">
        <w:rPr>
          <w:rFonts w:cstheme="minorHAnsi"/>
          <w:sz w:val="21"/>
          <w:lang w:val="en-AU"/>
        </w:rPr>
        <w:t xml:space="preserve">on </w:t>
      </w:r>
      <w:r w:rsidR="007234CA" w:rsidRPr="00465924">
        <w:rPr>
          <w:rFonts w:cstheme="minorHAnsi"/>
          <w:sz w:val="21"/>
          <w:lang w:val="en-AU"/>
        </w:rPr>
        <w:t>safeguard matters.</w:t>
      </w:r>
    </w:p>
    <w:p w14:paraId="390DC2BE" w14:textId="05127810" w:rsidR="00E45EB0" w:rsidRPr="00BA23EC" w:rsidRDefault="00696D70" w:rsidP="00766ABE">
      <w:pPr>
        <w:tabs>
          <w:tab w:val="left" w:pos="284"/>
        </w:tabs>
        <w:suppressAutoHyphens w:val="0"/>
        <w:spacing w:before="0" w:line="280" w:lineRule="exact"/>
        <w:jc w:val="both"/>
        <w:rPr>
          <w:rFonts w:cstheme="minorHAnsi"/>
          <w:sz w:val="21"/>
          <w:szCs w:val="21"/>
          <w:lang w:val="en-AU"/>
        </w:rPr>
      </w:pPr>
      <w:r>
        <w:rPr>
          <w:rFonts w:cstheme="minorHAnsi"/>
          <w:sz w:val="21"/>
          <w:szCs w:val="21"/>
          <w:lang w:val="en-AU"/>
        </w:rPr>
        <w:t>C</w:t>
      </w:r>
      <w:r w:rsidR="00927686" w:rsidRPr="00BA23EC">
        <w:rPr>
          <w:rFonts w:cstheme="minorHAnsi"/>
          <w:sz w:val="21"/>
          <w:szCs w:val="21"/>
          <w:lang w:val="en-AU"/>
        </w:rPr>
        <w:t>onsider</w:t>
      </w:r>
      <w:r>
        <w:rPr>
          <w:rFonts w:cstheme="minorHAnsi"/>
          <w:sz w:val="21"/>
          <w:szCs w:val="21"/>
          <w:lang w:val="en-AU"/>
        </w:rPr>
        <w:t>ing</w:t>
      </w:r>
      <w:r w:rsidR="00927686" w:rsidRPr="00BA23EC">
        <w:rPr>
          <w:rFonts w:cstheme="minorHAnsi"/>
          <w:sz w:val="21"/>
          <w:szCs w:val="21"/>
          <w:lang w:val="en-AU"/>
        </w:rPr>
        <w:t xml:space="preserve"> the scope of this work</w:t>
      </w:r>
      <w:r>
        <w:rPr>
          <w:rFonts w:cstheme="minorHAnsi"/>
          <w:sz w:val="21"/>
          <w:szCs w:val="21"/>
          <w:lang w:val="en-AU"/>
        </w:rPr>
        <w:t xml:space="preserve"> (</w:t>
      </w:r>
      <w:r w:rsidR="003441E2" w:rsidRPr="00BA23EC">
        <w:rPr>
          <w:rFonts w:cstheme="minorHAnsi"/>
          <w:sz w:val="21"/>
          <w:szCs w:val="21"/>
          <w:lang w:val="en-AU"/>
        </w:rPr>
        <w:t>analytical work</w:t>
      </w:r>
      <w:r w:rsidR="008C1AAC" w:rsidRPr="00BA23EC">
        <w:rPr>
          <w:rFonts w:cstheme="minorHAnsi"/>
          <w:sz w:val="21"/>
          <w:szCs w:val="21"/>
          <w:lang w:val="en-AU"/>
        </w:rPr>
        <w:t xml:space="preserve">, </w:t>
      </w:r>
      <w:r w:rsidR="00FB4B20" w:rsidRPr="00BA23EC">
        <w:rPr>
          <w:rFonts w:cstheme="minorHAnsi"/>
          <w:sz w:val="21"/>
          <w:szCs w:val="21"/>
          <w:lang w:val="en-AU"/>
        </w:rPr>
        <w:t>technical and operational advice</w:t>
      </w:r>
      <w:r>
        <w:rPr>
          <w:rFonts w:cstheme="minorHAnsi"/>
          <w:sz w:val="21"/>
          <w:szCs w:val="21"/>
          <w:lang w:val="en-AU"/>
        </w:rPr>
        <w:t>)</w:t>
      </w:r>
      <w:r w:rsidR="005101A6" w:rsidRPr="00BA23EC">
        <w:rPr>
          <w:rFonts w:cstheme="minorHAnsi"/>
          <w:sz w:val="21"/>
          <w:szCs w:val="21"/>
          <w:lang w:val="en-AU"/>
        </w:rPr>
        <w:t>,</w:t>
      </w:r>
      <w:r w:rsidR="00FB4B20" w:rsidRPr="00BA23EC">
        <w:rPr>
          <w:rFonts w:cstheme="minorHAnsi"/>
          <w:sz w:val="21"/>
          <w:szCs w:val="21"/>
          <w:lang w:val="en-AU"/>
        </w:rPr>
        <w:t xml:space="preserve"> </w:t>
      </w:r>
      <w:r w:rsidR="00927686" w:rsidRPr="00BA23EC">
        <w:rPr>
          <w:rFonts w:cstheme="minorHAnsi"/>
          <w:sz w:val="21"/>
          <w:szCs w:val="21"/>
          <w:lang w:val="en-AU"/>
        </w:rPr>
        <w:t xml:space="preserve">both the World Bank and DFAT </w:t>
      </w:r>
      <w:r w:rsidR="00C3722C" w:rsidRPr="00BA23EC">
        <w:rPr>
          <w:rFonts w:cstheme="minorHAnsi"/>
          <w:sz w:val="21"/>
          <w:szCs w:val="21"/>
          <w:lang w:val="en-AU"/>
        </w:rPr>
        <w:t>identified</w:t>
      </w:r>
      <w:r w:rsidR="006318B8" w:rsidRPr="00BA23EC">
        <w:rPr>
          <w:rFonts w:cstheme="minorHAnsi"/>
          <w:sz w:val="21"/>
          <w:szCs w:val="21"/>
          <w:lang w:val="en-AU"/>
        </w:rPr>
        <w:t xml:space="preserve"> an</w:t>
      </w:r>
      <w:r w:rsidR="00402228" w:rsidRPr="00BA23EC">
        <w:rPr>
          <w:rFonts w:cstheme="minorHAnsi"/>
          <w:sz w:val="21"/>
          <w:szCs w:val="21"/>
          <w:lang w:val="en-AU"/>
        </w:rPr>
        <w:t xml:space="preserve"> </w:t>
      </w:r>
      <w:r w:rsidR="005101A6" w:rsidRPr="00BA23EC">
        <w:rPr>
          <w:rFonts w:cstheme="minorHAnsi"/>
          <w:sz w:val="21"/>
          <w:szCs w:val="21"/>
          <w:lang w:val="en-AU"/>
        </w:rPr>
        <w:t xml:space="preserve">overall risk </w:t>
      </w:r>
      <w:r w:rsidR="006318B8" w:rsidRPr="00BA23EC">
        <w:rPr>
          <w:rFonts w:cstheme="minorHAnsi"/>
          <w:sz w:val="21"/>
          <w:szCs w:val="21"/>
          <w:lang w:val="en-AU"/>
        </w:rPr>
        <w:t xml:space="preserve">rating </w:t>
      </w:r>
      <w:r w:rsidR="00C3722C" w:rsidRPr="00BA23EC">
        <w:rPr>
          <w:rFonts w:cstheme="minorHAnsi"/>
          <w:sz w:val="21"/>
          <w:szCs w:val="21"/>
          <w:lang w:val="en-AU"/>
        </w:rPr>
        <w:t xml:space="preserve">of </w:t>
      </w:r>
      <w:r w:rsidR="00C3722C" w:rsidRPr="00BA23EC">
        <w:rPr>
          <w:rFonts w:cstheme="minorHAnsi"/>
          <w:b/>
          <w:bCs/>
          <w:sz w:val="21"/>
          <w:szCs w:val="21"/>
          <w:lang w:val="en-AU"/>
        </w:rPr>
        <w:t>medium</w:t>
      </w:r>
      <w:r w:rsidR="00C3722C" w:rsidRPr="00BA23EC">
        <w:rPr>
          <w:rFonts w:cstheme="minorHAnsi"/>
          <w:sz w:val="21"/>
          <w:szCs w:val="21"/>
          <w:lang w:val="en-AU"/>
        </w:rPr>
        <w:t xml:space="preserve"> </w:t>
      </w:r>
      <w:r w:rsidR="006318B8" w:rsidRPr="00BA23EC">
        <w:rPr>
          <w:rFonts w:cstheme="minorHAnsi"/>
          <w:sz w:val="21"/>
          <w:szCs w:val="21"/>
          <w:lang w:val="en-AU"/>
        </w:rPr>
        <w:t xml:space="preserve">after proposed controls and treatments. </w:t>
      </w:r>
      <w:r w:rsidR="00BC3E85" w:rsidRPr="00BA23EC">
        <w:rPr>
          <w:rFonts w:cstheme="minorHAnsi"/>
          <w:sz w:val="21"/>
          <w:szCs w:val="21"/>
          <w:lang w:val="en-AU"/>
        </w:rPr>
        <w:t xml:space="preserve">A completed </w:t>
      </w:r>
      <w:r w:rsidR="003441E2" w:rsidRPr="00BA23EC">
        <w:rPr>
          <w:rFonts w:cstheme="minorHAnsi"/>
          <w:sz w:val="21"/>
          <w:szCs w:val="21"/>
          <w:lang w:val="en-AU"/>
        </w:rPr>
        <w:t xml:space="preserve">Risk and Safeguard Screening Tool </w:t>
      </w:r>
      <w:r w:rsidR="00356225" w:rsidRPr="00BA23EC">
        <w:rPr>
          <w:rFonts w:cstheme="minorHAnsi"/>
          <w:sz w:val="21"/>
          <w:szCs w:val="21"/>
          <w:lang w:val="en-AU"/>
        </w:rPr>
        <w:t>and Risk Assessment</w:t>
      </w:r>
      <w:r w:rsidR="00BC3E85" w:rsidRPr="00BA23EC">
        <w:rPr>
          <w:rFonts w:cstheme="minorHAnsi"/>
          <w:sz w:val="21"/>
          <w:szCs w:val="21"/>
          <w:lang w:val="en-AU"/>
        </w:rPr>
        <w:t xml:space="preserve"> are provided</w:t>
      </w:r>
      <w:r w:rsidR="00973D36" w:rsidRPr="00BA23EC">
        <w:rPr>
          <w:rFonts w:cstheme="minorHAnsi"/>
          <w:sz w:val="21"/>
          <w:szCs w:val="21"/>
          <w:lang w:val="en-AU"/>
        </w:rPr>
        <w:t xml:space="preserve"> </w:t>
      </w:r>
      <w:r w:rsidR="003441E2" w:rsidRPr="00BA23EC">
        <w:rPr>
          <w:rFonts w:cstheme="minorHAnsi"/>
          <w:sz w:val="21"/>
          <w:szCs w:val="21"/>
          <w:lang w:val="en-AU"/>
        </w:rPr>
        <w:t xml:space="preserve">at Annex </w:t>
      </w:r>
      <w:r w:rsidR="00973D36" w:rsidRPr="00BA23EC">
        <w:rPr>
          <w:rFonts w:cstheme="minorHAnsi"/>
          <w:sz w:val="21"/>
          <w:szCs w:val="21"/>
          <w:lang w:val="en-AU"/>
        </w:rPr>
        <w:t>5</w:t>
      </w:r>
      <w:r w:rsidR="00D308C5" w:rsidRPr="00BA23EC">
        <w:rPr>
          <w:rFonts w:cstheme="minorHAnsi"/>
          <w:sz w:val="21"/>
          <w:szCs w:val="21"/>
          <w:lang w:val="en-AU"/>
        </w:rPr>
        <w:t>.</w:t>
      </w:r>
    </w:p>
    <w:p w14:paraId="1E6FFBCD" w14:textId="5B1BB1FE" w:rsidR="00112E4D" w:rsidRDefault="00074639" w:rsidP="00766ABE">
      <w:pPr>
        <w:tabs>
          <w:tab w:val="left" w:pos="284"/>
        </w:tabs>
        <w:suppressAutoHyphens w:val="0"/>
        <w:spacing w:before="0" w:line="280" w:lineRule="exact"/>
        <w:jc w:val="both"/>
        <w:rPr>
          <w:rFonts w:cstheme="minorHAnsi"/>
          <w:sz w:val="21"/>
          <w:szCs w:val="21"/>
          <w:lang w:val="en-AU"/>
        </w:rPr>
      </w:pPr>
      <w:r w:rsidRPr="00BA23EC">
        <w:rPr>
          <w:rFonts w:cstheme="minorHAnsi"/>
          <w:sz w:val="21"/>
          <w:szCs w:val="21"/>
          <w:lang w:val="en-AU"/>
        </w:rPr>
        <w:t xml:space="preserve">Of the </w:t>
      </w:r>
      <w:r w:rsidR="00A066CE">
        <w:rPr>
          <w:rFonts w:cstheme="minorHAnsi"/>
          <w:sz w:val="21"/>
          <w:szCs w:val="21"/>
          <w:lang w:val="en-AU"/>
        </w:rPr>
        <w:t>thirteen</w:t>
      </w:r>
      <w:r w:rsidR="00916581" w:rsidRPr="00BA23EC">
        <w:rPr>
          <w:rFonts w:cstheme="minorHAnsi"/>
          <w:sz w:val="21"/>
          <w:szCs w:val="21"/>
          <w:lang w:val="en-AU"/>
        </w:rPr>
        <w:t xml:space="preserve"> key risks </w:t>
      </w:r>
      <w:r w:rsidRPr="00BA23EC">
        <w:rPr>
          <w:rFonts w:cstheme="minorHAnsi"/>
          <w:sz w:val="21"/>
          <w:szCs w:val="21"/>
          <w:lang w:val="en-AU"/>
        </w:rPr>
        <w:t xml:space="preserve">that </w:t>
      </w:r>
      <w:r w:rsidR="00916581" w:rsidRPr="00BA23EC">
        <w:rPr>
          <w:rFonts w:cstheme="minorHAnsi"/>
          <w:sz w:val="21"/>
          <w:szCs w:val="21"/>
          <w:lang w:val="en-AU"/>
        </w:rPr>
        <w:t xml:space="preserve">were identified </w:t>
      </w:r>
      <w:r w:rsidR="00752A9A" w:rsidRPr="00BA23EC">
        <w:rPr>
          <w:rFonts w:cstheme="minorHAnsi"/>
          <w:sz w:val="21"/>
          <w:szCs w:val="21"/>
          <w:lang w:val="en-AU"/>
        </w:rPr>
        <w:t>during the risk assessment</w:t>
      </w:r>
      <w:r w:rsidR="00C3722C" w:rsidRPr="00BA23EC">
        <w:rPr>
          <w:rFonts w:cstheme="minorHAnsi"/>
          <w:sz w:val="21"/>
          <w:szCs w:val="21"/>
          <w:lang w:val="en-AU"/>
        </w:rPr>
        <w:t>,</w:t>
      </w:r>
      <w:r w:rsidR="008252E6" w:rsidRPr="00BA23EC">
        <w:rPr>
          <w:rFonts w:cstheme="minorHAnsi"/>
          <w:sz w:val="21"/>
          <w:szCs w:val="21"/>
          <w:lang w:val="en-AU"/>
        </w:rPr>
        <w:t xml:space="preserve"> t</w:t>
      </w:r>
      <w:r w:rsidR="00320430" w:rsidRPr="00BA23EC">
        <w:rPr>
          <w:rFonts w:cstheme="minorHAnsi"/>
          <w:sz w:val="21"/>
          <w:szCs w:val="21"/>
          <w:lang w:val="en-AU"/>
        </w:rPr>
        <w:t xml:space="preserve">wo </w:t>
      </w:r>
      <w:r w:rsidR="008252E6" w:rsidRPr="00BA23EC">
        <w:rPr>
          <w:rFonts w:cstheme="minorHAnsi"/>
          <w:sz w:val="21"/>
          <w:szCs w:val="21"/>
          <w:lang w:val="en-AU"/>
        </w:rPr>
        <w:t>primary</w:t>
      </w:r>
      <w:r w:rsidR="00320430" w:rsidRPr="00BA23EC">
        <w:rPr>
          <w:rFonts w:cstheme="minorHAnsi"/>
          <w:sz w:val="21"/>
          <w:szCs w:val="21"/>
          <w:lang w:val="en-AU"/>
        </w:rPr>
        <w:t xml:space="preserve"> risks </w:t>
      </w:r>
      <w:r w:rsidR="008252E6" w:rsidRPr="00BA23EC">
        <w:rPr>
          <w:rFonts w:cstheme="minorHAnsi"/>
          <w:sz w:val="21"/>
          <w:szCs w:val="21"/>
          <w:lang w:val="en-AU"/>
        </w:rPr>
        <w:t>were assessed as being inherently high – one related to the possible impact</w:t>
      </w:r>
      <w:r w:rsidR="00E431D9" w:rsidRPr="00BA23EC">
        <w:rPr>
          <w:rFonts w:cstheme="minorHAnsi"/>
          <w:sz w:val="21"/>
          <w:szCs w:val="21"/>
          <w:lang w:val="en-AU"/>
        </w:rPr>
        <w:t xml:space="preserve"> of a change of administration and </w:t>
      </w:r>
      <w:r w:rsidR="00696D70">
        <w:rPr>
          <w:rFonts w:cstheme="minorHAnsi"/>
          <w:sz w:val="21"/>
          <w:szCs w:val="21"/>
          <w:lang w:val="en-AU"/>
        </w:rPr>
        <w:t xml:space="preserve">the other related to </w:t>
      </w:r>
      <w:r w:rsidR="00E431D9" w:rsidRPr="00BA23EC">
        <w:rPr>
          <w:rFonts w:cstheme="minorHAnsi"/>
          <w:sz w:val="21"/>
          <w:szCs w:val="21"/>
          <w:lang w:val="en-AU"/>
        </w:rPr>
        <w:t>the capacity and capability of the MoH (</w:t>
      </w:r>
      <w:proofErr w:type="gramStart"/>
      <w:r w:rsidR="00E431D9" w:rsidRPr="00BA23EC">
        <w:rPr>
          <w:rFonts w:cstheme="minorHAnsi"/>
          <w:sz w:val="21"/>
          <w:szCs w:val="21"/>
          <w:lang w:val="en-AU"/>
        </w:rPr>
        <w:t>in particular the</w:t>
      </w:r>
      <w:proofErr w:type="gramEnd"/>
      <w:r w:rsidR="00E431D9" w:rsidRPr="00BA23EC">
        <w:rPr>
          <w:rFonts w:cstheme="minorHAnsi"/>
          <w:sz w:val="21"/>
          <w:szCs w:val="21"/>
          <w:lang w:val="en-AU"/>
        </w:rPr>
        <w:t xml:space="preserve"> MDTF Secretariat) to implement the health reforms</w:t>
      </w:r>
      <w:r w:rsidR="00C3722C" w:rsidRPr="00BA23EC">
        <w:rPr>
          <w:rFonts w:cstheme="minorHAnsi"/>
          <w:sz w:val="21"/>
          <w:szCs w:val="21"/>
          <w:lang w:val="en-AU"/>
        </w:rPr>
        <w:t xml:space="preserve">. </w:t>
      </w:r>
      <w:r w:rsidR="005B63C3" w:rsidRPr="00BA23EC">
        <w:rPr>
          <w:rFonts w:cstheme="minorHAnsi"/>
          <w:sz w:val="21"/>
          <w:szCs w:val="21"/>
          <w:lang w:val="en-AU"/>
        </w:rPr>
        <w:t xml:space="preserve">With the proposed treatment, the target risk rating for these risks is medium. </w:t>
      </w:r>
    </w:p>
    <w:p w14:paraId="0189CF35" w14:textId="77777777" w:rsidR="00E540E9" w:rsidRPr="00BA23EC" w:rsidRDefault="005A550A" w:rsidP="00766ABE">
      <w:pPr>
        <w:tabs>
          <w:tab w:val="left" w:pos="284"/>
        </w:tabs>
        <w:suppressAutoHyphens w:val="0"/>
        <w:spacing w:before="0" w:line="280" w:lineRule="exact"/>
        <w:jc w:val="both"/>
        <w:rPr>
          <w:rFonts w:cstheme="minorHAnsi"/>
          <w:b/>
          <w:bCs/>
          <w:sz w:val="21"/>
          <w:szCs w:val="21"/>
          <w:u w:val="single"/>
          <w:lang w:val="en-AU"/>
        </w:rPr>
      </w:pPr>
      <w:r w:rsidRPr="00BA23EC">
        <w:rPr>
          <w:rFonts w:cstheme="minorHAnsi"/>
          <w:b/>
          <w:bCs/>
          <w:sz w:val="21"/>
          <w:szCs w:val="21"/>
          <w:u w:val="single"/>
          <w:lang w:val="en-AU"/>
        </w:rPr>
        <w:t xml:space="preserve">DFAT </w:t>
      </w:r>
      <w:r w:rsidR="00D73B55" w:rsidRPr="00BA23EC">
        <w:rPr>
          <w:rFonts w:cstheme="minorHAnsi"/>
          <w:b/>
          <w:bCs/>
          <w:sz w:val="21"/>
          <w:szCs w:val="21"/>
          <w:u w:val="single"/>
          <w:lang w:val="en-AU"/>
        </w:rPr>
        <w:t>Risk Category: Political</w:t>
      </w:r>
    </w:p>
    <w:p w14:paraId="6D4EEB7B" w14:textId="1A8EFB10" w:rsidR="00D73B55" w:rsidRPr="00BA23EC" w:rsidRDefault="00E540E9" w:rsidP="00766ABE">
      <w:pPr>
        <w:tabs>
          <w:tab w:val="left" w:pos="284"/>
        </w:tabs>
        <w:suppressAutoHyphens w:val="0"/>
        <w:spacing w:before="0" w:line="280" w:lineRule="exact"/>
        <w:jc w:val="both"/>
        <w:rPr>
          <w:rFonts w:cstheme="minorHAnsi"/>
          <w:b/>
          <w:bCs/>
          <w:sz w:val="21"/>
          <w:szCs w:val="21"/>
          <w:lang w:val="en-AU"/>
        </w:rPr>
      </w:pPr>
      <w:r w:rsidRPr="00BA23EC">
        <w:rPr>
          <w:rFonts w:cstheme="minorHAnsi"/>
          <w:b/>
          <w:bCs/>
          <w:sz w:val="21"/>
          <w:szCs w:val="21"/>
          <w:lang w:val="en-AU"/>
        </w:rPr>
        <w:t xml:space="preserve">Sub-Category: </w:t>
      </w:r>
      <w:r w:rsidR="00D73B55" w:rsidRPr="00BA23EC">
        <w:rPr>
          <w:rFonts w:cstheme="minorHAnsi"/>
          <w:b/>
          <w:bCs/>
          <w:sz w:val="21"/>
          <w:szCs w:val="21"/>
          <w:lang w:val="en-AU"/>
        </w:rPr>
        <w:t>P</w:t>
      </w:r>
      <w:r w:rsidR="00E33933" w:rsidRPr="00BA23EC">
        <w:rPr>
          <w:rFonts w:cstheme="minorHAnsi"/>
          <w:b/>
          <w:bCs/>
          <w:sz w:val="21"/>
          <w:szCs w:val="21"/>
          <w:lang w:val="en-AU"/>
        </w:rPr>
        <w:t>olitical sensitivities and controversies</w:t>
      </w:r>
    </w:p>
    <w:p w14:paraId="0A7E2BE5" w14:textId="3F3BDAA8" w:rsidR="003C43CC" w:rsidRPr="00465924" w:rsidRDefault="00CF649E" w:rsidP="00CF649E">
      <w:pPr>
        <w:suppressAutoHyphens w:val="0"/>
        <w:jc w:val="both"/>
        <w:rPr>
          <w:rFonts w:cstheme="minorHAnsi"/>
          <w:sz w:val="21"/>
          <w:szCs w:val="21"/>
          <w:lang w:val="en-AU"/>
        </w:rPr>
      </w:pPr>
      <w:r w:rsidRPr="00465924">
        <w:rPr>
          <w:rFonts w:cstheme="minorHAnsi"/>
          <w:b/>
          <w:bCs/>
          <w:sz w:val="21"/>
          <w:szCs w:val="21"/>
          <w:lang w:val="en-AU"/>
        </w:rPr>
        <w:t>Risk</w:t>
      </w:r>
      <w:r w:rsidRPr="00465924">
        <w:rPr>
          <w:rFonts w:cstheme="minorHAnsi"/>
          <w:sz w:val="21"/>
          <w:szCs w:val="21"/>
          <w:lang w:val="en-AU"/>
        </w:rPr>
        <w:t xml:space="preserve">: </w:t>
      </w:r>
      <w:r w:rsidRPr="00465924">
        <w:rPr>
          <w:rFonts w:cstheme="minorHAnsi"/>
          <w:i/>
          <w:iCs/>
          <w:sz w:val="21"/>
          <w:szCs w:val="21"/>
          <w:lang w:val="en-AU"/>
        </w:rPr>
        <w:t xml:space="preserve">Change in political administration after the 2024 General Election may impact ongoing political support for Indonesia's health reform agenda. (Inherent Risk: High) </w:t>
      </w:r>
      <w:r w:rsidRPr="00465924">
        <w:rPr>
          <w:rFonts w:cstheme="minorHAnsi"/>
          <w:sz w:val="21"/>
          <w:szCs w:val="21"/>
          <w:lang w:val="en-AU"/>
        </w:rPr>
        <w:t xml:space="preserve">There is </w:t>
      </w:r>
      <w:r w:rsidR="00B166B4" w:rsidRPr="00465924">
        <w:rPr>
          <w:rFonts w:cstheme="minorHAnsi"/>
          <w:sz w:val="21"/>
          <w:szCs w:val="21"/>
          <w:lang w:val="en-AU"/>
        </w:rPr>
        <w:t>a</w:t>
      </w:r>
      <w:r w:rsidRPr="00465924">
        <w:rPr>
          <w:rFonts w:cstheme="minorHAnsi"/>
          <w:sz w:val="21"/>
          <w:szCs w:val="21"/>
          <w:lang w:val="en-AU"/>
        </w:rPr>
        <w:t xml:space="preserve"> risk </w:t>
      </w:r>
      <w:r w:rsidR="00B166B4" w:rsidRPr="00465924">
        <w:rPr>
          <w:rFonts w:cstheme="minorHAnsi"/>
          <w:sz w:val="21"/>
          <w:szCs w:val="21"/>
          <w:lang w:val="en-AU"/>
        </w:rPr>
        <w:t xml:space="preserve">that the </w:t>
      </w:r>
      <w:r w:rsidR="00195B63">
        <w:rPr>
          <w:rFonts w:cstheme="minorHAnsi"/>
          <w:sz w:val="21"/>
          <w:szCs w:val="21"/>
          <w:lang w:val="en-AU"/>
        </w:rPr>
        <w:t>focus</w:t>
      </w:r>
      <w:r w:rsidR="00671B83" w:rsidRPr="00465924">
        <w:rPr>
          <w:rFonts w:cstheme="minorHAnsi"/>
          <w:sz w:val="21"/>
          <w:szCs w:val="21"/>
          <w:lang w:val="en-AU"/>
        </w:rPr>
        <w:t xml:space="preserve"> of newly elected officials, including </w:t>
      </w:r>
      <w:r w:rsidR="00195B63">
        <w:rPr>
          <w:rFonts w:cstheme="minorHAnsi"/>
          <w:sz w:val="21"/>
          <w:szCs w:val="21"/>
          <w:lang w:val="en-AU"/>
        </w:rPr>
        <w:t xml:space="preserve">the new </w:t>
      </w:r>
      <w:r w:rsidR="00671B83" w:rsidRPr="00465924">
        <w:rPr>
          <w:rFonts w:cstheme="minorHAnsi"/>
          <w:sz w:val="21"/>
          <w:szCs w:val="21"/>
          <w:lang w:val="en-AU"/>
        </w:rPr>
        <w:t>Health Minister and senior administrators in MoH</w:t>
      </w:r>
      <w:r w:rsidR="00195B63">
        <w:rPr>
          <w:rFonts w:cstheme="minorHAnsi"/>
          <w:sz w:val="21"/>
          <w:szCs w:val="21"/>
          <w:lang w:val="en-AU"/>
        </w:rPr>
        <w:t>,</w:t>
      </w:r>
      <w:r w:rsidR="00E846F1" w:rsidRPr="00465924">
        <w:rPr>
          <w:rFonts w:cstheme="minorHAnsi"/>
          <w:sz w:val="21"/>
          <w:szCs w:val="21"/>
          <w:lang w:val="en-AU"/>
        </w:rPr>
        <w:t xml:space="preserve"> will shift away from the six pillars of the health reform. </w:t>
      </w:r>
      <w:r w:rsidR="00724DFA" w:rsidRPr="00465924">
        <w:rPr>
          <w:rFonts w:cstheme="minorHAnsi"/>
          <w:sz w:val="21"/>
          <w:szCs w:val="21"/>
          <w:lang w:val="en-AU"/>
        </w:rPr>
        <w:t>T</w:t>
      </w:r>
      <w:r w:rsidR="00E846F1" w:rsidRPr="00465924">
        <w:rPr>
          <w:rFonts w:cstheme="minorHAnsi"/>
          <w:sz w:val="21"/>
          <w:szCs w:val="21"/>
          <w:lang w:val="en-AU"/>
        </w:rPr>
        <w:t xml:space="preserve">here is broad political support for health reform in Indonesia, </w:t>
      </w:r>
      <w:r w:rsidR="00A172A3" w:rsidRPr="00465924">
        <w:rPr>
          <w:rFonts w:cstheme="minorHAnsi"/>
          <w:sz w:val="21"/>
          <w:szCs w:val="21"/>
          <w:lang w:val="en-AU"/>
        </w:rPr>
        <w:t xml:space="preserve">including </w:t>
      </w:r>
      <w:r w:rsidR="00724DFA" w:rsidRPr="00465924">
        <w:rPr>
          <w:rFonts w:cstheme="minorHAnsi"/>
          <w:sz w:val="21"/>
          <w:szCs w:val="21"/>
          <w:lang w:val="en-AU"/>
        </w:rPr>
        <w:t>passing of legislation</w:t>
      </w:r>
      <w:r w:rsidR="003C43CC" w:rsidRPr="00465924">
        <w:rPr>
          <w:rFonts w:cstheme="minorHAnsi"/>
          <w:sz w:val="21"/>
          <w:szCs w:val="21"/>
          <w:lang w:val="en-AU"/>
        </w:rPr>
        <w:t xml:space="preserve">, </w:t>
      </w:r>
      <w:r w:rsidR="00724DFA" w:rsidRPr="00465924">
        <w:rPr>
          <w:rFonts w:cstheme="minorHAnsi"/>
          <w:sz w:val="21"/>
          <w:szCs w:val="21"/>
          <w:lang w:val="en-AU"/>
        </w:rPr>
        <w:t xml:space="preserve">however, a shift in direction could impact the </w:t>
      </w:r>
      <w:r w:rsidR="003C43CC" w:rsidRPr="00465924">
        <w:rPr>
          <w:rFonts w:cstheme="minorHAnsi"/>
          <w:sz w:val="21"/>
          <w:szCs w:val="21"/>
          <w:lang w:val="en-AU"/>
        </w:rPr>
        <w:t>momentum</w:t>
      </w:r>
      <w:r w:rsidR="009D17AD" w:rsidRPr="00465924">
        <w:rPr>
          <w:rFonts w:cstheme="minorHAnsi"/>
          <w:sz w:val="21"/>
          <w:szCs w:val="21"/>
          <w:lang w:val="en-AU"/>
        </w:rPr>
        <w:t xml:space="preserve"> on reforms.</w:t>
      </w:r>
      <w:r w:rsidR="003C43CC" w:rsidRPr="00465924">
        <w:rPr>
          <w:rFonts w:cstheme="minorHAnsi"/>
          <w:sz w:val="21"/>
          <w:szCs w:val="21"/>
          <w:lang w:val="en-AU"/>
        </w:rPr>
        <w:t xml:space="preserve"> </w:t>
      </w:r>
    </w:p>
    <w:p w14:paraId="13CB4F37" w14:textId="530DB2F9" w:rsidR="00CF649E" w:rsidRPr="00465924" w:rsidRDefault="00CF649E" w:rsidP="009D17AD">
      <w:pPr>
        <w:suppressAutoHyphens w:val="0"/>
        <w:ind w:left="720"/>
        <w:jc w:val="both"/>
        <w:rPr>
          <w:rFonts w:cstheme="minorHAnsi"/>
          <w:i/>
          <w:iCs/>
          <w:sz w:val="21"/>
          <w:szCs w:val="21"/>
          <w:lang w:val="en-AU"/>
        </w:rPr>
      </w:pPr>
      <w:r w:rsidRPr="00465924">
        <w:rPr>
          <w:rFonts w:cstheme="minorHAnsi"/>
          <w:b/>
          <w:bCs/>
          <w:sz w:val="21"/>
          <w:szCs w:val="21"/>
          <w:lang w:val="en-AU"/>
        </w:rPr>
        <w:t>Treatment</w:t>
      </w:r>
      <w:r w:rsidRPr="00465924">
        <w:rPr>
          <w:rFonts w:cstheme="minorHAnsi"/>
          <w:sz w:val="21"/>
          <w:szCs w:val="21"/>
          <w:lang w:val="en-AU"/>
        </w:rPr>
        <w:t xml:space="preserve">: </w:t>
      </w:r>
      <w:r w:rsidR="00CA1C6E" w:rsidRPr="00465924">
        <w:rPr>
          <w:rFonts w:cstheme="minorHAnsi"/>
          <w:sz w:val="21"/>
          <w:szCs w:val="21"/>
          <w:lang w:val="en-AU"/>
        </w:rPr>
        <w:t>Continuing with the current momentum and d</w:t>
      </w:r>
      <w:r w:rsidR="009D17AD" w:rsidRPr="00465924">
        <w:rPr>
          <w:rFonts w:cstheme="minorHAnsi"/>
          <w:sz w:val="21"/>
          <w:szCs w:val="21"/>
          <w:lang w:val="en-AU"/>
        </w:rPr>
        <w:t>emonstrat</w:t>
      </w:r>
      <w:r w:rsidR="00CA1C6E" w:rsidRPr="00465924">
        <w:rPr>
          <w:rFonts w:cstheme="minorHAnsi"/>
          <w:sz w:val="21"/>
          <w:szCs w:val="21"/>
          <w:lang w:val="en-AU"/>
        </w:rPr>
        <w:t>ing</w:t>
      </w:r>
      <w:r w:rsidR="009D17AD" w:rsidRPr="00465924">
        <w:rPr>
          <w:rFonts w:cstheme="minorHAnsi"/>
          <w:sz w:val="21"/>
          <w:szCs w:val="21"/>
          <w:lang w:val="en-AU"/>
        </w:rPr>
        <w:t xml:space="preserve"> early success of </w:t>
      </w:r>
      <w:r w:rsidR="00CA1C6E" w:rsidRPr="00465924">
        <w:rPr>
          <w:rFonts w:cstheme="minorHAnsi"/>
          <w:sz w:val="21"/>
          <w:szCs w:val="21"/>
          <w:lang w:val="en-AU"/>
        </w:rPr>
        <w:t>health reforms with the support of the HT-</w:t>
      </w:r>
      <w:r w:rsidR="009D17AD" w:rsidRPr="00465924">
        <w:rPr>
          <w:rFonts w:cstheme="minorHAnsi"/>
          <w:sz w:val="21"/>
          <w:szCs w:val="21"/>
          <w:lang w:val="en-AU"/>
        </w:rPr>
        <w:t xml:space="preserve">MDTF </w:t>
      </w:r>
      <w:r w:rsidR="00CA1C6E" w:rsidRPr="00465924">
        <w:rPr>
          <w:rFonts w:cstheme="minorHAnsi"/>
          <w:sz w:val="21"/>
          <w:szCs w:val="21"/>
          <w:lang w:val="en-AU"/>
        </w:rPr>
        <w:t>will</w:t>
      </w:r>
      <w:r w:rsidR="00942F6A" w:rsidRPr="00465924">
        <w:rPr>
          <w:rFonts w:cstheme="minorHAnsi"/>
          <w:sz w:val="21"/>
          <w:szCs w:val="21"/>
          <w:lang w:val="en-AU"/>
        </w:rPr>
        <w:t xml:space="preserve"> help to sustain the current broad base of political support</w:t>
      </w:r>
      <w:r w:rsidR="00687D16" w:rsidRPr="00465924">
        <w:rPr>
          <w:rFonts w:cstheme="minorHAnsi"/>
          <w:sz w:val="21"/>
          <w:szCs w:val="21"/>
          <w:lang w:val="en-AU"/>
        </w:rPr>
        <w:t xml:space="preserve">. </w:t>
      </w:r>
      <w:r w:rsidR="00566130" w:rsidRPr="00465924">
        <w:rPr>
          <w:rFonts w:cstheme="minorHAnsi"/>
          <w:sz w:val="21"/>
          <w:szCs w:val="21"/>
          <w:lang w:val="en-AU"/>
        </w:rPr>
        <w:t xml:space="preserve">Development of a Communications and Visibility Strategy to highlight </w:t>
      </w:r>
      <w:r w:rsidR="009C1364">
        <w:rPr>
          <w:rFonts w:cstheme="minorHAnsi"/>
          <w:sz w:val="21"/>
          <w:szCs w:val="21"/>
          <w:lang w:val="en-AU"/>
        </w:rPr>
        <w:t xml:space="preserve">these </w:t>
      </w:r>
      <w:r w:rsidR="00566130" w:rsidRPr="00465924">
        <w:rPr>
          <w:rFonts w:cstheme="minorHAnsi"/>
          <w:sz w:val="21"/>
          <w:szCs w:val="21"/>
          <w:lang w:val="en-AU"/>
        </w:rPr>
        <w:t>successes</w:t>
      </w:r>
      <w:r w:rsidR="009C1364">
        <w:rPr>
          <w:rFonts w:cstheme="minorHAnsi"/>
          <w:sz w:val="21"/>
          <w:szCs w:val="21"/>
          <w:lang w:val="en-AU"/>
        </w:rPr>
        <w:t xml:space="preserve"> and </w:t>
      </w:r>
      <w:r w:rsidR="009D17AD" w:rsidRPr="00465924">
        <w:rPr>
          <w:rFonts w:cstheme="minorHAnsi"/>
          <w:sz w:val="21"/>
          <w:szCs w:val="21"/>
          <w:lang w:val="en-AU"/>
        </w:rPr>
        <w:t>DFAT</w:t>
      </w:r>
      <w:r w:rsidR="009C1364">
        <w:rPr>
          <w:rFonts w:cstheme="minorHAnsi"/>
          <w:sz w:val="21"/>
          <w:szCs w:val="21"/>
          <w:lang w:val="en-AU"/>
        </w:rPr>
        <w:t>’s</w:t>
      </w:r>
      <w:r w:rsidR="009D17AD" w:rsidRPr="00465924">
        <w:rPr>
          <w:rFonts w:cstheme="minorHAnsi"/>
          <w:sz w:val="21"/>
          <w:szCs w:val="21"/>
          <w:lang w:val="en-AU"/>
        </w:rPr>
        <w:t xml:space="preserve"> engagement with </w:t>
      </w:r>
      <w:r w:rsidR="00687D16" w:rsidRPr="00465924">
        <w:rPr>
          <w:rFonts w:cstheme="minorHAnsi"/>
          <w:sz w:val="21"/>
          <w:szCs w:val="21"/>
          <w:lang w:val="en-AU"/>
        </w:rPr>
        <w:t xml:space="preserve">the new administration and </w:t>
      </w:r>
      <w:r w:rsidR="009D17AD" w:rsidRPr="00465924">
        <w:rPr>
          <w:rFonts w:cstheme="minorHAnsi"/>
          <w:sz w:val="21"/>
          <w:szCs w:val="21"/>
          <w:lang w:val="en-AU"/>
        </w:rPr>
        <w:t xml:space="preserve">Health Minister </w:t>
      </w:r>
      <w:r w:rsidR="00420BCD" w:rsidRPr="00465924">
        <w:rPr>
          <w:rFonts w:cstheme="minorHAnsi"/>
          <w:sz w:val="21"/>
          <w:szCs w:val="21"/>
          <w:lang w:val="en-AU"/>
        </w:rPr>
        <w:t>highlight</w:t>
      </w:r>
      <w:r w:rsidR="00361B45">
        <w:rPr>
          <w:rFonts w:cstheme="minorHAnsi"/>
          <w:sz w:val="21"/>
          <w:szCs w:val="21"/>
          <w:lang w:val="en-AU"/>
        </w:rPr>
        <w:t>ing</w:t>
      </w:r>
      <w:r w:rsidR="00420BCD" w:rsidRPr="00465924">
        <w:rPr>
          <w:rFonts w:cstheme="minorHAnsi"/>
          <w:sz w:val="21"/>
          <w:szCs w:val="21"/>
          <w:lang w:val="en-AU"/>
        </w:rPr>
        <w:t xml:space="preserve"> Australia’s </w:t>
      </w:r>
      <w:r w:rsidR="009D17AD" w:rsidRPr="00465924">
        <w:rPr>
          <w:rFonts w:cstheme="minorHAnsi"/>
          <w:sz w:val="21"/>
          <w:szCs w:val="21"/>
          <w:lang w:val="en-AU"/>
        </w:rPr>
        <w:t>ongoing support to the health sector</w:t>
      </w:r>
      <w:r w:rsidR="00361B45">
        <w:rPr>
          <w:rFonts w:cstheme="minorHAnsi"/>
          <w:sz w:val="21"/>
          <w:szCs w:val="21"/>
          <w:lang w:val="en-AU"/>
        </w:rPr>
        <w:t xml:space="preserve"> will help to mitigate this risk.</w:t>
      </w:r>
      <w:r w:rsidR="00566130" w:rsidRPr="00465924">
        <w:rPr>
          <w:rFonts w:cstheme="minorHAnsi"/>
          <w:sz w:val="21"/>
          <w:szCs w:val="21"/>
          <w:lang w:val="en-AU"/>
        </w:rPr>
        <w:t xml:space="preserve"> The HT-</w:t>
      </w:r>
      <w:r w:rsidR="009D17AD" w:rsidRPr="00465924">
        <w:rPr>
          <w:rFonts w:cstheme="minorHAnsi"/>
          <w:sz w:val="21"/>
          <w:szCs w:val="21"/>
          <w:lang w:val="en-AU"/>
        </w:rPr>
        <w:t xml:space="preserve">MDTF </w:t>
      </w:r>
      <w:r w:rsidR="00566130" w:rsidRPr="00465924">
        <w:rPr>
          <w:rFonts w:cstheme="minorHAnsi"/>
          <w:sz w:val="21"/>
          <w:szCs w:val="21"/>
          <w:lang w:val="en-AU"/>
        </w:rPr>
        <w:t xml:space="preserve">will also have sufficient flexibility </w:t>
      </w:r>
      <w:r w:rsidR="009D17AD" w:rsidRPr="00465924">
        <w:rPr>
          <w:rFonts w:cstheme="minorHAnsi"/>
          <w:sz w:val="21"/>
          <w:szCs w:val="21"/>
          <w:lang w:val="en-AU"/>
        </w:rPr>
        <w:t>to respond to new government's priorities in health</w:t>
      </w:r>
      <w:r w:rsidRPr="00465924">
        <w:rPr>
          <w:rFonts w:cstheme="minorHAnsi"/>
          <w:sz w:val="21"/>
          <w:szCs w:val="21"/>
          <w:lang w:val="en-AU"/>
        </w:rPr>
        <w:t>. (</w:t>
      </w:r>
      <w:r w:rsidRPr="00465924">
        <w:rPr>
          <w:rFonts w:cstheme="minorHAnsi"/>
          <w:i/>
          <w:iCs/>
          <w:sz w:val="21"/>
          <w:szCs w:val="21"/>
          <w:lang w:val="en-AU"/>
        </w:rPr>
        <w:t>Target Risk Rating: Medium)</w:t>
      </w:r>
    </w:p>
    <w:p w14:paraId="5EB90F93" w14:textId="2D0EDC54" w:rsidR="00E540E9" w:rsidRPr="00465924" w:rsidRDefault="00E540E9" w:rsidP="00D73B55">
      <w:pPr>
        <w:suppressAutoHyphens w:val="0"/>
        <w:jc w:val="both"/>
        <w:rPr>
          <w:rFonts w:cstheme="minorHAnsi"/>
          <w:b/>
          <w:bCs/>
          <w:sz w:val="21"/>
          <w:szCs w:val="21"/>
          <w:lang w:val="en-AU"/>
        </w:rPr>
      </w:pPr>
      <w:r w:rsidRPr="00465924">
        <w:rPr>
          <w:rFonts w:cstheme="minorHAnsi"/>
          <w:b/>
          <w:bCs/>
          <w:sz w:val="21"/>
          <w:szCs w:val="21"/>
          <w:lang w:val="en-AU"/>
        </w:rPr>
        <w:t xml:space="preserve">Sub-Category: </w:t>
      </w:r>
      <w:r w:rsidR="00302273" w:rsidRPr="00465924">
        <w:rPr>
          <w:rFonts w:cstheme="minorHAnsi"/>
          <w:b/>
          <w:bCs/>
          <w:sz w:val="21"/>
          <w:szCs w:val="21"/>
          <w:lang w:val="en-AU"/>
        </w:rPr>
        <w:t>Partner Government Capacity and Capability</w:t>
      </w:r>
    </w:p>
    <w:p w14:paraId="7CAA3F67" w14:textId="7A425B64" w:rsidR="003E24F5" w:rsidRPr="00465924" w:rsidRDefault="00D73B55" w:rsidP="00D73B55">
      <w:pPr>
        <w:suppressAutoHyphens w:val="0"/>
        <w:jc w:val="both"/>
        <w:rPr>
          <w:rFonts w:cstheme="minorHAnsi"/>
          <w:sz w:val="21"/>
          <w:szCs w:val="21"/>
          <w:lang w:val="en-AU"/>
        </w:rPr>
      </w:pPr>
      <w:r w:rsidRPr="00465924">
        <w:rPr>
          <w:rFonts w:cstheme="minorHAnsi"/>
          <w:b/>
          <w:bCs/>
          <w:sz w:val="21"/>
          <w:szCs w:val="21"/>
          <w:lang w:val="en-AU"/>
        </w:rPr>
        <w:t>Risk</w:t>
      </w:r>
      <w:r w:rsidRPr="00465924">
        <w:rPr>
          <w:rFonts w:cstheme="minorHAnsi"/>
          <w:sz w:val="21"/>
          <w:szCs w:val="21"/>
          <w:lang w:val="en-AU"/>
        </w:rPr>
        <w:t xml:space="preserve">: </w:t>
      </w:r>
      <w:r w:rsidR="005A550A" w:rsidRPr="00465924">
        <w:rPr>
          <w:rFonts w:cstheme="minorHAnsi"/>
          <w:i/>
          <w:iCs/>
          <w:sz w:val="21"/>
          <w:szCs w:val="21"/>
          <w:lang w:val="en-AU"/>
        </w:rPr>
        <w:t>Limitations in MoH capacity (</w:t>
      </w:r>
      <w:proofErr w:type="gramStart"/>
      <w:r w:rsidR="005A550A" w:rsidRPr="00465924">
        <w:rPr>
          <w:rFonts w:cstheme="minorHAnsi"/>
          <w:i/>
          <w:iCs/>
          <w:sz w:val="21"/>
          <w:szCs w:val="21"/>
          <w:lang w:val="en-AU"/>
        </w:rPr>
        <w:t>in particular MDTF</w:t>
      </w:r>
      <w:proofErr w:type="gramEnd"/>
      <w:r w:rsidR="005A550A" w:rsidRPr="00465924">
        <w:rPr>
          <w:rFonts w:cstheme="minorHAnsi"/>
          <w:i/>
          <w:iCs/>
          <w:sz w:val="21"/>
          <w:szCs w:val="21"/>
          <w:lang w:val="en-AU"/>
        </w:rPr>
        <w:t xml:space="preserve"> Secretariat) to implement the MDTF and shape implementation of Indonesia's health reforms.</w:t>
      </w:r>
      <w:r w:rsidR="004E6221" w:rsidRPr="00465924">
        <w:rPr>
          <w:rFonts w:cstheme="minorHAnsi"/>
          <w:i/>
          <w:iCs/>
          <w:sz w:val="21"/>
          <w:szCs w:val="21"/>
          <w:lang w:val="en-AU"/>
        </w:rPr>
        <w:t xml:space="preserve"> (Inherent Risk: High)</w:t>
      </w:r>
      <w:r w:rsidR="004E6221" w:rsidRPr="00465924">
        <w:rPr>
          <w:rFonts w:cstheme="minorHAnsi"/>
          <w:sz w:val="21"/>
          <w:szCs w:val="21"/>
          <w:lang w:val="en-AU"/>
        </w:rPr>
        <w:t xml:space="preserve"> </w:t>
      </w:r>
      <w:r w:rsidRPr="00465924">
        <w:rPr>
          <w:rFonts w:cstheme="minorHAnsi"/>
          <w:sz w:val="21"/>
          <w:szCs w:val="21"/>
          <w:lang w:val="en-AU"/>
        </w:rPr>
        <w:t xml:space="preserve">There is </w:t>
      </w:r>
      <w:r w:rsidR="00AD5BA6" w:rsidRPr="00465924">
        <w:rPr>
          <w:rFonts w:cstheme="minorHAnsi"/>
          <w:sz w:val="21"/>
          <w:szCs w:val="21"/>
          <w:lang w:val="en-AU"/>
        </w:rPr>
        <w:t>a current inherent and residual</w:t>
      </w:r>
      <w:r w:rsidRPr="00465924">
        <w:rPr>
          <w:rFonts w:cstheme="minorHAnsi"/>
          <w:sz w:val="21"/>
          <w:szCs w:val="21"/>
          <w:lang w:val="en-AU"/>
        </w:rPr>
        <w:t xml:space="preserve"> risk </w:t>
      </w:r>
      <w:r w:rsidR="007D5AA4" w:rsidRPr="00465924">
        <w:rPr>
          <w:rFonts w:cstheme="minorHAnsi"/>
          <w:sz w:val="21"/>
          <w:szCs w:val="21"/>
          <w:lang w:val="en-AU"/>
        </w:rPr>
        <w:t>regarding whether the MoH has the institutional capacity to implement the</w:t>
      </w:r>
      <w:r w:rsidR="005D1E2E" w:rsidRPr="00465924">
        <w:rPr>
          <w:rFonts w:cstheme="minorHAnsi"/>
          <w:sz w:val="21"/>
          <w:szCs w:val="21"/>
          <w:lang w:val="en-AU"/>
        </w:rPr>
        <w:t xml:space="preserve">se </w:t>
      </w:r>
      <w:r w:rsidR="00D54B18" w:rsidRPr="00465924">
        <w:rPr>
          <w:rFonts w:cstheme="minorHAnsi"/>
          <w:sz w:val="21"/>
          <w:szCs w:val="21"/>
          <w:lang w:val="en-AU"/>
        </w:rPr>
        <w:t>large-scale</w:t>
      </w:r>
      <w:r w:rsidR="005D1E2E" w:rsidRPr="00465924">
        <w:rPr>
          <w:rFonts w:cstheme="minorHAnsi"/>
          <w:sz w:val="21"/>
          <w:szCs w:val="21"/>
          <w:lang w:val="en-AU"/>
        </w:rPr>
        <w:t xml:space="preserve"> health reforms. </w:t>
      </w:r>
      <w:r w:rsidRPr="00465924">
        <w:rPr>
          <w:rFonts w:cstheme="minorHAnsi"/>
          <w:sz w:val="21"/>
          <w:szCs w:val="21"/>
          <w:lang w:val="en-AU"/>
        </w:rPr>
        <w:t xml:space="preserve"> </w:t>
      </w:r>
      <w:r w:rsidR="00D54B18" w:rsidRPr="00465924">
        <w:rPr>
          <w:rFonts w:cstheme="minorHAnsi"/>
          <w:sz w:val="21"/>
          <w:szCs w:val="21"/>
          <w:lang w:val="en-AU"/>
        </w:rPr>
        <w:t xml:space="preserve">This risk is what prompted Minister </w:t>
      </w:r>
      <w:proofErr w:type="spellStart"/>
      <w:r w:rsidR="00D54B18" w:rsidRPr="00465924">
        <w:rPr>
          <w:rFonts w:cstheme="minorHAnsi"/>
          <w:sz w:val="21"/>
          <w:szCs w:val="21"/>
          <w:lang w:val="en-AU"/>
        </w:rPr>
        <w:t>Sadikin</w:t>
      </w:r>
      <w:proofErr w:type="spellEnd"/>
      <w:r w:rsidR="00D54B18" w:rsidRPr="00465924">
        <w:rPr>
          <w:rFonts w:cstheme="minorHAnsi"/>
          <w:sz w:val="21"/>
          <w:szCs w:val="21"/>
          <w:lang w:val="en-AU"/>
        </w:rPr>
        <w:t xml:space="preserve"> to seek Australia’s assistance </w:t>
      </w:r>
      <w:r w:rsidR="000502F0" w:rsidRPr="00465924">
        <w:rPr>
          <w:rFonts w:cstheme="minorHAnsi"/>
          <w:sz w:val="21"/>
          <w:szCs w:val="21"/>
          <w:lang w:val="en-AU"/>
        </w:rPr>
        <w:t xml:space="preserve">with institutional readiness support through </w:t>
      </w:r>
      <w:proofErr w:type="spellStart"/>
      <w:r w:rsidR="000502F0" w:rsidRPr="00465924">
        <w:rPr>
          <w:rFonts w:cstheme="minorHAnsi"/>
          <w:sz w:val="21"/>
          <w:szCs w:val="21"/>
          <w:lang w:val="en-AU"/>
        </w:rPr>
        <w:t>Prospera</w:t>
      </w:r>
      <w:proofErr w:type="spellEnd"/>
      <w:r w:rsidR="00512CE6" w:rsidRPr="00465924">
        <w:rPr>
          <w:rFonts w:cstheme="minorHAnsi"/>
          <w:sz w:val="21"/>
          <w:szCs w:val="21"/>
          <w:lang w:val="en-AU"/>
        </w:rPr>
        <w:t xml:space="preserve">. </w:t>
      </w:r>
    </w:p>
    <w:p w14:paraId="3EFE6805" w14:textId="07C97D65" w:rsidR="004E701E" w:rsidRPr="00465924" w:rsidRDefault="00D73B55" w:rsidP="004E701E">
      <w:pPr>
        <w:suppressAutoHyphens w:val="0"/>
        <w:ind w:left="720"/>
        <w:jc w:val="both"/>
        <w:rPr>
          <w:rFonts w:cstheme="minorHAnsi"/>
          <w:sz w:val="21"/>
          <w:szCs w:val="21"/>
          <w:lang w:val="en-AU"/>
        </w:rPr>
      </w:pPr>
      <w:r w:rsidRPr="00465924">
        <w:rPr>
          <w:rFonts w:cstheme="minorHAnsi"/>
          <w:i/>
          <w:iCs/>
          <w:sz w:val="21"/>
          <w:szCs w:val="21"/>
          <w:lang w:val="en-AU"/>
        </w:rPr>
        <w:t>Treatment</w:t>
      </w:r>
      <w:r w:rsidRPr="00465924">
        <w:rPr>
          <w:rFonts w:cstheme="minorHAnsi"/>
          <w:sz w:val="21"/>
          <w:szCs w:val="21"/>
          <w:lang w:val="en-AU"/>
        </w:rPr>
        <w:t xml:space="preserve">: </w:t>
      </w:r>
      <w:r w:rsidR="00A457DD" w:rsidRPr="00465924">
        <w:rPr>
          <w:rFonts w:cstheme="minorHAnsi"/>
          <w:sz w:val="21"/>
          <w:szCs w:val="21"/>
          <w:lang w:val="en-AU"/>
        </w:rPr>
        <w:t xml:space="preserve">Enabling the MoH to </w:t>
      </w:r>
      <w:r w:rsidR="004E701E" w:rsidRPr="00465924">
        <w:rPr>
          <w:rFonts w:cstheme="minorHAnsi"/>
          <w:sz w:val="21"/>
          <w:szCs w:val="21"/>
          <w:lang w:val="en-AU"/>
        </w:rPr>
        <w:t xml:space="preserve">identify and procure local expertise to support implementation of the health reforms </w:t>
      </w:r>
      <w:r w:rsidR="00A457DD" w:rsidRPr="00465924">
        <w:rPr>
          <w:rFonts w:cstheme="minorHAnsi"/>
          <w:sz w:val="21"/>
          <w:szCs w:val="21"/>
          <w:lang w:val="en-AU"/>
        </w:rPr>
        <w:t>and the e</w:t>
      </w:r>
      <w:r w:rsidR="004E701E" w:rsidRPr="00465924">
        <w:rPr>
          <w:rFonts w:cstheme="minorHAnsi"/>
          <w:sz w:val="21"/>
          <w:szCs w:val="21"/>
          <w:lang w:val="en-AU"/>
        </w:rPr>
        <w:t>xplicit focus on institutional strengthening</w:t>
      </w:r>
      <w:r w:rsidR="00A457DD" w:rsidRPr="00465924">
        <w:rPr>
          <w:rFonts w:cstheme="minorHAnsi"/>
          <w:sz w:val="21"/>
          <w:szCs w:val="21"/>
          <w:lang w:val="en-AU"/>
        </w:rPr>
        <w:t xml:space="preserve"> of the HT-MDTF</w:t>
      </w:r>
      <w:r w:rsidR="001E47FA" w:rsidRPr="00465924">
        <w:rPr>
          <w:rFonts w:cstheme="minorHAnsi"/>
          <w:sz w:val="21"/>
          <w:szCs w:val="21"/>
          <w:lang w:val="en-AU"/>
        </w:rPr>
        <w:t xml:space="preserve"> </w:t>
      </w:r>
      <w:r w:rsidR="00CF649E" w:rsidRPr="00465924">
        <w:rPr>
          <w:rFonts w:cstheme="minorHAnsi"/>
          <w:sz w:val="21"/>
          <w:szCs w:val="21"/>
          <w:lang w:val="en-AU"/>
        </w:rPr>
        <w:t xml:space="preserve">that is </w:t>
      </w:r>
      <w:r w:rsidR="004E701E" w:rsidRPr="00465924">
        <w:rPr>
          <w:rFonts w:cstheme="minorHAnsi"/>
          <w:sz w:val="21"/>
          <w:szCs w:val="21"/>
          <w:lang w:val="en-AU"/>
        </w:rPr>
        <w:t xml:space="preserve">underpinned by the joint efforts of donors, </w:t>
      </w:r>
      <w:proofErr w:type="spellStart"/>
      <w:r w:rsidR="004E701E" w:rsidRPr="00465924">
        <w:rPr>
          <w:rFonts w:cstheme="minorHAnsi"/>
          <w:sz w:val="21"/>
          <w:szCs w:val="21"/>
          <w:lang w:val="en-AU"/>
        </w:rPr>
        <w:t>GoI</w:t>
      </w:r>
      <w:proofErr w:type="spellEnd"/>
      <w:r w:rsidR="004E701E" w:rsidRPr="00465924">
        <w:rPr>
          <w:rFonts w:cstheme="minorHAnsi"/>
          <w:sz w:val="21"/>
          <w:szCs w:val="21"/>
          <w:lang w:val="en-AU"/>
        </w:rPr>
        <w:t xml:space="preserve"> and the World Bank in knowledge exchange, joint M&amp;E and continuous and adaptive learning</w:t>
      </w:r>
      <w:r w:rsidR="00CF649E" w:rsidRPr="00465924">
        <w:rPr>
          <w:rFonts w:cstheme="minorHAnsi"/>
          <w:sz w:val="21"/>
          <w:szCs w:val="21"/>
          <w:lang w:val="en-AU"/>
        </w:rPr>
        <w:t xml:space="preserve">, reduces </w:t>
      </w:r>
      <w:r w:rsidR="005029CE">
        <w:rPr>
          <w:rFonts w:cstheme="minorHAnsi"/>
          <w:sz w:val="21"/>
          <w:szCs w:val="21"/>
          <w:lang w:val="en-AU"/>
        </w:rPr>
        <w:t>this</w:t>
      </w:r>
      <w:r w:rsidR="00CF649E" w:rsidRPr="00465924">
        <w:rPr>
          <w:rFonts w:cstheme="minorHAnsi"/>
          <w:sz w:val="21"/>
          <w:szCs w:val="21"/>
          <w:lang w:val="en-AU"/>
        </w:rPr>
        <w:t xml:space="preserve"> risk to medium. </w:t>
      </w:r>
    </w:p>
    <w:p w14:paraId="1677064C" w14:textId="4CC2C9E9" w:rsidR="00684173" w:rsidRPr="00465924" w:rsidRDefault="00F97769" w:rsidP="00CA292C">
      <w:pPr>
        <w:jc w:val="both"/>
        <w:rPr>
          <w:rFonts w:cstheme="minorHAnsi"/>
          <w:sz w:val="21"/>
          <w:szCs w:val="21"/>
          <w:lang w:val="en-AU"/>
        </w:rPr>
      </w:pPr>
      <w:r w:rsidRPr="00465924">
        <w:rPr>
          <w:rFonts w:cstheme="minorHAnsi"/>
          <w:sz w:val="21"/>
          <w:szCs w:val="21"/>
          <w:lang w:val="en-AU"/>
        </w:rPr>
        <w:t xml:space="preserve">The risk assessment undertaken during the design process identified </w:t>
      </w:r>
      <w:r w:rsidR="00CC208E" w:rsidRPr="00465924">
        <w:rPr>
          <w:rFonts w:cstheme="minorHAnsi"/>
          <w:sz w:val="21"/>
          <w:szCs w:val="21"/>
          <w:lang w:val="en-AU"/>
        </w:rPr>
        <w:t>eleven</w:t>
      </w:r>
      <w:r w:rsidR="00264C38" w:rsidRPr="00465924">
        <w:rPr>
          <w:rFonts w:cstheme="minorHAnsi"/>
          <w:sz w:val="21"/>
          <w:szCs w:val="21"/>
          <w:lang w:val="en-AU"/>
        </w:rPr>
        <w:t xml:space="preserve"> other risks with</w:t>
      </w:r>
      <w:r w:rsidR="00D82089" w:rsidRPr="00465924">
        <w:rPr>
          <w:rFonts w:cstheme="minorHAnsi"/>
          <w:sz w:val="21"/>
          <w:szCs w:val="21"/>
          <w:lang w:val="en-AU"/>
        </w:rPr>
        <w:t xml:space="preserve"> an inherent </w:t>
      </w:r>
      <w:r w:rsidR="00C534FD" w:rsidRPr="00465924">
        <w:rPr>
          <w:rFonts w:cstheme="minorHAnsi"/>
          <w:sz w:val="21"/>
          <w:szCs w:val="21"/>
          <w:lang w:val="en-AU"/>
        </w:rPr>
        <w:t xml:space="preserve">medium risk rating, </w:t>
      </w:r>
      <w:r w:rsidR="00E20127" w:rsidRPr="00465924">
        <w:rPr>
          <w:rFonts w:cstheme="minorHAnsi"/>
          <w:sz w:val="21"/>
          <w:szCs w:val="21"/>
          <w:lang w:val="en-AU"/>
        </w:rPr>
        <w:t>seven</w:t>
      </w:r>
      <w:r w:rsidR="00C534FD" w:rsidRPr="00465924">
        <w:rPr>
          <w:rFonts w:cstheme="minorHAnsi"/>
          <w:sz w:val="21"/>
          <w:szCs w:val="21"/>
          <w:lang w:val="en-AU"/>
        </w:rPr>
        <w:t xml:space="preserve"> of which have a target risk rating of low following treatment</w:t>
      </w:r>
      <w:r w:rsidR="002A0D60" w:rsidRPr="00465924">
        <w:rPr>
          <w:rFonts w:cstheme="minorHAnsi"/>
          <w:sz w:val="21"/>
          <w:szCs w:val="21"/>
          <w:lang w:val="en-AU"/>
        </w:rPr>
        <w:t>.</w:t>
      </w:r>
      <w:r w:rsidR="008B6690" w:rsidRPr="00465924">
        <w:rPr>
          <w:rFonts w:cstheme="minorHAnsi"/>
          <w:sz w:val="21"/>
          <w:szCs w:val="21"/>
          <w:lang w:val="en-AU"/>
        </w:rPr>
        <w:t xml:space="preserve"> </w:t>
      </w:r>
    </w:p>
    <w:p w14:paraId="5834B9CE" w14:textId="7CC81BAA" w:rsidR="00B550A7" w:rsidRPr="00465924" w:rsidRDefault="00CD01FE" w:rsidP="00E60EF1">
      <w:pPr>
        <w:jc w:val="both"/>
        <w:rPr>
          <w:rFonts w:cstheme="minorHAnsi"/>
          <w:sz w:val="21"/>
          <w:szCs w:val="21"/>
          <w:lang w:val="en-AU"/>
        </w:rPr>
      </w:pPr>
      <w:r w:rsidRPr="00465924">
        <w:rPr>
          <w:rFonts w:cstheme="minorHAnsi"/>
          <w:sz w:val="21"/>
          <w:szCs w:val="21"/>
          <w:lang w:val="en-AU"/>
        </w:rPr>
        <w:t xml:space="preserve">Three </w:t>
      </w:r>
      <w:r w:rsidR="008416C0" w:rsidRPr="00465924">
        <w:rPr>
          <w:rFonts w:cstheme="minorHAnsi"/>
          <w:sz w:val="21"/>
          <w:szCs w:val="21"/>
          <w:lang w:val="en-AU"/>
        </w:rPr>
        <w:t xml:space="preserve">of these </w:t>
      </w:r>
      <w:r w:rsidRPr="00465924">
        <w:rPr>
          <w:rFonts w:cstheme="minorHAnsi"/>
          <w:sz w:val="21"/>
          <w:szCs w:val="21"/>
          <w:lang w:val="en-AU"/>
        </w:rPr>
        <w:t>risks</w:t>
      </w:r>
      <w:r w:rsidR="008416C0" w:rsidRPr="00465924">
        <w:rPr>
          <w:rFonts w:cstheme="minorHAnsi"/>
          <w:sz w:val="21"/>
          <w:szCs w:val="21"/>
          <w:lang w:val="en-AU"/>
        </w:rPr>
        <w:t xml:space="preserve"> </w:t>
      </w:r>
      <w:r w:rsidR="00A731B3" w:rsidRPr="00465924">
        <w:rPr>
          <w:rFonts w:cstheme="minorHAnsi"/>
          <w:sz w:val="21"/>
          <w:szCs w:val="21"/>
          <w:lang w:val="en-AU"/>
        </w:rPr>
        <w:t xml:space="preserve">relate to failure </w:t>
      </w:r>
      <w:r w:rsidR="001F496D" w:rsidRPr="00465924">
        <w:rPr>
          <w:rFonts w:cstheme="minorHAnsi"/>
          <w:sz w:val="21"/>
          <w:szCs w:val="21"/>
          <w:lang w:val="en-AU"/>
        </w:rPr>
        <w:t>of the H</w:t>
      </w:r>
      <w:r w:rsidR="008416C0" w:rsidRPr="00465924">
        <w:rPr>
          <w:rFonts w:cstheme="minorHAnsi"/>
          <w:sz w:val="21"/>
          <w:szCs w:val="21"/>
          <w:lang w:val="en-AU"/>
        </w:rPr>
        <w:t xml:space="preserve">T-MDTF </w:t>
      </w:r>
      <w:r w:rsidR="001F496D" w:rsidRPr="00465924">
        <w:rPr>
          <w:rFonts w:cstheme="minorHAnsi"/>
          <w:sz w:val="21"/>
          <w:szCs w:val="21"/>
          <w:lang w:val="en-AU"/>
        </w:rPr>
        <w:t>to</w:t>
      </w:r>
      <w:r w:rsidR="00593244" w:rsidRPr="00465924">
        <w:rPr>
          <w:rFonts w:cstheme="minorHAnsi"/>
          <w:sz w:val="21"/>
          <w:szCs w:val="21"/>
          <w:lang w:val="en-AU"/>
        </w:rPr>
        <w:t xml:space="preserve"> inform implementation of the health reforms related to </w:t>
      </w:r>
      <w:r w:rsidR="009D5B89" w:rsidRPr="00465924">
        <w:rPr>
          <w:rFonts w:cstheme="minorHAnsi"/>
          <w:sz w:val="21"/>
          <w:szCs w:val="21"/>
          <w:lang w:val="en-AU"/>
        </w:rPr>
        <w:t xml:space="preserve">addressing gender, </w:t>
      </w:r>
      <w:proofErr w:type="gramStart"/>
      <w:r w:rsidR="009D5B89" w:rsidRPr="00465924">
        <w:rPr>
          <w:rFonts w:cstheme="minorHAnsi"/>
          <w:sz w:val="21"/>
          <w:szCs w:val="21"/>
          <w:lang w:val="en-AU"/>
        </w:rPr>
        <w:t>disability</w:t>
      </w:r>
      <w:proofErr w:type="gramEnd"/>
      <w:r w:rsidR="009D5B89" w:rsidRPr="00465924">
        <w:rPr>
          <w:rFonts w:cstheme="minorHAnsi"/>
          <w:sz w:val="21"/>
          <w:szCs w:val="21"/>
          <w:lang w:val="en-AU"/>
        </w:rPr>
        <w:t xml:space="preserve"> and social inclusion gaps, as well as consider</w:t>
      </w:r>
      <w:r w:rsidR="001F496D" w:rsidRPr="00465924">
        <w:rPr>
          <w:rFonts w:cstheme="minorHAnsi"/>
          <w:sz w:val="21"/>
          <w:szCs w:val="21"/>
          <w:lang w:val="en-AU"/>
        </w:rPr>
        <w:t>ation of</w:t>
      </w:r>
      <w:r w:rsidR="009D5B89" w:rsidRPr="00465924">
        <w:rPr>
          <w:rFonts w:cstheme="minorHAnsi"/>
          <w:sz w:val="21"/>
          <w:szCs w:val="21"/>
          <w:lang w:val="en-AU"/>
        </w:rPr>
        <w:t xml:space="preserve"> </w:t>
      </w:r>
      <w:r w:rsidR="008B25E4" w:rsidRPr="00465924">
        <w:rPr>
          <w:rFonts w:cstheme="minorHAnsi"/>
          <w:sz w:val="21"/>
          <w:szCs w:val="21"/>
          <w:lang w:val="en-AU"/>
        </w:rPr>
        <w:t xml:space="preserve">climate risks, mitigations and adaptations. </w:t>
      </w:r>
      <w:r w:rsidR="00465924">
        <w:rPr>
          <w:rFonts w:cstheme="minorHAnsi"/>
          <w:sz w:val="21"/>
          <w:szCs w:val="21"/>
          <w:lang w:val="en-AU"/>
        </w:rPr>
        <w:t xml:space="preserve">A key mitigation is the inclusion of a </w:t>
      </w:r>
      <w:r w:rsidR="00901624" w:rsidRPr="00465924">
        <w:rPr>
          <w:rFonts w:cstheme="minorHAnsi"/>
          <w:sz w:val="21"/>
          <w:szCs w:val="21"/>
          <w:lang w:val="en-AU"/>
        </w:rPr>
        <w:t xml:space="preserve">stand-alone </w:t>
      </w:r>
      <w:r w:rsidR="00616E6D" w:rsidRPr="00465924">
        <w:rPr>
          <w:rFonts w:cstheme="minorHAnsi"/>
          <w:sz w:val="21"/>
          <w:szCs w:val="21"/>
          <w:lang w:val="en-AU"/>
        </w:rPr>
        <w:t>end-of-program outcome</w:t>
      </w:r>
      <w:r w:rsidR="00465924">
        <w:rPr>
          <w:rFonts w:cstheme="minorHAnsi"/>
          <w:sz w:val="21"/>
          <w:szCs w:val="21"/>
          <w:lang w:val="en-AU"/>
        </w:rPr>
        <w:t xml:space="preserve"> as well as </w:t>
      </w:r>
      <w:r w:rsidR="000F05CB" w:rsidRPr="00465924">
        <w:rPr>
          <w:rFonts w:cstheme="minorHAnsi"/>
          <w:sz w:val="21"/>
          <w:szCs w:val="21"/>
          <w:lang w:val="en-AU"/>
        </w:rPr>
        <w:t>dedicated gender expert</w:t>
      </w:r>
      <w:r w:rsidR="00901624" w:rsidRPr="00465924">
        <w:rPr>
          <w:rFonts w:cstheme="minorHAnsi"/>
          <w:sz w:val="21"/>
          <w:szCs w:val="21"/>
          <w:lang w:val="en-AU"/>
        </w:rPr>
        <w:t>ise</w:t>
      </w:r>
      <w:r w:rsidR="000F05CB" w:rsidRPr="00465924">
        <w:rPr>
          <w:rFonts w:cstheme="minorHAnsi"/>
          <w:sz w:val="21"/>
          <w:szCs w:val="21"/>
          <w:lang w:val="en-AU"/>
        </w:rPr>
        <w:t xml:space="preserve"> within </w:t>
      </w:r>
      <w:r w:rsidR="00B66412" w:rsidRPr="00465924">
        <w:rPr>
          <w:rFonts w:cstheme="minorHAnsi"/>
          <w:sz w:val="21"/>
          <w:szCs w:val="21"/>
          <w:lang w:val="en-AU"/>
        </w:rPr>
        <w:t>the</w:t>
      </w:r>
      <w:r w:rsidR="000F05CB" w:rsidRPr="00465924">
        <w:rPr>
          <w:rFonts w:cstheme="minorHAnsi"/>
          <w:sz w:val="21"/>
          <w:szCs w:val="21"/>
          <w:lang w:val="en-AU"/>
        </w:rPr>
        <w:t xml:space="preserve"> MoH</w:t>
      </w:r>
      <w:r w:rsidR="00465924">
        <w:rPr>
          <w:rFonts w:cstheme="minorHAnsi"/>
          <w:sz w:val="21"/>
          <w:szCs w:val="21"/>
          <w:lang w:val="en-AU"/>
        </w:rPr>
        <w:t xml:space="preserve">, </w:t>
      </w:r>
      <w:r w:rsidR="000F05CB" w:rsidRPr="00465924">
        <w:rPr>
          <w:rFonts w:cstheme="minorHAnsi"/>
          <w:sz w:val="21"/>
          <w:szCs w:val="21"/>
          <w:lang w:val="en-AU"/>
        </w:rPr>
        <w:t xml:space="preserve">a Gender </w:t>
      </w:r>
      <w:proofErr w:type="gramStart"/>
      <w:r w:rsidR="000F05CB" w:rsidRPr="00465924">
        <w:rPr>
          <w:rFonts w:cstheme="minorHAnsi"/>
          <w:sz w:val="21"/>
          <w:szCs w:val="21"/>
          <w:lang w:val="en-AU"/>
        </w:rPr>
        <w:t>Strategy</w:t>
      </w:r>
      <w:r w:rsidR="00465924">
        <w:rPr>
          <w:rFonts w:cstheme="minorHAnsi"/>
          <w:sz w:val="21"/>
          <w:szCs w:val="21"/>
          <w:lang w:val="en-AU"/>
        </w:rPr>
        <w:t xml:space="preserve">, </w:t>
      </w:r>
      <w:r w:rsidR="000F05CB" w:rsidRPr="00465924">
        <w:rPr>
          <w:rFonts w:cstheme="minorHAnsi"/>
          <w:sz w:val="21"/>
          <w:szCs w:val="21"/>
          <w:lang w:val="en-AU"/>
        </w:rPr>
        <w:t xml:space="preserve"> targeted</w:t>
      </w:r>
      <w:proofErr w:type="gramEnd"/>
      <w:r w:rsidR="000F05CB" w:rsidRPr="00465924">
        <w:rPr>
          <w:rFonts w:cstheme="minorHAnsi"/>
          <w:sz w:val="21"/>
          <w:szCs w:val="21"/>
          <w:lang w:val="en-AU"/>
        </w:rPr>
        <w:t xml:space="preserve"> gender</w:t>
      </w:r>
      <w:r w:rsidR="00E82FC6" w:rsidRPr="00465924">
        <w:rPr>
          <w:rFonts w:cstheme="minorHAnsi"/>
          <w:sz w:val="21"/>
          <w:szCs w:val="21"/>
          <w:lang w:val="en-AU"/>
        </w:rPr>
        <w:t>, disability inclusion and climate change</w:t>
      </w:r>
      <w:r w:rsidR="000F05CB" w:rsidRPr="00465924">
        <w:rPr>
          <w:rFonts w:cstheme="minorHAnsi"/>
          <w:sz w:val="21"/>
          <w:szCs w:val="21"/>
          <w:lang w:val="en-AU"/>
        </w:rPr>
        <w:t xml:space="preserve"> analytics and technical support</w:t>
      </w:r>
      <w:r w:rsidR="00465924">
        <w:rPr>
          <w:rFonts w:cstheme="minorHAnsi"/>
          <w:sz w:val="21"/>
          <w:szCs w:val="21"/>
          <w:lang w:val="en-AU"/>
        </w:rPr>
        <w:t>,</w:t>
      </w:r>
      <w:r w:rsidR="000F05CB" w:rsidRPr="00465924">
        <w:rPr>
          <w:rFonts w:cstheme="minorHAnsi"/>
          <w:sz w:val="21"/>
          <w:szCs w:val="21"/>
          <w:lang w:val="en-AU"/>
        </w:rPr>
        <w:t xml:space="preserve"> capacity building of MoH across relevant MoH Directorate Generals in gender-sensitive policy development and programming</w:t>
      </w:r>
      <w:r w:rsidR="00465924">
        <w:rPr>
          <w:rFonts w:cstheme="minorHAnsi"/>
          <w:sz w:val="21"/>
          <w:szCs w:val="21"/>
          <w:lang w:val="en-AU"/>
        </w:rPr>
        <w:t xml:space="preserve">, </w:t>
      </w:r>
      <w:r w:rsidR="000F05CB" w:rsidRPr="00465924">
        <w:rPr>
          <w:rFonts w:cstheme="minorHAnsi"/>
          <w:sz w:val="21"/>
          <w:szCs w:val="21"/>
          <w:lang w:val="en-AU"/>
        </w:rPr>
        <w:t xml:space="preserve"> </w:t>
      </w:r>
      <w:r w:rsidR="00B66412" w:rsidRPr="00465924">
        <w:rPr>
          <w:rFonts w:cstheme="minorHAnsi"/>
          <w:sz w:val="21"/>
          <w:szCs w:val="21"/>
          <w:lang w:val="en-AU"/>
        </w:rPr>
        <w:t xml:space="preserve">and </w:t>
      </w:r>
      <w:r w:rsidR="000F05CB" w:rsidRPr="00465924">
        <w:rPr>
          <w:rFonts w:cstheme="minorHAnsi"/>
          <w:sz w:val="21"/>
          <w:szCs w:val="21"/>
          <w:lang w:val="en-AU"/>
        </w:rPr>
        <w:t>support from World Bank gender expertise and gender screening processes</w:t>
      </w:r>
      <w:r w:rsidR="00E82FC6" w:rsidRPr="00465924">
        <w:rPr>
          <w:rFonts w:cstheme="minorHAnsi"/>
          <w:sz w:val="21"/>
          <w:szCs w:val="21"/>
          <w:lang w:val="en-AU"/>
        </w:rPr>
        <w:t>.</w:t>
      </w:r>
      <w:r w:rsidR="00826945" w:rsidRPr="00465924">
        <w:rPr>
          <w:rFonts w:cstheme="minorHAnsi"/>
          <w:sz w:val="21"/>
          <w:szCs w:val="21"/>
          <w:lang w:val="en-AU"/>
        </w:rPr>
        <w:t xml:space="preserve"> </w:t>
      </w:r>
      <w:r w:rsidR="00826945" w:rsidRPr="00465924">
        <w:rPr>
          <w:rFonts w:cstheme="minorHAnsi"/>
          <w:sz w:val="21"/>
          <w:szCs w:val="21"/>
          <w:lang w:val="en-AU"/>
        </w:rPr>
        <w:lastRenderedPageBreak/>
        <w:t>DFAT</w:t>
      </w:r>
      <w:r w:rsidR="00470A07" w:rsidRPr="00465924">
        <w:rPr>
          <w:rFonts w:cstheme="minorHAnsi"/>
          <w:sz w:val="21"/>
          <w:szCs w:val="21"/>
          <w:lang w:val="en-AU"/>
        </w:rPr>
        <w:t xml:space="preserve"> will also </w:t>
      </w:r>
      <w:r w:rsidR="00B550A7" w:rsidRPr="00465924">
        <w:rPr>
          <w:rFonts w:cstheme="minorHAnsi"/>
          <w:sz w:val="21"/>
          <w:szCs w:val="21"/>
          <w:lang w:val="en-AU"/>
        </w:rPr>
        <w:t xml:space="preserve">seek to build consensus with the MoH, World Bank and other donors to further embed these priorities throughout implementation, for example, development of a GEDSI strategy. </w:t>
      </w:r>
    </w:p>
    <w:p w14:paraId="1E935CB6" w14:textId="1E8F32A1" w:rsidR="00DB52E8" w:rsidRDefault="004D021A" w:rsidP="00501199">
      <w:pPr>
        <w:jc w:val="both"/>
        <w:rPr>
          <w:rFonts w:cstheme="minorHAnsi"/>
          <w:sz w:val="21"/>
          <w:szCs w:val="21"/>
          <w:lang w:val="en-AU"/>
        </w:rPr>
      </w:pPr>
      <w:r w:rsidRPr="00465924">
        <w:rPr>
          <w:rFonts w:cstheme="minorHAnsi"/>
          <w:sz w:val="21"/>
          <w:szCs w:val="21"/>
          <w:lang w:val="en-AU"/>
        </w:rPr>
        <w:t>HT-MDTF activities being analytical and advisory in nature</w:t>
      </w:r>
      <w:r w:rsidR="005B244D" w:rsidRPr="00465924">
        <w:rPr>
          <w:rFonts w:cstheme="minorHAnsi"/>
          <w:sz w:val="21"/>
          <w:szCs w:val="21"/>
          <w:lang w:val="en-AU"/>
        </w:rPr>
        <w:t xml:space="preserve"> </w:t>
      </w:r>
      <w:r w:rsidR="00465924">
        <w:rPr>
          <w:rFonts w:cstheme="minorHAnsi"/>
          <w:sz w:val="21"/>
          <w:szCs w:val="21"/>
          <w:lang w:val="en-AU"/>
        </w:rPr>
        <w:t>will</w:t>
      </w:r>
      <w:r w:rsidR="005B244D" w:rsidRPr="00465924">
        <w:rPr>
          <w:rFonts w:cstheme="minorHAnsi"/>
          <w:sz w:val="21"/>
          <w:szCs w:val="21"/>
          <w:lang w:val="en-AU"/>
        </w:rPr>
        <w:t xml:space="preserve"> not entail direct program implementation</w:t>
      </w:r>
      <w:r w:rsidR="0002593F" w:rsidRPr="00465924">
        <w:rPr>
          <w:rFonts w:cstheme="minorHAnsi"/>
          <w:sz w:val="21"/>
          <w:szCs w:val="21"/>
          <w:lang w:val="en-AU"/>
        </w:rPr>
        <w:t xml:space="preserve"> </w:t>
      </w:r>
      <w:r w:rsidR="00465924">
        <w:rPr>
          <w:rFonts w:cstheme="minorHAnsi"/>
          <w:sz w:val="21"/>
          <w:szCs w:val="21"/>
          <w:lang w:val="en-AU"/>
        </w:rPr>
        <w:t xml:space="preserve">and is therefore assessed as having a </w:t>
      </w:r>
      <w:r w:rsidR="0002593F" w:rsidRPr="00465924">
        <w:rPr>
          <w:rFonts w:cstheme="minorHAnsi"/>
          <w:sz w:val="21"/>
          <w:szCs w:val="21"/>
          <w:lang w:val="en-AU"/>
        </w:rPr>
        <w:t xml:space="preserve">medium to </w:t>
      </w:r>
      <w:r w:rsidR="001F2597" w:rsidRPr="00465924">
        <w:rPr>
          <w:rFonts w:cstheme="minorHAnsi"/>
          <w:sz w:val="21"/>
          <w:szCs w:val="21"/>
          <w:lang w:val="en-AU"/>
        </w:rPr>
        <w:t>low-risk</w:t>
      </w:r>
      <w:r w:rsidRPr="00465924">
        <w:rPr>
          <w:rFonts w:cstheme="minorHAnsi"/>
          <w:sz w:val="21"/>
          <w:szCs w:val="21"/>
          <w:lang w:val="en-AU"/>
        </w:rPr>
        <w:t xml:space="preserve"> for PSEAH</w:t>
      </w:r>
      <w:r w:rsidR="0002593F" w:rsidRPr="00465924">
        <w:rPr>
          <w:rFonts w:cstheme="minorHAnsi"/>
          <w:sz w:val="21"/>
          <w:szCs w:val="21"/>
          <w:lang w:val="en-AU"/>
        </w:rPr>
        <w:t xml:space="preserve"> and </w:t>
      </w:r>
      <w:r w:rsidR="00465924">
        <w:rPr>
          <w:rFonts w:cstheme="minorHAnsi"/>
          <w:sz w:val="21"/>
          <w:szCs w:val="21"/>
          <w:lang w:val="en-AU"/>
        </w:rPr>
        <w:t>child protection</w:t>
      </w:r>
      <w:r w:rsidR="0002593F" w:rsidRPr="00465924">
        <w:rPr>
          <w:rFonts w:cstheme="minorHAnsi"/>
          <w:sz w:val="21"/>
          <w:szCs w:val="21"/>
          <w:lang w:val="en-AU"/>
        </w:rPr>
        <w:t xml:space="preserve">. </w:t>
      </w:r>
      <w:r w:rsidR="00465924">
        <w:rPr>
          <w:rFonts w:cstheme="minorHAnsi"/>
          <w:sz w:val="21"/>
          <w:szCs w:val="21"/>
          <w:lang w:val="en-AU"/>
        </w:rPr>
        <w:t xml:space="preserve">This assessment will be regularly </w:t>
      </w:r>
      <w:proofErr w:type="gramStart"/>
      <w:r w:rsidR="00033C10">
        <w:rPr>
          <w:rFonts w:cstheme="minorHAnsi"/>
          <w:sz w:val="21"/>
          <w:szCs w:val="21"/>
          <w:lang w:val="en-AU"/>
        </w:rPr>
        <w:t>monitored</w:t>
      </w:r>
      <w:proofErr w:type="gramEnd"/>
      <w:r w:rsidR="00033C10">
        <w:rPr>
          <w:rFonts w:cstheme="minorHAnsi"/>
          <w:sz w:val="21"/>
          <w:szCs w:val="21"/>
          <w:lang w:val="en-AU"/>
        </w:rPr>
        <w:t xml:space="preserve"> and should it be found that these activities will require direct engagement with </w:t>
      </w:r>
      <w:r w:rsidR="00BA6E26">
        <w:rPr>
          <w:rFonts w:cstheme="minorHAnsi"/>
          <w:sz w:val="21"/>
          <w:szCs w:val="21"/>
          <w:lang w:val="en-AU"/>
        </w:rPr>
        <w:t xml:space="preserve">frontline health programs and workers, or children these will be assessed in accordance with the </w:t>
      </w:r>
      <w:r w:rsidR="004D5406" w:rsidRPr="00465924">
        <w:rPr>
          <w:rFonts w:cstheme="minorHAnsi"/>
          <w:sz w:val="21"/>
          <w:szCs w:val="21"/>
          <w:lang w:val="en-AU"/>
        </w:rPr>
        <w:t>World Bank ESF and Good Practice Note on Addressing Sexual Exploitation and Abuse and Sexual Harassment in Human Development.</w:t>
      </w:r>
    </w:p>
    <w:p w14:paraId="013AABCE" w14:textId="69BEA5EC" w:rsidR="004A221B" w:rsidRPr="00465924" w:rsidRDefault="0061141F" w:rsidP="00B3299D">
      <w:pPr>
        <w:jc w:val="both"/>
        <w:rPr>
          <w:rFonts w:cstheme="minorHAnsi"/>
          <w:sz w:val="21"/>
          <w:szCs w:val="21"/>
          <w:lang w:val="en-AU"/>
        </w:rPr>
      </w:pPr>
      <w:r>
        <w:rPr>
          <w:rFonts w:cstheme="minorHAnsi"/>
          <w:sz w:val="21"/>
          <w:szCs w:val="21"/>
          <w:lang w:val="en-AU"/>
        </w:rPr>
        <w:t xml:space="preserve">The </w:t>
      </w:r>
      <w:r w:rsidR="00C22D73">
        <w:rPr>
          <w:rFonts w:cstheme="minorHAnsi"/>
          <w:sz w:val="21"/>
          <w:szCs w:val="21"/>
          <w:lang w:val="en-AU"/>
        </w:rPr>
        <w:t xml:space="preserve">fraud risk </w:t>
      </w:r>
      <w:proofErr w:type="gramStart"/>
      <w:r w:rsidR="00C22D73">
        <w:rPr>
          <w:rFonts w:cstheme="minorHAnsi"/>
          <w:sz w:val="21"/>
          <w:szCs w:val="21"/>
          <w:lang w:val="en-AU"/>
        </w:rPr>
        <w:t>is considered to be</w:t>
      </w:r>
      <w:proofErr w:type="gramEnd"/>
      <w:r w:rsidR="00C22D73">
        <w:rPr>
          <w:rFonts w:cstheme="minorHAnsi"/>
          <w:sz w:val="21"/>
          <w:szCs w:val="21"/>
          <w:lang w:val="en-AU"/>
        </w:rPr>
        <w:t xml:space="preserve"> medium i</w:t>
      </w:r>
      <w:r w:rsidR="00B3299D">
        <w:rPr>
          <w:rFonts w:cstheme="minorHAnsi"/>
          <w:sz w:val="21"/>
          <w:szCs w:val="21"/>
          <w:lang w:val="en-AU"/>
        </w:rPr>
        <w:t xml:space="preserve">n light of the World Bank’s stringent </w:t>
      </w:r>
      <w:r w:rsidR="00B3299D" w:rsidRPr="00B3299D">
        <w:rPr>
          <w:rFonts w:cstheme="minorHAnsi"/>
          <w:sz w:val="21"/>
          <w:szCs w:val="21"/>
          <w:lang w:val="en-AU"/>
        </w:rPr>
        <w:t>fraud control and prevention measures</w:t>
      </w:r>
      <w:r w:rsidR="00C22D73">
        <w:rPr>
          <w:rFonts w:cstheme="minorHAnsi"/>
          <w:sz w:val="21"/>
          <w:szCs w:val="21"/>
          <w:lang w:val="en-AU"/>
        </w:rPr>
        <w:t xml:space="preserve">. Likewise, the </w:t>
      </w:r>
      <w:r w:rsidR="00B3299D" w:rsidRPr="00B3299D">
        <w:rPr>
          <w:rFonts w:cstheme="minorHAnsi"/>
          <w:sz w:val="21"/>
          <w:szCs w:val="21"/>
          <w:lang w:val="en-AU"/>
        </w:rPr>
        <w:t xml:space="preserve">MoF as </w:t>
      </w:r>
      <w:r w:rsidR="00C22D73">
        <w:rPr>
          <w:rFonts w:cstheme="minorHAnsi"/>
          <w:sz w:val="21"/>
          <w:szCs w:val="21"/>
          <w:lang w:val="en-AU"/>
        </w:rPr>
        <w:t xml:space="preserve">the </w:t>
      </w:r>
      <w:r w:rsidR="00B3299D" w:rsidRPr="00B3299D">
        <w:rPr>
          <w:rFonts w:cstheme="minorHAnsi"/>
          <w:sz w:val="21"/>
          <w:szCs w:val="21"/>
          <w:lang w:val="en-AU"/>
        </w:rPr>
        <w:t xml:space="preserve">key </w:t>
      </w:r>
      <w:proofErr w:type="spellStart"/>
      <w:r w:rsidR="00B3299D" w:rsidRPr="00B3299D">
        <w:rPr>
          <w:rFonts w:cstheme="minorHAnsi"/>
          <w:sz w:val="21"/>
          <w:szCs w:val="21"/>
          <w:lang w:val="en-AU"/>
        </w:rPr>
        <w:t>GoI</w:t>
      </w:r>
      <w:proofErr w:type="spellEnd"/>
      <w:r w:rsidR="00B3299D" w:rsidRPr="00B3299D">
        <w:rPr>
          <w:rFonts w:cstheme="minorHAnsi"/>
          <w:sz w:val="21"/>
          <w:szCs w:val="21"/>
          <w:lang w:val="en-AU"/>
        </w:rPr>
        <w:t xml:space="preserve"> partner will be signatory to the Grant </w:t>
      </w:r>
      <w:proofErr w:type="gramStart"/>
      <w:r w:rsidR="00B3299D" w:rsidRPr="00B3299D">
        <w:rPr>
          <w:rFonts w:cstheme="minorHAnsi"/>
          <w:sz w:val="21"/>
          <w:szCs w:val="21"/>
          <w:lang w:val="en-AU"/>
        </w:rPr>
        <w:t xml:space="preserve">Agreement, </w:t>
      </w:r>
      <w:r w:rsidR="00D22B06">
        <w:rPr>
          <w:rFonts w:cstheme="minorHAnsi"/>
          <w:sz w:val="21"/>
          <w:szCs w:val="21"/>
          <w:lang w:val="en-AU"/>
        </w:rPr>
        <w:t>and</w:t>
      </w:r>
      <w:proofErr w:type="gramEnd"/>
      <w:r w:rsidR="00D22B06">
        <w:rPr>
          <w:rFonts w:cstheme="minorHAnsi"/>
          <w:sz w:val="21"/>
          <w:szCs w:val="21"/>
          <w:lang w:val="en-AU"/>
        </w:rPr>
        <w:t xml:space="preserve"> </w:t>
      </w:r>
      <w:r w:rsidR="00DF152E">
        <w:rPr>
          <w:rFonts w:cstheme="minorHAnsi"/>
          <w:sz w:val="21"/>
          <w:szCs w:val="21"/>
          <w:lang w:val="en-AU"/>
        </w:rPr>
        <w:t>has been assessed by the Bank to have</w:t>
      </w:r>
      <w:r w:rsidR="00B3299D" w:rsidRPr="00B3299D">
        <w:rPr>
          <w:rFonts w:cstheme="minorHAnsi"/>
          <w:sz w:val="21"/>
          <w:szCs w:val="21"/>
          <w:lang w:val="en-AU"/>
        </w:rPr>
        <w:t xml:space="preserve"> </w:t>
      </w:r>
      <w:r w:rsidR="00D22B06">
        <w:rPr>
          <w:rFonts w:cstheme="minorHAnsi"/>
          <w:sz w:val="21"/>
          <w:szCs w:val="21"/>
          <w:lang w:val="en-AU"/>
        </w:rPr>
        <w:t xml:space="preserve">all </w:t>
      </w:r>
      <w:r w:rsidR="00423C54">
        <w:rPr>
          <w:rFonts w:cstheme="minorHAnsi"/>
          <w:sz w:val="21"/>
          <w:szCs w:val="21"/>
          <w:lang w:val="en-AU"/>
        </w:rPr>
        <w:t xml:space="preserve">necessary </w:t>
      </w:r>
      <w:r w:rsidR="00B3299D" w:rsidRPr="00B3299D">
        <w:rPr>
          <w:rFonts w:cstheme="minorHAnsi"/>
          <w:sz w:val="21"/>
          <w:szCs w:val="21"/>
          <w:lang w:val="en-AU"/>
        </w:rPr>
        <w:t xml:space="preserve">fiduciary and due diligence </w:t>
      </w:r>
      <w:r w:rsidR="00423C54">
        <w:rPr>
          <w:rFonts w:cstheme="minorHAnsi"/>
          <w:sz w:val="21"/>
          <w:szCs w:val="21"/>
          <w:lang w:val="en-AU"/>
        </w:rPr>
        <w:t xml:space="preserve">controls, </w:t>
      </w:r>
      <w:r w:rsidR="00DF152E">
        <w:rPr>
          <w:rFonts w:cstheme="minorHAnsi"/>
          <w:sz w:val="21"/>
          <w:szCs w:val="21"/>
          <w:lang w:val="en-AU"/>
        </w:rPr>
        <w:t xml:space="preserve">in accordance </w:t>
      </w:r>
      <w:r w:rsidR="00423C54">
        <w:rPr>
          <w:rFonts w:cstheme="minorHAnsi"/>
          <w:sz w:val="21"/>
          <w:szCs w:val="21"/>
          <w:lang w:val="en-AU"/>
        </w:rPr>
        <w:t>with Bank regulations.</w:t>
      </w:r>
    </w:p>
    <w:p w14:paraId="6084F439" w14:textId="77F6AA6B" w:rsidR="00FD2DF1" w:rsidRPr="00BA23EC" w:rsidRDefault="00271FB6" w:rsidP="00271FB6">
      <w:pPr>
        <w:pStyle w:val="Heading2"/>
      </w:pPr>
      <w:bookmarkStart w:id="25" w:name="QualityAssurance"/>
      <w:r>
        <w:t xml:space="preserve">J. </w:t>
      </w:r>
      <w:r w:rsidR="007E0619" w:rsidRPr="00BA23EC">
        <w:t>Quality Assurance</w:t>
      </w:r>
    </w:p>
    <w:bookmarkEnd w:id="25"/>
    <w:p w14:paraId="5A19F90C" w14:textId="383D91E9" w:rsidR="00E644A5" w:rsidRPr="00BA23EC" w:rsidRDefault="00470FF6" w:rsidP="00E91AFA">
      <w:pPr>
        <w:tabs>
          <w:tab w:val="left" w:pos="284"/>
        </w:tabs>
        <w:suppressAutoHyphens w:val="0"/>
        <w:spacing w:before="0" w:line="280" w:lineRule="exact"/>
        <w:jc w:val="both"/>
        <w:rPr>
          <w:rFonts w:cstheme="minorHAnsi"/>
          <w:sz w:val="21"/>
          <w:lang w:val="en-AU"/>
        </w:rPr>
      </w:pPr>
      <w:r w:rsidRPr="00BA23EC">
        <w:rPr>
          <w:rFonts w:cstheme="minorHAnsi"/>
          <w:sz w:val="21"/>
          <w:lang w:val="en-AU"/>
        </w:rPr>
        <w:t xml:space="preserve">DFAT </w:t>
      </w:r>
      <w:r>
        <w:rPr>
          <w:rFonts w:cstheme="minorHAnsi"/>
          <w:sz w:val="21"/>
          <w:lang w:val="en-AU"/>
        </w:rPr>
        <w:t>has</w:t>
      </w:r>
      <w:r w:rsidR="00000FE0">
        <w:rPr>
          <w:rFonts w:cstheme="minorHAnsi"/>
          <w:sz w:val="21"/>
          <w:lang w:val="en-AU"/>
        </w:rPr>
        <w:t xml:space="preserve"> provided several rounds of feedback on the </w:t>
      </w:r>
      <w:r w:rsidR="007E0619" w:rsidRPr="00BA23EC">
        <w:rPr>
          <w:rFonts w:cstheme="minorHAnsi"/>
          <w:sz w:val="21"/>
          <w:lang w:val="en-AU"/>
        </w:rPr>
        <w:t>World Bank</w:t>
      </w:r>
      <w:r w:rsidR="00000FE0">
        <w:rPr>
          <w:rFonts w:cstheme="minorHAnsi"/>
          <w:sz w:val="21"/>
          <w:lang w:val="en-AU"/>
        </w:rPr>
        <w:t xml:space="preserve">-drafted </w:t>
      </w:r>
      <w:r w:rsidR="00D44F43">
        <w:rPr>
          <w:rFonts w:cstheme="minorHAnsi"/>
          <w:sz w:val="21"/>
          <w:lang w:val="en-AU"/>
        </w:rPr>
        <w:t xml:space="preserve">HT-MDTF </w:t>
      </w:r>
      <w:r w:rsidR="00FB340C" w:rsidRPr="00BA23EC">
        <w:rPr>
          <w:rFonts w:cstheme="minorHAnsi"/>
          <w:sz w:val="21"/>
          <w:lang w:val="en-AU"/>
        </w:rPr>
        <w:t>Concept Note</w:t>
      </w:r>
      <w:r w:rsidR="007E0619" w:rsidRPr="00BA23EC">
        <w:rPr>
          <w:rFonts w:cstheme="minorHAnsi"/>
          <w:sz w:val="21"/>
          <w:lang w:val="en-AU"/>
        </w:rPr>
        <w:t xml:space="preserve">, including through workshops </w:t>
      </w:r>
      <w:r w:rsidR="00FB340C" w:rsidRPr="00BA23EC">
        <w:rPr>
          <w:rFonts w:cstheme="minorHAnsi"/>
          <w:sz w:val="21"/>
          <w:lang w:val="en-AU"/>
        </w:rPr>
        <w:t xml:space="preserve">on the Theory of Change and Results Framework, and follow-up discussions on governance, </w:t>
      </w:r>
      <w:r w:rsidR="009D63C0" w:rsidRPr="00BA23EC">
        <w:rPr>
          <w:rFonts w:cstheme="minorHAnsi"/>
          <w:sz w:val="21"/>
          <w:lang w:val="en-AU"/>
        </w:rPr>
        <w:t>and cross-cutting themes</w:t>
      </w:r>
      <w:r w:rsidR="00E91AFA">
        <w:rPr>
          <w:rFonts w:cstheme="minorHAnsi"/>
          <w:sz w:val="21"/>
          <w:lang w:val="en-AU"/>
        </w:rPr>
        <w:t>, including with support from</w:t>
      </w:r>
      <w:r w:rsidR="00AE2F89" w:rsidRPr="00BA23EC">
        <w:rPr>
          <w:rFonts w:cstheme="minorHAnsi"/>
          <w:sz w:val="21"/>
          <w:lang w:val="en-AU"/>
        </w:rPr>
        <w:t xml:space="preserve"> M</w:t>
      </w:r>
      <w:r w:rsidR="00AE2F89">
        <w:rPr>
          <w:rFonts w:cstheme="minorHAnsi"/>
          <w:sz w:val="21"/>
          <w:lang w:val="en-AU"/>
        </w:rPr>
        <w:t>&amp;</w:t>
      </w:r>
      <w:r w:rsidR="00AE2F89" w:rsidRPr="00BA23EC">
        <w:rPr>
          <w:rFonts w:cstheme="minorHAnsi"/>
          <w:sz w:val="21"/>
          <w:lang w:val="en-AU"/>
        </w:rPr>
        <w:t>E consultan</w:t>
      </w:r>
      <w:r w:rsidR="000727E6">
        <w:rPr>
          <w:rFonts w:cstheme="minorHAnsi"/>
          <w:sz w:val="21"/>
          <w:lang w:val="en-AU"/>
        </w:rPr>
        <w:t xml:space="preserve">ts </w:t>
      </w:r>
      <w:r w:rsidR="000727E6" w:rsidRPr="00BA23EC">
        <w:rPr>
          <w:rFonts w:cstheme="minorHAnsi"/>
          <w:sz w:val="21"/>
          <w:lang w:val="en-AU"/>
        </w:rPr>
        <w:t>IOD</w:t>
      </w:r>
      <w:r w:rsidR="000727E6">
        <w:rPr>
          <w:rFonts w:cstheme="minorHAnsi"/>
          <w:sz w:val="21"/>
          <w:lang w:val="en-AU"/>
        </w:rPr>
        <w:t xml:space="preserve"> </w:t>
      </w:r>
      <w:r w:rsidR="000727E6" w:rsidRPr="00BA23EC">
        <w:rPr>
          <w:rFonts w:cstheme="minorHAnsi"/>
          <w:sz w:val="21"/>
          <w:lang w:val="en-AU"/>
        </w:rPr>
        <w:t>PARC</w:t>
      </w:r>
      <w:r w:rsidR="00E91AFA">
        <w:rPr>
          <w:rFonts w:cstheme="minorHAnsi"/>
          <w:sz w:val="21"/>
          <w:lang w:val="en-AU"/>
        </w:rPr>
        <w:t>.</w:t>
      </w:r>
    </w:p>
    <w:p w14:paraId="6FF3035E" w14:textId="00BB6346" w:rsidR="00BE7B9F" w:rsidRPr="00BA23EC" w:rsidRDefault="00E708C3" w:rsidP="007E0619">
      <w:pPr>
        <w:tabs>
          <w:tab w:val="left" w:pos="284"/>
        </w:tabs>
        <w:suppressAutoHyphens w:val="0"/>
        <w:spacing w:before="0" w:line="280" w:lineRule="exact"/>
        <w:jc w:val="both"/>
        <w:rPr>
          <w:rFonts w:cstheme="minorHAnsi"/>
          <w:sz w:val="21"/>
          <w:lang w:val="en-AU"/>
        </w:rPr>
      </w:pPr>
      <w:r w:rsidRPr="00E708C3">
        <w:rPr>
          <w:rFonts w:cstheme="minorHAnsi"/>
          <w:sz w:val="21"/>
          <w:lang w:val="en-AU"/>
        </w:rPr>
        <w:t xml:space="preserve">A final informal quality assurance review was undertaken as per the DFAT partner-led design </w:t>
      </w:r>
      <w:r w:rsidR="00147126">
        <w:rPr>
          <w:rFonts w:cstheme="minorHAnsi"/>
          <w:sz w:val="21"/>
          <w:lang w:val="en-AU"/>
        </w:rPr>
        <w:t>pathway</w:t>
      </w:r>
      <w:r w:rsidRPr="00E708C3">
        <w:rPr>
          <w:rFonts w:cstheme="minorHAnsi"/>
          <w:sz w:val="21"/>
          <w:lang w:val="en-AU"/>
        </w:rPr>
        <w:t xml:space="preserve"> </w:t>
      </w:r>
      <w:r w:rsidR="00BF5963">
        <w:rPr>
          <w:rFonts w:cstheme="minorHAnsi"/>
          <w:sz w:val="21"/>
          <w:lang w:val="en-AU"/>
        </w:rPr>
        <w:t>with feedback</w:t>
      </w:r>
      <w:r w:rsidRPr="00E708C3">
        <w:rPr>
          <w:rFonts w:cstheme="minorHAnsi"/>
          <w:sz w:val="21"/>
          <w:lang w:val="en-AU"/>
        </w:rPr>
        <w:t xml:space="preserve"> sought</w:t>
      </w:r>
      <w:r w:rsidR="00E644A5">
        <w:rPr>
          <w:rFonts w:cstheme="minorHAnsi"/>
          <w:sz w:val="21"/>
          <w:lang w:val="en-AU"/>
        </w:rPr>
        <w:t xml:space="preserve"> </w:t>
      </w:r>
      <w:r w:rsidR="00BE7B9F" w:rsidRPr="00BA23EC">
        <w:rPr>
          <w:rFonts w:cstheme="minorHAnsi"/>
          <w:sz w:val="21"/>
          <w:lang w:val="en-AU"/>
        </w:rPr>
        <w:t xml:space="preserve">from </w:t>
      </w:r>
      <w:r w:rsidR="00C03412">
        <w:rPr>
          <w:rFonts w:cstheme="minorHAnsi"/>
          <w:sz w:val="21"/>
          <w:lang w:val="en-AU"/>
        </w:rPr>
        <w:t xml:space="preserve">the following teams: </w:t>
      </w:r>
      <w:r w:rsidR="00FE3149" w:rsidRPr="00BA23EC">
        <w:rPr>
          <w:rFonts w:cstheme="minorHAnsi"/>
          <w:sz w:val="21"/>
          <w:lang w:val="en-AU"/>
        </w:rPr>
        <w:t>Development and Risk Management</w:t>
      </w:r>
      <w:r w:rsidR="006B3F8F" w:rsidRPr="00BA23EC">
        <w:rPr>
          <w:rFonts w:cstheme="minorHAnsi"/>
          <w:sz w:val="21"/>
          <w:lang w:val="en-AU"/>
        </w:rPr>
        <w:t>;</w:t>
      </w:r>
      <w:r w:rsidR="00FE3149" w:rsidRPr="00BA23EC">
        <w:rPr>
          <w:rFonts w:cstheme="minorHAnsi"/>
          <w:sz w:val="21"/>
          <w:lang w:val="en-AU"/>
        </w:rPr>
        <w:t xml:space="preserve"> </w:t>
      </w:r>
      <w:r w:rsidR="006B3F8F" w:rsidRPr="00BA23EC">
        <w:rPr>
          <w:rFonts w:cstheme="minorHAnsi"/>
          <w:sz w:val="21"/>
          <w:lang w:val="en-AU"/>
        </w:rPr>
        <w:t>Gender</w:t>
      </w:r>
      <w:r w:rsidR="00097948" w:rsidRPr="00BA23EC">
        <w:rPr>
          <w:rFonts w:cstheme="minorHAnsi"/>
          <w:sz w:val="21"/>
          <w:lang w:val="en-AU"/>
        </w:rPr>
        <w:t xml:space="preserve"> Equality</w:t>
      </w:r>
      <w:r w:rsidR="00147126">
        <w:rPr>
          <w:rFonts w:cstheme="minorHAnsi"/>
          <w:sz w:val="21"/>
          <w:lang w:val="en-AU"/>
        </w:rPr>
        <w:t xml:space="preserve">; </w:t>
      </w:r>
      <w:r w:rsidR="00E73044" w:rsidRPr="00BA23EC">
        <w:rPr>
          <w:rFonts w:cstheme="minorHAnsi"/>
          <w:sz w:val="21"/>
          <w:lang w:val="en-AU"/>
        </w:rPr>
        <w:t>Disability and Social Inclusion</w:t>
      </w:r>
      <w:r w:rsidR="001F53CD">
        <w:rPr>
          <w:rFonts w:cstheme="minorHAnsi"/>
          <w:sz w:val="21"/>
          <w:lang w:val="en-AU"/>
        </w:rPr>
        <w:t>;</w:t>
      </w:r>
      <w:r w:rsidR="00E73044" w:rsidRPr="00BA23EC">
        <w:rPr>
          <w:rFonts w:cstheme="minorHAnsi"/>
          <w:sz w:val="21"/>
          <w:lang w:val="en-AU"/>
        </w:rPr>
        <w:t xml:space="preserve"> </w:t>
      </w:r>
      <w:r w:rsidR="00EA12B5" w:rsidRPr="00BA23EC">
        <w:rPr>
          <w:rFonts w:cstheme="minorHAnsi"/>
          <w:sz w:val="21"/>
          <w:lang w:val="en-AU"/>
        </w:rPr>
        <w:t>Human and Environmental Safeguards</w:t>
      </w:r>
      <w:r w:rsidR="001F53CD">
        <w:rPr>
          <w:rFonts w:cstheme="minorHAnsi"/>
          <w:sz w:val="21"/>
          <w:lang w:val="en-AU"/>
        </w:rPr>
        <w:t>;</w:t>
      </w:r>
      <w:r w:rsidR="00EA12B5" w:rsidRPr="00BA23EC">
        <w:rPr>
          <w:rFonts w:cstheme="minorHAnsi"/>
          <w:sz w:val="21"/>
          <w:lang w:val="en-AU"/>
        </w:rPr>
        <w:t xml:space="preserve"> </w:t>
      </w:r>
      <w:r w:rsidR="001F53CD">
        <w:rPr>
          <w:rFonts w:cstheme="minorHAnsi"/>
          <w:sz w:val="21"/>
          <w:lang w:val="en-AU"/>
        </w:rPr>
        <w:t>Global Health;</w:t>
      </w:r>
      <w:r w:rsidR="00393140" w:rsidRPr="00BA23EC">
        <w:rPr>
          <w:rFonts w:cstheme="minorHAnsi"/>
          <w:sz w:val="21"/>
          <w:lang w:val="en-AU"/>
        </w:rPr>
        <w:t xml:space="preserve"> </w:t>
      </w:r>
      <w:r w:rsidR="003013A5" w:rsidRPr="00BA23EC">
        <w:rPr>
          <w:rFonts w:cstheme="minorHAnsi"/>
          <w:sz w:val="21"/>
          <w:lang w:val="en-AU"/>
        </w:rPr>
        <w:t>Multilateral Banks</w:t>
      </w:r>
      <w:r w:rsidR="001F53CD">
        <w:rPr>
          <w:rFonts w:cstheme="minorHAnsi"/>
          <w:sz w:val="21"/>
          <w:lang w:val="en-AU"/>
        </w:rPr>
        <w:t>;</w:t>
      </w:r>
      <w:r w:rsidR="0081241A" w:rsidRPr="00BA23EC">
        <w:rPr>
          <w:rFonts w:cstheme="minorHAnsi"/>
          <w:sz w:val="21"/>
          <w:lang w:val="en-AU"/>
        </w:rPr>
        <w:t xml:space="preserve"> and </w:t>
      </w:r>
      <w:r w:rsidR="001F53CD">
        <w:rPr>
          <w:rFonts w:cstheme="minorHAnsi"/>
          <w:sz w:val="21"/>
          <w:lang w:val="en-AU"/>
        </w:rPr>
        <w:t xml:space="preserve">the </w:t>
      </w:r>
      <w:r w:rsidR="0081241A" w:rsidRPr="00BA23EC">
        <w:rPr>
          <w:rFonts w:cstheme="minorHAnsi"/>
          <w:sz w:val="21"/>
          <w:lang w:val="en-AU"/>
        </w:rPr>
        <w:t>Indonesia Development section.</w:t>
      </w:r>
    </w:p>
    <w:p w14:paraId="1B4E6EEB" w14:textId="5287F2FA" w:rsidR="00F205D0" w:rsidRPr="00BA23EC" w:rsidRDefault="005155DD" w:rsidP="00271FB6">
      <w:pPr>
        <w:pStyle w:val="Heading2"/>
      </w:pPr>
      <w:r>
        <w:t>K.</w:t>
      </w:r>
      <w:bookmarkStart w:id="26" w:name="_Toc132287526"/>
      <w:bookmarkStart w:id="27" w:name="Annexes"/>
      <w:r w:rsidR="00271FB6">
        <w:t xml:space="preserve"> </w:t>
      </w:r>
      <w:r w:rsidR="00F205D0" w:rsidRPr="00BA23EC">
        <w:t>Annexes</w:t>
      </w:r>
      <w:bookmarkEnd w:id="26"/>
    </w:p>
    <w:p w14:paraId="09A20D94" w14:textId="017C1040" w:rsidR="007F1B6B" w:rsidRPr="00BA23EC" w:rsidRDefault="00F205D0" w:rsidP="00F205D0">
      <w:pPr>
        <w:tabs>
          <w:tab w:val="left" w:pos="851"/>
        </w:tabs>
        <w:suppressAutoHyphens w:val="0"/>
        <w:spacing w:before="0" w:line="240" w:lineRule="auto"/>
        <w:ind w:left="851" w:hanging="851"/>
        <w:jc w:val="both"/>
        <w:rPr>
          <w:rFonts w:cstheme="minorHAnsi"/>
          <w:sz w:val="21"/>
          <w:lang w:val="en-AU"/>
        </w:rPr>
      </w:pPr>
      <w:bookmarkStart w:id="28" w:name="_Hlk73442121"/>
      <w:bookmarkEnd w:id="27"/>
      <w:r w:rsidRPr="00BA23EC">
        <w:rPr>
          <w:rFonts w:cstheme="minorHAnsi"/>
          <w:sz w:val="21"/>
          <w:lang w:val="en-AU"/>
        </w:rPr>
        <w:t xml:space="preserve">Annex 1: </w:t>
      </w:r>
      <w:r w:rsidRPr="00BA23EC">
        <w:rPr>
          <w:rFonts w:cstheme="minorHAnsi"/>
          <w:sz w:val="21"/>
          <w:lang w:val="en-AU"/>
        </w:rPr>
        <w:tab/>
      </w:r>
      <w:r w:rsidR="007B19F5" w:rsidRPr="00BA23EC">
        <w:rPr>
          <w:rFonts w:cstheme="minorHAnsi"/>
          <w:sz w:val="21"/>
          <w:lang w:val="en-AU"/>
        </w:rPr>
        <w:t>World Bank Concept Note (</w:t>
      </w:r>
      <w:r w:rsidR="007B19F5" w:rsidRPr="00BA23EC">
        <w:rPr>
          <w:rFonts w:cstheme="minorHAnsi"/>
          <w:i/>
          <w:sz w:val="21"/>
          <w:lang w:val="en-AU"/>
        </w:rPr>
        <w:t>provided as a separate document</w:t>
      </w:r>
      <w:r w:rsidR="007B19F5" w:rsidRPr="00BA23EC">
        <w:rPr>
          <w:rFonts w:cstheme="minorHAnsi"/>
          <w:sz w:val="21"/>
          <w:lang w:val="en-AU"/>
        </w:rPr>
        <w:t>)</w:t>
      </w:r>
    </w:p>
    <w:p w14:paraId="0136DB1D" w14:textId="22A9534A" w:rsidR="007B19F5" w:rsidRPr="00BA23EC" w:rsidRDefault="00F205D0" w:rsidP="00F205D0">
      <w:pPr>
        <w:tabs>
          <w:tab w:val="left" w:pos="851"/>
        </w:tabs>
        <w:suppressAutoHyphens w:val="0"/>
        <w:spacing w:before="0" w:line="240" w:lineRule="auto"/>
        <w:ind w:left="851" w:hanging="851"/>
        <w:jc w:val="both"/>
        <w:rPr>
          <w:rFonts w:cstheme="minorHAnsi"/>
          <w:sz w:val="21"/>
          <w:lang w:val="en-AU"/>
        </w:rPr>
      </w:pPr>
      <w:r w:rsidRPr="00BA23EC">
        <w:rPr>
          <w:rFonts w:cstheme="minorHAnsi"/>
          <w:sz w:val="21"/>
          <w:lang w:val="en-AU"/>
        </w:rPr>
        <w:t xml:space="preserve">Annex 2: </w:t>
      </w:r>
      <w:r w:rsidRPr="00BA23EC">
        <w:rPr>
          <w:rFonts w:cstheme="minorHAnsi"/>
          <w:sz w:val="21"/>
          <w:lang w:val="en-AU"/>
        </w:rPr>
        <w:tab/>
      </w:r>
      <w:bookmarkStart w:id="29" w:name="_Hlk132287172"/>
      <w:r w:rsidR="007B19F5" w:rsidRPr="00BA23EC">
        <w:rPr>
          <w:rFonts w:cstheme="minorHAnsi"/>
          <w:sz w:val="21"/>
          <w:lang w:val="en-AU"/>
        </w:rPr>
        <w:t xml:space="preserve">Indonesia Ministry of Health - 6 Pillars of Indonesia’s Health Transformation </w:t>
      </w:r>
      <w:bookmarkEnd w:id="29"/>
    </w:p>
    <w:p w14:paraId="63ED3E34" w14:textId="0D153249" w:rsidR="00F205D0" w:rsidRPr="00BA23EC" w:rsidRDefault="00F205D0" w:rsidP="00F205D0">
      <w:pPr>
        <w:tabs>
          <w:tab w:val="left" w:pos="851"/>
        </w:tabs>
        <w:suppressAutoHyphens w:val="0"/>
        <w:spacing w:before="0" w:line="240" w:lineRule="auto"/>
        <w:ind w:left="851" w:hanging="851"/>
        <w:jc w:val="both"/>
        <w:rPr>
          <w:rFonts w:cstheme="minorHAnsi"/>
          <w:sz w:val="21"/>
          <w:lang w:val="en-AU"/>
        </w:rPr>
      </w:pPr>
      <w:r w:rsidRPr="00BA23EC">
        <w:rPr>
          <w:rFonts w:cstheme="minorHAnsi"/>
          <w:sz w:val="21"/>
          <w:lang w:val="en-AU"/>
        </w:rPr>
        <w:t xml:space="preserve">Annex 3: </w:t>
      </w:r>
      <w:r w:rsidRPr="00BA23EC">
        <w:rPr>
          <w:rFonts w:cstheme="minorHAnsi"/>
          <w:sz w:val="21"/>
          <w:lang w:val="en-AU"/>
        </w:rPr>
        <w:tab/>
        <w:t>Partner and Policy Dialogue Matrix</w:t>
      </w:r>
    </w:p>
    <w:p w14:paraId="6098F344" w14:textId="20A6E4EA" w:rsidR="00F205D0" w:rsidRPr="00BA23EC" w:rsidRDefault="00F205D0" w:rsidP="00F205D0">
      <w:pPr>
        <w:tabs>
          <w:tab w:val="left" w:pos="851"/>
        </w:tabs>
        <w:suppressAutoHyphens w:val="0"/>
        <w:spacing w:before="0" w:line="240" w:lineRule="auto"/>
        <w:ind w:left="851" w:hanging="851"/>
        <w:jc w:val="both"/>
        <w:rPr>
          <w:rFonts w:cstheme="minorHAnsi"/>
          <w:sz w:val="21"/>
          <w:lang w:val="en-AU"/>
        </w:rPr>
      </w:pPr>
      <w:r w:rsidRPr="00BA23EC">
        <w:rPr>
          <w:rFonts w:cstheme="minorHAnsi"/>
          <w:sz w:val="21"/>
          <w:lang w:val="en-AU"/>
        </w:rPr>
        <w:t xml:space="preserve">Annex </w:t>
      </w:r>
      <w:r w:rsidR="007B19F5" w:rsidRPr="00BA23EC">
        <w:rPr>
          <w:rFonts w:cstheme="minorHAnsi"/>
          <w:sz w:val="21"/>
          <w:lang w:val="en-AU"/>
        </w:rPr>
        <w:t>4</w:t>
      </w:r>
      <w:r w:rsidRPr="00BA23EC">
        <w:rPr>
          <w:rFonts w:cstheme="minorHAnsi"/>
          <w:sz w:val="21"/>
          <w:lang w:val="en-AU"/>
        </w:rPr>
        <w:t xml:space="preserve">: </w:t>
      </w:r>
      <w:r w:rsidRPr="00BA23EC">
        <w:rPr>
          <w:rFonts w:cstheme="minorHAnsi"/>
          <w:sz w:val="21"/>
          <w:lang w:val="en-AU"/>
        </w:rPr>
        <w:tab/>
        <w:t xml:space="preserve">Monitoring and Evaluation Framework </w:t>
      </w:r>
    </w:p>
    <w:p w14:paraId="49B37246" w14:textId="54E25124" w:rsidR="007B19F5" w:rsidRPr="00BA23EC" w:rsidRDefault="00F205D0" w:rsidP="00F205D0">
      <w:pPr>
        <w:tabs>
          <w:tab w:val="left" w:pos="284"/>
        </w:tabs>
        <w:suppressAutoHyphens w:val="0"/>
        <w:spacing w:before="0" w:line="280" w:lineRule="exact"/>
        <w:jc w:val="both"/>
        <w:rPr>
          <w:rFonts w:cstheme="minorHAnsi"/>
          <w:sz w:val="21"/>
          <w:lang w:val="en-AU"/>
        </w:rPr>
      </w:pPr>
      <w:r w:rsidRPr="00BA23EC">
        <w:rPr>
          <w:rFonts w:cstheme="minorHAnsi"/>
          <w:sz w:val="21"/>
          <w:lang w:val="en-AU"/>
        </w:rPr>
        <w:t xml:space="preserve">Annex </w:t>
      </w:r>
      <w:r w:rsidR="007B19F5" w:rsidRPr="00BA23EC">
        <w:rPr>
          <w:rFonts w:cstheme="minorHAnsi"/>
          <w:sz w:val="21"/>
          <w:lang w:val="en-AU"/>
        </w:rPr>
        <w:t>5</w:t>
      </w:r>
      <w:r w:rsidRPr="00BA23EC">
        <w:rPr>
          <w:rFonts w:cstheme="minorHAnsi"/>
          <w:sz w:val="21"/>
          <w:lang w:val="en-AU"/>
        </w:rPr>
        <w:t xml:space="preserve">: Risk and Safeguards </w:t>
      </w:r>
      <w:r w:rsidR="005155DD">
        <w:rPr>
          <w:rFonts w:cstheme="minorHAnsi"/>
          <w:sz w:val="21"/>
          <w:lang w:val="en-AU"/>
        </w:rPr>
        <w:t>Assessment</w:t>
      </w:r>
      <w:r w:rsidR="007B19F5" w:rsidRPr="00BA23EC">
        <w:rPr>
          <w:rFonts w:cstheme="minorHAnsi"/>
          <w:sz w:val="21"/>
          <w:lang w:val="en-AU"/>
        </w:rPr>
        <w:t xml:space="preserve"> (</w:t>
      </w:r>
      <w:r w:rsidR="007B19F5" w:rsidRPr="00BA23EC">
        <w:rPr>
          <w:rFonts w:cstheme="minorHAnsi"/>
          <w:i/>
          <w:sz w:val="21"/>
          <w:lang w:val="en-AU"/>
        </w:rPr>
        <w:t>provided as a separate document</w:t>
      </w:r>
      <w:r w:rsidR="007B19F5" w:rsidRPr="00BA23EC">
        <w:rPr>
          <w:rFonts w:cstheme="minorHAnsi"/>
          <w:sz w:val="21"/>
          <w:lang w:val="en-AU"/>
        </w:rPr>
        <w:t>)</w:t>
      </w:r>
    </w:p>
    <w:bookmarkEnd w:id="28"/>
    <w:p w14:paraId="74912B35" w14:textId="146C1773" w:rsidR="00F205D0" w:rsidRPr="00BA23EC" w:rsidRDefault="00F205D0" w:rsidP="00F205D0">
      <w:pPr>
        <w:tabs>
          <w:tab w:val="left" w:pos="284"/>
        </w:tabs>
        <w:suppressAutoHyphens w:val="0"/>
        <w:spacing w:before="0" w:line="280" w:lineRule="exact"/>
        <w:jc w:val="both"/>
        <w:rPr>
          <w:rFonts w:cstheme="minorHAnsi"/>
          <w:sz w:val="21"/>
          <w:lang w:val="en-AU"/>
        </w:rPr>
      </w:pPr>
    </w:p>
    <w:p w14:paraId="5C6543B1" w14:textId="77777777" w:rsidR="007B19F5" w:rsidRPr="00BA23EC" w:rsidRDefault="007B19F5" w:rsidP="00F81159">
      <w:pPr>
        <w:suppressAutoHyphens w:val="0"/>
        <w:spacing w:before="0" w:after="120" w:line="440" w:lineRule="atLeast"/>
        <w:jc w:val="both"/>
        <w:rPr>
          <w:rFonts w:cstheme="minorHAnsi"/>
          <w:sz w:val="21"/>
          <w:lang w:val="en-AU"/>
        </w:rPr>
        <w:sectPr w:rsidR="007B19F5" w:rsidRPr="00BA23EC" w:rsidSect="00381036">
          <w:pgSz w:w="11906" w:h="16838" w:code="9"/>
          <w:pgMar w:top="1135" w:right="1134" w:bottom="1418" w:left="1134" w:header="227" w:footer="493" w:gutter="0"/>
          <w:cols w:space="397"/>
          <w:titlePg/>
          <w:docGrid w:linePitch="360"/>
        </w:sectPr>
      </w:pPr>
    </w:p>
    <w:p w14:paraId="06456F15" w14:textId="2FEB3804" w:rsidR="009B1532" w:rsidRPr="00BA23EC" w:rsidRDefault="00A76C3C" w:rsidP="00271FB6">
      <w:pPr>
        <w:pStyle w:val="Heading3"/>
      </w:pPr>
      <w:bookmarkStart w:id="30" w:name="Annex2"/>
      <w:r w:rsidRPr="00BA23EC">
        <w:lastRenderedPageBreak/>
        <w:t xml:space="preserve">Annex </w:t>
      </w:r>
      <w:r w:rsidR="007B19F5" w:rsidRPr="00BA23EC">
        <w:t>2</w:t>
      </w:r>
      <w:r w:rsidR="005B7783" w:rsidRPr="00BA23EC">
        <w:t xml:space="preserve"> – Ministry of Health 6 Pillars for Indonesia’s Health System Transformation</w:t>
      </w:r>
    </w:p>
    <w:bookmarkEnd w:id="30"/>
    <w:p w14:paraId="70E40C08" w14:textId="7DD5D862" w:rsidR="007B19F5" w:rsidRPr="00BA23EC" w:rsidRDefault="009B1532" w:rsidP="005B7783">
      <w:pPr>
        <w:suppressAutoHyphens w:val="0"/>
        <w:spacing w:before="0" w:after="120" w:line="440" w:lineRule="atLeast"/>
        <w:jc w:val="both"/>
        <w:rPr>
          <w:rFonts w:cstheme="minorHAnsi"/>
          <w:sz w:val="21"/>
          <w:lang w:val="en-AU"/>
        </w:rPr>
        <w:sectPr w:rsidR="007B19F5" w:rsidRPr="00BA23EC" w:rsidSect="007B19F5">
          <w:pgSz w:w="16838" w:h="11906" w:orient="landscape" w:code="9"/>
          <w:pgMar w:top="720" w:right="720" w:bottom="720" w:left="720" w:header="425" w:footer="493" w:gutter="0"/>
          <w:cols w:space="397"/>
          <w:titlePg/>
          <w:docGrid w:linePitch="360"/>
        </w:sectPr>
      </w:pPr>
      <w:r w:rsidRPr="00BA23EC">
        <w:rPr>
          <w:rFonts w:cstheme="minorHAnsi"/>
          <w:noProof/>
          <w:lang w:val="en-AU"/>
        </w:rPr>
        <w:drawing>
          <wp:inline distT="0" distB="0" distL="0" distR="0" wp14:anchorId="7A366730" wp14:editId="08071AE0">
            <wp:extent cx="8553450" cy="5524354"/>
            <wp:effectExtent l="0" t="0" r="0" b="635"/>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6"/>
                    <a:stretch>
                      <a:fillRect/>
                    </a:stretch>
                  </pic:blipFill>
                  <pic:spPr>
                    <a:xfrm>
                      <a:off x="0" y="0"/>
                      <a:ext cx="8730881" cy="5638950"/>
                    </a:xfrm>
                    <a:prstGeom prst="rect">
                      <a:avLst/>
                    </a:prstGeom>
                  </pic:spPr>
                </pic:pic>
              </a:graphicData>
            </a:graphic>
          </wp:inline>
        </w:drawing>
      </w:r>
    </w:p>
    <w:p w14:paraId="507E0584" w14:textId="77777777" w:rsidR="00FC310A" w:rsidRDefault="00FC310A" w:rsidP="00D7635C">
      <w:pPr>
        <w:suppressAutoHyphens w:val="0"/>
        <w:spacing w:before="0" w:after="120" w:line="440" w:lineRule="atLeast"/>
        <w:jc w:val="both"/>
        <w:rPr>
          <w:rFonts w:eastAsiaTheme="majorEastAsia" w:cstheme="minorHAnsi"/>
          <w:sz w:val="38"/>
          <w:szCs w:val="38"/>
          <w:lang w:val="en-AU"/>
        </w:rPr>
      </w:pPr>
      <w:bookmarkStart w:id="31" w:name="Annex3"/>
    </w:p>
    <w:p w14:paraId="1BCC6BFE" w14:textId="77777777" w:rsidR="00FC310A" w:rsidRDefault="00FC310A" w:rsidP="00D7635C">
      <w:pPr>
        <w:suppressAutoHyphens w:val="0"/>
        <w:spacing w:before="0" w:after="120" w:line="440" w:lineRule="atLeast"/>
        <w:jc w:val="both"/>
        <w:rPr>
          <w:rFonts w:eastAsiaTheme="majorEastAsia" w:cstheme="minorHAnsi"/>
          <w:sz w:val="38"/>
          <w:szCs w:val="38"/>
          <w:lang w:val="en-AU"/>
        </w:rPr>
      </w:pPr>
    </w:p>
    <w:p w14:paraId="719EE873" w14:textId="2B314262" w:rsidR="00D7635C" w:rsidRPr="00BA23EC" w:rsidRDefault="00D7635C" w:rsidP="00271FB6">
      <w:pPr>
        <w:pStyle w:val="Heading3"/>
      </w:pPr>
      <w:r w:rsidRPr="00BA23EC">
        <w:t>Annex 3 – Partner and Policy Dialogue Matrix</w:t>
      </w:r>
    </w:p>
    <w:bookmarkEnd w:id="31"/>
    <w:p w14:paraId="1A4898BD" w14:textId="6A9538EB" w:rsidR="00C870AF" w:rsidRPr="00BA23EC" w:rsidRDefault="00D7635C" w:rsidP="00D7635C">
      <w:pPr>
        <w:suppressAutoHyphens w:val="0"/>
        <w:spacing w:before="0" w:after="120" w:line="240" w:lineRule="auto"/>
        <w:jc w:val="both"/>
        <w:rPr>
          <w:rFonts w:cstheme="minorHAnsi"/>
          <w:b/>
          <w:bCs/>
          <w:sz w:val="28"/>
          <w:szCs w:val="28"/>
          <w:lang w:val="en-AU"/>
        </w:rPr>
      </w:pPr>
      <w:r w:rsidRPr="00BA23EC">
        <w:rPr>
          <w:rFonts w:eastAsiaTheme="majorEastAsia" w:cstheme="minorHAnsi"/>
          <w:bCs/>
          <w:i/>
          <w:iCs/>
          <w:sz w:val="24"/>
          <w:szCs w:val="24"/>
          <w:lang w:val="en-AU"/>
        </w:rPr>
        <w:t xml:space="preserve">End of Investment outcome: </w:t>
      </w:r>
      <w:r w:rsidRPr="00BA23EC">
        <w:rPr>
          <w:rFonts w:cstheme="minorHAnsi"/>
          <w:sz w:val="24"/>
          <w:szCs w:val="24"/>
          <w:lang w:val="en-AU"/>
        </w:rPr>
        <w:t xml:space="preserve">The HT-MDTF </w:t>
      </w:r>
      <w:r w:rsidR="00FD236D">
        <w:rPr>
          <w:rFonts w:cstheme="minorHAnsi"/>
          <w:sz w:val="24"/>
          <w:szCs w:val="24"/>
          <w:lang w:val="en-AU"/>
        </w:rPr>
        <w:t>will</w:t>
      </w:r>
      <w:r w:rsidR="001510C5">
        <w:rPr>
          <w:rFonts w:cstheme="minorHAnsi"/>
          <w:sz w:val="24"/>
          <w:szCs w:val="24"/>
          <w:lang w:val="en-AU"/>
        </w:rPr>
        <w:t xml:space="preserve"> </w:t>
      </w:r>
      <w:r w:rsidR="008B0945" w:rsidRPr="008B0945">
        <w:rPr>
          <w:rFonts w:cstheme="minorHAnsi"/>
          <w:sz w:val="24"/>
          <w:szCs w:val="24"/>
          <w:lang w:val="en-AU"/>
        </w:rPr>
        <w:t xml:space="preserve">act as a key enabler of Indonesia’s Health Transformation Agenda in line with </w:t>
      </w:r>
      <w:proofErr w:type="spellStart"/>
      <w:r w:rsidR="008B0945" w:rsidRPr="008B0945">
        <w:rPr>
          <w:rFonts w:cstheme="minorHAnsi"/>
          <w:sz w:val="24"/>
          <w:szCs w:val="24"/>
          <w:lang w:val="en-AU"/>
        </w:rPr>
        <w:t>GoI’s</w:t>
      </w:r>
      <w:proofErr w:type="spellEnd"/>
      <w:r w:rsidR="008B0945" w:rsidRPr="008B0945">
        <w:rPr>
          <w:rFonts w:cstheme="minorHAnsi"/>
          <w:sz w:val="24"/>
          <w:szCs w:val="24"/>
          <w:lang w:val="en-AU"/>
        </w:rPr>
        <w:t xml:space="preserve"> vision to build a healthy, productive, </w:t>
      </w:r>
      <w:proofErr w:type="gramStart"/>
      <w:r w:rsidR="008B0945" w:rsidRPr="008B0945">
        <w:rPr>
          <w:rFonts w:cstheme="minorHAnsi"/>
          <w:sz w:val="24"/>
          <w:szCs w:val="24"/>
          <w:lang w:val="en-AU"/>
        </w:rPr>
        <w:t>independent</w:t>
      </w:r>
      <w:proofErr w:type="gramEnd"/>
      <w:r w:rsidR="008B0945" w:rsidRPr="008B0945">
        <w:rPr>
          <w:rFonts w:cstheme="minorHAnsi"/>
          <w:sz w:val="24"/>
          <w:szCs w:val="24"/>
          <w:lang w:val="en-AU"/>
        </w:rPr>
        <w:t xml:space="preserve"> and just Indonesian people.</w:t>
      </w:r>
    </w:p>
    <w:tbl>
      <w:tblPr>
        <w:tblStyle w:val="TableGrid1"/>
        <w:tblW w:w="15304" w:type="dxa"/>
        <w:tblLook w:val="04A0" w:firstRow="1" w:lastRow="0" w:firstColumn="1" w:lastColumn="0" w:noHBand="0" w:noVBand="1"/>
      </w:tblPr>
      <w:tblGrid>
        <w:gridCol w:w="1913"/>
        <w:gridCol w:w="1913"/>
        <w:gridCol w:w="1913"/>
        <w:gridCol w:w="1913"/>
        <w:gridCol w:w="1913"/>
        <w:gridCol w:w="1913"/>
        <w:gridCol w:w="1913"/>
        <w:gridCol w:w="1913"/>
      </w:tblGrid>
      <w:tr w:rsidR="00D7635C" w:rsidRPr="00BA23EC" w14:paraId="538B19A7" w14:textId="77777777" w:rsidTr="003B2C83">
        <w:tc>
          <w:tcPr>
            <w:tcW w:w="1913" w:type="dxa"/>
          </w:tcPr>
          <w:p w14:paraId="1035AEEF" w14:textId="77777777" w:rsidR="00D7635C" w:rsidRPr="00BA23EC" w:rsidRDefault="00D7635C">
            <w:pPr>
              <w:jc w:val="both"/>
              <w:rPr>
                <w:rFonts w:cstheme="minorHAnsi"/>
                <w:color w:val="auto"/>
                <w:lang w:val="en-AU"/>
              </w:rPr>
            </w:pPr>
            <w:r w:rsidRPr="00BA23EC">
              <w:rPr>
                <w:rFonts w:cstheme="minorHAnsi"/>
                <w:b/>
                <w:bCs/>
                <w:color w:val="auto"/>
                <w:sz w:val="20"/>
                <w:szCs w:val="20"/>
                <w:lang w:val="en-AU"/>
              </w:rPr>
              <w:t>Related End-of-Investment Outcome</w:t>
            </w:r>
          </w:p>
        </w:tc>
        <w:tc>
          <w:tcPr>
            <w:tcW w:w="1913" w:type="dxa"/>
          </w:tcPr>
          <w:p w14:paraId="7684B14E" w14:textId="77777777" w:rsidR="00D7635C" w:rsidRPr="00BA23EC" w:rsidRDefault="00D7635C">
            <w:pPr>
              <w:jc w:val="both"/>
              <w:rPr>
                <w:rFonts w:cstheme="minorHAnsi"/>
                <w:color w:val="auto"/>
                <w:lang w:val="en-AU"/>
              </w:rPr>
            </w:pPr>
            <w:r w:rsidRPr="00BA23EC">
              <w:rPr>
                <w:rFonts w:cstheme="minorHAnsi"/>
                <w:b/>
                <w:bCs/>
                <w:color w:val="auto"/>
                <w:sz w:val="20"/>
                <w:szCs w:val="20"/>
                <w:lang w:val="en-AU"/>
              </w:rPr>
              <w:t>Problem/ Issue</w:t>
            </w:r>
          </w:p>
        </w:tc>
        <w:tc>
          <w:tcPr>
            <w:tcW w:w="1913" w:type="dxa"/>
          </w:tcPr>
          <w:p w14:paraId="5B92FD2A" w14:textId="77777777" w:rsidR="00D7635C" w:rsidRPr="00BA23EC" w:rsidRDefault="00D7635C">
            <w:pPr>
              <w:jc w:val="both"/>
              <w:rPr>
                <w:rFonts w:cstheme="minorHAnsi"/>
                <w:color w:val="auto"/>
                <w:lang w:val="en-AU"/>
              </w:rPr>
            </w:pPr>
            <w:r w:rsidRPr="00BA23EC">
              <w:rPr>
                <w:rFonts w:cstheme="minorHAnsi"/>
                <w:b/>
                <w:bCs/>
                <w:color w:val="auto"/>
                <w:sz w:val="20"/>
                <w:szCs w:val="20"/>
                <w:lang w:val="en-AU"/>
              </w:rPr>
              <w:t>Policy outcome sought</w:t>
            </w:r>
          </w:p>
        </w:tc>
        <w:tc>
          <w:tcPr>
            <w:tcW w:w="1913" w:type="dxa"/>
          </w:tcPr>
          <w:p w14:paraId="3107099A" w14:textId="77777777" w:rsidR="00D7635C" w:rsidRPr="00BA23EC" w:rsidRDefault="00D7635C">
            <w:pPr>
              <w:jc w:val="both"/>
              <w:rPr>
                <w:rFonts w:cstheme="minorHAnsi"/>
                <w:color w:val="auto"/>
                <w:lang w:val="en-AU"/>
              </w:rPr>
            </w:pPr>
            <w:r w:rsidRPr="00BA23EC">
              <w:rPr>
                <w:rFonts w:cstheme="minorHAnsi"/>
                <w:b/>
                <w:bCs/>
                <w:color w:val="auto"/>
                <w:sz w:val="20"/>
                <w:szCs w:val="20"/>
                <w:lang w:val="en-AU"/>
              </w:rPr>
              <w:t>Program entry points for policy dialogue</w:t>
            </w:r>
          </w:p>
        </w:tc>
        <w:tc>
          <w:tcPr>
            <w:tcW w:w="1913" w:type="dxa"/>
          </w:tcPr>
          <w:p w14:paraId="76082E83" w14:textId="77777777" w:rsidR="00D7635C" w:rsidRPr="00BA23EC" w:rsidRDefault="00D7635C">
            <w:pPr>
              <w:jc w:val="both"/>
              <w:rPr>
                <w:rFonts w:cstheme="minorHAnsi"/>
                <w:color w:val="auto"/>
                <w:lang w:val="en-AU"/>
              </w:rPr>
            </w:pPr>
            <w:r w:rsidRPr="00BA23EC">
              <w:rPr>
                <w:rFonts w:cstheme="minorHAnsi"/>
                <w:b/>
                <w:bCs/>
                <w:color w:val="auto"/>
                <w:sz w:val="20"/>
                <w:szCs w:val="20"/>
                <w:lang w:val="en-AU"/>
              </w:rPr>
              <w:t>Influential stakeholders</w:t>
            </w:r>
          </w:p>
        </w:tc>
        <w:tc>
          <w:tcPr>
            <w:tcW w:w="1913" w:type="dxa"/>
          </w:tcPr>
          <w:p w14:paraId="32ED4210" w14:textId="77777777" w:rsidR="00D7635C" w:rsidRPr="00BA23EC" w:rsidRDefault="00D7635C">
            <w:pPr>
              <w:jc w:val="both"/>
              <w:rPr>
                <w:rFonts w:cstheme="minorHAnsi"/>
                <w:color w:val="auto"/>
                <w:lang w:val="en-AU"/>
              </w:rPr>
            </w:pPr>
            <w:r w:rsidRPr="00BA23EC">
              <w:rPr>
                <w:rFonts w:cstheme="minorHAnsi"/>
                <w:b/>
                <w:bCs/>
                <w:color w:val="auto"/>
                <w:sz w:val="20"/>
                <w:szCs w:val="20"/>
                <w:lang w:val="en-AU"/>
              </w:rPr>
              <w:t>Resources required</w:t>
            </w:r>
          </w:p>
        </w:tc>
        <w:tc>
          <w:tcPr>
            <w:tcW w:w="1913" w:type="dxa"/>
          </w:tcPr>
          <w:p w14:paraId="530C3DFF" w14:textId="77777777" w:rsidR="00D7635C" w:rsidRPr="00BA23EC" w:rsidRDefault="00D7635C">
            <w:pPr>
              <w:jc w:val="both"/>
              <w:rPr>
                <w:rFonts w:cstheme="minorHAnsi"/>
                <w:color w:val="auto"/>
                <w:lang w:val="en-AU"/>
              </w:rPr>
            </w:pPr>
            <w:r w:rsidRPr="00BA23EC">
              <w:rPr>
                <w:rFonts w:cstheme="minorHAnsi"/>
                <w:b/>
                <w:bCs/>
                <w:color w:val="auto"/>
                <w:sz w:val="20"/>
                <w:szCs w:val="20"/>
                <w:lang w:val="en-AU"/>
              </w:rPr>
              <w:t>Policy dialogue lead within AHC</w:t>
            </w:r>
          </w:p>
        </w:tc>
        <w:tc>
          <w:tcPr>
            <w:tcW w:w="1913" w:type="dxa"/>
          </w:tcPr>
          <w:p w14:paraId="17B345D7" w14:textId="77777777" w:rsidR="00D7635C" w:rsidRPr="00BA23EC" w:rsidRDefault="00D7635C">
            <w:pPr>
              <w:jc w:val="both"/>
              <w:rPr>
                <w:rFonts w:cstheme="minorHAnsi"/>
                <w:color w:val="auto"/>
                <w:lang w:val="en-AU"/>
              </w:rPr>
            </w:pPr>
            <w:r w:rsidRPr="00BA23EC">
              <w:rPr>
                <w:rFonts w:cstheme="minorHAnsi"/>
                <w:b/>
                <w:bCs/>
                <w:color w:val="auto"/>
                <w:sz w:val="20"/>
                <w:szCs w:val="20"/>
                <w:lang w:val="en-AU"/>
              </w:rPr>
              <w:t>Partnership engagement lead within MC/implementing partner</w:t>
            </w:r>
          </w:p>
        </w:tc>
      </w:tr>
      <w:tr w:rsidR="00D7635C" w:rsidRPr="00BA23EC" w14:paraId="150FC53C" w14:textId="77777777" w:rsidTr="003B2C83">
        <w:tc>
          <w:tcPr>
            <w:tcW w:w="1913" w:type="dxa"/>
          </w:tcPr>
          <w:p w14:paraId="1A63FFA0" w14:textId="4C845A5A" w:rsidR="00D7635C" w:rsidRPr="00BA23EC" w:rsidRDefault="005E569E" w:rsidP="001252BC">
            <w:pPr>
              <w:spacing w:before="0" w:after="120"/>
              <w:rPr>
                <w:rFonts w:cstheme="minorHAnsi"/>
                <w:color w:val="auto"/>
                <w:lang w:val="en-AU"/>
              </w:rPr>
            </w:pPr>
            <w:r w:rsidRPr="005E569E">
              <w:rPr>
                <w:rFonts w:cstheme="minorHAnsi"/>
                <w:sz w:val="21"/>
                <w:szCs w:val="21"/>
                <w:lang w:val="en-AU"/>
              </w:rPr>
              <w:t>EOPO1: Health sector reforms are increasingly evidence-based and informed by relevant and credible HT-MDTF-supported analytics and policy dialogue.</w:t>
            </w:r>
          </w:p>
        </w:tc>
        <w:tc>
          <w:tcPr>
            <w:tcW w:w="1913" w:type="dxa"/>
          </w:tcPr>
          <w:p w14:paraId="09525C71" w14:textId="14152718" w:rsidR="00D7635C" w:rsidRPr="00BA23EC" w:rsidRDefault="00D7635C" w:rsidP="001252BC">
            <w:pPr>
              <w:spacing w:before="0" w:after="120"/>
              <w:rPr>
                <w:rFonts w:cstheme="minorHAnsi"/>
                <w:sz w:val="21"/>
                <w:szCs w:val="21"/>
                <w:lang w:val="en-AU"/>
              </w:rPr>
            </w:pPr>
            <w:r w:rsidRPr="00BA23EC">
              <w:rPr>
                <w:rFonts w:cstheme="minorHAnsi"/>
                <w:sz w:val="21"/>
                <w:szCs w:val="21"/>
                <w:lang w:val="en-AU"/>
              </w:rPr>
              <w:t>Indonesian primary healthcare system faces ongoing challenges of financing shortfalls, gaps in health infrastructure, the availability and quality of health workers, and unequal access to health care</w:t>
            </w:r>
          </w:p>
        </w:tc>
        <w:tc>
          <w:tcPr>
            <w:tcW w:w="1913" w:type="dxa"/>
          </w:tcPr>
          <w:p w14:paraId="37B1212F" w14:textId="18B08276" w:rsidR="00D7635C" w:rsidRPr="00BA23EC" w:rsidRDefault="00D7635C" w:rsidP="001252BC">
            <w:pPr>
              <w:spacing w:before="0" w:after="120"/>
              <w:rPr>
                <w:rFonts w:cstheme="minorHAnsi"/>
                <w:sz w:val="21"/>
                <w:szCs w:val="21"/>
                <w:lang w:val="en-AU"/>
              </w:rPr>
            </w:pPr>
            <w:r w:rsidRPr="00BA23EC">
              <w:rPr>
                <w:rFonts w:cstheme="minorHAnsi"/>
                <w:sz w:val="21"/>
                <w:szCs w:val="21"/>
                <w:lang w:val="en-AU"/>
              </w:rPr>
              <w:t>Reforms in primary health care deliver</w:t>
            </w:r>
            <w:r w:rsidR="00D44F43">
              <w:rPr>
                <w:rFonts w:cstheme="minorHAnsi"/>
                <w:sz w:val="21"/>
                <w:szCs w:val="21"/>
                <w:lang w:val="en-AU"/>
              </w:rPr>
              <w:t>s</w:t>
            </w:r>
            <w:r w:rsidRPr="00BA23EC">
              <w:rPr>
                <w:rFonts w:cstheme="minorHAnsi"/>
                <w:sz w:val="21"/>
                <w:szCs w:val="21"/>
                <w:lang w:val="en-AU"/>
              </w:rPr>
              <w:t xml:space="preserve"> improved health outcomes and access to services for disadvantaged and vulnerable groups, addressing gender, disability, socio-economic and geographic disparities.</w:t>
            </w:r>
          </w:p>
          <w:p w14:paraId="03C89EA6" w14:textId="77777777" w:rsidR="00D7635C" w:rsidRPr="00BA23EC" w:rsidRDefault="00D7635C" w:rsidP="001252BC">
            <w:pPr>
              <w:spacing w:before="0" w:after="120"/>
              <w:rPr>
                <w:rFonts w:cstheme="minorHAnsi"/>
                <w:color w:val="auto"/>
                <w:lang w:val="en-AU"/>
              </w:rPr>
            </w:pPr>
            <w:r w:rsidRPr="00BA23EC">
              <w:rPr>
                <w:rFonts w:cstheme="minorHAnsi"/>
                <w:sz w:val="21"/>
                <w:szCs w:val="21"/>
                <w:lang w:val="en-AU"/>
              </w:rPr>
              <w:t xml:space="preserve">An integrated, </w:t>
            </w:r>
            <w:proofErr w:type="gramStart"/>
            <w:r w:rsidRPr="00BA23EC">
              <w:rPr>
                <w:rFonts w:cstheme="minorHAnsi"/>
                <w:sz w:val="21"/>
                <w:szCs w:val="21"/>
                <w:lang w:val="en-AU"/>
              </w:rPr>
              <w:t>harmonised</w:t>
            </w:r>
            <w:proofErr w:type="gramEnd"/>
            <w:r w:rsidRPr="00BA23EC">
              <w:rPr>
                <w:rFonts w:cstheme="minorHAnsi"/>
                <w:sz w:val="21"/>
                <w:szCs w:val="21"/>
                <w:lang w:val="en-AU"/>
              </w:rPr>
              <w:t xml:space="preserve"> and complete IT management system for health records, procurement and surveillance</w:t>
            </w:r>
          </w:p>
        </w:tc>
        <w:tc>
          <w:tcPr>
            <w:tcW w:w="1913" w:type="dxa"/>
          </w:tcPr>
          <w:p w14:paraId="427AFEBA" w14:textId="182B5869" w:rsidR="00D7635C" w:rsidRPr="00BA23EC" w:rsidRDefault="00D7635C" w:rsidP="001252BC">
            <w:pPr>
              <w:spacing w:before="0" w:after="120"/>
              <w:rPr>
                <w:rFonts w:cstheme="minorHAnsi"/>
                <w:sz w:val="21"/>
                <w:szCs w:val="21"/>
                <w:lang w:val="en-AU"/>
              </w:rPr>
            </w:pPr>
            <w:r w:rsidRPr="00BA23EC">
              <w:rPr>
                <w:rFonts w:cstheme="minorHAnsi"/>
                <w:sz w:val="21"/>
                <w:szCs w:val="21"/>
                <w:lang w:val="en-AU"/>
              </w:rPr>
              <w:t xml:space="preserve">MoH to engage with policy dialogue with the </w:t>
            </w:r>
            <w:r w:rsidR="00D44F43">
              <w:rPr>
                <w:rFonts w:cstheme="minorHAnsi"/>
                <w:sz w:val="21"/>
                <w:szCs w:val="21"/>
                <w:lang w:val="en-AU"/>
              </w:rPr>
              <w:t>O</w:t>
            </w:r>
            <w:r w:rsidRPr="00BA23EC">
              <w:rPr>
                <w:rFonts w:cstheme="minorHAnsi"/>
                <w:sz w:val="21"/>
                <w:szCs w:val="21"/>
                <w:lang w:val="en-AU"/>
              </w:rPr>
              <w:t>ffice of the President and MoF.</w:t>
            </w:r>
          </w:p>
          <w:p w14:paraId="052A9FB1" w14:textId="1458BF09" w:rsidR="00D7635C" w:rsidRPr="00BA23EC" w:rsidRDefault="008623C2" w:rsidP="001252BC">
            <w:pPr>
              <w:spacing w:before="0" w:after="120"/>
              <w:rPr>
                <w:rFonts w:cstheme="minorHAnsi"/>
                <w:sz w:val="21"/>
                <w:szCs w:val="21"/>
                <w:lang w:val="en-AU"/>
              </w:rPr>
            </w:pPr>
            <w:r>
              <w:rPr>
                <w:rFonts w:cstheme="minorHAnsi"/>
                <w:sz w:val="21"/>
                <w:szCs w:val="21"/>
                <w:lang w:val="en-AU"/>
              </w:rPr>
              <w:t>HOM/</w:t>
            </w:r>
            <w:r w:rsidR="00D7635C" w:rsidRPr="00BA23EC">
              <w:rPr>
                <w:rFonts w:cstheme="minorHAnsi"/>
                <w:sz w:val="21"/>
                <w:szCs w:val="21"/>
                <w:lang w:val="en-AU"/>
              </w:rPr>
              <w:t>DHOM Ministerial level engagement</w:t>
            </w:r>
          </w:p>
          <w:p w14:paraId="73B13954" w14:textId="77777777" w:rsidR="00D7635C" w:rsidRPr="00BA23EC" w:rsidRDefault="00D7635C" w:rsidP="001252BC">
            <w:pPr>
              <w:spacing w:before="0" w:after="120"/>
              <w:rPr>
                <w:rFonts w:cstheme="minorHAnsi"/>
                <w:sz w:val="21"/>
                <w:szCs w:val="21"/>
                <w:lang w:val="en-AU"/>
              </w:rPr>
            </w:pPr>
            <w:r w:rsidRPr="00BA23EC">
              <w:rPr>
                <w:rFonts w:cstheme="minorHAnsi"/>
                <w:sz w:val="21"/>
                <w:szCs w:val="21"/>
                <w:lang w:val="en-AU"/>
              </w:rPr>
              <w:t xml:space="preserve">Partnership Council meetings, Annual Performance Process, Joint Monitoring Visits, </w:t>
            </w:r>
          </w:p>
          <w:p w14:paraId="70F152FC" w14:textId="77777777" w:rsidR="00D7635C" w:rsidRPr="00BA23EC" w:rsidRDefault="00D7635C" w:rsidP="001252BC">
            <w:pPr>
              <w:spacing w:before="0" w:after="120"/>
              <w:rPr>
                <w:rFonts w:cstheme="minorHAnsi"/>
                <w:sz w:val="21"/>
                <w:szCs w:val="21"/>
                <w:lang w:val="en-AU"/>
              </w:rPr>
            </w:pPr>
            <w:r w:rsidRPr="00BA23EC">
              <w:rPr>
                <w:rFonts w:cstheme="minorHAnsi"/>
                <w:sz w:val="21"/>
                <w:szCs w:val="21"/>
                <w:lang w:val="en-AU"/>
              </w:rPr>
              <w:t>Partnership engagement with WB and MoH, and other health partners</w:t>
            </w:r>
          </w:p>
        </w:tc>
        <w:tc>
          <w:tcPr>
            <w:tcW w:w="1913" w:type="dxa"/>
          </w:tcPr>
          <w:p w14:paraId="750976F8" w14:textId="77777777" w:rsidR="00D7635C" w:rsidRPr="00BA23EC" w:rsidRDefault="00D7635C" w:rsidP="001252BC">
            <w:pPr>
              <w:spacing w:before="0" w:after="120"/>
              <w:rPr>
                <w:rFonts w:cstheme="minorHAnsi"/>
                <w:sz w:val="21"/>
                <w:szCs w:val="21"/>
                <w:lang w:val="en-AU"/>
              </w:rPr>
            </w:pPr>
            <w:r w:rsidRPr="00BA23EC">
              <w:rPr>
                <w:rFonts w:cstheme="minorHAnsi"/>
                <w:sz w:val="21"/>
                <w:szCs w:val="21"/>
                <w:lang w:val="en-AU"/>
              </w:rPr>
              <w:t>Minister for Health</w:t>
            </w:r>
          </w:p>
          <w:p w14:paraId="0725F7D1" w14:textId="77777777" w:rsidR="00D7635C" w:rsidRPr="00BA23EC" w:rsidRDefault="00D7635C" w:rsidP="001252BC">
            <w:pPr>
              <w:spacing w:before="0" w:after="120"/>
              <w:rPr>
                <w:rFonts w:cstheme="minorHAnsi"/>
                <w:sz w:val="21"/>
                <w:szCs w:val="21"/>
                <w:lang w:val="en-AU"/>
              </w:rPr>
            </w:pPr>
            <w:r w:rsidRPr="00BA23EC">
              <w:rPr>
                <w:rFonts w:cstheme="minorHAnsi"/>
                <w:sz w:val="21"/>
                <w:szCs w:val="21"/>
                <w:lang w:val="en-AU"/>
              </w:rPr>
              <w:t>Minister for Finance</w:t>
            </w:r>
          </w:p>
          <w:p w14:paraId="6F050C78" w14:textId="77777777" w:rsidR="00D7635C" w:rsidRPr="00BA23EC" w:rsidRDefault="00D7635C" w:rsidP="001252BC">
            <w:pPr>
              <w:spacing w:before="0" w:after="120"/>
              <w:rPr>
                <w:rFonts w:cstheme="minorHAnsi"/>
                <w:sz w:val="21"/>
                <w:szCs w:val="21"/>
                <w:lang w:val="en-AU"/>
              </w:rPr>
            </w:pPr>
            <w:r w:rsidRPr="00BA23EC">
              <w:rPr>
                <w:rFonts w:cstheme="minorHAnsi"/>
                <w:sz w:val="21"/>
                <w:szCs w:val="21"/>
                <w:lang w:val="en-AU"/>
              </w:rPr>
              <w:t>Secretary Generals and Director Generals of MoH, MDTF Secretariat and WB Health Task team, other contributing donors</w:t>
            </w:r>
          </w:p>
          <w:p w14:paraId="2FBC425E" w14:textId="77777777" w:rsidR="00D7635C" w:rsidRPr="00BA23EC" w:rsidRDefault="00D7635C" w:rsidP="001252BC">
            <w:pPr>
              <w:spacing w:before="0" w:after="120"/>
              <w:rPr>
                <w:rFonts w:cstheme="minorHAnsi"/>
                <w:sz w:val="21"/>
                <w:szCs w:val="21"/>
                <w:lang w:val="en-AU"/>
              </w:rPr>
            </w:pPr>
            <w:r w:rsidRPr="00BA23EC">
              <w:rPr>
                <w:rFonts w:cstheme="minorHAnsi"/>
                <w:sz w:val="21"/>
                <w:szCs w:val="21"/>
                <w:lang w:val="en-AU"/>
              </w:rPr>
              <w:t xml:space="preserve"> </w:t>
            </w:r>
          </w:p>
        </w:tc>
        <w:tc>
          <w:tcPr>
            <w:tcW w:w="1913" w:type="dxa"/>
          </w:tcPr>
          <w:p w14:paraId="644AE3D7" w14:textId="77777777" w:rsidR="00D7635C" w:rsidRPr="00BA23EC" w:rsidRDefault="00D7635C" w:rsidP="001252BC">
            <w:pPr>
              <w:spacing w:before="0" w:after="120"/>
              <w:rPr>
                <w:rFonts w:cstheme="minorHAnsi"/>
                <w:sz w:val="21"/>
                <w:szCs w:val="21"/>
                <w:lang w:val="en-AU"/>
              </w:rPr>
            </w:pPr>
            <w:r w:rsidRPr="00BA23EC">
              <w:rPr>
                <w:rFonts w:cstheme="minorHAnsi"/>
                <w:sz w:val="21"/>
                <w:szCs w:val="21"/>
                <w:lang w:val="en-AU"/>
              </w:rPr>
              <w:t xml:space="preserve">Analytics, technical and operational support, as agreed with Partnership Council. </w:t>
            </w:r>
          </w:p>
          <w:p w14:paraId="3B718022" w14:textId="440038C2" w:rsidR="00D7635C" w:rsidRDefault="00D7635C" w:rsidP="00FC310A">
            <w:pPr>
              <w:spacing w:before="0" w:after="120"/>
              <w:rPr>
                <w:rFonts w:cstheme="minorHAnsi"/>
                <w:sz w:val="21"/>
                <w:szCs w:val="21"/>
                <w:lang w:val="en-AU"/>
              </w:rPr>
            </w:pPr>
            <w:r w:rsidRPr="00BA23EC">
              <w:rPr>
                <w:rFonts w:cstheme="minorHAnsi"/>
                <w:sz w:val="21"/>
                <w:szCs w:val="21"/>
                <w:lang w:val="en-AU"/>
              </w:rPr>
              <w:t xml:space="preserve">Specialists </w:t>
            </w:r>
            <w:r w:rsidR="00937EA6">
              <w:rPr>
                <w:rFonts w:cstheme="minorHAnsi"/>
                <w:sz w:val="21"/>
                <w:szCs w:val="21"/>
                <w:lang w:val="en-AU"/>
              </w:rPr>
              <w:t>embedded in</w:t>
            </w:r>
            <w:r w:rsidRPr="00BA23EC">
              <w:rPr>
                <w:rFonts w:cstheme="minorHAnsi"/>
                <w:sz w:val="21"/>
                <w:szCs w:val="21"/>
                <w:lang w:val="en-AU"/>
              </w:rPr>
              <w:t xml:space="preserve"> MDTF secretariat.</w:t>
            </w:r>
          </w:p>
          <w:p w14:paraId="5E8D605F" w14:textId="3B577C7A" w:rsidR="00A57145" w:rsidRDefault="00A57145" w:rsidP="00FC310A">
            <w:pPr>
              <w:spacing w:before="0" w:after="120"/>
              <w:rPr>
                <w:rFonts w:cstheme="minorHAnsi"/>
                <w:sz w:val="21"/>
                <w:szCs w:val="21"/>
                <w:lang w:val="en-AU"/>
              </w:rPr>
            </w:pPr>
            <w:r>
              <w:rPr>
                <w:rFonts w:cstheme="minorHAnsi"/>
                <w:sz w:val="21"/>
                <w:szCs w:val="21"/>
                <w:lang w:val="en-AU"/>
              </w:rPr>
              <w:t>WB expertise.</w:t>
            </w:r>
          </w:p>
          <w:p w14:paraId="264F1642" w14:textId="578E41B1" w:rsidR="00A57145" w:rsidRDefault="00A57145" w:rsidP="001252BC">
            <w:pPr>
              <w:spacing w:before="0" w:after="120"/>
              <w:rPr>
                <w:rFonts w:cstheme="minorHAnsi"/>
                <w:sz w:val="21"/>
                <w:szCs w:val="21"/>
                <w:lang w:val="en-AU"/>
              </w:rPr>
            </w:pPr>
            <w:r>
              <w:rPr>
                <w:rFonts w:cstheme="minorHAnsi"/>
                <w:sz w:val="21"/>
                <w:szCs w:val="21"/>
                <w:lang w:val="en-AU"/>
              </w:rPr>
              <w:t xml:space="preserve">Jakarta Post M&amp;E </w:t>
            </w:r>
            <w:r w:rsidR="00F4274B">
              <w:rPr>
                <w:rFonts w:cstheme="minorHAnsi"/>
                <w:sz w:val="21"/>
                <w:szCs w:val="21"/>
                <w:lang w:val="en-AU"/>
              </w:rPr>
              <w:t>partner IOD-PARC</w:t>
            </w:r>
          </w:p>
          <w:p w14:paraId="2813AB30" w14:textId="16C6834D" w:rsidR="00E72414" w:rsidRPr="00BA23EC" w:rsidRDefault="00E72414" w:rsidP="001252BC">
            <w:pPr>
              <w:spacing w:before="0" w:after="120"/>
              <w:rPr>
                <w:rFonts w:cstheme="minorHAnsi"/>
                <w:sz w:val="21"/>
                <w:szCs w:val="21"/>
                <w:lang w:val="en-AU"/>
              </w:rPr>
            </w:pPr>
          </w:p>
        </w:tc>
        <w:tc>
          <w:tcPr>
            <w:tcW w:w="1913" w:type="dxa"/>
          </w:tcPr>
          <w:p w14:paraId="159B227D" w14:textId="77777777" w:rsidR="00D7635C" w:rsidRPr="00BA23EC" w:rsidRDefault="00D7635C" w:rsidP="001252BC">
            <w:pPr>
              <w:spacing w:before="0" w:after="120"/>
              <w:rPr>
                <w:rFonts w:cstheme="minorHAnsi"/>
                <w:sz w:val="21"/>
                <w:szCs w:val="21"/>
                <w:lang w:val="en-AU"/>
              </w:rPr>
            </w:pPr>
            <w:r w:rsidRPr="00BA23EC">
              <w:rPr>
                <w:rFonts w:cstheme="minorHAnsi"/>
                <w:sz w:val="21"/>
                <w:szCs w:val="21"/>
                <w:lang w:val="en-AU"/>
              </w:rPr>
              <w:t>DHOM (as Australia’s representative on the Partnership Council) backed by Minister Counsellor GHD and Counsellor HD.</w:t>
            </w:r>
          </w:p>
          <w:p w14:paraId="7B86C4E9" w14:textId="77777777" w:rsidR="00D7635C" w:rsidRPr="00BA23EC" w:rsidRDefault="00D7635C" w:rsidP="001252BC">
            <w:pPr>
              <w:spacing w:before="0" w:after="120"/>
              <w:rPr>
                <w:rFonts w:cstheme="minorHAnsi"/>
                <w:sz w:val="21"/>
                <w:szCs w:val="21"/>
                <w:lang w:val="en-AU"/>
              </w:rPr>
            </w:pPr>
          </w:p>
          <w:p w14:paraId="7C3D24FD" w14:textId="77777777" w:rsidR="00D7635C" w:rsidRPr="00BA23EC" w:rsidRDefault="00D7635C" w:rsidP="001252BC">
            <w:pPr>
              <w:spacing w:before="0" w:after="120"/>
              <w:rPr>
                <w:rFonts w:cstheme="minorHAnsi"/>
                <w:sz w:val="21"/>
                <w:szCs w:val="21"/>
                <w:lang w:val="en-AU"/>
              </w:rPr>
            </w:pPr>
          </w:p>
        </w:tc>
        <w:tc>
          <w:tcPr>
            <w:tcW w:w="1913" w:type="dxa"/>
          </w:tcPr>
          <w:p w14:paraId="4E40AF6E" w14:textId="77777777" w:rsidR="00D83EFA" w:rsidRDefault="00D7635C" w:rsidP="00FC310A">
            <w:pPr>
              <w:spacing w:before="0" w:after="120"/>
              <w:rPr>
                <w:rFonts w:cstheme="minorHAnsi"/>
                <w:sz w:val="21"/>
                <w:szCs w:val="21"/>
                <w:lang w:val="en-AU"/>
              </w:rPr>
            </w:pPr>
            <w:r w:rsidRPr="00BA23EC">
              <w:rPr>
                <w:rFonts w:cstheme="minorHAnsi"/>
                <w:sz w:val="21"/>
                <w:szCs w:val="21"/>
                <w:lang w:val="en-AU"/>
              </w:rPr>
              <w:t xml:space="preserve">Secretary General </w:t>
            </w:r>
            <w:r w:rsidR="00D83EFA">
              <w:rPr>
                <w:rFonts w:cstheme="minorHAnsi"/>
                <w:sz w:val="21"/>
                <w:szCs w:val="21"/>
                <w:lang w:val="en-AU"/>
              </w:rPr>
              <w:t>MoH</w:t>
            </w:r>
          </w:p>
          <w:p w14:paraId="50C0F1F9" w14:textId="58A7E216" w:rsidR="00D7635C" w:rsidRPr="00BA23EC" w:rsidRDefault="00D7635C" w:rsidP="001252BC">
            <w:pPr>
              <w:spacing w:before="0" w:after="120"/>
              <w:rPr>
                <w:rFonts w:cstheme="minorHAnsi"/>
                <w:sz w:val="21"/>
                <w:szCs w:val="21"/>
                <w:lang w:val="en-AU"/>
              </w:rPr>
            </w:pPr>
            <w:r w:rsidRPr="00BA23EC">
              <w:rPr>
                <w:rFonts w:cstheme="minorHAnsi"/>
                <w:sz w:val="21"/>
                <w:szCs w:val="21"/>
                <w:lang w:val="en-AU"/>
              </w:rPr>
              <w:t>W</w:t>
            </w:r>
            <w:r w:rsidR="00D44F43">
              <w:rPr>
                <w:rFonts w:cstheme="minorHAnsi"/>
                <w:sz w:val="21"/>
                <w:szCs w:val="21"/>
                <w:lang w:val="en-AU"/>
              </w:rPr>
              <w:t xml:space="preserve">orld </w:t>
            </w:r>
            <w:r w:rsidRPr="00BA23EC">
              <w:rPr>
                <w:rFonts w:cstheme="minorHAnsi"/>
                <w:sz w:val="21"/>
                <w:szCs w:val="21"/>
                <w:lang w:val="en-AU"/>
              </w:rPr>
              <w:t>B</w:t>
            </w:r>
            <w:r w:rsidR="00D44F43">
              <w:rPr>
                <w:rFonts w:cstheme="minorHAnsi"/>
                <w:sz w:val="21"/>
                <w:szCs w:val="21"/>
                <w:lang w:val="en-AU"/>
              </w:rPr>
              <w:t>ank</w:t>
            </w:r>
            <w:r w:rsidRPr="00BA23EC">
              <w:rPr>
                <w:rFonts w:cstheme="minorHAnsi"/>
                <w:sz w:val="21"/>
                <w:szCs w:val="21"/>
                <w:lang w:val="en-AU"/>
              </w:rPr>
              <w:t xml:space="preserve"> Program Manager/Task team leader </w:t>
            </w:r>
          </w:p>
        </w:tc>
      </w:tr>
    </w:tbl>
    <w:p w14:paraId="072B8AAC" w14:textId="2D4ECAD8" w:rsidR="00C870AF" w:rsidRDefault="00C870AF">
      <w:pPr>
        <w:rPr>
          <w:rFonts w:cstheme="minorHAnsi"/>
          <w:lang w:val="en-AU"/>
        </w:rPr>
      </w:pPr>
    </w:p>
    <w:p w14:paraId="42C89C8E" w14:textId="134E338D" w:rsidR="00FC310A" w:rsidRDefault="00FC310A">
      <w:pPr>
        <w:rPr>
          <w:rFonts w:cstheme="minorHAnsi"/>
          <w:lang w:val="en-AU"/>
        </w:rPr>
      </w:pPr>
    </w:p>
    <w:p w14:paraId="277020DD" w14:textId="7DB91900" w:rsidR="00A913E0" w:rsidRPr="00BA23EC" w:rsidRDefault="00A913E0" w:rsidP="00271FB6">
      <w:pPr>
        <w:pStyle w:val="Heading3"/>
      </w:pPr>
      <w:r w:rsidRPr="00BA23EC">
        <w:lastRenderedPageBreak/>
        <w:t>Annex 3 cont’d</w:t>
      </w:r>
      <w:r w:rsidR="00006376" w:rsidRPr="00BA23EC">
        <w:t xml:space="preserve"> </w:t>
      </w:r>
      <w:r w:rsidRPr="00BA23EC">
        <w:t>– Partner and Policy Dialogue Matrix</w:t>
      </w:r>
    </w:p>
    <w:tbl>
      <w:tblPr>
        <w:tblStyle w:val="TableGrid1"/>
        <w:tblW w:w="16018" w:type="dxa"/>
        <w:tblInd w:w="-147" w:type="dxa"/>
        <w:tblLook w:val="04A0" w:firstRow="1" w:lastRow="0" w:firstColumn="1" w:lastColumn="0" w:noHBand="0" w:noVBand="1"/>
      </w:tblPr>
      <w:tblGrid>
        <w:gridCol w:w="1985"/>
        <w:gridCol w:w="1985"/>
        <w:gridCol w:w="1842"/>
        <w:gridCol w:w="2268"/>
        <w:gridCol w:w="2127"/>
        <w:gridCol w:w="2126"/>
        <w:gridCol w:w="1843"/>
        <w:gridCol w:w="1842"/>
      </w:tblGrid>
      <w:tr w:rsidR="00783967" w:rsidRPr="00BA23EC" w14:paraId="5D56D032" w14:textId="77777777" w:rsidTr="001252BC">
        <w:tc>
          <w:tcPr>
            <w:tcW w:w="1985" w:type="dxa"/>
          </w:tcPr>
          <w:p w14:paraId="295F2034" w14:textId="167B237E" w:rsidR="00C870AF" w:rsidRPr="00BA23EC" w:rsidRDefault="00C870AF" w:rsidP="00C870AF">
            <w:pPr>
              <w:rPr>
                <w:rFonts w:cstheme="minorHAnsi"/>
                <w:sz w:val="21"/>
                <w:szCs w:val="21"/>
                <w:lang w:val="en-AU"/>
              </w:rPr>
            </w:pPr>
            <w:r w:rsidRPr="00BA23EC">
              <w:rPr>
                <w:rFonts w:cstheme="minorHAnsi"/>
                <w:b/>
                <w:bCs/>
                <w:color w:val="auto"/>
                <w:sz w:val="20"/>
                <w:szCs w:val="20"/>
                <w:lang w:val="en-AU"/>
              </w:rPr>
              <w:t>Related End-of-Investment Outcome</w:t>
            </w:r>
          </w:p>
        </w:tc>
        <w:tc>
          <w:tcPr>
            <w:tcW w:w="1985" w:type="dxa"/>
          </w:tcPr>
          <w:p w14:paraId="41632808" w14:textId="0D0D5F22" w:rsidR="00C870AF" w:rsidRPr="00BA23EC" w:rsidRDefault="00C870AF" w:rsidP="00C870AF">
            <w:pPr>
              <w:rPr>
                <w:rFonts w:cstheme="minorHAnsi"/>
                <w:sz w:val="21"/>
                <w:szCs w:val="21"/>
                <w:lang w:val="en-AU"/>
              </w:rPr>
            </w:pPr>
            <w:r w:rsidRPr="00BA23EC">
              <w:rPr>
                <w:rFonts w:cstheme="minorHAnsi"/>
                <w:b/>
                <w:bCs/>
                <w:color w:val="auto"/>
                <w:sz w:val="20"/>
                <w:szCs w:val="20"/>
                <w:lang w:val="en-AU"/>
              </w:rPr>
              <w:t>Problem/ Issue</w:t>
            </w:r>
          </w:p>
        </w:tc>
        <w:tc>
          <w:tcPr>
            <w:tcW w:w="1842" w:type="dxa"/>
          </w:tcPr>
          <w:p w14:paraId="14039D24" w14:textId="55076455" w:rsidR="00C870AF" w:rsidRPr="00BA23EC" w:rsidRDefault="00C870AF" w:rsidP="00C870AF">
            <w:pPr>
              <w:rPr>
                <w:rFonts w:cstheme="minorHAnsi"/>
                <w:sz w:val="21"/>
                <w:szCs w:val="21"/>
                <w:lang w:val="en-AU"/>
              </w:rPr>
            </w:pPr>
            <w:r w:rsidRPr="00BA23EC">
              <w:rPr>
                <w:rFonts w:cstheme="minorHAnsi"/>
                <w:b/>
                <w:bCs/>
                <w:color w:val="auto"/>
                <w:sz w:val="20"/>
                <w:szCs w:val="20"/>
                <w:lang w:val="en-AU"/>
              </w:rPr>
              <w:t>Policy outcome sought</w:t>
            </w:r>
          </w:p>
        </w:tc>
        <w:tc>
          <w:tcPr>
            <w:tcW w:w="2268" w:type="dxa"/>
          </w:tcPr>
          <w:p w14:paraId="69B02692" w14:textId="17A0E793" w:rsidR="00C870AF" w:rsidRPr="00BA23EC" w:rsidRDefault="00C870AF" w:rsidP="00C870AF">
            <w:pPr>
              <w:rPr>
                <w:rFonts w:cstheme="minorHAnsi"/>
                <w:sz w:val="21"/>
                <w:szCs w:val="21"/>
                <w:lang w:val="en-AU"/>
              </w:rPr>
            </w:pPr>
            <w:r w:rsidRPr="00BA23EC">
              <w:rPr>
                <w:rFonts w:cstheme="minorHAnsi"/>
                <w:b/>
                <w:bCs/>
                <w:color w:val="auto"/>
                <w:sz w:val="20"/>
                <w:szCs w:val="20"/>
                <w:lang w:val="en-AU"/>
              </w:rPr>
              <w:t>Program entry points for policy dialogue</w:t>
            </w:r>
          </w:p>
        </w:tc>
        <w:tc>
          <w:tcPr>
            <w:tcW w:w="2127" w:type="dxa"/>
          </w:tcPr>
          <w:p w14:paraId="25C4AD98" w14:textId="12E0ABF3" w:rsidR="00C870AF" w:rsidRPr="00BA23EC" w:rsidRDefault="00C870AF" w:rsidP="00C870AF">
            <w:pPr>
              <w:rPr>
                <w:rFonts w:cstheme="minorHAnsi"/>
                <w:sz w:val="21"/>
                <w:szCs w:val="21"/>
                <w:lang w:val="en-AU"/>
              </w:rPr>
            </w:pPr>
            <w:r w:rsidRPr="00BA23EC">
              <w:rPr>
                <w:rFonts w:cstheme="minorHAnsi"/>
                <w:b/>
                <w:bCs/>
                <w:color w:val="auto"/>
                <w:sz w:val="20"/>
                <w:szCs w:val="20"/>
                <w:lang w:val="en-AU"/>
              </w:rPr>
              <w:t>Influential stakeholders</w:t>
            </w:r>
          </w:p>
        </w:tc>
        <w:tc>
          <w:tcPr>
            <w:tcW w:w="2126" w:type="dxa"/>
          </w:tcPr>
          <w:p w14:paraId="0544720B" w14:textId="50314FEF" w:rsidR="00C870AF" w:rsidRPr="00BA23EC" w:rsidRDefault="00C870AF" w:rsidP="00C870AF">
            <w:pPr>
              <w:rPr>
                <w:rFonts w:cstheme="minorHAnsi"/>
                <w:sz w:val="21"/>
                <w:szCs w:val="21"/>
                <w:lang w:val="en-AU"/>
              </w:rPr>
            </w:pPr>
            <w:r w:rsidRPr="00BA23EC">
              <w:rPr>
                <w:rFonts w:cstheme="minorHAnsi"/>
                <w:b/>
                <w:bCs/>
                <w:color w:val="auto"/>
                <w:sz w:val="20"/>
                <w:szCs w:val="20"/>
                <w:lang w:val="en-AU"/>
              </w:rPr>
              <w:t>Resources required</w:t>
            </w:r>
          </w:p>
        </w:tc>
        <w:tc>
          <w:tcPr>
            <w:tcW w:w="1843" w:type="dxa"/>
          </w:tcPr>
          <w:p w14:paraId="2DD7D0F6" w14:textId="0ED468AE" w:rsidR="00C870AF" w:rsidRPr="00BA23EC" w:rsidRDefault="00C870AF" w:rsidP="00C870AF">
            <w:pPr>
              <w:rPr>
                <w:rFonts w:cstheme="minorHAnsi"/>
                <w:sz w:val="21"/>
                <w:szCs w:val="21"/>
                <w:lang w:val="en-AU"/>
              </w:rPr>
            </w:pPr>
            <w:r w:rsidRPr="00BA23EC">
              <w:rPr>
                <w:rFonts w:cstheme="minorHAnsi"/>
                <w:b/>
                <w:bCs/>
                <w:color w:val="auto"/>
                <w:sz w:val="20"/>
                <w:szCs w:val="20"/>
                <w:lang w:val="en-AU"/>
              </w:rPr>
              <w:t>Policy dialogue lead within AHC</w:t>
            </w:r>
          </w:p>
        </w:tc>
        <w:tc>
          <w:tcPr>
            <w:tcW w:w="1842" w:type="dxa"/>
          </w:tcPr>
          <w:p w14:paraId="4B78335A" w14:textId="05C0A16C" w:rsidR="00C870AF" w:rsidRPr="00BA23EC" w:rsidRDefault="00C870AF" w:rsidP="00C870AF">
            <w:pPr>
              <w:rPr>
                <w:rFonts w:cstheme="minorHAnsi"/>
                <w:sz w:val="21"/>
                <w:szCs w:val="21"/>
                <w:lang w:val="en-AU"/>
              </w:rPr>
            </w:pPr>
            <w:r w:rsidRPr="00BA23EC">
              <w:rPr>
                <w:rFonts w:cstheme="minorHAnsi"/>
                <w:b/>
                <w:bCs/>
                <w:color w:val="auto"/>
                <w:sz w:val="20"/>
                <w:szCs w:val="20"/>
                <w:lang w:val="en-AU"/>
              </w:rPr>
              <w:t>Partnership engagement lead within MC/implementing partner</w:t>
            </w:r>
          </w:p>
        </w:tc>
      </w:tr>
      <w:tr w:rsidR="00783967" w:rsidRPr="00BA23EC" w14:paraId="05AFF19E" w14:textId="77777777" w:rsidTr="001252BC">
        <w:tc>
          <w:tcPr>
            <w:tcW w:w="1985" w:type="dxa"/>
          </w:tcPr>
          <w:p w14:paraId="190E583B" w14:textId="0C0C80F2" w:rsidR="00D7635C" w:rsidRPr="00BA23EC" w:rsidRDefault="00FC310A">
            <w:pPr>
              <w:rPr>
                <w:rFonts w:cstheme="minorHAnsi"/>
                <w:sz w:val="21"/>
                <w:szCs w:val="21"/>
                <w:lang w:val="en-AU"/>
              </w:rPr>
            </w:pPr>
            <w:r>
              <w:rPr>
                <w:rFonts w:cstheme="minorHAnsi"/>
                <w:sz w:val="21"/>
                <w:szCs w:val="21"/>
                <w:lang w:val="en-AU"/>
              </w:rPr>
              <w:t>E</w:t>
            </w:r>
            <w:r w:rsidRPr="00FC310A">
              <w:rPr>
                <w:rFonts w:cstheme="minorHAnsi"/>
                <w:sz w:val="21"/>
                <w:szCs w:val="21"/>
                <w:lang w:val="en-AU"/>
              </w:rPr>
              <w:t>OPO2: Health sector reforms are informed by HT-MDTF-supported analytics and technical assistance that pay particular attention to addressing inequalities for women and girls, people with disabilities, and climate resilience.</w:t>
            </w:r>
          </w:p>
        </w:tc>
        <w:tc>
          <w:tcPr>
            <w:tcW w:w="1985" w:type="dxa"/>
          </w:tcPr>
          <w:p w14:paraId="53114A0F" w14:textId="61F13DD6" w:rsidR="007A66EB" w:rsidRDefault="006F451A" w:rsidP="006F451A">
            <w:pPr>
              <w:rPr>
                <w:rFonts w:cstheme="minorHAnsi"/>
                <w:sz w:val="21"/>
                <w:szCs w:val="21"/>
                <w:lang w:val="en-AU"/>
              </w:rPr>
            </w:pPr>
            <w:r>
              <w:rPr>
                <w:rFonts w:cstheme="minorHAnsi"/>
                <w:sz w:val="21"/>
                <w:szCs w:val="21"/>
                <w:lang w:val="en-AU"/>
              </w:rPr>
              <w:t xml:space="preserve">Gender equality, disability inclusion and climate </w:t>
            </w:r>
            <w:r w:rsidR="007A66EB">
              <w:rPr>
                <w:rFonts w:cstheme="minorHAnsi"/>
                <w:sz w:val="21"/>
                <w:szCs w:val="21"/>
                <w:lang w:val="en-AU"/>
              </w:rPr>
              <w:t>resilience</w:t>
            </w:r>
            <w:r>
              <w:rPr>
                <w:rFonts w:cstheme="minorHAnsi"/>
                <w:sz w:val="21"/>
                <w:szCs w:val="21"/>
                <w:lang w:val="en-AU"/>
              </w:rPr>
              <w:t xml:space="preserve"> </w:t>
            </w:r>
            <w:r w:rsidR="007A66EB">
              <w:rPr>
                <w:rFonts w:cstheme="minorHAnsi"/>
                <w:sz w:val="21"/>
                <w:szCs w:val="21"/>
                <w:lang w:val="en-AU"/>
              </w:rPr>
              <w:t xml:space="preserve">expertise </w:t>
            </w:r>
            <w:r>
              <w:rPr>
                <w:rFonts w:cstheme="minorHAnsi"/>
                <w:sz w:val="21"/>
                <w:szCs w:val="21"/>
                <w:lang w:val="en-AU"/>
              </w:rPr>
              <w:t xml:space="preserve">insufficiently embedded </w:t>
            </w:r>
            <w:r w:rsidR="007A66EB">
              <w:rPr>
                <w:rFonts w:cstheme="minorHAnsi"/>
                <w:sz w:val="21"/>
                <w:szCs w:val="21"/>
                <w:lang w:val="en-AU"/>
              </w:rPr>
              <w:t xml:space="preserve">throughout the implementation of the HT-MDTF. </w:t>
            </w:r>
          </w:p>
          <w:p w14:paraId="565B8335" w14:textId="6C33C4DB" w:rsidR="00D7635C" w:rsidRPr="00BA23EC" w:rsidRDefault="00D7635C" w:rsidP="007A66EB">
            <w:pPr>
              <w:rPr>
                <w:rFonts w:cstheme="minorHAnsi"/>
                <w:sz w:val="21"/>
                <w:szCs w:val="21"/>
                <w:lang w:val="en-AU"/>
              </w:rPr>
            </w:pPr>
          </w:p>
        </w:tc>
        <w:tc>
          <w:tcPr>
            <w:tcW w:w="1842" w:type="dxa"/>
          </w:tcPr>
          <w:p w14:paraId="537897A6" w14:textId="77777777" w:rsidR="00DB4FF1" w:rsidRDefault="008454FD">
            <w:pPr>
              <w:rPr>
                <w:rFonts w:cstheme="minorHAnsi"/>
                <w:sz w:val="21"/>
                <w:szCs w:val="21"/>
                <w:lang w:val="en-AU"/>
              </w:rPr>
            </w:pPr>
            <w:r>
              <w:rPr>
                <w:rFonts w:cstheme="minorHAnsi"/>
                <w:sz w:val="21"/>
                <w:szCs w:val="21"/>
                <w:lang w:val="en-AU"/>
              </w:rPr>
              <w:t xml:space="preserve">Health reforms deliver </w:t>
            </w:r>
            <w:r w:rsidR="00675CAF">
              <w:rPr>
                <w:rFonts w:cstheme="minorHAnsi"/>
                <w:sz w:val="21"/>
                <w:szCs w:val="21"/>
                <w:lang w:val="en-AU"/>
              </w:rPr>
              <w:t>improv</w:t>
            </w:r>
            <w:r w:rsidR="00DB4FF1">
              <w:rPr>
                <w:rFonts w:cstheme="minorHAnsi"/>
                <w:sz w:val="21"/>
                <w:szCs w:val="21"/>
                <w:lang w:val="en-AU"/>
              </w:rPr>
              <w:t xml:space="preserve">ed access and outcomes for women and girls and people with disabilities, particularly in remote regions. </w:t>
            </w:r>
          </w:p>
          <w:p w14:paraId="0FC575CD" w14:textId="3AD006D1" w:rsidR="00D7635C" w:rsidRDefault="00B1105A">
            <w:pPr>
              <w:rPr>
                <w:rFonts w:cstheme="minorHAnsi"/>
                <w:sz w:val="21"/>
                <w:szCs w:val="21"/>
                <w:lang w:val="en-AU"/>
              </w:rPr>
            </w:pPr>
            <w:r>
              <w:rPr>
                <w:rFonts w:cstheme="minorHAnsi"/>
                <w:sz w:val="21"/>
                <w:szCs w:val="21"/>
                <w:lang w:val="en-AU"/>
              </w:rPr>
              <w:t xml:space="preserve">Indonesia’s health sector is increasingly climate resilient. </w:t>
            </w:r>
          </w:p>
          <w:p w14:paraId="36D94B66" w14:textId="06C9EA71" w:rsidR="00D7635C" w:rsidRPr="00BA23EC" w:rsidRDefault="00D7635C" w:rsidP="00FD6956">
            <w:pPr>
              <w:rPr>
                <w:rFonts w:cstheme="minorHAnsi"/>
                <w:sz w:val="21"/>
                <w:szCs w:val="21"/>
                <w:lang w:val="en-AU"/>
              </w:rPr>
            </w:pPr>
          </w:p>
        </w:tc>
        <w:tc>
          <w:tcPr>
            <w:tcW w:w="2268" w:type="dxa"/>
          </w:tcPr>
          <w:p w14:paraId="5C845F3A" w14:textId="77777777" w:rsidR="008623C2" w:rsidRPr="00BA23EC" w:rsidRDefault="008623C2" w:rsidP="008623C2">
            <w:pPr>
              <w:spacing w:before="0" w:after="120"/>
              <w:rPr>
                <w:rFonts w:cstheme="minorHAnsi"/>
                <w:sz w:val="21"/>
                <w:szCs w:val="21"/>
                <w:lang w:val="en-AU"/>
              </w:rPr>
            </w:pPr>
            <w:r w:rsidRPr="00BA23EC">
              <w:rPr>
                <w:rFonts w:cstheme="minorHAnsi"/>
                <w:sz w:val="21"/>
                <w:szCs w:val="21"/>
                <w:lang w:val="en-AU"/>
              </w:rPr>
              <w:t xml:space="preserve">MoH to engage with policy dialogue with the </w:t>
            </w:r>
            <w:r>
              <w:rPr>
                <w:rFonts w:cstheme="minorHAnsi"/>
                <w:sz w:val="21"/>
                <w:szCs w:val="21"/>
                <w:lang w:val="en-AU"/>
              </w:rPr>
              <w:t>O</w:t>
            </w:r>
            <w:r w:rsidRPr="00BA23EC">
              <w:rPr>
                <w:rFonts w:cstheme="minorHAnsi"/>
                <w:sz w:val="21"/>
                <w:szCs w:val="21"/>
                <w:lang w:val="en-AU"/>
              </w:rPr>
              <w:t>ffice of the President and MoF.</w:t>
            </w:r>
          </w:p>
          <w:p w14:paraId="5D462117" w14:textId="77777777" w:rsidR="008623C2" w:rsidRPr="00BA23EC" w:rsidRDefault="008623C2" w:rsidP="008623C2">
            <w:pPr>
              <w:spacing w:before="0" w:after="120"/>
              <w:rPr>
                <w:rFonts w:cstheme="minorHAnsi"/>
                <w:sz w:val="21"/>
                <w:szCs w:val="21"/>
                <w:lang w:val="en-AU"/>
              </w:rPr>
            </w:pPr>
            <w:r>
              <w:rPr>
                <w:rFonts w:cstheme="minorHAnsi"/>
                <w:sz w:val="21"/>
                <w:szCs w:val="21"/>
                <w:lang w:val="en-AU"/>
              </w:rPr>
              <w:t>HOM/</w:t>
            </w:r>
            <w:r w:rsidRPr="00BA23EC">
              <w:rPr>
                <w:rFonts w:cstheme="minorHAnsi"/>
                <w:sz w:val="21"/>
                <w:szCs w:val="21"/>
                <w:lang w:val="en-AU"/>
              </w:rPr>
              <w:t>DHOM Ministerial level engagement</w:t>
            </w:r>
          </w:p>
          <w:p w14:paraId="66705435" w14:textId="77777777" w:rsidR="008623C2" w:rsidRPr="00BA23EC" w:rsidRDefault="008623C2" w:rsidP="008623C2">
            <w:pPr>
              <w:spacing w:before="0" w:after="120"/>
              <w:rPr>
                <w:rFonts w:cstheme="minorHAnsi"/>
                <w:sz w:val="21"/>
                <w:szCs w:val="21"/>
                <w:lang w:val="en-AU"/>
              </w:rPr>
            </w:pPr>
            <w:r w:rsidRPr="00BA23EC">
              <w:rPr>
                <w:rFonts w:cstheme="minorHAnsi"/>
                <w:sz w:val="21"/>
                <w:szCs w:val="21"/>
                <w:lang w:val="en-AU"/>
              </w:rPr>
              <w:t xml:space="preserve">Partnership Council meetings, Annual Performance Process, Joint Monitoring Visits, </w:t>
            </w:r>
          </w:p>
          <w:p w14:paraId="1080219F" w14:textId="34F7DC90" w:rsidR="00D7635C" w:rsidRPr="00BA23EC" w:rsidRDefault="008623C2" w:rsidP="00D24F7C">
            <w:pPr>
              <w:rPr>
                <w:rFonts w:cstheme="minorHAnsi"/>
                <w:sz w:val="21"/>
                <w:szCs w:val="21"/>
                <w:lang w:val="en-AU"/>
              </w:rPr>
            </w:pPr>
            <w:r w:rsidRPr="00BA23EC">
              <w:rPr>
                <w:rFonts w:cstheme="minorHAnsi"/>
                <w:sz w:val="21"/>
                <w:szCs w:val="21"/>
                <w:lang w:val="en-AU"/>
              </w:rPr>
              <w:t>Partnership engagement with WB and MoH, and other health partners</w:t>
            </w:r>
          </w:p>
        </w:tc>
        <w:tc>
          <w:tcPr>
            <w:tcW w:w="2127" w:type="dxa"/>
          </w:tcPr>
          <w:p w14:paraId="76466857" w14:textId="77777777" w:rsidR="008623C2" w:rsidRPr="00BA23EC" w:rsidRDefault="008623C2" w:rsidP="008623C2">
            <w:pPr>
              <w:spacing w:before="0" w:after="120"/>
              <w:rPr>
                <w:rFonts w:cstheme="minorHAnsi"/>
                <w:sz w:val="21"/>
                <w:szCs w:val="21"/>
                <w:lang w:val="en-AU"/>
              </w:rPr>
            </w:pPr>
            <w:r w:rsidRPr="00BA23EC">
              <w:rPr>
                <w:rFonts w:cstheme="minorHAnsi"/>
                <w:sz w:val="21"/>
                <w:szCs w:val="21"/>
                <w:lang w:val="en-AU"/>
              </w:rPr>
              <w:t>Minister for Health</w:t>
            </w:r>
          </w:p>
          <w:p w14:paraId="061DD3FC" w14:textId="77777777" w:rsidR="008623C2" w:rsidRPr="00BA23EC" w:rsidRDefault="008623C2" w:rsidP="008623C2">
            <w:pPr>
              <w:spacing w:before="0" w:after="120"/>
              <w:rPr>
                <w:rFonts w:cstheme="minorHAnsi"/>
                <w:sz w:val="21"/>
                <w:szCs w:val="21"/>
                <w:lang w:val="en-AU"/>
              </w:rPr>
            </w:pPr>
            <w:r w:rsidRPr="00BA23EC">
              <w:rPr>
                <w:rFonts w:cstheme="minorHAnsi"/>
                <w:sz w:val="21"/>
                <w:szCs w:val="21"/>
                <w:lang w:val="en-AU"/>
              </w:rPr>
              <w:t>Minister for Finance</w:t>
            </w:r>
          </w:p>
          <w:p w14:paraId="43D403C8" w14:textId="64585DB7" w:rsidR="008623C2" w:rsidRPr="00BA23EC" w:rsidRDefault="008623C2" w:rsidP="008623C2">
            <w:pPr>
              <w:rPr>
                <w:rFonts w:cstheme="minorHAnsi"/>
                <w:sz w:val="21"/>
                <w:szCs w:val="21"/>
                <w:lang w:val="en-AU"/>
              </w:rPr>
            </w:pPr>
            <w:r w:rsidRPr="00BA23EC">
              <w:rPr>
                <w:rFonts w:cstheme="minorHAnsi"/>
                <w:sz w:val="21"/>
                <w:szCs w:val="21"/>
                <w:lang w:val="en-AU"/>
              </w:rPr>
              <w:t>Secretary Generals, Director Generals of MoH, MDTF Secretariat and WB Health Task team, other contributing donors</w:t>
            </w:r>
          </w:p>
          <w:p w14:paraId="0B948B6E" w14:textId="3059BECD" w:rsidR="00D7635C" w:rsidRPr="00BA23EC" w:rsidRDefault="00D7635C">
            <w:pPr>
              <w:rPr>
                <w:rFonts w:cstheme="minorHAnsi"/>
                <w:sz w:val="21"/>
                <w:szCs w:val="21"/>
                <w:lang w:val="en-AU"/>
              </w:rPr>
            </w:pPr>
          </w:p>
        </w:tc>
        <w:tc>
          <w:tcPr>
            <w:tcW w:w="2126" w:type="dxa"/>
          </w:tcPr>
          <w:p w14:paraId="5B798DBD" w14:textId="7DF982BB" w:rsidR="00D7635C" w:rsidRDefault="003D5E94">
            <w:pPr>
              <w:rPr>
                <w:rFonts w:cstheme="minorHAnsi"/>
                <w:sz w:val="21"/>
                <w:szCs w:val="21"/>
                <w:lang w:val="en-AU"/>
              </w:rPr>
            </w:pPr>
            <w:r>
              <w:rPr>
                <w:rFonts w:cstheme="minorHAnsi"/>
                <w:sz w:val="21"/>
                <w:szCs w:val="21"/>
                <w:lang w:val="en-AU"/>
              </w:rPr>
              <w:t>Specialist gender, disability inclusion and climate a</w:t>
            </w:r>
            <w:r w:rsidR="00D7635C" w:rsidRPr="00BA23EC">
              <w:rPr>
                <w:rFonts w:cstheme="minorHAnsi"/>
                <w:sz w:val="21"/>
                <w:szCs w:val="21"/>
                <w:lang w:val="en-AU"/>
              </w:rPr>
              <w:t>nalytics, technical and operational support, as agreed with Partnership Council.</w:t>
            </w:r>
          </w:p>
          <w:p w14:paraId="6A58585C" w14:textId="5BFF59AE" w:rsidR="00A57145" w:rsidRDefault="00A57145">
            <w:pPr>
              <w:rPr>
                <w:rFonts w:cstheme="minorHAnsi"/>
                <w:sz w:val="21"/>
                <w:szCs w:val="21"/>
                <w:lang w:val="en-AU"/>
              </w:rPr>
            </w:pPr>
            <w:r w:rsidRPr="00BA23EC">
              <w:rPr>
                <w:rFonts w:cstheme="minorHAnsi"/>
                <w:sz w:val="21"/>
                <w:szCs w:val="21"/>
                <w:lang w:val="en-AU"/>
              </w:rPr>
              <w:t xml:space="preserve">Specialists </w:t>
            </w:r>
            <w:r>
              <w:rPr>
                <w:rFonts w:cstheme="minorHAnsi"/>
                <w:sz w:val="21"/>
                <w:szCs w:val="21"/>
                <w:lang w:val="en-AU"/>
              </w:rPr>
              <w:t>embedded in</w:t>
            </w:r>
            <w:r w:rsidRPr="00BA23EC">
              <w:rPr>
                <w:rFonts w:cstheme="minorHAnsi"/>
                <w:sz w:val="21"/>
                <w:szCs w:val="21"/>
                <w:lang w:val="en-AU"/>
              </w:rPr>
              <w:t xml:space="preserve"> MDTF secretariat</w:t>
            </w:r>
            <w:r>
              <w:rPr>
                <w:rFonts w:cstheme="minorHAnsi"/>
                <w:sz w:val="21"/>
                <w:szCs w:val="21"/>
                <w:lang w:val="en-AU"/>
              </w:rPr>
              <w:t>.</w:t>
            </w:r>
          </w:p>
          <w:p w14:paraId="6E2046C5" w14:textId="1B05D222" w:rsidR="00A57145" w:rsidRDefault="00A57145">
            <w:pPr>
              <w:rPr>
                <w:rFonts w:cstheme="minorHAnsi"/>
                <w:sz w:val="21"/>
                <w:szCs w:val="21"/>
                <w:lang w:val="en-AU"/>
              </w:rPr>
            </w:pPr>
            <w:r>
              <w:rPr>
                <w:rFonts w:cstheme="minorHAnsi"/>
                <w:sz w:val="21"/>
                <w:szCs w:val="21"/>
                <w:lang w:val="en-AU"/>
              </w:rPr>
              <w:t>WB expertise.</w:t>
            </w:r>
          </w:p>
          <w:p w14:paraId="5CB5BF5E" w14:textId="78426E0A" w:rsidR="00A57145" w:rsidRPr="00BA23EC" w:rsidRDefault="00A57145">
            <w:pPr>
              <w:rPr>
                <w:rFonts w:cstheme="minorHAnsi"/>
                <w:sz w:val="21"/>
                <w:szCs w:val="21"/>
                <w:lang w:val="en-AU"/>
              </w:rPr>
            </w:pPr>
            <w:r>
              <w:rPr>
                <w:rFonts w:cstheme="minorHAnsi"/>
                <w:sz w:val="21"/>
                <w:szCs w:val="21"/>
                <w:lang w:val="en-AU"/>
              </w:rPr>
              <w:t>Accessing DFAT gender and disability inclusion technical expertise.</w:t>
            </w:r>
          </w:p>
        </w:tc>
        <w:tc>
          <w:tcPr>
            <w:tcW w:w="1843" w:type="dxa"/>
          </w:tcPr>
          <w:p w14:paraId="437B7322" w14:textId="77777777" w:rsidR="00D7635C" w:rsidRPr="00BA23EC" w:rsidRDefault="00D7635C">
            <w:pPr>
              <w:rPr>
                <w:rFonts w:cstheme="minorHAnsi"/>
                <w:sz w:val="21"/>
                <w:szCs w:val="21"/>
                <w:lang w:val="en-AU"/>
              </w:rPr>
            </w:pPr>
            <w:r w:rsidRPr="00BA23EC">
              <w:rPr>
                <w:rFonts w:cstheme="minorHAnsi"/>
                <w:sz w:val="21"/>
                <w:szCs w:val="21"/>
                <w:lang w:val="en-AU"/>
              </w:rPr>
              <w:t>DHOM (as Australia’s representative on the Partnership Council) backed by Minister Counsellor GHD and Counsellor HD.</w:t>
            </w:r>
          </w:p>
        </w:tc>
        <w:tc>
          <w:tcPr>
            <w:tcW w:w="1842" w:type="dxa"/>
          </w:tcPr>
          <w:p w14:paraId="71FCAE19" w14:textId="19729A80" w:rsidR="00D7635C" w:rsidRPr="00BA23EC" w:rsidRDefault="00D7635C">
            <w:pPr>
              <w:rPr>
                <w:rFonts w:cstheme="minorHAnsi"/>
                <w:sz w:val="21"/>
                <w:szCs w:val="21"/>
                <w:lang w:val="en-AU"/>
              </w:rPr>
            </w:pPr>
            <w:r w:rsidRPr="00BA23EC">
              <w:rPr>
                <w:rFonts w:cstheme="minorHAnsi"/>
                <w:sz w:val="21"/>
                <w:szCs w:val="21"/>
                <w:lang w:val="en-AU"/>
              </w:rPr>
              <w:t xml:space="preserve">Secretary General of Health, </w:t>
            </w:r>
            <w:r w:rsidR="00D44F43" w:rsidRPr="00BA23EC">
              <w:rPr>
                <w:rFonts w:cstheme="minorHAnsi"/>
                <w:sz w:val="21"/>
                <w:szCs w:val="21"/>
                <w:lang w:val="en-AU"/>
              </w:rPr>
              <w:t>W</w:t>
            </w:r>
            <w:r w:rsidR="00D44F43">
              <w:rPr>
                <w:rFonts w:cstheme="minorHAnsi"/>
                <w:sz w:val="21"/>
                <w:szCs w:val="21"/>
                <w:lang w:val="en-AU"/>
              </w:rPr>
              <w:t xml:space="preserve">orld </w:t>
            </w:r>
            <w:r w:rsidR="00D44F43" w:rsidRPr="00BA23EC">
              <w:rPr>
                <w:rFonts w:cstheme="minorHAnsi"/>
                <w:sz w:val="21"/>
                <w:szCs w:val="21"/>
                <w:lang w:val="en-AU"/>
              </w:rPr>
              <w:t>B</w:t>
            </w:r>
            <w:r w:rsidR="00D44F43">
              <w:rPr>
                <w:rFonts w:cstheme="minorHAnsi"/>
                <w:sz w:val="21"/>
                <w:szCs w:val="21"/>
                <w:lang w:val="en-AU"/>
              </w:rPr>
              <w:t>ank</w:t>
            </w:r>
            <w:r w:rsidR="00D44F43" w:rsidRPr="00BA23EC">
              <w:rPr>
                <w:rFonts w:cstheme="minorHAnsi"/>
                <w:sz w:val="21"/>
                <w:szCs w:val="21"/>
                <w:lang w:val="en-AU"/>
              </w:rPr>
              <w:t xml:space="preserve"> </w:t>
            </w:r>
            <w:r w:rsidRPr="00BA23EC">
              <w:rPr>
                <w:rFonts w:cstheme="minorHAnsi"/>
                <w:sz w:val="21"/>
                <w:szCs w:val="21"/>
                <w:lang w:val="en-AU"/>
              </w:rPr>
              <w:t>Program Manager/Task team leader</w:t>
            </w:r>
          </w:p>
        </w:tc>
      </w:tr>
      <w:tr w:rsidR="00783967" w:rsidRPr="00BA23EC" w14:paraId="7AE7EFA6" w14:textId="77777777" w:rsidTr="001252BC">
        <w:tc>
          <w:tcPr>
            <w:tcW w:w="1985" w:type="dxa"/>
          </w:tcPr>
          <w:p w14:paraId="49D4E9AE" w14:textId="5C0C8076" w:rsidR="00D7635C" w:rsidRPr="00BA23EC" w:rsidRDefault="001B2AA0">
            <w:pPr>
              <w:rPr>
                <w:rFonts w:cstheme="minorHAnsi"/>
                <w:sz w:val="21"/>
                <w:szCs w:val="21"/>
                <w:lang w:val="en-AU"/>
              </w:rPr>
            </w:pPr>
            <w:r w:rsidRPr="001B2AA0">
              <w:rPr>
                <w:rFonts w:cstheme="minorHAnsi"/>
                <w:sz w:val="21"/>
                <w:szCs w:val="21"/>
                <w:lang w:val="en-AU"/>
              </w:rPr>
              <w:t>EOPO3: The Health System Transformation Agenda informs and is reflected in the Government of Indonesia’s National Medium-Term Development Plan (RPJMN</w:t>
            </w:r>
            <w:proofErr w:type="gramStart"/>
            <w:r w:rsidRPr="001B2AA0">
              <w:rPr>
                <w:rFonts w:cstheme="minorHAnsi"/>
                <w:sz w:val="21"/>
                <w:szCs w:val="21"/>
                <w:lang w:val="en-AU"/>
              </w:rPr>
              <w:t>), and</w:t>
            </w:r>
            <w:proofErr w:type="gramEnd"/>
            <w:r w:rsidRPr="001B2AA0">
              <w:rPr>
                <w:rFonts w:cstheme="minorHAnsi"/>
                <w:sz w:val="21"/>
                <w:szCs w:val="21"/>
                <w:lang w:val="en-AU"/>
              </w:rPr>
              <w:t xml:space="preserve"> is adequately planned and resourced.</w:t>
            </w:r>
          </w:p>
        </w:tc>
        <w:tc>
          <w:tcPr>
            <w:tcW w:w="1985" w:type="dxa"/>
          </w:tcPr>
          <w:p w14:paraId="2DC340C2" w14:textId="61396200" w:rsidR="00AA793B" w:rsidRDefault="008E0B2E">
            <w:pPr>
              <w:rPr>
                <w:rFonts w:cstheme="minorHAnsi"/>
                <w:sz w:val="21"/>
                <w:szCs w:val="21"/>
                <w:lang w:val="en-AU"/>
              </w:rPr>
            </w:pPr>
            <w:r>
              <w:rPr>
                <w:rFonts w:cstheme="minorHAnsi"/>
                <w:sz w:val="21"/>
                <w:szCs w:val="21"/>
                <w:lang w:val="en-AU"/>
              </w:rPr>
              <w:t>H</w:t>
            </w:r>
            <w:r w:rsidR="00372639">
              <w:rPr>
                <w:rFonts w:cstheme="minorHAnsi"/>
                <w:sz w:val="21"/>
                <w:szCs w:val="21"/>
                <w:lang w:val="en-AU"/>
              </w:rPr>
              <w:t xml:space="preserve">ealth reforms are </w:t>
            </w:r>
            <w:r>
              <w:rPr>
                <w:rFonts w:cstheme="minorHAnsi"/>
                <w:sz w:val="21"/>
                <w:szCs w:val="21"/>
                <w:lang w:val="en-AU"/>
              </w:rPr>
              <w:t xml:space="preserve">not supported, </w:t>
            </w:r>
            <w:r w:rsidR="00AA793B">
              <w:rPr>
                <w:rFonts w:cstheme="minorHAnsi"/>
                <w:sz w:val="21"/>
                <w:szCs w:val="21"/>
                <w:lang w:val="en-AU"/>
              </w:rPr>
              <w:t xml:space="preserve">budgeted, or resourced by the new GOI administration. </w:t>
            </w:r>
          </w:p>
          <w:p w14:paraId="191C6920" w14:textId="1D03B761" w:rsidR="001B2AA0" w:rsidRDefault="00165779">
            <w:pPr>
              <w:rPr>
                <w:rFonts w:cstheme="minorHAnsi"/>
                <w:sz w:val="21"/>
                <w:szCs w:val="21"/>
                <w:lang w:val="en-AU"/>
              </w:rPr>
            </w:pPr>
            <w:r>
              <w:rPr>
                <w:rFonts w:cstheme="minorHAnsi"/>
                <w:sz w:val="21"/>
                <w:szCs w:val="21"/>
                <w:lang w:val="en-AU"/>
              </w:rPr>
              <w:t xml:space="preserve">Lack of MoH institutional capacity to deliver health reforms. </w:t>
            </w:r>
          </w:p>
          <w:p w14:paraId="0815834B" w14:textId="661C0685" w:rsidR="00D7635C" w:rsidRPr="00BA23EC" w:rsidRDefault="00D7635C" w:rsidP="00185825">
            <w:pPr>
              <w:rPr>
                <w:rFonts w:cstheme="minorHAnsi"/>
                <w:sz w:val="21"/>
                <w:szCs w:val="21"/>
                <w:lang w:val="en-AU"/>
              </w:rPr>
            </w:pPr>
          </w:p>
        </w:tc>
        <w:tc>
          <w:tcPr>
            <w:tcW w:w="1842" w:type="dxa"/>
          </w:tcPr>
          <w:p w14:paraId="42C0783A" w14:textId="5F44EF0E" w:rsidR="008E56A8" w:rsidRDefault="008E56A8">
            <w:pPr>
              <w:rPr>
                <w:rFonts w:cstheme="minorHAnsi"/>
                <w:sz w:val="21"/>
                <w:szCs w:val="21"/>
                <w:lang w:val="en-AU"/>
              </w:rPr>
            </w:pPr>
            <w:r>
              <w:rPr>
                <w:rFonts w:cstheme="minorHAnsi"/>
                <w:sz w:val="21"/>
                <w:szCs w:val="21"/>
                <w:lang w:val="en-AU"/>
              </w:rPr>
              <w:t xml:space="preserve">New government supports, </w:t>
            </w:r>
            <w:proofErr w:type="gramStart"/>
            <w:r>
              <w:rPr>
                <w:rFonts w:cstheme="minorHAnsi"/>
                <w:sz w:val="21"/>
                <w:szCs w:val="21"/>
                <w:lang w:val="en-AU"/>
              </w:rPr>
              <w:t>plans</w:t>
            </w:r>
            <w:proofErr w:type="gramEnd"/>
            <w:r>
              <w:rPr>
                <w:rFonts w:cstheme="minorHAnsi"/>
                <w:sz w:val="21"/>
                <w:szCs w:val="21"/>
                <w:lang w:val="en-AU"/>
              </w:rPr>
              <w:t xml:space="preserve"> and budgets ongoing health reforms. </w:t>
            </w:r>
          </w:p>
          <w:p w14:paraId="3C5A87DF" w14:textId="5C330F08" w:rsidR="00D7635C" w:rsidRPr="00BA23EC" w:rsidRDefault="00D7635C">
            <w:pPr>
              <w:rPr>
                <w:rFonts w:cstheme="minorHAnsi"/>
                <w:sz w:val="21"/>
                <w:szCs w:val="21"/>
                <w:lang w:val="en-AU"/>
              </w:rPr>
            </w:pPr>
            <w:r w:rsidRPr="00BA23EC">
              <w:rPr>
                <w:rFonts w:cstheme="minorHAnsi"/>
                <w:sz w:val="21"/>
                <w:szCs w:val="21"/>
                <w:lang w:val="en-AU"/>
              </w:rPr>
              <w:t xml:space="preserve">MoH </w:t>
            </w:r>
            <w:proofErr w:type="gramStart"/>
            <w:r w:rsidRPr="00BA23EC">
              <w:rPr>
                <w:rFonts w:cstheme="minorHAnsi"/>
                <w:sz w:val="21"/>
                <w:szCs w:val="21"/>
                <w:lang w:val="en-AU"/>
              </w:rPr>
              <w:t>is able to</w:t>
            </w:r>
            <w:proofErr w:type="gramEnd"/>
            <w:r w:rsidRPr="00BA23EC">
              <w:rPr>
                <w:rFonts w:cstheme="minorHAnsi"/>
                <w:sz w:val="21"/>
                <w:szCs w:val="21"/>
                <w:lang w:val="en-AU"/>
              </w:rPr>
              <w:t xml:space="preserve"> sustainably manage the current and ongoing health reforms, </w:t>
            </w:r>
          </w:p>
        </w:tc>
        <w:tc>
          <w:tcPr>
            <w:tcW w:w="2268" w:type="dxa"/>
          </w:tcPr>
          <w:p w14:paraId="781B559E" w14:textId="32A24444" w:rsidR="00D7635C" w:rsidRPr="00BA23EC" w:rsidRDefault="008E56A8">
            <w:pPr>
              <w:rPr>
                <w:rFonts w:cstheme="minorHAnsi"/>
                <w:sz w:val="21"/>
                <w:szCs w:val="21"/>
                <w:lang w:val="en-AU"/>
              </w:rPr>
            </w:pPr>
            <w:r>
              <w:rPr>
                <w:rFonts w:cstheme="minorHAnsi"/>
                <w:sz w:val="21"/>
                <w:szCs w:val="21"/>
                <w:lang w:val="en-AU"/>
              </w:rPr>
              <w:t>HOM/</w:t>
            </w:r>
            <w:r w:rsidR="00D7635C" w:rsidRPr="00BA23EC">
              <w:rPr>
                <w:rFonts w:cstheme="minorHAnsi"/>
                <w:sz w:val="21"/>
                <w:szCs w:val="21"/>
                <w:lang w:val="en-AU"/>
              </w:rPr>
              <w:t>DHOM Ministerial level engagement</w:t>
            </w:r>
          </w:p>
          <w:p w14:paraId="238FD190" w14:textId="2DD48345" w:rsidR="004F02A1" w:rsidRDefault="00D24F7C" w:rsidP="00D24F7C">
            <w:pPr>
              <w:rPr>
                <w:rFonts w:cstheme="minorHAnsi"/>
                <w:sz w:val="21"/>
                <w:szCs w:val="21"/>
                <w:lang w:val="en-AU"/>
              </w:rPr>
            </w:pPr>
            <w:r w:rsidRPr="00BA23EC">
              <w:rPr>
                <w:rFonts w:cstheme="minorHAnsi"/>
                <w:sz w:val="21"/>
                <w:szCs w:val="21"/>
                <w:lang w:val="en-AU"/>
              </w:rPr>
              <w:t>MoH</w:t>
            </w:r>
            <w:r w:rsidR="0006003C">
              <w:rPr>
                <w:rFonts w:cstheme="minorHAnsi"/>
                <w:sz w:val="21"/>
                <w:szCs w:val="21"/>
                <w:lang w:val="en-AU"/>
              </w:rPr>
              <w:t>/MoF/</w:t>
            </w:r>
            <w:proofErr w:type="spellStart"/>
            <w:r w:rsidR="0006003C">
              <w:rPr>
                <w:rFonts w:cstheme="minorHAnsi"/>
                <w:sz w:val="21"/>
                <w:szCs w:val="21"/>
                <w:lang w:val="en-AU"/>
              </w:rPr>
              <w:t>Bappenas</w:t>
            </w:r>
            <w:proofErr w:type="spellEnd"/>
            <w:r w:rsidR="0006003C">
              <w:rPr>
                <w:rFonts w:cstheme="minorHAnsi"/>
                <w:sz w:val="21"/>
                <w:szCs w:val="21"/>
                <w:lang w:val="en-AU"/>
              </w:rPr>
              <w:t xml:space="preserve"> engagement</w:t>
            </w:r>
            <w:r w:rsidR="004F02A1">
              <w:rPr>
                <w:rFonts w:cstheme="minorHAnsi"/>
                <w:sz w:val="21"/>
                <w:szCs w:val="21"/>
                <w:lang w:val="en-AU"/>
              </w:rPr>
              <w:t xml:space="preserve"> on health planning and budget. </w:t>
            </w:r>
          </w:p>
          <w:p w14:paraId="1E26AFB4" w14:textId="7F20ACBD" w:rsidR="00D24F7C" w:rsidRPr="00BA23EC" w:rsidRDefault="00D24F7C" w:rsidP="00D24F7C">
            <w:pPr>
              <w:rPr>
                <w:rFonts w:cstheme="minorHAnsi"/>
                <w:sz w:val="21"/>
                <w:szCs w:val="21"/>
                <w:lang w:val="en-AU"/>
              </w:rPr>
            </w:pPr>
            <w:r w:rsidRPr="00BA23EC">
              <w:rPr>
                <w:rFonts w:cstheme="minorHAnsi"/>
                <w:sz w:val="21"/>
                <w:szCs w:val="21"/>
                <w:lang w:val="en-AU"/>
              </w:rPr>
              <w:t>Annual Performance reporting</w:t>
            </w:r>
          </w:p>
          <w:p w14:paraId="4E0E0AB1" w14:textId="1890ABDD" w:rsidR="00D7635C" w:rsidRPr="00BA23EC" w:rsidRDefault="00D7635C">
            <w:pPr>
              <w:rPr>
                <w:rFonts w:cstheme="minorHAnsi"/>
                <w:sz w:val="21"/>
                <w:szCs w:val="21"/>
                <w:lang w:val="en-AU"/>
              </w:rPr>
            </w:pPr>
            <w:r w:rsidRPr="00BA23EC">
              <w:rPr>
                <w:rFonts w:cstheme="minorHAnsi"/>
                <w:sz w:val="21"/>
                <w:szCs w:val="21"/>
                <w:lang w:val="en-AU"/>
              </w:rPr>
              <w:t>P</w:t>
            </w:r>
            <w:r w:rsidR="00230F01">
              <w:rPr>
                <w:rFonts w:cstheme="minorHAnsi"/>
                <w:sz w:val="21"/>
                <w:szCs w:val="21"/>
                <w:lang w:val="en-AU"/>
              </w:rPr>
              <w:t xml:space="preserve">C </w:t>
            </w:r>
            <w:r w:rsidRPr="00BA23EC">
              <w:rPr>
                <w:rFonts w:cstheme="minorHAnsi"/>
                <w:sz w:val="21"/>
                <w:szCs w:val="21"/>
                <w:lang w:val="en-AU"/>
              </w:rPr>
              <w:t>meetings, Annual Performance Process, Joint Monitoring Visits</w:t>
            </w:r>
          </w:p>
        </w:tc>
        <w:tc>
          <w:tcPr>
            <w:tcW w:w="2127" w:type="dxa"/>
          </w:tcPr>
          <w:p w14:paraId="7F564859" w14:textId="77777777" w:rsidR="00D24F7C" w:rsidRPr="00BA23EC" w:rsidRDefault="00D24F7C" w:rsidP="00D24F7C">
            <w:pPr>
              <w:rPr>
                <w:rFonts w:cstheme="minorHAnsi"/>
                <w:sz w:val="21"/>
                <w:szCs w:val="21"/>
                <w:lang w:val="en-AU"/>
              </w:rPr>
            </w:pPr>
            <w:r w:rsidRPr="00BA23EC">
              <w:rPr>
                <w:rFonts w:cstheme="minorHAnsi"/>
                <w:sz w:val="21"/>
                <w:szCs w:val="21"/>
                <w:lang w:val="en-AU"/>
              </w:rPr>
              <w:t>Minister for Health</w:t>
            </w:r>
          </w:p>
          <w:p w14:paraId="2C22741F" w14:textId="6F35F6C7" w:rsidR="00D24F7C" w:rsidRDefault="00D24F7C" w:rsidP="00D24F7C">
            <w:pPr>
              <w:rPr>
                <w:rFonts w:cstheme="minorHAnsi"/>
                <w:sz w:val="21"/>
                <w:szCs w:val="21"/>
                <w:lang w:val="en-AU"/>
              </w:rPr>
            </w:pPr>
            <w:r w:rsidRPr="00BA23EC">
              <w:rPr>
                <w:rFonts w:cstheme="minorHAnsi"/>
                <w:sz w:val="21"/>
                <w:szCs w:val="21"/>
                <w:lang w:val="en-AU"/>
              </w:rPr>
              <w:t>Minister for Finance</w:t>
            </w:r>
          </w:p>
          <w:p w14:paraId="044928B5" w14:textId="28C707E1" w:rsidR="00230F01" w:rsidRPr="00BA23EC" w:rsidRDefault="00230F01" w:rsidP="00D24F7C">
            <w:pPr>
              <w:rPr>
                <w:rFonts w:cstheme="minorHAnsi"/>
                <w:sz w:val="21"/>
                <w:szCs w:val="21"/>
                <w:lang w:val="en-AU"/>
              </w:rPr>
            </w:pPr>
            <w:r>
              <w:rPr>
                <w:rFonts w:cstheme="minorHAnsi"/>
                <w:sz w:val="21"/>
                <w:szCs w:val="21"/>
                <w:lang w:val="en-AU"/>
              </w:rPr>
              <w:t>Minister for Development and Planning</w:t>
            </w:r>
          </w:p>
          <w:p w14:paraId="70A866FA" w14:textId="61F59068" w:rsidR="00D7635C" w:rsidRPr="00BA23EC" w:rsidRDefault="00D24F7C">
            <w:pPr>
              <w:rPr>
                <w:rFonts w:cstheme="minorHAnsi"/>
                <w:sz w:val="21"/>
                <w:szCs w:val="21"/>
                <w:lang w:val="en-AU"/>
              </w:rPr>
            </w:pPr>
            <w:r w:rsidRPr="00BA23EC">
              <w:rPr>
                <w:rFonts w:cstheme="minorHAnsi"/>
                <w:sz w:val="21"/>
                <w:szCs w:val="21"/>
                <w:lang w:val="en-AU"/>
              </w:rPr>
              <w:t>Secretary General</w:t>
            </w:r>
            <w:r w:rsidR="00946CBC">
              <w:rPr>
                <w:rFonts w:cstheme="minorHAnsi"/>
                <w:sz w:val="21"/>
                <w:szCs w:val="21"/>
                <w:lang w:val="en-AU"/>
              </w:rPr>
              <w:t>s</w:t>
            </w:r>
            <w:r w:rsidRPr="00BA23EC">
              <w:rPr>
                <w:rFonts w:cstheme="minorHAnsi"/>
                <w:sz w:val="21"/>
                <w:szCs w:val="21"/>
                <w:lang w:val="en-AU"/>
              </w:rPr>
              <w:t xml:space="preserve">, Director Generals of MoH, </w:t>
            </w:r>
            <w:r w:rsidR="00946CBC">
              <w:rPr>
                <w:rFonts w:cstheme="minorHAnsi"/>
                <w:sz w:val="21"/>
                <w:szCs w:val="21"/>
                <w:lang w:val="en-AU"/>
              </w:rPr>
              <w:t xml:space="preserve">MoF, </w:t>
            </w:r>
            <w:r w:rsidRPr="00BA23EC">
              <w:rPr>
                <w:rFonts w:cstheme="minorHAnsi"/>
                <w:sz w:val="21"/>
                <w:szCs w:val="21"/>
                <w:lang w:val="en-AU"/>
              </w:rPr>
              <w:t>MDTF Secretariat and WB Health Task team, other contributing donors</w:t>
            </w:r>
          </w:p>
        </w:tc>
        <w:tc>
          <w:tcPr>
            <w:tcW w:w="2126" w:type="dxa"/>
          </w:tcPr>
          <w:p w14:paraId="078369D4" w14:textId="77777777" w:rsidR="00D7635C" w:rsidRPr="00BA23EC" w:rsidRDefault="00D7635C">
            <w:pPr>
              <w:rPr>
                <w:rFonts w:cstheme="minorHAnsi"/>
                <w:sz w:val="21"/>
                <w:szCs w:val="21"/>
                <w:lang w:val="en-AU"/>
              </w:rPr>
            </w:pPr>
            <w:r w:rsidRPr="00BA23EC">
              <w:rPr>
                <w:rFonts w:cstheme="minorHAnsi"/>
                <w:sz w:val="21"/>
                <w:szCs w:val="21"/>
                <w:lang w:val="en-AU"/>
              </w:rPr>
              <w:t xml:space="preserve">Analytics, technical and operational support, as agreed with Partnership Council. </w:t>
            </w:r>
          </w:p>
          <w:p w14:paraId="577F97CC" w14:textId="77777777" w:rsidR="00D7635C" w:rsidRPr="00BA23EC" w:rsidRDefault="00D7635C">
            <w:pPr>
              <w:rPr>
                <w:rFonts w:cstheme="minorHAnsi"/>
                <w:sz w:val="21"/>
                <w:szCs w:val="21"/>
                <w:lang w:val="en-AU"/>
              </w:rPr>
            </w:pPr>
            <w:r w:rsidRPr="00BA23EC">
              <w:rPr>
                <w:rFonts w:cstheme="minorHAnsi"/>
                <w:sz w:val="21"/>
                <w:szCs w:val="21"/>
                <w:lang w:val="en-AU"/>
              </w:rPr>
              <w:t>Specialists engaged by MDTF secretariat for knowledge exchange, partnerships, gender, M&amp;</w:t>
            </w:r>
            <w:proofErr w:type="gramStart"/>
            <w:r w:rsidRPr="00BA23EC">
              <w:rPr>
                <w:rFonts w:cstheme="minorHAnsi"/>
                <w:sz w:val="21"/>
                <w:szCs w:val="21"/>
                <w:lang w:val="en-AU"/>
              </w:rPr>
              <w:t>E</w:t>
            </w:r>
            <w:proofErr w:type="gramEnd"/>
            <w:r w:rsidRPr="00BA23EC">
              <w:rPr>
                <w:rFonts w:cstheme="minorHAnsi"/>
                <w:sz w:val="21"/>
                <w:szCs w:val="21"/>
                <w:lang w:val="en-AU"/>
              </w:rPr>
              <w:t xml:space="preserve"> and communications</w:t>
            </w:r>
          </w:p>
        </w:tc>
        <w:tc>
          <w:tcPr>
            <w:tcW w:w="1843" w:type="dxa"/>
          </w:tcPr>
          <w:p w14:paraId="54EF4646" w14:textId="77777777" w:rsidR="00D7635C" w:rsidRPr="00BA23EC" w:rsidRDefault="00D7635C">
            <w:pPr>
              <w:rPr>
                <w:rFonts w:cstheme="minorHAnsi"/>
                <w:sz w:val="21"/>
                <w:szCs w:val="21"/>
                <w:lang w:val="en-AU"/>
              </w:rPr>
            </w:pPr>
            <w:r w:rsidRPr="00BA23EC">
              <w:rPr>
                <w:rFonts w:cstheme="minorHAnsi"/>
                <w:sz w:val="21"/>
                <w:szCs w:val="21"/>
                <w:lang w:val="en-AU"/>
              </w:rPr>
              <w:t>DHOM (as Australia’s representative on the Partnership Council) backed by Minister Counsellor GHD and Counsellor HD.</w:t>
            </w:r>
          </w:p>
        </w:tc>
        <w:tc>
          <w:tcPr>
            <w:tcW w:w="1842" w:type="dxa"/>
          </w:tcPr>
          <w:p w14:paraId="7A67CB1C" w14:textId="24F4DD66" w:rsidR="00D7635C" w:rsidRPr="00BA23EC" w:rsidRDefault="00D7635C">
            <w:pPr>
              <w:rPr>
                <w:rFonts w:cstheme="minorHAnsi"/>
                <w:sz w:val="21"/>
                <w:szCs w:val="21"/>
                <w:lang w:val="en-AU"/>
              </w:rPr>
            </w:pPr>
            <w:r w:rsidRPr="00BA23EC">
              <w:rPr>
                <w:rFonts w:cstheme="minorHAnsi"/>
                <w:sz w:val="21"/>
                <w:szCs w:val="21"/>
                <w:lang w:val="en-AU"/>
              </w:rPr>
              <w:t xml:space="preserve">Secretary General of Health, </w:t>
            </w:r>
            <w:r w:rsidR="00D44F43" w:rsidRPr="00BA23EC">
              <w:rPr>
                <w:rFonts w:cstheme="minorHAnsi"/>
                <w:sz w:val="21"/>
                <w:szCs w:val="21"/>
                <w:lang w:val="en-AU"/>
              </w:rPr>
              <w:t>W</w:t>
            </w:r>
            <w:r w:rsidR="00D44F43">
              <w:rPr>
                <w:rFonts w:cstheme="minorHAnsi"/>
                <w:sz w:val="21"/>
                <w:szCs w:val="21"/>
                <w:lang w:val="en-AU"/>
              </w:rPr>
              <w:t xml:space="preserve">orld </w:t>
            </w:r>
            <w:r w:rsidR="00D44F43" w:rsidRPr="00BA23EC">
              <w:rPr>
                <w:rFonts w:cstheme="minorHAnsi"/>
                <w:sz w:val="21"/>
                <w:szCs w:val="21"/>
                <w:lang w:val="en-AU"/>
              </w:rPr>
              <w:t>B</w:t>
            </w:r>
            <w:r w:rsidR="00D44F43">
              <w:rPr>
                <w:rFonts w:cstheme="minorHAnsi"/>
                <w:sz w:val="21"/>
                <w:szCs w:val="21"/>
                <w:lang w:val="en-AU"/>
              </w:rPr>
              <w:t>ank</w:t>
            </w:r>
            <w:r w:rsidR="00D44F43" w:rsidRPr="00BA23EC">
              <w:rPr>
                <w:rFonts w:cstheme="minorHAnsi"/>
                <w:sz w:val="21"/>
                <w:szCs w:val="21"/>
                <w:lang w:val="en-AU"/>
              </w:rPr>
              <w:t xml:space="preserve"> </w:t>
            </w:r>
            <w:r w:rsidRPr="00BA23EC">
              <w:rPr>
                <w:rFonts w:cstheme="minorHAnsi"/>
                <w:sz w:val="21"/>
                <w:szCs w:val="21"/>
                <w:lang w:val="en-AU"/>
              </w:rPr>
              <w:t>Program Manager/Task team leader</w:t>
            </w:r>
          </w:p>
        </w:tc>
      </w:tr>
    </w:tbl>
    <w:p w14:paraId="79016ED3" w14:textId="4879BF25" w:rsidR="005B7783" w:rsidRPr="00BA23EC" w:rsidRDefault="005B7783" w:rsidP="00F81159">
      <w:pPr>
        <w:tabs>
          <w:tab w:val="left" w:pos="8094"/>
        </w:tabs>
        <w:jc w:val="both"/>
        <w:rPr>
          <w:rFonts w:cstheme="minorHAnsi"/>
          <w:lang w:val="en-AU"/>
        </w:rPr>
        <w:sectPr w:rsidR="005B7783" w:rsidRPr="00BA23EC" w:rsidSect="001252BC">
          <w:headerReference w:type="default" r:id="rId17"/>
          <w:footerReference w:type="default" r:id="rId18"/>
          <w:headerReference w:type="first" r:id="rId19"/>
          <w:footerReference w:type="first" r:id="rId20"/>
          <w:pgSz w:w="16838" w:h="11906" w:orient="landscape" w:code="9"/>
          <w:pgMar w:top="567" w:right="624" w:bottom="426" w:left="624" w:header="142" w:footer="493" w:gutter="0"/>
          <w:cols w:space="397"/>
          <w:titlePg/>
          <w:docGrid w:linePitch="360"/>
        </w:sectPr>
      </w:pPr>
    </w:p>
    <w:p w14:paraId="208BBEF8" w14:textId="0B6A5B4A" w:rsidR="00115884" w:rsidRPr="00BA23EC" w:rsidRDefault="005B7783" w:rsidP="00271FB6">
      <w:pPr>
        <w:pStyle w:val="Heading3"/>
      </w:pPr>
      <w:bookmarkStart w:id="32" w:name="_Toc132223552"/>
      <w:bookmarkStart w:id="33" w:name="_Toc132287527"/>
      <w:bookmarkStart w:id="34" w:name="Annex4"/>
      <w:r w:rsidRPr="00BA23EC">
        <w:lastRenderedPageBreak/>
        <w:t xml:space="preserve">Annex 4 - </w:t>
      </w:r>
      <w:r w:rsidR="00852D83" w:rsidRPr="00BA23EC">
        <w:t>Draft</w:t>
      </w:r>
      <w:r w:rsidR="00115884" w:rsidRPr="00BA23EC">
        <w:t xml:space="preserve"> Monitoring and Evaluation Framework</w:t>
      </w:r>
      <w:bookmarkEnd w:id="32"/>
      <w:bookmarkEnd w:id="33"/>
      <w:r w:rsidR="00115884" w:rsidRPr="00BA23EC">
        <w:t xml:space="preserve"> </w:t>
      </w:r>
    </w:p>
    <w:bookmarkEnd w:id="34"/>
    <w:p w14:paraId="7FEC560D" w14:textId="6BE3AE5A" w:rsidR="00F205D0" w:rsidRPr="00BA23EC" w:rsidRDefault="00115884" w:rsidP="00F205D0">
      <w:pPr>
        <w:pStyle w:val="BodyTextHanging"/>
        <w:jc w:val="both"/>
        <w:rPr>
          <w:rFonts w:asciiTheme="minorHAnsi" w:hAnsiTheme="minorHAnsi" w:cstheme="minorHAnsi"/>
          <w:b/>
          <w:sz w:val="24"/>
          <w:u w:val="single"/>
          <w:lang w:val="en-AU"/>
        </w:rPr>
      </w:pPr>
      <w:r w:rsidRPr="00BA23EC">
        <w:rPr>
          <w:rFonts w:asciiTheme="minorHAnsi" w:hAnsiTheme="minorHAnsi" w:cstheme="minorHAnsi"/>
          <w:b/>
          <w:sz w:val="24"/>
          <w:lang w:val="en-AU"/>
        </w:rPr>
        <w:t xml:space="preserve">Key Evaluation Questions: </w:t>
      </w:r>
    </w:p>
    <w:p w14:paraId="51915208" w14:textId="30533CA4" w:rsidR="00DF1E32" w:rsidRDefault="00DF1E32" w:rsidP="001252BC">
      <w:pPr>
        <w:pStyle w:val="BodyTextHanging"/>
        <w:ind w:left="720"/>
        <w:jc w:val="both"/>
        <w:rPr>
          <w:rFonts w:asciiTheme="minorHAnsi" w:hAnsiTheme="minorHAnsi" w:cstheme="minorHAnsi"/>
          <w:szCs w:val="20"/>
          <w:lang w:val="en-AU"/>
        </w:rPr>
      </w:pPr>
      <w:r>
        <w:rPr>
          <w:rFonts w:asciiTheme="minorHAnsi" w:hAnsiTheme="minorHAnsi" w:cstheme="minorHAnsi"/>
          <w:szCs w:val="20"/>
          <w:lang w:val="en-AU"/>
        </w:rPr>
        <w:t>1</w:t>
      </w:r>
      <w:proofErr w:type="gramStart"/>
      <w:r>
        <w:rPr>
          <w:rFonts w:asciiTheme="minorHAnsi" w:hAnsiTheme="minorHAnsi" w:cstheme="minorHAnsi"/>
          <w:szCs w:val="20"/>
          <w:lang w:val="en-AU"/>
        </w:rPr>
        <w:t xml:space="preserve">/  </w:t>
      </w:r>
      <w:r w:rsidR="00B21902" w:rsidRPr="00DF1E32">
        <w:rPr>
          <w:rFonts w:asciiTheme="minorHAnsi" w:hAnsiTheme="minorHAnsi" w:cstheme="minorHAnsi"/>
          <w:szCs w:val="20"/>
          <w:lang w:val="en-AU"/>
        </w:rPr>
        <w:t>How</w:t>
      </w:r>
      <w:proofErr w:type="gramEnd"/>
      <w:r w:rsidR="00B21902" w:rsidRPr="00DF1E32">
        <w:rPr>
          <w:rFonts w:asciiTheme="minorHAnsi" w:hAnsiTheme="minorHAnsi" w:cstheme="minorHAnsi"/>
          <w:szCs w:val="20"/>
          <w:lang w:val="en-AU"/>
        </w:rPr>
        <w:t xml:space="preserve"> effective is the HT-MDTF in supporting the MoH in generating high-quality analytics and policy dialogue and informing implementation of health reform projects, policies, and programs, in particular efforts to close gender and disability inclusion gaps in coverage, access to and quality of health care, and to build a climate-resilient health sector?</w:t>
      </w:r>
    </w:p>
    <w:p w14:paraId="7F5759F9" w14:textId="52F97959" w:rsidR="00352A62" w:rsidRDefault="00DF1E32" w:rsidP="001252BC">
      <w:pPr>
        <w:pStyle w:val="BodyTextHanging"/>
        <w:ind w:left="720"/>
        <w:jc w:val="both"/>
        <w:rPr>
          <w:rFonts w:asciiTheme="minorHAnsi" w:hAnsiTheme="minorHAnsi" w:cstheme="minorHAnsi"/>
          <w:szCs w:val="20"/>
          <w:lang w:val="en-AU"/>
        </w:rPr>
      </w:pPr>
      <w:r>
        <w:rPr>
          <w:rFonts w:asciiTheme="minorHAnsi" w:hAnsiTheme="minorHAnsi" w:cstheme="minorHAnsi"/>
          <w:szCs w:val="20"/>
          <w:lang w:val="en-AU"/>
        </w:rPr>
        <w:t xml:space="preserve">2/ </w:t>
      </w:r>
      <w:r w:rsidR="00B21902" w:rsidRPr="00DF1E32">
        <w:rPr>
          <w:rFonts w:asciiTheme="minorHAnsi" w:hAnsiTheme="minorHAnsi" w:cstheme="minorHAnsi"/>
          <w:szCs w:val="20"/>
          <w:lang w:val="en-AU"/>
        </w:rPr>
        <w:t>Is there evidence for the sustainability of health system improvements with increased budget and resourcing and increased capacity of the MoH to design and implement current and future reforms?</w:t>
      </w:r>
    </w:p>
    <w:p w14:paraId="63CF43D5" w14:textId="77777777" w:rsidR="00D92F24" w:rsidRDefault="00D92F24" w:rsidP="001252BC">
      <w:pPr>
        <w:pStyle w:val="BodyTextHanging"/>
        <w:ind w:left="720"/>
        <w:jc w:val="both"/>
        <w:rPr>
          <w:rFonts w:asciiTheme="minorHAnsi" w:hAnsiTheme="minorHAnsi" w:cstheme="minorHAnsi"/>
          <w:szCs w:val="20"/>
          <w:lang w:val="en-AU"/>
        </w:rPr>
      </w:pPr>
    </w:p>
    <w:tbl>
      <w:tblPr>
        <w:tblStyle w:val="TableGrid"/>
        <w:tblW w:w="15451" w:type="dxa"/>
        <w:tblInd w:w="-5" w:type="dxa"/>
        <w:tblLayout w:type="fixed"/>
        <w:tblLook w:val="04A0" w:firstRow="1" w:lastRow="0" w:firstColumn="1" w:lastColumn="0" w:noHBand="0" w:noVBand="1"/>
      </w:tblPr>
      <w:tblGrid>
        <w:gridCol w:w="15451"/>
      </w:tblGrid>
      <w:tr w:rsidR="00D92F24" w:rsidRPr="00BA23EC" w14:paraId="287A1E3B" w14:textId="77777777" w:rsidTr="00466EF8">
        <w:trPr>
          <w:trHeight w:val="20"/>
        </w:trPr>
        <w:tc>
          <w:tcPr>
            <w:tcW w:w="15451" w:type="dxa"/>
            <w:shd w:val="clear" w:color="auto" w:fill="3DA18F" w:themeFill="accent1" w:themeFillShade="BF"/>
            <w:tcMar>
              <w:top w:w="113" w:type="dxa"/>
              <w:bottom w:w="113" w:type="dxa"/>
            </w:tcMar>
            <w:vAlign w:val="center"/>
          </w:tcPr>
          <w:p w14:paraId="6B2C15F2" w14:textId="77777777" w:rsidR="00D92F24" w:rsidRPr="00BA23EC" w:rsidRDefault="00D92F24" w:rsidP="00466EF8">
            <w:pPr>
              <w:pStyle w:val="Nospacingbeforeorafter"/>
              <w:snapToGrid w:val="0"/>
              <w:spacing w:line="240" w:lineRule="auto"/>
              <w:rPr>
                <w:rFonts w:asciiTheme="minorHAnsi" w:hAnsiTheme="minorHAnsi" w:cstheme="minorHAnsi"/>
                <w:b/>
                <w:sz w:val="21"/>
              </w:rPr>
            </w:pPr>
            <w:r w:rsidRPr="00BA23EC">
              <w:rPr>
                <w:rFonts w:asciiTheme="minorHAnsi" w:hAnsiTheme="minorHAnsi" w:cstheme="minorHAnsi"/>
                <w:b/>
                <w:sz w:val="21"/>
              </w:rPr>
              <w:t>Program Development Objective</w:t>
            </w:r>
          </w:p>
          <w:p w14:paraId="1552E724" w14:textId="77777777" w:rsidR="00D92F24" w:rsidRPr="00BA23EC" w:rsidRDefault="00D92F24" w:rsidP="00466EF8">
            <w:pPr>
              <w:pStyle w:val="Nospacingbeforeorafter"/>
              <w:snapToGrid w:val="0"/>
              <w:spacing w:line="240" w:lineRule="auto"/>
              <w:rPr>
                <w:rFonts w:asciiTheme="minorHAnsi" w:hAnsiTheme="minorHAnsi" w:cstheme="minorHAnsi"/>
                <w:sz w:val="21"/>
                <w:szCs w:val="21"/>
              </w:rPr>
            </w:pPr>
            <w:r w:rsidRPr="00B21902">
              <w:rPr>
                <w:rFonts w:asciiTheme="minorHAnsi" w:hAnsiTheme="minorHAnsi" w:cstheme="minorHAnsi"/>
                <w:sz w:val="21"/>
                <w:szCs w:val="21"/>
              </w:rPr>
              <w:t>The key objective of the HT-MDTF is to contribute to and be a key enabler of the Indonesian MoH’s Health System Transformation Agenda to strengthen primary and secondary health care, health financing, technology, talent, and health system resilience.</w:t>
            </w:r>
          </w:p>
        </w:tc>
      </w:tr>
      <w:tr w:rsidR="00D92F24" w:rsidRPr="00BA23EC" w14:paraId="05EFDBEC" w14:textId="77777777" w:rsidTr="00466EF8">
        <w:trPr>
          <w:trHeight w:val="20"/>
        </w:trPr>
        <w:tc>
          <w:tcPr>
            <w:tcW w:w="15451" w:type="dxa"/>
            <w:shd w:val="clear" w:color="auto" w:fill="A2DCD1" w:themeFill="accent1" w:themeFillTint="99"/>
            <w:tcMar>
              <w:top w:w="113" w:type="dxa"/>
              <w:bottom w:w="113" w:type="dxa"/>
            </w:tcMar>
            <w:vAlign w:val="center"/>
          </w:tcPr>
          <w:p w14:paraId="6FE68237" w14:textId="77777777" w:rsidR="00D92F24" w:rsidRPr="00BA23EC" w:rsidRDefault="00D92F24" w:rsidP="00466EF8">
            <w:pPr>
              <w:tabs>
                <w:tab w:val="center" w:pos="6396"/>
              </w:tabs>
              <w:snapToGrid w:val="0"/>
              <w:spacing w:before="0" w:after="0" w:line="240" w:lineRule="auto"/>
              <w:rPr>
                <w:rFonts w:cstheme="minorHAnsi"/>
                <w:b/>
                <w:sz w:val="21"/>
                <w:szCs w:val="21"/>
                <w:lang w:val="en-AU"/>
              </w:rPr>
            </w:pPr>
            <w:r w:rsidRPr="00BA23EC">
              <w:rPr>
                <w:rFonts w:cstheme="minorHAnsi"/>
                <w:b/>
                <w:sz w:val="21"/>
                <w:szCs w:val="21"/>
                <w:lang w:val="en-AU"/>
              </w:rPr>
              <w:t>DFAT PAF indicator X</w:t>
            </w:r>
          </w:p>
          <w:p w14:paraId="791E6E70" w14:textId="77777777" w:rsidR="00D92F24" w:rsidRDefault="00D92F24" w:rsidP="00466EF8">
            <w:pPr>
              <w:tabs>
                <w:tab w:val="center" w:pos="6396"/>
              </w:tabs>
              <w:snapToGrid w:val="0"/>
              <w:spacing w:before="0" w:after="0" w:line="240" w:lineRule="auto"/>
              <w:rPr>
                <w:rFonts w:cstheme="minorHAnsi"/>
                <w:b/>
                <w:sz w:val="21"/>
                <w:szCs w:val="21"/>
                <w:lang w:val="en-AU"/>
              </w:rPr>
            </w:pPr>
            <w:r w:rsidRPr="00BA23EC">
              <w:rPr>
                <w:rFonts w:cstheme="minorHAnsi"/>
                <w:b/>
                <w:sz w:val="21"/>
                <w:szCs w:val="21"/>
                <w:lang w:val="en-AU"/>
              </w:rPr>
              <w:t xml:space="preserve">Indicator 4: Indonesia strengthens health systems, including preparedness for emergencies. </w:t>
            </w:r>
          </w:p>
          <w:p w14:paraId="1F7FC5A3" w14:textId="77777777" w:rsidR="00D92F24" w:rsidRDefault="00D92F24" w:rsidP="00466EF8">
            <w:pPr>
              <w:tabs>
                <w:tab w:val="center" w:pos="6396"/>
              </w:tabs>
              <w:snapToGrid w:val="0"/>
              <w:spacing w:before="0" w:after="0" w:line="240" w:lineRule="auto"/>
              <w:rPr>
                <w:rFonts w:cstheme="minorHAnsi"/>
                <w:b/>
                <w:sz w:val="21"/>
                <w:szCs w:val="21"/>
                <w:lang w:val="en-AU"/>
              </w:rPr>
            </w:pPr>
          </w:p>
          <w:p w14:paraId="03CDB6F1" w14:textId="77777777" w:rsidR="00D92F24" w:rsidRPr="00BA23EC" w:rsidRDefault="00D92F24" w:rsidP="00466EF8">
            <w:pPr>
              <w:tabs>
                <w:tab w:val="center" w:pos="6396"/>
              </w:tabs>
              <w:snapToGrid w:val="0"/>
              <w:spacing w:before="0" w:after="0" w:line="240" w:lineRule="auto"/>
              <w:rPr>
                <w:rFonts w:cstheme="minorHAnsi"/>
                <w:b/>
                <w:sz w:val="21"/>
                <w:szCs w:val="21"/>
                <w:lang w:val="en-AU"/>
              </w:rPr>
            </w:pPr>
            <w:r>
              <w:rPr>
                <w:rFonts w:cstheme="minorHAnsi"/>
                <w:b/>
                <w:sz w:val="21"/>
                <w:szCs w:val="21"/>
                <w:lang w:val="en-AU"/>
              </w:rPr>
              <w:t xml:space="preserve">Note: A new PAF indicator may be identified following the finalisation of a new Indonesia Development Partnership Plan </w:t>
            </w:r>
          </w:p>
        </w:tc>
      </w:tr>
    </w:tbl>
    <w:p w14:paraId="00C34B42" w14:textId="77777777" w:rsidR="00D92F24" w:rsidRDefault="00D92F24" w:rsidP="001252BC">
      <w:pPr>
        <w:pStyle w:val="BodyTextHanging"/>
        <w:ind w:left="720"/>
        <w:jc w:val="both"/>
        <w:rPr>
          <w:rFonts w:asciiTheme="minorHAnsi" w:hAnsiTheme="minorHAnsi" w:cstheme="minorHAnsi"/>
          <w:szCs w:val="20"/>
          <w:lang w:val="en-AU"/>
        </w:rPr>
      </w:pPr>
    </w:p>
    <w:p w14:paraId="09EAAC63" w14:textId="685CF2CC" w:rsidR="00D92F24" w:rsidRPr="00872960" w:rsidRDefault="007F4210" w:rsidP="007F4210">
      <w:pPr>
        <w:pStyle w:val="BodyTextHanging"/>
        <w:jc w:val="both"/>
        <w:rPr>
          <w:rFonts w:asciiTheme="minorHAnsi" w:hAnsiTheme="minorHAnsi" w:cstheme="minorHAnsi"/>
          <w:color w:val="495965" w:themeColor="text2"/>
          <w:sz w:val="24"/>
          <w:lang w:val="en-AU"/>
        </w:rPr>
      </w:pPr>
      <w:r w:rsidRPr="00872960">
        <w:rPr>
          <w:rFonts w:cstheme="minorHAnsi"/>
          <w:b/>
          <w:color w:val="495965" w:themeColor="text2"/>
          <w:sz w:val="21"/>
          <w:lang w:val="en-AU"/>
        </w:rPr>
        <w:t>EOPO1</w:t>
      </w:r>
      <w:r w:rsidRPr="00872960">
        <w:rPr>
          <w:rFonts w:cstheme="minorHAnsi"/>
          <w:color w:val="495965" w:themeColor="text2"/>
          <w:sz w:val="21"/>
          <w:lang w:val="en-AU"/>
        </w:rPr>
        <w:t xml:space="preserve">: </w:t>
      </w:r>
      <w:r w:rsidRPr="00872960">
        <w:rPr>
          <w:rFonts w:cstheme="minorHAnsi"/>
          <w:b/>
          <w:bCs/>
          <w:color w:val="495965" w:themeColor="text2"/>
          <w:sz w:val="21"/>
          <w:lang w:val="en-AU"/>
        </w:rPr>
        <w:t>Health sector reforms are increasingly evidence-based and informed by relevant and credible HT-MDTF-supported analytics and policy dialogue.</w:t>
      </w:r>
    </w:p>
    <w:tbl>
      <w:tblPr>
        <w:tblStyle w:val="TableGrid"/>
        <w:tblW w:w="15451" w:type="dxa"/>
        <w:tblInd w:w="-5" w:type="dxa"/>
        <w:tblLayout w:type="fixed"/>
        <w:tblLook w:val="04A0" w:firstRow="1" w:lastRow="0" w:firstColumn="1" w:lastColumn="0" w:noHBand="0" w:noVBand="1"/>
      </w:tblPr>
      <w:tblGrid>
        <w:gridCol w:w="3544"/>
        <w:gridCol w:w="1009"/>
        <w:gridCol w:w="976"/>
        <w:gridCol w:w="850"/>
        <w:gridCol w:w="6804"/>
        <w:gridCol w:w="2268"/>
      </w:tblGrid>
      <w:tr w:rsidR="002B291C" w:rsidRPr="00BA23EC" w14:paraId="01DA0418" w14:textId="77777777" w:rsidTr="00ED5A7F">
        <w:trPr>
          <w:trHeight w:hRule="exact" w:val="624"/>
        </w:trPr>
        <w:tc>
          <w:tcPr>
            <w:tcW w:w="3544" w:type="dxa"/>
            <w:shd w:val="clear" w:color="auto" w:fill="E0F3EF" w:themeFill="accent1" w:themeFillTint="33"/>
            <w:tcMar>
              <w:top w:w="113" w:type="dxa"/>
              <w:bottom w:w="113" w:type="dxa"/>
            </w:tcMar>
            <w:vAlign w:val="center"/>
          </w:tcPr>
          <w:p w14:paraId="1DF52ED8" w14:textId="77777777" w:rsidR="00F205D0" w:rsidRPr="00BA23EC" w:rsidRDefault="00F205D0" w:rsidP="009062A2">
            <w:pPr>
              <w:snapToGrid w:val="0"/>
              <w:spacing w:before="0" w:after="0" w:line="240" w:lineRule="auto"/>
              <w:jc w:val="center"/>
              <w:rPr>
                <w:rFonts w:cstheme="minorHAnsi"/>
                <w:b/>
                <w:sz w:val="21"/>
                <w:lang w:val="en-AU"/>
              </w:rPr>
            </w:pPr>
            <w:bookmarkStart w:id="35" w:name="_Hlk132043366"/>
            <w:r w:rsidRPr="00BA23EC">
              <w:rPr>
                <w:rFonts w:cstheme="minorHAnsi"/>
                <w:b/>
                <w:sz w:val="21"/>
                <w:lang w:val="en-AU"/>
              </w:rPr>
              <w:t>Results Indicator</w:t>
            </w:r>
          </w:p>
        </w:tc>
        <w:tc>
          <w:tcPr>
            <w:tcW w:w="1009" w:type="dxa"/>
            <w:shd w:val="clear" w:color="auto" w:fill="E0F3EF" w:themeFill="accent1" w:themeFillTint="33"/>
            <w:tcMar>
              <w:top w:w="113" w:type="dxa"/>
              <w:bottom w:w="113" w:type="dxa"/>
            </w:tcMar>
          </w:tcPr>
          <w:p w14:paraId="6212E58A" w14:textId="77777777" w:rsidR="00F205D0" w:rsidRPr="00BA23EC" w:rsidRDefault="00F205D0" w:rsidP="009062A2">
            <w:pPr>
              <w:snapToGrid w:val="0"/>
              <w:spacing w:before="0" w:after="0" w:line="240" w:lineRule="auto"/>
              <w:jc w:val="center"/>
              <w:rPr>
                <w:rFonts w:cstheme="minorHAnsi"/>
                <w:b/>
                <w:sz w:val="21"/>
                <w:lang w:val="en-AU"/>
              </w:rPr>
            </w:pPr>
            <w:r w:rsidRPr="00BA23EC">
              <w:rPr>
                <w:rFonts w:cstheme="minorHAnsi"/>
                <w:b/>
                <w:sz w:val="21"/>
                <w:lang w:val="en-AU"/>
              </w:rPr>
              <w:t>Unit of Measure</w:t>
            </w:r>
          </w:p>
        </w:tc>
        <w:tc>
          <w:tcPr>
            <w:tcW w:w="976" w:type="dxa"/>
            <w:shd w:val="clear" w:color="auto" w:fill="E0F3EF" w:themeFill="accent1" w:themeFillTint="33"/>
            <w:tcMar>
              <w:top w:w="113" w:type="dxa"/>
              <w:bottom w:w="113" w:type="dxa"/>
            </w:tcMar>
          </w:tcPr>
          <w:p w14:paraId="09FCCD81" w14:textId="77777777" w:rsidR="00F205D0" w:rsidRPr="00BA23EC" w:rsidRDefault="00F205D0" w:rsidP="009062A2">
            <w:pPr>
              <w:snapToGrid w:val="0"/>
              <w:spacing w:before="0" w:after="0" w:line="240" w:lineRule="auto"/>
              <w:jc w:val="center"/>
              <w:rPr>
                <w:rFonts w:cstheme="minorHAnsi"/>
                <w:b/>
                <w:sz w:val="21"/>
                <w:lang w:val="en-AU"/>
              </w:rPr>
            </w:pPr>
            <w:r w:rsidRPr="00BA23EC">
              <w:rPr>
                <w:rFonts w:cstheme="minorHAnsi"/>
                <w:b/>
                <w:sz w:val="21"/>
                <w:lang w:val="en-AU"/>
              </w:rPr>
              <w:t>Baseline</w:t>
            </w:r>
          </w:p>
        </w:tc>
        <w:tc>
          <w:tcPr>
            <w:tcW w:w="850" w:type="dxa"/>
            <w:shd w:val="clear" w:color="auto" w:fill="E0F3EF" w:themeFill="accent1" w:themeFillTint="33"/>
            <w:tcMar>
              <w:top w:w="113" w:type="dxa"/>
              <w:bottom w:w="113" w:type="dxa"/>
            </w:tcMar>
          </w:tcPr>
          <w:p w14:paraId="426496B2" w14:textId="77777777" w:rsidR="00F205D0" w:rsidRPr="00BA23EC" w:rsidRDefault="00F205D0" w:rsidP="009062A2">
            <w:pPr>
              <w:snapToGrid w:val="0"/>
              <w:spacing w:before="0" w:after="0" w:line="240" w:lineRule="auto"/>
              <w:jc w:val="center"/>
              <w:rPr>
                <w:rFonts w:cstheme="minorHAnsi"/>
                <w:b/>
                <w:sz w:val="21"/>
                <w:lang w:val="en-AU"/>
              </w:rPr>
            </w:pPr>
            <w:r w:rsidRPr="00BA23EC">
              <w:rPr>
                <w:rFonts w:cstheme="minorHAnsi"/>
                <w:b/>
                <w:sz w:val="21"/>
                <w:lang w:val="en-AU"/>
              </w:rPr>
              <w:t>Annual Target</w:t>
            </w:r>
          </w:p>
        </w:tc>
        <w:tc>
          <w:tcPr>
            <w:tcW w:w="6804" w:type="dxa"/>
            <w:shd w:val="clear" w:color="auto" w:fill="E0F3EF" w:themeFill="accent1" w:themeFillTint="33"/>
            <w:tcMar>
              <w:top w:w="113" w:type="dxa"/>
              <w:bottom w:w="113" w:type="dxa"/>
            </w:tcMar>
            <w:vAlign w:val="center"/>
          </w:tcPr>
          <w:p w14:paraId="27F5F36C" w14:textId="62D358A9" w:rsidR="00F205D0" w:rsidRPr="00BA23EC" w:rsidRDefault="00DC4CCA" w:rsidP="009062A2">
            <w:pPr>
              <w:snapToGrid w:val="0"/>
              <w:spacing w:before="0" w:after="0" w:line="240" w:lineRule="auto"/>
              <w:jc w:val="center"/>
              <w:rPr>
                <w:rFonts w:cstheme="minorHAnsi"/>
                <w:b/>
                <w:sz w:val="21"/>
                <w:lang w:val="en-AU"/>
              </w:rPr>
            </w:pPr>
            <w:r w:rsidRPr="00BA23EC">
              <w:rPr>
                <w:rFonts w:cstheme="minorHAnsi"/>
                <w:b/>
                <w:sz w:val="21"/>
                <w:lang w:val="en-AU"/>
              </w:rPr>
              <w:t>Data Collection Method</w:t>
            </w:r>
          </w:p>
        </w:tc>
        <w:tc>
          <w:tcPr>
            <w:tcW w:w="2268" w:type="dxa"/>
            <w:shd w:val="clear" w:color="auto" w:fill="E0F3EF" w:themeFill="accent1" w:themeFillTint="33"/>
            <w:tcMar>
              <w:top w:w="113" w:type="dxa"/>
              <w:bottom w:w="113" w:type="dxa"/>
            </w:tcMar>
            <w:vAlign w:val="center"/>
          </w:tcPr>
          <w:p w14:paraId="21883806" w14:textId="66F04ECD" w:rsidR="00F205D0" w:rsidRPr="00BA23EC" w:rsidRDefault="003D2D60" w:rsidP="009062A2">
            <w:pPr>
              <w:snapToGrid w:val="0"/>
              <w:spacing w:before="0" w:after="0" w:line="240" w:lineRule="auto"/>
              <w:jc w:val="center"/>
              <w:rPr>
                <w:rFonts w:cstheme="minorHAnsi"/>
                <w:b/>
                <w:sz w:val="21"/>
                <w:lang w:val="en-AU"/>
              </w:rPr>
            </w:pPr>
            <w:r w:rsidRPr="00BA23EC">
              <w:rPr>
                <w:rFonts w:cstheme="minorHAnsi"/>
                <w:b/>
                <w:sz w:val="21"/>
                <w:lang w:val="en-AU"/>
              </w:rPr>
              <w:t>Frequency</w:t>
            </w:r>
            <w:r w:rsidR="00E07419" w:rsidRPr="00BA23EC">
              <w:rPr>
                <w:rFonts w:cstheme="minorHAnsi"/>
                <w:b/>
                <w:sz w:val="21"/>
                <w:lang w:val="en-AU"/>
              </w:rPr>
              <w:t>/Report</w:t>
            </w:r>
          </w:p>
        </w:tc>
      </w:tr>
      <w:bookmarkEnd w:id="35"/>
      <w:tr w:rsidR="004C7549" w:rsidRPr="00BA23EC" w14:paraId="52D639F0" w14:textId="77777777" w:rsidTr="009062A2">
        <w:trPr>
          <w:trHeight w:val="1587"/>
        </w:trPr>
        <w:tc>
          <w:tcPr>
            <w:tcW w:w="3544" w:type="dxa"/>
            <w:tcMar>
              <w:top w:w="113" w:type="dxa"/>
              <w:bottom w:w="113" w:type="dxa"/>
            </w:tcMar>
            <w:vAlign w:val="center"/>
          </w:tcPr>
          <w:p w14:paraId="5D075CC3" w14:textId="5FBF8314" w:rsidR="00F205D0" w:rsidRPr="00BA23EC" w:rsidRDefault="003D2D60" w:rsidP="00C6575F">
            <w:pPr>
              <w:snapToGrid w:val="0"/>
              <w:spacing w:before="0" w:after="0" w:line="240" w:lineRule="auto"/>
              <w:rPr>
                <w:rFonts w:cstheme="minorHAnsi"/>
                <w:sz w:val="21"/>
                <w:lang w:val="en-AU"/>
              </w:rPr>
            </w:pPr>
            <w:r w:rsidRPr="00BA23EC">
              <w:rPr>
                <w:rFonts w:cstheme="minorHAnsi"/>
                <w:b/>
                <w:sz w:val="21"/>
                <w:lang w:val="en-AU"/>
              </w:rPr>
              <w:t xml:space="preserve">Indicator E1.1. </w:t>
            </w:r>
            <w:r w:rsidR="005B3631" w:rsidRPr="005B3631">
              <w:rPr>
                <w:rFonts w:cstheme="minorHAnsi"/>
                <w:sz w:val="21"/>
                <w:lang w:val="en-AU"/>
              </w:rPr>
              <w:t xml:space="preserve">Documented instances of evidence-informed analytics and policy discussions facilitated by the MDTF Secretariat that inform and shape relevant health sector projects, program, policies, </w:t>
            </w:r>
            <w:proofErr w:type="gramStart"/>
            <w:r w:rsidR="005B3631" w:rsidRPr="005B3631">
              <w:rPr>
                <w:rFonts w:cstheme="minorHAnsi"/>
                <w:sz w:val="21"/>
                <w:lang w:val="en-AU"/>
              </w:rPr>
              <w:t>pilots</w:t>
            </w:r>
            <w:proofErr w:type="gramEnd"/>
            <w:r w:rsidR="005B3631" w:rsidRPr="005B3631">
              <w:rPr>
                <w:rFonts w:cstheme="minorHAnsi"/>
                <w:sz w:val="21"/>
                <w:lang w:val="en-AU"/>
              </w:rPr>
              <w:t xml:space="preserve"> and reforms.</w:t>
            </w:r>
          </w:p>
        </w:tc>
        <w:tc>
          <w:tcPr>
            <w:tcW w:w="1009" w:type="dxa"/>
            <w:tcMar>
              <w:top w:w="113" w:type="dxa"/>
              <w:bottom w:w="113" w:type="dxa"/>
            </w:tcMar>
            <w:vAlign w:val="center"/>
          </w:tcPr>
          <w:p w14:paraId="1259296D" w14:textId="552785DE" w:rsidR="00F205D0" w:rsidRPr="00BA23EC" w:rsidRDefault="00F205D0" w:rsidP="00C6575F">
            <w:pPr>
              <w:snapToGrid w:val="0"/>
              <w:spacing w:before="0" w:after="0" w:line="240" w:lineRule="auto"/>
              <w:jc w:val="center"/>
              <w:rPr>
                <w:rFonts w:cstheme="minorHAnsi"/>
                <w:sz w:val="21"/>
                <w:lang w:val="en-AU"/>
              </w:rPr>
            </w:pPr>
            <w:r w:rsidRPr="00BA23EC">
              <w:rPr>
                <w:rFonts w:cstheme="minorHAnsi"/>
                <w:sz w:val="21"/>
                <w:lang w:val="en-AU"/>
              </w:rPr>
              <w:t>Number of cases</w:t>
            </w:r>
          </w:p>
        </w:tc>
        <w:tc>
          <w:tcPr>
            <w:tcW w:w="976" w:type="dxa"/>
            <w:tcMar>
              <w:top w:w="113" w:type="dxa"/>
              <w:bottom w:w="113" w:type="dxa"/>
            </w:tcMar>
            <w:vAlign w:val="center"/>
          </w:tcPr>
          <w:p w14:paraId="48EE9F04" w14:textId="77777777" w:rsidR="00F205D0" w:rsidRPr="00BA23EC" w:rsidRDefault="00F205D0" w:rsidP="00C6575F">
            <w:pPr>
              <w:snapToGrid w:val="0"/>
              <w:spacing w:before="0" w:after="0" w:line="240" w:lineRule="auto"/>
              <w:jc w:val="center"/>
              <w:rPr>
                <w:rFonts w:cstheme="minorHAnsi"/>
                <w:sz w:val="21"/>
                <w:lang w:val="en-AU"/>
              </w:rPr>
            </w:pPr>
            <w:r w:rsidRPr="00BA23EC">
              <w:rPr>
                <w:rFonts w:cstheme="minorHAnsi"/>
                <w:sz w:val="21"/>
                <w:lang w:val="en-AU"/>
              </w:rPr>
              <w:t>0</w:t>
            </w:r>
          </w:p>
        </w:tc>
        <w:tc>
          <w:tcPr>
            <w:tcW w:w="850" w:type="dxa"/>
            <w:tcMar>
              <w:top w:w="113" w:type="dxa"/>
              <w:bottom w:w="113" w:type="dxa"/>
            </w:tcMar>
            <w:vAlign w:val="center"/>
          </w:tcPr>
          <w:p w14:paraId="4CCE892F" w14:textId="66005CA8" w:rsidR="00F205D0" w:rsidRPr="00BA23EC" w:rsidRDefault="006464BF" w:rsidP="00C6575F">
            <w:pPr>
              <w:snapToGrid w:val="0"/>
              <w:spacing w:before="0" w:after="0" w:line="240" w:lineRule="auto"/>
              <w:jc w:val="center"/>
              <w:rPr>
                <w:rFonts w:cstheme="minorHAnsi"/>
                <w:sz w:val="21"/>
                <w:lang w:val="en-AU"/>
              </w:rPr>
            </w:pPr>
            <w:r w:rsidRPr="00BA23EC">
              <w:rPr>
                <w:rFonts w:cstheme="minorHAnsi"/>
                <w:sz w:val="21"/>
                <w:lang w:val="en-AU"/>
              </w:rPr>
              <w:t>3-5</w:t>
            </w:r>
          </w:p>
        </w:tc>
        <w:tc>
          <w:tcPr>
            <w:tcW w:w="6804" w:type="dxa"/>
            <w:tcMar>
              <w:top w:w="113" w:type="dxa"/>
              <w:bottom w:w="113" w:type="dxa"/>
            </w:tcMar>
            <w:vAlign w:val="center"/>
          </w:tcPr>
          <w:p w14:paraId="02B89A9E" w14:textId="05601BF5" w:rsidR="00F205D0" w:rsidRPr="00BA23EC" w:rsidRDefault="00CD2D07" w:rsidP="00C6575F">
            <w:pPr>
              <w:snapToGrid w:val="0"/>
              <w:spacing w:before="0" w:after="0" w:line="240" w:lineRule="auto"/>
              <w:rPr>
                <w:rFonts w:cstheme="minorHAnsi"/>
                <w:sz w:val="21"/>
                <w:lang w:val="en-AU"/>
              </w:rPr>
            </w:pPr>
            <w:r w:rsidRPr="00BA23EC">
              <w:rPr>
                <w:rFonts w:cstheme="minorHAnsi"/>
                <w:sz w:val="21"/>
                <w:lang w:val="en-AU"/>
              </w:rPr>
              <w:t xml:space="preserve">MDTF Secretariat and World Bank </w:t>
            </w:r>
            <w:r w:rsidR="005F734E">
              <w:rPr>
                <w:rFonts w:cstheme="minorHAnsi"/>
                <w:sz w:val="21"/>
                <w:lang w:val="en-AU"/>
              </w:rPr>
              <w:t xml:space="preserve">reporting includes a </w:t>
            </w:r>
            <w:r w:rsidR="005D00F2" w:rsidRPr="00BA23EC">
              <w:rPr>
                <w:rFonts w:cstheme="minorHAnsi"/>
                <w:sz w:val="21"/>
                <w:lang w:val="en-AU"/>
              </w:rPr>
              <w:t>qualitative assessment of impact of analytical work</w:t>
            </w:r>
            <w:r w:rsidR="004328EF">
              <w:rPr>
                <w:rFonts w:cstheme="minorHAnsi"/>
                <w:sz w:val="21"/>
                <w:lang w:val="en-AU"/>
              </w:rPr>
              <w:t xml:space="preserve"> and policy dialogue</w:t>
            </w:r>
            <w:r w:rsidR="005D00F2" w:rsidRPr="00BA23EC">
              <w:rPr>
                <w:rFonts w:cstheme="minorHAnsi"/>
                <w:sz w:val="21"/>
                <w:lang w:val="en-AU"/>
              </w:rPr>
              <w:t>, identify</w:t>
            </w:r>
            <w:r w:rsidR="004328EF">
              <w:rPr>
                <w:rFonts w:cstheme="minorHAnsi"/>
                <w:sz w:val="21"/>
                <w:lang w:val="en-AU"/>
              </w:rPr>
              <w:t>ing</w:t>
            </w:r>
            <w:r w:rsidR="005D00F2" w:rsidRPr="00BA23EC">
              <w:rPr>
                <w:rFonts w:cstheme="minorHAnsi"/>
                <w:sz w:val="21"/>
                <w:lang w:val="en-AU"/>
              </w:rPr>
              <w:t xml:space="preserve"> and document</w:t>
            </w:r>
            <w:r w:rsidR="004328EF">
              <w:rPr>
                <w:rFonts w:cstheme="minorHAnsi"/>
                <w:sz w:val="21"/>
                <w:lang w:val="en-AU"/>
              </w:rPr>
              <w:t>ing</w:t>
            </w:r>
            <w:r w:rsidR="005D00F2" w:rsidRPr="00BA23EC">
              <w:rPr>
                <w:rFonts w:cstheme="minorHAnsi"/>
                <w:sz w:val="21"/>
                <w:lang w:val="en-AU"/>
              </w:rPr>
              <w:t xml:space="preserve"> instances of significant policy change, and achievements of health reform projects and programs in Annual Reports for consideration by the Partnership Council.</w:t>
            </w:r>
            <w:r w:rsidR="00F205D0" w:rsidRPr="00BA23EC">
              <w:rPr>
                <w:rFonts w:cstheme="minorHAnsi"/>
                <w:sz w:val="21"/>
                <w:lang w:val="en-AU"/>
              </w:rPr>
              <w:t xml:space="preserve"> </w:t>
            </w:r>
          </w:p>
          <w:p w14:paraId="6044E860" w14:textId="025604ED" w:rsidR="00E07419" w:rsidRPr="00BA23EC" w:rsidRDefault="00E07419" w:rsidP="00C6575F">
            <w:pPr>
              <w:snapToGrid w:val="0"/>
              <w:spacing w:before="0" w:after="0" w:line="240" w:lineRule="auto"/>
              <w:rPr>
                <w:rFonts w:cstheme="minorHAnsi"/>
                <w:sz w:val="21"/>
                <w:lang w:val="en-AU"/>
              </w:rPr>
            </w:pPr>
            <w:r w:rsidRPr="00BA23EC">
              <w:rPr>
                <w:rFonts w:cstheme="minorHAnsi"/>
                <w:sz w:val="21"/>
                <w:lang w:val="en-AU"/>
              </w:rPr>
              <w:t>Evidence gathered from joint monitoring missions</w:t>
            </w:r>
            <w:r w:rsidR="00554AF8">
              <w:rPr>
                <w:rFonts w:cstheme="minorHAnsi"/>
                <w:sz w:val="21"/>
                <w:lang w:val="en-AU"/>
              </w:rPr>
              <w:t>.</w:t>
            </w:r>
          </w:p>
          <w:p w14:paraId="3F0555E7" w14:textId="1668A880" w:rsidR="00B84CCC" w:rsidRDefault="004C7549" w:rsidP="00C6575F">
            <w:pPr>
              <w:snapToGrid w:val="0"/>
              <w:spacing w:before="0" w:after="0" w:line="240" w:lineRule="auto"/>
              <w:rPr>
                <w:rFonts w:cstheme="minorHAnsi"/>
                <w:sz w:val="21"/>
                <w:lang w:val="en-AU"/>
              </w:rPr>
            </w:pPr>
            <w:r w:rsidRPr="00BA23EC">
              <w:rPr>
                <w:rFonts w:cstheme="minorHAnsi"/>
                <w:sz w:val="21"/>
                <w:lang w:val="en-AU"/>
              </w:rPr>
              <w:t>Partnership Council meeting minutes to record decisions and endorsement of significant impact.</w:t>
            </w:r>
          </w:p>
          <w:p w14:paraId="2A71BD3F" w14:textId="65277014" w:rsidR="00B84CCC" w:rsidRPr="00BA23EC" w:rsidRDefault="002E7180" w:rsidP="00C6575F">
            <w:pPr>
              <w:snapToGrid w:val="0"/>
              <w:spacing w:before="0" w:after="0" w:line="240" w:lineRule="auto"/>
              <w:rPr>
                <w:rFonts w:cstheme="minorHAnsi"/>
                <w:sz w:val="21"/>
                <w:lang w:val="en-AU"/>
              </w:rPr>
            </w:pPr>
            <w:r>
              <w:rPr>
                <w:rFonts w:cstheme="minorHAnsi"/>
                <w:sz w:val="21"/>
                <w:lang w:val="en-AU"/>
              </w:rPr>
              <w:t xml:space="preserve">Documented instances may also include quantitative data from pilots, such as improved access and health outcomes. </w:t>
            </w:r>
          </w:p>
        </w:tc>
        <w:tc>
          <w:tcPr>
            <w:tcW w:w="2268" w:type="dxa"/>
            <w:tcMar>
              <w:top w:w="113" w:type="dxa"/>
              <w:bottom w:w="113" w:type="dxa"/>
            </w:tcMar>
            <w:vAlign w:val="center"/>
          </w:tcPr>
          <w:p w14:paraId="71870698" w14:textId="2357462E" w:rsidR="00E07419" w:rsidRPr="00BA23EC" w:rsidRDefault="00E07419" w:rsidP="00C6575F">
            <w:pPr>
              <w:snapToGrid w:val="0"/>
              <w:spacing w:before="0" w:after="0" w:line="240" w:lineRule="auto"/>
              <w:rPr>
                <w:rFonts w:cstheme="minorHAnsi"/>
                <w:sz w:val="21"/>
                <w:lang w:val="en-AU"/>
              </w:rPr>
            </w:pPr>
            <w:r w:rsidRPr="00BA23EC">
              <w:rPr>
                <w:rFonts w:cstheme="minorHAnsi"/>
                <w:sz w:val="21"/>
                <w:lang w:val="en-AU"/>
              </w:rPr>
              <w:t>MDTF Annual Report</w:t>
            </w:r>
            <w:r w:rsidR="005F3DD8" w:rsidRPr="00BA23EC">
              <w:rPr>
                <w:rFonts w:cstheme="minorHAnsi"/>
                <w:sz w:val="21"/>
                <w:lang w:val="en-AU"/>
              </w:rPr>
              <w:t xml:space="preserve"> (MDTF Secretariat)</w:t>
            </w:r>
          </w:p>
          <w:p w14:paraId="55EC5838" w14:textId="5B4D285A" w:rsidR="00F205D0" w:rsidRPr="00BA23EC" w:rsidRDefault="00E07419" w:rsidP="00C6575F">
            <w:pPr>
              <w:snapToGrid w:val="0"/>
              <w:spacing w:before="0" w:after="0" w:line="240" w:lineRule="auto"/>
              <w:rPr>
                <w:rFonts w:cstheme="minorHAnsi"/>
                <w:sz w:val="21"/>
                <w:szCs w:val="21"/>
                <w:lang w:val="en-AU"/>
              </w:rPr>
            </w:pPr>
            <w:r w:rsidRPr="00BA23EC">
              <w:rPr>
                <w:rFonts w:cstheme="minorHAnsi"/>
                <w:sz w:val="21"/>
                <w:lang w:val="en-AU"/>
              </w:rPr>
              <w:t xml:space="preserve">World Bank </w:t>
            </w:r>
            <w:r w:rsidR="00CD2D07" w:rsidRPr="00BA23EC">
              <w:rPr>
                <w:rFonts w:cstheme="minorHAnsi"/>
                <w:sz w:val="21"/>
                <w:lang w:val="en-AU"/>
              </w:rPr>
              <w:t>Annual</w:t>
            </w:r>
            <w:r w:rsidRPr="00BA23EC">
              <w:rPr>
                <w:rFonts w:cstheme="minorHAnsi"/>
                <w:sz w:val="21"/>
                <w:lang w:val="en-AU"/>
              </w:rPr>
              <w:t xml:space="preserve"> Progress </w:t>
            </w:r>
            <w:r w:rsidR="00A50221" w:rsidRPr="00BA23EC">
              <w:rPr>
                <w:rFonts w:cstheme="minorHAnsi"/>
                <w:sz w:val="21"/>
                <w:szCs w:val="21"/>
                <w:lang w:val="en-AU"/>
              </w:rPr>
              <w:t>Review</w:t>
            </w:r>
          </w:p>
          <w:p w14:paraId="60F44B3F" w14:textId="4608BDEE" w:rsidR="002155D8" w:rsidRPr="00BA23EC" w:rsidRDefault="002155D8" w:rsidP="00C6575F">
            <w:pPr>
              <w:snapToGrid w:val="0"/>
              <w:spacing w:before="0" w:after="0" w:line="240" w:lineRule="auto"/>
              <w:rPr>
                <w:rFonts w:cstheme="minorHAnsi"/>
                <w:sz w:val="21"/>
                <w:lang w:val="en-AU"/>
              </w:rPr>
            </w:pPr>
            <w:r w:rsidRPr="00BA23EC">
              <w:rPr>
                <w:rFonts w:cstheme="minorHAnsi"/>
                <w:sz w:val="21"/>
                <w:szCs w:val="21"/>
                <w:lang w:val="en-AU"/>
              </w:rPr>
              <w:t>World Bank</w:t>
            </w:r>
            <w:r w:rsidR="00554AF8">
              <w:rPr>
                <w:rFonts w:cstheme="minorHAnsi"/>
                <w:sz w:val="21"/>
                <w:szCs w:val="21"/>
                <w:lang w:val="en-AU"/>
              </w:rPr>
              <w:t xml:space="preserve"> </w:t>
            </w:r>
            <w:r w:rsidRPr="00BA23EC">
              <w:rPr>
                <w:rFonts w:cstheme="minorHAnsi"/>
                <w:sz w:val="21"/>
                <w:szCs w:val="21"/>
                <w:lang w:val="en-AU"/>
              </w:rPr>
              <w:t>Implementation Status and Results Report</w:t>
            </w:r>
          </w:p>
          <w:p w14:paraId="3C203B41" w14:textId="77777777" w:rsidR="00E07419" w:rsidRPr="00BA23EC" w:rsidRDefault="00E07419" w:rsidP="00C6575F">
            <w:pPr>
              <w:snapToGrid w:val="0"/>
              <w:spacing w:before="0" w:after="0" w:line="240" w:lineRule="auto"/>
              <w:rPr>
                <w:rFonts w:cstheme="minorHAnsi"/>
                <w:sz w:val="21"/>
                <w:lang w:val="en-AU"/>
              </w:rPr>
            </w:pPr>
            <w:r w:rsidRPr="00BA23EC">
              <w:rPr>
                <w:rFonts w:cstheme="minorHAnsi"/>
                <w:sz w:val="21"/>
                <w:lang w:val="en-AU"/>
              </w:rPr>
              <w:t>Aide Memoire</w:t>
            </w:r>
          </w:p>
          <w:p w14:paraId="4DEB317C" w14:textId="4B454874" w:rsidR="004C7549" w:rsidRPr="00BA23EC" w:rsidRDefault="004C7549" w:rsidP="00C6575F">
            <w:pPr>
              <w:snapToGrid w:val="0"/>
              <w:spacing w:before="0" w:after="0" w:line="240" w:lineRule="auto"/>
              <w:rPr>
                <w:rFonts w:cstheme="minorHAnsi"/>
                <w:sz w:val="21"/>
                <w:lang w:val="en-AU"/>
              </w:rPr>
            </w:pPr>
            <w:r w:rsidRPr="00BA23EC">
              <w:rPr>
                <w:rFonts w:cstheme="minorHAnsi"/>
                <w:sz w:val="21"/>
                <w:lang w:val="en-AU"/>
              </w:rPr>
              <w:t>PC Meeting minutes</w:t>
            </w:r>
          </w:p>
        </w:tc>
      </w:tr>
    </w:tbl>
    <w:p w14:paraId="2E182DC4" w14:textId="77777777" w:rsidR="00F43913" w:rsidRDefault="00F43913"/>
    <w:p w14:paraId="190A5F3A" w14:textId="3DF3FFF7" w:rsidR="00457906" w:rsidRPr="00872960" w:rsidRDefault="00457906">
      <w:r w:rsidRPr="00872960">
        <w:rPr>
          <w:rFonts w:cstheme="minorHAnsi"/>
          <w:b/>
          <w:sz w:val="21"/>
          <w:lang w:val="en-AU"/>
        </w:rPr>
        <w:lastRenderedPageBreak/>
        <w:t>EOPO2: Health sector reforms are informed by HT-MDTF-supported analytics and technical assistance that pay particular attention to addressing inequalities for women and girls, people with disabilities, and climate resilience.</w:t>
      </w:r>
    </w:p>
    <w:tbl>
      <w:tblPr>
        <w:tblStyle w:val="TableGrid"/>
        <w:tblW w:w="15451" w:type="dxa"/>
        <w:tblInd w:w="-5" w:type="dxa"/>
        <w:tblLayout w:type="fixed"/>
        <w:tblLook w:val="04A0" w:firstRow="1" w:lastRow="0" w:firstColumn="1" w:lastColumn="0" w:noHBand="0" w:noVBand="1"/>
      </w:tblPr>
      <w:tblGrid>
        <w:gridCol w:w="3969"/>
        <w:gridCol w:w="1134"/>
        <w:gridCol w:w="993"/>
        <w:gridCol w:w="992"/>
        <w:gridCol w:w="6095"/>
        <w:gridCol w:w="2268"/>
      </w:tblGrid>
      <w:tr w:rsidR="00DB07F5" w:rsidRPr="00BA23EC" w14:paraId="7953BE61" w14:textId="77777777" w:rsidTr="001252BC">
        <w:tc>
          <w:tcPr>
            <w:tcW w:w="3969" w:type="dxa"/>
            <w:shd w:val="clear" w:color="auto" w:fill="E0F3EF" w:themeFill="accent1" w:themeFillTint="33"/>
            <w:tcMar>
              <w:top w:w="113" w:type="dxa"/>
              <w:bottom w:w="113" w:type="dxa"/>
            </w:tcMar>
            <w:vAlign w:val="center"/>
          </w:tcPr>
          <w:p w14:paraId="6207B6D5" w14:textId="77777777" w:rsidR="00DB07F5" w:rsidRPr="00BA23EC" w:rsidRDefault="00DB07F5" w:rsidP="000C0576">
            <w:pPr>
              <w:spacing w:after="0" w:line="240" w:lineRule="auto"/>
              <w:rPr>
                <w:rFonts w:cstheme="minorHAnsi"/>
                <w:lang w:val="en-AU"/>
              </w:rPr>
            </w:pPr>
            <w:r w:rsidRPr="00BA23EC">
              <w:rPr>
                <w:rFonts w:cstheme="minorHAnsi"/>
                <w:b/>
                <w:sz w:val="21"/>
                <w:szCs w:val="21"/>
                <w:lang w:val="en-AU"/>
              </w:rPr>
              <w:t>Results Indicator</w:t>
            </w:r>
          </w:p>
        </w:tc>
        <w:tc>
          <w:tcPr>
            <w:tcW w:w="1134" w:type="dxa"/>
            <w:shd w:val="clear" w:color="auto" w:fill="E0F3EF" w:themeFill="accent1" w:themeFillTint="33"/>
            <w:tcMar>
              <w:top w:w="113" w:type="dxa"/>
              <w:bottom w:w="113" w:type="dxa"/>
            </w:tcMar>
            <w:vAlign w:val="center"/>
          </w:tcPr>
          <w:p w14:paraId="5CFDE397" w14:textId="77777777" w:rsidR="00DB07F5" w:rsidRPr="00BA23EC" w:rsidRDefault="00DB07F5" w:rsidP="000C0576">
            <w:pPr>
              <w:snapToGrid w:val="0"/>
              <w:spacing w:after="0" w:line="240" w:lineRule="auto"/>
              <w:rPr>
                <w:rFonts w:cstheme="minorHAnsi"/>
                <w:sz w:val="21"/>
                <w:szCs w:val="21"/>
                <w:lang w:val="en-AU"/>
              </w:rPr>
            </w:pPr>
            <w:r w:rsidRPr="00BA23EC">
              <w:rPr>
                <w:rFonts w:cstheme="minorHAnsi"/>
                <w:b/>
                <w:sz w:val="21"/>
                <w:szCs w:val="21"/>
                <w:lang w:val="en-AU"/>
              </w:rPr>
              <w:t>Unit of Measure</w:t>
            </w:r>
          </w:p>
        </w:tc>
        <w:tc>
          <w:tcPr>
            <w:tcW w:w="993" w:type="dxa"/>
            <w:shd w:val="clear" w:color="auto" w:fill="E0F3EF" w:themeFill="accent1" w:themeFillTint="33"/>
            <w:tcMar>
              <w:top w:w="113" w:type="dxa"/>
              <w:bottom w:w="113" w:type="dxa"/>
            </w:tcMar>
            <w:vAlign w:val="center"/>
          </w:tcPr>
          <w:p w14:paraId="13110C5F" w14:textId="77777777" w:rsidR="00DB07F5" w:rsidRPr="00BA23EC" w:rsidRDefault="00DB07F5" w:rsidP="000C0576">
            <w:pPr>
              <w:snapToGrid w:val="0"/>
              <w:spacing w:after="0" w:line="240" w:lineRule="auto"/>
              <w:rPr>
                <w:rFonts w:cstheme="minorHAnsi"/>
                <w:sz w:val="21"/>
                <w:szCs w:val="21"/>
                <w:lang w:val="en-AU"/>
              </w:rPr>
            </w:pPr>
            <w:r w:rsidRPr="00BA23EC">
              <w:rPr>
                <w:rFonts w:cstheme="minorHAnsi"/>
                <w:b/>
                <w:sz w:val="21"/>
                <w:szCs w:val="21"/>
                <w:lang w:val="en-AU"/>
              </w:rPr>
              <w:t>Baseline</w:t>
            </w:r>
          </w:p>
        </w:tc>
        <w:tc>
          <w:tcPr>
            <w:tcW w:w="992" w:type="dxa"/>
            <w:shd w:val="clear" w:color="auto" w:fill="E0F3EF" w:themeFill="accent1" w:themeFillTint="33"/>
            <w:tcMar>
              <w:top w:w="113" w:type="dxa"/>
              <w:bottom w:w="113" w:type="dxa"/>
            </w:tcMar>
            <w:vAlign w:val="center"/>
          </w:tcPr>
          <w:p w14:paraId="10145D4D" w14:textId="77777777" w:rsidR="00DB07F5" w:rsidRPr="00BA23EC" w:rsidRDefault="00DB07F5" w:rsidP="000C0576">
            <w:pPr>
              <w:snapToGrid w:val="0"/>
              <w:spacing w:after="0" w:line="240" w:lineRule="auto"/>
              <w:rPr>
                <w:rFonts w:cstheme="minorHAnsi"/>
                <w:sz w:val="21"/>
                <w:szCs w:val="21"/>
                <w:lang w:val="en-AU"/>
              </w:rPr>
            </w:pPr>
            <w:r w:rsidRPr="00BA23EC">
              <w:rPr>
                <w:rFonts w:cstheme="minorHAnsi"/>
                <w:b/>
                <w:sz w:val="21"/>
                <w:szCs w:val="21"/>
                <w:lang w:val="en-AU"/>
              </w:rPr>
              <w:t>Annual Target</w:t>
            </w:r>
          </w:p>
        </w:tc>
        <w:tc>
          <w:tcPr>
            <w:tcW w:w="6095" w:type="dxa"/>
            <w:shd w:val="clear" w:color="auto" w:fill="E0F3EF" w:themeFill="accent1" w:themeFillTint="33"/>
            <w:tcMar>
              <w:top w:w="113" w:type="dxa"/>
              <w:bottom w:w="113" w:type="dxa"/>
            </w:tcMar>
            <w:vAlign w:val="center"/>
          </w:tcPr>
          <w:p w14:paraId="784BFCB4" w14:textId="77777777" w:rsidR="00DB07F5" w:rsidRPr="00BA23EC" w:rsidRDefault="00DB07F5" w:rsidP="000C0576">
            <w:pPr>
              <w:snapToGrid w:val="0"/>
              <w:spacing w:after="0" w:line="240" w:lineRule="auto"/>
              <w:rPr>
                <w:rFonts w:cstheme="minorHAnsi"/>
                <w:sz w:val="21"/>
                <w:szCs w:val="21"/>
                <w:lang w:val="en-AU"/>
              </w:rPr>
            </w:pPr>
            <w:r w:rsidRPr="00BA23EC">
              <w:rPr>
                <w:rFonts w:cstheme="minorHAnsi"/>
                <w:b/>
                <w:sz w:val="21"/>
                <w:szCs w:val="21"/>
                <w:lang w:val="en-AU"/>
              </w:rPr>
              <w:t>Data Collection Method</w:t>
            </w:r>
          </w:p>
        </w:tc>
        <w:tc>
          <w:tcPr>
            <w:tcW w:w="2268" w:type="dxa"/>
            <w:shd w:val="clear" w:color="auto" w:fill="E0F3EF" w:themeFill="accent1" w:themeFillTint="33"/>
            <w:tcMar>
              <w:top w:w="113" w:type="dxa"/>
              <w:bottom w:w="113" w:type="dxa"/>
            </w:tcMar>
            <w:vAlign w:val="center"/>
          </w:tcPr>
          <w:p w14:paraId="162A8C44" w14:textId="77777777" w:rsidR="00DB07F5" w:rsidRPr="00BA23EC" w:rsidRDefault="00DB07F5" w:rsidP="000C0576">
            <w:pPr>
              <w:snapToGrid w:val="0"/>
              <w:spacing w:after="0" w:line="240" w:lineRule="auto"/>
              <w:rPr>
                <w:rFonts w:cstheme="minorHAnsi"/>
                <w:sz w:val="21"/>
                <w:szCs w:val="21"/>
                <w:lang w:val="en-AU"/>
              </w:rPr>
            </w:pPr>
            <w:r w:rsidRPr="00BA23EC">
              <w:rPr>
                <w:rFonts w:cstheme="minorHAnsi"/>
                <w:b/>
                <w:sz w:val="21"/>
                <w:szCs w:val="21"/>
                <w:lang w:val="en-AU"/>
              </w:rPr>
              <w:t>Frequency/Report</w:t>
            </w:r>
          </w:p>
        </w:tc>
      </w:tr>
      <w:tr w:rsidR="00DB07F5" w:rsidRPr="00BA23EC" w14:paraId="227172D7" w14:textId="77777777" w:rsidTr="001252BC">
        <w:trPr>
          <w:trHeight w:val="964"/>
        </w:trPr>
        <w:tc>
          <w:tcPr>
            <w:tcW w:w="3969" w:type="dxa"/>
            <w:tcMar>
              <w:top w:w="113" w:type="dxa"/>
              <w:bottom w:w="113" w:type="dxa"/>
            </w:tcMar>
            <w:vAlign w:val="center"/>
          </w:tcPr>
          <w:p w14:paraId="1CBB797D" w14:textId="0BB52E4E" w:rsidR="00DB07F5" w:rsidRPr="00BA23EC" w:rsidRDefault="00DB07F5" w:rsidP="00C6575F">
            <w:pPr>
              <w:snapToGrid w:val="0"/>
              <w:spacing w:before="0" w:after="0" w:line="240" w:lineRule="auto"/>
              <w:rPr>
                <w:rFonts w:cstheme="minorHAnsi"/>
                <w:lang w:val="en-AU"/>
              </w:rPr>
            </w:pPr>
            <w:r w:rsidRPr="00BA23EC">
              <w:rPr>
                <w:rFonts w:cstheme="minorHAnsi"/>
                <w:b/>
                <w:sz w:val="21"/>
                <w:lang w:val="en-AU"/>
              </w:rPr>
              <w:t xml:space="preserve">Indicator (E2.1). </w:t>
            </w:r>
            <w:r w:rsidR="002E7180" w:rsidRPr="002E7180">
              <w:rPr>
                <w:rFonts w:cstheme="minorHAnsi"/>
                <w:sz w:val="21"/>
                <w:lang w:val="en-AU"/>
              </w:rPr>
              <w:t>Documented instances of evidence-informed analytics and policy discussions facilitated by the MDTF Secretariat that pay particular attention to addressing inequality for women and girls, people with disability and climate resilience, as well as the intersectionality between these aspects</w:t>
            </w:r>
          </w:p>
        </w:tc>
        <w:tc>
          <w:tcPr>
            <w:tcW w:w="1134" w:type="dxa"/>
            <w:tcMar>
              <w:top w:w="113" w:type="dxa"/>
              <w:bottom w:w="113" w:type="dxa"/>
            </w:tcMar>
            <w:vAlign w:val="center"/>
          </w:tcPr>
          <w:p w14:paraId="5F3079C3" w14:textId="57643892" w:rsidR="00DB07F5" w:rsidRPr="00BA23EC" w:rsidRDefault="00B83397" w:rsidP="00C6575F">
            <w:pPr>
              <w:snapToGrid w:val="0"/>
              <w:spacing w:before="0" w:after="0" w:line="240" w:lineRule="auto"/>
              <w:rPr>
                <w:rFonts w:cstheme="minorHAnsi"/>
                <w:sz w:val="21"/>
                <w:lang w:val="en-AU"/>
              </w:rPr>
            </w:pPr>
            <w:r>
              <w:rPr>
                <w:rFonts w:cstheme="minorHAnsi"/>
                <w:sz w:val="21"/>
                <w:szCs w:val="21"/>
                <w:lang w:val="en-AU"/>
              </w:rPr>
              <w:t>No. of cases</w:t>
            </w:r>
          </w:p>
        </w:tc>
        <w:tc>
          <w:tcPr>
            <w:tcW w:w="993" w:type="dxa"/>
            <w:tcMar>
              <w:top w:w="113" w:type="dxa"/>
              <w:bottom w:w="113" w:type="dxa"/>
            </w:tcMar>
            <w:vAlign w:val="center"/>
          </w:tcPr>
          <w:p w14:paraId="61BC275F" w14:textId="77777777" w:rsidR="00DB07F5" w:rsidRPr="00BA23EC" w:rsidRDefault="00DB07F5" w:rsidP="00C6575F">
            <w:pPr>
              <w:snapToGrid w:val="0"/>
              <w:spacing w:before="0" w:after="0" w:line="240" w:lineRule="auto"/>
              <w:jc w:val="center"/>
              <w:rPr>
                <w:rFonts w:cstheme="minorHAnsi"/>
                <w:sz w:val="21"/>
                <w:lang w:val="en-AU"/>
              </w:rPr>
            </w:pPr>
            <w:r w:rsidRPr="00BA23EC">
              <w:rPr>
                <w:rFonts w:cstheme="minorHAnsi"/>
                <w:sz w:val="21"/>
                <w:lang w:val="en-AU"/>
              </w:rPr>
              <w:t>0</w:t>
            </w:r>
          </w:p>
        </w:tc>
        <w:tc>
          <w:tcPr>
            <w:tcW w:w="992" w:type="dxa"/>
            <w:tcMar>
              <w:top w:w="113" w:type="dxa"/>
              <w:bottom w:w="113" w:type="dxa"/>
            </w:tcMar>
            <w:vAlign w:val="center"/>
          </w:tcPr>
          <w:p w14:paraId="0A3F592E" w14:textId="77777777" w:rsidR="00DB07F5" w:rsidRPr="00BA23EC" w:rsidRDefault="00DB07F5" w:rsidP="00C6575F">
            <w:pPr>
              <w:snapToGrid w:val="0"/>
              <w:spacing w:before="0" w:after="0" w:line="240" w:lineRule="auto"/>
              <w:rPr>
                <w:rFonts w:cstheme="minorHAnsi"/>
                <w:sz w:val="21"/>
                <w:lang w:val="en-AU"/>
              </w:rPr>
            </w:pPr>
            <w:r w:rsidRPr="00BA23EC">
              <w:rPr>
                <w:rFonts w:cstheme="minorHAnsi"/>
                <w:sz w:val="21"/>
                <w:lang w:val="en-AU"/>
              </w:rPr>
              <w:t>TBC</w:t>
            </w:r>
          </w:p>
        </w:tc>
        <w:tc>
          <w:tcPr>
            <w:tcW w:w="6095" w:type="dxa"/>
            <w:tcMar>
              <w:top w:w="113" w:type="dxa"/>
              <w:bottom w:w="113" w:type="dxa"/>
            </w:tcMar>
            <w:vAlign w:val="center"/>
          </w:tcPr>
          <w:p w14:paraId="02F8A846" w14:textId="02E2E2BB" w:rsidR="00BB4F19" w:rsidRDefault="00BB4F19" w:rsidP="00BB4F19">
            <w:pPr>
              <w:snapToGrid w:val="0"/>
              <w:spacing w:before="0" w:after="0" w:line="240" w:lineRule="auto"/>
              <w:rPr>
                <w:rFonts w:cstheme="minorHAnsi"/>
                <w:sz w:val="21"/>
                <w:szCs w:val="21"/>
                <w:lang w:val="en-AU"/>
              </w:rPr>
            </w:pPr>
            <w:r w:rsidRPr="00BB4F19">
              <w:rPr>
                <w:rFonts w:cstheme="minorHAnsi"/>
                <w:sz w:val="21"/>
                <w:szCs w:val="21"/>
                <w:lang w:val="en-AU"/>
              </w:rPr>
              <w:t xml:space="preserve">MDTF Secretariat and World Bank </w:t>
            </w:r>
            <w:r w:rsidR="00BE2345">
              <w:rPr>
                <w:rFonts w:cstheme="minorHAnsi"/>
                <w:sz w:val="21"/>
                <w:szCs w:val="21"/>
                <w:lang w:val="en-AU"/>
              </w:rPr>
              <w:t xml:space="preserve">reporting </w:t>
            </w:r>
            <w:r w:rsidR="005F734E">
              <w:rPr>
                <w:rFonts w:cstheme="minorHAnsi"/>
                <w:sz w:val="21"/>
                <w:szCs w:val="21"/>
                <w:lang w:val="en-AU"/>
              </w:rPr>
              <w:t>includes a</w:t>
            </w:r>
            <w:r w:rsidRPr="00BB4F19">
              <w:rPr>
                <w:rFonts w:cstheme="minorHAnsi"/>
                <w:sz w:val="21"/>
                <w:szCs w:val="21"/>
                <w:lang w:val="en-AU"/>
              </w:rPr>
              <w:t xml:space="preserve"> qualitative assessment of impact of analytical work</w:t>
            </w:r>
            <w:r w:rsidR="004328EF">
              <w:rPr>
                <w:rFonts w:cstheme="minorHAnsi"/>
                <w:sz w:val="21"/>
                <w:szCs w:val="21"/>
                <w:lang w:val="en-AU"/>
              </w:rPr>
              <w:t xml:space="preserve"> and policy dialogue</w:t>
            </w:r>
            <w:r w:rsidRPr="00BB4F19">
              <w:rPr>
                <w:rFonts w:cstheme="minorHAnsi"/>
                <w:sz w:val="21"/>
                <w:szCs w:val="21"/>
                <w:lang w:val="en-AU"/>
              </w:rPr>
              <w:t>, identify</w:t>
            </w:r>
            <w:r w:rsidR="004328EF">
              <w:rPr>
                <w:rFonts w:cstheme="minorHAnsi"/>
                <w:sz w:val="21"/>
                <w:szCs w:val="21"/>
                <w:lang w:val="en-AU"/>
              </w:rPr>
              <w:t>ing</w:t>
            </w:r>
            <w:r w:rsidRPr="00BB4F19">
              <w:rPr>
                <w:rFonts w:cstheme="minorHAnsi"/>
                <w:sz w:val="21"/>
                <w:szCs w:val="21"/>
                <w:lang w:val="en-AU"/>
              </w:rPr>
              <w:t xml:space="preserve"> and document</w:t>
            </w:r>
            <w:r w:rsidR="004328EF">
              <w:rPr>
                <w:rFonts w:cstheme="minorHAnsi"/>
                <w:sz w:val="21"/>
                <w:szCs w:val="21"/>
                <w:lang w:val="en-AU"/>
              </w:rPr>
              <w:t>ing</w:t>
            </w:r>
            <w:r w:rsidR="00BE2345">
              <w:rPr>
                <w:rFonts w:cstheme="minorHAnsi"/>
                <w:sz w:val="21"/>
                <w:szCs w:val="21"/>
                <w:lang w:val="en-AU"/>
              </w:rPr>
              <w:t xml:space="preserve"> </w:t>
            </w:r>
            <w:r w:rsidRPr="00BB4F19">
              <w:rPr>
                <w:rFonts w:cstheme="minorHAnsi"/>
                <w:sz w:val="21"/>
                <w:szCs w:val="21"/>
                <w:lang w:val="en-AU"/>
              </w:rPr>
              <w:t xml:space="preserve">instances of significant policy change, and achievements of health reform projects and programs </w:t>
            </w:r>
            <w:r>
              <w:rPr>
                <w:rFonts w:cstheme="minorHAnsi"/>
                <w:sz w:val="21"/>
                <w:szCs w:val="21"/>
                <w:lang w:val="en-AU"/>
              </w:rPr>
              <w:t xml:space="preserve">that </w:t>
            </w:r>
            <w:r w:rsidRPr="00BB4F19">
              <w:rPr>
                <w:rFonts w:cstheme="minorHAnsi"/>
                <w:sz w:val="21"/>
                <w:szCs w:val="21"/>
                <w:lang w:val="en-AU"/>
              </w:rPr>
              <w:t>have a direct benefit for women and girls, persons with disability, and other marginalised groups</w:t>
            </w:r>
            <w:r>
              <w:rPr>
                <w:rFonts w:cstheme="minorHAnsi"/>
                <w:sz w:val="21"/>
                <w:szCs w:val="21"/>
                <w:lang w:val="en-AU"/>
              </w:rPr>
              <w:t>, and build</w:t>
            </w:r>
            <w:r w:rsidR="005F734E">
              <w:rPr>
                <w:rFonts w:cstheme="minorHAnsi"/>
                <w:sz w:val="21"/>
                <w:szCs w:val="21"/>
                <w:lang w:val="en-AU"/>
              </w:rPr>
              <w:t>s</w:t>
            </w:r>
            <w:r>
              <w:rPr>
                <w:rFonts w:cstheme="minorHAnsi"/>
                <w:sz w:val="21"/>
                <w:szCs w:val="21"/>
                <w:lang w:val="en-AU"/>
              </w:rPr>
              <w:t xml:space="preserve"> climate resilience.</w:t>
            </w:r>
          </w:p>
          <w:p w14:paraId="01FD6CBE" w14:textId="50788A71" w:rsidR="00BB4F19" w:rsidRPr="00BB4F19" w:rsidRDefault="00BB4F19" w:rsidP="00BB4F19">
            <w:pPr>
              <w:snapToGrid w:val="0"/>
              <w:spacing w:before="0" w:after="0" w:line="240" w:lineRule="auto"/>
              <w:rPr>
                <w:rFonts w:cstheme="minorHAnsi"/>
                <w:sz w:val="21"/>
                <w:szCs w:val="21"/>
                <w:lang w:val="en-AU"/>
              </w:rPr>
            </w:pPr>
            <w:r w:rsidRPr="00BB4F19">
              <w:rPr>
                <w:rFonts w:cstheme="minorHAnsi"/>
                <w:sz w:val="21"/>
                <w:szCs w:val="21"/>
                <w:lang w:val="en-AU"/>
              </w:rPr>
              <w:t xml:space="preserve">Annual Reports for consideration by the Partnership Council. </w:t>
            </w:r>
          </w:p>
          <w:p w14:paraId="724167D2" w14:textId="77777777" w:rsidR="00BB4F19" w:rsidRPr="00BB4F19" w:rsidRDefault="00BB4F19" w:rsidP="00BB4F19">
            <w:pPr>
              <w:snapToGrid w:val="0"/>
              <w:spacing w:before="0" w:after="0" w:line="240" w:lineRule="auto"/>
              <w:rPr>
                <w:rFonts w:cstheme="minorHAnsi"/>
                <w:sz w:val="21"/>
                <w:szCs w:val="21"/>
                <w:lang w:val="en-AU"/>
              </w:rPr>
            </w:pPr>
            <w:r w:rsidRPr="00BB4F19">
              <w:rPr>
                <w:rFonts w:cstheme="minorHAnsi"/>
                <w:sz w:val="21"/>
                <w:szCs w:val="21"/>
                <w:lang w:val="en-AU"/>
              </w:rPr>
              <w:t>Evidence gathered from joint monitoring missions.</w:t>
            </w:r>
          </w:p>
          <w:p w14:paraId="5238E956" w14:textId="77777777" w:rsidR="00BB4F19" w:rsidRPr="00BB4F19" w:rsidRDefault="00BB4F19" w:rsidP="00BB4F19">
            <w:pPr>
              <w:snapToGrid w:val="0"/>
              <w:spacing w:before="0" w:after="0" w:line="240" w:lineRule="auto"/>
              <w:rPr>
                <w:rFonts w:cstheme="minorHAnsi"/>
                <w:sz w:val="21"/>
                <w:szCs w:val="21"/>
                <w:lang w:val="en-AU"/>
              </w:rPr>
            </w:pPr>
            <w:r w:rsidRPr="00BB4F19">
              <w:rPr>
                <w:rFonts w:cstheme="minorHAnsi"/>
                <w:sz w:val="21"/>
                <w:szCs w:val="21"/>
                <w:lang w:val="en-AU"/>
              </w:rPr>
              <w:t>Partnership Council meeting minutes to record decisions and endorsement of significant impact.</w:t>
            </w:r>
          </w:p>
          <w:p w14:paraId="3B4D023E" w14:textId="69C2DE55" w:rsidR="00DB07F5" w:rsidRPr="00BA23EC" w:rsidRDefault="00BB4F19" w:rsidP="00C6575F">
            <w:pPr>
              <w:snapToGrid w:val="0"/>
              <w:spacing w:before="0" w:after="0" w:line="240" w:lineRule="auto"/>
              <w:rPr>
                <w:rFonts w:cstheme="minorHAnsi"/>
                <w:sz w:val="21"/>
                <w:lang w:val="en-AU"/>
              </w:rPr>
            </w:pPr>
            <w:r w:rsidRPr="00BB4F19">
              <w:rPr>
                <w:rFonts w:cstheme="minorHAnsi"/>
                <w:sz w:val="21"/>
                <w:szCs w:val="21"/>
                <w:lang w:val="en-AU"/>
              </w:rPr>
              <w:t>Documented instances may also include quantitative data from pilots, such as improved access and health outcomes</w:t>
            </w:r>
            <w:r w:rsidR="000F49B1">
              <w:rPr>
                <w:rFonts w:cstheme="minorHAnsi"/>
                <w:sz w:val="21"/>
                <w:szCs w:val="21"/>
                <w:lang w:val="en-AU"/>
              </w:rPr>
              <w:t>.</w:t>
            </w:r>
            <w:r w:rsidR="00DB07F5" w:rsidRPr="00BA23EC">
              <w:rPr>
                <w:rFonts w:cstheme="minorHAnsi"/>
                <w:sz w:val="21"/>
                <w:szCs w:val="21"/>
                <w:lang w:val="en-AU"/>
              </w:rPr>
              <w:t xml:space="preserve"> </w:t>
            </w:r>
          </w:p>
        </w:tc>
        <w:tc>
          <w:tcPr>
            <w:tcW w:w="2268" w:type="dxa"/>
            <w:tcMar>
              <w:top w:w="113" w:type="dxa"/>
              <w:bottom w:w="113" w:type="dxa"/>
            </w:tcMar>
            <w:vAlign w:val="center"/>
          </w:tcPr>
          <w:p w14:paraId="739B6D4F" w14:textId="77777777" w:rsidR="00BD20D6" w:rsidRPr="00BA23EC" w:rsidRDefault="00BD20D6" w:rsidP="00BD20D6">
            <w:pPr>
              <w:snapToGrid w:val="0"/>
              <w:spacing w:before="0" w:after="0" w:line="240" w:lineRule="auto"/>
              <w:rPr>
                <w:rFonts w:cstheme="minorHAnsi"/>
                <w:sz w:val="21"/>
                <w:lang w:val="en-AU"/>
              </w:rPr>
            </w:pPr>
            <w:r w:rsidRPr="00BA23EC">
              <w:rPr>
                <w:rFonts w:cstheme="minorHAnsi"/>
                <w:sz w:val="21"/>
                <w:lang w:val="en-AU"/>
              </w:rPr>
              <w:t>MDTF Annual Report (MDTF Secretariat)</w:t>
            </w:r>
          </w:p>
          <w:p w14:paraId="2CBD6749" w14:textId="77777777" w:rsidR="00BD20D6" w:rsidRPr="00BA23EC" w:rsidRDefault="00BD20D6" w:rsidP="00BD20D6">
            <w:pPr>
              <w:snapToGrid w:val="0"/>
              <w:spacing w:before="0" w:after="0" w:line="240" w:lineRule="auto"/>
              <w:rPr>
                <w:rFonts w:cstheme="minorHAnsi"/>
                <w:sz w:val="21"/>
                <w:szCs w:val="21"/>
                <w:lang w:val="en-AU"/>
              </w:rPr>
            </w:pPr>
            <w:r w:rsidRPr="00BA23EC">
              <w:rPr>
                <w:rFonts w:cstheme="minorHAnsi"/>
                <w:sz w:val="21"/>
                <w:lang w:val="en-AU"/>
              </w:rPr>
              <w:t xml:space="preserve">World Bank Annual Progress </w:t>
            </w:r>
            <w:r w:rsidRPr="00BA23EC">
              <w:rPr>
                <w:rFonts w:cstheme="minorHAnsi"/>
                <w:sz w:val="21"/>
                <w:szCs w:val="21"/>
                <w:lang w:val="en-AU"/>
              </w:rPr>
              <w:t>Review</w:t>
            </w:r>
          </w:p>
          <w:p w14:paraId="79303176" w14:textId="77777777" w:rsidR="00BD20D6" w:rsidRPr="00BA23EC" w:rsidRDefault="00BD20D6" w:rsidP="00BD20D6">
            <w:pPr>
              <w:snapToGrid w:val="0"/>
              <w:spacing w:before="0" w:after="0" w:line="240" w:lineRule="auto"/>
              <w:rPr>
                <w:rFonts w:cstheme="minorHAnsi"/>
                <w:sz w:val="21"/>
                <w:lang w:val="en-AU"/>
              </w:rPr>
            </w:pPr>
            <w:r w:rsidRPr="00BA23EC">
              <w:rPr>
                <w:rFonts w:cstheme="minorHAnsi"/>
                <w:sz w:val="21"/>
                <w:szCs w:val="21"/>
                <w:lang w:val="en-AU"/>
              </w:rPr>
              <w:t>World Bank</w:t>
            </w:r>
            <w:r>
              <w:rPr>
                <w:rFonts w:cstheme="minorHAnsi"/>
                <w:sz w:val="21"/>
                <w:szCs w:val="21"/>
                <w:lang w:val="en-AU"/>
              </w:rPr>
              <w:t xml:space="preserve"> </w:t>
            </w:r>
            <w:r w:rsidRPr="00BA23EC">
              <w:rPr>
                <w:rFonts w:cstheme="minorHAnsi"/>
                <w:sz w:val="21"/>
                <w:szCs w:val="21"/>
                <w:lang w:val="en-AU"/>
              </w:rPr>
              <w:t>Implementation Status and Results Report</w:t>
            </w:r>
          </w:p>
          <w:p w14:paraId="48E662D2" w14:textId="77777777" w:rsidR="00BD20D6" w:rsidRPr="00BA23EC" w:rsidRDefault="00BD20D6" w:rsidP="00BD20D6">
            <w:pPr>
              <w:snapToGrid w:val="0"/>
              <w:spacing w:before="0" w:after="0" w:line="240" w:lineRule="auto"/>
              <w:rPr>
                <w:rFonts w:cstheme="minorHAnsi"/>
                <w:sz w:val="21"/>
                <w:lang w:val="en-AU"/>
              </w:rPr>
            </w:pPr>
            <w:r w:rsidRPr="00BA23EC">
              <w:rPr>
                <w:rFonts w:cstheme="minorHAnsi"/>
                <w:sz w:val="21"/>
                <w:lang w:val="en-AU"/>
              </w:rPr>
              <w:t>Aide Memoire</w:t>
            </w:r>
          </w:p>
          <w:p w14:paraId="145BD7C6" w14:textId="73D8470E" w:rsidR="00DB07F5" w:rsidRPr="00BA23EC" w:rsidRDefault="00BD20D6" w:rsidP="00BD20D6">
            <w:pPr>
              <w:snapToGrid w:val="0"/>
              <w:spacing w:before="0" w:after="0" w:line="240" w:lineRule="auto"/>
              <w:rPr>
                <w:rFonts w:cstheme="minorHAnsi"/>
                <w:sz w:val="21"/>
                <w:lang w:val="en-AU"/>
              </w:rPr>
            </w:pPr>
            <w:r w:rsidRPr="00BA23EC">
              <w:rPr>
                <w:rFonts w:cstheme="minorHAnsi"/>
                <w:sz w:val="21"/>
                <w:lang w:val="en-AU"/>
              </w:rPr>
              <w:t>PC Meeting minutes</w:t>
            </w:r>
          </w:p>
        </w:tc>
      </w:tr>
    </w:tbl>
    <w:p w14:paraId="1957FC7C" w14:textId="23EAA2EC" w:rsidR="00D901C2" w:rsidRDefault="00C51BDA" w:rsidP="00D901C2">
      <w:pPr>
        <w:suppressAutoHyphens w:val="0"/>
        <w:spacing w:before="0" w:after="120" w:line="240" w:lineRule="auto"/>
        <w:jc w:val="both"/>
        <w:rPr>
          <w:rFonts w:cstheme="minorHAnsi"/>
          <w:lang w:val="en-AU"/>
        </w:rPr>
      </w:pPr>
      <w:r>
        <w:rPr>
          <w:rFonts w:cstheme="minorHAnsi"/>
          <w:b/>
          <w:sz w:val="21"/>
          <w:lang w:val="en-AU"/>
        </w:rPr>
        <w:br/>
      </w:r>
      <w:r w:rsidR="00D901C2" w:rsidRPr="00621BA7">
        <w:rPr>
          <w:rFonts w:cstheme="minorHAnsi"/>
          <w:b/>
          <w:sz w:val="21"/>
          <w:lang w:val="en-AU"/>
        </w:rPr>
        <w:t>EOPO3: The Health System Transformation Agenda informs and is reflected in the Government of Indonesia’s National Medium-Term Development Plan (RPJMN</w:t>
      </w:r>
      <w:proofErr w:type="gramStart"/>
      <w:r w:rsidR="00D901C2" w:rsidRPr="00621BA7">
        <w:rPr>
          <w:rFonts w:cstheme="minorHAnsi"/>
          <w:b/>
          <w:sz w:val="21"/>
          <w:lang w:val="en-AU"/>
        </w:rPr>
        <w:t>), and</w:t>
      </w:r>
      <w:proofErr w:type="gramEnd"/>
      <w:r w:rsidR="00D901C2" w:rsidRPr="00621BA7">
        <w:rPr>
          <w:rFonts w:cstheme="minorHAnsi"/>
          <w:b/>
          <w:sz w:val="21"/>
          <w:lang w:val="en-AU"/>
        </w:rPr>
        <w:t xml:space="preserve"> is adequately planned and resourced.</w:t>
      </w:r>
    </w:p>
    <w:tbl>
      <w:tblPr>
        <w:tblStyle w:val="TableGrid"/>
        <w:tblW w:w="15451" w:type="dxa"/>
        <w:tblInd w:w="-5" w:type="dxa"/>
        <w:tblLayout w:type="fixed"/>
        <w:tblLook w:val="04A0" w:firstRow="1" w:lastRow="0" w:firstColumn="1" w:lastColumn="0" w:noHBand="0" w:noVBand="1"/>
      </w:tblPr>
      <w:tblGrid>
        <w:gridCol w:w="3969"/>
        <w:gridCol w:w="1134"/>
        <w:gridCol w:w="993"/>
        <w:gridCol w:w="992"/>
        <w:gridCol w:w="6095"/>
        <w:gridCol w:w="2268"/>
      </w:tblGrid>
      <w:tr w:rsidR="00D901C2" w:rsidRPr="00BA23EC" w14:paraId="42C347F2" w14:textId="77777777" w:rsidTr="00466EF8">
        <w:trPr>
          <w:trHeight w:val="113"/>
        </w:trPr>
        <w:tc>
          <w:tcPr>
            <w:tcW w:w="3969" w:type="dxa"/>
            <w:shd w:val="clear" w:color="auto" w:fill="E0F3EF" w:themeFill="accent1" w:themeFillTint="33"/>
            <w:tcMar>
              <w:top w:w="113" w:type="dxa"/>
              <w:bottom w:w="113" w:type="dxa"/>
            </w:tcMar>
            <w:vAlign w:val="center"/>
          </w:tcPr>
          <w:p w14:paraId="5F7DCF0D" w14:textId="77777777" w:rsidR="00D901C2" w:rsidRPr="00BA23EC" w:rsidRDefault="00D901C2" w:rsidP="00466EF8">
            <w:pPr>
              <w:spacing w:before="0" w:after="0" w:line="240" w:lineRule="auto"/>
              <w:rPr>
                <w:rFonts w:cstheme="minorHAnsi"/>
                <w:lang w:val="en-AU"/>
              </w:rPr>
            </w:pPr>
            <w:r w:rsidRPr="00BA23EC">
              <w:rPr>
                <w:rFonts w:cstheme="minorHAnsi"/>
                <w:b/>
                <w:sz w:val="21"/>
                <w:szCs w:val="21"/>
                <w:lang w:val="en-AU"/>
              </w:rPr>
              <w:t>Results Indicator</w:t>
            </w:r>
          </w:p>
        </w:tc>
        <w:tc>
          <w:tcPr>
            <w:tcW w:w="1134" w:type="dxa"/>
            <w:shd w:val="clear" w:color="auto" w:fill="E0F3EF" w:themeFill="accent1" w:themeFillTint="33"/>
            <w:tcMar>
              <w:top w:w="113" w:type="dxa"/>
              <w:bottom w:w="113" w:type="dxa"/>
            </w:tcMar>
            <w:vAlign w:val="center"/>
          </w:tcPr>
          <w:p w14:paraId="787D13CA" w14:textId="77777777" w:rsidR="00D901C2" w:rsidRPr="00BA23EC" w:rsidRDefault="00D901C2" w:rsidP="00466EF8">
            <w:pPr>
              <w:snapToGrid w:val="0"/>
              <w:spacing w:before="0" w:after="0" w:line="240" w:lineRule="auto"/>
              <w:jc w:val="center"/>
              <w:rPr>
                <w:rFonts w:cstheme="minorHAnsi"/>
                <w:sz w:val="21"/>
                <w:szCs w:val="21"/>
                <w:lang w:val="en-AU"/>
              </w:rPr>
            </w:pPr>
            <w:r w:rsidRPr="00BA23EC">
              <w:rPr>
                <w:rFonts w:cstheme="minorHAnsi"/>
                <w:b/>
                <w:sz w:val="21"/>
                <w:szCs w:val="21"/>
                <w:lang w:val="en-AU"/>
              </w:rPr>
              <w:t>Unit of Measure</w:t>
            </w:r>
          </w:p>
        </w:tc>
        <w:tc>
          <w:tcPr>
            <w:tcW w:w="993" w:type="dxa"/>
            <w:shd w:val="clear" w:color="auto" w:fill="E0F3EF" w:themeFill="accent1" w:themeFillTint="33"/>
            <w:tcMar>
              <w:top w:w="113" w:type="dxa"/>
              <w:bottom w:w="113" w:type="dxa"/>
            </w:tcMar>
            <w:vAlign w:val="center"/>
          </w:tcPr>
          <w:p w14:paraId="716D2610" w14:textId="77777777" w:rsidR="00D901C2" w:rsidRPr="00BA23EC" w:rsidRDefault="00D901C2" w:rsidP="00466EF8">
            <w:pPr>
              <w:snapToGrid w:val="0"/>
              <w:spacing w:before="0" w:after="0" w:line="240" w:lineRule="auto"/>
              <w:jc w:val="center"/>
              <w:rPr>
                <w:rFonts w:cstheme="minorHAnsi"/>
                <w:sz w:val="21"/>
                <w:szCs w:val="21"/>
                <w:lang w:val="en-AU"/>
              </w:rPr>
            </w:pPr>
            <w:r w:rsidRPr="00BA23EC">
              <w:rPr>
                <w:rFonts w:cstheme="minorHAnsi"/>
                <w:b/>
                <w:sz w:val="21"/>
                <w:szCs w:val="21"/>
                <w:lang w:val="en-AU"/>
              </w:rPr>
              <w:t>Baseline</w:t>
            </w:r>
          </w:p>
        </w:tc>
        <w:tc>
          <w:tcPr>
            <w:tcW w:w="992" w:type="dxa"/>
            <w:shd w:val="clear" w:color="auto" w:fill="E0F3EF" w:themeFill="accent1" w:themeFillTint="33"/>
            <w:tcMar>
              <w:top w:w="113" w:type="dxa"/>
              <w:bottom w:w="113" w:type="dxa"/>
            </w:tcMar>
            <w:vAlign w:val="center"/>
          </w:tcPr>
          <w:p w14:paraId="035A336B" w14:textId="77777777" w:rsidR="00D901C2" w:rsidRPr="00BA23EC" w:rsidRDefault="00D901C2" w:rsidP="00466EF8">
            <w:pPr>
              <w:snapToGrid w:val="0"/>
              <w:spacing w:before="0" w:after="0" w:line="240" w:lineRule="auto"/>
              <w:jc w:val="center"/>
              <w:rPr>
                <w:rFonts w:cstheme="minorHAnsi"/>
                <w:sz w:val="21"/>
                <w:szCs w:val="21"/>
                <w:lang w:val="en-AU"/>
              </w:rPr>
            </w:pPr>
            <w:r w:rsidRPr="00BA23EC">
              <w:rPr>
                <w:rFonts w:cstheme="minorHAnsi"/>
                <w:b/>
                <w:sz w:val="21"/>
                <w:szCs w:val="21"/>
                <w:lang w:val="en-AU"/>
              </w:rPr>
              <w:t>Annual Target</w:t>
            </w:r>
          </w:p>
        </w:tc>
        <w:tc>
          <w:tcPr>
            <w:tcW w:w="6095" w:type="dxa"/>
            <w:shd w:val="clear" w:color="auto" w:fill="E0F3EF" w:themeFill="accent1" w:themeFillTint="33"/>
            <w:tcMar>
              <w:top w:w="113" w:type="dxa"/>
              <w:bottom w:w="113" w:type="dxa"/>
            </w:tcMar>
            <w:vAlign w:val="center"/>
          </w:tcPr>
          <w:p w14:paraId="3673503C" w14:textId="77777777" w:rsidR="00D901C2" w:rsidRPr="00BA23EC" w:rsidRDefault="00D901C2" w:rsidP="00466EF8">
            <w:pPr>
              <w:snapToGrid w:val="0"/>
              <w:spacing w:before="0" w:after="0" w:line="240" w:lineRule="auto"/>
              <w:rPr>
                <w:rFonts w:cstheme="minorHAnsi"/>
                <w:sz w:val="21"/>
                <w:szCs w:val="21"/>
                <w:lang w:val="en-AU"/>
              </w:rPr>
            </w:pPr>
            <w:r w:rsidRPr="00BA23EC">
              <w:rPr>
                <w:rFonts w:cstheme="minorHAnsi"/>
                <w:b/>
                <w:sz w:val="21"/>
                <w:szCs w:val="21"/>
                <w:lang w:val="en-AU"/>
              </w:rPr>
              <w:t>Data Collection Method</w:t>
            </w:r>
          </w:p>
        </w:tc>
        <w:tc>
          <w:tcPr>
            <w:tcW w:w="2268" w:type="dxa"/>
            <w:shd w:val="clear" w:color="auto" w:fill="E0F3EF" w:themeFill="accent1" w:themeFillTint="33"/>
            <w:tcMar>
              <w:top w:w="113" w:type="dxa"/>
              <w:bottom w:w="113" w:type="dxa"/>
            </w:tcMar>
            <w:vAlign w:val="center"/>
          </w:tcPr>
          <w:p w14:paraId="00D9E8C4" w14:textId="77777777" w:rsidR="00D901C2" w:rsidRPr="00BA23EC" w:rsidRDefault="00D901C2" w:rsidP="00466EF8">
            <w:pPr>
              <w:snapToGrid w:val="0"/>
              <w:spacing w:before="0" w:after="0" w:line="240" w:lineRule="auto"/>
              <w:rPr>
                <w:rFonts w:cstheme="minorHAnsi"/>
                <w:sz w:val="21"/>
                <w:szCs w:val="21"/>
                <w:lang w:val="en-AU"/>
              </w:rPr>
            </w:pPr>
            <w:r w:rsidRPr="00BA23EC">
              <w:rPr>
                <w:rFonts w:cstheme="minorHAnsi"/>
                <w:b/>
                <w:sz w:val="21"/>
                <w:szCs w:val="21"/>
                <w:lang w:val="en-AU"/>
              </w:rPr>
              <w:t>Frequency/Report</w:t>
            </w:r>
          </w:p>
        </w:tc>
      </w:tr>
      <w:tr w:rsidR="00D901C2" w:rsidRPr="00BA23EC" w14:paraId="264E415F" w14:textId="77777777" w:rsidTr="00466EF8">
        <w:tc>
          <w:tcPr>
            <w:tcW w:w="3969" w:type="dxa"/>
            <w:tcMar>
              <w:top w:w="113" w:type="dxa"/>
              <w:bottom w:w="113" w:type="dxa"/>
            </w:tcMar>
            <w:vAlign w:val="center"/>
          </w:tcPr>
          <w:p w14:paraId="58ABF737" w14:textId="77777777" w:rsidR="00D901C2" w:rsidRPr="00BA23EC" w:rsidRDefault="00D901C2" w:rsidP="00466EF8">
            <w:pPr>
              <w:spacing w:before="0" w:after="0" w:line="240" w:lineRule="auto"/>
              <w:rPr>
                <w:rFonts w:cstheme="minorHAnsi"/>
                <w:lang w:val="en-AU"/>
              </w:rPr>
            </w:pPr>
            <w:r w:rsidRPr="00BA23EC">
              <w:rPr>
                <w:rFonts w:cstheme="minorHAnsi"/>
                <w:b/>
                <w:sz w:val="21"/>
                <w:lang w:val="en-AU"/>
              </w:rPr>
              <w:t xml:space="preserve">Indicator (E3.1). </w:t>
            </w:r>
            <w:r w:rsidRPr="003A4789">
              <w:rPr>
                <w:rFonts w:cstheme="minorHAnsi"/>
                <w:sz w:val="21"/>
                <w:lang w:val="en-AU"/>
              </w:rPr>
              <w:t xml:space="preserve">MoH costs and resources reform agenda focus areas </w:t>
            </w:r>
            <w:proofErr w:type="gramStart"/>
            <w:r w:rsidRPr="003A4789">
              <w:rPr>
                <w:rFonts w:cstheme="minorHAnsi"/>
                <w:sz w:val="21"/>
                <w:lang w:val="en-AU"/>
              </w:rPr>
              <w:t>in</w:t>
            </w:r>
            <w:proofErr w:type="gramEnd"/>
            <w:r w:rsidRPr="003A4789">
              <w:rPr>
                <w:rFonts w:cstheme="minorHAnsi"/>
                <w:sz w:val="21"/>
                <w:lang w:val="en-AU"/>
              </w:rPr>
              <w:t xml:space="preserve"> annual budgets</w:t>
            </w:r>
            <w:r w:rsidRPr="00BA23EC">
              <w:rPr>
                <w:rFonts w:cstheme="minorHAnsi"/>
                <w:sz w:val="21"/>
                <w:lang w:val="en-AU"/>
              </w:rPr>
              <w:t>.</w:t>
            </w:r>
          </w:p>
        </w:tc>
        <w:tc>
          <w:tcPr>
            <w:tcW w:w="1134" w:type="dxa"/>
            <w:tcMar>
              <w:top w:w="113" w:type="dxa"/>
              <w:bottom w:w="113" w:type="dxa"/>
            </w:tcMar>
            <w:vAlign w:val="center"/>
          </w:tcPr>
          <w:p w14:paraId="5837D84A" w14:textId="77777777" w:rsidR="00D901C2" w:rsidRPr="00BA23EC" w:rsidRDefault="00D901C2" w:rsidP="00466EF8">
            <w:pPr>
              <w:snapToGrid w:val="0"/>
              <w:spacing w:before="0" w:after="0" w:line="240" w:lineRule="auto"/>
              <w:rPr>
                <w:rFonts w:cstheme="minorHAnsi"/>
                <w:sz w:val="21"/>
                <w:lang w:val="en-AU"/>
              </w:rPr>
            </w:pPr>
            <w:r w:rsidRPr="00BA23EC">
              <w:rPr>
                <w:rFonts w:cstheme="minorHAnsi"/>
                <w:sz w:val="21"/>
                <w:szCs w:val="21"/>
                <w:lang w:val="en-AU"/>
              </w:rPr>
              <w:t xml:space="preserve">MoH </w:t>
            </w:r>
            <w:r>
              <w:rPr>
                <w:rFonts w:cstheme="minorHAnsi"/>
                <w:sz w:val="21"/>
                <w:szCs w:val="21"/>
                <w:lang w:val="en-AU"/>
              </w:rPr>
              <w:t xml:space="preserve">health </w:t>
            </w:r>
            <w:r w:rsidRPr="00BA23EC">
              <w:rPr>
                <w:rFonts w:cstheme="minorHAnsi"/>
                <w:sz w:val="21"/>
                <w:szCs w:val="21"/>
                <w:lang w:val="en-AU"/>
              </w:rPr>
              <w:t xml:space="preserve">budget </w:t>
            </w:r>
          </w:p>
        </w:tc>
        <w:tc>
          <w:tcPr>
            <w:tcW w:w="993" w:type="dxa"/>
            <w:tcMar>
              <w:top w:w="113" w:type="dxa"/>
              <w:bottom w:w="113" w:type="dxa"/>
            </w:tcMar>
            <w:vAlign w:val="center"/>
          </w:tcPr>
          <w:p w14:paraId="71716A84" w14:textId="77777777" w:rsidR="00D901C2" w:rsidRPr="00BA23EC" w:rsidRDefault="00D901C2" w:rsidP="00466EF8">
            <w:pPr>
              <w:snapToGrid w:val="0"/>
              <w:spacing w:before="0" w:after="0" w:line="240" w:lineRule="auto"/>
              <w:jc w:val="center"/>
              <w:rPr>
                <w:rFonts w:cstheme="minorHAnsi"/>
                <w:sz w:val="21"/>
                <w:lang w:val="en-AU"/>
              </w:rPr>
            </w:pPr>
            <w:r w:rsidRPr="00BA23EC">
              <w:rPr>
                <w:rFonts w:cstheme="minorHAnsi"/>
                <w:sz w:val="21"/>
                <w:lang w:val="en-AU"/>
              </w:rPr>
              <w:t>0</w:t>
            </w:r>
          </w:p>
        </w:tc>
        <w:tc>
          <w:tcPr>
            <w:tcW w:w="992" w:type="dxa"/>
            <w:tcMar>
              <w:top w:w="113" w:type="dxa"/>
              <w:bottom w:w="113" w:type="dxa"/>
            </w:tcMar>
            <w:vAlign w:val="center"/>
          </w:tcPr>
          <w:p w14:paraId="27104FC7" w14:textId="77777777" w:rsidR="00D901C2" w:rsidRPr="00BA23EC" w:rsidRDefault="00D901C2" w:rsidP="00466EF8">
            <w:pPr>
              <w:snapToGrid w:val="0"/>
              <w:spacing w:before="0" w:after="0" w:line="240" w:lineRule="auto"/>
              <w:rPr>
                <w:rFonts w:cstheme="minorHAnsi"/>
                <w:sz w:val="21"/>
                <w:lang w:val="en-AU"/>
              </w:rPr>
            </w:pPr>
            <w:r w:rsidRPr="00BA23EC">
              <w:rPr>
                <w:rFonts w:cstheme="minorHAnsi"/>
                <w:sz w:val="21"/>
                <w:szCs w:val="21"/>
                <w:lang w:val="en-AU"/>
              </w:rPr>
              <w:t>TBC</w:t>
            </w:r>
          </w:p>
        </w:tc>
        <w:tc>
          <w:tcPr>
            <w:tcW w:w="6095" w:type="dxa"/>
            <w:tcMar>
              <w:top w:w="113" w:type="dxa"/>
              <w:bottom w:w="113" w:type="dxa"/>
            </w:tcMar>
            <w:vAlign w:val="center"/>
          </w:tcPr>
          <w:p w14:paraId="37D148A8" w14:textId="77777777" w:rsidR="00D901C2" w:rsidRPr="00BA23EC" w:rsidRDefault="00D901C2" w:rsidP="00466EF8">
            <w:pPr>
              <w:rPr>
                <w:rFonts w:cstheme="minorHAnsi"/>
                <w:sz w:val="21"/>
                <w:lang w:val="en-AU"/>
              </w:rPr>
            </w:pPr>
            <w:r w:rsidRPr="00BA23EC">
              <w:rPr>
                <w:rFonts w:cstheme="minorHAnsi"/>
                <w:sz w:val="21"/>
                <w:szCs w:val="21"/>
                <w:lang w:val="en-AU"/>
              </w:rPr>
              <w:t>Domestic funding to be drawn from the National Health Accounts which compile budget documents for health, to be reporting by the MDTF Secretariat in Annual Report.</w:t>
            </w:r>
          </w:p>
        </w:tc>
        <w:tc>
          <w:tcPr>
            <w:tcW w:w="2268" w:type="dxa"/>
            <w:tcMar>
              <w:top w:w="113" w:type="dxa"/>
              <w:bottom w:w="113" w:type="dxa"/>
            </w:tcMar>
            <w:vAlign w:val="center"/>
          </w:tcPr>
          <w:p w14:paraId="72DD13D2" w14:textId="77777777" w:rsidR="00D901C2" w:rsidRPr="00BA23EC" w:rsidRDefault="00D901C2" w:rsidP="00466EF8">
            <w:pPr>
              <w:snapToGrid w:val="0"/>
              <w:spacing w:before="0" w:after="0" w:line="240" w:lineRule="auto"/>
              <w:rPr>
                <w:rFonts w:cstheme="minorHAnsi"/>
                <w:sz w:val="21"/>
                <w:lang w:val="en-AU"/>
              </w:rPr>
            </w:pPr>
            <w:r w:rsidRPr="00BA23EC">
              <w:rPr>
                <w:rFonts w:cstheme="minorHAnsi"/>
                <w:sz w:val="21"/>
                <w:lang w:val="en-AU"/>
              </w:rPr>
              <w:t>MDTF Annual Report (MDTF Secretariat)</w:t>
            </w:r>
          </w:p>
        </w:tc>
      </w:tr>
      <w:tr w:rsidR="00D901C2" w:rsidRPr="00BA23EC" w14:paraId="374D19CF" w14:textId="77777777" w:rsidTr="00466EF8">
        <w:tc>
          <w:tcPr>
            <w:tcW w:w="3969" w:type="dxa"/>
            <w:tcMar>
              <w:top w:w="113" w:type="dxa"/>
              <w:bottom w:w="113" w:type="dxa"/>
            </w:tcMar>
            <w:vAlign w:val="center"/>
          </w:tcPr>
          <w:p w14:paraId="232EAA83" w14:textId="77777777" w:rsidR="00D901C2" w:rsidRPr="00BA23EC" w:rsidRDefault="00D901C2" w:rsidP="00466EF8">
            <w:pPr>
              <w:spacing w:before="0" w:after="0" w:line="240" w:lineRule="auto"/>
              <w:rPr>
                <w:rFonts w:cstheme="minorHAnsi"/>
                <w:b/>
                <w:sz w:val="21"/>
                <w:lang w:val="en-AU"/>
              </w:rPr>
            </w:pPr>
            <w:r w:rsidRPr="001252BC">
              <w:rPr>
                <w:rFonts w:cstheme="minorHAnsi"/>
                <w:b/>
                <w:bCs/>
                <w:sz w:val="21"/>
                <w:lang w:val="en-AU"/>
              </w:rPr>
              <w:t>Indicator (E3.2)</w:t>
            </w:r>
            <w:r>
              <w:rPr>
                <w:rFonts w:cstheme="minorHAnsi"/>
                <w:sz w:val="21"/>
                <w:lang w:val="en-AU"/>
              </w:rPr>
              <w:t xml:space="preserve"> </w:t>
            </w:r>
            <w:r w:rsidRPr="00637003">
              <w:rPr>
                <w:rFonts w:cstheme="minorHAnsi"/>
                <w:sz w:val="21"/>
                <w:lang w:val="en-AU"/>
              </w:rPr>
              <w:t>Number and volume of development partner funding contributions (including loans) to health systems transformation</w:t>
            </w:r>
          </w:p>
        </w:tc>
        <w:tc>
          <w:tcPr>
            <w:tcW w:w="1134" w:type="dxa"/>
            <w:tcMar>
              <w:top w:w="113" w:type="dxa"/>
              <w:bottom w:w="113" w:type="dxa"/>
            </w:tcMar>
            <w:vAlign w:val="center"/>
          </w:tcPr>
          <w:p w14:paraId="505024A0" w14:textId="77777777" w:rsidR="00D901C2" w:rsidRPr="00BA23EC" w:rsidRDefault="00D901C2" w:rsidP="00466EF8">
            <w:pPr>
              <w:snapToGrid w:val="0"/>
              <w:spacing w:before="0" w:after="0" w:line="240" w:lineRule="auto"/>
              <w:rPr>
                <w:rFonts w:cstheme="minorHAnsi"/>
                <w:sz w:val="21"/>
                <w:szCs w:val="21"/>
                <w:lang w:val="en-AU"/>
              </w:rPr>
            </w:pPr>
            <w:r w:rsidRPr="00BA23EC">
              <w:rPr>
                <w:rFonts w:cstheme="minorHAnsi"/>
                <w:sz w:val="21"/>
                <w:szCs w:val="21"/>
                <w:lang w:val="en-AU"/>
              </w:rPr>
              <w:t>No. of partners and funding</w:t>
            </w:r>
          </w:p>
        </w:tc>
        <w:tc>
          <w:tcPr>
            <w:tcW w:w="993" w:type="dxa"/>
            <w:tcMar>
              <w:top w:w="113" w:type="dxa"/>
              <w:bottom w:w="113" w:type="dxa"/>
            </w:tcMar>
            <w:vAlign w:val="center"/>
          </w:tcPr>
          <w:p w14:paraId="2D9A0171" w14:textId="77777777" w:rsidR="00D901C2" w:rsidRPr="00BA23EC" w:rsidRDefault="00D901C2" w:rsidP="00466EF8">
            <w:pPr>
              <w:snapToGrid w:val="0"/>
              <w:spacing w:before="0" w:after="0" w:line="240" w:lineRule="auto"/>
              <w:rPr>
                <w:rFonts w:cstheme="minorHAnsi"/>
                <w:sz w:val="21"/>
                <w:lang w:val="en-AU"/>
              </w:rPr>
            </w:pPr>
            <w:r w:rsidRPr="00BA23EC">
              <w:rPr>
                <w:rFonts w:cstheme="minorHAnsi"/>
                <w:sz w:val="21"/>
                <w:szCs w:val="21"/>
                <w:lang w:val="en-AU"/>
              </w:rPr>
              <w:t>[Current commitment]</w:t>
            </w:r>
          </w:p>
        </w:tc>
        <w:tc>
          <w:tcPr>
            <w:tcW w:w="992" w:type="dxa"/>
            <w:tcMar>
              <w:top w:w="113" w:type="dxa"/>
              <w:bottom w:w="113" w:type="dxa"/>
            </w:tcMar>
            <w:vAlign w:val="center"/>
          </w:tcPr>
          <w:p w14:paraId="0836146F" w14:textId="77777777" w:rsidR="00D901C2" w:rsidRPr="00BA23EC" w:rsidRDefault="00D901C2" w:rsidP="00466EF8">
            <w:pPr>
              <w:snapToGrid w:val="0"/>
              <w:spacing w:before="0" w:after="0" w:line="240" w:lineRule="auto"/>
              <w:rPr>
                <w:rFonts w:cstheme="minorHAnsi"/>
                <w:sz w:val="21"/>
                <w:szCs w:val="21"/>
                <w:lang w:val="en-AU"/>
              </w:rPr>
            </w:pPr>
            <w:r w:rsidRPr="00BA23EC">
              <w:rPr>
                <w:rFonts w:cstheme="minorHAnsi"/>
                <w:sz w:val="21"/>
                <w:szCs w:val="21"/>
                <w:lang w:val="en-AU"/>
              </w:rPr>
              <w:t>USD45</w:t>
            </w:r>
            <w:r>
              <w:rPr>
                <w:rFonts w:cstheme="minorHAnsi"/>
                <w:sz w:val="21"/>
                <w:szCs w:val="21"/>
                <w:lang w:val="en-AU"/>
              </w:rPr>
              <w:t xml:space="preserve"> </w:t>
            </w:r>
            <w:r w:rsidRPr="00BA23EC">
              <w:rPr>
                <w:rFonts w:cstheme="minorHAnsi"/>
                <w:sz w:val="21"/>
                <w:szCs w:val="21"/>
                <w:lang w:val="en-AU"/>
              </w:rPr>
              <w:t>m</w:t>
            </w:r>
            <w:r>
              <w:rPr>
                <w:rFonts w:cstheme="minorHAnsi"/>
                <w:sz w:val="21"/>
                <w:szCs w:val="21"/>
                <w:lang w:val="en-AU"/>
              </w:rPr>
              <w:t>illion</w:t>
            </w:r>
          </w:p>
        </w:tc>
        <w:tc>
          <w:tcPr>
            <w:tcW w:w="6095" w:type="dxa"/>
            <w:tcMar>
              <w:top w:w="113" w:type="dxa"/>
              <w:bottom w:w="113" w:type="dxa"/>
            </w:tcMar>
            <w:vAlign w:val="center"/>
          </w:tcPr>
          <w:p w14:paraId="1DBAABA3" w14:textId="77777777" w:rsidR="00D901C2" w:rsidRPr="00BA23EC" w:rsidRDefault="00D901C2" w:rsidP="00466EF8">
            <w:pPr>
              <w:snapToGrid w:val="0"/>
              <w:spacing w:before="0" w:after="0" w:line="240" w:lineRule="auto"/>
              <w:rPr>
                <w:rFonts w:cstheme="minorHAnsi"/>
                <w:sz w:val="21"/>
                <w:lang w:val="en-AU"/>
              </w:rPr>
            </w:pPr>
            <w:r w:rsidRPr="00BA23EC">
              <w:rPr>
                <w:rFonts w:cstheme="minorHAnsi"/>
                <w:sz w:val="21"/>
                <w:szCs w:val="21"/>
                <w:lang w:val="en-AU"/>
              </w:rPr>
              <w:t xml:space="preserve">Foreign partner funding to be drawn from the National Health Accounts which compile budget documents for health, to be reporting by the MDTF Secretariat in Annual Report. </w:t>
            </w:r>
          </w:p>
        </w:tc>
        <w:tc>
          <w:tcPr>
            <w:tcW w:w="2268" w:type="dxa"/>
            <w:tcMar>
              <w:top w:w="113" w:type="dxa"/>
              <w:bottom w:w="113" w:type="dxa"/>
            </w:tcMar>
            <w:vAlign w:val="center"/>
          </w:tcPr>
          <w:p w14:paraId="1D57405E" w14:textId="77777777" w:rsidR="00D901C2" w:rsidRPr="00BA23EC" w:rsidRDefault="00D901C2" w:rsidP="00466EF8">
            <w:pPr>
              <w:snapToGrid w:val="0"/>
              <w:spacing w:before="0" w:after="0" w:line="240" w:lineRule="auto"/>
              <w:rPr>
                <w:rFonts w:cstheme="minorHAnsi"/>
                <w:sz w:val="21"/>
                <w:lang w:val="en-AU"/>
              </w:rPr>
            </w:pPr>
            <w:r w:rsidRPr="00BA23EC">
              <w:rPr>
                <w:rFonts w:cstheme="minorHAnsi"/>
                <w:sz w:val="21"/>
                <w:lang w:val="en-AU"/>
              </w:rPr>
              <w:t>MDTF Annual Report (MDTF Secretariat)</w:t>
            </w:r>
          </w:p>
        </w:tc>
      </w:tr>
      <w:tr w:rsidR="00D901C2" w:rsidRPr="00BA23EC" w14:paraId="6E743EEB" w14:textId="77777777" w:rsidTr="00466EF8">
        <w:tc>
          <w:tcPr>
            <w:tcW w:w="3969" w:type="dxa"/>
            <w:tcMar>
              <w:top w:w="113" w:type="dxa"/>
              <w:bottom w:w="113" w:type="dxa"/>
            </w:tcMar>
            <w:vAlign w:val="center"/>
          </w:tcPr>
          <w:p w14:paraId="23E3F4DD" w14:textId="77777777" w:rsidR="00D901C2" w:rsidRPr="00BA23EC" w:rsidRDefault="00D901C2" w:rsidP="00466EF8">
            <w:pPr>
              <w:spacing w:before="0" w:after="0" w:line="240" w:lineRule="auto"/>
              <w:rPr>
                <w:rFonts w:cstheme="minorHAnsi"/>
                <w:b/>
                <w:sz w:val="21"/>
                <w:lang w:val="en-AU"/>
              </w:rPr>
            </w:pPr>
            <w:r w:rsidRPr="001252BC">
              <w:rPr>
                <w:rFonts w:cstheme="minorHAnsi"/>
                <w:b/>
                <w:bCs/>
                <w:sz w:val="21"/>
                <w:lang w:val="en-AU"/>
              </w:rPr>
              <w:t>Indicator (E3.3)</w:t>
            </w:r>
            <w:r>
              <w:rPr>
                <w:rFonts w:cstheme="minorHAnsi"/>
                <w:sz w:val="21"/>
                <w:lang w:val="en-AU"/>
              </w:rPr>
              <w:t xml:space="preserve"> </w:t>
            </w:r>
            <w:r w:rsidRPr="00637003">
              <w:rPr>
                <w:rFonts w:cstheme="minorHAnsi"/>
                <w:sz w:val="21"/>
                <w:lang w:val="en-AU"/>
              </w:rPr>
              <w:t>RPJMN includes core elements of the Health System Transformation Agenda</w:t>
            </w:r>
          </w:p>
        </w:tc>
        <w:tc>
          <w:tcPr>
            <w:tcW w:w="1134" w:type="dxa"/>
            <w:tcMar>
              <w:top w:w="113" w:type="dxa"/>
              <w:bottom w:w="113" w:type="dxa"/>
            </w:tcMar>
            <w:vAlign w:val="center"/>
          </w:tcPr>
          <w:p w14:paraId="7B3593E1" w14:textId="77777777" w:rsidR="00D901C2" w:rsidRPr="00BA23EC" w:rsidRDefault="00D901C2" w:rsidP="00466EF8">
            <w:pPr>
              <w:snapToGrid w:val="0"/>
              <w:spacing w:before="0" w:after="0" w:line="240" w:lineRule="auto"/>
              <w:rPr>
                <w:rFonts w:cstheme="minorHAnsi"/>
                <w:sz w:val="21"/>
                <w:szCs w:val="21"/>
                <w:lang w:val="en-AU"/>
              </w:rPr>
            </w:pPr>
            <w:r w:rsidRPr="00BA23EC">
              <w:rPr>
                <w:rFonts w:cstheme="minorHAnsi"/>
                <w:sz w:val="21"/>
                <w:szCs w:val="21"/>
                <w:lang w:val="en-AU"/>
              </w:rPr>
              <w:t>NA</w:t>
            </w:r>
          </w:p>
        </w:tc>
        <w:tc>
          <w:tcPr>
            <w:tcW w:w="993" w:type="dxa"/>
            <w:tcMar>
              <w:top w:w="113" w:type="dxa"/>
              <w:bottom w:w="113" w:type="dxa"/>
            </w:tcMar>
            <w:vAlign w:val="center"/>
          </w:tcPr>
          <w:p w14:paraId="51771786" w14:textId="77777777" w:rsidR="00D901C2" w:rsidRPr="00BA23EC" w:rsidRDefault="00D901C2" w:rsidP="00466EF8">
            <w:pPr>
              <w:snapToGrid w:val="0"/>
              <w:spacing w:before="0" w:after="0" w:line="240" w:lineRule="auto"/>
              <w:rPr>
                <w:rFonts w:cstheme="minorHAnsi"/>
                <w:sz w:val="21"/>
                <w:lang w:val="en-AU"/>
              </w:rPr>
            </w:pPr>
            <w:r w:rsidRPr="00BA23EC">
              <w:rPr>
                <w:rFonts w:cstheme="minorHAnsi"/>
                <w:sz w:val="21"/>
                <w:szCs w:val="21"/>
                <w:lang w:val="en-AU"/>
              </w:rPr>
              <w:t>NA</w:t>
            </w:r>
          </w:p>
        </w:tc>
        <w:tc>
          <w:tcPr>
            <w:tcW w:w="992" w:type="dxa"/>
            <w:tcMar>
              <w:top w:w="113" w:type="dxa"/>
              <w:bottom w:w="113" w:type="dxa"/>
            </w:tcMar>
            <w:vAlign w:val="center"/>
          </w:tcPr>
          <w:p w14:paraId="60CE4206" w14:textId="77777777" w:rsidR="00D901C2" w:rsidRPr="00BA23EC" w:rsidRDefault="00D901C2" w:rsidP="00466EF8">
            <w:pPr>
              <w:snapToGrid w:val="0"/>
              <w:spacing w:before="0" w:after="0" w:line="240" w:lineRule="auto"/>
              <w:rPr>
                <w:rFonts w:cstheme="minorHAnsi"/>
                <w:sz w:val="21"/>
                <w:szCs w:val="21"/>
                <w:lang w:val="en-AU"/>
              </w:rPr>
            </w:pPr>
            <w:r w:rsidRPr="00BA23EC">
              <w:rPr>
                <w:rFonts w:cstheme="minorHAnsi"/>
                <w:sz w:val="21"/>
                <w:szCs w:val="21"/>
                <w:lang w:val="en-AU"/>
              </w:rPr>
              <w:t>NA</w:t>
            </w:r>
          </w:p>
        </w:tc>
        <w:tc>
          <w:tcPr>
            <w:tcW w:w="6095" w:type="dxa"/>
            <w:tcMar>
              <w:top w:w="113" w:type="dxa"/>
              <w:bottom w:w="113" w:type="dxa"/>
            </w:tcMar>
          </w:tcPr>
          <w:p w14:paraId="63C7D1EB" w14:textId="77777777" w:rsidR="00D901C2" w:rsidRPr="00BA23EC" w:rsidRDefault="00D901C2" w:rsidP="00466EF8">
            <w:pPr>
              <w:snapToGrid w:val="0"/>
              <w:spacing w:before="0" w:after="0" w:line="240" w:lineRule="auto"/>
              <w:rPr>
                <w:rFonts w:cstheme="minorHAnsi"/>
                <w:sz w:val="21"/>
                <w:lang w:val="en-AU"/>
              </w:rPr>
            </w:pPr>
            <w:r w:rsidRPr="00BA23EC">
              <w:rPr>
                <w:rFonts w:cstheme="minorHAnsi"/>
                <w:sz w:val="21"/>
                <w:szCs w:val="21"/>
                <w:lang w:val="en-AU"/>
              </w:rPr>
              <w:t>The six pillars of the Health Transformation Agenda are included in the 2025-2029 RPJMN and maintained in some fashion by the next administration post 2024 election.</w:t>
            </w:r>
          </w:p>
        </w:tc>
        <w:tc>
          <w:tcPr>
            <w:tcW w:w="2268" w:type="dxa"/>
            <w:tcMar>
              <w:top w:w="113" w:type="dxa"/>
              <w:bottom w:w="113" w:type="dxa"/>
            </w:tcMar>
            <w:vAlign w:val="center"/>
          </w:tcPr>
          <w:p w14:paraId="03CD1A3D" w14:textId="77777777" w:rsidR="00D901C2" w:rsidRPr="00BA23EC" w:rsidRDefault="00D901C2" w:rsidP="00466EF8">
            <w:pPr>
              <w:snapToGrid w:val="0"/>
              <w:spacing w:before="0" w:after="0" w:line="240" w:lineRule="auto"/>
              <w:rPr>
                <w:rFonts w:cstheme="minorHAnsi"/>
                <w:sz w:val="21"/>
                <w:lang w:val="en-AU"/>
              </w:rPr>
            </w:pPr>
            <w:proofErr w:type="spellStart"/>
            <w:r>
              <w:rPr>
                <w:rFonts w:cstheme="minorHAnsi"/>
                <w:sz w:val="21"/>
                <w:lang w:val="en-AU"/>
              </w:rPr>
              <w:t>GoI</w:t>
            </w:r>
            <w:proofErr w:type="spellEnd"/>
            <w:r w:rsidRPr="00BA23EC">
              <w:rPr>
                <w:rFonts w:cstheme="minorHAnsi"/>
                <w:sz w:val="21"/>
                <w:lang w:val="en-AU"/>
              </w:rPr>
              <w:t xml:space="preserve"> RPJMN, including under new administration</w:t>
            </w:r>
          </w:p>
        </w:tc>
      </w:tr>
    </w:tbl>
    <w:p w14:paraId="6FC78E90" w14:textId="77777777" w:rsidR="00D901C2" w:rsidRDefault="00D901C2" w:rsidP="00D901C2">
      <w:pPr>
        <w:suppressAutoHyphens w:val="0"/>
        <w:spacing w:before="0" w:after="120" w:line="440" w:lineRule="atLeast"/>
        <w:jc w:val="both"/>
        <w:rPr>
          <w:rFonts w:cstheme="minorHAnsi"/>
          <w:lang w:val="en-AU"/>
        </w:rPr>
      </w:pPr>
      <w:r w:rsidRPr="00BA23EC">
        <w:rPr>
          <w:rFonts w:cstheme="minorHAnsi"/>
          <w:b/>
          <w:sz w:val="21"/>
          <w:lang w:val="en-AU"/>
        </w:rPr>
        <w:lastRenderedPageBreak/>
        <w:t>Intermediate Outcome (IO1):</w:t>
      </w:r>
      <w:r w:rsidRPr="00BA23EC">
        <w:rPr>
          <w:rFonts w:cstheme="minorHAnsi"/>
          <w:sz w:val="21"/>
          <w:lang w:val="en-AU"/>
        </w:rPr>
        <w:t xml:space="preserve"> </w:t>
      </w:r>
      <w:r w:rsidRPr="00782398">
        <w:rPr>
          <w:rFonts w:cstheme="minorHAnsi"/>
          <w:sz w:val="21"/>
          <w:lang w:val="en-AU"/>
        </w:rPr>
        <w:t xml:space="preserve">MDTF Secretariat facilitates the development of credible analytical products, including peer-reviewed </w:t>
      </w:r>
      <w:proofErr w:type="gramStart"/>
      <w:r w:rsidRPr="00782398">
        <w:rPr>
          <w:rFonts w:cstheme="minorHAnsi"/>
          <w:sz w:val="21"/>
          <w:lang w:val="en-AU"/>
        </w:rPr>
        <w:t>products</w:t>
      </w:r>
      <w:proofErr w:type="gramEnd"/>
    </w:p>
    <w:tbl>
      <w:tblPr>
        <w:tblStyle w:val="TableGrid"/>
        <w:tblW w:w="15451" w:type="dxa"/>
        <w:tblInd w:w="-5" w:type="dxa"/>
        <w:tblLayout w:type="fixed"/>
        <w:tblLook w:val="04A0" w:firstRow="1" w:lastRow="0" w:firstColumn="1" w:lastColumn="0" w:noHBand="0" w:noVBand="1"/>
      </w:tblPr>
      <w:tblGrid>
        <w:gridCol w:w="3686"/>
        <w:gridCol w:w="1417"/>
        <w:gridCol w:w="993"/>
        <w:gridCol w:w="992"/>
        <w:gridCol w:w="6095"/>
        <w:gridCol w:w="2268"/>
      </w:tblGrid>
      <w:tr w:rsidR="00D901C2" w:rsidRPr="00BA23EC" w14:paraId="4CE9F328" w14:textId="77777777" w:rsidTr="00466EF8">
        <w:trPr>
          <w:trHeight w:val="530"/>
        </w:trPr>
        <w:tc>
          <w:tcPr>
            <w:tcW w:w="3686" w:type="dxa"/>
            <w:shd w:val="clear" w:color="auto" w:fill="E0F3EF" w:themeFill="accent1" w:themeFillTint="33"/>
            <w:tcMar>
              <w:top w:w="113" w:type="dxa"/>
              <w:bottom w:w="113" w:type="dxa"/>
            </w:tcMar>
            <w:vAlign w:val="center"/>
          </w:tcPr>
          <w:p w14:paraId="55B516BC" w14:textId="77777777" w:rsidR="00D901C2" w:rsidRPr="00BA23EC" w:rsidRDefault="00D901C2" w:rsidP="00466EF8">
            <w:pPr>
              <w:snapToGrid w:val="0"/>
              <w:spacing w:before="0" w:after="0" w:line="240" w:lineRule="auto"/>
              <w:jc w:val="center"/>
              <w:rPr>
                <w:rFonts w:cstheme="minorHAnsi"/>
                <w:b/>
                <w:sz w:val="21"/>
                <w:lang w:val="en-AU"/>
              </w:rPr>
            </w:pPr>
            <w:r w:rsidRPr="00BA23EC">
              <w:rPr>
                <w:rFonts w:cstheme="minorHAnsi"/>
                <w:b/>
                <w:sz w:val="21"/>
                <w:lang w:val="en-AU"/>
              </w:rPr>
              <w:t>Results Indicator</w:t>
            </w:r>
          </w:p>
        </w:tc>
        <w:tc>
          <w:tcPr>
            <w:tcW w:w="1417" w:type="dxa"/>
            <w:shd w:val="clear" w:color="auto" w:fill="E0F3EF" w:themeFill="accent1" w:themeFillTint="33"/>
            <w:tcMar>
              <w:top w:w="113" w:type="dxa"/>
              <w:bottom w:w="113" w:type="dxa"/>
            </w:tcMar>
            <w:vAlign w:val="center"/>
          </w:tcPr>
          <w:p w14:paraId="1F35FDD8" w14:textId="77777777" w:rsidR="00D901C2" w:rsidRPr="00BA23EC" w:rsidRDefault="00D901C2" w:rsidP="00466EF8">
            <w:pPr>
              <w:snapToGrid w:val="0"/>
              <w:spacing w:before="0" w:after="0" w:line="240" w:lineRule="auto"/>
              <w:jc w:val="center"/>
              <w:rPr>
                <w:rFonts w:cstheme="minorHAnsi"/>
                <w:b/>
                <w:sz w:val="21"/>
                <w:lang w:val="en-AU"/>
              </w:rPr>
            </w:pPr>
            <w:r w:rsidRPr="00BA23EC">
              <w:rPr>
                <w:rFonts w:cstheme="minorHAnsi"/>
                <w:b/>
                <w:sz w:val="21"/>
                <w:lang w:val="en-AU"/>
              </w:rPr>
              <w:t>Unit of Measure</w:t>
            </w:r>
          </w:p>
        </w:tc>
        <w:tc>
          <w:tcPr>
            <w:tcW w:w="993" w:type="dxa"/>
            <w:shd w:val="clear" w:color="auto" w:fill="E0F3EF" w:themeFill="accent1" w:themeFillTint="33"/>
            <w:tcMar>
              <w:top w:w="113" w:type="dxa"/>
              <w:bottom w:w="113" w:type="dxa"/>
            </w:tcMar>
            <w:vAlign w:val="center"/>
          </w:tcPr>
          <w:p w14:paraId="75580F3F" w14:textId="77777777" w:rsidR="00D901C2" w:rsidRPr="00BA23EC" w:rsidRDefault="00D901C2" w:rsidP="00466EF8">
            <w:pPr>
              <w:snapToGrid w:val="0"/>
              <w:spacing w:before="0" w:after="0" w:line="240" w:lineRule="auto"/>
              <w:jc w:val="center"/>
              <w:rPr>
                <w:rFonts w:cstheme="minorHAnsi"/>
                <w:b/>
                <w:sz w:val="21"/>
                <w:lang w:val="en-AU"/>
              </w:rPr>
            </w:pPr>
            <w:r w:rsidRPr="00BA23EC">
              <w:rPr>
                <w:rFonts w:cstheme="minorHAnsi"/>
                <w:b/>
                <w:sz w:val="21"/>
                <w:lang w:val="en-AU"/>
              </w:rPr>
              <w:t>Baseline</w:t>
            </w:r>
          </w:p>
        </w:tc>
        <w:tc>
          <w:tcPr>
            <w:tcW w:w="992" w:type="dxa"/>
            <w:shd w:val="clear" w:color="auto" w:fill="E0F3EF" w:themeFill="accent1" w:themeFillTint="33"/>
            <w:tcMar>
              <w:top w:w="113" w:type="dxa"/>
              <w:bottom w:w="113" w:type="dxa"/>
            </w:tcMar>
            <w:vAlign w:val="center"/>
          </w:tcPr>
          <w:p w14:paraId="4E4DE48A" w14:textId="77777777" w:rsidR="00D901C2" w:rsidRPr="00BA23EC" w:rsidRDefault="00D901C2" w:rsidP="00466EF8">
            <w:pPr>
              <w:snapToGrid w:val="0"/>
              <w:spacing w:before="0" w:after="0" w:line="240" w:lineRule="auto"/>
              <w:jc w:val="center"/>
              <w:rPr>
                <w:rFonts w:cstheme="minorHAnsi"/>
                <w:b/>
                <w:sz w:val="21"/>
                <w:lang w:val="en-AU"/>
              </w:rPr>
            </w:pPr>
            <w:r w:rsidRPr="00BA23EC">
              <w:rPr>
                <w:rFonts w:cstheme="minorHAnsi"/>
                <w:b/>
                <w:sz w:val="21"/>
                <w:lang w:val="en-AU"/>
              </w:rPr>
              <w:t>Annual Target</w:t>
            </w:r>
          </w:p>
        </w:tc>
        <w:tc>
          <w:tcPr>
            <w:tcW w:w="6095" w:type="dxa"/>
            <w:shd w:val="clear" w:color="auto" w:fill="E0F3EF" w:themeFill="accent1" w:themeFillTint="33"/>
            <w:tcMar>
              <w:top w:w="113" w:type="dxa"/>
              <w:bottom w:w="113" w:type="dxa"/>
            </w:tcMar>
            <w:vAlign w:val="center"/>
          </w:tcPr>
          <w:p w14:paraId="1D455754" w14:textId="77777777" w:rsidR="00D901C2" w:rsidRPr="00BA23EC" w:rsidRDefault="00D901C2" w:rsidP="00466EF8">
            <w:pPr>
              <w:snapToGrid w:val="0"/>
              <w:spacing w:before="0" w:after="0" w:line="240" w:lineRule="auto"/>
              <w:jc w:val="center"/>
              <w:rPr>
                <w:rFonts w:cstheme="minorHAnsi"/>
                <w:b/>
                <w:sz w:val="21"/>
                <w:lang w:val="en-AU"/>
              </w:rPr>
            </w:pPr>
            <w:r w:rsidRPr="00BA23EC">
              <w:rPr>
                <w:rFonts w:cstheme="minorHAnsi"/>
                <w:b/>
                <w:sz w:val="21"/>
                <w:lang w:val="en-AU"/>
              </w:rPr>
              <w:t>Data Collection Method</w:t>
            </w:r>
          </w:p>
        </w:tc>
        <w:tc>
          <w:tcPr>
            <w:tcW w:w="2268" w:type="dxa"/>
            <w:shd w:val="clear" w:color="auto" w:fill="E0F3EF" w:themeFill="accent1" w:themeFillTint="33"/>
            <w:tcMar>
              <w:top w:w="113" w:type="dxa"/>
              <w:bottom w:w="113" w:type="dxa"/>
            </w:tcMar>
            <w:vAlign w:val="center"/>
          </w:tcPr>
          <w:p w14:paraId="0833F927" w14:textId="77777777" w:rsidR="00D901C2" w:rsidRPr="00BA23EC" w:rsidRDefault="00D901C2" w:rsidP="00466EF8">
            <w:pPr>
              <w:snapToGrid w:val="0"/>
              <w:spacing w:before="0" w:after="0" w:line="240" w:lineRule="auto"/>
              <w:jc w:val="center"/>
              <w:rPr>
                <w:rFonts w:cstheme="minorHAnsi"/>
                <w:b/>
                <w:sz w:val="21"/>
                <w:lang w:val="en-AU"/>
              </w:rPr>
            </w:pPr>
            <w:r w:rsidRPr="00BA23EC">
              <w:rPr>
                <w:rFonts w:cstheme="minorHAnsi"/>
                <w:b/>
                <w:sz w:val="21"/>
                <w:lang w:val="en-AU"/>
              </w:rPr>
              <w:t>Frequency/Report</w:t>
            </w:r>
          </w:p>
        </w:tc>
      </w:tr>
      <w:tr w:rsidR="00D901C2" w:rsidRPr="00BA23EC" w14:paraId="3F8326FE" w14:textId="77777777" w:rsidTr="00466EF8">
        <w:trPr>
          <w:trHeight w:val="1621"/>
        </w:trPr>
        <w:tc>
          <w:tcPr>
            <w:tcW w:w="3686" w:type="dxa"/>
            <w:tcMar>
              <w:top w:w="113" w:type="dxa"/>
              <w:bottom w:w="113" w:type="dxa"/>
            </w:tcMar>
            <w:vAlign w:val="center"/>
          </w:tcPr>
          <w:p w14:paraId="462222E4" w14:textId="77777777" w:rsidR="00D901C2" w:rsidRPr="00BA23EC" w:rsidRDefault="00D901C2" w:rsidP="00466EF8">
            <w:pPr>
              <w:snapToGrid w:val="0"/>
              <w:spacing w:before="0" w:after="0" w:line="240" w:lineRule="auto"/>
              <w:rPr>
                <w:rFonts w:cstheme="minorHAnsi"/>
                <w:b/>
                <w:sz w:val="21"/>
                <w:lang w:val="en-AU"/>
              </w:rPr>
            </w:pPr>
            <w:r w:rsidRPr="00BA23EC">
              <w:rPr>
                <w:rFonts w:cstheme="minorHAnsi"/>
                <w:b/>
                <w:sz w:val="21"/>
                <w:lang w:val="en-AU"/>
              </w:rPr>
              <w:t xml:space="preserve">Indicator (I1.1) </w:t>
            </w:r>
          </w:p>
          <w:p w14:paraId="26A16B1B" w14:textId="77777777" w:rsidR="00D901C2" w:rsidRPr="00BA23EC" w:rsidRDefault="00D901C2" w:rsidP="00466EF8">
            <w:pPr>
              <w:snapToGrid w:val="0"/>
              <w:spacing w:before="0" w:after="0" w:line="240" w:lineRule="auto"/>
              <w:rPr>
                <w:rFonts w:cstheme="minorHAnsi"/>
                <w:sz w:val="21"/>
                <w:lang w:val="en-AU"/>
              </w:rPr>
            </w:pPr>
            <w:r w:rsidRPr="00597C8F">
              <w:rPr>
                <w:rFonts w:cstheme="minorHAnsi"/>
                <w:sz w:val="21"/>
                <w:lang w:val="en-AU"/>
              </w:rPr>
              <w:t>Documented instances of MDTF Secretariat facilitating the development of analytical inputs on relevant and inclusive projects, programs, policies, and reforms, including peer-reviewed products</w:t>
            </w:r>
            <w:r w:rsidRPr="00BA23EC">
              <w:rPr>
                <w:rFonts w:cstheme="minorHAnsi"/>
                <w:sz w:val="21"/>
                <w:lang w:val="en-AU"/>
              </w:rPr>
              <w:t>.</w:t>
            </w:r>
          </w:p>
        </w:tc>
        <w:tc>
          <w:tcPr>
            <w:tcW w:w="1417" w:type="dxa"/>
            <w:tcMar>
              <w:top w:w="113" w:type="dxa"/>
              <w:bottom w:w="113" w:type="dxa"/>
            </w:tcMar>
            <w:vAlign w:val="center"/>
          </w:tcPr>
          <w:p w14:paraId="1996C254" w14:textId="77777777" w:rsidR="00D901C2" w:rsidRPr="00BA23EC" w:rsidRDefault="00D901C2" w:rsidP="00466EF8">
            <w:pPr>
              <w:snapToGrid w:val="0"/>
              <w:spacing w:before="0" w:after="0" w:line="240" w:lineRule="auto"/>
              <w:jc w:val="center"/>
              <w:rPr>
                <w:rFonts w:cstheme="minorHAnsi"/>
                <w:sz w:val="21"/>
                <w:lang w:val="en-AU"/>
              </w:rPr>
            </w:pPr>
            <w:r w:rsidRPr="00BA23EC">
              <w:rPr>
                <w:rFonts w:cstheme="minorHAnsi"/>
                <w:sz w:val="21"/>
                <w:lang w:val="en-AU"/>
              </w:rPr>
              <w:t>Number of cases</w:t>
            </w:r>
          </w:p>
        </w:tc>
        <w:tc>
          <w:tcPr>
            <w:tcW w:w="993" w:type="dxa"/>
            <w:tcMar>
              <w:top w:w="113" w:type="dxa"/>
              <w:bottom w:w="113" w:type="dxa"/>
            </w:tcMar>
            <w:vAlign w:val="center"/>
          </w:tcPr>
          <w:p w14:paraId="47A9C9FC" w14:textId="77777777" w:rsidR="00D901C2" w:rsidRPr="00BA23EC" w:rsidRDefault="00D901C2" w:rsidP="00466EF8">
            <w:pPr>
              <w:snapToGrid w:val="0"/>
              <w:spacing w:before="0" w:after="0" w:line="240" w:lineRule="auto"/>
              <w:jc w:val="center"/>
              <w:rPr>
                <w:rFonts w:cstheme="minorHAnsi"/>
                <w:sz w:val="21"/>
                <w:lang w:val="en-AU"/>
              </w:rPr>
            </w:pPr>
            <w:r w:rsidRPr="00BA23EC">
              <w:rPr>
                <w:rFonts w:cstheme="minorHAnsi"/>
                <w:sz w:val="21"/>
                <w:lang w:val="en-AU"/>
              </w:rPr>
              <w:t>0</w:t>
            </w:r>
          </w:p>
        </w:tc>
        <w:tc>
          <w:tcPr>
            <w:tcW w:w="992" w:type="dxa"/>
            <w:tcMar>
              <w:top w:w="113" w:type="dxa"/>
              <w:bottom w:w="113" w:type="dxa"/>
            </w:tcMar>
            <w:vAlign w:val="center"/>
          </w:tcPr>
          <w:p w14:paraId="57B6AE99" w14:textId="77777777" w:rsidR="00D901C2" w:rsidRPr="00BA23EC" w:rsidRDefault="00D901C2" w:rsidP="00466EF8">
            <w:pPr>
              <w:snapToGrid w:val="0"/>
              <w:spacing w:before="0" w:after="0" w:line="240" w:lineRule="auto"/>
              <w:jc w:val="center"/>
              <w:rPr>
                <w:rFonts w:cstheme="minorHAnsi"/>
                <w:sz w:val="21"/>
                <w:lang w:val="en-AU"/>
              </w:rPr>
            </w:pPr>
            <w:r w:rsidRPr="00BA23EC">
              <w:rPr>
                <w:rFonts w:cstheme="minorHAnsi"/>
                <w:sz w:val="21"/>
                <w:lang w:val="en-AU"/>
              </w:rPr>
              <w:t>TBC</w:t>
            </w:r>
          </w:p>
        </w:tc>
        <w:tc>
          <w:tcPr>
            <w:tcW w:w="6095" w:type="dxa"/>
            <w:tcMar>
              <w:top w:w="113" w:type="dxa"/>
              <w:bottom w:w="113" w:type="dxa"/>
            </w:tcMar>
            <w:vAlign w:val="center"/>
          </w:tcPr>
          <w:p w14:paraId="16550C8F" w14:textId="77777777" w:rsidR="00D901C2" w:rsidRPr="00BA23EC" w:rsidRDefault="00D901C2" w:rsidP="00466EF8">
            <w:pPr>
              <w:snapToGrid w:val="0"/>
              <w:spacing w:before="0" w:after="0" w:line="240" w:lineRule="auto"/>
              <w:rPr>
                <w:rFonts w:cstheme="minorHAnsi"/>
                <w:sz w:val="21"/>
                <w:lang w:val="en-AU"/>
              </w:rPr>
            </w:pPr>
            <w:r w:rsidRPr="00BB4F19">
              <w:rPr>
                <w:rFonts w:cstheme="minorHAnsi"/>
                <w:sz w:val="21"/>
                <w:szCs w:val="21"/>
                <w:lang w:val="en-AU"/>
              </w:rPr>
              <w:t xml:space="preserve">MDTF Secretariat and World Bank </w:t>
            </w:r>
            <w:r>
              <w:rPr>
                <w:rFonts w:cstheme="minorHAnsi"/>
                <w:sz w:val="21"/>
                <w:szCs w:val="21"/>
                <w:lang w:val="en-AU"/>
              </w:rPr>
              <w:t>reports on the no. and quality (</w:t>
            </w:r>
            <w:proofErr w:type="spellStart"/>
            <w:proofErr w:type="gramStart"/>
            <w:r>
              <w:rPr>
                <w:rFonts w:cstheme="minorHAnsi"/>
                <w:sz w:val="21"/>
                <w:szCs w:val="21"/>
                <w:lang w:val="en-AU"/>
              </w:rPr>
              <w:t>ie</w:t>
            </w:r>
            <w:proofErr w:type="spellEnd"/>
            <w:proofErr w:type="gramEnd"/>
            <w:r>
              <w:rPr>
                <w:rFonts w:cstheme="minorHAnsi"/>
                <w:sz w:val="21"/>
                <w:szCs w:val="21"/>
                <w:lang w:val="en-AU"/>
              </w:rPr>
              <w:t xml:space="preserve"> credible, relevant, and high quality (including peer reviewed)) analytical products for health reform implementation – including those related to addressing gender, disability and climate.</w:t>
            </w:r>
            <w:r>
              <w:rPr>
                <w:rFonts w:cstheme="minorHAnsi"/>
                <w:sz w:val="21"/>
                <w:lang w:val="en-AU"/>
              </w:rPr>
              <w:t xml:space="preserve"> </w:t>
            </w:r>
          </w:p>
        </w:tc>
        <w:tc>
          <w:tcPr>
            <w:tcW w:w="2268" w:type="dxa"/>
            <w:tcMar>
              <w:top w:w="113" w:type="dxa"/>
              <w:bottom w:w="113" w:type="dxa"/>
            </w:tcMar>
            <w:vAlign w:val="center"/>
          </w:tcPr>
          <w:p w14:paraId="57CF8FC8" w14:textId="77777777" w:rsidR="00D901C2" w:rsidRPr="00BA23EC" w:rsidRDefault="00D901C2" w:rsidP="00466EF8">
            <w:pPr>
              <w:snapToGrid w:val="0"/>
              <w:spacing w:before="0" w:after="0" w:line="240" w:lineRule="auto"/>
              <w:rPr>
                <w:rFonts w:cstheme="minorHAnsi"/>
                <w:sz w:val="21"/>
                <w:lang w:val="en-AU"/>
              </w:rPr>
            </w:pPr>
            <w:r w:rsidRPr="00BA23EC">
              <w:rPr>
                <w:rFonts w:cstheme="minorHAnsi"/>
                <w:sz w:val="21"/>
                <w:lang w:val="en-AU"/>
              </w:rPr>
              <w:t>MDTF Annual Report (MDTF Secretariat)</w:t>
            </w:r>
          </w:p>
          <w:p w14:paraId="50CBD095" w14:textId="77777777" w:rsidR="00D901C2" w:rsidRPr="00BA23EC" w:rsidRDefault="00D901C2" w:rsidP="00466EF8">
            <w:pPr>
              <w:snapToGrid w:val="0"/>
              <w:spacing w:before="0" w:after="0" w:line="240" w:lineRule="auto"/>
              <w:rPr>
                <w:rFonts w:cstheme="minorHAnsi"/>
                <w:sz w:val="21"/>
                <w:szCs w:val="21"/>
                <w:lang w:val="en-AU"/>
              </w:rPr>
            </w:pPr>
            <w:r w:rsidRPr="00BA23EC">
              <w:rPr>
                <w:rFonts w:cstheme="minorHAnsi"/>
                <w:sz w:val="21"/>
                <w:lang w:val="en-AU"/>
              </w:rPr>
              <w:t xml:space="preserve">World Bank Annual Progress </w:t>
            </w:r>
            <w:r w:rsidRPr="00BA23EC">
              <w:rPr>
                <w:rFonts w:cstheme="minorHAnsi"/>
                <w:sz w:val="21"/>
                <w:szCs w:val="21"/>
                <w:lang w:val="en-AU"/>
              </w:rPr>
              <w:t>Review</w:t>
            </w:r>
          </w:p>
          <w:p w14:paraId="360DD7AB" w14:textId="77777777" w:rsidR="00D901C2" w:rsidRPr="00BA23EC" w:rsidRDefault="00D901C2" w:rsidP="00466EF8">
            <w:pPr>
              <w:snapToGrid w:val="0"/>
              <w:spacing w:before="0" w:after="0" w:line="240" w:lineRule="auto"/>
              <w:rPr>
                <w:rFonts w:cstheme="minorHAnsi"/>
                <w:sz w:val="21"/>
                <w:lang w:val="en-AU"/>
              </w:rPr>
            </w:pPr>
            <w:r w:rsidRPr="00BA23EC">
              <w:rPr>
                <w:rFonts w:cstheme="minorHAnsi"/>
                <w:sz w:val="21"/>
                <w:szCs w:val="21"/>
                <w:lang w:val="en-AU"/>
              </w:rPr>
              <w:t>World Bank</w:t>
            </w:r>
            <w:r>
              <w:rPr>
                <w:rFonts w:cstheme="minorHAnsi"/>
                <w:sz w:val="21"/>
                <w:szCs w:val="21"/>
                <w:lang w:val="en-AU"/>
              </w:rPr>
              <w:t xml:space="preserve"> </w:t>
            </w:r>
            <w:r w:rsidRPr="00BA23EC">
              <w:rPr>
                <w:rFonts w:cstheme="minorHAnsi"/>
                <w:sz w:val="21"/>
                <w:szCs w:val="21"/>
                <w:lang w:val="en-AU"/>
              </w:rPr>
              <w:t>Implementation Status and Results Report</w:t>
            </w:r>
          </w:p>
          <w:p w14:paraId="4C179868" w14:textId="77777777" w:rsidR="00D901C2" w:rsidRPr="00BA23EC" w:rsidRDefault="00D901C2" w:rsidP="00466EF8">
            <w:pPr>
              <w:snapToGrid w:val="0"/>
              <w:spacing w:before="0" w:after="0" w:line="240" w:lineRule="auto"/>
              <w:rPr>
                <w:rFonts w:cstheme="minorHAnsi"/>
                <w:sz w:val="21"/>
                <w:lang w:val="en-AU"/>
              </w:rPr>
            </w:pPr>
            <w:r w:rsidRPr="00BA23EC">
              <w:rPr>
                <w:rFonts w:cstheme="minorHAnsi"/>
                <w:sz w:val="21"/>
                <w:lang w:val="en-AU"/>
              </w:rPr>
              <w:t>Aide Memoire</w:t>
            </w:r>
          </w:p>
          <w:p w14:paraId="403EAD17" w14:textId="77777777" w:rsidR="00D901C2" w:rsidRPr="00BA23EC" w:rsidRDefault="00D901C2" w:rsidP="00466EF8">
            <w:pPr>
              <w:snapToGrid w:val="0"/>
              <w:spacing w:before="0" w:after="0" w:line="240" w:lineRule="auto"/>
              <w:rPr>
                <w:rFonts w:cstheme="minorHAnsi"/>
                <w:sz w:val="21"/>
                <w:lang w:val="en-AU"/>
              </w:rPr>
            </w:pPr>
            <w:r w:rsidRPr="00BA23EC">
              <w:rPr>
                <w:rFonts w:cstheme="minorHAnsi"/>
                <w:sz w:val="21"/>
                <w:lang w:val="en-AU"/>
              </w:rPr>
              <w:t>PC Meeting minutes</w:t>
            </w:r>
          </w:p>
        </w:tc>
      </w:tr>
    </w:tbl>
    <w:p w14:paraId="172A9883" w14:textId="77777777" w:rsidR="00D901C2" w:rsidRDefault="00D901C2" w:rsidP="00D901C2">
      <w:pPr>
        <w:suppressAutoHyphens w:val="0"/>
        <w:spacing w:before="0" w:after="120" w:line="440" w:lineRule="atLeast"/>
        <w:jc w:val="both"/>
        <w:rPr>
          <w:rFonts w:cstheme="minorHAnsi"/>
          <w:lang w:val="en-AU"/>
        </w:rPr>
      </w:pPr>
      <w:r w:rsidRPr="00BA23EC">
        <w:rPr>
          <w:rFonts w:cstheme="minorHAnsi"/>
          <w:b/>
          <w:sz w:val="21"/>
          <w:lang w:val="en-AU"/>
        </w:rPr>
        <w:t xml:space="preserve">Intermediate Outcome 2 (IO2): </w:t>
      </w:r>
      <w:r w:rsidRPr="00782398">
        <w:rPr>
          <w:rFonts w:cstheme="minorHAnsi"/>
          <w:sz w:val="21"/>
          <w:lang w:val="en-AU"/>
        </w:rPr>
        <w:t xml:space="preserve">MDTF Secretariat facilitates influential policy </w:t>
      </w:r>
      <w:proofErr w:type="gramStart"/>
      <w:r w:rsidRPr="00782398">
        <w:rPr>
          <w:rFonts w:cstheme="minorHAnsi"/>
          <w:sz w:val="21"/>
          <w:lang w:val="en-AU"/>
        </w:rPr>
        <w:t>dialogue</w:t>
      </w:r>
      <w:proofErr w:type="gramEnd"/>
    </w:p>
    <w:tbl>
      <w:tblPr>
        <w:tblStyle w:val="TableGrid"/>
        <w:tblW w:w="15451" w:type="dxa"/>
        <w:tblInd w:w="-5" w:type="dxa"/>
        <w:tblLayout w:type="fixed"/>
        <w:tblLook w:val="04A0" w:firstRow="1" w:lastRow="0" w:firstColumn="1" w:lastColumn="0" w:noHBand="0" w:noVBand="1"/>
      </w:tblPr>
      <w:tblGrid>
        <w:gridCol w:w="3686"/>
        <w:gridCol w:w="1417"/>
        <w:gridCol w:w="993"/>
        <w:gridCol w:w="992"/>
        <w:gridCol w:w="6095"/>
        <w:gridCol w:w="2268"/>
      </w:tblGrid>
      <w:tr w:rsidR="00D901C2" w:rsidRPr="00BA23EC" w14:paraId="663C5A7D" w14:textId="77777777" w:rsidTr="00466EF8">
        <w:trPr>
          <w:trHeight w:val="1531"/>
        </w:trPr>
        <w:tc>
          <w:tcPr>
            <w:tcW w:w="3686" w:type="dxa"/>
            <w:tcMar>
              <w:top w:w="113" w:type="dxa"/>
              <w:bottom w:w="113" w:type="dxa"/>
            </w:tcMar>
            <w:vAlign w:val="center"/>
          </w:tcPr>
          <w:p w14:paraId="58298A71" w14:textId="77777777" w:rsidR="00D901C2" w:rsidRPr="00BA23EC" w:rsidRDefault="00D901C2" w:rsidP="00466EF8">
            <w:pPr>
              <w:snapToGrid w:val="0"/>
              <w:spacing w:before="0" w:after="0" w:line="240" w:lineRule="auto"/>
              <w:rPr>
                <w:rFonts w:cstheme="minorHAnsi"/>
                <w:b/>
                <w:sz w:val="21"/>
                <w:lang w:val="en-AU"/>
              </w:rPr>
            </w:pPr>
            <w:r w:rsidRPr="00BA23EC">
              <w:rPr>
                <w:rFonts w:cstheme="minorHAnsi"/>
                <w:b/>
                <w:sz w:val="21"/>
                <w:lang w:val="en-AU"/>
              </w:rPr>
              <w:t>Indicator (I</w:t>
            </w:r>
            <w:r>
              <w:rPr>
                <w:rFonts w:cstheme="minorHAnsi"/>
                <w:b/>
                <w:sz w:val="21"/>
                <w:lang w:val="en-AU"/>
              </w:rPr>
              <w:t>2.1</w:t>
            </w:r>
            <w:r w:rsidRPr="00BA23EC">
              <w:rPr>
                <w:rFonts w:cstheme="minorHAnsi"/>
                <w:b/>
                <w:sz w:val="21"/>
                <w:lang w:val="en-AU"/>
              </w:rPr>
              <w:t xml:space="preserve">) </w:t>
            </w:r>
          </w:p>
          <w:p w14:paraId="4CB0FB60" w14:textId="77777777" w:rsidR="00D901C2" w:rsidRPr="00BA23EC" w:rsidRDefault="00D901C2" w:rsidP="00466EF8">
            <w:pPr>
              <w:snapToGrid w:val="0"/>
              <w:spacing w:before="0" w:after="0" w:line="240" w:lineRule="auto"/>
              <w:rPr>
                <w:rFonts w:cstheme="minorHAnsi"/>
                <w:sz w:val="21"/>
                <w:lang w:val="en-AU"/>
              </w:rPr>
            </w:pPr>
            <w:r w:rsidRPr="001F6EC1">
              <w:rPr>
                <w:rFonts w:cstheme="minorHAnsi"/>
                <w:sz w:val="21"/>
                <w:lang w:val="en-AU"/>
              </w:rPr>
              <w:t>Documented instances of MDTF Secretariat facilitating influential policy dialogue on relevant and inclusive projects, programs, policy decisions, and reforms</w:t>
            </w:r>
          </w:p>
        </w:tc>
        <w:tc>
          <w:tcPr>
            <w:tcW w:w="1417" w:type="dxa"/>
            <w:tcMar>
              <w:top w:w="113" w:type="dxa"/>
              <w:bottom w:w="113" w:type="dxa"/>
            </w:tcMar>
            <w:vAlign w:val="center"/>
          </w:tcPr>
          <w:p w14:paraId="3CA8620C" w14:textId="77777777" w:rsidR="00D901C2" w:rsidRPr="00BA23EC" w:rsidRDefault="00D901C2" w:rsidP="00466EF8">
            <w:pPr>
              <w:snapToGrid w:val="0"/>
              <w:spacing w:before="0" w:after="0" w:line="240" w:lineRule="auto"/>
              <w:jc w:val="center"/>
              <w:rPr>
                <w:rFonts w:cstheme="minorHAnsi"/>
                <w:sz w:val="21"/>
                <w:lang w:val="en-AU"/>
              </w:rPr>
            </w:pPr>
            <w:r w:rsidRPr="00BA23EC">
              <w:rPr>
                <w:rFonts w:cstheme="minorHAnsi"/>
                <w:sz w:val="21"/>
                <w:lang w:val="en-AU"/>
              </w:rPr>
              <w:t>Number of cases</w:t>
            </w:r>
          </w:p>
        </w:tc>
        <w:tc>
          <w:tcPr>
            <w:tcW w:w="993" w:type="dxa"/>
            <w:tcMar>
              <w:top w:w="113" w:type="dxa"/>
              <w:bottom w:w="113" w:type="dxa"/>
            </w:tcMar>
            <w:vAlign w:val="center"/>
          </w:tcPr>
          <w:p w14:paraId="22C64DD6" w14:textId="77777777" w:rsidR="00D901C2" w:rsidRPr="00BA23EC" w:rsidRDefault="00D901C2" w:rsidP="00466EF8">
            <w:pPr>
              <w:snapToGrid w:val="0"/>
              <w:spacing w:before="0" w:after="0" w:line="240" w:lineRule="auto"/>
              <w:jc w:val="center"/>
              <w:rPr>
                <w:rFonts w:cstheme="minorHAnsi"/>
                <w:sz w:val="21"/>
                <w:lang w:val="en-AU"/>
              </w:rPr>
            </w:pPr>
            <w:r w:rsidRPr="00BA23EC">
              <w:rPr>
                <w:rFonts w:cstheme="minorHAnsi"/>
                <w:sz w:val="21"/>
                <w:lang w:val="en-AU"/>
              </w:rPr>
              <w:t>0</w:t>
            </w:r>
          </w:p>
        </w:tc>
        <w:tc>
          <w:tcPr>
            <w:tcW w:w="992" w:type="dxa"/>
            <w:tcMar>
              <w:top w:w="113" w:type="dxa"/>
              <w:bottom w:w="113" w:type="dxa"/>
            </w:tcMar>
            <w:vAlign w:val="center"/>
          </w:tcPr>
          <w:p w14:paraId="2CA4DEAA" w14:textId="77777777" w:rsidR="00D901C2" w:rsidRPr="00BA23EC" w:rsidRDefault="00D901C2" w:rsidP="00466EF8">
            <w:pPr>
              <w:snapToGrid w:val="0"/>
              <w:spacing w:before="0" w:after="0" w:line="240" w:lineRule="auto"/>
              <w:jc w:val="center"/>
              <w:rPr>
                <w:rFonts w:cstheme="minorHAnsi"/>
                <w:sz w:val="21"/>
                <w:lang w:val="en-AU"/>
              </w:rPr>
            </w:pPr>
            <w:r w:rsidRPr="00BA23EC">
              <w:rPr>
                <w:rFonts w:cstheme="minorHAnsi"/>
                <w:sz w:val="21"/>
                <w:lang w:val="en-AU"/>
              </w:rPr>
              <w:t>TBC</w:t>
            </w:r>
          </w:p>
        </w:tc>
        <w:tc>
          <w:tcPr>
            <w:tcW w:w="6095" w:type="dxa"/>
            <w:tcMar>
              <w:top w:w="113" w:type="dxa"/>
              <w:bottom w:w="113" w:type="dxa"/>
            </w:tcMar>
            <w:vAlign w:val="center"/>
          </w:tcPr>
          <w:p w14:paraId="4BFEE404" w14:textId="77777777" w:rsidR="00D901C2" w:rsidRPr="00BA23EC" w:rsidRDefault="00D901C2" w:rsidP="00466EF8">
            <w:pPr>
              <w:snapToGrid w:val="0"/>
              <w:spacing w:before="0" w:after="0" w:line="240" w:lineRule="auto"/>
              <w:rPr>
                <w:rFonts w:cstheme="minorHAnsi"/>
                <w:sz w:val="21"/>
                <w:lang w:val="en-AU"/>
              </w:rPr>
            </w:pPr>
            <w:r w:rsidRPr="00BB4F19">
              <w:rPr>
                <w:rFonts w:cstheme="minorHAnsi"/>
                <w:sz w:val="21"/>
                <w:szCs w:val="21"/>
                <w:lang w:val="en-AU"/>
              </w:rPr>
              <w:t xml:space="preserve">MDTF Secretariat and World Bank </w:t>
            </w:r>
            <w:r>
              <w:rPr>
                <w:rFonts w:cstheme="minorHAnsi"/>
                <w:sz w:val="21"/>
                <w:szCs w:val="21"/>
                <w:lang w:val="en-AU"/>
              </w:rPr>
              <w:t xml:space="preserve">reports on instances of influential policy dialogue on health reform implementation – including those related to addressing gender, </w:t>
            </w:r>
            <w:proofErr w:type="gramStart"/>
            <w:r>
              <w:rPr>
                <w:rFonts w:cstheme="minorHAnsi"/>
                <w:sz w:val="21"/>
                <w:szCs w:val="21"/>
                <w:lang w:val="en-AU"/>
              </w:rPr>
              <w:t>disability</w:t>
            </w:r>
            <w:proofErr w:type="gramEnd"/>
            <w:r>
              <w:rPr>
                <w:rFonts w:cstheme="minorHAnsi"/>
                <w:sz w:val="21"/>
                <w:szCs w:val="21"/>
                <w:lang w:val="en-AU"/>
              </w:rPr>
              <w:t xml:space="preserve"> and climate.</w:t>
            </w:r>
          </w:p>
        </w:tc>
        <w:tc>
          <w:tcPr>
            <w:tcW w:w="2268" w:type="dxa"/>
            <w:tcMar>
              <w:top w:w="113" w:type="dxa"/>
              <w:bottom w:w="113" w:type="dxa"/>
            </w:tcMar>
            <w:vAlign w:val="center"/>
          </w:tcPr>
          <w:p w14:paraId="0C7E5981" w14:textId="77777777" w:rsidR="00D901C2" w:rsidRPr="00BA23EC" w:rsidRDefault="00D901C2" w:rsidP="00466EF8">
            <w:pPr>
              <w:snapToGrid w:val="0"/>
              <w:spacing w:before="0" w:after="0" w:line="240" w:lineRule="auto"/>
              <w:rPr>
                <w:rFonts w:cstheme="minorHAnsi"/>
                <w:sz w:val="21"/>
                <w:lang w:val="en-AU"/>
              </w:rPr>
            </w:pPr>
            <w:r w:rsidRPr="00BA23EC">
              <w:rPr>
                <w:rFonts w:cstheme="minorHAnsi"/>
                <w:sz w:val="21"/>
                <w:lang w:val="en-AU"/>
              </w:rPr>
              <w:t>As above</w:t>
            </w:r>
          </w:p>
        </w:tc>
      </w:tr>
    </w:tbl>
    <w:p w14:paraId="24985957" w14:textId="77777777" w:rsidR="00D901C2" w:rsidRDefault="00D901C2" w:rsidP="00D901C2">
      <w:pPr>
        <w:suppressAutoHyphens w:val="0"/>
        <w:spacing w:before="0" w:after="120" w:line="440" w:lineRule="atLeast"/>
        <w:jc w:val="both"/>
        <w:rPr>
          <w:rFonts w:cstheme="minorHAnsi"/>
          <w:lang w:val="en-AU"/>
        </w:rPr>
      </w:pPr>
      <w:r w:rsidRPr="00BA23EC">
        <w:rPr>
          <w:rFonts w:cstheme="minorHAnsi"/>
          <w:b/>
          <w:sz w:val="21"/>
          <w:lang w:val="en-AU"/>
        </w:rPr>
        <w:t>IO3:</w:t>
      </w:r>
      <w:r w:rsidRPr="00BA23EC">
        <w:rPr>
          <w:rFonts w:cstheme="minorHAnsi"/>
          <w:sz w:val="21"/>
          <w:lang w:val="en-AU"/>
        </w:rPr>
        <w:t xml:space="preserve"> </w:t>
      </w:r>
      <w:r w:rsidRPr="00782398">
        <w:rPr>
          <w:rFonts w:cstheme="minorHAnsi"/>
          <w:sz w:val="21"/>
          <w:lang w:val="en-AU"/>
        </w:rPr>
        <w:t>MDTF Secretariat workplans and progress reports demonstrate continuous improvement of relevant and inclusive reform actions</w:t>
      </w:r>
      <w:r>
        <w:rPr>
          <w:rFonts w:cstheme="minorHAnsi"/>
          <w:sz w:val="21"/>
          <w:lang w:val="en-AU"/>
        </w:rPr>
        <w:t>.</w:t>
      </w:r>
    </w:p>
    <w:tbl>
      <w:tblPr>
        <w:tblStyle w:val="TableGrid"/>
        <w:tblW w:w="15451" w:type="dxa"/>
        <w:tblInd w:w="-5" w:type="dxa"/>
        <w:tblLayout w:type="fixed"/>
        <w:tblLook w:val="04A0" w:firstRow="1" w:lastRow="0" w:firstColumn="1" w:lastColumn="0" w:noHBand="0" w:noVBand="1"/>
      </w:tblPr>
      <w:tblGrid>
        <w:gridCol w:w="3686"/>
        <w:gridCol w:w="1417"/>
        <w:gridCol w:w="993"/>
        <w:gridCol w:w="992"/>
        <w:gridCol w:w="6095"/>
        <w:gridCol w:w="2268"/>
      </w:tblGrid>
      <w:tr w:rsidR="00D901C2" w:rsidRPr="00BA23EC" w14:paraId="01603618" w14:textId="77777777" w:rsidTr="00466EF8">
        <w:tc>
          <w:tcPr>
            <w:tcW w:w="3686" w:type="dxa"/>
            <w:tcMar>
              <w:top w:w="113" w:type="dxa"/>
              <w:bottom w:w="113" w:type="dxa"/>
            </w:tcMar>
          </w:tcPr>
          <w:p w14:paraId="03A81E99" w14:textId="77777777" w:rsidR="00D901C2" w:rsidRPr="00BA23EC" w:rsidRDefault="00D901C2" w:rsidP="00466EF8">
            <w:pPr>
              <w:spacing w:before="0" w:after="0" w:line="240" w:lineRule="auto"/>
              <w:rPr>
                <w:rFonts w:cstheme="minorHAnsi"/>
                <w:lang w:val="en-AU"/>
              </w:rPr>
            </w:pPr>
            <w:r w:rsidRPr="00BA23EC">
              <w:rPr>
                <w:rFonts w:cstheme="minorHAnsi"/>
                <w:b/>
                <w:sz w:val="21"/>
                <w:lang w:val="en-AU"/>
              </w:rPr>
              <w:t xml:space="preserve">Indicator (I3.1). </w:t>
            </w:r>
            <w:r w:rsidRPr="001F6EC1">
              <w:rPr>
                <w:rFonts w:cstheme="minorHAnsi"/>
                <w:sz w:val="21"/>
                <w:lang w:val="en-AU"/>
              </w:rPr>
              <w:t>Documented instances where the MDTF Secretariat has used the knowledge and lessons learned from the monitoring and evaluation components of the MDTF to take policy, project, and programmatic action for the sustainable implementation of the Health System Transformation Agenda.</w:t>
            </w:r>
          </w:p>
        </w:tc>
        <w:tc>
          <w:tcPr>
            <w:tcW w:w="1417" w:type="dxa"/>
            <w:tcMar>
              <w:top w:w="113" w:type="dxa"/>
              <w:bottom w:w="113" w:type="dxa"/>
            </w:tcMar>
            <w:vAlign w:val="center"/>
          </w:tcPr>
          <w:p w14:paraId="63AA8BB4" w14:textId="77777777" w:rsidR="00D901C2" w:rsidRPr="00BA23EC" w:rsidRDefault="00D901C2" w:rsidP="00466EF8">
            <w:pPr>
              <w:snapToGrid w:val="0"/>
              <w:spacing w:before="0" w:after="0" w:line="240" w:lineRule="auto"/>
              <w:jc w:val="center"/>
              <w:rPr>
                <w:rFonts w:cstheme="minorHAnsi"/>
                <w:sz w:val="21"/>
                <w:lang w:val="en-AU"/>
              </w:rPr>
            </w:pPr>
            <w:r>
              <w:rPr>
                <w:rFonts w:cstheme="minorHAnsi"/>
                <w:sz w:val="21"/>
                <w:szCs w:val="21"/>
                <w:lang w:val="en-AU"/>
              </w:rPr>
              <w:t>Number of cases</w:t>
            </w:r>
          </w:p>
        </w:tc>
        <w:tc>
          <w:tcPr>
            <w:tcW w:w="993" w:type="dxa"/>
            <w:tcMar>
              <w:top w:w="113" w:type="dxa"/>
              <w:bottom w:w="113" w:type="dxa"/>
            </w:tcMar>
            <w:vAlign w:val="center"/>
          </w:tcPr>
          <w:p w14:paraId="20BE541B" w14:textId="77777777" w:rsidR="00D901C2" w:rsidRPr="00BA23EC" w:rsidRDefault="00D901C2" w:rsidP="00466EF8">
            <w:pPr>
              <w:snapToGrid w:val="0"/>
              <w:spacing w:before="0" w:after="0" w:line="240" w:lineRule="auto"/>
              <w:jc w:val="center"/>
              <w:rPr>
                <w:rFonts w:cstheme="minorHAnsi"/>
                <w:sz w:val="21"/>
                <w:lang w:val="en-AU"/>
              </w:rPr>
            </w:pPr>
            <w:r>
              <w:rPr>
                <w:rFonts w:cstheme="minorHAnsi"/>
                <w:sz w:val="21"/>
                <w:szCs w:val="21"/>
                <w:lang w:val="en-AU"/>
              </w:rPr>
              <w:t>0</w:t>
            </w:r>
          </w:p>
        </w:tc>
        <w:tc>
          <w:tcPr>
            <w:tcW w:w="992" w:type="dxa"/>
            <w:tcMar>
              <w:top w:w="113" w:type="dxa"/>
              <w:bottom w:w="113" w:type="dxa"/>
            </w:tcMar>
            <w:vAlign w:val="center"/>
          </w:tcPr>
          <w:p w14:paraId="40AD4FDF" w14:textId="77777777" w:rsidR="00D901C2" w:rsidRPr="00BA23EC" w:rsidRDefault="00D901C2" w:rsidP="00466EF8">
            <w:pPr>
              <w:snapToGrid w:val="0"/>
              <w:spacing w:before="0" w:after="0" w:line="240" w:lineRule="auto"/>
              <w:jc w:val="center"/>
              <w:rPr>
                <w:rFonts w:cstheme="minorHAnsi"/>
                <w:sz w:val="21"/>
                <w:lang w:val="en-AU"/>
              </w:rPr>
            </w:pPr>
            <w:r>
              <w:rPr>
                <w:rFonts w:cstheme="minorHAnsi"/>
                <w:sz w:val="21"/>
                <w:szCs w:val="21"/>
                <w:lang w:val="en-AU"/>
              </w:rPr>
              <w:t>TBC</w:t>
            </w:r>
          </w:p>
        </w:tc>
        <w:tc>
          <w:tcPr>
            <w:tcW w:w="6095" w:type="dxa"/>
            <w:tcMar>
              <w:top w:w="113" w:type="dxa"/>
              <w:bottom w:w="113" w:type="dxa"/>
            </w:tcMar>
            <w:vAlign w:val="center"/>
          </w:tcPr>
          <w:p w14:paraId="53DE0377" w14:textId="77777777" w:rsidR="00D901C2" w:rsidRPr="00BA23EC" w:rsidRDefault="00D901C2" w:rsidP="00466EF8">
            <w:pPr>
              <w:snapToGrid w:val="0"/>
              <w:spacing w:before="0" w:after="0" w:line="240" w:lineRule="auto"/>
              <w:rPr>
                <w:rFonts w:cstheme="minorHAnsi"/>
                <w:sz w:val="21"/>
                <w:lang w:val="en-AU"/>
              </w:rPr>
            </w:pPr>
            <w:r w:rsidRPr="00BB4F19">
              <w:rPr>
                <w:rFonts w:cstheme="minorHAnsi"/>
                <w:sz w:val="21"/>
                <w:szCs w:val="21"/>
                <w:lang w:val="en-AU"/>
              </w:rPr>
              <w:t xml:space="preserve">MDTF Secretariat and World Bank </w:t>
            </w:r>
            <w:r>
              <w:rPr>
                <w:rFonts w:cstheme="minorHAnsi"/>
                <w:sz w:val="21"/>
                <w:szCs w:val="21"/>
                <w:lang w:val="en-AU"/>
              </w:rPr>
              <w:t xml:space="preserve">reports on instances of lessons learned and continuous improvement on health reform implementation – including those related to addressing gender, </w:t>
            </w:r>
            <w:proofErr w:type="gramStart"/>
            <w:r>
              <w:rPr>
                <w:rFonts w:cstheme="minorHAnsi"/>
                <w:sz w:val="21"/>
                <w:szCs w:val="21"/>
                <w:lang w:val="en-AU"/>
              </w:rPr>
              <w:t>disability</w:t>
            </w:r>
            <w:proofErr w:type="gramEnd"/>
            <w:r>
              <w:rPr>
                <w:rFonts w:cstheme="minorHAnsi"/>
                <w:sz w:val="21"/>
                <w:szCs w:val="21"/>
                <w:lang w:val="en-AU"/>
              </w:rPr>
              <w:t xml:space="preserve"> and climate</w:t>
            </w:r>
          </w:p>
        </w:tc>
        <w:tc>
          <w:tcPr>
            <w:tcW w:w="2268" w:type="dxa"/>
            <w:tcMar>
              <w:top w:w="113" w:type="dxa"/>
              <w:bottom w:w="113" w:type="dxa"/>
            </w:tcMar>
            <w:vAlign w:val="center"/>
          </w:tcPr>
          <w:p w14:paraId="0737C3D3" w14:textId="77777777" w:rsidR="00D901C2" w:rsidRPr="00BA23EC" w:rsidRDefault="00D901C2" w:rsidP="00466EF8">
            <w:pPr>
              <w:snapToGrid w:val="0"/>
              <w:spacing w:before="0" w:after="0" w:line="240" w:lineRule="auto"/>
              <w:rPr>
                <w:rFonts w:cstheme="minorHAnsi"/>
                <w:sz w:val="21"/>
                <w:lang w:val="en-AU"/>
              </w:rPr>
            </w:pPr>
            <w:r>
              <w:rPr>
                <w:rFonts w:cstheme="minorHAnsi"/>
                <w:sz w:val="21"/>
                <w:lang w:val="en-AU"/>
              </w:rPr>
              <w:t>As above</w:t>
            </w:r>
          </w:p>
        </w:tc>
      </w:tr>
    </w:tbl>
    <w:p w14:paraId="42E6C3DF" w14:textId="77777777" w:rsidR="00D901C2" w:rsidRPr="001252BC" w:rsidRDefault="00D901C2" w:rsidP="00D901C2">
      <w:pPr>
        <w:snapToGrid w:val="0"/>
        <w:spacing w:before="0" w:after="0" w:line="240" w:lineRule="auto"/>
        <w:jc w:val="both"/>
        <w:rPr>
          <w:rFonts w:cstheme="minorHAnsi"/>
          <w:b/>
          <w:sz w:val="21"/>
          <w:lang w:val="en-AU"/>
        </w:rPr>
      </w:pPr>
      <w:r w:rsidRPr="00BA23EC">
        <w:rPr>
          <w:rFonts w:cstheme="minorHAnsi"/>
          <w:b/>
          <w:sz w:val="21"/>
          <w:lang w:val="en-AU"/>
        </w:rPr>
        <w:t>IO</w:t>
      </w:r>
      <w:r>
        <w:rPr>
          <w:rFonts w:cstheme="minorHAnsi"/>
          <w:b/>
          <w:sz w:val="21"/>
          <w:lang w:val="en-AU"/>
        </w:rPr>
        <w:t>4</w:t>
      </w:r>
      <w:r w:rsidRPr="00BA23EC">
        <w:rPr>
          <w:rFonts w:cstheme="minorHAnsi"/>
          <w:b/>
          <w:sz w:val="21"/>
          <w:lang w:val="en-AU"/>
        </w:rPr>
        <w:t xml:space="preserve">:  </w:t>
      </w:r>
      <w:r w:rsidRPr="00BF5252">
        <w:rPr>
          <w:rFonts w:cstheme="minorHAnsi"/>
          <w:bCs/>
          <w:sz w:val="21"/>
          <w:lang w:val="en-AU"/>
        </w:rPr>
        <w:t xml:space="preserve">Donor partnerships with MoH are harmonized and streamlined through the </w:t>
      </w:r>
      <w:proofErr w:type="gramStart"/>
      <w:r w:rsidRPr="00BF5252">
        <w:rPr>
          <w:rFonts w:cstheme="minorHAnsi"/>
          <w:bCs/>
          <w:sz w:val="21"/>
          <w:lang w:val="en-AU"/>
        </w:rPr>
        <w:t>MDTF</w:t>
      </w:r>
      <w:proofErr w:type="gramEnd"/>
    </w:p>
    <w:tbl>
      <w:tblPr>
        <w:tblStyle w:val="TableGrid"/>
        <w:tblW w:w="15451" w:type="dxa"/>
        <w:tblInd w:w="-5" w:type="dxa"/>
        <w:tblLayout w:type="fixed"/>
        <w:tblLook w:val="04A0" w:firstRow="1" w:lastRow="0" w:firstColumn="1" w:lastColumn="0" w:noHBand="0" w:noVBand="1"/>
      </w:tblPr>
      <w:tblGrid>
        <w:gridCol w:w="3686"/>
        <w:gridCol w:w="1417"/>
        <w:gridCol w:w="993"/>
        <w:gridCol w:w="992"/>
        <w:gridCol w:w="6095"/>
        <w:gridCol w:w="2268"/>
      </w:tblGrid>
      <w:tr w:rsidR="00D901C2" w:rsidRPr="00BA23EC" w14:paraId="21DF718F" w14:textId="77777777" w:rsidTr="00466EF8">
        <w:tc>
          <w:tcPr>
            <w:tcW w:w="3686" w:type="dxa"/>
            <w:tcMar>
              <w:top w:w="113" w:type="dxa"/>
              <w:bottom w:w="113" w:type="dxa"/>
            </w:tcMar>
            <w:vAlign w:val="center"/>
          </w:tcPr>
          <w:p w14:paraId="29F50FCA" w14:textId="77777777" w:rsidR="00D901C2" w:rsidRPr="00BA23EC" w:rsidRDefault="00D901C2" w:rsidP="00466EF8">
            <w:pPr>
              <w:spacing w:before="0" w:after="0" w:line="240" w:lineRule="auto"/>
              <w:rPr>
                <w:rFonts w:cstheme="minorHAnsi"/>
                <w:b/>
                <w:sz w:val="21"/>
                <w:lang w:val="en-AU"/>
              </w:rPr>
            </w:pPr>
            <w:r w:rsidRPr="00BA23EC">
              <w:rPr>
                <w:rFonts w:cstheme="minorHAnsi"/>
                <w:b/>
                <w:sz w:val="21"/>
                <w:lang w:val="en-AU"/>
              </w:rPr>
              <w:lastRenderedPageBreak/>
              <w:t xml:space="preserve">Indicator (I5.1). </w:t>
            </w:r>
            <w:r w:rsidRPr="00BA23EC">
              <w:rPr>
                <w:rFonts w:cstheme="minorHAnsi"/>
                <w:sz w:val="21"/>
                <w:lang w:val="en-AU"/>
              </w:rPr>
              <w:t>Documented instances where MDTF partners have agreed joint priorities and approaches in support of the Health System Transformation Agenda</w:t>
            </w:r>
          </w:p>
        </w:tc>
        <w:tc>
          <w:tcPr>
            <w:tcW w:w="1417" w:type="dxa"/>
            <w:tcMar>
              <w:top w:w="113" w:type="dxa"/>
              <w:bottom w:w="113" w:type="dxa"/>
            </w:tcMar>
            <w:vAlign w:val="center"/>
          </w:tcPr>
          <w:p w14:paraId="396B80B0" w14:textId="77777777" w:rsidR="00D901C2" w:rsidRPr="00BA23EC" w:rsidRDefault="00D901C2" w:rsidP="00466EF8">
            <w:pPr>
              <w:snapToGrid w:val="0"/>
              <w:spacing w:before="0" w:after="0" w:line="240" w:lineRule="auto"/>
              <w:rPr>
                <w:rFonts w:cstheme="minorHAnsi"/>
                <w:sz w:val="21"/>
                <w:lang w:val="en-AU"/>
              </w:rPr>
            </w:pPr>
            <w:r w:rsidRPr="00BA23EC">
              <w:rPr>
                <w:rFonts w:cstheme="minorHAnsi"/>
                <w:sz w:val="21"/>
                <w:szCs w:val="21"/>
                <w:lang w:val="en-AU"/>
              </w:rPr>
              <w:t>Number of cases</w:t>
            </w:r>
          </w:p>
        </w:tc>
        <w:tc>
          <w:tcPr>
            <w:tcW w:w="993" w:type="dxa"/>
            <w:tcMar>
              <w:top w:w="113" w:type="dxa"/>
              <w:bottom w:w="113" w:type="dxa"/>
            </w:tcMar>
            <w:vAlign w:val="center"/>
          </w:tcPr>
          <w:p w14:paraId="6C34C4A4" w14:textId="77777777" w:rsidR="00D901C2" w:rsidRPr="00BA23EC" w:rsidRDefault="00D901C2" w:rsidP="00466EF8">
            <w:pPr>
              <w:snapToGrid w:val="0"/>
              <w:spacing w:before="0" w:after="0" w:line="240" w:lineRule="auto"/>
              <w:rPr>
                <w:rFonts w:cstheme="minorHAnsi"/>
                <w:sz w:val="21"/>
                <w:lang w:val="en-AU"/>
              </w:rPr>
            </w:pPr>
            <w:r w:rsidRPr="00BA23EC">
              <w:rPr>
                <w:rFonts w:cstheme="minorHAnsi"/>
                <w:sz w:val="21"/>
                <w:szCs w:val="21"/>
                <w:lang w:val="en-AU"/>
              </w:rPr>
              <w:t>0</w:t>
            </w:r>
          </w:p>
        </w:tc>
        <w:tc>
          <w:tcPr>
            <w:tcW w:w="992" w:type="dxa"/>
            <w:tcMar>
              <w:top w:w="113" w:type="dxa"/>
              <w:bottom w:w="113" w:type="dxa"/>
            </w:tcMar>
            <w:vAlign w:val="center"/>
          </w:tcPr>
          <w:p w14:paraId="3F68A637" w14:textId="77777777" w:rsidR="00D901C2" w:rsidRPr="00BA23EC" w:rsidRDefault="00D901C2" w:rsidP="00466EF8">
            <w:pPr>
              <w:snapToGrid w:val="0"/>
              <w:spacing w:before="0" w:after="0" w:line="240" w:lineRule="auto"/>
              <w:rPr>
                <w:rFonts w:cstheme="minorHAnsi"/>
                <w:sz w:val="21"/>
                <w:lang w:val="en-AU"/>
              </w:rPr>
            </w:pPr>
            <w:r w:rsidRPr="00BA23EC">
              <w:rPr>
                <w:rFonts w:cstheme="minorHAnsi"/>
                <w:sz w:val="21"/>
                <w:szCs w:val="21"/>
                <w:lang w:val="en-AU"/>
              </w:rPr>
              <w:t>TBC</w:t>
            </w:r>
          </w:p>
        </w:tc>
        <w:tc>
          <w:tcPr>
            <w:tcW w:w="6095" w:type="dxa"/>
            <w:tcMar>
              <w:top w:w="113" w:type="dxa"/>
              <w:bottom w:w="113" w:type="dxa"/>
            </w:tcMar>
            <w:vAlign w:val="center"/>
          </w:tcPr>
          <w:p w14:paraId="2CBD4F58" w14:textId="77777777" w:rsidR="00D901C2" w:rsidRPr="00BA23EC" w:rsidRDefault="00D901C2" w:rsidP="00466EF8">
            <w:pPr>
              <w:snapToGrid w:val="0"/>
              <w:spacing w:before="0" w:after="0" w:line="240" w:lineRule="auto"/>
              <w:rPr>
                <w:rFonts w:cstheme="minorHAnsi"/>
                <w:sz w:val="21"/>
                <w:lang w:val="en-AU"/>
              </w:rPr>
            </w:pPr>
            <w:r w:rsidRPr="00BA23EC">
              <w:rPr>
                <w:rFonts w:cstheme="minorHAnsi"/>
                <w:sz w:val="21"/>
                <w:szCs w:val="21"/>
                <w:lang w:val="en-AU"/>
              </w:rPr>
              <w:t xml:space="preserve">Evidence over time of the streamlining of the existing number of partnerships and separate agreements managed by the MoH through the MDTF mechanism.  </w:t>
            </w:r>
          </w:p>
        </w:tc>
        <w:tc>
          <w:tcPr>
            <w:tcW w:w="2268" w:type="dxa"/>
            <w:tcMar>
              <w:top w:w="113" w:type="dxa"/>
              <w:bottom w:w="113" w:type="dxa"/>
            </w:tcMar>
            <w:vAlign w:val="center"/>
          </w:tcPr>
          <w:p w14:paraId="7599A1C1" w14:textId="77777777" w:rsidR="00D901C2" w:rsidRPr="00BA23EC" w:rsidRDefault="00D901C2" w:rsidP="00466EF8">
            <w:pPr>
              <w:snapToGrid w:val="0"/>
              <w:spacing w:before="0" w:after="0" w:line="240" w:lineRule="auto"/>
              <w:rPr>
                <w:rFonts w:cstheme="minorHAnsi"/>
                <w:sz w:val="21"/>
                <w:lang w:val="en-AU"/>
              </w:rPr>
            </w:pPr>
            <w:r w:rsidRPr="00BA23EC">
              <w:rPr>
                <w:rFonts w:cstheme="minorHAnsi"/>
                <w:sz w:val="21"/>
                <w:lang w:val="en-AU"/>
              </w:rPr>
              <w:t>As above</w:t>
            </w:r>
          </w:p>
        </w:tc>
      </w:tr>
    </w:tbl>
    <w:p w14:paraId="407FBF24" w14:textId="77777777" w:rsidR="000F715C" w:rsidRDefault="000F715C"/>
    <w:tbl>
      <w:tblPr>
        <w:tblStyle w:val="TableGrid"/>
        <w:tblW w:w="15451" w:type="dxa"/>
        <w:tblInd w:w="-5" w:type="dxa"/>
        <w:tblLayout w:type="fixed"/>
        <w:tblLook w:val="04A0" w:firstRow="1" w:lastRow="0" w:firstColumn="1" w:lastColumn="0" w:noHBand="0" w:noVBand="1"/>
      </w:tblPr>
      <w:tblGrid>
        <w:gridCol w:w="15451"/>
      </w:tblGrid>
      <w:tr w:rsidR="002818D2" w:rsidRPr="00BA23EC" w14:paraId="5073E4C9" w14:textId="77777777" w:rsidTr="000C0576">
        <w:tc>
          <w:tcPr>
            <w:tcW w:w="15451" w:type="dxa"/>
            <w:tcMar>
              <w:top w:w="113" w:type="dxa"/>
              <w:bottom w:w="113" w:type="dxa"/>
            </w:tcMar>
          </w:tcPr>
          <w:p w14:paraId="533918A9" w14:textId="51A7D0B9" w:rsidR="00D81EB0" w:rsidRPr="00D81EB0" w:rsidRDefault="00DF1E32" w:rsidP="001252BC">
            <w:pPr>
              <w:rPr>
                <w:rFonts w:cstheme="minorHAnsi"/>
                <w:sz w:val="21"/>
                <w:lang w:val="en-AU"/>
              </w:rPr>
            </w:pPr>
            <w:r>
              <w:rPr>
                <w:rFonts w:cstheme="minorHAnsi"/>
                <w:b/>
                <w:sz w:val="21"/>
                <w:lang w:val="en-AU"/>
              </w:rPr>
              <w:t>Note</w:t>
            </w:r>
            <w:r w:rsidR="002818D2" w:rsidRPr="00BA23EC">
              <w:rPr>
                <w:rFonts w:cstheme="minorHAnsi"/>
                <w:b/>
                <w:sz w:val="21"/>
                <w:lang w:val="en-AU"/>
              </w:rPr>
              <w:t>:</w:t>
            </w:r>
            <w:r w:rsidR="002818D2" w:rsidRPr="00BA23EC">
              <w:rPr>
                <w:rFonts w:cstheme="minorHAnsi"/>
                <w:sz w:val="21"/>
                <w:lang w:val="en-AU"/>
              </w:rPr>
              <w:t xml:space="preserve"> </w:t>
            </w:r>
            <w:r>
              <w:rPr>
                <w:rFonts w:cstheme="minorHAnsi"/>
                <w:sz w:val="21"/>
                <w:lang w:val="en-AU"/>
              </w:rPr>
              <w:t xml:space="preserve"> </w:t>
            </w:r>
            <w:r w:rsidR="002818D2" w:rsidRPr="00D81EB0">
              <w:rPr>
                <w:rFonts w:cstheme="minorHAnsi"/>
                <w:sz w:val="21"/>
                <w:lang w:val="en-AU"/>
              </w:rPr>
              <w:t xml:space="preserve">EOPO1 and </w:t>
            </w:r>
            <w:r>
              <w:rPr>
                <w:rFonts w:cstheme="minorHAnsi"/>
                <w:sz w:val="21"/>
                <w:lang w:val="en-AU"/>
              </w:rPr>
              <w:t>EOPO2</w:t>
            </w:r>
            <w:r w:rsidR="002818D2" w:rsidRPr="00D81EB0">
              <w:rPr>
                <w:rFonts w:cstheme="minorHAnsi"/>
                <w:sz w:val="21"/>
                <w:lang w:val="en-AU"/>
              </w:rPr>
              <w:t xml:space="preserve"> will be measured quantitatively in terms of the number of policies, reforms, programs, projects impacted by the HT-MDTF interventions </w:t>
            </w:r>
            <w:proofErr w:type="gramStart"/>
            <w:r w:rsidR="002818D2" w:rsidRPr="00D81EB0">
              <w:rPr>
                <w:rFonts w:cstheme="minorHAnsi"/>
                <w:sz w:val="21"/>
                <w:lang w:val="en-AU"/>
              </w:rPr>
              <w:t>and also</w:t>
            </w:r>
            <w:proofErr w:type="gramEnd"/>
            <w:r w:rsidR="002818D2" w:rsidRPr="00D81EB0">
              <w:rPr>
                <w:rFonts w:cstheme="minorHAnsi"/>
                <w:sz w:val="21"/>
                <w:lang w:val="en-AU"/>
              </w:rPr>
              <w:t xml:space="preserve"> measured qualitatively based on the MDTF Secretariat self-assessment, World Bank quality assessment and review by Partnership Council members of the degree of impact on policies. These assessments will also be informed from reporting from joint monitoring visits, which may occur once or twice a year. Policies will include any documented change at the national or sub-national level including, but not limited to, decrees, resolutions, decision or circular letters, standard operating procedures, guidance papers, manuals, road maps, and policy plans. Program refers to any project or initiative led and implemented by the government. The case studies will assess or measure the impact (i.e., effect on final beneficiaries)</w:t>
            </w:r>
            <w:r w:rsidR="007B5884">
              <w:rPr>
                <w:rFonts w:cstheme="minorHAnsi"/>
                <w:sz w:val="21"/>
                <w:lang w:val="en-AU"/>
              </w:rPr>
              <w:t xml:space="preserve"> for HT-MDTF-facilitated pilots, however, the</w:t>
            </w:r>
            <w:r w:rsidR="00EA5CBB">
              <w:rPr>
                <w:rFonts w:cstheme="minorHAnsi"/>
                <w:sz w:val="21"/>
                <w:lang w:val="en-AU"/>
              </w:rPr>
              <w:t xml:space="preserve"> health outcomes as a result of health reform </w:t>
            </w:r>
            <w:r w:rsidR="002818D2" w:rsidRPr="00D81EB0">
              <w:rPr>
                <w:rFonts w:cstheme="minorHAnsi"/>
                <w:sz w:val="21"/>
                <w:lang w:val="en-AU"/>
              </w:rPr>
              <w:t xml:space="preserve">policy or program changes </w:t>
            </w:r>
            <w:r w:rsidR="00EA5CBB">
              <w:rPr>
                <w:rFonts w:cstheme="minorHAnsi"/>
                <w:sz w:val="21"/>
                <w:lang w:val="en-AU"/>
              </w:rPr>
              <w:t xml:space="preserve">will not be included as </w:t>
            </w:r>
            <w:proofErr w:type="gramStart"/>
            <w:r w:rsidR="00EA5CBB">
              <w:rPr>
                <w:rFonts w:cstheme="minorHAnsi"/>
                <w:sz w:val="21"/>
                <w:lang w:val="en-AU"/>
              </w:rPr>
              <w:t xml:space="preserve">this </w:t>
            </w:r>
            <w:r w:rsidR="002818D2" w:rsidRPr="00D81EB0">
              <w:rPr>
                <w:rFonts w:cstheme="minorHAnsi"/>
                <w:sz w:val="21"/>
                <w:lang w:val="en-AU"/>
              </w:rPr>
              <w:t>falls</w:t>
            </w:r>
            <w:proofErr w:type="gramEnd"/>
            <w:r w:rsidR="002818D2" w:rsidRPr="00D81EB0">
              <w:rPr>
                <w:rFonts w:cstheme="minorHAnsi"/>
                <w:sz w:val="21"/>
                <w:lang w:val="en-AU"/>
              </w:rPr>
              <w:t xml:space="preserve"> outside the scope of the MEL framework</w:t>
            </w:r>
            <w:r w:rsidR="00EA5CBB">
              <w:rPr>
                <w:rFonts w:cstheme="minorHAnsi"/>
                <w:sz w:val="21"/>
                <w:lang w:val="en-AU"/>
              </w:rPr>
              <w:t>.</w:t>
            </w:r>
            <w:r>
              <w:rPr>
                <w:rFonts w:cstheme="minorHAnsi"/>
                <w:sz w:val="21"/>
                <w:lang w:val="en-AU"/>
              </w:rPr>
              <w:t xml:space="preserve"> </w:t>
            </w:r>
          </w:p>
        </w:tc>
      </w:tr>
    </w:tbl>
    <w:p w14:paraId="636FD76C" w14:textId="56247517" w:rsidR="00625B86" w:rsidRDefault="00625B86" w:rsidP="00F81159">
      <w:pPr>
        <w:suppressAutoHyphens w:val="0"/>
        <w:spacing w:before="0" w:after="120" w:line="440" w:lineRule="atLeast"/>
        <w:jc w:val="both"/>
        <w:rPr>
          <w:rFonts w:cstheme="minorHAnsi"/>
          <w:lang w:val="en-AU"/>
        </w:rPr>
      </w:pPr>
    </w:p>
    <w:p w14:paraId="04670F1C" w14:textId="77777777" w:rsidR="00A07CB2" w:rsidRDefault="00A07CB2" w:rsidP="00F81159">
      <w:pPr>
        <w:suppressAutoHyphens w:val="0"/>
        <w:spacing w:before="0" w:after="120" w:line="440" w:lineRule="atLeast"/>
        <w:jc w:val="both"/>
        <w:rPr>
          <w:rFonts w:cstheme="minorHAnsi"/>
          <w:lang w:val="en-AU"/>
        </w:rPr>
      </w:pPr>
    </w:p>
    <w:p w14:paraId="2C5BFFF7" w14:textId="77777777" w:rsidR="00A07CB2" w:rsidRDefault="00A07CB2" w:rsidP="00F81159">
      <w:pPr>
        <w:suppressAutoHyphens w:val="0"/>
        <w:spacing w:before="0" w:after="120" w:line="440" w:lineRule="atLeast"/>
        <w:jc w:val="both"/>
        <w:rPr>
          <w:rFonts w:cstheme="minorHAnsi"/>
          <w:lang w:val="en-AU"/>
        </w:rPr>
      </w:pPr>
    </w:p>
    <w:p w14:paraId="0988C6D9" w14:textId="77777777" w:rsidR="00D901C2" w:rsidRDefault="00D901C2" w:rsidP="00F81159">
      <w:pPr>
        <w:suppressAutoHyphens w:val="0"/>
        <w:spacing w:before="0" w:after="120" w:line="440" w:lineRule="atLeast"/>
        <w:jc w:val="both"/>
        <w:rPr>
          <w:rFonts w:cstheme="minorHAnsi"/>
          <w:lang w:val="en-AU"/>
        </w:rPr>
      </w:pPr>
    </w:p>
    <w:sectPr w:rsidR="00D901C2" w:rsidSect="00124647">
      <w:pgSz w:w="16838" w:h="11906" w:orient="landscape" w:code="9"/>
      <w:pgMar w:top="720" w:right="720" w:bottom="567" w:left="720" w:header="425" w:footer="493"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CEDC0" w14:textId="77777777" w:rsidR="00256FEB" w:rsidRDefault="00256FEB" w:rsidP="00D37B04">
      <w:r>
        <w:separator/>
      </w:r>
    </w:p>
  </w:endnote>
  <w:endnote w:type="continuationSeparator" w:id="0">
    <w:p w14:paraId="7493C4C7" w14:textId="77777777" w:rsidR="00256FEB" w:rsidRDefault="00256FEB" w:rsidP="00D37B04">
      <w:r>
        <w:continuationSeparator/>
      </w:r>
    </w:p>
  </w:endnote>
  <w:endnote w:type="continuationNotice" w:id="1">
    <w:p w14:paraId="2F65358A" w14:textId="77777777" w:rsidR="00256FEB" w:rsidRDefault="00256FE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color w:val="auto"/>
      </w:rPr>
      <w:id w:val="-731467185"/>
      <w:docPartObj>
        <w:docPartGallery w:val="Page Numbers (Bottom of Page)"/>
        <w:docPartUnique/>
      </w:docPartObj>
    </w:sdtPr>
    <w:sdtEndPr>
      <w:rPr>
        <w:noProof/>
      </w:rPr>
    </w:sdtEndPr>
    <w:sdtContent>
      <w:p w14:paraId="5FBFC0C9" w14:textId="21DE5A1C" w:rsidR="00876372" w:rsidRPr="00D92F24" w:rsidRDefault="00876372" w:rsidP="00573C7E">
        <w:pPr>
          <w:pStyle w:val="Footer"/>
          <w:jc w:val="right"/>
          <w:rPr>
            <w:b/>
            <w:bCs/>
          </w:rPr>
        </w:pPr>
        <w:r w:rsidRPr="00D92F24">
          <w:rPr>
            <w:b/>
            <w:bCs/>
            <w:color w:val="auto"/>
          </w:rPr>
          <w:fldChar w:fldCharType="begin"/>
        </w:r>
        <w:r w:rsidRPr="00D92F24">
          <w:rPr>
            <w:b/>
            <w:bCs/>
            <w:color w:val="auto"/>
          </w:rPr>
          <w:instrText xml:space="preserve"> PAGE   \* MERGEFORMAT </w:instrText>
        </w:r>
        <w:r w:rsidRPr="00D92F24">
          <w:rPr>
            <w:b/>
            <w:bCs/>
            <w:color w:val="auto"/>
          </w:rPr>
          <w:fldChar w:fldCharType="separate"/>
        </w:r>
        <w:r w:rsidRPr="00D92F24">
          <w:rPr>
            <w:b/>
            <w:bCs/>
            <w:noProof/>
            <w:color w:val="auto"/>
          </w:rPr>
          <w:t>2</w:t>
        </w:r>
        <w:r w:rsidRPr="00D92F24">
          <w:rPr>
            <w:b/>
            <w:bCs/>
            <w:noProof/>
            <w:color w:val="auto"/>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color w:val="auto"/>
      </w:rPr>
      <w:id w:val="1301503167"/>
      <w:docPartObj>
        <w:docPartGallery w:val="Page Numbers (Bottom of Page)"/>
        <w:docPartUnique/>
      </w:docPartObj>
    </w:sdtPr>
    <w:sdtEndPr>
      <w:rPr>
        <w:noProof/>
      </w:rPr>
    </w:sdtEndPr>
    <w:sdtContent>
      <w:p w14:paraId="5FD15606" w14:textId="1CBD5747" w:rsidR="00AF0C8B" w:rsidRPr="00D92F24" w:rsidRDefault="00AF0C8B">
        <w:pPr>
          <w:pStyle w:val="Footer"/>
          <w:jc w:val="right"/>
          <w:rPr>
            <w:b/>
            <w:bCs/>
          </w:rPr>
        </w:pPr>
        <w:r w:rsidRPr="00D92F24">
          <w:rPr>
            <w:b/>
            <w:bCs/>
            <w:color w:val="auto"/>
          </w:rPr>
          <w:fldChar w:fldCharType="begin"/>
        </w:r>
        <w:r w:rsidRPr="00D92F24">
          <w:rPr>
            <w:b/>
            <w:bCs/>
            <w:color w:val="auto"/>
          </w:rPr>
          <w:instrText xml:space="preserve"> PAGE   \* MERGEFORMAT </w:instrText>
        </w:r>
        <w:r w:rsidRPr="00D92F24">
          <w:rPr>
            <w:b/>
            <w:bCs/>
            <w:color w:val="auto"/>
          </w:rPr>
          <w:fldChar w:fldCharType="separate"/>
        </w:r>
        <w:r w:rsidRPr="00D92F24">
          <w:rPr>
            <w:b/>
            <w:bCs/>
            <w:noProof/>
            <w:color w:val="auto"/>
          </w:rPr>
          <w:t>2</w:t>
        </w:r>
        <w:r w:rsidRPr="00D92F24">
          <w:rPr>
            <w:b/>
            <w:bCs/>
            <w:noProof/>
            <w:color w:val="auto"/>
          </w:rPr>
          <w:fldChar w:fldCharType="end"/>
        </w:r>
      </w:p>
    </w:sdtContent>
  </w:sdt>
  <w:p w14:paraId="5E203E21" w14:textId="2FD9EF49" w:rsidR="00AF0C8B" w:rsidRDefault="00AF0C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6FAC3" w14:textId="4BA33029" w:rsidR="00453888" w:rsidRDefault="006879C0">
    <w:pPr>
      <w:pStyle w:val="Footer"/>
      <w:jc w:val="right"/>
    </w:pPr>
    <w:r>
      <w:rPr>
        <w:noProof/>
      </w:rPr>
      <mc:AlternateContent>
        <mc:Choice Requires="wps">
          <w:drawing>
            <wp:anchor distT="0" distB="0" distL="114300" distR="114300" simplePos="0" relativeHeight="251659264" behindDoc="0" locked="1" layoutInCell="0" allowOverlap="1" wp14:anchorId="4E7B84FD" wp14:editId="25546BA5">
              <wp:simplePos x="0" y="0"/>
              <wp:positionH relativeFrom="margin">
                <wp:align>center</wp:align>
              </wp:positionH>
              <wp:positionV relativeFrom="bottomMargin">
                <wp:align>center</wp:align>
              </wp:positionV>
              <wp:extent cx="709295" cy="295910"/>
              <wp:effectExtent l="0" t="0" r="14605" b="8890"/>
              <wp:wrapNone/>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09295" cy="29591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AB9AD8" w14:textId="0174A2D4" w:rsidR="006879C0" w:rsidRPr="00243FCA" w:rsidRDefault="00243FCA" w:rsidP="006879C0">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PM_ProtectiveMarkingValue_Footer \* MERGEFORMAT </w:instrText>
                          </w:r>
                          <w:r>
                            <w:rPr>
                              <w:rFonts w:ascii="Arial" w:hAnsi="Arial" w:cs="Arial"/>
                              <w:b/>
                              <w:color w:val="FF0000"/>
                              <w:sz w:val="24"/>
                            </w:rPr>
                            <w:fldChar w:fldCharType="separate"/>
                          </w:r>
                          <w:r w:rsidR="00AF0C8B">
                            <w:rPr>
                              <w:rFonts w:ascii="Arial" w:hAnsi="Arial" w:cs="Arial"/>
                              <w:b/>
                              <w:color w:val="FF0000"/>
                              <w:sz w:val="24"/>
                            </w:rPr>
                            <w:t>OFFICIAL</w:t>
                          </w:r>
                          <w:r>
                            <w:rPr>
                              <w:rFonts w:ascii="Arial" w:hAnsi="Arial" w:cs="Arial"/>
                              <w:b/>
                              <w:color w:val="FF0000"/>
                              <w:sz w:val="24"/>
                            </w:rPr>
                            <w:fldChar w:fldCharType="end"/>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E7B84FD" id="_x0000_t202" coordsize="21600,21600" o:spt="202" path="m,l,21600r21600,l21600,xe">
              <v:stroke joinstyle="miter"/>
              <v:path gradientshapeok="t" o:connecttype="rect"/>
            </v:shapetype>
            <v:shape id="Text Box 8" o:spid="_x0000_s1026" type="#_x0000_t202" alt="&quot;&quot;" style="position:absolute;left:0;text-align:left;margin-left:0;margin-top:0;width:55.85pt;height:23.3pt;z-index:251659264;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4mzCQIAABkEAAAOAAAAZHJzL2Uyb0RvYy54bWysU11r2zAUfR/sPwi9L3Yy2i0mTslaMgah&#10;LaSjz4osxQZZV0g3sbNfvyvFTkq3p7EX+Vj3+9yjxV3fGnZUPjRgSz6d5JwpK6Fq7L7kP1/Wn75y&#10;FlDYShiwquQnFfjd8uOHRecKNYMaTKU8oyQ2FJ0reY3oiiwLslatCBNwypJRg28F0q/fZ5UXHWVv&#10;TTbL89usA185D1KFQLcPZyNfpvxaK4lPWgeFzJScesN0+nTu4pktF6LYe+HqRg5tiH/oohWNpaKX&#10;VA8CBTv45o9UbSM9BNA4kdBmoHUjVZqBppnm76bZ1sKpNAuRE9yFpvD/0srH49Y9e4b9N+hpgZGQ&#10;zoUi0GWcp9e+jV/qlJGdKDxdaFM9MkmXX/L5bH7DmSQTgfk00Zpdg50P+F1ByyIouaetJLLEcROQ&#10;CpLr6BJrWVg3xqTNGMu6kt9+vslTwMVCEcZS4LXViLDf9UP/O6hONJaH88aDk+uGim9EwGfhacU0&#10;CckWn+jQBqgIDIizGvyvv91Hf2KerJx1JJmSW9I0Z+aHpY1EdY3Aj2A3Anto74E0OKXn4GSCFODR&#10;jFB7aF9Jy6tYg0zCSqpUchzhPZ5lS29BqtUqOZGGnMCN3ToZU0fyIpEv/avwbmAbaU2PMEpJFO9I&#10;P/vGyOBWByTq00YinWcOB5ZJf2lRw1uJAn/7n7yuL3r5GwAA//8DAFBLAwQUAAYACAAAACEAe7/G&#10;c9kAAAAEAQAADwAAAGRycy9kb3ducmV2LnhtbEyPwU7DMBBE70j8g7VI3KgTqAIKcSqoCEckGg4c&#10;t/GSBOx1ZLtp+HtcLnBZaTSjmbfVZrFGzOTD6FhBvspAEHdOj9wreGubqzsQISJrNI5JwTcF2NTn&#10;ZxWW2h35leZd7EUq4VCigiHGqZQydANZDCs3ESfvw3mLMUnfS+3xmMqtkddZVkiLI6eFASfaDtR9&#10;7Q5WwbZpWz9T8Oadnpubz5fHNT0tSl1eLA/3ICIt8S8MJ/yEDnVi2rsD6yCMgvRI/L0nL89vQewV&#10;rIsCZF3J//D1DwAAAP//AwBQSwECLQAUAAYACAAAACEAtoM4kv4AAADhAQAAEwAAAAAAAAAAAAAA&#10;AAAAAAAAW0NvbnRlbnRfVHlwZXNdLnhtbFBLAQItABQABgAIAAAAIQA4/SH/1gAAAJQBAAALAAAA&#10;AAAAAAAAAAAAAC8BAABfcmVscy8ucmVsc1BLAQItABQABgAIAAAAIQDrJ4mzCQIAABkEAAAOAAAA&#10;AAAAAAAAAAAAAC4CAABkcnMvZTJvRG9jLnhtbFBLAQItABQABgAIAAAAIQB7v8Zz2QAAAAQBAAAP&#10;AAAAAAAAAAAAAAAAAGMEAABkcnMvZG93bnJldi54bWxQSwUGAAAAAAQABADzAAAAaQUAAAAA&#10;" o:allowincell="f" filled="f" stroked="f" strokeweight=".5pt">
              <v:textbox style="mso-fit-shape-to-text:t" inset="0,0,0,0">
                <w:txbxContent>
                  <w:p w14:paraId="1DAB9AD8" w14:textId="0174A2D4" w:rsidR="006879C0" w:rsidRPr="00243FCA" w:rsidRDefault="00243FCA" w:rsidP="006879C0">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PM_ProtectiveMarkingValue_Footer \* MERGEFORMAT </w:instrText>
                    </w:r>
                    <w:r>
                      <w:rPr>
                        <w:rFonts w:ascii="Arial" w:hAnsi="Arial" w:cs="Arial"/>
                        <w:b/>
                        <w:color w:val="FF0000"/>
                        <w:sz w:val="24"/>
                      </w:rPr>
                      <w:fldChar w:fldCharType="separate"/>
                    </w:r>
                    <w:r w:rsidR="00AF0C8B">
                      <w:rPr>
                        <w:rFonts w:ascii="Arial" w:hAnsi="Arial" w:cs="Arial"/>
                        <w:b/>
                        <w:color w:val="FF0000"/>
                        <w:sz w:val="24"/>
                      </w:rPr>
                      <w:t>OFFICIAL</w:t>
                    </w:r>
                    <w:r>
                      <w:rPr>
                        <w:rFonts w:ascii="Arial" w:hAnsi="Arial" w:cs="Arial"/>
                        <w:b/>
                        <w:color w:val="FF0000"/>
                        <w:sz w:val="24"/>
                      </w:rPr>
                      <w:fldChar w:fldCharType="end"/>
                    </w:r>
                  </w:p>
                </w:txbxContent>
              </v:textbox>
              <w10:wrap anchorx="margin" anchory="margin"/>
              <w10:anchorlock/>
            </v:shape>
          </w:pict>
        </mc:Fallback>
      </mc:AlternateContent>
    </w:r>
    <w:sdt>
      <w:sdtPr>
        <w:rPr>
          <w:color w:val="auto"/>
        </w:rPr>
        <w:id w:val="-368916890"/>
        <w:docPartObj>
          <w:docPartGallery w:val="Page Numbers (Bottom of Page)"/>
          <w:docPartUnique/>
        </w:docPartObj>
      </w:sdtPr>
      <w:sdtEndPr>
        <w:rPr>
          <w:noProof/>
        </w:rPr>
      </w:sdtEndPr>
      <w:sdtContent>
        <w:r w:rsidR="00453888" w:rsidRPr="00832EA6">
          <w:rPr>
            <w:color w:val="auto"/>
          </w:rPr>
          <w:fldChar w:fldCharType="begin"/>
        </w:r>
        <w:r w:rsidR="00453888" w:rsidRPr="00832EA6">
          <w:rPr>
            <w:color w:val="auto"/>
          </w:rPr>
          <w:instrText xml:space="preserve"> PAGE   \* MERGEFORMAT </w:instrText>
        </w:r>
        <w:r w:rsidR="00453888" w:rsidRPr="00832EA6">
          <w:rPr>
            <w:color w:val="auto"/>
          </w:rPr>
          <w:fldChar w:fldCharType="separate"/>
        </w:r>
        <w:r w:rsidR="00014606" w:rsidRPr="00832EA6">
          <w:rPr>
            <w:noProof/>
            <w:color w:val="auto"/>
          </w:rPr>
          <w:t>9</w:t>
        </w:r>
        <w:r w:rsidR="00453888" w:rsidRPr="00832EA6">
          <w:rPr>
            <w:noProof/>
            <w:color w:val="auto"/>
          </w:rPr>
          <w:fldChar w:fldCharType="end"/>
        </w:r>
      </w:sdtContent>
    </w:sdt>
  </w:p>
  <w:p w14:paraId="25EED41F" w14:textId="77777777" w:rsidR="00FC322F" w:rsidRPr="00FC322F" w:rsidRDefault="00FC322F" w:rsidP="00FC322F">
    <w:pPr>
      <w:pStyle w:val="Footer"/>
      <w:rPr>
        <w:b/>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51635" w14:textId="4559DB81" w:rsidR="00453888" w:rsidRDefault="006879C0">
    <w:pPr>
      <w:pStyle w:val="Footer"/>
      <w:jc w:val="right"/>
    </w:pPr>
    <w:r>
      <w:rPr>
        <w:noProof/>
      </w:rPr>
      <mc:AlternateContent>
        <mc:Choice Requires="wps">
          <w:drawing>
            <wp:anchor distT="0" distB="0" distL="114300" distR="114300" simplePos="0" relativeHeight="251661312" behindDoc="0" locked="1" layoutInCell="0" allowOverlap="1" wp14:anchorId="2346CD11" wp14:editId="23378E22">
              <wp:simplePos x="0" y="0"/>
              <wp:positionH relativeFrom="margin">
                <wp:align>center</wp:align>
              </wp:positionH>
              <wp:positionV relativeFrom="bottomMargin">
                <wp:align>center</wp:align>
              </wp:positionV>
              <wp:extent cx="709295" cy="295910"/>
              <wp:effectExtent l="0" t="0" r="14605" b="8890"/>
              <wp:wrapNone/>
              <wp:docPr id="10" name="Text Box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09295" cy="29591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1C2ECA" w14:textId="32CE773D" w:rsidR="006879C0" w:rsidRPr="00243FCA" w:rsidRDefault="00243FCA" w:rsidP="006879C0">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PM_ProtectiveMarkingValue_Footer \* MERGEFORMAT </w:instrText>
                          </w:r>
                          <w:r>
                            <w:rPr>
                              <w:rFonts w:ascii="Arial" w:hAnsi="Arial" w:cs="Arial"/>
                              <w:b/>
                              <w:color w:val="FF0000"/>
                              <w:sz w:val="24"/>
                            </w:rPr>
                            <w:fldChar w:fldCharType="separate"/>
                          </w:r>
                          <w:r w:rsidR="00AF0C8B">
                            <w:rPr>
                              <w:rFonts w:ascii="Arial" w:hAnsi="Arial" w:cs="Arial"/>
                              <w:b/>
                              <w:color w:val="FF0000"/>
                              <w:sz w:val="24"/>
                            </w:rPr>
                            <w:t>OFFICIAL</w:t>
                          </w:r>
                          <w:r>
                            <w:rPr>
                              <w:rFonts w:ascii="Arial" w:hAnsi="Arial" w:cs="Arial"/>
                              <w:b/>
                              <w:color w:val="FF0000"/>
                              <w:sz w:val="24"/>
                            </w:rPr>
                            <w:fldChar w:fldCharType="end"/>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346CD11" id="_x0000_t202" coordsize="21600,21600" o:spt="202" path="m,l,21600r21600,l21600,xe">
              <v:stroke joinstyle="miter"/>
              <v:path gradientshapeok="t" o:connecttype="rect"/>
            </v:shapetype>
            <v:shape id="Text Box 10" o:spid="_x0000_s1027" type="#_x0000_t202" alt="&quot;&quot;" style="position:absolute;left:0;text-align:left;margin-left:0;margin-top:0;width:55.85pt;height:23.3pt;z-index:251661312;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PICDAIAACAEAAAOAAAAZHJzL2Uyb0RvYy54bWysU11v2jAUfZ+0/2D5fSQwtRuIULFWTJNQ&#10;W4lOfTaOQyI5vpZtSNiv37EhUHV7mvbi3Ph+n3M8v+tbzQ7K+YZMwcejnDNlJJWN2RX858vq01fO&#10;fBCmFJqMKvhReX63+Phh3tmZmlBNulSOoYjxs84WvA7BzrLMy1q1wo/IKgNnRa4VAb9ul5VOdKje&#10;6myS57dZR660jqTyHrcPJydfpPpVpWR4qiqvAtMFx2whnS6d23hmi7mY7ZywdSPPY4h/mKIVjUHT&#10;S6kHEQTbu+aPUm0jHXmqwkhSm1FVNVKlHbDNOH+3zaYWVqVdAI63F5j8/ysrHw8b++xY6L9RDwIj&#10;IJ31M4/LuE9fuTZ+MSmDHxAeL7CpPjCJyy/5dDK94UzCBWM6TrBm12TrfPiuqGXRKLgDKwkscVj7&#10;gIYIHUJiL0OrRuvEjDasK/jt55s8JVw8yNAGiddRoxX6bc+a8s0aWyqP2M7RiXhv5arBDGvhw7Nw&#10;YBoLQb3hCUelCb3obHFWk/v1t/sYDwLg5ayDcgpuIG3O9A8DYqLIBsMNxnYwzL69J0hxjFdhZTKR&#10;4IIezMpR+wpJL2MPuISR6FTwMJj34aRePAmplssUBClZEdZmY2UsHTGMeL70r8LZM+gBbD3SoCgx&#10;e4f9KTZmervcBzCQiImonjA8gw0ZJr7OTybq/O1/iro+7MVvAAAA//8DAFBLAwQUAAYACAAAACEA&#10;e7/Gc9kAAAAEAQAADwAAAGRycy9kb3ducmV2LnhtbEyPwU7DMBBE70j8g7VI3KgTqAIKcSqoCEck&#10;Gg4ct/GSBOx1ZLtp+HtcLnBZaTSjmbfVZrFGzOTD6FhBvspAEHdOj9wreGubqzsQISJrNI5JwTcF&#10;2NTnZxWW2h35leZd7EUq4VCigiHGqZQydANZDCs3ESfvw3mLMUnfS+3xmMqtkddZVkiLI6eFASfa&#10;DtR97Q5WwbZpWz9T8Oadnpubz5fHNT0tSl1eLA/3ICIt8S8MJ/yEDnVi2rsD6yCMgvRI/L0nL89v&#10;QewVrIsCZF3J//D1DwAAAP//AwBQSwECLQAUAAYACAAAACEAtoM4kv4AAADhAQAAEwAAAAAAAAAA&#10;AAAAAAAAAAAAW0NvbnRlbnRfVHlwZXNdLnhtbFBLAQItABQABgAIAAAAIQA4/SH/1gAAAJQBAAAL&#10;AAAAAAAAAAAAAAAAAC8BAABfcmVscy8ucmVsc1BLAQItABQABgAIAAAAIQBuYPICDAIAACAEAAAO&#10;AAAAAAAAAAAAAAAAAC4CAABkcnMvZTJvRG9jLnhtbFBLAQItABQABgAIAAAAIQB7v8Zz2QAAAAQB&#10;AAAPAAAAAAAAAAAAAAAAAGYEAABkcnMvZG93bnJldi54bWxQSwUGAAAAAAQABADzAAAAbAUAAAAA&#10;" o:allowincell="f" filled="f" stroked="f" strokeweight=".5pt">
              <v:textbox style="mso-fit-shape-to-text:t" inset="0,0,0,0">
                <w:txbxContent>
                  <w:p w14:paraId="1E1C2ECA" w14:textId="32CE773D" w:rsidR="006879C0" w:rsidRPr="00243FCA" w:rsidRDefault="00243FCA" w:rsidP="006879C0">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PM_ProtectiveMarkingValue_Footer \* MERGEFORMAT </w:instrText>
                    </w:r>
                    <w:r>
                      <w:rPr>
                        <w:rFonts w:ascii="Arial" w:hAnsi="Arial" w:cs="Arial"/>
                        <w:b/>
                        <w:color w:val="FF0000"/>
                        <w:sz w:val="24"/>
                      </w:rPr>
                      <w:fldChar w:fldCharType="separate"/>
                    </w:r>
                    <w:r w:rsidR="00AF0C8B">
                      <w:rPr>
                        <w:rFonts w:ascii="Arial" w:hAnsi="Arial" w:cs="Arial"/>
                        <w:b/>
                        <w:color w:val="FF0000"/>
                        <w:sz w:val="24"/>
                      </w:rPr>
                      <w:t>OFFICIAL</w:t>
                    </w:r>
                    <w:r>
                      <w:rPr>
                        <w:rFonts w:ascii="Arial" w:hAnsi="Arial" w:cs="Arial"/>
                        <w:b/>
                        <w:color w:val="FF0000"/>
                        <w:sz w:val="24"/>
                      </w:rPr>
                      <w:fldChar w:fldCharType="end"/>
                    </w:r>
                  </w:p>
                </w:txbxContent>
              </v:textbox>
              <w10:wrap anchorx="margin" anchory="margin"/>
              <w10:anchorlock/>
            </v:shape>
          </w:pict>
        </mc:Fallback>
      </mc:AlternateContent>
    </w:r>
    <w:r w:rsidR="00453888" w:rsidRPr="00832EA6">
      <w:rPr>
        <w:color w:val="auto"/>
      </w:rPr>
      <w:fldChar w:fldCharType="begin"/>
    </w:r>
    <w:r w:rsidR="00453888" w:rsidRPr="00832EA6">
      <w:rPr>
        <w:color w:val="auto"/>
      </w:rPr>
      <w:instrText xml:space="preserve"> PAGE   \* MERGEFORMAT </w:instrText>
    </w:r>
    <w:r w:rsidR="00453888" w:rsidRPr="00832EA6">
      <w:rPr>
        <w:color w:val="auto"/>
      </w:rPr>
      <w:fldChar w:fldCharType="separate"/>
    </w:r>
    <w:r w:rsidR="00014606" w:rsidRPr="00832EA6">
      <w:rPr>
        <w:noProof/>
        <w:color w:val="auto"/>
      </w:rPr>
      <w:t>7</w:t>
    </w:r>
    <w:r w:rsidR="00453888" w:rsidRPr="00832EA6">
      <w:rPr>
        <w:noProof/>
        <w:color w:val="auto"/>
      </w:rPr>
      <w:fldChar w:fldCharType="end"/>
    </w:r>
  </w:p>
  <w:p w14:paraId="0771AFC6" w14:textId="77777777" w:rsidR="00FC322F" w:rsidRPr="00FC322F" w:rsidRDefault="00FC322F" w:rsidP="00FC322F">
    <w:pPr>
      <w:pStyle w:val="Foo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B947A" w14:textId="77777777" w:rsidR="00256FEB" w:rsidRPr="008C5A0E" w:rsidRDefault="00256FEB" w:rsidP="00D37B04">
      <w:pPr>
        <w:pStyle w:val="Footer"/>
      </w:pPr>
    </w:p>
  </w:footnote>
  <w:footnote w:type="continuationSeparator" w:id="0">
    <w:p w14:paraId="6F2BD15A" w14:textId="77777777" w:rsidR="00256FEB" w:rsidRDefault="00256FEB" w:rsidP="00D37B04">
      <w:r>
        <w:continuationSeparator/>
      </w:r>
    </w:p>
  </w:footnote>
  <w:footnote w:type="continuationNotice" w:id="1">
    <w:p w14:paraId="70BFD2C5" w14:textId="77777777" w:rsidR="00256FEB" w:rsidRDefault="00256FEB">
      <w:pPr>
        <w:spacing w:before="0" w:after="0" w:line="240" w:lineRule="auto"/>
      </w:pPr>
    </w:p>
  </w:footnote>
  <w:footnote w:id="2">
    <w:p w14:paraId="64FF046F" w14:textId="6537C4FB" w:rsidR="003A2907" w:rsidRPr="00C13D54" w:rsidRDefault="003A2907" w:rsidP="00356024">
      <w:pPr>
        <w:pStyle w:val="FootnoteText"/>
        <w:rPr>
          <w:lang w:val="en-AU"/>
        </w:rPr>
      </w:pPr>
      <w:r>
        <w:rPr>
          <w:rStyle w:val="FootnoteReference"/>
        </w:rPr>
        <w:footnoteRef/>
      </w:r>
      <w:r>
        <w:t xml:space="preserve"> </w:t>
      </w:r>
      <w:hyperlink r:id="rId1" w:history="1">
        <w:r w:rsidR="002D7694" w:rsidRPr="00C13D54">
          <w:rPr>
            <w:rStyle w:val="Hyperlink"/>
          </w:rPr>
          <w:t>The Republic Of Indonesia Health System Review</w:t>
        </w:r>
        <w:r w:rsidR="005A7792" w:rsidRPr="00C13D54">
          <w:rPr>
            <w:rStyle w:val="Hyperlink"/>
          </w:rPr>
          <w:t xml:space="preserve">, Asia Pacific Observatory on Health Systems and Policies, </w:t>
        </w:r>
        <w:r w:rsidR="0011095C" w:rsidRPr="00C13D54">
          <w:rPr>
            <w:rStyle w:val="Hyperlink"/>
          </w:rPr>
          <w:t>2017</w:t>
        </w:r>
        <w:r w:rsidR="0033042C" w:rsidRPr="00C13D54">
          <w:rPr>
            <w:rStyle w:val="Hyperlink"/>
          </w:rPr>
          <w:t>)</w:t>
        </w:r>
      </w:hyperlink>
    </w:p>
  </w:footnote>
  <w:footnote w:id="3">
    <w:p w14:paraId="2DA47A33" w14:textId="5E646464" w:rsidR="00C11ABE" w:rsidRPr="00C13D54" w:rsidRDefault="00C11ABE" w:rsidP="00356024">
      <w:pPr>
        <w:pStyle w:val="FootnoteText"/>
        <w:rPr>
          <w:lang w:val="en-AU"/>
        </w:rPr>
      </w:pPr>
      <w:r w:rsidRPr="00C13D54">
        <w:rPr>
          <w:rStyle w:val="FootnoteReference"/>
        </w:rPr>
        <w:footnoteRef/>
      </w:r>
      <w:r w:rsidRPr="00C13D54">
        <w:t xml:space="preserve"> </w:t>
      </w:r>
      <w:hyperlink r:id="rId2" w:history="1">
        <w:r w:rsidRPr="00C13D54">
          <w:rPr>
            <w:rStyle w:val="Hyperlink"/>
          </w:rPr>
          <w:t>Towards a Healthy Indonesia?</w:t>
        </w:r>
        <w:r w:rsidR="00A93735" w:rsidRPr="00C13D54">
          <w:rPr>
            <w:rStyle w:val="Hyperlink"/>
          </w:rPr>
          <w:t>, Bulletin of Ind</w:t>
        </w:r>
        <w:r w:rsidR="0065421D" w:rsidRPr="00C13D54">
          <w:rPr>
            <w:rStyle w:val="Hyperlink"/>
          </w:rPr>
          <w:t>onesian Economic Studies, ANU Indonesia Project, 2019</w:t>
        </w:r>
      </w:hyperlink>
    </w:p>
  </w:footnote>
  <w:footnote w:id="4">
    <w:p w14:paraId="4DE2592D" w14:textId="3452DCC5" w:rsidR="006B272D" w:rsidRPr="00C13D54" w:rsidRDefault="006B272D" w:rsidP="00356024">
      <w:pPr>
        <w:pStyle w:val="FootnoteText"/>
        <w:rPr>
          <w:lang w:val="en-AU"/>
        </w:rPr>
      </w:pPr>
      <w:r w:rsidRPr="00C13D54">
        <w:rPr>
          <w:rStyle w:val="FootnoteReference"/>
        </w:rPr>
        <w:footnoteRef/>
      </w:r>
      <w:r w:rsidRPr="00C13D54">
        <w:t xml:space="preserve"> </w:t>
      </w:r>
      <w:hyperlink r:id="rId3" w:history="1">
        <w:r w:rsidR="00B754CA" w:rsidRPr="00C13D54">
          <w:rPr>
            <w:rStyle w:val="Hyperlink"/>
          </w:rPr>
          <w:t>New Insights into the Provision of Health Services in Ind</w:t>
        </w:r>
        <w:r w:rsidR="002C23B5" w:rsidRPr="00C13D54">
          <w:rPr>
            <w:rStyle w:val="Hyperlink"/>
          </w:rPr>
          <w:t>onesia, The W</w:t>
        </w:r>
        <w:r w:rsidR="00B754CA" w:rsidRPr="00C13D54">
          <w:rPr>
            <w:rStyle w:val="Hyperlink"/>
          </w:rPr>
          <w:t>orld Bank</w:t>
        </w:r>
        <w:r w:rsidR="002C23B5" w:rsidRPr="00C13D54">
          <w:rPr>
            <w:rStyle w:val="Hyperlink"/>
          </w:rPr>
          <w:t xml:space="preserve">, </w:t>
        </w:r>
        <w:r w:rsidR="00EC7632" w:rsidRPr="00C13D54">
          <w:rPr>
            <w:rStyle w:val="Hyperlink"/>
          </w:rPr>
          <w:t>2010.</w:t>
        </w:r>
      </w:hyperlink>
    </w:p>
  </w:footnote>
  <w:footnote w:id="5">
    <w:p w14:paraId="75449B78" w14:textId="00E98C70" w:rsidR="008E4392" w:rsidRPr="008E4392" w:rsidRDefault="008E4392" w:rsidP="00356024">
      <w:pPr>
        <w:pStyle w:val="FootnoteText"/>
        <w:rPr>
          <w:lang w:val="en-AU"/>
        </w:rPr>
      </w:pPr>
      <w:r w:rsidRPr="00C13D54">
        <w:rPr>
          <w:rStyle w:val="FootnoteReference"/>
        </w:rPr>
        <w:footnoteRef/>
      </w:r>
      <w:r w:rsidRPr="00C13D54">
        <w:t xml:space="preserve"> </w:t>
      </w:r>
      <w:hyperlink r:id="rId4" w:history="1">
        <w:r w:rsidRPr="00C13D54">
          <w:rPr>
            <w:rStyle w:val="Hyperlink"/>
          </w:rPr>
          <w:t>State of health inequality Indonesia</w:t>
        </w:r>
        <w:r w:rsidR="00DF12CB" w:rsidRPr="00C13D54">
          <w:rPr>
            <w:rStyle w:val="Hyperlink"/>
          </w:rPr>
          <w:t>, World Health Organisation, 2017</w:t>
        </w:r>
      </w:hyperlink>
    </w:p>
  </w:footnote>
  <w:footnote w:id="6">
    <w:p w14:paraId="703D7348" w14:textId="3215D79C" w:rsidR="001B2FF1" w:rsidRPr="001B2FF1" w:rsidRDefault="001B2FF1" w:rsidP="00356024">
      <w:pPr>
        <w:pStyle w:val="FootnoteText"/>
        <w:rPr>
          <w:lang w:val="en-AU"/>
        </w:rPr>
      </w:pPr>
      <w:r>
        <w:rPr>
          <w:rStyle w:val="FootnoteReference"/>
        </w:rPr>
        <w:footnoteRef/>
      </w:r>
      <w:r>
        <w:t xml:space="preserve"> </w:t>
      </w:r>
      <w:r w:rsidR="00735616">
        <w:t xml:space="preserve">ASEAN </w:t>
      </w:r>
      <w:r w:rsidR="00F07788">
        <w:t>2019 Health Expenditure</w:t>
      </w:r>
      <w:r w:rsidR="00735616">
        <w:t xml:space="preserve"> (%of GDP) – Cambodia 6.99%, Malaysia 3.83%, Thailand </w:t>
      </w:r>
      <w:r w:rsidR="0028225F">
        <w:t>3.79%, Philippines 4.08%, Laos 2.08%, Singapore 4.08%, Brunei Darussalam 2.16%, Myanmar 4.68%</w:t>
      </w:r>
    </w:p>
  </w:footnote>
  <w:footnote w:id="7">
    <w:p w14:paraId="3CCE3532" w14:textId="77777777" w:rsidR="00071BE8" w:rsidRPr="00A06A9D" w:rsidRDefault="00071BE8" w:rsidP="00071BE8">
      <w:pPr>
        <w:pStyle w:val="FootnoteText"/>
        <w:rPr>
          <w:lang w:val="en-AU"/>
        </w:rPr>
      </w:pPr>
      <w:r>
        <w:rPr>
          <w:rStyle w:val="FootnoteReference"/>
        </w:rPr>
        <w:footnoteRef/>
      </w:r>
      <w:r>
        <w:t xml:space="preserve"> </w:t>
      </w:r>
      <w:r>
        <w:rPr>
          <w:lang w:val="en-AU"/>
        </w:rPr>
        <w:t>Annex 1 – Ministry of Health – Six Pillars of Health Transformation</w:t>
      </w:r>
    </w:p>
  </w:footnote>
  <w:footnote w:id="8">
    <w:p w14:paraId="0159A814" w14:textId="64C7591C" w:rsidR="008D76CC" w:rsidRPr="001252BC" w:rsidRDefault="008D76CC">
      <w:pPr>
        <w:pStyle w:val="FootnoteText"/>
        <w:rPr>
          <w:lang w:val="en-AU"/>
        </w:rPr>
      </w:pPr>
      <w:r>
        <w:rPr>
          <w:rStyle w:val="FootnoteReference"/>
        </w:rPr>
        <w:footnoteRef/>
      </w:r>
      <w:r>
        <w:t xml:space="preserve"> </w:t>
      </w:r>
      <w:hyperlink r:id="rId5" w:history="1">
        <w:r w:rsidR="00F5358E" w:rsidRPr="00F56AE3">
          <w:rPr>
            <w:rStyle w:val="Hyperlink"/>
            <w:rFonts w:cstheme="minorBidi"/>
            <w:lang w:val="en-AU"/>
          </w:rPr>
          <w:t>Indonesia Country Gender Assessment: Investing in Opportunities for Women. World Bank</w:t>
        </w:r>
        <w:r w:rsidR="008F01A9" w:rsidRPr="00F56AE3">
          <w:rPr>
            <w:rStyle w:val="Hyperlink"/>
            <w:rFonts w:cstheme="minorBidi"/>
            <w:lang w:val="en-AU"/>
          </w:rPr>
          <w:t xml:space="preserve"> 2017, pages</w:t>
        </w:r>
        <w:r w:rsidR="00DD0F37" w:rsidRPr="00F56AE3">
          <w:rPr>
            <w:rStyle w:val="Hyperlink"/>
            <w:rFonts w:cstheme="minorBidi"/>
            <w:lang w:val="en-AU"/>
          </w:rPr>
          <w:t xml:space="preserve"> 32-45</w:t>
        </w:r>
      </w:hyperlink>
    </w:p>
  </w:footnote>
  <w:footnote w:id="9">
    <w:p w14:paraId="0E3E59A7" w14:textId="7187383F" w:rsidR="00E52C00" w:rsidRPr="00A456CC" w:rsidRDefault="00E52C00">
      <w:pPr>
        <w:pStyle w:val="FootnoteText"/>
        <w:rPr>
          <w:rStyle w:val="Hyperlink"/>
          <w:rFonts w:asciiTheme="majorHAnsi" w:hAnsiTheme="majorHAnsi" w:cs="Calibri"/>
          <w:color w:val="495965"/>
          <w:sz w:val="16"/>
          <w:szCs w:val="16"/>
        </w:rPr>
      </w:pPr>
      <w:r>
        <w:rPr>
          <w:rStyle w:val="FootnoteReference"/>
        </w:rPr>
        <w:footnoteRef/>
      </w:r>
      <w:r>
        <w:t xml:space="preserve"> </w:t>
      </w:r>
      <w:r w:rsidR="00902673" w:rsidRPr="00A456CC">
        <w:rPr>
          <w:rStyle w:val="Hyperlink"/>
          <w:rFonts w:asciiTheme="majorHAnsi" w:hAnsiTheme="majorHAnsi" w:cs="Calibri"/>
          <w:color w:val="495965"/>
          <w:sz w:val="16"/>
          <w:szCs w:val="16"/>
          <w:u w:val="none"/>
        </w:rPr>
        <w:t>Out-of-pocket expenditure (% of current health expenditure)</w:t>
      </w:r>
      <w:r w:rsidR="00AD5F35" w:rsidRPr="00A456CC">
        <w:rPr>
          <w:rStyle w:val="Hyperlink"/>
          <w:rFonts w:asciiTheme="majorHAnsi" w:hAnsiTheme="majorHAnsi" w:cs="Calibri"/>
          <w:color w:val="495965"/>
          <w:sz w:val="16"/>
          <w:szCs w:val="16"/>
          <w:u w:val="none"/>
        </w:rPr>
        <w:t xml:space="preserve"> in Indonesia was 60.58% in 2010 and 3</w:t>
      </w:r>
      <w:r w:rsidR="00F17CB8" w:rsidRPr="00A456CC">
        <w:rPr>
          <w:rStyle w:val="Hyperlink"/>
          <w:rFonts w:asciiTheme="majorHAnsi" w:hAnsiTheme="majorHAnsi" w:cs="Calibri"/>
          <w:color w:val="495965"/>
          <w:sz w:val="16"/>
          <w:szCs w:val="16"/>
          <w:u w:val="none"/>
        </w:rPr>
        <w:t>4.76% in 2019</w:t>
      </w:r>
      <w:r w:rsidR="00A456CC">
        <w:rPr>
          <w:rStyle w:val="Hyperlink"/>
          <w:rFonts w:asciiTheme="majorHAnsi" w:hAnsiTheme="majorHAnsi" w:cs="Calibri"/>
          <w:color w:val="495965"/>
          <w:sz w:val="16"/>
          <w:szCs w:val="16"/>
        </w:rPr>
        <w:t xml:space="preserve">, </w:t>
      </w:r>
      <w:r w:rsidR="00A456CC" w:rsidRPr="00A456CC">
        <w:rPr>
          <w:rStyle w:val="Hyperlink"/>
          <w:rFonts w:asciiTheme="majorHAnsi" w:hAnsiTheme="majorHAnsi" w:cs="Calibri"/>
          <w:color w:val="495965"/>
          <w:sz w:val="16"/>
          <w:szCs w:val="16"/>
        </w:rPr>
        <w:t>https://data.worldbank.org</w:t>
      </w:r>
    </w:p>
  </w:footnote>
  <w:footnote w:id="10">
    <w:p w14:paraId="2A085718" w14:textId="77777777" w:rsidR="004F256C" w:rsidRPr="00A456CC" w:rsidRDefault="004F256C" w:rsidP="004F256C">
      <w:pPr>
        <w:pStyle w:val="FootnoteText"/>
        <w:rPr>
          <w:rStyle w:val="Hyperlink"/>
          <w:rFonts w:asciiTheme="majorHAnsi" w:hAnsiTheme="majorHAnsi" w:cs="Calibri"/>
          <w:color w:val="495965"/>
          <w:sz w:val="16"/>
          <w:szCs w:val="16"/>
        </w:rPr>
      </w:pPr>
      <w:r w:rsidRPr="00A456CC">
        <w:rPr>
          <w:rStyle w:val="Hyperlink"/>
          <w:rFonts w:asciiTheme="majorHAnsi" w:hAnsiTheme="majorHAnsi" w:cs="Calibri"/>
          <w:color w:val="495965"/>
          <w:sz w:val="16"/>
          <w:szCs w:val="16"/>
        </w:rPr>
        <w:footnoteRef/>
      </w:r>
      <w:r w:rsidRPr="00A456CC">
        <w:rPr>
          <w:rStyle w:val="Hyperlink"/>
          <w:rFonts w:asciiTheme="majorHAnsi" w:hAnsiTheme="majorHAnsi" w:cs="Calibri"/>
          <w:color w:val="495965"/>
          <w:sz w:val="16"/>
          <w:szCs w:val="16"/>
        </w:rPr>
        <w:t xml:space="preserve"> </w:t>
      </w:r>
      <w:hyperlink r:id="rId6" w:history="1">
        <w:r w:rsidRPr="00773A16">
          <w:rPr>
            <w:rStyle w:val="Hyperlink"/>
            <w:rFonts w:asciiTheme="majorHAnsi" w:hAnsiTheme="majorHAnsi" w:cs="Calibri"/>
            <w:color w:val="495965"/>
            <w:sz w:val="16"/>
            <w:szCs w:val="16"/>
          </w:rPr>
          <w:t>http://www.healthdata.org/indonesia</w:t>
        </w:r>
      </w:hyperlink>
    </w:p>
  </w:footnote>
  <w:footnote w:id="11">
    <w:p w14:paraId="1D01FB47" w14:textId="77777777" w:rsidR="004F256C" w:rsidRPr="00A456CC" w:rsidRDefault="004F256C" w:rsidP="004F256C">
      <w:pPr>
        <w:pStyle w:val="FootnoteText"/>
        <w:rPr>
          <w:rStyle w:val="Hyperlink"/>
          <w:rFonts w:asciiTheme="majorHAnsi" w:hAnsiTheme="majorHAnsi" w:cs="Calibri"/>
          <w:color w:val="495965"/>
          <w:sz w:val="16"/>
          <w:szCs w:val="16"/>
        </w:rPr>
      </w:pPr>
      <w:r w:rsidRPr="00A456CC">
        <w:rPr>
          <w:rStyle w:val="Hyperlink"/>
          <w:rFonts w:asciiTheme="majorHAnsi" w:hAnsiTheme="majorHAnsi" w:cs="Calibri"/>
          <w:color w:val="495965"/>
          <w:sz w:val="16"/>
          <w:szCs w:val="16"/>
        </w:rPr>
        <w:footnoteRef/>
      </w:r>
      <w:r w:rsidRPr="00A456CC">
        <w:rPr>
          <w:rStyle w:val="Hyperlink"/>
          <w:rFonts w:asciiTheme="majorHAnsi" w:hAnsiTheme="majorHAnsi" w:cs="Calibri"/>
          <w:color w:val="495965"/>
          <w:sz w:val="16"/>
          <w:szCs w:val="16"/>
        </w:rPr>
        <w:t xml:space="preserve"> </w:t>
      </w:r>
      <w:hyperlink r:id="rId7" w:history="1">
        <w:r w:rsidRPr="00A456CC">
          <w:rPr>
            <w:rStyle w:val="Hyperlink"/>
            <w:rFonts w:asciiTheme="majorHAnsi" w:hAnsiTheme="majorHAnsi" w:cs="Calibri"/>
            <w:color w:val="495965"/>
            <w:sz w:val="16"/>
            <w:szCs w:val="16"/>
          </w:rPr>
          <w:t>https://www.sciencedirect.com/science/article/pii/S1201971221001934</w:t>
        </w:r>
      </w:hyperlink>
    </w:p>
  </w:footnote>
  <w:footnote w:id="12">
    <w:p w14:paraId="7011982D" w14:textId="77777777" w:rsidR="004F256C" w:rsidRPr="00773A16" w:rsidRDefault="004F256C" w:rsidP="004F256C">
      <w:pPr>
        <w:pStyle w:val="EndnoteText"/>
        <w:rPr>
          <w:rFonts w:asciiTheme="majorHAnsi" w:hAnsiTheme="majorHAnsi" w:cs="Calibri"/>
          <w:color w:val="495965"/>
          <w:sz w:val="16"/>
          <w:szCs w:val="16"/>
          <w:lang w:val="en-AU"/>
        </w:rPr>
      </w:pPr>
      <w:r>
        <w:rPr>
          <w:rStyle w:val="FootnoteReference"/>
        </w:rPr>
        <w:footnoteRef/>
      </w:r>
      <w:r>
        <w:t xml:space="preserve"> </w:t>
      </w:r>
      <w:hyperlink r:id="rId8" w:history="1">
        <w:r w:rsidRPr="00773A16">
          <w:rPr>
            <w:rStyle w:val="Hyperlink"/>
            <w:rFonts w:asciiTheme="majorHAnsi" w:hAnsiTheme="majorHAnsi" w:cs="Calibri"/>
            <w:color w:val="495965"/>
            <w:sz w:val="16"/>
            <w:szCs w:val="16"/>
          </w:rPr>
          <w:t>https://dfat.gov.au/about-us/publications/Pages/indonesia-aiped-strategic-review-options-development-paper.aspx</w:t>
        </w:r>
      </w:hyperlink>
      <w:r w:rsidRPr="00773A16">
        <w:rPr>
          <w:rFonts w:asciiTheme="majorHAnsi" w:hAnsiTheme="majorHAnsi" w:cs="Calibri"/>
          <w:color w:val="495965"/>
          <w:sz w:val="16"/>
          <w:szCs w:val="16"/>
        </w:rPr>
        <w:t xml:space="preserve"> </w:t>
      </w:r>
    </w:p>
    <w:p w14:paraId="6E07D7D4" w14:textId="77777777" w:rsidR="004F256C" w:rsidRPr="003735DF" w:rsidRDefault="004F256C" w:rsidP="004F256C">
      <w:pPr>
        <w:pStyle w:val="FootnoteText"/>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B6606" w14:textId="4FDAD7B7" w:rsidR="000F4E14" w:rsidRPr="000854FD" w:rsidRDefault="000F4E14" w:rsidP="006879C0">
    <w:pPr>
      <w:pStyle w:val="Header"/>
      <w:tabs>
        <w:tab w:val="clear" w:pos="4513"/>
        <w:tab w:val="clear" w:pos="9026"/>
        <w:tab w:val="right" w:pos="9638"/>
      </w:tabs>
    </w:pPr>
    <w:r w:rsidRPr="00943730">
      <w:rPr>
        <w:noProof/>
        <w:lang w:val="en-AU" w:eastAsia="en-AU"/>
      </w:rPr>
      <w:drawing>
        <wp:anchor distT="0" distB="0" distL="114300" distR="114300" simplePos="0" relativeHeight="251651072" behindDoc="1" locked="1" layoutInCell="1" allowOverlap="1" wp14:anchorId="4C9C4DCE" wp14:editId="5426550F">
          <wp:simplePos x="0" y="0"/>
          <wp:positionH relativeFrom="page">
            <wp:posOffset>12700</wp:posOffset>
          </wp:positionH>
          <wp:positionV relativeFrom="page">
            <wp:posOffset>0</wp:posOffset>
          </wp:positionV>
          <wp:extent cx="7559040" cy="10692765"/>
          <wp:effectExtent l="0" t="0" r="3810" b="0"/>
          <wp:wrapNone/>
          <wp:docPr id="275" name="Picture 2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r w:rsidR="006879C0">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D7AF6" w14:textId="679CE96D" w:rsidR="00BC72E1" w:rsidRDefault="00BC72E1" w:rsidP="000D166D">
    <w:pPr>
      <w:pStyle w:val="Header"/>
      <w:ind w:left="2687"/>
      <w:jc w:val="right"/>
    </w:pPr>
  </w:p>
  <w:p w14:paraId="180A7B34" w14:textId="19397491" w:rsidR="00BC72E1" w:rsidRDefault="00381036" w:rsidP="00943730">
    <w:pPr>
      <w:pStyle w:val="Header"/>
    </w:pPr>
    <w:r w:rsidRPr="00943730">
      <w:rPr>
        <w:noProof/>
        <w:lang w:val="en-AU" w:eastAsia="en-AU"/>
      </w:rPr>
      <w:drawing>
        <wp:anchor distT="0" distB="0" distL="114300" distR="114300" simplePos="0" relativeHeight="251666432" behindDoc="1" locked="1" layoutInCell="1" allowOverlap="1" wp14:anchorId="4C39AB41" wp14:editId="5D99FA96">
          <wp:simplePos x="0" y="0"/>
          <wp:positionH relativeFrom="page">
            <wp:align>left</wp:align>
          </wp:positionH>
          <wp:positionV relativeFrom="margin">
            <wp:align>center</wp:align>
          </wp:positionV>
          <wp:extent cx="7559040" cy="10692765"/>
          <wp:effectExtent l="0" t="0" r="3810" b="0"/>
          <wp:wrapNone/>
          <wp:docPr id="276" name="Picture 2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p w14:paraId="5EBA5BC6" w14:textId="77777777" w:rsidR="00BC72E1" w:rsidRDefault="00BC72E1" w:rsidP="00943730">
    <w:pPr>
      <w:pStyle w:val="Header"/>
    </w:pPr>
  </w:p>
  <w:p w14:paraId="0215FEB8" w14:textId="3BD8520E" w:rsidR="000F4E14" w:rsidRPr="00943730" w:rsidRDefault="000F4E14" w:rsidP="000D166D">
    <w:pPr>
      <w:pStyle w:val="Header"/>
      <w:tabs>
        <w:tab w:val="clear" w:pos="9026"/>
        <w:tab w:val="left" w:pos="6398"/>
      </w:tabs>
      <w:ind w:left="0"/>
    </w:pPr>
    <w:r w:rsidRPr="00252C04">
      <w:rPr>
        <w:noProof/>
        <w:lang w:val="en-AU" w:eastAsia="en-AU"/>
      </w:rPr>
      <w:drawing>
        <wp:anchor distT="0" distB="0" distL="114300" distR="114300" simplePos="0" relativeHeight="251654144" behindDoc="1" locked="1" layoutInCell="1" allowOverlap="1" wp14:anchorId="76CD214D" wp14:editId="772F3A09">
          <wp:simplePos x="0" y="0"/>
          <wp:positionH relativeFrom="page">
            <wp:posOffset>11541760</wp:posOffset>
          </wp:positionH>
          <wp:positionV relativeFrom="page">
            <wp:posOffset>928370</wp:posOffset>
          </wp:positionV>
          <wp:extent cx="1115060" cy="512445"/>
          <wp:effectExtent l="0" t="0" r="8890" b="1905"/>
          <wp:wrapNone/>
          <wp:docPr id="277" name="Picture 2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115060" cy="51244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CCAE0" w14:textId="0F5EAA54" w:rsidR="002D5B25" w:rsidRPr="000854FD" w:rsidRDefault="002D5B25" w:rsidP="002D5B2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325A7" w14:textId="2A9A48FA" w:rsidR="00D37B04" w:rsidRPr="00943730" w:rsidRDefault="00252C04" w:rsidP="005B7783">
    <w:pPr>
      <w:pStyle w:val="Header"/>
      <w:ind w:left="0"/>
    </w:pPr>
    <w:r w:rsidRPr="00252C04">
      <w:rPr>
        <w:noProof/>
        <w:lang w:val="en-AU" w:eastAsia="en-AU"/>
      </w:rPr>
      <w:drawing>
        <wp:anchor distT="0" distB="0" distL="114300" distR="114300" simplePos="0" relativeHeight="251663360" behindDoc="1" locked="1" layoutInCell="1" allowOverlap="1" wp14:anchorId="7D959671" wp14:editId="45E82FEE">
          <wp:simplePos x="0" y="0"/>
          <wp:positionH relativeFrom="page">
            <wp:posOffset>12472035</wp:posOffset>
          </wp:positionH>
          <wp:positionV relativeFrom="page">
            <wp:posOffset>928370</wp:posOffset>
          </wp:positionV>
          <wp:extent cx="1115060" cy="512445"/>
          <wp:effectExtent l="0" t="0" r="8890" b="1905"/>
          <wp:wrapNone/>
          <wp:docPr id="278" name="Picture 2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115060" cy="5124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349C6"/>
    <w:multiLevelType w:val="hybridMultilevel"/>
    <w:tmpl w:val="154C746E"/>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050F73"/>
    <w:multiLevelType w:val="hybridMultilevel"/>
    <w:tmpl w:val="B6649F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9AA68BC"/>
    <w:multiLevelType w:val="hybridMultilevel"/>
    <w:tmpl w:val="EAAA37FA"/>
    <w:lvl w:ilvl="0" w:tplc="0C09000F">
      <w:start w:val="1"/>
      <w:numFmt w:val="decimal"/>
      <w:lvlText w:val="%1."/>
      <w:lvlJc w:val="left"/>
      <w:pPr>
        <w:ind w:left="765" w:hanging="360"/>
      </w:p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3"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0F154C09"/>
    <w:multiLevelType w:val="hybridMultilevel"/>
    <w:tmpl w:val="2CEEEBCE"/>
    <w:lvl w:ilvl="0" w:tplc="DA7421AE">
      <w:start w:val="1"/>
      <w:numFmt w:val="upperLetter"/>
      <w:pStyle w:val="TOC2"/>
      <w:lvlText w:val="%1."/>
      <w:lvlJc w:val="left"/>
      <w:pPr>
        <w:ind w:left="559" w:hanging="360"/>
      </w:pPr>
      <w:rPr>
        <w:rFonts w:eastAsiaTheme="minorHAnsi" w:hint="default"/>
        <w:color w:val="495965" w:themeColor="text2"/>
      </w:rPr>
    </w:lvl>
    <w:lvl w:ilvl="1" w:tplc="0C090019" w:tentative="1">
      <w:start w:val="1"/>
      <w:numFmt w:val="lowerLetter"/>
      <w:lvlText w:val="%2."/>
      <w:lvlJc w:val="left"/>
      <w:pPr>
        <w:ind w:left="1279" w:hanging="360"/>
      </w:pPr>
    </w:lvl>
    <w:lvl w:ilvl="2" w:tplc="0C09001B" w:tentative="1">
      <w:start w:val="1"/>
      <w:numFmt w:val="lowerRoman"/>
      <w:lvlText w:val="%3."/>
      <w:lvlJc w:val="right"/>
      <w:pPr>
        <w:ind w:left="1999" w:hanging="180"/>
      </w:pPr>
    </w:lvl>
    <w:lvl w:ilvl="3" w:tplc="0C09000F" w:tentative="1">
      <w:start w:val="1"/>
      <w:numFmt w:val="decimal"/>
      <w:lvlText w:val="%4."/>
      <w:lvlJc w:val="left"/>
      <w:pPr>
        <w:ind w:left="2719" w:hanging="360"/>
      </w:pPr>
    </w:lvl>
    <w:lvl w:ilvl="4" w:tplc="0C090019" w:tentative="1">
      <w:start w:val="1"/>
      <w:numFmt w:val="lowerLetter"/>
      <w:lvlText w:val="%5."/>
      <w:lvlJc w:val="left"/>
      <w:pPr>
        <w:ind w:left="3439" w:hanging="360"/>
      </w:pPr>
    </w:lvl>
    <w:lvl w:ilvl="5" w:tplc="0C09001B" w:tentative="1">
      <w:start w:val="1"/>
      <w:numFmt w:val="lowerRoman"/>
      <w:lvlText w:val="%6."/>
      <w:lvlJc w:val="right"/>
      <w:pPr>
        <w:ind w:left="4159" w:hanging="180"/>
      </w:pPr>
    </w:lvl>
    <w:lvl w:ilvl="6" w:tplc="0C09000F" w:tentative="1">
      <w:start w:val="1"/>
      <w:numFmt w:val="decimal"/>
      <w:lvlText w:val="%7."/>
      <w:lvlJc w:val="left"/>
      <w:pPr>
        <w:ind w:left="4879" w:hanging="360"/>
      </w:pPr>
    </w:lvl>
    <w:lvl w:ilvl="7" w:tplc="0C090019" w:tentative="1">
      <w:start w:val="1"/>
      <w:numFmt w:val="lowerLetter"/>
      <w:lvlText w:val="%8."/>
      <w:lvlJc w:val="left"/>
      <w:pPr>
        <w:ind w:left="5599" w:hanging="360"/>
      </w:pPr>
    </w:lvl>
    <w:lvl w:ilvl="8" w:tplc="0C09001B" w:tentative="1">
      <w:start w:val="1"/>
      <w:numFmt w:val="lowerRoman"/>
      <w:lvlText w:val="%9."/>
      <w:lvlJc w:val="right"/>
      <w:pPr>
        <w:ind w:left="6319" w:hanging="180"/>
      </w:pPr>
    </w:lvl>
  </w:abstractNum>
  <w:abstractNum w:abstractNumId="5" w15:restartNumberingAfterBreak="0">
    <w:nsid w:val="117B59A0"/>
    <w:multiLevelType w:val="hybridMultilevel"/>
    <w:tmpl w:val="314225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30624E"/>
    <w:multiLevelType w:val="hybridMultilevel"/>
    <w:tmpl w:val="84DA19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2487978"/>
    <w:multiLevelType w:val="hybridMultilevel"/>
    <w:tmpl w:val="A2C4B248"/>
    <w:lvl w:ilvl="0" w:tplc="E73ECFD4">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EE6E55"/>
    <w:multiLevelType w:val="multilevel"/>
    <w:tmpl w:val="281E7E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BF39D9"/>
    <w:multiLevelType w:val="hybridMultilevel"/>
    <w:tmpl w:val="11069A28"/>
    <w:lvl w:ilvl="0" w:tplc="FFFFFFFF">
      <w:start w:val="1"/>
      <w:numFmt w:val="upperLetter"/>
      <w:lvlText w:val="%1."/>
      <w:lvlJc w:val="left"/>
      <w:pPr>
        <w:ind w:left="2486" w:hanging="360"/>
      </w:pPr>
      <w:rPr>
        <w:b/>
        <w:color w:val="495965" w:themeColor="text2"/>
        <w:sz w:val="22"/>
        <w:szCs w:val="22"/>
      </w:rPr>
    </w:lvl>
    <w:lvl w:ilvl="1" w:tplc="FFFFFFFF">
      <w:start w:val="1"/>
      <w:numFmt w:val="lowerLetter"/>
      <w:lvlText w:val="%2."/>
      <w:lvlJc w:val="left"/>
      <w:pPr>
        <w:ind w:left="3206" w:hanging="360"/>
      </w:pPr>
    </w:lvl>
    <w:lvl w:ilvl="2" w:tplc="FFFFFFFF" w:tentative="1">
      <w:start w:val="1"/>
      <w:numFmt w:val="lowerRoman"/>
      <w:lvlText w:val="%3."/>
      <w:lvlJc w:val="right"/>
      <w:pPr>
        <w:ind w:left="3926" w:hanging="180"/>
      </w:pPr>
    </w:lvl>
    <w:lvl w:ilvl="3" w:tplc="FFFFFFFF" w:tentative="1">
      <w:start w:val="1"/>
      <w:numFmt w:val="decimal"/>
      <w:lvlText w:val="%4."/>
      <w:lvlJc w:val="left"/>
      <w:pPr>
        <w:ind w:left="4646" w:hanging="360"/>
      </w:pPr>
    </w:lvl>
    <w:lvl w:ilvl="4" w:tplc="FFFFFFFF" w:tentative="1">
      <w:start w:val="1"/>
      <w:numFmt w:val="lowerLetter"/>
      <w:lvlText w:val="%5."/>
      <w:lvlJc w:val="left"/>
      <w:pPr>
        <w:ind w:left="5366" w:hanging="360"/>
      </w:pPr>
    </w:lvl>
    <w:lvl w:ilvl="5" w:tplc="FFFFFFFF" w:tentative="1">
      <w:start w:val="1"/>
      <w:numFmt w:val="lowerRoman"/>
      <w:lvlText w:val="%6."/>
      <w:lvlJc w:val="right"/>
      <w:pPr>
        <w:ind w:left="6086" w:hanging="180"/>
      </w:pPr>
    </w:lvl>
    <w:lvl w:ilvl="6" w:tplc="FFFFFFFF" w:tentative="1">
      <w:start w:val="1"/>
      <w:numFmt w:val="decimal"/>
      <w:lvlText w:val="%7."/>
      <w:lvlJc w:val="left"/>
      <w:pPr>
        <w:ind w:left="6806" w:hanging="360"/>
      </w:pPr>
    </w:lvl>
    <w:lvl w:ilvl="7" w:tplc="FFFFFFFF" w:tentative="1">
      <w:start w:val="1"/>
      <w:numFmt w:val="lowerLetter"/>
      <w:lvlText w:val="%8."/>
      <w:lvlJc w:val="left"/>
      <w:pPr>
        <w:ind w:left="7526" w:hanging="360"/>
      </w:pPr>
    </w:lvl>
    <w:lvl w:ilvl="8" w:tplc="FFFFFFFF" w:tentative="1">
      <w:start w:val="1"/>
      <w:numFmt w:val="lowerRoman"/>
      <w:lvlText w:val="%9."/>
      <w:lvlJc w:val="right"/>
      <w:pPr>
        <w:ind w:left="8246" w:hanging="180"/>
      </w:pPr>
    </w:lvl>
  </w:abstractNum>
  <w:abstractNum w:abstractNumId="10" w15:restartNumberingAfterBreak="0">
    <w:nsid w:val="146F1F51"/>
    <w:multiLevelType w:val="hybridMultilevel"/>
    <w:tmpl w:val="2C341E0A"/>
    <w:lvl w:ilvl="0" w:tplc="FFFFFFFF">
      <w:start w:val="1"/>
      <w:numFmt w:val="decimal"/>
      <w:lvlText w:val="%1."/>
      <w:lvlJc w:val="left"/>
      <w:pPr>
        <w:ind w:left="76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12" w15:restartNumberingAfterBreak="0">
    <w:nsid w:val="1C4414A8"/>
    <w:multiLevelType w:val="hybridMultilevel"/>
    <w:tmpl w:val="4014BE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C8D072A"/>
    <w:multiLevelType w:val="hybridMultilevel"/>
    <w:tmpl w:val="D332DADA"/>
    <w:lvl w:ilvl="0" w:tplc="974A72A6">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D656F2A"/>
    <w:multiLevelType w:val="hybridMultilevel"/>
    <w:tmpl w:val="EAAA37FA"/>
    <w:lvl w:ilvl="0" w:tplc="FFFFFFFF">
      <w:start w:val="1"/>
      <w:numFmt w:val="decimal"/>
      <w:lvlText w:val="%1."/>
      <w:lvlJc w:val="left"/>
      <w:pPr>
        <w:ind w:left="765" w:hanging="360"/>
      </w:pPr>
    </w:lvl>
    <w:lvl w:ilvl="1" w:tplc="FFFFFFFF" w:tentative="1">
      <w:start w:val="1"/>
      <w:numFmt w:val="lowerLetter"/>
      <w:lvlText w:val="%2."/>
      <w:lvlJc w:val="left"/>
      <w:pPr>
        <w:ind w:left="1485" w:hanging="360"/>
      </w:pPr>
    </w:lvl>
    <w:lvl w:ilvl="2" w:tplc="FFFFFFFF" w:tentative="1">
      <w:start w:val="1"/>
      <w:numFmt w:val="lowerRoman"/>
      <w:lvlText w:val="%3."/>
      <w:lvlJc w:val="right"/>
      <w:pPr>
        <w:ind w:left="2205" w:hanging="180"/>
      </w:pPr>
    </w:lvl>
    <w:lvl w:ilvl="3" w:tplc="FFFFFFFF" w:tentative="1">
      <w:start w:val="1"/>
      <w:numFmt w:val="decimal"/>
      <w:lvlText w:val="%4."/>
      <w:lvlJc w:val="left"/>
      <w:pPr>
        <w:ind w:left="2925" w:hanging="360"/>
      </w:pPr>
    </w:lvl>
    <w:lvl w:ilvl="4" w:tplc="FFFFFFFF" w:tentative="1">
      <w:start w:val="1"/>
      <w:numFmt w:val="lowerLetter"/>
      <w:lvlText w:val="%5."/>
      <w:lvlJc w:val="left"/>
      <w:pPr>
        <w:ind w:left="3645" w:hanging="360"/>
      </w:pPr>
    </w:lvl>
    <w:lvl w:ilvl="5" w:tplc="FFFFFFFF" w:tentative="1">
      <w:start w:val="1"/>
      <w:numFmt w:val="lowerRoman"/>
      <w:lvlText w:val="%6."/>
      <w:lvlJc w:val="right"/>
      <w:pPr>
        <w:ind w:left="4365" w:hanging="180"/>
      </w:pPr>
    </w:lvl>
    <w:lvl w:ilvl="6" w:tplc="FFFFFFFF" w:tentative="1">
      <w:start w:val="1"/>
      <w:numFmt w:val="decimal"/>
      <w:lvlText w:val="%7."/>
      <w:lvlJc w:val="left"/>
      <w:pPr>
        <w:ind w:left="5085" w:hanging="360"/>
      </w:pPr>
    </w:lvl>
    <w:lvl w:ilvl="7" w:tplc="FFFFFFFF" w:tentative="1">
      <w:start w:val="1"/>
      <w:numFmt w:val="lowerLetter"/>
      <w:lvlText w:val="%8."/>
      <w:lvlJc w:val="left"/>
      <w:pPr>
        <w:ind w:left="5805" w:hanging="360"/>
      </w:pPr>
    </w:lvl>
    <w:lvl w:ilvl="8" w:tplc="FFFFFFFF" w:tentative="1">
      <w:start w:val="1"/>
      <w:numFmt w:val="lowerRoman"/>
      <w:lvlText w:val="%9."/>
      <w:lvlJc w:val="right"/>
      <w:pPr>
        <w:ind w:left="6525" w:hanging="180"/>
      </w:pPr>
    </w:lvl>
  </w:abstractNum>
  <w:abstractNum w:abstractNumId="15" w15:restartNumberingAfterBreak="0">
    <w:nsid w:val="22B11F7A"/>
    <w:multiLevelType w:val="hybridMultilevel"/>
    <w:tmpl w:val="62665B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36802D4"/>
    <w:multiLevelType w:val="hybridMultilevel"/>
    <w:tmpl w:val="42FC3A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3CD336A"/>
    <w:multiLevelType w:val="hybridMultilevel"/>
    <w:tmpl w:val="5FD4D8BC"/>
    <w:lvl w:ilvl="0" w:tplc="17768A98">
      <w:start w:val="1"/>
      <w:numFmt w:val="bullet"/>
      <w:lvlText w:val="›"/>
      <w:lvlJc w:val="left"/>
      <w:pPr>
        <w:ind w:left="720" w:hanging="360"/>
      </w:pPr>
      <w:rPr>
        <w:rFonts w:ascii="Times New Roman" w:hAnsi="Times New Roman" w:cs="Times New Roman" w:hint="default"/>
        <w:color w:val="495965" w:themeColor="tex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4440075"/>
    <w:multiLevelType w:val="hybridMultilevel"/>
    <w:tmpl w:val="E6583FA6"/>
    <w:lvl w:ilvl="0" w:tplc="17768A98">
      <w:start w:val="1"/>
      <w:numFmt w:val="bullet"/>
      <w:lvlText w:val="›"/>
      <w:lvlJc w:val="left"/>
      <w:pPr>
        <w:ind w:left="360" w:hanging="360"/>
      </w:pPr>
      <w:rPr>
        <w:rFonts w:ascii="Times New Roman" w:hAnsi="Times New Roman" w:cs="Times New Roman" w:hint="default"/>
        <w:color w:val="495965" w:themeColor="text2"/>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4800C13"/>
    <w:multiLevelType w:val="hybridMultilevel"/>
    <w:tmpl w:val="115A2A12"/>
    <w:lvl w:ilvl="0" w:tplc="17768A98">
      <w:start w:val="1"/>
      <w:numFmt w:val="bullet"/>
      <w:lvlText w:val="›"/>
      <w:lvlJc w:val="left"/>
      <w:pPr>
        <w:ind w:left="720" w:hanging="360"/>
      </w:pPr>
      <w:rPr>
        <w:rFonts w:ascii="Times New Roman" w:hAnsi="Times New Roman" w:cs="Times New Roman" w:hint="default"/>
        <w:color w:val="495965" w:themeColor="text2"/>
      </w:rPr>
    </w:lvl>
    <w:lvl w:ilvl="1" w:tplc="76A87056">
      <w:numFmt w:val="bullet"/>
      <w:lvlText w:val="•"/>
      <w:lvlJc w:val="left"/>
      <w:pPr>
        <w:ind w:left="1440" w:hanging="360"/>
      </w:pPr>
      <w:rPr>
        <w:rFonts w:ascii="Calibri Light" w:eastAsiaTheme="minorHAnsi" w:hAnsi="Calibri Light" w:cs="Calibri Light"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61F282B"/>
    <w:multiLevelType w:val="multilevel"/>
    <w:tmpl w:val="5972C0A0"/>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2" w15:restartNumberingAfterBreak="0">
    <w:nsid w:val="31263674"/>
    <w:multiLevelType w:val="multilevel"/>
    <w:tmpl w:val="91527420"/>
    <w:lvl w:ilvl="0">
      <w:start w:val="1"/>
      <w:numFmt w:val="decimal"/>
      <w:lvlText w:val="%1."/>
      <w:lvlJc w:val="left"/>
      <w:pPr>
        <w:ind w:left="567" w:hanging="567"/>
      </w:pPr>
    </w:lvl>
    <w:lvl w:ilvl="1">
      <w:start w:val="1"/>
      <w:numFmt w:val="decimal"/>
      <w:lvlText w:val="%1.%2"/>
      <w:lvlJc w:val="left"/>
      <w:pPr>
        <w:ind w:left="567" w:hanging="567"/>
      </w:pPr>
    </w:lvl>
    <w:lvl w:ilvl="2">
      <w:start w:val="1"/>
      <w:numFmt w:val="lowerRoman"/>
      <w:lvlText w:val="%3."/>
      <w:lvlJc w:val="right"/>
      <w:pPr>
        <w:ind w:left="72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righ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3" w15:restartNumberingAfterBreak="0">
    <w:nsid w:val="32245A1A"/>
    <w:multiLevelType w:val="hybridMultilevel"/>
    <w:tmpl w:val="CF74341C"/>
    <w:lvl w:ilvl="0" w:tplc="17768A98">
      <w:start w:val="1"/>
      <w:numFmt w:val="bullet"/>
      <w:lvlText w:val="›"/>
      <w:lvlJc w:val="left"/>
      <w:pPr>
        <w:ind w:left="720" w:hanging="360"/>
      </w:pPr>
      <w:rPr>
        <w:rFonts w:ascii="Times New Roman" w:hAnsi="Times New Roman" w:cs="Times New Roman" w:hint="default"/>
        <w:color w:val="495965"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379781D"/>
    <w:multiLevelType w:val="hybridMultilevel"/>
    <w:tmpl w:val="E39C9790"/>
    <w:lvl w:ilvl="0" w:tplc="8D20A9EE">
      <w:start w:val="1"/>
      <w:numFmt w:val="upperLetter"/>
      <w:lvlText w:val="%1."/>
      <w:lvlJc w:val="left"/>
      <w:pPr>
        <w:ind w:left="720" w:hanging="360"/>
      </w:pPr>
      <w:rPr>
        <w:b/>
        <w:color w:val="495965" w:themeColor="text2"/>
        <w:sz w:val="22"/>
        <w:szCs w:val="22"/>
      </w:rPr>
    </w:lvl>
    <w:lvl w:ilvl="1" w:tplc="17768A98">
      <w:start w:val="1"/>
      <w:numFmt w:val="bullet"/>
      <w:lvlText w:val="›"/>
      <w:lvlJc w:val="left"/>
      <w:pPr>
        <w:ind w:left="786" w:hanging="360"/>
      </w:pPr>
      <w:rPr>
        <w:rFonts w:ascii="Times New Roman" w:hAnsi="Times New Roman" w:cs="Times New Roman" w:hint="default"/>
        <w:color w:val="495965" w:themeColor="text2"/>
      </w:rPr>
    </w:lvl>
    <w:lvl w:ilvl="2" w:tplc="0C090003">
      <w:start w:val="1"/>
      <w:numFmt w:val="bullet"/>
      <w:lvlText w:val="o"/>
      <w:lvlJc w:val="left"/>
      <w:pPr>
        <w:ind w:left="2340" w:hanging="360"/>
      </w:pPr>
      <w:rPr>
        <w:rFonts w:ascii="Courier New" w:hAnsi="Courier New" w:cs="Courier New" w:hint="default"/>
        <w:color w:val="auto"/>
        <w:sz w:val="24"/>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4876964"/>
    <w:multiLevelType w:val="hybridMultilevel"/>
    <w:tmpl w:val="11069A28"/>
    <w:lvl w:ilvl="0" w:tplc="8D20A9EE">
      <w:start w:val="1"/>
      <w:numFmt w:val="upperLetter"/>
      <w:lvlText w:val="%1."/>
      <w:lvlJc w:val="left"/>
      <w:pPr>
        <w:ind w:left="4472" w:hanging="360"/>
      </w:pPr>
      <w:rPr>
        <w:b/>
        <w:color w:val="495965" w:themeColor="text2"/>
        <w:sz w:val="22"/>
        <w:szCs w:val="22"/>
      </w:rPr>
    </w:lvl>
    <w:lvl w:ilvl="1" w:tplc="0C090019">
      <w:start w:val="1"/>
      <w:numFmt w:val="lowerLetter"/>
      <w:lvlText w:val="%2."/>
      <w:lvlJc w:val="left"/>
      <w:pPr>
        <w:ind w:left="3206" w:hanging="360"/>
      </w:pPr>
    </w:lvl>
    <w:lvl w:ilvl="2" w:tplc="0C09001B" w:tentative="1">
      <w:start w:val="1"/>
      <w:numFmt w:val="lowerRoman"/>
      <w:lvlText w:val="%3."/>
      <w:lvlJc w:val="right"/>
      <w:pPr>
        <w:ind w:left="3926" w:hanging="180"/>
      </w:pPr>
    </w:lvl>
    <w:lvl w:ilvl="3" w:tplc="0C09000F" w:tentative="1">
      <w:start w:val="1"/>
      <w:numFmt w:val="decimal"/>
      <w:lvlText w:val="%4."/>
      <w:lvlJc w:val="left"/>
      <w:pPr>
        <w:ind w:left="4646" w:hanging="360"/>
      </w:pPr>
    </w:lvl>
    <w:lvl w:ilvl="4" w:tplc="0C090019" w:tentative="1">
      <w:start w:val="1"/>
      <w:numFmt w:val="lowerLetter"/>
      <w:lvlText w:val="%5."/>
      <w:lvlJc w:val="left"/>
      <w:pPr>
        <w:ind w:left="5366" w:hanging="360"/>
      </w:pPr>
    </w:lvl>
    <w:lvl w:ilvl="5" w:tplc="0C09001B" w:tentative="1">
      <w:start w:val="1"/>
      <w:numFmt w:val="lowerRoman"/>
      <w:lvlText w:val="%6."/>
      <w:lvlJc w:val="right"/>
      <w:pPr>
        <w:ind w:left="6086" w:hanging="180"/>
      </w:pPr>
    </w:lvl>
    <w:lvl w:ilvl="6" w:tplc="0C09000F" w:tentative="1">
      <w:start w:val="1"/>
      <w:numFmt w:val="decimal"/>
      <w:lvlText w:val="%7."/>
      <w:lvlJc w:val="left"/>
      <w:pPr>
        <w:ind w:left="6806" w:hanging="360"/>
      </w:pPr>
    </w:lvl>
    <w:lvl w:ilvl="7" w:tplc="0C090019" w:tentative="1">
      <w:start w:val="1"/>
      <w:numFmt w:val="lowerLetter"/>
      <w:lvlText w:val="%8."/>
      <w:lvlJc w:val="left"/>
      <w:pPr>
        <w:ind w:left="7526" w:hanging="360"/>
      </w:pPr>
    </w:lvl>
    <w:lvl w:ilvl="8" w:tplc="0C09001B" w:tentative="1">
      <w:start w:val="1"/>
      <w:numFmt w:val="lowerRoman"/>
      <w:lvlText w:val="%9."/>
      <w:lvlJc w:val="right"/>
      <w:pPr>
        <w:ind w:left="8246" w:hanging="180"/>
      </w:pPr>
    </w:lvl>
  </w:abstractNum>
  <w:abstractNum w:abstractNumId="26" w15:restartNumberingAfterBreak="0">
    <w:nsid w:val="34BA0F1D"/>
    <w:multiLevelType w:val="hybridMultilevel"/>
    <w:tmpl w:val="EAAA37FA"/>
    <w:lvl w:ilvl="0" w:tplc="FFFFFFFF">
      <w:start w:val="1"/>
      <w:numFmt w:val="decimal"/>
      <w:lvlText w:val="%1."/>
      <w:lvlJc w:val="left"/>
      <w:pPr>
        <w:ind w:left="765" w:hanging="360"/>
      </w:pPr>
    </w:lvl>
    <w:lvl w:ilvl="1" w:tplc="FFFFFFFF" w:tentative="1">
      <w:start w:val="1"/>
      <w:numFmt w:val="lowerLetter"/>
      <w:lvlText w:val="%2."/>
      <w:lvlJc w:val="left"/>
      <w:pPr>
        <w:ind w:left="1485" w:hanging="360"/>
      </w:pPr>
    </w:lvl>
    <w:lvl w:ilvl="2" w:tplc="FFFFFFFF" w:tentative="1">
      <w:start w:val="1"/>
      <w:numFmt w:val="lowerRoman"/>
      <w:lvlText w:val="%3."/>
      <w:lvlJc w:val="right"/>
      <w:pPr>
        <w:ind w:left="2205" w:hanging="180"/>
      </w:pPr>
    </w:lvl>
    <w:lvl w:ilvl="3" w:tplc="FFFFFFFF" w:tentative="1">
      <w:start w:val="1"/>
      <w:numFmt w:val="decimal"/>
      <w:lvlText w:val="%4."/>
      <w:lvlJc w:val="left"/>
      <w:pPr>
        <w:ind w:left="2925" w:hanging="360"/>
      </w:pPr>
    </w:lvl>
    <w:lvl w:ilvl="4" w:tplc="FFFFFFFF" w:tentative="1">
      <w:start w:val="1"/>
      <w:numFmt w:val="lowerLetter"/>
      <w:lvlText w:val="%5."/>
      <w:lvlJc w:val="left"/>
      <w:pPr>
        <w:ind w:left="3645" w:hanging="360"/>
      </w:pPr>
    </w:lvl>
    <w:lvl w:ilvl="5" w:tplc="FFFFFFFF" w:tentative="1">
      <w:start w:val="1"/>
      <w:numFmt w:val="lowerRoman"/>
      <w:lvlText w:val="%6."/>
      <w:lvlJc w:val="right"/>
      <w:pPr>
        <w:ind w:left="4365" w:hanging="180"/>
      </w:pPr>
    </w:lvl>
    <w:lvl w:ilvl="6" w:tplc="FFFFFFFF" w:tentative="1">
      <w:start w:val="1"/>
      <w:numFmt w:val="decimal"/>
      <w:lvlText w:val="%7."/>
      <w:lvlJc w:val="left"/>
      <w:pPr>
        <w:ind w:left="5085" w:hanging="360"/>
      </w:pPr>
    </w:lvl>
    <w:lvl w:ilvl="7" w:tplc="FFFFFFFF" w:tentative="1">
      <w:start w:val="1"/>
      <w:numFmt w:val="lowerLetter"/>
      <w:lvlText w:val="%8."/>
      <w:lvlJc w:val="left"/>
      <w:pPr>
        <w:ind w:left="5805" w:hanging="360"/>
      </w:pPr>
    </w:lvl>
    <w:lvl w:ilvl="8" w:tplc="FFFFFFFF" w:tentative="1">
      <w:start w:val="1"/>
      <w:numFmt w:val="lowerRoman"/>
      <w:lvlText w:val="%9."/>
      <w:lvlJc w:val="right"/>
      <w:pPr>
        <w:ind w:left="6525" w:hanging="180"/>
      </w:pPr>
    </w:lvl>
  </w:abstractNum>
  <w:abstractNum w:abstractNumId="27" w15:restartNumberingAfterBreak="0">
    <w:nsid w:val="35454A15"/>
    <w:multiLevelType w:val="hybridMultilevel"/>
    <w:tmpl w:val="8370D606"/>
    <w:lvl w:ilvl="0" w:tplc="8452B40A">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364954BF"/>
    <w:multiLevelType w:val="hybridMultilevel"/>
    <w:tmpl w:val="8DD46D36"/>
    <w:lvl w:ilvl="0" w:tplc="17768A98">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7B84481"/>
    <w:multiLevelType w:val="hybridMultilevel"/>
    <w:tmpl w:val="953211AE"/>
    <w:lvl w:ilvl="0" w:tplc="17768A98">
      <w:start w:val="1"/>
      <w:numFmt w:val="bullet"/>
      <w:lvlText w:val="›"/>
      <w:lvlJc w:val="left"/>
      <w:pPr>
        <w:ind w:left="720" w:hanging="360"/>
      </w:pPr>
      <w:rPr>
        <w:rFonts w:ascii="Times New Roman" w:hAnsi="Times New Roman" w:cs="Times New Roman" w:hint="default"/>
        <w:color w:val="495965" w:themeColor="text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E243625"/>
    <w:multiLevelType w:val="hybridMultilevel"/>
    <w:tmpl w:val="8632C59A"/>
    <w:lvl w:ilvl="0" w:tplc="FFFFFFFF">
      <w:start w:val="1"/>
      <w:numFmt w:val="upperLetter"/>
      <w:lvlText w:val="%1."/>
      <w:lvlJc w:val="left"/>
      <w:pPr>
        <w:ind w:left="559" w:hanging="360"/>
      </w:pPr>
      <w:rPr>
        <w:rFonts w:eastAsiaTheme="minorHAnsi" w:hint="default"/>
        <w:color w:val="495965" w:themeColor="text2"/>
      </w:rPr>
    </w:lvl>
    <w:lvl w:ilvl="1" w:tplc="FFFFFFFF" w:tentative="1">
      <w:start w:val="1"/>
      <w:numFmt w:val="lowerLetter"/>
      <w:lvlText w:val="%2."/>
      <w:lvlJc w:val="left"/>
      <w:pPr>
        <w:ind w:left="1279" w:hanging="360"/>
      </w:pPr>
    </w:lvl>
    <w:lvl w:ilvl="2" w:tplc="FFFFFFFF" w:tentative="1">
      <w:start w:val="1"/>
      <w:numFmt w:val="lowerRoman"/>
      <w:lvlText w:val="%3."/>
      <w:lvlJc w:val="right"/>
      <w:pPr>
        <w:ind w:left="1999" w:hanging="180"/>
      </w:pPr>
    </w:lvl>
    <w:lvl w:ilvl="3" w:tplc="FFFFFFFF" w:tentative="1">
      <w:start w:val="1"/>
      <w:numFmt w:val="decimal"/>
      <w:lvlText w:val="%4."/>
      <w:lvlJc w:val="left"/>
      <w:pPr>
        <w:ind w:left="2719" w:hanging="360"/>
      </w:pPr>
    </w:lvl>
    <w:lvl w:ilvl="4" w:tplc="FFFFFFFF" w:tentative="1">
      <w:start w:val="1"/>
      <w:numFmt w:val="lowerLetter"/>
      <w:lvlText w:val="%5."/>
      <w:lvlJc w:val="left"/>
      <w:pPr>
        <w:ind w:left="3439" w:hanging="360"/>
      </w:pPr>
    </w:lvl>
    <w:lvl w:ilvl="5" w:tplc="FFFFFFFF" w:tentative="1">
      <w:start w:val="1"/>
      <w:numFmt w:val="lowerRoman"/>
      <w:lvlText w:val="%6."/>
      <w:lvlJc w:val="right"/>
      <w:pPr>
        <w:ind w:left="4159" w:hanging="180"/>
      </w:pPr>
    </w:lvl>
    <w:lvl w:ilvl="6" w:tplc="FFFFFFFF" w:tentative="1">
      <w:start w:val="1"/>
      <w:numFmt w:val="decimal"/>
      <w:lvlText w:val="%7."/>
      <w:lvlJc w:val="left"/>
      <w:pPr>
        <w:ind w:left="4879" w:hanging="360"/>
      </w:pPr>
    </w:lvl>
    <w:lvl w:ilvl="7" w:tplc="FFFFFFFF" w:tentative="1">
      <w:start w:val="1"/>
      <w:numFmt w:val="lowerLetter"/>
      <w:lvlText w:val="%8."/>
      <w:lvlJc w:val="left"/>
      <w:pPr>
        <w:ind w:left="5599" w:hanging="360"/>
      </w:pPr>
    </w:lvl>
    <w:lvl w:ilvl="8" w:tplc="FFFFFFFF" w:tentative="1">
      <w:start w:val="1"/>
      <w:numFmt w:val="lowerRoman"/>
      <w:lvlText w:val="%9."/>
      <w:lvlJc w:val="right"/>
      <w:pPr>
        <w:ind w:left="6319" w:hanging="180"/>
      </w:pPr>
    </w:lvl>
  </w:abstractNum>
  <w:abstractNum w:abstractNumId="31" w15:restartNumberingAfterBreak="0">
    <w:nsid w:val="3E271689"/>
    <w:multiLevelType w:val="hybridMultilevel"/>
    <w:tmpl w:val="951CBA64"/>
    <w:lvl w:ilvl="0" w:tplc="FFFFFFFF">
      <w:start w:val="1"/>
      <w:numFmt w:val="upperLetter"/>
      <w:lvlText w:val="%1."/>
      <w:lvlJc w:val="left"/>
      <w:pPr>
        <w:ind w:left="720" w:hanging="360"/>
      </w:pPr>
      <w:rPr>
        <w:b/>
        <w:color w:val="495965" w:themeColor="text2"/>
        <w:sz w:val="22"/>
        <w:szCs w:val="22"/>
      </w:rPr>
    </w:lvl>
    <w:lvl w:ilvl="1" w:tplc="0C090003">
      <w:start w:val="1"/>
      <w:numFmt w:val="bullet"/>
      <w:lvlText w:val="o"/>
      <w:lvlJc w:val="left"/>
      <w:pPr>
        <w:ind w:left="1440" w:hanging="360"/>
      </w:pPr>
      <w:rPr>
        <w:rFonts w:ascii="Courier New" w:hAnsi="Courier New" w:cs="Courier New" w:hint="default"/>
        <w:color w:val="495965" w:themeColor="text2"/>
      </w:rPr>
    </w:lvl>
    <w:lvl w:ilvl="2" w:tplc="FFFFFFFF">
      <w:start w:val="1"/>
      <w:numFmt w:val="bullet"/>
      <w:lvlText w:val="o"/>
      <w:lvlJc w:val="left"/>
      <w:pPr>
        <w:ind w:left="2340" w:hanging="360"/>
      </w:pPr>
      <w:rPr>
        <w:rFonts w:ascii="Courier New" w:hAnsi="Courier New" w:cs="Courier New" w:hint="default"/>
        <w:color w:val="auto"/>
        <w:sz w:val="2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2EC2CE1"/>
    <w:multiLevelType w:val="hybridMultilevel"/>
    <w:tmpl w:val="EBD61800"/>
    <w:lvl w:ilvl="0" w:tplc="17768A98">
      <w:start w:val="1"/>
      <w:numFmt w:val="bullet"/>
      <w:lvlText w:val="›"/>
      <w:lvlJc w:val="left"/>
      <w:pPr>
        <w:ind w:left="786" w:hanging="360"/>
      </w:pPr>
      <w:rPr>
        <w:rFonts w:ascii="Times New Roman" w:hAnsi="Times New Roman" w:cs="Times New Roman" w:hint="default"/>
        <w:color w:val="495965"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3F42D68"/>
    <w:multiLevelType w:val="hybridMultilevel"/>
    <w:tmpl w:val="3740F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5477B36"/>
    <w:multiLevelType w:val="hybridMultilevel"/>
    <w:tmpl w:val="420650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73D1FE7"/>
    <w:multiLevelType w:val="hybridMultilevel"/>
    <w:tmpl w:val="F48A04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87A2E22"/>
    <w:multiLevelType w:val="hybridMultilevel"/>
    <w:tmpl w:val="1EB208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EC364C5"/>
    <w:multiLevelType w:val="hybridMultilevel"/>
    <w:tmpl w:val="9A008F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FC91D84"/>
    <w:multiLevelType w:val="hybridMultilevel"/>
    <w:tmpl w:val="E5602F54"/>
    <w:lvl w:ilvl="0" w:tplc="934C4D4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39117AE"/>
    <w:multiLevelType w:val="hybridMultilevel"/>
    <w:tmpl w:val="55A634A0"/>
    <w:lvl w:ilvl="0" w:tplc="CCBA73E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8D416DB"/>
    <w:multiLevelType w:val="hybridMultilevel"/>
    <w:tmpl w:val="EE6C3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42" w15:restartNumberingAfterBreak="0">
    <w:nsid w:val="59A312B5"/>
    <w:multiLevelType w:val="hybridMultilevel"/>
    <w:tmpl w:val="D236EE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A5071A7"/>
    <w:multiLevelType w:val="multilevel"/>
    <w:tmpl w:val="D3AAA7B0"/>
    <w:lvl w:ilvl="0">
      <w:start w:val="7"/>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5C4F0FE9"/>
    <w:multiLevelType w:val="hybridMultilevel"/>
    <w:tmpl w:val="2D6842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46" w15:restartNumberingAfterBreak="0">
    <w:nsid w:val="5E582B56"/>
    <w:multiLevelType w:val="hybridMultilevel"/>
    <w:tmpl w:val="638A3F8A"/>
    <w:lvl w:ilvl="0" w:tplc="8D20A9EE">
      <w:start w:val="1"/>
      <w:numFmt w:val="upperLetter"/>
      <w:lvlText w:val="%1."/>
      <w:lvlJc w:val="left"/>
      <w:pPr>
        <w:ind w:left="720" w:hanging="360"/>
      </w:pPr>
      <w:rPr>
        <w:b/>
        <w:color w:val="495965" w:themeColor="text2"/>
        <w:sz w:val="22"/>
        <w:szCs w:val="22"/>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5FCC57A9"/>
    <w:multiLevelType w:val="hybridMultilevel"/>
    <w:tmpl w:val="831AE8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0170C02"/>
    <w:multiLevelType w:val="hybridMultilevel"/>
    <w:tmpl w:val="021C3DDC"/>
    <w:lvl w:ilvl="0" w:tplc="7D0A86BA">
      <w:numFmt w:val="bullet"/>
      <w:lvlText w:val="-"/>
      <w:lvlJc w:val="left"/>
      <w:pPr>
        <w:ind w:left="720" w:hanging="360"/>
      </w:pPr>
      <w:rPr>
        <w:rFonts w:ascii="Calibri Light" w:eastAsia="Calibri" w:hAnsi="Calibri Light" w:cs="Calibri Light"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9" w15:restartNumberingAfterBreak="0">
    <w:nsid w:val="6A0B6FF0"/>
    <w:multiLevelType w:val="hybridMultilevel"/>
    <w:tmpl w:val="23BAFA1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6FCA559E"/>
    <w:multiLevelType w:val="hybridMultilevel"/>
    <w:tmpl w:val="AADA1280"/>
    <w:lvl w:ilvl="0" w:tplc="17768A98">
      <w:start w:val="1"/>
      <w:numFmt w:val="bullet"/>
      <w:lvlText w:val="›"/>
      <w:lvlJc w:val="left"/>
      <w:pPr>
        <w:ind w:left="862" w:hanging="360"/>
      </w:pPr>
      <w:rPr>
        <w:rFonts w:ascii="Times New Roman" w:hAnsi="Times New Roman" w:cs="Times New Roman"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51" w15:restartNumberingAfterBreak="0">
    <w:nsid w:val="70DB5B47"/>
    <w:multiLevelType w:val="hybridMultilevel"/>
    <w:tmpl w:val="EAAA37FA"/>
    <w:lvl w:ilvl="0" w:tplc="FFFFFFFF">
      <w:start w:val="1"/>
      <w:numFmt w:val="decimal"/>
      <w:lvlText w:val="%1."/>
      <w:lvlJc w:val="left"/>
      <w:pPr>
        <w:ind w:left="765" w:hanging="360"/>
      </w:pPr>
    </w:lvl>
    <w:lvl w:ilvl="1" w:tplc="FFFFFFFF" w:tentative="1">
      <w:start w:val="1"/>
      <w:numFmt w:val="lowerLetter"/>
      <w:lvlText w:val="%2."/>
      <w:lvlJc w:val="left"/>
      <w:pPr>
        <w:ind w:left="1485" w:hanging="360"/>
      </w:pPr>
    </w:lvl>
    <w:lvl w:ilvl="2" w:tplc="FFFFFFFF" w:tentative="1">
      <w:start w:val="1"/>
      <w:numFmt w:val="lowerRoman"/>
      <w:lvlText w:val="%3."/>
      <w:lvlJc w:val="right"/>
      <w:pPr>
        <w:ind w:left="2205" w:hanging="180"/>
      </w:pPr>
    </w:lvl>
    <w:lvl w:ilvl="3" w:tplc="FFFFFFFF" w:tentative="1">
      <w:start w:val="1"/>
      <w:numFmt w:val="decimal"/>
      <w:lvlText w:val="%4."/>
      <w:lvlJc w:val="left"/>
      <w:pPr>
        <w:ind w:left="2925" w:hanging="360"/>
      </w:pPr>
    </w:lvl>
    <w:lvl w:ilvl="4" w:tplc="FFFFFFFF" w:tentative="1">
      <w:start w:val="1"/>
      <w:numFmt w:val="lowerLetter"/>
      <w:lvlText w:val="%5."/>
      <w:lvlJc w:val="left"/>
      <w:pPr>
        <w:ind w:left="3645" w:hanging="360"/>
      </w:pPr>
    </w:lvl>
    <w:lvl w:ilvl="5" w:tplc="FFFFFFFF" w:tentative="1">
      <w:start w:val="1"/>
      <w:numFmt w:val="lowerRoman"/>
      <w:lvlText w:val="%6."/>
      <w:lvlJc w:val="right"/>
      <w:pPr>
        <w:ind w:left="4365" w:hanging="180"/>
      </w:pPr>
    </w:lvl>
    <w:lvl w:ilvl="6" w:tplc="FFFFFFFF" w:tentative="1">
      <w:start w:val="1"/>
      <w:numFmt w:val="decimal"/>
      <w:lvlText w:val="%7."/>
      <w:lvlJc w:val="left"/>
      <w:pPr>
        <w:ind w:left="5085" w:hanging="360"/>
      </w:pPr>
    </w:lvl>
    <w:lvl w:ilvl="7" w:tplc="FFFFFFFF" w:tentative="1">
      <w:start w:val="1"/>
      <w:numFmt w:val="lowerLetter"/>
      <w:lvlText w:val="%8."/>
      <w:lvlJc w:val="left"/>
      <w:pPr>
        <w:ind w:left="5805" w:hanging="360"/>
      </w:pPr>
    </w:lvl>
    <w:lvl w:ilvl="8" w:tplc="FFFFFFFF" w:tentative="1">
      <w:start w:val="1"/>
      <w:numFmt w:val="lowerRoman"/>
      <w:lvlText w:val="%9."/>
      <w:lvlJc w:val="right"/>
      <w:pPr>
        <w:ind w:left="6525" w:hanging="180"/>
      </w:pPr>
    </w:lvl>
  </w:abstractNum>
  <w:abstractNum w:abstractNumId="52" w15:restartNumberingAfterBreak="0">
    <w:nsid w:val="72F97B51"/>
    <w:multiLevelType w:val="hybridMultilevel"/>
    <w:tmpl w:val="6A3E44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73107305"/>
    <w:multiLevelType w:val="multilevel"/>
    <w:tmpl w:val="A6FA45D0"/>
    <w:styleLink w:val="BulletsList"/>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4" w15:restartNumberingAfterBreak="0">
    <w:nsid w:val="738C252A"/>
    <w:multiLevelType w:val="hybridMultilevel"/>
    <w:tmpl w:val="C700C0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74460596"/>
    <w:multiLevelType w:val="hybridMultilevel"/>
    <w:tmpl w:val="EFE276CE"/>
    <w:lvl w:ilvl="0" w:tplc="70F62926">
      <w:start w:val="1"/>
      <w:numFmt w:val="upperLetter"/>
      <w:lvlText w:val="%1."/>
      <w:lvlJc w:val="left"/>
      <w:pPr>
        <w:ind w:left="576" w:hanging="360"/>
      </w:pPr>
      <w:rPr>
        <w:rFonts w:hint="default"/>
      </w:rPr>
    </w:lvl>
    <w:lvl w:ilvl="1" w:tplc="0C090019" w:tentative="1">
      <w:start w:val="1"/>
      <w:numFmt w:val="lowerLetter"/>
      <w:lvlText w:val="%2."/>
      <w:lvlJc w:val="left"/>
      <w:pPr>
        <w:ind w:left="1296" w:hanging="360"/>
      </w:pPr>
    </w:lvl>
    <w:lvl w:ilvl="2" w:tplc="0C09001B" w:tentative="1">
      <w:start w:val="1"/>
      <w:numFmt w:val="lowerRoman"/>
      <w:lvlText w:val="%3."/>
      <w:lvlJc w:val="right"/>
      <w:pPr>
        <w:ind w:left="2016" w:hanging="180"/>
      </w:pPr>
    </w:lvl>
    <w:lvl w:ilvl="3" w:tplc="0C09000F" w:tentative="1">
      <w:start w:val="1"/>
      <w:numFmt w:val="decimal"/>
      <w:lvlText w:val="%4."/>
      <w:lvlJc w:val="left"/>
      <w:pPr>
        <w:ind w:left="2736" w:hanging="360"/>
      </w:pPr>
    </w:lvl>
    <w:lvl w:ilvl="4" w:tplc="0C090019" w:tentative="1">
      <w:start w:val="1"/>
      <w:numFmt w:val="lowerLetter"/>
      <w:lvlText w:val="%5."/>
      <w:lvlJc w:val="left"/>
      <w:pPr>
        <w:ind w:left="3456" w:hanging="360"/>
      </w:pPr>
    </w:lvl>
    <w:lvl w:ilvl="5" w:tplc="0C09001B" w:tentative="1">
      <w:start w:val="1"/>
      <w:numFmt w:val="lowerRoman"/>
      <w:lvlText w:val="%6."/>
      <w:lvlJc w:val="right"/>
      <w:pPr>
        <w:ind w:left="4176" w:hanging="180"/>
      </w:pPr>
    </w:lvl>
    <w:lvl w:ilvl="6" w:tplc="0C09000F" w:tentative="1">
      <w:start w:val="1"/>
      <w:numFmt w:val="decimal"/>
      <w:lvlText w:val="%7."/>
      <w:lvlJc w:val="left"/>
      <w:pPr>
        <w:ind w:left="4896" w:hanging="360"/>
      </w:pPr>
    </w:lvl>
    <w:lvl w:ilvl="7" w:tplc="0C090019" w:tentative="1">
      <w:start w:val="1"/>
      <w:numFmt w:val="lowerLetter"/>
      <w:lvlText w:val="%8."/>
      <w:lvlJc w:val="left"/>
      <w:pPr>
        <w:ind w:left="5616" w:hanging="360"/>
      </w:pPr>
    </w:lvl>
    <w:lvl w:ilvl="8" w:tplc="0C09001B" w:tentative="1">
      <w:start w:val="1"/>
      <w:numFmt w:val="lowerRoman"/>
      <w:lvlText w:val="%9."/>
      <w:lvlJc w:val="right"/>
      <w:pPr>
        <w:ind w:left="6336" w:hanging="180"/>
      </w:pPr>
    </w:lvl>
  </w:abstractNum>
  <w:abstractNum w:abstractNumId="56" w15:restartNumberingAfterBreak="0">
    <w:nsid w:val="75C673A8"/>
    <w:multiLevelType w:val="hybridMultilevel"/>
    <w:tmpl w:val="4886BAC2"/>
    <w:lvl w:ilvl="0" w:tplc="1D662FA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8" w15:restartNumberingAfterBreak="0">
    <w:nsid w:val="79AD3BD4"/>
    <w:multiLevelType w:val="hybridMultilevel"/>
    <w:tmpl w:val="F3768E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9" w15:restartNumberingAfterBreak="0">
    <w:nsid w:val="7AB079E0"/>
    <w:multiLevelType w:val="hybridMultilevel"/>
    <w:tmpl w:val="DCF4323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7CE405CD"/>
    <w:multiLevelType w:val="hybridMultilevel"/>
    <w:tmpl w:val="47E0DF08"/>
    <w:lvl w:ilvl="0" w:tplc="551C99C8">
      <w:start w:val="1"/>
      <w:numFmt w:val="decimal"/>
      <w:lvlText w:val="%1."/>
      <w:lvlJc w:val="left"/>
      <w:pPr>
        <w:ind w:left="360" w:hanging="360"/>
      </w:pPr>
      <w:rPr>
        <w:rFonts w:hint="default"/>
        <w:b w:val="0"/>
        <w:i w:val="0"/>
        <w:strike w:val="0"/>
      </w:rPr>
    </w:lvl>
    <w:lvl w:ilvl="1" w:tplc="04090001">
      <w:start w:val="1"/>
      <w:numFmt w:val="bullet"/>
      <w:lvlText w:val=""/>
      <w:lvlJc w:val="left"/>
      <w:pPr>
        <w:ind w:left="1440" w:hanging="360"/>
      </w:pPr>
      <w:rPr>
        <w:rFonts w:ascii="Symbol" w:hAnsi="Symbol" w:hint="default"/>
      </w:rPr>
    </w:lvl>
    <w:lvl w:ilvl="2" w:tplc="F2AC63FC">
      <w:start w:val="1"/>
      <w:numFmt w:val="lowerLetter"/>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D5A3EF5"/>
    <w:multiLevelType w:val="hybridMultilevel"/>
    <w:tmpl w:val="63B6ACB2"/>
    <w:lvl w:ilvl="0" w:tplc="9F60CBC2">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F0128EB"/>
    <w:multiLevelType w:val="hybridMultilevel"/>
    <w:tmpl w:val="015C81DC"/>
    <w:lvl w:ilvl="0" w:tplc="17768A98">
      <w:start w:val="1"/>
      <w:numFmt w:val="bullet"/>
      <w:lvlText w:val="›"/>
      <w:lvlJc w:val="left"/>
      <w:pPr>
        <w:ind w:left="1440" w:hanging="360"/>
      </w:pPr>
      <w:rPr>
        <w:rFonts w:ascii="Times New Roman" w:hAnsi="Times New Roman" w:cs="Times New Roman" w:hint="default"/>
        <w:color w:val="495965"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F7A528B"/>
    <w:multiLevelType w:val="hybridMultilevel"/>
    <w:tmpl w:val="A39658C0"/>
    <w:lvl w:ilvl="0" w:tplc="7B640FF6">
      <w:start w:val="1"/>
      <w:numFmt w:val="bullet"/>
      <w:pStyle w:val="ListBullet"/>
      <w:lvlText w:val="›"/>
      <w:lvlJc w:val="left"/>
      <w:pPr>
        <w:ind w:left="786" w:hanging="360"/>
      </w:pPr>
      <w:rPr>
        <w:rFonts w:ascii="Times New Roman" w:hAnsi="Times New Roman" w:cs="Times New Roman" w:hint="default"/>
        <w:color w:val="auto"/>
        <w:position w:val="3"/>
      </w:rPr>
    </w:lvl>
    <w:lvl w:ilvl="1" w:tplc="FFFFFFFF">
      <w:start w:val="1"/>
      <w:numFmt w:val="bullet"/>
      <w:lvlText w:val="o"/>
      <w:lvlJc w:val="left"/>
      <w:pPr>
        <w:tabs>
          <w:tab w:val="num" w:pos="2150"/>
        </w:tabs>
        <w:ind w:left="2150" w:hanging="360"/>
      </w:pPr>
      <w:rPr>
        <w:rFonts w:ascii="Courier New" w:hAnsi="Courier New" w:cs="Courier New" w:hint="default"/>
      </w:rPr>
    </w:lvl>
    <w:lvl w:ilvl="2" w:tplc="FFFFFFFF" w:tentative="1">
      <w:start w:val="1"/>
      <w:numFmt w:val="bullet"/>
      <w:lvlText w:val=""/>
      <w:lvlJc w:val="left"/>
      <w:pPr>
        <w:tabs>
          <w:tab w:val="num" w:pos="2870"/>
        </w:tabs>
        <w:ind w:left="2870" w:hanging="360"/>
      </w:pPr>
      <w:rPr>
        <w:rFonts w:ascii="Wingdings" w:hAnsi="Wingdings" w:hint="default"/>
      </w:rPr>
    </w:lvl>
    <w:lvl w:ilvl="3" w:tplc="FFFFFFFF" w:tentative="1">
      <w:start w:val="1"/>
      <w:numFmt w:val="bullet"/>
      <w:lvlText w:val=""/>
      <w:lvlJc w:val="left"/>
      <w:pPr>
        <w:tabs>
          <w:tab w:val="num" w:pos="3590"/>
        </w:tabs>
        <w:ind w:left="3590" w:hanging="360"/>
      </w:pPr>
      <w:rPr>
        <w:rFonts w:ascii="Symbol" w:hAnsi="Symbol" w:hint="default"/>
      </w:rPr>
    </w:lvl>
    <w:lvl w:ilvl="4" w:tplc="FFFFFFFF" w:tentative="1">
      <w:start w:val="1"/>
      <w:numFmt w:val="bullet"/>
      <w:lvlText w:val="o"/>
      <w:lvlJc w:val="left"/>
      <w:pPr>
        <w:tabs>
          <w:tab w:val="num" w:pos="4310"/>
        </w:tabs>
        <w:ind w:left="4310" w:hanging="360"/>
      </w:pPr>
      <w:rPr>
        <w:rFonts w:ascii="Courier New" w:hAnsi="Courier New" w:cs="Courier New" w:hint="default"/>
      </w:rPr>
    </w:lvl>
    <w:lvl w:ilvl="5" w:tplc="FFFFFFFF" w:tentative="1">
      <w:start w:val="1"/>
      <w:numFmt w:val="bullet"/>
      <w:lvlText w:val=""/>
      <w:lvlJc w:val="left"/>
      <w:pPr>
        <w:tabs>
          <w:tab w:val="num" w:pos="5030"/>
        </w:tabs>
        <w:ind w:left="5030" w:hanging="360"/>
      </w:pPr>
      <w:rPr>
        <w:rFonts w:ascii="Wingdings" w:hAnsi="Wingdings" w:hint="default"/>
      </w:rPr>
    </w:lvl>
    <w:lvl w:ilvl="6" w:tplc="FFFFFFFF" w:tentative="1">
      <w:start w:val="1"/>
      <w:numFmt w:val="bullet"/>
      <w:lvlText w:val=""/>
      <w:lvlJc w:val="left"/>
      <w:pPr>
        <w:tabs>
          <w:tab w:val="num" w:pos="5750"/>
        </w:tabs>
        <w:ind w:left="5750" w:hanging="360"/>
      </w:pPr>
      <w:rPr>
        <w:rFonts w:ascii="Symbol" w:hAnsi="Symbol" w:hint="default"/>
      </w:rPr>
    </w:lvl>
    <w:lvl w:ilvl="7" w:tplc="FFFFFFFF" w:tentative="1">
      <w:start w:val="1"/>
      <w:numFmt w:val="bullet"/>
      <w:lvlText w:val="o"/>
      <w:lvlJc w:val="left"/>
      <w:pPr>
        <w:tabs>
          <w:tab w:val="num" w:pos="6470"/>
        </w:tabs>
        <w:ind w:left="6470" w:hanging="360"/>
      </w:pPr>
      <w:rPr>
        <w:rFonts w:ascii="Courier New" w:hAnsi="Courier New" w:cs="Courier New" w:hint="default"/>
      </w:rPr>
    </w:lvl>
    <w:lvl w:ilvl="8" w:tplc="FFFFFFFF" w:tentative="1">
      <w:start w:val="1"/>
      <w:numFmt w:val="bullet"/>
      <w:lvlText w:val=""/>
      <w:lvlJc w:val="left"/>
      <w:pPr>
        <w:tabs>
          <w:tab w:val="num" w:pos="7190"/>
        </w:tabs>
        <w:ind w:left="7190" w:hanging="360"/>
      </w:pPr>
      <w:rPr>
        <w:rFonts w:ascii="Wingdings" w:hAnsi="Wingdings" w:hint="default"/>
      </w:rPr>
    </w:lvl>
  </w:abstractNum>
  <w:num w:numId="1" w16cid:durableId="1472945394">
    <w:abstractNumId w:val="53"/>
  </w:num>
  <w:num w:numId="2" w16cid:durableId="1834563949">
    <w:abstractNumId w:val="3"/>
  </w:num>
  <w:num w:numId="3" w16cid:durableId="302514940">
    <w:abstractNumId w:val="21"/>
  </w:num>
  <w:num w:numId="4" w16cid:durableId="1994142224">
    <w:abstractNumId w:val="41"/>
  </w:num>
  <w:num w:numId="5" w16cid:durableId="1504861144">
    <w:abstractNumId w:val="45"/>
  </w:num>
  <w:num w:numId="6" w16cid:durableId="1784029512">
    <w:abstractNumId w:val="21"/>
  </w:num>
  <w:num w:numId="7" w16cid:durableId="1367678256">
    <w:abstractNumId w:val="3"/>
  </w:num>
  <w:num w:numId="8" w16cid:durableId="1653021407">
    <w:abstractNumId w:val="11"/>
  </w:num>
  <w:num w:numId="9" w16cid:durableId="110521312">
    <w:abstractNumId w:val="57"/>
  </w:num>
  <w:num w:numId="10" w16cid:durableId="1643537702">
    <w:abstractNumId w:val="25"/>
  </w:num>
  <w:num w:numId="11" w16cid:durableId="1934167818">
    <w:abstractNumId w:val="50"/>
  </w:num>
  <w:num w:numId="12" w16cid:durableId="54356656">
    <w:abstractNumId w:val="63"/>
  </w:num>
  <w:num w:numId="13" w16cid:durableId="1060791728">
    <w:abstractNumId w:val="24"/>
  </w:num>
  <w:num w:numId="14" w16cid:durableId="1590575808">
    <w:abstractNumId w:val="46"/>
  </w:num>
  <w:num w:numId="15" w16cid:durableId="1197936685">
    <w:abstractNumId w:val="15"/>
  </w:num>
  <w:num w:numId="16" w16cid:durableId="994454717">
    <w:abstractNumId w:val="8"/>
  </w:num>
  <w:num w:numId="17" w16cid:durableId="1202552781">
    <w:abstractNumId w:val="18"/>
  </w:num>
  <w:num w:numId="18" w16cid:durableId="1225946661">
    <w:abstractNumId w:val="31"/>
  </w:num>
  <w:num w:numId="19" w16cid:durableId="491137933">
    <w:abstractNumId w:val="48"/>
  </w:num>
  <w:num w:numId="20" w16cid:durableId="412092032">
    <w:abstractNumId w:val="2"/>
  </w:num>
  <w:num w:numId="21" w16cid:durableId="1145508104">
    <w:abstractNumId w:val="20"/>
  </w:num>
  <w:num w:numId="22" w16cid:durableId="1798912955">
    <w:abstractNumId w:val="32"/>
  </w:num>
  <w:num w:numId="23" w16cid:durableId="419060737">
    <w:abstractNumId w:val="44"/>
  </w:num>
  <w:num w:numId="24" w16cid:durableId="1712264388">
    <w:abstractNumId w:val="28"/>
  </w:num>
  <w:num w:numId="25" w16cid:durableId="441851062">
    <w:abstractNumId w:val="60"/>
  </w:num>
  <w:num w:numId="26" w16cid:durableId="795485404">
    <w:abstractNumId w:val="56"/>
  </w:num>
  <w:num w:numId="27" w16cid:durableId="1971937129">
    <w:abstractNumId w:val="14"/>
  </w:num>
  <w:num w:numId="28" w16cid:durableId="2085369346">
    <w:abstractNumId w:val="26"/>
  </w:num>
  <w:num w:numId="29" w16cid:durableId="682976298">
    <w:abstractNumId w:val="16"/>
  </w:num>
  <w:num w:numId="30" w16cid:durableId="1098720135">
    <w:abstractNumId w:val="33"/>
  </w:num>
  <w:num w:numId="31" w16cid:durableId="1265917948">
    <w:abstractNumId w:val="10"/>
  </w:num>
  <w:num w:numId="32" w16cid:durableId="2070958082">
    <w:abstractNumId w:val="23"/>
  </w:num>
  <w:num w:numId="33" w16cid:durableId="1970551605">
    <w:abstractNumId w:val="19"/>
  </w:num>
  <w:num w:numId="34" w16cid:durableId="962729035">
    <w:abstractNumId w:val="29"/>
  </w:num>
  <w:num w:numId="35" w16cid:durableId="14221376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95638342">
    <w:abstractNumId w:val="27"/>
  </w:num>
  <w:num w:numId="37" w16cid:durableId="1082416095">
    <w:abstractNumId w:val="35"/>
  </w:num>
  <w:num w:numId="38" w16cid:durableId="1662077384">
    <w:abstractNumId w:val="13"/>
  </w:num>
  <w:num w:numId="39" w16cid:durableId="821503871">
    <w:abstractNumId w:val="7"/>
  </w:num>
  <w:num w:numId="40" w16cid:durableId="582376088">
    <w:abstractNumId w:val="37"/>
  </w:num>
  <w:num w:numId="41" w16cid:durableId="1980070546">
    <w:abstractNumId w:val="6"/>
  </w:num>
  <w:num w:numId="42" w16cid:durableId="1488126782">
    <w:abstractNumId w:val="47"/>
  </w:num>
  <w:num w:numId="43" w16cid:durableId="266352308">
    <w:abstractNumId w:val="42"/>
  </w:num>
  <w:num w:numId="44" w16cid:durableId="1947344576">
    <w:abstractNumId w:val="49"/>
  </w:num>
  <w:num w:numId="45" w16cid:durableId="2095861757">
    <w:abstractNumId w:val="58"/>
  </w:num>
  <w:num w:numId="46" w16cid:durableId="2085641334">
    <w:abstractNumId w:val="9"/>
  </w:num>
  <w:num w:numId="47" w16cid:durableId="946813785">
    <w:abstractNumId w:val="5"/>
  </w:num>
  <w:num w:numId="48" w16cid:durableId="197937479">
    <w:abstractNumId w:val="43"/>
  </w:num>
  <w:num w:numId="49" w16cid:durableId="1598902431">
    <w:abstractNumId w:val="36"/>
  </w:num>
  <w:num w:numId="50" w16cid:durableId="1535842906">
    <w:abstractNumId w:val="59"/>
  </w:num>
  <w:num w:numId="51" w16cid:durableId="743987875">
    <w:abstractNumId w:val="38"/>
  </w:num>
  <w:num w:numId="52" w16cid:durableId="1517885652">
    <w:abstractNumId w:val="51"/>
  </w:num>
  <w:num w:numId="53" w16cid:durableId="1735468575">
    <w:abstractNumId w:val="55"/>
  </w:num>
  <w:num w:numId="54" w16cid:durableId="1570916523">
    <w:abstractNumId w:val="0"/>
  </w:num>
  <w:num w:numId="55" w16cid:durableId="910116973">
    <w:abstractNumId w:val="4"/>
  </w:num>
  <w:num w:numId="56" w16cid:durableId="1904292541">
    <w:abstractNumId w:val="30"/>
  </w:num>
  <w:num w:numId="57" w16cid:durableId="843667322">
    <w:abstractNumId w:val="12"/>
  </w:num>
  <w:num w:numId="58" w16cid:durableId="718358680">
    <w:abstractNumId w:val="34"/>
  </w:num>
  <w:num w:numId="59" w16cid:durableId="1181235892">
    <w:abstractNumId w:val="1"/>
  </w:num>
  <w:num w:numId="60" w16cid:durableId="265235811">
    <w:abstractNumId w:val="62"/>
  </w:num>
  <w:num w:numId="61" w16cid:durableId="1554342099">
    <w:abstractNumId w:val="40"/>
  </w:num>
  <w:num w:numId="62" w16cid:durableId="941373047">
    <w:abstractNumId w:val="17"/>
  </w:num>
  <w:num w:numId="63" w16cid:durableId="1491289782">
    <w:abstractNumId w:val="39"/>
  </w:num>
  <w:num w:numId="64" w16cid:durableId="1516265009">
    <w:abstractNumId w:val="61"/>
  </w:num>
  <w:num w:numId="65" w16cid:durableId="388958481">
    <w:abstractNumId w:val="52"/>
  </w:num>
  <w:num w:numId="66" w16cid:durableId="434523764">
    <w:abstractNumId w:val="5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AAF"/>
    <w:rsid w:val="00000A05"/>
    <w:rsid w:val="00000F2E"/>
    <w:rsid w:val="00000FE0"/>
    <w:rsid w:val="00001DA8"/>
    <w:rsid w:val="000020C1"/>
    <w:rsid w:val="0000212C"/>
    <w:rsid w:val="00002411"/>
    <w:rsid w:val="0000249F"/>
    <w:rsid w:val="00002824"/>
    <w:rsid w:val="000033F4"/>
    <w:rsid w:val="0000380A"/>
    <w:rsid w:val="00004978"/>
    <w:rsid w:val="00006253"/>
    <w:rsid w:val="00006376"/>
    <w:rsid w:val="00006FA9"/>
    <w:rsid w:val="0000753F"/>
    <w:rsid w:val="00007699"/>
    <w:rsid w:val="0001125B"/>
    <w:rsid w:val="00011321"/>
    <w:rsid w:val="00011849"/>
    <w:rsid w:val="00011A9C"/>
    <w:rsid w:val="00011E0E"/>
    <w:rsid w:val="0001294F"/>
    <w:rsid w:val="00013C76"/>
    <w:rsid w:val="000142D2"/>
    <w:rsid w:val="00014606"/>
    <w:rsid w:val="000154BD"/>
    <w:rsid w:val="00015662"/>
    <w:rsid w:val="00015F83"/>
    <w:rsid w:val="000161F0"/>
    <w:rsid w:val="00016428"/>
    <w:rsid w:val="00016944"/>
    <w:rsid w:val="00016B46"/>
    <w:rsid w:val="000171DB"/>
    <w:rsid w:val="00017E90"/>
    <w:rsid w:val="000200E2"/>
    <w:rsid w:val="000201BC"/>
    <w:rsid w:val="0002064E"/>
    <w:rsid w:val="000207CB"/>
    <w:rsid w:val="0002080A"/>
    <w:rsid w:val="00020BA8"/>
    <w:rsid w:val="00020D73"/>
    <w:rsid w:val="00020FB5"/>
    <w:rsid w:val="00021928"/>
    <w:rsid w:val="00021A3C"/>
    <w:rsid w:val="00021E92"/>
    <w:rsid w:val="00022066"/>
    <w:rsid w:val="000242EA"/>
    <w:rsid w:val="000245C2"/>
    <w:rsid w:val="000246AB"/>
    <w:rsid w:val="00024F0A"/>
    <w:rsid w:val="0002593F"/>
    <w:rsid w:val="000261A6"/>
    <w:rsid w:val="000276A7"/>
    <w:rsid w:val="000277AB"/>
    <w:rsid w:val="0002782F"/>
    <w:rsid w:val="0002794C"/>
    <w:rsid w:val="000305EE"/>
    <w:rsid w:val="00030609"/>
    <w:rsid w:val="00031399"/>
    <w:rsid w:val="00031483"/>
    <w:rsid w:val="000317BE"/>
    <w:rsid w:val="00032345"/>
    <w:rsid w:val="00032818"/>
    <w:rsid w:val="00032EA2"/>
    <w:rsid w:val="00032FBC"/>
    <w:rsid w:val="00033C10"/>
    <w:rsid w:val="00033CB1"/>
    <w:rsid w:val="000341DD"/>
    <w:rsid w:val="00034672"/>
    <w:rsid w:val="000349A5"/>
    <w:rsid w:val="00034DF7"/>
    <w:rsid w:val="00034EB9"/>
    <w:rsid w:val="00035BBF"/>
    <w:rsid w:val="00036481"/>
    <w:rsid w:val="00036601"/>
    <w:rsid w:val="0004098A"/>
    <w:rsid w:val="00040FE5"/>
    <w:rsid w:val="00041528"/>
    <w:rsid w:val="00041C02"/>
    <w:rsid w:val="00042275"/>
    <w:rsid w:val="0004239A"/>
    <w:rsid w:val="000423A9"/>
    <w:rsid w:val="0004269E"/>
    <w:rsid w:val="00042812"/>
    <w:rsid w:val="000433DB"/>
    <w:rsid w:val="000442EE"/>
    <w:rsid w:val="00044BC1"/>
    <w:rsid w:val="000455D3"/>
    <w:rsid w:val="00045F1D"/>
    <w:rsid w:val="00046218"/>
    <w:rsid w:val="000463E6"/>
    <w:rsid w:val="00046B8C"/>
    <w:rsid w:val="00046DF5"/>
    <w:rsid w:val="00046E51"/>
    <w:rsid w:val="00047035"/>
    <w:rsid w:val="00047255"/>
    <w:rsid w:val="00047B48"/>
    <w:rsid w:val="000502F0"/>
    <w:rsid w:val="00050450"/>
    <w:rsid w:val="00050806"/>
    <w:rsid w:val="00051748"/>
    <w:rsid w:val="00051A02"/>
    <w:rsid w:val="00051C42"/>
    <w:rsid w:val="00051CD2"/>
    <w:rsid w:val="00051D21"/>
    <w:rsid w:val="000530E6"/>
    <w:rsid w:val="000532A9"/>
    <w:rsid w:val="00053CA2"/>
    <w:rsid w:val="00054426"/>
    <w:rsid w:val="000546D9"/>
    <w:rsid w:val="00054E4D"/>
    <w:rsid w:val="00055227"/>
    <w:rsid w:val="00055681"/>
    <w:rsid w:val="00055708"/>
    <w:rsid w:val="00055787"/>
    <w:rsid w:val="000561A7"/>
    <w:rsid w:val="00056BAA"/>
    <w:rsid w:val="00056E89"/>
    <w:rsid w:val="00057113"/>
    <w:rsid w:val="00057353"/>
    <w:rsid w:val="00057C7D"/>
    <w:rsid w:val="00057F79"/>
    <w:rsid w:val="0006003C"/>
    <w:rsid w:val="00060073"/>
    <w:rsid w:val="000600BB"/>
    <w:rsid w:val="00060EF1"/>
    <w:rsid w:val="00061242"/>
    <w:rsid w:val="000616C6"/>
    <w:rsid w:val="000620A0"/>
    <w:rsid w:val="00063048"/>
    <w:rsid w:val="0006355A"/>
    <w:rsid w:val="00064881"/>
    <w:rsid w:val="00064E44"/>
    <w:rsid w:val="00064E8C"/>
    <w:rsid w:val="0006546C"/>
    <w:rsid w:val="0006547F"/>
    <w:rsid w:val="00065933"/>
    <w:rsid w:val="000659A4"/>
    <w:rsid w:val="00065BC4"/>
    <w:rsid w:val="00065E34"/>
    <w:rsid w:val="00066A56"/>
    <w:rsid w:val="00066AE2"/>
    <w:rsid w:val="00067004"/>
    <w:rsid w:val="000701A3"/>
    <w:rsid w:val="000712A4"/>
    <w:rsid w:val="00071440"/>
    <w:rsid w:val="000715A4"/>
    <w:rsid w:val="00071BE8"/>
    <w:rsid w:val="00072633"/>
    <w:rsid w:val="000727E6"/>
    <w:rsid w:val="00072A0F"/>
    <w:rsid w:val="00073F2A"/>
    <w:rsid w:val="000744F6"/>
    <w:rsid w:val="00074639"/>
    <w:rsid w:val="00074E4E"/>
    <w:rsid w:val="000755CE"/>
    <w:rsid w:val="0007598F"/>
    <w:rsid w:val="00076F90"/>
    <w:rsid w:val="000773F2"/>
    <w:rsid w:val="00080035"/>
    <w:rsid w:val="00080301"/>
    <w:rsid w:val="0008045A"/>
    <w:rsid w:val="000809F8"/>
    <w:rsid w:val="00080D12"/>
    <w:rsid w:val="00080DC3"/>
    <w:rsid w:val="000812BE"/>
    <w:rsid w:val="000813F1"/>
    <w:rsid w:val="00081663"/>
    <w:rsid w:val="00081BA3"/>
    <w:rsid w:val="00081CE6"/>
    <w:rsid w:val="00081EC2"/>
    <w:rsid w:val="000823FD"/>
    <w:rsid w:val="00082E90"/>
    <w:rsid w:val="00082FD3"/>
    <w:rsid w:val="0008330F"/>
    <w:rsid w:val="00083509"/>
    <w:rsid w:val="00083EA2"/>
    <w:rsid w:val="00084CA2"/>
    <w:rsid w:val="00084E32"/>
    <w:rsid w:val="000853CF"/>
    <w:rsid w:val="000854FD"/>
    <w:rsid w:val="00085800"/>
    <w:rsid w:val="00085A57"/>
    <w:rsid w:val="00085C4E"/>
    <w:rsid w:val="00085D0C"/>
    <w:rsid w:val="00085D71"/>
    <w:rsid w:val="000869F5"/>
    <w:rsid w:val="00086BD1"/>
    <w:rsid w:val="00086BEF"/>
    <w:rsid w:val="000914E7"/>
    <w:rsid w:val="0009164E"/>
    <w:rsid w:val="00092330"/>
    <w:rsid w:val="00095380"/>
    <w:rsid w:val="000954B0"/>
    <w:rsid w:val="0009593D"/>
    <w:rsid w:val="00095C90"/>
    <w:rsid w:val="0009608A"/>
    <w:rsid w:val="00096134"/>
    <w:rsid w:val="00096240"/>
    <w:rsid w:val="00096BF2"/>
    <w:rsid w:val="00096FC6"/>
    <w:rsid w:val="0009718F"/>
    <w:rsid w:val="000977FF"/>
    <w:rsid w:val="000978BE"/>
    <w:rsid w:val="00097948"/>
    <w:rsid w:val="00097C16"/>
    <w:rsid w:val="00097C74"/>
    <w:rsid w:val="000A0CF7"/>
    <w:rsid w:val="000A2638"/>
    <w:rsid w:val="000A2779"/>
    <w:rsid w:val="000A2C3E"/>
    <w:rsid w:val="000A2C91"/>
    <w:rsid w:val="000A2E4C"/>
    <w:rsid w:val="000A333F"/>
    <w:rsid w:val="000A3A42"/>
    <w:rsid w:val="000A4390"/>
    <w:rsid w:val="000A4703"/>
    <w:rsid w:val="000A48CB"/>
    <w:rsid w:val="000A58CB"/>
    <w:rsid w:val="000A711E"/>
    <w:rsid w:val="000A7DC9"/>
    <w:rsid w:val="000B0C6F"/>
    <w:rsid w:val="000B0D6E"/>
    <w:rsid w:val="000B1EB7"/>
    <w:rsid w:val="000B37F5"/>
    <w:rsid w:val="000B3805"/>
    <w:rsid w:val="000B383D"/>
    <w:rsid w:val="000B39F0"/>
    <w:rsid w:val="000B4C07"/>
    <w:rsid w:val="000B4FEC"/>
    <w:rsid w:val="000B5EA2"/>
    <w:rsid w:val="000B5F55"/>
    <w:rsid w:val="000B64A2"/>
    <w:rsid w:val="000B6654"/>
    <w:rsid w:val="000B7B2B"/>
    <w:rsid w:val="000C052C"/>
    <w:rsid w:val="000C0A8F"/>
    <w:rsid w:val="000C0E61"/>
    <w:rsid w:val="000C0F14"/>
    <w:rsid w:val="000C1EAB"/>
    <w:rsid w:val="000C2FA5"/>
    <w:rsid w:val="000C358C"/>
    <w:rsid w:val="000C4870"/>
    <w:rsid w:val="000C48AF"/>
    <w:rsid w:val="000C54CD"/>
    <w:rsid w:val="000C65EE"/>
    <w:rsid w:val="000C6A66"/>
    <w:rsid w:val="000D04EE"/>
    <w:rsid w:val="000D0F55"/>
    <w:rsid w:val="000D13F1"/>
    <w:rsid w:val="000D149E"/>
    <w:rsid w:val="000D166D"/>
    <w:rsid w:val="000D1C4C"/>
    <w:rsid w:val="000D1E41"/>
    <w:rsid w:val="000D1F53"/>
    <w:rsid w:val="000D1FFC"/>
    <w:rsid w:val="000D250E"/>
    <w:rsid w:val="000D28B4"/>
    <w:rsid w:val="000D4B81"/>
    <w:rsid w:val="000D5CDB"/>
    <w:rsid w:val="000D66D6"/>
    <w:rsid w:val="000D69F9"/>
    <w:rsid w:val="000D7583"/>
    <w:rsid w:val="000D75EF"/>
    <w:rsid w:val="000D7CB9"/>
    <w:rsid w:val="000E074B"/>
    <w:rsid w:val="000E0AC4"/>
    <w:rsid w:val="000E1D03"/>
    <w:rsid w:val="000E22CE"/>
    <w:rsid w:val="000E28D4"/>
    <w:rsid w:val="000E2BDD"/>
    <w:rsid w:val="000E2FDA"/>
    <w:rsid w:val="000E3F10"/>
    <w:rsid w:val="000E48D6"/>
    <w:rsid w:val="000E48F1"/>
    <w:rsid w:val="000E4A7F"/>
    <w:rsid w:val="000E5281"/>
    <w:rsid w:val="000E5C4E"/>
    <w:rsid w:val="000E74CE"/>
    <w:rsid w:val="000E7865"/>
    <w:rsid w:val="000E7C77"/>
    <w:rsid w:val="000F03AA"/>
    <w:rsid w:val="000F0531"/>
    <w:rsid w:val="000F05CB"/>
    <w:rsid w:val="000F064F"/>
    <w:rsid w:val="000F06C5"/>
    <w:rsid w:val="000F136E"/>
    <w:rsid w:val="000F1B18"/>
    <w:rsid w:val="000F1B80"/>
    <w:rsid w:val="000F2025"/>
    <w:rsid w:val="000F2C2A"/>
    <w:rsid w:val="000F3366"/>
    <w:rsid w:val="000F35D3"/>
    <w:rsid w:val="000F409A"/>
    <w:rsid w:val="000F49B1"/>
    <w:rsid w:val="000F4E14"/>
    <w:rsid w:val="000F5898"/>
    <w:rsid w:val="000F66BD"/>
    <w:rsid w:val="000F715C"/>
    <w:rsid w:val="000F7411"/>
    <w:rsid w:val="00100266"/>
    <w:rsid w:val="001004EA"/>
    <w:rsid w:val="00100560"/>
    <w:rsid w:val="00100C9D"/>
    <w:rsid w:val="00101362"/>
    <w:rsid w:val="00101A15"/>
    <w:rsid w:val="0010201A"/>
    <w:rsid w:val="001031F4"/>
    <w:rsid w:val="001036E6"/>
    <w:rsid w:val="00104BF2"/>
    <w:rsid w:val="00104D3C"/>
    <w:rsid w:val="00106632"/>
    <w:rsid w:val="0010705B"/>
    <w:rsid w:val="001076F9"/>
    <w:rsid w:val="00107A83"/>
    <w:rsid w:val="001103D5"/>
    <w:rsid w:val="0011095C"/>
    <w:rsid w:val="001110E5"/>
    <w:rsid w:val="00111148"/>
    <w:rsid w:val="001117C1"/>
    <w:rsid w:val="0011180A"/>
    <w:rsid w:val="00111999"/>
    <w:rsid w:val="00111CBC"/>
    <w:rsid w:val="00112229"/>
    <w:rsid w:val="00112B4E"/>
    <w:rsid w:val="00112E4D"/>
    <w:rsid w:val="00113288"/>
    <w:rsid w:val="001135A0"/>
    <w:rsid w:val="00113AE8"/>
    <w:rsid w:val="001147A1"/>
    <w:rsid w:val="00115015"/>
    <w:rsid w:val="00115717"/>
    <w:rsid w:val="00115884"/>
    <w:rsid w:val="0011624A"/>
    <w:rsid w:val="00116F63"/>
    <w:rsid w:val="001172E9"/>
    <w:rsid w:val="00117A90"/>
    <w:rsid w:val="00120572"/>
    <w:rsid w:val="00120B63"/>
    <w:rsid w:val="00121023"/>
    <w:rsid w:val="0012127A"/>
    <w:rsid w:val="001214BE"/>
    <w:rsid w:val="0012197E"/>
    <w:rsid w:val="0012293C"/>
    <w:rsid w:val="00123049"/>
    <w:rsid w:val="00123A2C"/>
    <w:rsid w:val="00123C9A"/>
    <w:rsid w:val="001241B7"/>
    <w:rsid w:val="00124647"/>
    <w:rsid w:val="001246D0"/>
    <w:rsid w:val="00124AE4"/>
    <w:rsid w:val="00124C17"/>
    <w:rsid w:val="001252BC"/>
    <w:rsid w:val="001258C9"/>
    <w:rsid w:val="00125B7E"/>
    <w:rsid w:val="00126AFB"/>
    <w:rsid w:val="00126D06"/>
    <w:rsid w:val="00126EFC"/>
    <w:rsid w:val="0013023B"/>
    <w:rsid w:val="00130A4A"/>
    <w:rsid w:val="0013101C"/>
    <w:rsid w:val="00131555"/>
    <w:rsid w:val="00131E5B"/>
    <w:rsid w:val="00133069"/>
    <w:rsid w:val="001332DD"/>
    <w:rsid w:val="001336FB"/>
    <w:rsid w:val="0013388B"/>
    <w:rsid w:val="00134F19"/>
    <w:rsid w:val="00134F9E"/>
    <w:rsid w:val="00135A78"/>
    <w:rsid w:val="00135E76"/>
    <w:rsid w:val="001362D6"/>
    <w:rsid w:val="001363F0"/>
    <w:rsid w:val="00136680"/>
    <w:rsid w:val="00136735"/>
    <w:rsid w:val="0013740D"/>
    <w:rsid w:val="0013743C"/>
    <w:rsid w:val="001378DB"/>
    <w:rsid w:val="00141063"/>
    <w:rsid w:val="00141C00"/>
    <w:rsid w:val="00142A22"/>
    <w:rsid w:val="00142EA0"/>
    <w:rsid w:val="001430E3"/>
    <w:rsid w:val="001431F2"/>
    <w:rsid w:val="001433E7"/>
    <w:rsid w:val="001438A5"/>
    <w:rsid w:val="00145B25"/>
    <w:rsid w:val="00145F07"/>
    <w:rsid w:val="001461D6"/>
    <w:rsid w:val="00147126"/>
    <w:rsid w:val="00150552"/>
    <w:rsid w:val="001510C5"/>
    <w:rsid w:val="001519D1"/>
    <w:rsid w:val="001521A7"/>
    <w:rsid w:val="00152572"/>
    <w:rsid w:val="00152CDF"/>
    <w:rsid w:val="00152EE5"/>
    <w:rsid w:val="00152FD3"/>
    <w:rsid w:val="001541EA"/>
    <w:rsid w:val="00154D0C"/>
    <w:rsid w:val="00155557"/>
    <w:rsid w:val="00155647"/>
    <w:rsid w:val="00155F95"/>
    <w:rsid w:val="00156235"/>
    <w:rsid w:val="001563CF"/>
    <w:rsid w:val="001567F7"/>
    <w:rsid w:val="001570D8"/>
    <w:rsid w:val="00157216"/>
    <w:rsid w:val="00160333"/>
    <w:rsid w:val="00160335"/>
    <w:rsid w:val="00161F4D"/>
    <w:rsid w:val="00162ED9"/>
    <w:rsid w:val="00163861"/>
    <w:rsid w:val="001640C9"/>
    <w:rsid w:val="001649E2"/>
    <w:rsid w:val="00164C64"/>
    <w:rsid w:val="00165779"/>
    <w:rsid w:val="00166239"/>
    <w:rsid w:val="00166545"/>
    <w:rsid w:val="001669EC"/>
    <w:rsid w:val="00166A96"/>
    <w:rsid w:val="00166CE4"/>
    <w:rsid w:val="001673DB"/>
    <w:rsid w:val="00167B01"/>
    <w:rsid w:val="00167B82"/>
    <w:rsid w:val="001704E1"/>
    <w:rsid w:val="00170958"/>
    <w:rsid w:val="00170C2F"/>
    <w:rsid w:val="0017202B"/>
    <w:rsid w:val="001722A6"/>
    <w:rsid w:val="001728EB"/>
    <w:rsid w:val="001744CA"/>
    <w:rsid w:val="001746B0"/>
    <w:rsid w:val="00175774"/>
    <w:rsid w:val="00177B10"/>
    <w:rsid w:val="001800B6"/>
    <w:rsid w:val="001800C4"/>
    <w:rsid w:val="00180258"/>
    <w:rsid w:val="001808B2"/>
    <w:rsid w:val="00180E41"/>
    <w:rsid w:val="00181B95"/>
    <w:rsid w:val="00182893"/>
    <w:rsid w:val="001846C4"/>
    <w:rsid w:val="00184E99"/>
    <w:rsid w:val="0018514C"/>
    <w:rsid w:val="001854EC"/>
    <w:rsid w:val="00185528"/>
    <w:rsid w:val="00185825"/>
    <w:rsid w:val="00185974"/>
    <w:rsid w:val="00185A47"/>
    <w:rsid w:val="00185B35"/>
    <w:rsid w:val="00185C55"/>
    <w:rsid w:val="0018615C"/>
    <w:rsid w:val="001862FE"/>
    <w:rsid w:val="00186731"/>
    <w:rsid w:val="001905B9"/>
    <w:rsid w:val="001906DA"/>
    <w:rsid w:val="00191377"/>
    <w:rsid w:val="00191836"/>
    <w:rsid w:val="00191B1A"/>
    <w:rsid w:val="00191B6C"/>
    <w:rsid w:val="00192C83"/>
    <w:rsid w:val="0019329A"/>
    <w:rsid w:val="001938A9"/>
    <w:rsid w:val="001939ED"/>
    <w:rsid w:val="00193A54"/>
    <w:rsid w:val="00194477"/>
    <w:rsid w:val="001946E7"/>
    <w:rsid w:val="001947E9"/>
    <w:rsid w:val="00194885"/>
    <w:rsid w:val="00194DC2"/>
    <w:rsid w:val="00195B63"/>
    <w:rsid w:val="001962CD"/>
    <w:rsid w:val="00196830"/>
    <w:rsid w:val="00197188"/>
    <w:rsid w:val="00197286"/>
    <w:rsid w:val="001973DC"/>
    <w:rsid w:val="001A0286"/>
    <w:rsid w:val="001A05BE"/>
    <w:rsid w:val="001A1042"/>
    <w:rsid w:val="001A138E"/>
    <w:rsid w:val="001A199A"/>
    <w:rsid w:val="001A1E50"/>
    <w:rsid w:val="001A2034"/>
    <w:rsid w:val="001A2890"/>
    <w:rsid w:val="001A3C61"/>
    <w:rsid w:val="001A4D4C"/>
    <w:rsid w:val="001A5C6A"/>
    <w:rsid w:val="001A60D4"/>
    <w:rsid w:val="001A6271"/>
    <w:rsid w:val="001A643C"/>
    <w:rsid w:val="001A7201"/>
    <w:rsid w:val="001A7314"/>
    <w:rsid w:val="001A74C4"/>
    <w:rsid w:val="001A7524"/>
    <w:rsid w:val="001A7963"/>
    <w:rsid w:val="001B02E8"/>
    <w:rsid w:val="001B0419"/>
    <w:rsid w:val="001B0E89"/>
    <w:rsid w:val="001B2AA0"/>
    <w:rsid w:val="001B2FF1"/>
    <w:rsid w:val="001B3042"/>
    <w:rsid w:val="001B323D"/>
    <w:rsid w:val="001B4A43"/>
    <w:rsid w:val="001B4BA4"/>
    <w:rsid w:val="001B4C93"/>
    <w:rsid w:val="001B5441"/>
    <w:rsid w:val="001B6020"/>
    <w:rsid w:val="001B6477"/>
    <w:rsid w:val="001B6F57"/>
    <w:rsid w:val="001B7149"/>
    <w:rsid w:val="001B73B6"/>
    <w:rsid w:val="001C0AEF"/>
    <w:rsid w:val="001C0BA3"/>
    <w:rsid w:val="001C1EC6"/>
    <w:rsid w:val="001C25B3"/>
    <w:rsid w:val="001C2FEC"/>
    <w:rsid w:val="001C3485"/>
    <w:rsid w:val="001C3619"/>
    <w:rsid w:val="001C4270"/>
    <w:rsid w:val="001C46BF"/>
    <w:rsid w:val="001C4E18"/>
    <w:rsid w:val="001C5473"/>
    <w:rsid w:val="001C5E54"/>
    <w:rsid w:val="001C6353"/>
    <w:rsid w:val="001C649A"/>
    <w:rsid w:val="001C6B76"/>
    <w:rsid w:val="001C7044"/>
    <w:rsid w:val="001C7BDD"/>
    <w:rsid w:val="001C7E3A"/>
    <w:rsid w:val="001D05FA"/>
    <w:rsid w:val="001D14F0"/>
    <w:rsid w:val="001D14FD"/>
    <w:rsid w:val="001D15B4"/>
    <w:rsid w:val="001D183B"/>
    <w:rsid w:val="001D24A1"/>
    <w:rsid w:val="001D27AA"/>
    <w:rsid w:val="001D2F9E"/>
    <w:rsid w:val="001D3B4F"/>
    <w:rsid w:val="001D3E48"/>
    <w:rsid w:val="001D57E6"/>
    <w:rsid w:val="001D64F2"/>
    <w:rsid w:val="001D663E"/>
    <w:rsid w:val="001D674A"/>
    <w:rsid w:val="001D6C5A"/>
    <w:rsid w:val="001D7855"/>
    <w:rsid w:val="001E0611"/>
    <w:rsid w:val="001E120E"/>
    <w:rsid w:val="001E1DC0"/>
    <w:rsid w:val="001E36B7"/>
    <w:rsid w:val="001E4463"/>
    <w:rsid w:val="001E47FA"/>
    <w:rsid w:val="001E598D"/>
    <w:rsid w:val="001E5C72"/>
    <w:rsid w:val="001E5E02"/>
    <w:rsid w:val="001E6BF5"/>
    <w:rsid w:val="001E6D8E"/>
    <w:rsid w:val="001E7656"/>
    <w:rsid w:val="001E7862"/>
    <w:rsid w:val="001F07B0"/>
    <w:rsid w:val="001F0B22"/>
    <w:rsid w:val="001F0EFD"/>
    <w:rsid w:val="001F0F4D"/>
    <w:rsid w:val="001F1C5D"/>
    <w:rsid w:val="001F2597"/>
    <w:rsid w:val="001F28CF"/>
    <w:rsid w:val="001F33AC"/>
    <w:rsid w:val="001F3780"/>
    <w:rsid w:val="001F4128"/>
    <w:rsid w:val="001F496D"/>
    <w:rsid w:val="001F49CD"/>
    <w:rsid w:val="001F4ECB"/>
    <w:rsid w:val="001F53CD"/>
    <w:rsid w:val="001F5942"/>
    <w:rsid w:val="001F65FB"/>
    <w:rsid w:val="001F6EC1"/>
    <w:rsid w:val="001F7582"/>
    <w:rsid w:val="001F78BE"/>
    <w:rsid w:val="00200147"/>
    <w:rsid w:val="00200EAC"/>
    <w:rsid w:val="00200FEC"/>
    <w:rsid w:val="002014DA"/>
    <w:rsid w:val="00201F75"/>
    <w:rsid w:val="002026B6"/>
    <w:rsid w:val="002029DE"/>
    <w:rsid w:val="00203277"/>
    <w:rsid w:val="002039B5"/>
    <w:rsid w:val="00204155"/>
    <w:rsid w:val="002041F9"/>
    <w:rsid w:val="00204292"/>
    <w:rsid w:val="00205473"/>
    <w:rsid w:val="002054F2"/>
    <w:rsid w:val="00205A2A"/>
    <w:rsid w:val="00205B2E"/>
    <w:rsid w:val="00205F1B"/>
    <w:rsid w:val="002061A5"/>
    <w:rsid w:val="00206596"/>
    <w:rsid w:val="00206779"/>
    <w:rsid w:val="00206A28"/>
    <w:rsid w:val="00206AF1"/>
    <w:rsid w:val="00206D57"/>
    <w:rsid w:val="002071D6"/>
    <w:rsid w:val="00207E42"/>
    <w:rsid w:val="00210329"/>
    <w:rsid w:val="00210922"/>
    <w:rsid w:val="00210B18"/>
    <w:rsid w:val="002114DC"/>
    <w:rsid w:val="002117CB"/>
    <w:rsid w:val="00211C1D"/>
    <w:rsid w:val="0021243A"/>
    <w:rsid w:val="00212992"/>
    <w:rsid w:val="00213181"/>
    <w:rsid w:val="002135A2"/>
    <w:rsid w:val="0021444F"/>
    <w:rsid w:val="002147E5"/>
    <w:rsid w:val="00214E04"/>
    <w:rsid w:val="00214E57"/>
    <w:rsid w:val="002155D8"/>
    <w:rsid w:val="00215A4F"/>
    <w:rsid w:val="00215BC6"/>
    <w:rsid w:val="00215C6B"/>
    <w:rsid w:val="00216233"/>
    <w:rsid w:val="002162A6"/>
    <w:rsid w:val="002166CF"/>
    <w:rsid w:val="00216A6B"/>
    <w:rsid w:val="0021796F"/>
    <w:rsid w:val="00220154"/>
    <w:rsid w:val="00220406"/>
    <w:rsid w:val="0022060C"/>
    <w:rsid w:val="00220D83"/>
    <w:rsid w:val="002212B1"/>
    <w:rsid w:val="00222DE3"/>
    <w:rsid w:val="00222F36"/>
    <w:rsid w:val="002233B7"/>
    <w:rsid w:val="002237D7"/>
    <w:rsid w:val="00224332"/>
    <w:rsid w:val="002247B9"/>
    <w:rsid w:val="00225056"/>
    <w:rsid w:val="0022595D"/>
    <w:rsid w:val="00225D26"/>
    <w:rsid w:val="002268C9"/>
    <w:rsid w:val="00227917"/>
    <w:rsid w:val="00227AAA"/>
    <w:rsid w:val="002304EC"/>
    <w:rsid w:val="00230D47"/>
    <w:rsid w:val="00230F01"/>
    <w:rsid w:val="00230F87"/>
    <w:rsid w:val="00231637"/>
    <w:rsid w:val="00231E1B"/>
    <w:rsid w:val="00232FD1"/>
    <w:rsid w:val="00233B55"/>
    <w:rsid w:val="002346EA"/>
    <w:rsid w:val="00234FAD"/>
    <w:rsid w:val="0023526B"/>
    <w:rsid w:val="002362BB"/>
    <w:rsid w:val="00236B2D"/>
    <w:rsid w:val="002401F5"/>
    <w:rsid w:val="00240D72"/>
    <w:rsid w:val="0024163C"/>
    <w:rsid w:val="0024190E"/>
    <w:rsid w:val="0024298E"/>
    <w:rsid w:val="00242C6D"/>
    <w:rsid w:val="0024362B"/>
    <w:rsid w:val="002437EF"/>
    <w:rsid w:val="00243FCA"/>
    <w:rsid w:val="00244F51"/>
    <w:rsid w:val="00244F8D"/>
    <w:rsid w:val="00244FD8"/>
    <w:rsid w:val="00245118"/>
    <w:rsid w:val="0024518D"/>
    <w:rsid w:val="00245237"/>
    <w:rsid w:val="002458CA"/>
    <w:rsid w:val="002465AB"/>
    <w:rsid w:val="002504AF"/>
    <w:rsid w:val="00251A7F"/>
    <w:rsid w:val="0025290F"/>
    <w:rsid w:val="00252C04"/>
    <w:rsid w:val="00253013"/>
    <w:rsid w:val="002530CA"/>
    <w:rsid w:val="002537EC"/>
    <w:rsid w:val="0025402C"/>
    <w:rsid w:val="0025403C"/>
    <w:rsid w:val="00254537"/>
    <w:rsid w:val="002548B9"/>
    <w:rsid w:val="00255326"/>
    <w:rsid w:val="00255D83"/>
    <w:rsid w:val="00255FD3"/>
    <w:rsid w:val="00256213"/>
    <w:rsid w:val="00256241"/>
    <w:rsid w:val="002563C0"/>
    <w:rsid w:val="00256FEB"/>
    <w:rsid w:val="00257031"/>
    <w:rsid w:val="00257CD1"/>
    <w:rsid w:val="002606E4"/>
    <w:rsid w:val="0026076F"/>
    <w:rsid w:val="002608D1"/>
    <w:rsid w:val="00260BC5"/>
    <w:rsid w:val="00260F43"/>
    <w:rsid w:val="002618B8"/>
    <w:rsid w:val="00262544"/>
    <w:rsid w:val="00262762"/>
    <w:rsid w:val="00262D3F"/>
    <w:rsid w:val="0026496D"/>
    <w:rsid w:val="00264C38"/>
    <w:rsid w:val="00264C6A"/>
    <w:rsid w:val="00264CD6"/>
    <w:rsid w:val="00265F43"/>
    <w:rsid w:val="00266773"/>
    <w:rsid w:val="002673AD"/>
    <w:rsid w:val="00267554"/>
    <w:rsid w:val="00267A85"/>
    <w:rsid w:val="00267CAA"/>
    <w:rsid w:val="002700BE"/>
    <w:rsid w:val="00270492"/>
    <w:rsid w:val="002706C2"/>
    <w:rsid w:val="00270FFA"/>
    <w:rsid w:val="0027100C"/>
    <w:rsid w:val="00271759"/>
    <w:rsid w:val="00271B8F"/>
    <w:rsid w:val="00271FB6"/>
    <w:rsid w:val="0027248B"/>
    <w:rsid w:val="002725C6"/>
    <w:rsid w:val="00273373"/>
    <w:rsid w:val="002761ED"/>
    <w:rsid w:val="002769DD"/>
    <w:rsid w:val="00276D3A"/>
    <w:rsid w:val="00276DCA"/>
    <w:rsid w:val="00277040"/>
    <w:rsid w:val="002772E0"/>
    <w:rsid w:val="0027753F"/>
    <w:rsid w:val="002818D2"/>
    <w:rsid w:val="0028225F"/>
    <w:rsid w:val="002823A5"/>
    <w:rsid w:val="0028255E"/>
    <w:rsid w:val="00283859"/>
    <w:rsid w:val="00283FE1"/>
    <w:rsid w:val="002846B4"/>
    <w:rsid w:val="002846F5"/>
    <w:rsid w:val="002848EB"/>
    <w:rsid w:val="00284B78"/>
    <w:rsid w:val="002852B1"/>
    <w:rsid w:val="0028602A"/>
    <w:rsid w:val="002866B1"/>
    <w:rsid w:val="00286B5D"/>
    <w:rsid w:val="00286C41"/>
    <w:rsid w:val="00287E22"/>
    <w:rsid w:val="002916FA"/>
    <w:rsid w:val="00291744"/>
    <w:rsid w:val="002920B0"/>
    <w:rsid w:val="0029322A"/>
    <w:rsid w:val="002936B6"/>
    <w:rsid w:val="00293E57"/>
    <w:rsid w:val="00293F0C"/>
    <w:rsid w:val="0029421F"/>
    <w:rsid w:val="00294E76"/>
    <w:rsid w:val="002962CF"/>
    <w:rsid w:val="002972C4"/>
    <w:rsid w:val="002975E5"/>
    <w:rsid w:val="00297980"/>
    <w:rsid w:val="00297F07"/>
    <w:rsid w:val="002A077A"/>
    <w:rsid w:val="002A0D60"/>
    <w:rsid w:val="002A1135"/>
    <w:rsid w:val="002A153D"/>
    <w:rsid w:val="002A16F6"/>
    <w:rsid w:val="002A2759"/>
    <w:rsid w:val="002A438D"/>
    <w:rsid w:val="002A5524"/>
    <w:rsid w:val="002A5575"/>
    <w:rsid w:val="002A5FCB"/>
    <w:rsid w:val="002A662C"/>
    <w:rsid w:val="002A689A"/>
    <w:rsid w:val="002A7B03"/>
    <w:rsid w:val="002B00EF"/>
    <w:rsid w:val="002B00F4"/>
    <w:rsid w:val="002B06C5"/>
    <w:rsid w:val="002B0AB3"/>
    <w:rsid w:val="002B0B18"/>
    <w:rsid w:val="002B1092"/>
    <w:rsid w:val="002B1372"/>
    <w:rsid w:val="002B18F7"/>
    <w:rsid w:val="002B1FBF"/>
    <w:rsid w:val="002B2090"/>
    <w:rsid w:val="002B291C"/>
    <w:rsid w:val="002B33B7"/>
    <w:rsid w:val="002B3F34"/>
    <w:rsid w:val="002B581F"/>
    <w:rsid w:val="002B595F"/>
    <w:rsid w:val="002B5E10"/>
    <w:rsid w:val="002B62EF"/>
    <w:rsid w:val="002B691D"/>
    <w:rsid w:val="002B7CE0"/>
    <w:rsid w:val="002C07AD"/>
    <w:rsid w:val="002C0A14"/>
    <w:rsid w:val="002C0E8F"/>
    <w:rsid w:val="002C23B5"/>
    <w:rsid w:val="002C2ECF"/>
    <w:rsid w:val="002C39D1"/>
    <w:rsid w:val="002C3A15"/>
    <w:rsid w:val="002C3BCD"/>
    <w:rsid w:val="002C4B38"/>
    <w:rsid w:val="002C5838"/>
    <w:rsid w:val="002C5BB7"/>
    <w:rsid w:val="002C5DFB"/>
    <w:rsid w:val="002C5EC0"/>
    <w:rsid w:val="002C6571"/>
    <w:rsid w:val="002C6F01"/>
    <w:rsid w:val="002C793D"/>
    <w:rsid w:val="002C7B0E"/>
    <w:rsid w:val="002C7B31"/>
    <w:rsid w:val="002D08E4"/>
    <w:rsid w:val="002D0F13"/>
    <w:rsid w:val="002D1898"/>
    <w:rsid w:val="002D25FB"/>
    <w:rsid w:val="002D264D"/>
    <w:rsid w:val="002D296B"/>
    <w:rsid w:val="002D2B4B"/>
    <w:rsid w:val="002D2C47"/>
    <w:rsid w:val="002D33BC"/>
    <w:rsid w:val="002D3E42"/>
    <w:rsid w:val="002D4023"/>
    <w:rsid w:val="002D42AF"/>
    <w:rsid w:val="002D4317"/>
    <w:rsid w:val="002D4B1C"/>
    <w:rsid w:val="002D4DE7"/>
    <w:rsid w:val="002D5B25"/>
    <w:rsid w:val="002D600C"/>
    <w:rsid w:val="002D673D"/>
    <w:rsid w:val="002D6A55"/>
    <w:rsid w:val="002D6FB5"/>
    <w:rsid w:val="002D7132"/>
    <w:rsid w:val="002D7694"/>
    <w:rsid w:val="002D79BB"/>
    <w:rsid w:val="002D7DA4"/>
    <w:rsid w:val="002D7E73"/>
    <w:rsid w:val="002E0122"/>
    <w:rsid w:val="002E0D2E"/>
    <w:rsid w:val="002E1391"/>
    <w:rsid w:val="002E170C"/>
    <w:rsid w:val="002E1D96"/>
    <w:rsid w:val="002E1E38"/>
    <w:rsid w:val="002E2B20"/>
    <w:rsid w:val="002E2DC6"/>
    <w:rsid w:val="002E3B36"/>
    <w:rsid w:val="002E43F4"/>
    <w:rsid w:val="002E4CAF"/>
    <w:rsid w:val="002E5D96"/>
    <w:rsid w:val="002E6017"/>
    <w:rsid w:val="002E6974"/>
    <w:rsid w:val="002E7180"/>
    <w:rsid w:val="002E7777"/>
    <w:rsid w:val="002F0684"/>
    <w:rsid w:val="002F2C07"/>
    <w:rsid w:val="002F2E4D"/>
    <w:rsid w:val="002F352C"/>
    <w:rsid w:val="002F3AEC"/>
    <w:rsid w:val="002F3ED9"/>
    <w:rsid w:val="002F41FE"/>
    <w:rsid w:val="002F47BF"/>
    <w:rsid w:val="002F4800"/>
    <w:rsid w:val="002F48A6"/>
    <w:rsid w:val="002F4F2B"/>
    <w:rsid w:val="002F6460"/>
    <w:rsid w:val="002F6534"/>
    <w:rsid w:val="002F6D7E"/>
    <w:rsid w:val="002F741D"/>
    <w:rsid w:val="002F75A9"/>
    <w:rsid w:val="002F7A7F"/>
    <w:rsid w:val="003002C0"/>
    <w:rsid w:val="0030036D"/>
    <w:rsid w:val="0030053D"/>
    <w:rsid w:val="0030061A"/>
    <w:rsid w:val="00301144"/>
    <w:rsid w:val="003013A5"/>
    <w:rsid w:val="0030172E"/>
    <w:rsid w:val="00301E0E"/>
    <w:rsid w:val="00302273"/>
    <w:rsid w:val="00302AEB"/>
    <w:rsid w:val="003031C6"/>
    <w:rsid w:val="00303AB7"/>
    <w:rsid w:val="00304315"/>
    <w:rsid w:val="00304718"/>
    <w:rsid w:val="00304984"/>
    <w:rsid w:val="0030572C"/>
    <w:rsid w:val="00305DDD"/>
    <w:rsid w:val="00306078"/>
    <w:rsid w:val="00306A9C"/>
    <w:rsid w:val="00306BC3"/>
    <w:rsid w:val="00307525"/>
    <w:rsid w:val="0031024B"/>
    <w:rsid w:val="00310866"/>
    <w:rsid w:val="003119D7"/>
    <w:rsid w:val="00311C77"/>
    <w:rsid w:val="00311EE7"/>
    <w:rsid w:val="0031204C"/>
    <w:rsid w:val="00312506"/>
    <w:rsid w:val="00312BF8"/>
    <w:rsid w:val="00312CDA"/>
    <w:rsid w:val="003137D1"/>
    <w:rsid w:val="003145AA"/>
    <w:rsid w:val="0031461F"/>
    <w:rsid w:val="003148B7"/>
    <w:rsid w:val="003150A2"/>
    <w:rsid w:val="0031567D"/>
    <w:rsid w:val="003158C3"/>
    <w:rsid w:val="00316869"/>
    <w:rsid w:val="00317569"/>
    <w:rsid w:val="003202A0"/>
    <w:rsid w:val="00320355"/>
    <w:rsid w:val="00320430"/>
    <w:rsid w:val="003209CB"/>
    <w:rsid w:val="00320E0F"/>
    <w:rsid w:val="003214E3"/>
    <w:rsid w:val="0032191C"/>
    <w:rsid w:val="00322749"/>
    <w:rsid w:val="003230DC"/>
    <w:rsid w:val="0032345A"/>
    <w:rsid w:val="003242DB"/>
    <w:rsid w:val="0032491F"/>
    <w:rsid w:val="00324BAD"/>
    <w:rsid w:val="00325C87"/>
    <w:rsid w:val="00327163"/>
    <w:rsid w:val="003274CD"/>
    <w:rsid w:val="003274DC"/>
    <w:rsid w:val="00327678"/>
    <w:rsid w:val="00327D86"/>
    <w:rsid w:val="0033042C"/>
    <w:rsid w:val="00330886"/>
    <w:rsid w:val="00330E11"/>
    <w:rsid w:val="0033320F"/>
    <w:rsid w:val="00333501"/>
    <w:rsid w:val="00333E71"/>
    <w:rsid w:val="0033470C"/>
    <w:rsid w:val="00334924"/>
    <w:rsid w:val="00334936"/>
    <w:rsid w:val="003349B7"/>
    <w:rsid w:val="00335984"/>
    <w:rsid w:val="00335F7C"/>
    <w:rsid w:val="003373AA"/>
    <w:rsid w:val="0034012E"/>
    <w:rsid w:val="00340575"/>
    <w:rsid w:val="00340FBC"/>
    <w:rsid w:val="0034102B"/>
    <w:rsid w:val="00341099"/>
    <w:rsid w:val="0034144E"/>
    <w:rsid w:val="00341666"/>
    <w:rsid w:val="00341F41"/>
    <w:rsid w:val="00342DD5"/>
    <w:rsid w:val="00343376"/>
    <w:rsid w:val="00343F36"/>
    <w:rsid w:val="003441E2"/>
    <w:rsid w:val="0034490B"/>
    <w:rsid w:val="003457C4"/>
    <w:rsid w:val="0034620A"/>
    <w:rsid w:val="003467B3"/>
    <w:rsid w:val="003468C1"/>
    <w:rsid w:val="00346D35"/>
    <w:rsid w:val="00346E16"/>
    <w:rsid w:val="0034726C"/>
    <w:rsid w:val="0034799A"/>
    <w:rsid w:val="003479E0"/>
    <w:rsid w:val="003501E2"/>
    <w:rsid w:val="00350670"/>
    <w:rsid w:val="0035119D"/>
    <w:rsid w:val="003511DB"/>
    <w:rsid w:val="003513E3"/>
    <w:rsid w:val="00351C66"/>
    <w:rsid w:val="00352A62"/>
    <w:rsid w:val="00352BB6"/>
    <w:rsid w:val="00354237"/>
    <w:rsid w:val="00354C60"/>
    <w:rsid w:val="003559CC"/>
    <w:rsid w:val="00355CF8"/>
    <w:rsid w:val="00356024"/>
    <w:rsid w:val="00356225"/>
    <w:rsid w:val="00356313"/>
    <w:rsid w:val="0035695C"/>
    <w:rsid w:val="00356AB1"/>
    <w:rsid w:val="00356BB4"/>
    <w:rsid w:val="00357126"/>
    <w:rsid w:val="00357325"/>
    <w:rsid w:val="00360069"/>
    <w:rsid w:val="00360C18"/>
    <w:rsid w:val="00360DE8"/>
    <w:rsid w:val="00361079"/>
    <w:rsid w:val="00361111"/>
    <w:rsid w:val="00361AD3"/>
    <w:rsid w:val="00361B45"/>
    <w:rsid w:val="00362347"/>
    <w:rsid w:val="00362851"/>
    <w:rsid w:val="00362E9A"/>
    <w:rsid w:val="00362FE7"/>
    <w:rsid w:val="0036365C"/>
    <w:rsid w:val="003638A5"/>
    <w:rsid w:val="003642A9"/>
    <w:rsid w:val="003646CD"/>
    <w:rsid w:val="0036496E"/>
    <w:rsid w:val="00364A5F"/>
    <w:rsid w:val="00364AEE"/>
    <w:rsid w:val="0036547C"/>
    <w:rsid w:val="003657B5"/>
    <w:rsid w:val="00365A30"/>
    <w:rsid w:val="00365B43"/>
    <w:rsid w:val="00365EA2"/>
    <w:rsid w:val="003669E2"/>
    <w:rsid w:val="00370157"/>
    <w:rsid w:val="0037106A"/>
    <w:rsid w:val="00371217"/>
    <w:rsid w:val="00371558"/>
    <w:rsid w:val="00371C2D"/>
    <w:rsid w:val="00372639"/>
    <w:rsid w:val="00373457"/>
    <w:rsid w:val="003735DF"/>
    <w:rsid w:val="00373C48"/>
    <w:rsid w:val="00373CF4"/>
    <w:rsid w:val="003752A5"/>
    <w:rsid w:val="003756C1"/>
    <w:rsid w:val="003756E4"/>
    <w:rsid w:val="00376162"/>
    <w:rsid w:val="00376207"/>
    <w:rsid w:val="00376B00"/>
    <w:rsid w:val="00376B66"/>
    <w:rsid w:val="00376EFF"/>
    <w:rsid w:val="00376F75"/>
    <w:rsid w:val="0037757A"/>
    <w:rsid w:val="00377E19"/>
    <w:rsid w:val="00377E1B"/>
    <w:rsid w:val="00380047"/>
    <w:rsid w:val="00381033"/>
    <w:rsid w:val="00381036"/>
    <w:rsid w:val="00381725"/>
    <w:rsid w:val="00381D15"/>
    <w:rsid w:val="0038269E"/>
    <w:rsid w:val="00383513"/>
    <w:rsid w:val="00383A40"/>
    <w:rsid w:val="00383B3A"/>
    <w:rsid w:val="00383DB1"/>
    <w:rsid w:val="00384D15"/>
    <w:rsid w:val="00384D40"/>
    <w:rsid w:val="00385289"/>
    <w:rsid w:val="00385E7B"/>
    <w:rsid w:val="003862B4"/>
    <w:rsid w:val="00387AD2"/>
    <w:rsid w:val="00387B1A"/>
    <w:rsid w:val="00390721"/>
    <w:rsid w:val="00390B4F"/>
    <w:rsid w:val="00390C85"/>
    <w:rsid w:val="00391F9C"/>
    <w:rsid w:val="00393091"/>
    <w:rsid w:val="00393140"/>
    <w:rsid w:val="0039344A"/>
    <w:rsid w:val="003934D2"/>
    <w:rsid w:val="00393F1C"/>
    <w:rsid w:val="00395163"/>
    <w:rsid w:val="0039557D"/>
    <w:rsid w:val="00395EFB"/>
    <w:rsid w:val="00396D9C"/>
    <w:rsid w:val="003975E3"/>
    <w:rsid w:val="00397802"/>
    <w:rsid w:val="00397999"/>
    <w:rsid w:val="003A00FE"/>
    <w:rsid w:val="003A10D5"/>
    <w:rsid w:val="003A1B7A"/>
    <w:rsid w:val="003A1CD5"/>
    <w:rsid w:val="003A2907"/>
    <w:rsid w:val="003A2B1A"/>
    <w:rsid w:val="003A2C12"/>
    <w:rsid w:val="003A2E37"/>
    <w:rsid w:val="003A37CF"/>
    <w:rsid w:val="003A4789"/>
    <w:rsid w:val="003A53C0"/>
    <w:rsid w:val="003A56E3"/>
    <w:rsid w:val="003A5746"/>
    <w:rsid w:val="003A6088"/>
    <w:rsid w:val="003A622A"/>
    <w:rsid w:val="003A6395"/>
    <w:rsid w:val="003A63C5"/>
    <w:rsid w:val="003A6C9E"/>
    <w:rsid w:val="003A7730"/>
    <w:rsid w:val="003A7C5C"/>
    <w:rsid w:val="003A7FD6"/>
    <w:rsid w:val="003B0101"/>
    <w:rsid w:val="003B027E"/>
    <w:rsid w:val="003B0357"/>
    <w:rsid w:val="003B0682"/>
    <w:rsid w:val="003B0773"/>
    <w:rsid w:val="003B1574"/>
    <w:rsid w:val="003B1F59"/>
    <w:rsid w:val="003B21D8"/>
    <w:rsid w:val="003B239F"/>
    <w:rsid w:val="003B2AB5"/>
    <w:rsid w:val="003B2C83"/>
    <w:rsid w:val="003B31F7"/>
    <w:rsid w:val="003B359E"/>
    <w:rsid w:val="003B36EC"/>
    <w:rsid w:val="003B3772"/>
    <w:rsid w:val="003B3907"/>
    <w:rsid w:val="003B3C5E"/>
    <w:rsid w:val="003B40E5"/>
    <w:rsid w:val="003B41BB"/>
    <w:rsid w:val="003B428F"/>
    <w:rsid w:val="003B487D"/>
    <w:rsid w:val="003B4EF2"/>
    <w:rsid w:val="003B4F12"/>
    <w:rsid w:val="003B562D"/>
    <w:rsid w:val="003B5DC7"/>
    <w:rsid w:val="003B6FC1"/>
    <w:rsid w:val="003B7F49"/>
    <w:rsid w:val="003C040C"/>
    <w:rsid w:val="003C056E"/>
    <w:rsid w:val="003C0E33"/>
    <w:rsid w:val="003C1984"/>
    <w:rsid w:val="003C1B51"/>
    <w:rsid w:val="003C287E"/>
    <w:rsid w:val="003C2C38"/>
    <w:rsid w:val="003C365A"/>
    <w:rsid w:val="003C371D"/>
    <w:rsid w:val="003C389D"/>
    <w:rsid w:val="003C3BEE"/>
    <w:rsid w:val="003C43CC"/>
    <w:rsid w:val="003C442D"/>
    <w:rsid w:val="003C4ED3"/>
    <w:rsid w:val="003C514F"/>
    <w:rsid w:val="003C5B7F"/>
    <w:rsid w:val="003C62D0"/>
    <w:rsid w:val="003C7079"/>
    <w:rsid w:val="003C7679"/>
    <w:rsid w:val="003C7C67"/>
    <w:rsid w:val="003D2996"/>
    <w:rsid w:val="003D2D60"/>
    <w:rsid w:val="003D2D67"/>
    <w:rsid w:val="003D347B"/>
    <w:rsid w:val="003D4403"/>
    <w:rsid w:val="003D4C71"/>
    <w:rsid w:val="003D5E94"/>
    <w:rsid w:val="003E0125"/>
    <w:rsid w:val="003E0388"/>
    <w:rsid w:val="003E1190"/>
    <w:rsid w:val="003E1AF1"/>
    <w:rsid w:val="003E24F5"/>
    <w:rsid w:val="003E3B10"/>
    <w:rsid w:val="003E40C3"/>
    <w:rsid w:val="003E4543"/>
    <w:rsid w:val="003E463B"/>
    <w:rsid w:val="003E4D0C"/>
    <w:rsid w:val="003E5115"/>
    <w:rsid w:val="003E512F"/>
    <w:rsid w:val="003E57A2"/>
    <w:rsid w:val="003E5ED2"/>
    <w:rsid w:val="003E60F4"/>
    <w:rsid w:val="003F025A"/>
    <w:rsid w:val="003F0BC9"/>
    <w:rsid w:val="003F10E0"/>
    <w:rsid w:val="003F1397"/>
    <w:rsid w:val="003F1B0C"/>
    <w:rsid w:val="003F1D1E"/>
    <w:rsid w:val="003F1D6C"/>
    <w:rsid w:val="003F2041"/>
    <w:rsid w:val="003F2313"/>
    <w:rsid w:val="003F3070"/>
    <w:rsid w:val="003F3922"/>
    <w:rsid w:val="003F3C4D"/>
    <w:rsid w:val="003F420B"/>
    <w:rsid w:val="003F5523"/>
    <w:rsid w:val="003F6292"/>
    <w:rsid w:val="003F6AA8"/>
    <w:rsid w:val="003F6E7B"/>
    <w:rsid w:val="003F6F9C"/>
    <w:rsid w:val="004011CC"/>
    <w:rsid w:val="004013E9"/>
    <w:rsid w:val="00401497"/>
    <w:rsid w:val="00401969"/>
    <w:rsid w:val="00401F7B"/>
    <w:rsid w:val="0040210F"/>
    <w:rsid w:val="00402228"/>
    <w:rsid w:val="00402ACC"/>
    <w:rsid w:val="0040324D"/>
    <w:rsid w:val="004039BB"/>
    <w:rsid w:val="00403BD2"/>
    <w:rsid w:val="00405082"/>
    <w:rsid w:val="00405150"/>
    <w:rsid w:val="00406085"/>
    <w:rsid w:val="00406A80"/>
    <w:rsid w:val="00406EC8"/>
    <w:rsid w:val="004074A5"/>
    <w:rsid w:val="00407D7E"/>
    <w:rsid w:val="00407F53"/>
    <w:rsid w:val="00411950"/>
    <w:rsid w:val="004120EC"/>
    <w:rsid w:val="004123DD"/>
    <w:rsid w:val="00412BAD"/>
    <w:rsid w:val="00412F27"/>
    <w:rsid w:val="00412FFD"/>
    <w:rsid w:val="00413443"/>
    <w:rsid w:val="004135E6"/>
    <w:rsid w:val="004138AA"/>
    <w:rsid w:val="00413AA5"/>
    <w:rsid w:val="00414E25"/>
    <w:rsid w:val="00414F4F"/>
    <w:rsid w:val="00415109"/>
    <w:rsid w:val="00415286"/>
    <w:rsid w:val="00416B49"/>
    <w:rsid w:val="00417064"/>
    <w:rsid w:val="004177C8"/>
    <w:rsid w:val="00417D9C"/>
    <w:rsid w:val="0042078F"/>
    <w:rsid w:val="004208AD"/>
    <w:rsid w:val="004209AF"/>
    <w:rsid w:val="00420BCD"/>
    <w:rsid w:val="00420DF6"/>
    <w:rsid w:val="00421794"/>
    <w:rsid w:val="00421A9E"/>
    <w:rsid w:val="00421ED0"/>
    <w:rsid w:val="00423C54"/>
    <w:rsid w:val="00423D0A"/>
    <w:rsid w:val="00423F31"/>
    <w:rsid w:val="00424236"/>
    <w:rsid w:val="00424BA2"/>
    <w:rsid w:val="00424ED1"/>
    <w:rsid w:val="00424F1F"/>
    <w:rsid w:val="004250FC"/>
    <w:rsid w:val="0042511C"/>
    <w:rsid w:val="004253CC"/>
    <w:rsid w:val="0042557F"/>
    <w:rsid w:val="004271EB"/>
    <w:rsid w:val="00427601"/>
    <w:rsid w:val="00427B27"/>
    <w:rsid w:val="00431899"/>
    <w:rsid w:val="00431C33"/>
    <w:rsid w:val="00431D17"/>
    <w:rsid w:val="00431DF9"/>
    <w:rsid w:val="004323EB"/>
    <w:rsid w:val="004328EF"/>
    <w:rsid w:val="004332C4"/>
    <w:rsid w:val="00433EAC"/>
    <w:rsid w:val="00433EC0"/>
    <w:rsid w:val="00433EE9"/>
    <w:rsid w:val="004340C8"/>
    <w:rsid w:val="004341AE"/>
    <w:rsid w:val="00434A34"/>
    <w:rsid w:val="00434B61"/>
    <w:rsid w:val="00434C8E"/>
    <w:rsid w:val="004359BF"/>
    <w:rsid w:val="0043605F"/>
    <w:rsid w:val="004367CA"/>
    <w:rsid w:val="00436F0E"/>
    <w:rsid w:val="00437F24"/>
    <w:rsid w:val="00437F83"/>
    <w:rsid w:val="0044039A"/>
    <w:rsid w:val="004410BD"/>
    <w:rsid w:val="0044112E"/>
    <w:rsid w:val="00441586"/>
    <w:rsid w:val="00441B8A"/>
    <w:rsid w:val="00442055"/>
    <w:rsid w:val="004428DA"/>
    <w:rsid w:val="00442A2E"/>
    <w:rsid w:val="00442E6A"/>
    <w:rsid w:val="004435A2"/>
    <w:rsid w:val="004440AC"/>
    <w:rsid w:val="0044445D"/>
    <w:rsid w:val="00445085"/>
    <w:rsid w:val="004454D2"/>
    <w:rsid w:val="00445D04"/>
    <w:rsid w:val="00446774"/>
    <w:rsid w:val="00447233"/>
    <w:rsid w:val="00447F69"/>
    <w:rsid w:val="004504CE"/>
    <w:rsid w:val="00450AB3"/>
    <w:rsid w:val="004510A6"/>
    <w:rsid w:val="00451336"/>
    <w:rsid w:val="00453641"/>
    <w:rsid w:val="004537EF"/>
    <w:rsid w:val="00453888"/>
    <w:rsid w:val="00453F37"/>
    <w:rsid w:val="0045487E"/>
    <w:rsid w:val="00455097"/>
    <w:rsid w:val="004550E5"/>
    <w:rsid w:val="00455153"/>
    <w:rsid w:val="00455537"/>
    <w:rsid w:val="004569A6"/>
    <w:rsid w:val="00457669"/>
    <w:rsid w:val="00457906"/>
    <w:rsid w:val="00460151"/>
    <w:rsid w:val="0046016A"/>
    <w:rsid w:val="004608A2"/>
    <w:rsid w:val="004615E3"/>
    <w:rsid w:val="0046232E"/>
    <w:rsid w:val="004626FA"/>
    <w:rsid w:val="004634AE"/>
    <w:rsid w:val="00463AFB"/>
    <w:rsid w:val="004643AD"/>
    <w:rsid w:val="004645E1"/>
    <w:rsid w:val="004650F3"/>
    <w:rsid w:val="00465558"/>
    <w:rsid w:val="0046558D"/>
    <w:rsid w:val="004657EE"/>
    <w:rsid w:val="00465924"/>
    <w:rsid w:val="00466B4B"/>
    <w:rsid w:val="00467000"/>
    <w:rsid w:val="004675BB"/>
    <w:rsid w:val="00467AB5"/>
    <w:rsid w:val="004706EB"/>
    <w:rsid w:val="00470996"/>
    <w:rsid w:val="00470A07"/>
    <w:rsid w:val="00470FF6"/>
    <w:rsid w:val="00471E1E"/>
    <w:rsid w:val="00471F45"/>
    <w:rsid w:val="00472C19"/>
    <w:rsid w:val="00472D94"/>
    <w:rsid w:val="00473105"/>
    <w:rsid w:val="004744A1"/>
    <w:rsid w:val="0047507B"/>
    <w:rsid w:val="004754BF"/>
    <w:rsid w:val="0047590F"/>
    <w:rsid w:val="004765F1"/>
    <w:rsid w:val="00476746"/>
    <w:rsid w:val="0047708A"/>
    <w:rsid w:val="004774FF"/>
    <w:rsid w:val="00477DD8"/>
    <w:rsid w:val="00481C0A"/>
    <w:rsid w:val="00481DFD"/>
    <w:rsid w:val="00482AE8"/>
    <w:rsid w:val="00482ED0"/>
    <w:rsid w:val="0048389C"/>
    <w:rsid w:val="00483926"/>
    <w:rsid w:val="00483C2D"/>
    <w:rsid w:val="0048468A"/>
    <w:rsid w:val="004846C9"/>
    <w:rsid w:val="0048492D"/>
    <w:rsid w:val="00484DB5"/>
    <w:rsid w:val="00485D79"/>
    <w:rsid w:val="0048623E"/>
    <w:rsid w:val="0048644B"/>
    <w:rsid w:val="00486804"/>
    <w:rsid w:val="004873E2"/>
    <w:rsid w:val="00487429"/>
    <w:rsid w:val="004878F4"/>
    <w:rsid w:val="00490CDB"/>
    <w:rsid w:val="00492A0F"/>
    <w:rsid w:val="00492AD6"/>
    <w:rsid w:val="00492C42"/>
    <w:rsid w:val="00493335"/>
    <w:rsid w:val="00493641"/>
    <w:rsid w:val="004939C4"/>
    <w:rsid w:val="00493E11"/>
    <w:rsid w:val="004941DF"/>
    <w:rsid w:val="00494656"/>
    <w:rsid w:val="0049479F"/>
    <w:rsid w:val="004948E7"/>
    <w:rsid w:val="004948EE"/>
    <w:rsid w:val="004956FA"/>
    <w:rsid w:val="0049578E"/>
    <w:rsid w:val="00496368"/>
    <w:rsid w:val="00496D25"/>
    <w:rsid w:val="00496FCC"/>
    <w:rsid w:val="004A093B"/>
    <w:rsid w:val="004A221B"/>
    <w:rsid w:val="004A2D8C"/>
    <w:rsid w:val="004A4756"/>
    <w:rsid w:val="004A4B5D"/>
    <w:rsid w:val="004A5655"/>
    <w:rsid w:val="004A5B7F"/>
    <w:rsid w:val="004A63B9"/>
    <w:rsid w:val="004A682B"/>
    <w:rsid w:val="004A6D2B"/>
    <w:rsid w:val="004A6E49"/>
    <w:rsid w:val="004A7F13"/>
    <w:rsid w:val="004B0287"/>
    <w:rsid w:val="004B20B3"/>
    <w:rsid w:val="004B3775"/>
    <w:rsid w:val="004B42EC"/>
    <w:rsid w:val="004B519B"/>
    <w:rsid w:val="004B5D42"/>
    <w:rsid w:val="004B5E7F"/>
    <w:rsid w:val="004B6763"/>
    <w:rsid w:val="004B7475"/>
    <w:rsid w:val="004B7B32"/>
    <w:rsid w:val="004C0977"/>
    <w:rsid w:val="004C0F16"/>
    <w:rsid w:val="004C22FB"/>
    <w:rsid w:val="004C25A5"/>
    <w:rsid w:val="004C2D4C"/>
    <w:rsid w:val="004C44C1"/>
    <w:rsid w:val="004C45CB"/>
    <w:rsid w:val="004C4D4E"/>
    <w:rsid w:val="004C500D"/>
    <w:rsid w:val="004C5104"/>
    <w:rsid w:val="004C5435"/>
    <w:rsid w:val="004C5809"/>
    <w:rsid w:val="004C59EB"/>
    <w:rsid w:val="004C5A66"/>
    <w:rsid w:val="004C6342"/>
    <w:rsid w:val="004C6CBC"/>
    <w:rsid w:val="004C7549"/>
    <w:rsid w:val="004C7D68"/>
    <w:rsid w:val="004D021A"/>
    <w:rsid w:val="004D07A7"/>
    <w:rsid w:val="004D08E1"/>
    <w:rsid w:val="004D0BA0"/>
    <w:rsid w:val="004D0BCB"/>
    <w:rsid w:val="004D1116"/>
    <w:rsid w:val="004D1475"/>
    <w:rsid w:val="004D2184"/>
    <w:rsid w:val="004D22C1"/>
    <w:rsid w:val="004D24AE"/>
    <w:rsid w:val="004D27D8"/>
    <w:rsid w:val="004D2869"/>
    <w:rsid w:val="004D2DDD"/>
    <w:rsid w:val="004D3029"/>
    <w:rsid w:val="004D31C4"/>
    <w:rsid w:val="004D37F3"/>
    <w:rsid w:val="004D5406"/>
    <w:rsid w:val="004D6AAD"/>
    <w:rsid w:val="004D6C2E"/>
    <w:rsid w:val="004D7683"/>
    <w:rsid w:val="004D7E24"/>
    <w:rsid w:val="004E03DC"/>
    <w:rsid w:val="004E058F"/>
    <w:rsid w:val="004E094E"/>
    <w:rsid w:val="004E37E8"/>
    <w:rsid w:val="004E3B5A"/>
    <w:rsid w:val="004E3B87"/>
    <w:rsid w:val="004E5359"/>
    <w:rsid w:val="004E6221"/>
    <w:rsid w:val="004E68AD"/>
    <w:rsid w:val="004E6AF2"/>
    <w:rsid w:val="004E701E"/>
    <w:rsid w:val="004E76D5"/>
    <w:rsid w:val="004E79FE"/>
    <w:rsid w:val="004F02A1"/>
    <w:rsid w:val="004F0380"/>
    <w:rsid w:val="004F0769"/>
    <w:rsid w:val="004F0D0C"/>
    <w:rsid w:val="004F122A"/>
    <w:rsid w:val="004F147A"/>
    <w:rsid w:val="004F1B76"/>
    <w:rsid w:val="004F1EA8"/>
    <w:rsid w:val="004F1FD2"/>
    <w:rsid w:val="004F2009"/>
    <w:rsid w:val="004F245A"/>
    <w:rsid w:val="004F2538"/>
    <w:rsid w:val="004F256C"/>
    <w:rsid w:val="004F2AF9"/>
    <w:rsid w:val="004F2D5A"/>
    <w:rsid w:val="004F3A2F"/>
    <w:rsid w:val="004F3DA4"/>
    <w:rsid w:val="004F3EB1"/>
    <w:rsid w:val="004F4756"/>
    <w:rsid w:val="004F4864"/>
    <w:rsid w:val="004F4FAC"/>
    <w:rsid w:val="004F50EE"/>
    <w:rsid w:val="004F5807"/>
    <w:rsid w:val="004F590D"/>
    <w:rsid w:val="004F7223"/>
    <w:rsid w:val="004F78A2"/>
    <w:rsid w:val="004F7C67"/>
    <w:rsid w:val="004F7D48"/>
    <w:rsid w:val="0050065A"/>
    <w:rsid w:val="005006CF"/>
    <w:rsid w:val="00501199"/>
    <w:rsid w:val="00501273"/>
    <w:rsid w:val="005022CE"/>
    <w:rsid w:val="005029CE"/>
    <w:rsid w:val="00503572"/>
    <w:rsid w:val="0050450F"/>
    <w:rsid w:val="00504EE0"/>
    <w:rsid w:val="0050557A"/>
    <w:rsid w:val="00505C4C"/>
    <w:rsid w:val="00505F0F"/>
    <w:rsid w:val="005061DC"/>
    <w:rsid w:val="005062DB"/>
    <w:rsid w:val="0050644C"/>
    <w:rsid w:val="00506985"/>
    <w:rsid w:val="005069C1"/>
    <w:rsid w:val="00506C1D"/>
    <w:rsid w:val="00506F86"/>
    <w:rsid w:val="0050781E"/>
    <w:rsid w:val="00510192"/>
    <w:rsid w:val="005101A6"/>
    <w:rsid w:val="00510921"/>
    <w:rsid w:val="00510AD3"/>
    <w:rsid w:val="00512178"/>
    <w:rsid w:val="00512AB1"/>
    <w:rsid w:val="00512CE6"/>
    <w:rsid w:val="00513348"/>
    <w:rsid w:val="00513AD8"/>
    <w:rsid w:val="00513BC7"/>
    <w:rsid w:val="005155DD"/>
    <w:rsid w:val="00515776"/>
    <w:rsid w:val="00515A75"/>
    <w:rsid w:val="00515C2A"/>
    <w:rsid w:val="005160D9"/>
    <w:rsid w:val="0051686D"/>
    <w:rsid w:val="00516FCF"/>
    <w:rsid w:val="005173CB"/>
    <w:rsid w:val="005204D2"/>
    <w:rsid w:val="00520F3F"/>
    <w:rsid w:val="00521058"/>
    <w:rsid w:val="0052131D"/>
    <w:rsid w:val="0052217B"/>
    <w:rsid w:val="00522396"/>
    <w:rsid w:val="005223D5"/>
    <w:rsid w:val="0052375B"/>
    <w:rsid w:val="00523A49"/>
    <w:rsid w:val="00523FD5"/>
    <w:rsid w:val="00524275"/>
    <w:rsid w:val="0052435C"/>
    <w:rsid w:val="00524D5B"/>
    <w:rsid w:val="00524E24"/>
    <w:rsid w:val="005254E0"/>
    <w:rsid w:val="0052566D"/>
    <w:rsid w:val="005259DB"/>
    <w:rsid w:val="00525B7A"/>
    <w:rsid w:val="005270F9"/>
    <w:rsid w:val="0052773C"/>
    <w:rsid w:val="00527A01"/>
    <w:rsid w:val="005309E2"/>
    <w:rsid w:val="00530F0B"/>
    <w:rsid w:val="00531DC7"/>
    <w:rsid w:val="00531F66"/>
    <w:rsid w:val="00532A25"/>
    <w:rsid w:val="00532E27"/>
    <w:rsid w:val="00532E45"/>
    <w:rsid w:val="0053312F"/>
    <w:rsid w:val="005335A9"/>
    <w:rsid w:val="00533B5D"/>
    <w:rsid w:val="005344E9"/>
    <w:rsid w:val="00534692"/>
    <w:rsid w:val="00534D9B"/>
    <w:rsid w:val="0053563D"/>
    <w:rsid w:val="005357AB"/>
    <w:rsid w:val="00535BF6"/>
    <w:rsid w:val="00535C3B"/>
    <w:rsid w:val="00535CDA"/>
    <w:rsid w:val="00535DB7"/>
    <w:rsid w:val="00536513"/>
    <w:rsid w:val="00536764"/>
    <w:rsid w:val="00537887"/>
    <w:rsid w:val="0054004C"/>
    <w:rsid w:val="0054010D"/>
    <w:rsid w:val="005402CE"/>
    <w:rsid w:val="00540C5F"/>
    <w:rsid w:val="00541188"/>
    <w:rsid w:val="00541281"/>
    <w:rsid w:val="00541914"/>
    <w:rsid w:val="00541AFD"/>
    <w:rsid w:val="00541B5D"/>
    <w:rsid w:val="00541BEE"/>
    <w:rsid w:val="005421D1"/>
    <w:rsid w:val="00542555"/>
    <w:rsid w:val="0054292A"/>
    <w:rsid w:val="0054298E"/>
    <w:rsid w:val="00542B96"/>
    <w:rsid w:val="00543589"/>
    <w:rsid w:val="0054416C"/>
    <w:rsid w:val="0054443E"/>
    <w:rsid w:val="00544D8E"/>
    <w:rsid w:val="005453BF"/>
    <w:rsid w:val="00545EDA"/>
    <w:rsid w:val="00546293"/>
    <w:rsid w:val="00546A53"/>
    <w:rsid w:val="0054790E"/>
    <w:rsid w:val="00547A66"/>
    <w:rsid w:val="00547ABD"/>
    <w:rsid w:val="00547FD2"/>
    <w:rsid w:val="00550075"/>
    <w:rsid w:val="005506A9"/>
    <w:rsid w:val="005506AD"/>
    <w:rsid w:val="0055114A"/>
    <w:rsid w:val="0055120D"/>
    <w:rsid w:val="0055141E"/>
    <w:rsid w:val="00551A60"/>
    <w:rsid w:val="00551F5B"/>
    <w:rsid w:val="0055240F"/>
    <w:rsid w:val="00552747"/>
    <w:rsid w:val="00552A6E"/>
    <w:rsid w:val="00552B35"/>
    <w:rsid w:val="00552FFD"/>
    <w:rsid w:val="005530BA"/>
    <w:rsid w:val="005532CC"/>
    <w:rsid w:val="00553B74"/>
    <w:rsid w:val="00554AF8"/>
    <w:rsid w:val="00555520"/>
    <w:rsid w:val="00555D94"/>
    <w:rsid w:val="005561F9"/>
    <w:rsid w:val="00556609"/>
    <w:rsid w:val="00556D90"/>
    <w:rsid w:val="00556FE0"/>
    <w:rsid w:val="0055725A"/>
    <w:rsid w:val="00557CD0"/>
    <w:rsid w:val="00560EAA"/>
    <w:rsid w:val="00561010"/>
    <w:rsid w:val="00563C3D"/>
    <w:rsid w:val="00563F04"/>
    <w:rsid w:val="0056411F"/>
    <w:rsid w:val="00564151"/>
    <w:rsid w:val="0056426E"/>
    <w:rsid w:val="00564D56"/>
    <w:rsid w:val="005650DB"/>
    <w:rsid w:val="0056514C"/>
    <w:rsid w:val="005653DC"/>
    <w:rsid w:val="00565A8F"/>
    <w:rsid w:val="00565B7F"/>
    <w:rsid w:val="00566130"/>
    <w:rsid w:val="0056685A"/>
    <w:rsid w:val="0056735C"/>
    <w:rsid w:val="00571336"/>
    <w:rsid w:val="005714A2"/>
    <w:rsid w:val="005719DE"/>
    <w:rsid w:val="00571F18"/>
    <w:rsid w:val="005720F2"/>
    <w:rsid w:val="00572136"/>
    <w:rsid w:val="0057264D"/>
    <w:rsid w:val="00572BA1"/>
    <w:rsid w:val="00573163"/>
    <w:rsid w:val="00573598"/>
    <w:rsid w:val="00573C7E"/>
    <w:rsid w:val="00574192"/>
    <w:rsid w:val="00574610"/>
    <w:rsid w:val="00574899"/>
    <w:rsid w:val="00574CBB"/>
    <w:rsid w:val="00574E0F"/>
    <w:rsid w:val="005750ED"/>
    <w:rsid w:val="005762E7"/>
    <w:rsid w:val="00576761"/>
    <w:rsid w:val="00576A78"/>
    <w:rsid w:val="005770E5"/>
    <w:rsid w:val="005776C0"/>
    <w:rsid w:val="00580A92"/>
    <w:rsid w:val="0058103B"/>
    <w:rsid w:val="0058160B"/>
    <w:rsid w:val="00581E9A"/>
    <w:rsid w:val="00582055"/>
    <w:rsid w:val="00582739"/>
    <w:rsid w:val="005829A7"/>
    <w:rsid w:val="00582C15"/>
    <w:rsid w:val="00582DDE"/>
    <w:rsid w:val="005836E5"/>
    <w:rsid w:val="00584180"/>
    <w:rsid w:val="005841E2"/>
    <w:rsid w:val="00584A29"/>
    <w:rsid w:val="0058516F"/>
    <w:rsid w:val="0058742D"/>
    <w:rsid w:val="00587C45"/>
    <w:rsid w:val="005911EC"/>
    <w:rsid w:val="00591237"/>
    <w:rsid w:val="0059138B"/>
    <w:rsid w:val="00591B31"/>
    <w:rsid w:val="00593244"/>
    <w:rsid w:val="00593BA9"/>
    <w:rsid w:val="00594136"/>
    <w:rsid w:val="0059424D"/>
    <w:rsid w:val="005943AA"/>
    <w:rsid w:val="00594449"/>
    <w:rsid w:val="005944C6"/>
    <w:rsid w:val="00595F65"/>
    <w:rsid w:val="005960EC"/>
    <w:rsid w:val="005965A5"/>
    <w:rsid w:val="00596FDD"/>
    <w:rsid w:val="005979AC"/>
    <w:rsid w:val="00597C8F"/>
    <w:rsid w:val="005A006E"/>
    <w:rsid w:val="005A04F4"/>
    <w:rsid w:val="005A058A"/>
    <w:rsid w:val="005A0908"/>
    <w:rsid w:val="005A0DEF"/>
    <w:rsid w:val="005A1F04"/>
    <w:rsid w:val="005A20F6"/>
    <w:rsid w:val="005A2365"/>
    <w:rsid w:val="005A3B6E"/>
    <w:rsid w:val="005A3D28"/>
    <w:rsid w:val="005A43ED"/>
    <w:rsid w:val="005A4482"/>
    <w:rsid w:val="005A53DA"/>
    <w:rsid w:val="005A550A"/>
    <w:rsid w:val="005A5C3D"/>
    <w:rsid w:val="005A6D43"/>
    <w:rsid w:val="005A74AC"/>
    <w:rsid w:val="005A76EB"/>
    <w:rsid w:val="005A7792"/>
    <w:rsid w:val="005A7EA6"/>
    <w:rsid w:val="005A7EE8"/>
    <w:rsid w:val="005B0418"/>
    <w:rsid w:val="005B05B6"/>
    <w:rsid w:val="005B0A07"/>
    <w:rsid w:val="005B0B0E"/>
    <w:rsid w:val="005B0C17"/>
    <w:rsid w:val="005B0F1D"/>
    <w:rsid w:val="005B1624"/>
    <w:rsid w:val="005B1B5E"/>
    <w:rsid w:val="005B1C7F"/>
    <w:rsid w:val="005B244D"/>
    <w:rsid w:val="005B26E8"/>
    <w:rsid w:val="005B27EE"/>
    <w:rsid w:val="005B3631"/>
    <w:rsid w:val="005B44A1"/>
    <w:rsid w:val="005B55E8"/>
    <w:rsid w:val="005B5681"/>
    <w:rsid w:val="005B63C3"/>
    <w:rsid w:val="005B717B"/>
    <w:rsid w:val="005B7783"/>
    <w:rsid w:val="005C05CA"/>
    <w:rsid w:val="005C0BD2"/>
    <w:rsid w:val="005C0C46"/>
    <w:rsid w:val="005C1043"/>
    <w:rsid w:val="005C1831"/>
    <w:rsid w:val="005C1E02"/>
    <w:rsid w:val="005C3B14"/>
    <w:rsid w:val="005C43C7"/>
    <w:rsid w:val="005C5B87"/>
    <w:rsid w:val="005C5C25"/>
    <w:rsid w:val="005C67BD"/>
    <w:rsid w:val="005C6831"/>
    <w:rsid w:val="005C75A9"/>
    <w:rsid w:val="005C780B"/>
    <w:rsid w:val="005C7E6C"/>
    <w:rsid w:val="005D00F2"/>
    <w:rsid w:val="005D041A"/>
    <w:rsid w:val="005D0E8C"/>
    <w:rsid w:val="005D1935"/>
    <w:rsid w:val="005D1E2E"/>
    <w:rsid w:val="005D1F72"/>
    <w:rsid w:val="005D2377"/>
    <w:rsid w:val="005D24F3"/>
    <w:rsid w:val="005D2675"/>
    <w:rsid w:val="005D2A42"/>
    <w:rsid w:val="005D2E0D"/>
    <w:rsid w:val="005D3311"/>
    <w:rsid w:val="005D3655"/>
    <w:rsid w:val="005D366C"/>
    <w:rsid w:val="005D4225"/>
    <w:rsid w:val="005D4F42"/>
    <w:rsid w:val="005D5888"/>
    <w:rsid w:val="005D5F1E"/>
    <w:rsid w:val="005D6947"/>
    <w:rsid w:val="005D70EF"/>
    <w:rsid w:val="005D7A47"/>
    <w:rsid w:val="005D7B4A"/>
    <w:rsid w:val="005D7F2D"/>
    <w:rsid w:val="005E033E"/>
    <w:rsid w:val="005E100E"/>
    <w:rsid w:val="005E13BA"/>
    <w:rsid w:val="005E1D13"/>
    <w:rsid w:val="005E20B7"/>
    <w:rsid w:val="005E2582"/>
    <w:rsid w:val="005E26FA"/>
    <w:rsid w:val="005E35EA"/>
    <w:rsid w:val="005E3892"/>
    <w:rsid w:val="005E4110"/>
    <w:rsid w:val="005E43AC"/>
    <w:rsid w:val="005E4830"/>
    <w:rsid w:val="005E5233"/>
    <w:rsid w:val="005E569B"/>
    <w:rsid w:val="005E569E"/>
    <w:rsid w:val="005E5700"/>
    <w:rsid w:val="005E5A7A"/>
    <w:rsid w:val="005E6059"/>
    <w:rsid w:val="005E760F"/>
    <w:rsid w:val="005F06B1"/>
    <w:rsid w:val="005F2DFD"/>
    <w:rsid w:val="005F3791"/>
    <w:rsid w:val="005F3DD8"/>
    <w:rsid w:val="005F4445"/>
    <w:rsid w:val="005F45EA"/>
    <w:rsid w:val="005F4C35"/>
    <w:rsid w:val="005F4C4E"/>
    <w:rsid w:val="005F4FEA"/>
    <w:rsid w:val="005F6393"/>
    <w:rsid w:val="005F67D0"/>
    <w:rsid w:val="005F734E"/>
    <w:rsid w:val="005F7410"/>
    <w:rsid w:val="005F742F"/>
    <w:rsid w:val="005F781F"/>
    <w:rsid w:val="00600747"/>
    <w:rsid w:val="00600AF0"/>
    <w:rsid w:val="00600FE0"/>
    <w:rsid w:val="006012CF"/>
    <w:rsid w:val="00603A36"/>
    <w:rsid w:val="00603F47"/>
    <w:rsid w:val="0060437D"/>
    <w:rsid w:val="0060496A"/>
    <w:rsid w:val="00604FA2"/>
    <w:rsid w:val="00606335"/>
    <w:rsid w:val="00606547"/>
    <w:rsid w:val="0060664E"/>
    <w:rsid w:val="00606AE5"/>
    <w:rsid w:val="00606BCC"/>
    <w:rsid w:val="006075E7"/>
    <w:rsid w:val="00607C85"/>
    <w:rsid w:val="00607D6B"/>
    <w:rsid w:val="00610106"/>
    <w:rsid w:val="00610261"/>
    <w:rsid w:val="0061141F"/>
    <w:rsid w:val="00611444"/>
    <w:rsid w:val="00611B6E"/>
    <w:rsid w:val="00613C47"/>
    <w:rsid w:val="00614B62"/>
    <w:rsid w:val="00615736"/>
    <w:rsid w:val="00615B2F"/>
    <w:rsid w:val="00616887"/>
    <w:rsid w:val="00616D15"/>
    <w:rsid w:val="00616E6D"/>
    <w:rsid w:val="00617BD8"/>
    <w:rsid w:val="00620341"/>
    <w:rsid w:val="0062060E"/>
    <w:rsid w:val="006208B4"/>
    <w:rsid w:val="00620932"/>
    <w:rsid w:val="006209A6"/>
    <w:rsid w:val="00621032"/>
    <w:rsid w:val="00621BA7"/>
    <w:rsid w:val="00622438"/>
    <w:rsid w:val="00622B86"/>
    <w:rsid w:val="00622B8B"/>
    <w:rsid w:val="00622D71"/>
    <w:rsid w:val="006237B3"/>
    <w:rsid w:val="0062392B"/>
    <w:rsid w:val="00623BA1"/>
    <w:rsid w:val="006244EA"/>
    <w:rsid w:val="00625B86"/>
    <w:rsid w:val="00625C4B"/>
    <w:rsid w:val="00626505"/>
    <w:rsid w:val="0062662B"/>
    <w:rsid w:val="006267FE"/>
    <w:rsid w:val="00627DB8"/>
    <w:rsid w:val="00627F79"/>
    <w:rsid w:val="00630027"/>
    <w:rsid w:val="00630989"/>
    <w:rsid w:val="00630F84"/>
    <w:rsid w:val="00631077"/>
    <w:rsid w:val="006318B8"/>
    <w:rsid w:val="006319C3"/>
    <w:rsid w:val="00631AA0"/>
    <w:rsid w:val="006323BB"/>
    <w:rsid w:val="00632E45"/>
    <w:rsid w:val="00633108"/>
    <w:rsid w:val="00633520"/>
    <w:rsid w:val="006336EF"/>
    <w:rsid w:val="0063427C"/>
    <w:rsid w:val="006346BC"/>
    <w:rsid w:val="00635019"/>
    <w:rsid w:val="006352BD"/>
    <w:rsid w:val="006357AC"/>
    <w:rsid w:val="00635976"/>
    <w:rsid w:val="00636AD1"/>
    <w:rsid w:val="00637003"/>
    <w:rsid w:val="00637162"/>
    <w:rsid w:val="00637832"/>
    <w:rsid w:val="00642486"/>
    <w:rsid w:val="00642625"/>
    <w:rsid w:val="00642DE6"/>
    <w:rsid w:val="00643810"/>
    <w:rsid w:val="00643A31"/>
    <w:rsid w:val="00643A4B"/>
    <w:rsid w:val="006442A9"/>
    <w:rsid w:val="0064430F"/>
    <w:rsid w:val="00644EF2"/>
    <w:rsid w:val="0064558F"/>
    <w:rsid w:val="006456A5"/>
    <w:rsid w:val="00645F2D"/>
    <w:rsid w:val="006464BF"/>
    <w:rsid w:val="006471FE"/>
    <w:rsid w:val="00647D75"/>
    <w:rsid w:val="00647DF2"/>
    <w:rsid w:val="006510A1"/>
    <w:rsid w:val="00651329"/>
    <w:rsid w:val="00651D02"/>
    <w:rsid w:val="00652082"/>
    <w:rsid w:val="006525D0"/>
    <w:rsid w:val="0065269D"/>
    <w:rsid w:val="00652BDA"/>
    <w:rsid w:val="00652E04"/>
    <w:rsid w:val="00652E06"/>
    <w:rsid w:val="0065309E"/>
    <w:rsid w:val="0065421D"/>
    <w:rsid w:val="00654259"/>
    <w:rsid w:val="006550F5"/>
    <w:rsid w:val="0065661A"/>
    <w:rsid w:val="006566EC"/>
    <w:rsid w:val="00660327"/>
    <w:rsid w:val="0066040D"/>
    <w:rsid w:val="0066061A"/>
    <w:rsid w:val="0066077C"/>
    <w:rsid w:val="0066162B"/>
    <w:rsid w:val="00662403"/>
    <w:rsid w:val="0066433F"/>
    <w:rsid w:val="006646C0"/>
    <w:rsid w:val="0066490F"/>
    <w:rsid w:val="006649A3"/>
    <w:rsid w:val="00664F01"/>
    <w:rsid w:val="0066547B"/>
    <w:rsid w:val="00665956"/>
    <w:rsid w:val="00665FE3"/>
    <w:rsid w:val="0066652A"/>
    <w:rsid w:val="00666B4A"/>
    <w:rsid w:val="00667E10"/>
    <w:rsid w:val="00670C52"/>
    <w:rsid w:val="00671647"/>
    <w:rsid w:val="00671904"/>
    <w:rsid w:val="006719C3"/>
    <w:rsid w:val="00671B83"/>
    <w:rsid w:val="00671EAB"/>
    <w:rsid w:val="006721CB"/>
    <w:rsid w:val="00672459"/>
    <w:rsid w:val="00672660"/>
    <w:rsid w:val="00673245"/>
    <w:rsid w:val="00673619"/>
    <w:rsid w:val="00673DE5"/>
    <w:rsid w:val="00674377"/>
    <w:rsid w:val="0067558C"/>
    <w:rsid w:val="006758F0"/>
    <w:rsid w:val="00675BDC"/>
    <w:rsid w:val="00675CAF"/>
    <w:rsid w:val="0067661E"/>
    <w:rsid w:val="0067714B"/>
    <w:rsid w:val="00677276"/>
    <w:rsid w:val="006773BA"/>
    <w:rsid w:val="00680061"/>
    <w:rsid w:val="00680522"/>
    <w:rsid w:val="00682167"/>
    <w:rsid w:val="00682FC3"/>
    <w:rsid w:val="00682FDE"/>
    <w:rsid w:val="00683573"/>
    <w:rsid w:val="00683D9A"/>
    <w:rsid w:val="00684173"/>
    <w:rsid w:val="00685B17"/>
    <w:rsid w:val="00686255"/>
    <w:rsid w:val="006876B9"/>
    <w:rsid w:val="006879C0"/>
    <w:rsid w:val="00687D16"/>
    <w:rsid w:val="00687E12"/>
    <w:rsid w:val="00691E43"/>
    <w:rsid w:val="006930A7"/>
    <w:rsid w:val="006930F1"/>
    <w:rsid w:val="00693838"/>
    <w:rsid w:val="00694EE9"/>
    <w:rsid w:val="006956A4"/>
    <w:rsid w:val="00695A63"/>
    <w:rsid w:val="006964CE"/>
    <w:rsid w:val="006966C6"/>
    <w:rsid w:val="00696D70"/>
    <w:rsid w:val="00697528"/>
    <w:rsid w:val="00697FC7"/>
    <w:rsid w:val="006A0AA6"/>
    <w:rsid w:val="006A19FE"/>
    <w:rsid w:val="006A1D78"/>
    <w:rsid w:val="006A232B"/>
    <w:rsid w:val="006A2B69"/>
    <w:rsid w:val="006A2BDB"/>
    <w:rsid w:val="006A2BE3"/>
    <w:rsid w:val="006A346D"/>
    <w:rsid w:val="006A3492"/>
    <w:rsid w:val="006A37A1"/>
    <w:rsid w:val="006A37DD"/>
    <w:rsid w:val="006A4D75"/>
    <w:rsid w:val="006A50FA"/>
    <w:rsid w:val="006A511B"/>
    <w:rsid w:val="006A56C9"/>
    <w:rsid w:val="006A5DC8"/>
    <w:rsid w:val="006A5EC6"/>
    <w:rsid w:val="006A6C12"/>
    <w:rsid w:val="006A6D56"/>
    <w:rsid w:val="006A6EF7"/>
    <w:rsid w:val="006A7460"/>
    <w:rsid w:val="006A793A"/>
    <w:rsid w:val="006A7A14"/>
    <w:rsid w:val="006B06FC"/>
    <w:rsid w:val="006B12FE"/>
    <w:rsid w:val="006B1AC6"/>
    <w:rsid w:val="006B1D76"/>
    <w:rsid w:val="006B241B"/>
    <w:rsid w:val="006B26CE"/>
    <w:rsid w:val="006B272D"/>
    <w:rsid w:val="006B2DBE"/>
    <w:rsid w:val="006B2E3D"/>
    <w:rsid w:val="006B3256"/>
    <w:rsid w:val="006B36D0"/>
    <w:rsid w:val="006B3F8F"/>
    <w:rsid w:val="006B6320"/>
    <w:rsid w:val="006B6403"/>
    <w:rsid w:val="006B6D5A"/>
    <w:rsid w:val="006B6F60"/>
    <w:rsid w:val="006B723B"/>
    <w:rsid w:val="006B77DC"/>
    <w:rsid w:val="006B781F"/>
    <w:rsid w:val="006C0947"/>
    <w:rsid w:val="006C1975"/>
    <w:rsid w:val="006C1D4C"/>
    <w:rsid w:val="006C34D8"/>
    <w:rsid w:val="006C3D97"/>
    <w:rsid w:val="006C42AF"/>
    <w:rsid w:val="006C4780"/>
    <w:rsid w:val="006C48AC"/>
    <w:rsid w:val="006C50D9"/>
    <w:rsid w:val="006C57A6"/>
    <w:rsid w:val="006C7116"/>
    <w:rsid w:val="006D0AD2"/>
    <w:rsid w:val="006D2576"/>
    <w:rsid w:val="006D2D11"/>
    <w:rsid w:val="006D30AA"/>
    <w:rsid w:val="006D30CF"/>
    <w:rsid w:val="006D34FD"/>
    <w:rsid w:val="006D3E17"/>
    <w:rsid w:val="006D3F47"/>
    <w:rsid w:val="006D4D63"/>
    <w:rsid w:val="006D5383"/>
    <w:rsid w:val="006D5826"/>
    <w:rsid w:val="006D5848"/>
    <w:rsid w:val="006D5C34"/>
    <w:rsid w:val="006D6D7A"/>
    <w:rsid w:val="006D6F44"/>
    <w:rsid w:val="006D70DF"/>
    <w:rsid w:val="006D7108"/>
    <w:rsid w:val="006D7421"/>
    <w:rsid w:val="006D775A"/>
    <w:rsid w:val="006D7A17"/>
    <w:rsid w:val="006D7BF1"/>
    <w:rsid w:val="006E00A9"/>
    <w:rsid w:val="006E23D8"/>
    <w:rsid w:val="006E3235"/>
    <w:rsid w:val="006E37EC"/>
    <w:rsid w:val="006E490E"/>
    <w:rsid w:val="006E49C2"/>
    <w:rsid w:val="006E5831"/>
    <w:rsid w:val="006E5EFC"/>
    <w:rsid w:val="006E68FF"/>
    <w:rsid w:val="006E70AC"/>
    <w:rsid w:val="006E70C9"/>
    <w:rsid w:val="006F0A89"/>
    <w:rsid w:val="006F0E73"/>
    <w:rsid w:val="006F116F"/>
    <w:rsid w:val="006F15C8"/>
    <w:rsid w:val="006F1C44"/>
    <w:rsid w:val="006F24C5"/>
    <w:rsid w:val="006F2A3B"/>
    <w:rsid w:val="006F2C75"/>
    <w:rsid w:val="006F451A"/>
    <w:rsid w:val="006F498C"/>
    <w:rsid w:val="006F4A3D"/>
    <w:rsid w:val="006F5789"/>
    <w:rsid w:val="006F635E"/>
    <w:rsid w:val="006F66B6"/>
    <w:rsid w:val="006F683B"/>
    <w:rsid w:val="006F71B2"/>
    <w:rsid w:val="006F76B9"/>
    <w:rsid w:val="006F7933"/>
    <w:rsid w:val="00700F84"/>
    <w:rsid w:val="007013AA"/>
    <w:rsid w:val="007029D1"/>
    <w:rsid w:val="00703538"/>
    <w:rsid w:val="00703853"/>
    <w:rsid w:val="00703DAA"/>
    <w:rsid w:val="0070430D"/>
    <w:rsid w:val="00704A66"/>
    <w:rsid w:val="00704E70"/>
    <w:rsid w:val="007052C9"/>
    <w:rsid w:val="00705561"/>
    <w:rsid w:val="00705A10"/>
    <w:rsid w:val="00705B66"/>
    <w:rsid w:val="00705E6D"/>
    <w:rsid w:val="007060F3"/>
    <w:rsid w:val="00706520"/>
    <w:rsid w:val="00707548"/>
    <w:rsid w:val="007107E8"/>
    <w:rsid w:val="007115A1"/>
    <w:rsid w:val="007117F6"/>
    <w:rsid w:val="00711D8E"/>
    <w:rsid w:val="0071239E"/>
    <w:rsid w:val="00712672"/>
    <w:rsid w:val="00712A28"/>
    <w:rsid w:val="00713AEB"/>
    <w:rsid w:val="00713E5E"/>
    <w:rsid w:val="00714F53"/>
    <w:rsid w:val="007152EB"/>
    <w:rsid w:val="00715450"/>
    <w:rsid w:val="00715468"/>
    <w:rsid w:val="00715A59"/>
    <w:rsid w:val="00715A5B"/>
    <w:rsid w:val="00715AA1"/>
    <w:rsid w:val="007167FF"/>
    <w:rsid w:val="00716A0E"/>
    <w:rsid w:val="00716BDA"/>
    <w:rsid w:val="00716DAA"/>
    <w:rsid w:val="00717232"/>
    <w:rsid w:val="00717886"/>
    <w:rsid w:val="00720157"/>
    <w:rsid w:val="007201EA"/>
    <w:rsid w:val="0072024C"/>
    <w:rsid w:val="00720269"/>
    <w:rsid w:val="0072067F"/>
    <w:rsid w:val="0072123E"/>
    <w:rsid w:val="007218FD"/>
    <w:rsid w:val="00721B4D"/>
    <w:rsid w:val="00721CF6"/>
    <w:rsid w:val="00721E59"/>
    <w:rsid w:val="00722DB5"/>
    <w:rsid w:val="007231D0"/>
    <w:rsid w:val="007234CA"/>
    <w:rsid w:val="00724DFA"/>
    <w:rsid w:val="00725726"/>
    <w:rsid w:val="007262F0"/>
    <w:rsid w:val="00726AE2"/>
    <w:rsid w:val="00726CF9"/>
    <w:rsid w:val="00727809"/>
    <w:rsid w:val="0073131B"/>
    <w:rsid w:val="007314B1"/>
    <w:rsid w:val="007315A4"/>
    <w:rsid w:val="007316D5"/>
    <w:rsid w:val="00731848"/>
    <w:rsid w:val="007321AF"/>
    <w:rsid w:val="00732A26"/>
    <w:rsid w:val="00732CFC"/>
    <w:rsid w:val="00733725"/>
    <w:rsid w:val="00733E32"/>
    <w:rsid w:val="00733EE6"/>
    <w:rsid w:val="007341D5"/>
    <w:rsid w:val="00734A29"/>
    <w:rsid w:val="00734DB6"/>
    <w:rsid w:val="00734E3F"/>
    <w:rsid w:val="00735616"/>
    <w:rsid w:val="007361BA"/>
    <w:rsid w:val="007362A1"/>
    <w:rsid w:val="007363F4"/>
    <w:rsid w:val="0073652E"/>
    <w:rsid w:val="00736985"/>
    <w:rsid w:val="007374E8"/>
    <w:rsid w:val="00740697"/>
    <w:rsid w:val="00740955"/>
    <w:rsid w:val="00741385"/>
    <w:rsid w:val="00741A9E"/>
    <w:rsid w:val="00741B00"/>
    <w:rsid w:val="00741F41"/>
    <w:rsid w:val="0074232C"/>
    <w:rsid w:val="007426F2"/>
    <w:rsid w:val="00743D8A"/>
    <w:rsid w:val="00743F5A"/>
    <w:rsid w:val="007441FB"/>
    <w:rsid w:val="0074479C"/>
    <w:rsid w:val="0074593D"/>
    <w:rsid w:val="00745BD1"/>
    <w:rsid w:val="00745DF5"/>
    <w:rsid w:val="00746873"/>
    <w:rsid w:val="0074709B"/>
    <w:rsid w:val="007476F9"/>
    <w:rsid w:val="00747E10"/>
    <w:rsid w:val="00750EA2"/>
    <w:rsid w:val="00751626"/>
    <w:rsid w:val="00752A9A"/>
    <w:rsid w:val="0075339D"/>
    <w:rsid w:val="0075455B"/>
    <w:rsid w:val="00755FE4"/>
    <w:rsid w:val="0075625D"/>
    <w:rsid w:val="0075768A"/>
    <w:rsid w:val="007579F3"/>
    <w:rsid w:val="00757A6C"/>
    <w:rsid w:val="00757D9E"/>
    <w:rsid w:val="00760AE2"/>
    <w:rsid w:val="00760D51"/>
    <w:rsid w:val="00761363"/>
    <w:rsid w:val="007615D4"/>
    <w:rsid w:val="0076250F"/>
    <w:rsid w:val="00762AC2"/>
    <w:rsid w:val="00763168"/>
    <w:rsid w:val="00763AEE"/>
    <w:rsid w:val="00763FA1"/>
    <w:rsid w:val="0076487F"/>
    <w:rsid w:val="00764979"/>
    <w:rsid w:val="00764988"/>
    <w:rsid w:val="00764AD9"/>
    <w:rsid w:val="00765528"/>
    <w:rsid w:val="00766ABE"/>
    <w:rsid w:val="00766C91"/>
    <w:rsid w:val="00766D5C"/>
    <w:rsid w:val="007673B4"/>
    <w:rsid w:val="00767CC3"/>
    <w:rsid w:val="00767F51"/>
    <w:rsid w:val="00770256"/>
    <w:rsid w:val="0077057D"/>
    <w:rsid w:val="007706B8"/>
    <w:rsid w:val="00771173"/>
    <w:rsid w:val="00772E74"/>
    <w:rsid w:val="00772F43"/>
    <w:rsid w:val="00773C25"/>
    <w:rsid w:val="0077422D"/>
    <w:rsid w:val="007746DE"/>
    <w:rsid w:val="00774D1E"/>
    <w:rsid w:val="00774DE9"/>
    <w:rsid w:val="00774EE4"/>
    <w:rsid w:val="00775A19"/>
    <w:rsid w:val="007760FC"/>
    <w:rsid w:val="00776508"/>
    <w:rsid w:val="0077671D"/>
    <w:rsid w:val="007802F2"/>
    <w:rsid w:val="0078088A"/>
    <w:rsid w:val="00780CC3"/>
    <w:rsid w:val="00780FA5"/>
    <w:rsid w:val="00780FF1"/>
    <w:rsid w:val="007810B6"/>
    <w:rsid w:val="00781814"/>
    <w:rsid w:val="00781EBD"/>
    <w:rsid w:val="00782398"/>
    <w:rsid w:val="00782614"/>
    <w:rsid w:val="00782717"/>
    <w:rsid w:val="00783967"/>
    <w:rsid w:val="0078684F"/>
    <w:rsid w:val="00786ED6"/>
    <w:rsid w:val="0078742D"/>
    <w:rsid w:val="00787700"/>
    <w:rsid w:val="00787897"/>
    <w:rsid w:val="00787A0D"/>
    <w:rsid w:val="00787D3B"/>
    <w:rsid w:val="0079075D"/>
    <w:rsid w:val="00791081"/>
    <w:rsid w:val="00791A4E"/>
    <w:rsid w:val="00791D9A"/>
    <w:rsid w:val="007923B2"/>
    <w:rsid w:val="00792D76"/>
    <w:rsid w:val="00793600"/>
    <w:rsid w:val="00793872"/>
    <w:rsid w:val="00793BDC"/>
    <w:rsid w:val="00793EF3"/>
    <w:rsid w:val="00793F6F"/>
    <w:rsid w:val="0079492C"/>
    <w:rsid w:val="00794F86"/>
    <w:rsid w:val="00795E35"/>
    <w:rsid w:val="007965EB"/>
    <w:rsid w:val="00796993"/>
    <w:rsid w:val="00796AEF"/>
    <w:rsid w:val="00796D0D"/>
    <w:rsid w:val="00796D1B"/>
    <w:rsid w:val="0079764D"/>
    <w:rsid w:val="00797857"/>
    <w:rsid w:val="00797A66"/>
    <w:rsid w:val="007A015F"/>
    <w:rsid w:val="007A0FAB"/>
    <w:rsid w:val="007A13ED"/>
    <w:rsid w:val="007A1679"/>
    <w:rsid w:val="007A17D4"/>
    <w:rsid w:val="007A1C6C"/>
    <w:rsid w:val="007A24FD"/>
    <w:rsid w:val="007A25D8"/>
    <w:rsid w:val="007A2A0C"/>
    <w:rsid w:val="007A2D9C"/>
    <w:rsid w:val="007A36C0"/>
    <w:rsid w:val="007A3889"/>
    <w:rsid w:val="007A3E9A"/>
    <w:rsid w:val="007A4166"/>
    <w:rsid w:val="007A4232"/>
    <w:rsid w:val="007A43C1"/>
    <w:rsid w:val="007A4BEE"/>
    <w:rsid w:val="007A5650"/>
    <w:rsid w:val="007A66EB"/>
    <w:rsid w:val="007A6B66"/>
    <w:rsid w:val="007A7795"/>
    <w:rsid w:val="007A78D0"/>
    <w:rsid w:val="007A7C0D"/>
    <w:rsid w:val="007B042D"/>
    <w:rsid w:val="007B0B0C"/>
    <w:rsid w:val="007B1301"/>
    <w:rsid w:val="007B1632"/>
    <w:rsid w:val="007B19F5"/>
    <w:rsid w:val="007B1A12"/>
    <w:rsid w:val="007B1F44"/>
    <w:rsid w:val="007B21AC"/>
    <w:rsid w:val="007B2C4C"/>
    <w:rsid w:val="007B36E8"/>
    <w:rsid w:val="007B409F"/>
    <w:rsid w:val="007B42DA"/>
    <w:rsid w:val="007B5884"/>
    <w:rsid w:val="007B592D"/>
    <w:rsid w:val="007B5C7C"/>
    <w:rsid w:val="007B5D38"/>
    <w:rsid w:val="007B6200"/>
    <w:rsid w:val="007B65BA"/>
    <w:rsid w:val="007B67B7"/>
    <w:rsid w:val="007B755C"/>
    <w:rsid w:val="007B7BE6"/>
    <w:rsid w:val="007B7D9E"/>
    <w:rsid w:val="007C05BA"/>
    <w:rsid w:val="007C0886"/>
    <w:rsid w:val="007C09D8"/>
    <w:rsid w:val="007C16F2"/>
    <w:rsid w:val="007C2CF5"/>
    <w:rsid w:val="007C3128"/>
    <w:rsid w:val="007C32D0"/>
    <w:rsid w:val="007C42E9"/>
    <w:rsid w:val="007C463A"/>
    <w:rsid w:val="007C4A03"/>
    <w:rsid w:val="007C50F9"/>
    <w:rsid w:val="007C56FB"/>
    <w:rsid w:val="007C69DD"/>
    <w:rsid w:val="007C6F62"/>
    <w:rsid w:val="007C7172"/>
    <w:rsid w:val="007C73C3"/>
    <w:rsid w:val="007D0119"/>
    <w:rsid w:val="007D021F"/>
    <w:rsid w:val="007D07A6"/>
    <w:rsid w:val="007D0846"/>
    <w:rsid w:val="007D0E8F"/>
    <w:rsid w:val="007D1980"/>
    <w:rsid w:val="007D24E6"/>
    <w:rsid w:val="007D2DF6"/>
    <w:rsid w:val="007D387D"/>
    <w:rsid w:val="007D5AA4"/>
    <w:rsid w:val="007D5E39"/>
    <w:rsid w:val="007D648A"/>
    <w:rsid w:val="007D693F"/>
    <w:rsid w:val="007D6B8F"/>
    <w:rsid w:val="007D71A4"/>
    <w:rsid w:val="007D7243"/>
    <w:rsid w:val="007E029D"/>
    <w:rsid w:val="007E037B"/>
    <w:rsid w:val="007E04AF"/>
    <w:rsid w:val="007E0619"/>
    <w:rsid w:val="007E1027"/>
    <w:rsid w:val="007E273A"/>
    <w:rsid w:val="007E349A"/>
    <w:rsid w:val="007E3AFE"/>
    <w:rsid w:val="007E3C3E"/>
    <w:rsid w:val="007E4797"/>
    <w:rsid w:val="007E4D5B"/>
    <w:rsid w:val="007E5763"/>
    <w:rsid w:val="007E5FC0"/>
    <w:rsid w:val="007E6499"/>
    <w:rsid w:val="007E68D5"/>
    <w:rsid w:val="007E6BCD"/>
    <w:rsid w:val="007E6D84"/>
    <w:rsid w:val="007E6FAE"/>
    <w:rsid w:val="007E7085"/>
    <w:rsid w:val="007E7591"/>
    <w:rsid w:val="007E7873"/>
    <w:rsid w:val="007E7DDB"/>
    <w:rsid w:val="007F17B3"/>
    <w:rsid w:val="007F199C"/>
    <w:rsid w:val="007F1B6B"/>
    <w:rsid w:val="007F2090"/>
    <w:rsid w:val="007F227C"/>
    <w:rsid w:val="007F23BF"/>
    <w:rsid w:val="007F270A"/>
    <w:rsid w:val="007F2763"/>
    <w:rsid w:val="007F2D1B"/>
    <w:rsid w:val="007F2DD1"/>
    <w:rsid w:val="007F3395"/>
    <w:rsid w:val="007F3F1A"/>
    <w:rsid w:val="007F3F5B"/>
    <w:rsid w:val="007F4210"/>
    <w:rsid w:val="007F444C"/>
    <w:rsid w:val="007F4598"/>
    <w:rsid w:val="007F5C55"/>
    <w:rsid w:val="007F5DBC"/>
    <w:rsid w:val="007F6226"/>
    <w:rsid w:val="008001E2"/>
    <w:rsid w:val="00800541"/>
    <w:rsid w:val="008005E9"/>
    <w:rsid w:val="008011C0"/>
    <w:rsid w:val="008019DB"/>
    <w:rsid w:val="00801B9F"/>
    <w:rsid w:val="00801F86"/>
    <w:rsid w:val="0080204D"/>
    <w:rsid w:val="0080275B"/>
    <w:rsid w:val="008027F8"/>
    <w:rsid w:val="00802D00"/>
    <w:rsid w:val="008035E7"/>
    <w:rsid w:val="00803C05"/>
    <w:rsid w:val="00803CCD"/>
    <w:rsid w:val="00803DD0"/>
    <w:rsid w:val="00803FDE"/>
    <w:rsid w:val="00804B52"/>
    <w:rsid w:val="0080530D"/>
    <w:rsid w:val="00805B9C"/>
    <w:rsid w:val="00806778"/>
    <w:rsid w:val="00806A9E"/>
    <w:rsid w:val="00806AD7"/>
    <w:rsid w:val="00807087"/>
    <w:rsid w:val="008070C8"/>
    <w:rsid w:val="008106FC"/>
    <w:rsid w:val="00811660"/>
    <w:rsid w:val="00812302"/>
    <w:rsid w:val="0081241A"/>
    <w:rsid w:val="008127C6"/>
    <w:rsid w:val="00812D48"/>
    <w:rsid w:val="008132E3"/>
    <w:rsid w:val="008134AB"/>
    <w:rsid w:val="00813D0E"/>
    <w:rsid w:val="0081491C"/>
    <w:rsid w:val="008153D9"/>
    <w:rsid w:val="008155FF"/>
    <w:rsid w:val="00815AB7"/>
    <w:rsid w:val="00815BAB"/>
    <w:rsid w:val="008164BF"/>
    <w:rsid w:val="00816A39"/>
    <w:rsid w:val="008175E5"/>
    <w:rsid w:val="00820176"/>
    <w:rsid w:val="008206F5"/>
    <w:rsid w:val="00820786"/>
    <w:rsid w:val="00820F19"/>
    <w:rsid w:val="00821198"/>
    <w:rsid w:val="008219BC"/>
    <w:rsid w:val="00821A02"/>
    <w:rsid w:val="00821A14"/>
    <w:rsid w:val="008220CA"/>
    <w:rsid w:val="008226F9"/>
    <w:rsid w:val="00822822"/>
    <w:rsid w:val="00822F53"/>
    <w:rsid w:val="0082381E"/>
    <w:rsid w:val="00823F4C"/>
    <w:rsid w:val="00824033"/>
    <w:rsid w:val="0082407B"/>
    <w:rsid w:val="0082418D"/>
    <w:rsid w:val="00824ABB"/>
    <w:rsid w:val="00824ECC"/>
    <w:rsid w:val="00825250"/>
    <w:rsid w:val="008252E6"/>
    <w:rsid w:val="008255C4"/>
    <w:rsid w:val="008259E6"/>
    <w:rsid w:val="00825CBC"/>
    <w:rsid w:val="00826945"/>
    <w:rsid w:val="00826A41"/>
    <w:rsid w:val="00826BFC"/>
    <w:rsid w:val="00826F57"/>
    <w:rsid w:val="00827283"/>
    <w:rsid w:val="00827A8B"/>
    <w:rsid w:val="0083052F"/>
    <w:rsid w:val="00830E07"/>
    <w:rsid w:val="0083164D"/>
    <w:rsid w:val="0083171C"/>
    <w:rsid w:val="00831A99"/>
    <w:rsid w:val="00831BF8"/>
    <w:rsid w:val="00832C3E"/>
    <w:rsid w:val="00832EA6"/>
    <w:rsid w:val="0083347B"/>
    <w:rsid w:val="008344DF"/>
    <w:rsid w:val="00834A7F"/>
    <w:rsid w:val="00834CD7"/>
    <w:rsid w:val="0083572D"/>
    <w:rsid w:val="00836B94"/>
    <w:rsid w:val="0083728C"/>
    <w:rsid w:val="0083795D"/>
    <w:rsid w:val="00837A78"/>
    <w:rsid w:val="008409C7"/>
    <w:rsid w:val="00841023"/>
    <w:rsid w:val="008414D3"/>
    <w:rsid w:val="008416C0"/>
    <w:rsid w:val="0084266C"/>
    <w:rsid w:val="00843780"/>
    <w:rsid w:val="00843A68"/>
    <w:rsid w:val="008448F1"/>
    <w:rsid w:val="00844FD8"/>
    <w:rsid w:val="008454FD"/>
    <w:rsid w:val="008463CB"/>
    <w:rsid w:val="00846CCC"/>
    <w:rsid w:val="00846D16"/>
    <w:rsid w:val="008475F0"/>
    <w:rsid w:val="00847946"/>
    <w:rsid w:val="00847E0F"/>
    <w:rsid w:val="008505DD"/>
    <w:rsid w:val="00850632"/>
    <w:rsid w:val="00850B03"/>
    <w:rsid w:val="00851575"/>
    <w:rsid w:val="00851B33"/>
    <w:rsid w:val="00852D83"/>
    <w:rsid w:val="0085333E"/>
    <w:rsid w:val="008534AD"/>
    <w:rsid w:val="008537F4"/>
    <w:rsid w:val="00853992"/>
    <w:rsid w:val="00853ABF"/>
    <w:rsid w:val="00853DEF"/>
    <w:rsid w:val="0085446A"/>
    <w:rsid w:val="008549E9"/>
    <w:rsid w:val="00854E67"/>
    <w:rsid w:val="00854FB8"/>
    <w:rsid w:val="008554B0"/>
    <w:rsid w:val="008557A7"/>
    <w:rsid w:val="0085597B"/>
    <w:rsid w:val="00856080"/>
    <w:rsid w:val="008566A2"/>
    <w:rsid w:val="008570EB"/>
    <w:rsid w:val="00857996"/>
    <w:rsid w:val="00857E6B"/>
    <w:rsid w:val="00860080"/>
    <w:rsid w:val="00860E39"/>
    <w:rsid w:val="00860E46"/>
    <w:rsid w:val="00860F44"/>
    <w:rsid w:val="00861548"/>
    <w:rsid w:val="00861BF2"/>
    <w:rsid w:val="008623C2"/>
    <w:rsid w:val="008626A1"/>
    <w:rsid w:val="00863994"/>
    <w:rsid w:val="0086460B"/>
    <w:rsid w:val="00864F2C"/>
    <w:rsid w:val="00867652"/>
    <w:rsid w:val="00870145"/>
    <w:rsid w:val="008708D9"/>
    <w:rsid w:val="00870928"/>
    <w:rsid w:val="008712B2"/>
    <w:rsid w:val="00871A09"/>
    <w:rsid w:val="00871E77"/>
    <w:rsid w:val="00872960"/>
    <w:rsid w:val="008732AE"/>
    <w:rsid w:val="008733DB"/>
    <w:rsid w:val="008738E2"/>
    <w:rsid w:val="00873EAA"/>
    <w:rsid w:val="008740EE"/>
    <w:rsid w:val="0087581B"/>
    <w:rsid w:val="00876372"/>
    <w:rsid w:val="008766F3"/>
    <w:rsid w:val="008776E2"/>
    <w:rsid w:val="0088070F"/>
    <w:rsid w:val="00880A9D"/>
    <w:rsid w:val="00880E97"/>
    <w:rsid w:val="00880EF7"/>
    <w:rsid w:val="00881DDE"/>
    <w:rsid w:val="008821B0"/>
    <w:rsid w:val="00882B14"/>
    <w:rsid w:val="008838E2"/>
    <w:rsid w:val="0088390A"/>
    <w:rsid w:val="00883F21"/>
    <w:rsid w:val="00883F65"/>
    <w:rsid w:val="008849DF"/>
    <w:rsid w:val="0088531C"/>
    <w:rsid w:val="0088534D"/>
    <w:rsid w:val="00885A62"/>
    <w:rsid w:val="00885F9F"/>
    <w:rsid w:val="0088614A"/>
    <w:rsid w:val="00886436"/>
    <w:rsid w:val="00886783"/>
    <w:rsid w:val="00886E31"/>
    <w:rsid w:val="0089080A"/>
    <w:rsid w:val="00890AE0"/>
    <w:rsid w:val="0089236F"/>
    <w:rsid w:val="0089239F"/>
    <w:rsid w:val="00892A3D"/>
    <w:rsid w:val="00892C4C"/>
    <w:rsid w:val="00892DA6"/>
    <w:rsid w:val="008930B6"/>
    <w:rsid w:val="0089405C"/>
    <w:rsid w:val="008941D2"/>
    <w:rsid w:val="0089511A"/>
    <w:rsid w:val="008964AF"/>
    <w:rsid w:val="00896540"/>
    <w:rsid w:val="00896736"/>
    <w:rsid w:val="0089684E"/>
    <w:rsid w:val="008968AC"/>
    <w:rsid w:val="0089697A"/>
    <w:rsid w:val="00896AF4"/>
    <w:rsid w:val="00896B5D"/>
    <w:rsid w:val="00897326"/>
    <w:rsid w:val="00897593"/>
    <w:rsid w:val="008975DF"/>
    <w:rsid w:val="00897C0F"/>
    <w:rsid w:val="00897FA2"/>
    <w:rsid w:val="008A1F42"/>
    <w:rsid w:val="008A1F6C"/>
    <w:rsid w:val="008A2045"/>
    <w:rsid w:val="008A281F"/>
    <w:rsid w:val="008A2ACA"/>
    <w:rsid w:val="008A2BDA"/>
    <w:rsid w:val="008A2CE5"/>
    <w:rsid w:val="008A2ECD"/>
    <w:rsid w:val="008A335B"/>
    <w:rsid w:val="008A3439"/>
    <w:rsid w:val="008A3E48"/>
    <w:rsid w:val="008A3F36"/>
    <w:rsid w:val="008A422A"/>
    <w:rsid w:val="008A464D"/>
    <w:rsid w:val="008A56A6"/>
    <w:rsid w:val="008A5AE1"/>
    <w:rsid w:val="008A5AFE"/>
    <w:rsid w:val="008A61BE"/>
    <w:rsid w:val="008A6681"/>
    <w:rsid w:val="008A6BDC"/>
    <w:rsid w:val="008A7890"/>
    <w:rsid w:val="008A78D5"/>
    <w:rsid w:val="008B0398"/>
    <w:rsid w:val="008B08E2"/>
    <w:rsid w:val="008B0945"/>
    <w:rsid w:val="008B103D"/>
    <w:rsid w:val="008B118E"/>
    <w:rsid w:val="008B1431"/>
    <w:rsid w:val="008B18E4"/>
    <w:rsid w:val="008B1C57"/>
    <w:rsid w:val="008B1CD1"/>
    <w:rsid w:val="008B25E4"/>
    <w:rsid w:val="008B2891"/>
    <w:rsid w:val="008B34CF"/>
    <w:rsid w:val="008B3E2A"/>
    <w:rsid w:val="008B5BB8"/>
    <w:rsid w:val="008B5BC1"/>
    <w:rsid w:val="008B5FED"/>
    <w:rsid w:val="008B621D"/>
    <w:rsid w:val="008B6690"/>
    <w:rsid w:val="008B76FB"/>
    <w:rsid w:val="008B7928"/>
    <w:rsid w:val="008C04AE"/>
    <w:rsid w:val="008C071A"/>
    <w:rsid w:val="008C0EAF"/>
    <w:rsid w:val="008C0F7B"/>
    <w:rsid w:val="008C137E"/>
    <w:rsid w:val="008C1545"/>
    <w:rsid w:val="008C15EC"/>
    <w:rsid w:val="008C1AAC"/>
    <w:rsid w:val="008C1B5A"/>
    <w:rsid w:val="008C1C53"/>
    <w:rsid w:val="008C2CC5"/>
    <w:rsid w:val="008C3076"/>
    <w:rsid w:val="008C3155"/>
    <w:rsid w:val="008C3574"/>
    <w:rsid w:val="008C377F"/>
    <w:rsid w:val="008C426D"/>
    <w:rsid w:val="008C45AB"/>
    <w:rsid w:val="008C4BC8"/>
    <w:rsid w:val="008C53CF"/>
    <w:rsid w:val="008C5A0E"/>
    <w:rsid w:val="008C6C43"/>
    <w:rsid w:val="008C70E2"/>
    <w:rsid w:val="008D028F"/>
    <w:rsid w:val="008D1EA1"/>
    <w:rsid w:val="008D2E04"/>
    <w:rsid w:val="008D360A"/>
    <w:rsid w:val="008D4471"/>
    <w:rsid w:val="008D4504"/>
    <w:rsid w:val="008D518C"/>
    <w:rsid w:val="008D66E2"/>
    <w:rsid w:val="008D70E7"/>
    <w:rsid w:val="008D76CC"/>
    <w:rsid w:val="008D7CEC"/>
    <w:rsid w:val="008D7F7E"/>
    <w:rsid w:val="008D7FC0"/>
    <w:rsid w:val="008E0B2E"/>
    <w:rsid w:val="008E1621"/>
    <w:rsid w:val="008E2521"/>
    <w:rsid w:val="008E3138"/>
    <w:rsid w:val="008E420B"/>
    <w:rsid w:val="008E4392"/>
    <w:rsid w:val="008E4550"/>
    <w:rsid w:val="008E5093"/>
    <w:rsid w:val="008E56A8"/>
    <w:rsid w:val="008E5D8D"/>
    <w:rsid w:val="008E6FB0"/>
    <w:rsid w:val="008E7A8D"/>
    <w:rsid w:val="008F01A9"/>
    <w:rsid w:val="008F0CD0"/>
    <w:rsid w:val="008F140A"/>
    <w:rsid w:val="008F210C"/>
    <w:rsid w:val="008F2389"/>
    <w:rsid w:val="008F242E"/>
    <w:rsid w:val="008F2E5E"/>
    <w:rsid w:val="008F3272"/>
    <w:rsid w:val="008F3297"/>
    <w:rsid w:val="008F3614"/>
    <w:rsid w:val="008F48D5"/>
    <w:rsid w:val="008F57FC"/>
    <w:rsid w:val="008F5C8F"/>
    <w:rsid w:val="008F5D4D"/>
    <w:rsid w:val="008F6DA7"/>
    <w:rsid w:val="008F70C4"/>
    <w:rsid w:val="008F792D"/>
    <w:rsid w:val="008F79ED"/>
    <w:rsid w:val="008F7D6B"/>
    <w:rsid w:val="008F7F0D"/>
    <w:rsid w:val="009009F6"/>
    <w:rsid w:val="0090117D"/>
    <w:rsid w:val="0090124B"/>
    <w:rsid w:val="00901624"/>
    <w:rsid w:val="00901656"/>
    <w:rsid w:val="00901CE5"/>
    <w:rsid w:val="00902673"/>
    <w:rsid w:val="00903501"/>
    <w:rsid w:val="009038A6"/>
    <w:rsid w:val="009056EB"/>
    <w:rsid w:val="00905B86"/>
    <w:rsid w:val="009061E9"/>
    <w:rsid w:val="0090627E"/>
    <w:rsid w:val="009062A2"/>
    <w:rsid w:val="00906373"/>
    <w:rsid w:val="00906A98"/>
    <w:rsid w:val="00906C34"/>
    <w:rsid w:val="009070F6"/>
    <w:rsid w:val="009076EB"/>
    <w:rsid w:val="0090796E"/>
    <w:rsid w:val="0091094B"/>
    <w:rsid w:val="009110D9"/>
    <w:rsid w:val="0091141D"/>
    <w:rsid w:val="00911A12"/>
    <w:rsid w:val="00912CDC"/>
    <w:rsid w:val="00912E44"/>
    <w:rsid w:val="009134B9"/>
    <w:rsid w:val="00913D67"/>
    <w:rsid w:val="009147B6"/>
    <w:rsid w:val="00914F6C"/>
    <w:rsid w:val="00915376"/>
    <w:rsid w:val="00915593"/>
    <w:rsid w:val="00916028"/>
    <w:rsid w:val="00916303"/>
    <w:rsid w:val="00916581"/>
    <w:rsid w:val="009169A7"/>
    <w:rsid w:val="00916EDE"/>
    <w:rsid w:val="00916FDE"/>
    <w:rsid w:val="009170CB"/>
    <w:rsid w:val="009174AF"/>
    <w:rsid w:val="00920536"/>
    <w:rsid w:val="00920DFE"/>
    <w:rsid w:val="0092170E"/>
    <w:rsid w:val="00921823"/>
    <w:rsid w:val="00921846"/>
    <w:rsid w:val="00921B0E"/>
    <w:rsid w:val="00922726"/>
    <w:rsid w:val="00922917"/>
    <w:rsid w:val="00923947"/>
    <w:rsid w:val="0092423F"/>
    <w:rsid w:val="00924671"/>
    <w:rsid w:val="00924FA6"/>
    <w:rsid w:val="00925B03"/>
    <w:rsid w:val="00926D45"/>
    <w:rsid w:val="00927686"/>
    <w:rsid w:val="0093048C"/>
    <w:rsid w:val="009305CF"/>
    <w:rsid w:val="00930716"/>
    <w:rsid w:val="0093151E"/>
    <w:rsid w:val="009315AA"/>
    <w:rsid w:val="009318D3"/>
    <w:rsid w:val="00932C1C"/>
    <w:rsid w:val="00932F6E"/>
    <w:rsid w:val="00932FFF"/>
    <w:rsid w:val="00933B6A"/>
    <w:rsid w:val="00933D29"/>
    <w:rsid w:val="0093448D"/>
    <w:rsid w:val="00934A6D"/>
    <w:rsid w:val="00935380"/>
    <w:rsid w:val="0093602E"/>
    <w:rsid w:val="009360C2"/>
    <w:rsid w:val="009368F3"/>
    <w:rsid w:val="009373F9"/>
    <w:rsid w:val="00937EA6"/>
    <w:rsid w:val="00941C0A"/>
    <w:rsid w:val="00941EAC"/>
    <w:rsid w:val="00941F79"/>
    <w:rsid w:val="00942237"/>
    <w:rsid w:val="009423E0"/>
    <w:rsid w:val="009424C4"/>
    <w:rsid w:val="00942B55"/>
    <w:rsid w:val="00942F6A"/>
    <w:rsid w:val="00943730"/>
    <w:rsid w:val="00943802"/>
    <w:rsid w:val="00944E5F"/>
    <w:rsid w:val="00945806"/>
    <w:rsid w:val="0094621E"/>
    <w:rsid w:val="00946414"/>
    <w:rsid w:val="009465FF"/>
    <w:rsid w:val="00946CBC"/>
    <w:rsid w:val="00947E22"/>
    <w:rsid w:val="009502C6"/>
    <w:rsid w:val="00950560"/>
    <w:rsid w:val="00950733"/>
    <w:rsid w:val="00950D38"/>
    <w:rsid w:val="00951433"/>
    <w:rsid w:val="00952365"/>
    <w:rsid w:val="00952D09"/>
    <w:rsid w:val="009549BD"/>
    <w:rsid w:val="0095515D"/>
    <w:rsid w:val="009560F0"/>
    <w:rsid w:val="00957037"/>
    <w:rsid w:val="00957247"/>
    <w:rsid w:val="0096073E"/>
    <w:rsid w:val="00960B9C"/>
    <w:rsid w:val="00961E72"/>
    <w:rsid w:val="00962881"/>
    <w:rsid w:val="00963690"/>
    <w:rsid w:val="0096437E"/>
    <w:rsid w:val="009650DD"/>
    <w:rsid w:val="00965C08"/>
    <w:rsid w:val="00966B31"/>
    <w:rsid w:val="00966D3A"/>
    <w:rsid w:val="0096744D"/>
    <w:rsid w:val="00967B2A"/>
    <w:rsid w:val="0097033A"/>
    <w:rsid w:val="00970D61"/>
    <w:rsid w:val="00971188"/>
    <w:rsid w:val="0097121D"/>
    <w:rsid w:val="00971C08"/>
    <w:rsid w:val="00971D31"/>
    <w:rsid w:val="00971F38"/>
    <w:rsid w:val="009722B7"/>
    <w:rsid w:val="0097245E"/>
    <w:rsid w:val="009729E8"/>
    <w:rsid w:val="00972F9C"/>
    <w:rsid w:val="00973D36"/>
    <w:rsid w:val="009741CD"/>
    <w:rsid w:val="009743AB"/>
    <w:rsid w:val="00974928"/>
    <w:rsid w:val="009752BC"/>
    <w:rsid w:val="00975372"/>
    <w:rsid w:val="009753F3"/>
    <w:rsid w:val="00975CA5"/>
    <w:rsid w:val="00975D43"/>
    <w:rsid w:val="00976C13"/>
    <w:rsid w:val="00976EA3"/>
    <w:rsid w:val="00977098"/>
    <w:rsid w:val="00977536"/>
    <w:rsid w:val="00980E44"/>
    <w:rsid w:val="009810E0"/>
    <w:rsid w:val="0098130D"/>
    <w:rsid w:val="00981B8B"/>
    <w:rsid w:val="00983AED"/>
    <w:rsid w:val="00984425"/>
    <w:rsid w:val="00984982"/>
    <w:rsid w:val="00984CDB"/>
    <w:rsid w:val="00985135"/>
    <w:rsid w:val="00986590"/>
    <w:rsid w:val="009868A9"/>
    <w:rsid w:val="00987130"/>
    <w:rsid w:val="00987403"/>
    <w:rsid w:val="009874E2"/>
    <w:rsid w:val="00990096"/>
    <w:rsid w:val="00990570"/>
    <w:rsid w:val="0099076E"/>
    <w:rsid w:val="00990883"/>
    <w:rsid w:val="009919E0"/>
    <w:rsid w:val="00991FFA"/>
    <w:rsid w:val="00992374"/>
    <w:rsid w:val="00992C76"/>
    <w:rsid w:val="009931FD"/>
    <w:rsid w:val="00993B43"/>
    <w:rsid w:val="009941D8"/>
    <w:rsid w:val="00995A0E"/>
    <w:rsid w:val="009969D6"/>
    <w:rsid w:val="00996C94"/>
    <w:rsid w:val="009976B4"/>
    <w:rsid w:val="009A0063"/>
    <w:rsid w:val="009A029B"/>
    <w:rsid w:val="009A115A"/>
    <w:rsid w:val="009A1745"/>
    <w:rsid w:val="009A1DBA"/>
    <w:rsid w:val="009A3112"/>
    <w:rsid w:val="009A3678"/>
    <w:rsid w:val="009A38BA"/>
    <w:rsid w:val="009A3DD2"/>
    <w:rsid w:val="009A4C51"/>
    <w:rsid w:val="009A4FFD"/>
    <w:rsid w:val="009A668B"/>
    <w:rsid w:val="009A6EC8"/>
    <w:rsid w:val="009B038A"/>
    <w:rsid w:val="009B1237"/>
    <w:rsid w:val="009B1532"/>
    <w:rsid w:val="009B15DF"/>
    <w:rsid w:val="009B1A64"/>
    <w:rsid w:val="009B1A81"/>
    <w:rsid w:val="009B1AFA"/>
    <w:rsid w:val="009B1D94"/>
    <w:rsid w:val="009B2802"/>
    <w:rsid w:val="009B2E51"/>
    <w:rsid w:val="009B3084"/>
    <w:rsid w:val="009B34F4"/>
    <w:rsid w:val="009B359F"/>
    <w:rsid w:val="009B4624"/>
    <w:rsid w:val="009B4D3B"/>
    <w:rsid w:val="009B5406"/>
    <w:rsid w:val="009B595A"/>
    <w:rsid w:val="009B6010"/>
    <w:rsid w:val="009B60CD"/>
    <w:rsid w:val="009B6456"/>
    <w:rsid w:val="009B64B7"/>
    <w:rsid w:val="009B6A9A"/>
    <w:rsid w:val="009B6B1A"/>
    <w:rsid w:val="009B713D"/>
    <w:rsid w:val="009B7767"/>
    <w:rsid w:val="009B7942"/>
    <w:rsid w:val="009C003B"/>
    <w:rsid w:val="009C006E"/>
    <w:rsid w:val="009C0D39"/>
    <w:rsid w:val="009C1364"/>
    <w:rsid w:val="009C1380"/>
    <w:rsid w:val="009C1F53"/>
    <w:rsid w:val="009C2233"/>
    <w:rsid w:val="009C2435"/>
    <w:rsid w:val="009C2EDA"/>
    <w:rsid w:val="009C370A"/>
    <w:rsid w:val="009C3F65"/>
    <w:rsid w:val="009C3FF2"/>
    <w:rsid w:val="009C4586"/>
    <w:rsid w:val="009C640F"/>
    <w:rsid w:val="009C69AB"/>
    <w:rsid w:val="009C6FB2"/>
    <w:rsid w:val="009C7080"/>
    <w:rsid w:val="009C7656"/>
    <w:rsid w:val="009C7EB0"/>
    <w:rsid w:val="009C7F82"/>
    <w:rsid w:val="009D0328"/>
    <w:rsid w:val="009D03BB"/>
    <w:rsid w:val="009D1016"/>
    <w:rsid w:val="009D17AD"/>
    <w:rsid w:val="009D1EA7"/>
    <w:rsid w:val="009D2019"/>
    <w:rsid w:val="009D29B9"/>
    <w:rsid w:val="009D2D0F"/>
    <w:rsid w:val="009D393D"/>
    <w:rsid w:val="009D3B31"/>
    <w:rsid w:val="009D3B43"/>
    <w:rsid w:val="009D3F4F"/>
    <w:rsid w:val="009D401C"/>
    <w:rsid w:val="009D427A"/>
    <w:rsid w:val="009D42D4"/>
    <w:rsid w:val="009D43AD"/>
    <w:rsid w:val="009D5466"/>
    <w:rsid w:val="009D5B89"/>
    <w:rsid w:val="009D63C0"/>
    <w:rsid w:val="009D6ACD"/>
    <w:rsid w:val="009D7407"/>
    <w:rsid w:val="009D7728"/>
    <w:rsid w:val="009D7D7C"/>
    <w:rsid w:val="009E0866"/>
    <w:rsid w:val="009E0F6E"/>
    <w:rsid w:val="009E1166"/>
    <w:rsid w:val="009E14C9"/>
    <w:rsid w:val="009E167C"/>
    <w:rsid w:val="009E18B4"/>
    <w:rsid w:val="009E1D47"/>
    <w:rsid w:val="009E20C3"/>
    <w:rsid w:val="009E22B3"/>
    <w:rsid w:val="009E23AD"/>
    <w:rsid w:val="009E273C"/>
    <w:rsid w:val="009E2D39"/>
    <w:rsid w:val="009E2F88"/>
    <w:rsid w:val="009E3395"/>
    <w:rsid w:val="009E3B30"/>
    <w:rsid w:val="009E412B"/>
    <w:rsid w:val="009E43AA"/>
    <w:rsid w:val="009E4CE1"/>
    <w:rsid w:val="009E5983"/>
    <w:rsid w:val="009E5B68"/>
    <w:rsid w:val="009E629C"/>
    <w:rsid w:val="009E6388"/>
    <w:rsid w:val="009E69C4"/>
    <w:rsid w:val="009E716E"/>
    <w:rsid w:val="009E74AC"/>
    <w:rsid w:val="009E7593"/>
    <w:rsid w:val="009E7BDA"/>
    <w:rsid w:val="009F0964"/>
    <w:rsid w:val="009F1010"/>
    <w:rsid w:val="009F1350"/>
    <w:rsid w:val="009F154C"/>
    <w:rsid w:val="009F2DEF"/>
    <w:rsid w:val="009F2DF7"/>
    <w:rsid w:val="009F4130"/>
    <w:rsid w:val="009F424C"/>
    <w:rsid w:val="009F45C9"/>
    <w:rsid w:val="009F4A36"/>
    <w:rsid w:val="009F4D1B"/>
    <w:rsid w:val="009F55EE"/>
    <w:rsid w:val="009F5799"/>
    <w:rsid w:val="009F6423"/>
    <w:rsid w:val="009F6BB3"/>
    <w:rsid w:val="009F6C2F"/>
    <w:rsid w:val="009F7370"/>
    <w:rsid w:val="009F792B"/>
    <w:rsid w:val="00A002E1"/>
    <w:rsid w:val="00A01184"/>
    <w:rsid w:val="00A03132"/>
    <w:rsid w:val="00A03287"/>
    <w:rsid w:val="00A03592"/>
    <w:rsid w:val="00A03875"/>
    <w:rsid w:val="00A04423"/>
    <w:rsid w:val="00A0450D"/>
    <w:rsid w:val="00A04BB0"/>
    <w:rsid w:val="00A05420"/>
    <w:rsid w:val="00A0606F"/>
    <w:rsid w:val="00A0653C"/>
    <w:rsid w:val="00A066CE"/>
    <w:rsid w:val="00A06A9D"/>
    <w:rsid w:val="00A06E0D"/>
    <w:rsid w:val="00A077F0"/>
    <w:rsid w:val="00A07CB2"/>
    <w:rsid w:val="00A10399"/>
    <w:rsid w:val="00A10802"/>
    <w:rsid w:val="00A10C0B"/>
    <w:rsid w:val="00A10CCE"/>
    <w:rsid w:val="00A10D74"/>
    <w:rsid w:val="00A10ED2"/>
    <w:rsid w:val="00A11B33"/>
    <w:rsid w:val="00A12719"/>
    <w:rsid w:val="00A14A5F"/>
    <w:rsid w:val="00A14AB4"/>
    <w:rsid w:val="00A14E32"/>
    <w:rsid w:val="00A1590C"/>
    <w:rsid w:val="00A15938"/>
    <w:rsid w:val="00A1597F"/>
    <w:rsid w:val="00A1612B"/>
    <w:rsid w:val="00A1626E"/>
    <w:rsid w:val="00A16451"/>
    <w:rsid w:val="00A16642"/>
    <w:rsid w:val="00A16904"/>
    <w:rsid w:val="00A16EB3"/>
    <w:rsid w:val="00A1706A"/>
    <w:rsid w:val="00A172A3"/>
    <w:rsid w:val="00A175B3"/>
    <w:rsid w:val="00A202AB"/>
    <w:rsid w:val="00A203A2"/>
    <w:rsid w:val="00A20671"/>
    <w:rsid w:val="00A2097F"/>
    <w:rsid w:val="00A2111A"/>
    <w:rsid w:val="00A216A4"/>
    <w:rsid w:val="00A21AA0"/>
    <w:rsid w:val="00A22497"/>
    <w:rsid w:val="00A22694"/>
    <w:rsid w:val="00A22CB1"/>
    <w:rsid w:val="00A2356D"/>
    <w:rsid w:val="00A2357B"/>
    <w:rsid w:val="00A24A62"/>
    <w:rsid w:val="00A253F5"/>
    <w:rsid w:val="00A26E28"/>
    <w:rsid w:val="00A26EF9"/>
    <w:rsid w:val="00A27DD8"/>
    <w:rsid w:val="00A300FA"/>
    <w:rsid w:val="00A30B11"/>
    <w:rsid w:val="00A3150B"/>
    <w:rsid w:val="00A31C9F"/>
    <w:rsid w:val="00A32442"/>
    <w:rsid w:val="00A32858"/>
    <w:rsid w:val="00A33719"/>
    <w:rsid w:val="00A33ED4"/>
    <w:rsid w:val="00A341E7"/>
    <w:rsid w:val="00A34561"/>
    <w:rsid w:val="00A34629"/>
    <w:rsid w:val="00A34D00"/>
    <w:rsid w:val="00A34EA7"/>
    <w:rsid w:val="00A35B96"/>
    <w:rsid w:val="00A366E8"/>
    <w:rsid w:val="00A36E90"/>
    <w:rsid w:val="00A40708"/>
    <w:rsid w:val="00A40BEA"/>
    <w:rsid w:val="00A40C68"/>
    <w:rsid w:val="00A4144F"/>
    <w:rsid w:val="00A4186A"/>
    <w:rsid w:val="00A41AAB"/>
    <w:rsid w:val="00A424B2"/>
    <w:rsid w:val="00A42BC6"/>
    <w:rsid w:val="00A4320B"/>
    <w:rsid w:val="00A4404F"/>
    <w:rsid w:val="00A44DD7"/>
    <w:rsid w:val="00A456CC"/>
    <w:rsid w:val="00A457DD"/>
    <w:rsid w:val="00A45A82"/>
    <w:rsid w:val="00A46A47"/>
    <w:rsid w:val="00A46B31"/>
    <w:rsid w:val="00A50221"/>
    <w:rsid w:val="00A5092E"/>
    <w:rsid w:val="00A51B05"/>
    <w:rsid w:val="00A51B91"/>
    <w:rsid w:val="00A526FD"/>
    <w:rsid w:val="00A52A72"/>
    <w:rsid w:val="00A540FF"/>
    <w:rsid w:val="00A550A6"/>
    <w:rsid w:val="00A55784"/>
    <w:rsid w:val="00A561C1"/>
    <w:rsid w:val="00A5627E"/>
    <w:rsid w:val="00A57145"/>
    <w:rsid w:val="00A57622"/>
    <w:rsid w:val="00A5765D"/>
    <w:rsid w:val="00A57948"/>
    <w:rsid w:val="00A57B7C"/>
    <w:rsid w:val="00A602D6"/>
    <w:rsid w:val="00A6090E"/>
    <w:rsid w:val="00A60A6E"/>
    <w:rsid w:val="00A60A84"/>
    <w:rsid w:val="00A6189E"/>
    <w:rsid w:val="00A61B4D"/>
    <w:rsid w:val="00A61F2A"/>
    <w:rsid w:val="00A6207E"/>
    <w:rsid w:val="00A62E3A"/>
    <w:rsid w:val="00A630B3"/>
    <w:rsid w:val="00A63CEF"/>
    <w:rsid w:val="00A63F15"/>
    <w:rsid w:val="00A64865"/>
    <w:rsid w:val="00A64892"/>
    <w:rsid w:val="00A64AEC"/>
    <w:rsid w:val="00A64DBE"/>
    <w:rsid w:val="00A6542D"/>
    <w:rsid w:val="00A65D46"/>
    <w:rsid w:val="00A65EF0"/>
    <w:rsid w:val="00A65FE0"/>
    <w:rsid w:val="00A662CC"/>
    <w:rsid w:val="00A66F86"/>
    <w:rsid w:val="00A6708E"/>
    <w:rsid w:val="00A672B6"/>
    <w:rsid w:val="00A67329"/>
    <w:rsid w:val="00A6749F"/>
    <w:rsid w:val="00A6773C"/>
    <w:rsid w:val="00A67B68"/>
    <w:rsid w:val="00A67BCE"/>
    <w:rsid w:val="00A67DE4"/>
    <w:rsid w:val="00A67E23"/>
    <w:rsid w:val="00A70E8C"/>
    <w:rsid w:val="00A731B3"/>
    <w:rsid w:val="00A73C7C"/>
    <w:rsid w:val="00A74236"/>
    <w:rsid w:val="00A74D7A"/>
    <w:rsid w:val="00A753F3"/>
    <w:rsid w:val="00A75E0C"/>
    <w:rsid w:val="00A75E7E"/>
    <w:rsid w:val="00A76454"/>
    <w:rsid w:val="00A76670"/>
    <w:rsid w:val="00A76C3C"/>
    <w:rsid w:val="00A80C2B"/>
    <w:rsid w:val="00A80F95"/>
    <w:rsid w:val="00A81AD6"/>
    <w:rsid w:val="00A81DB1"/>
    <w:rsid w:val="00A82166"/>
    <w:rsid w:val="00A83975"/>
    <w:rsid w:val="00A83BEB"/>
    <w:rsid w:val="00A83C5F"/>
    <w:rsid w:val="00A84122"/>
    <w:rsid w:val="00A84196"/>
    <w:rsid w:val="00A84F8A"/>
    <w:rsid w:val="00A85D2B"/>
    <w:rsid w:val="00A85EBF"/>
    <w:rsid w:val="00A875B5"/>
    <w:rsid w:val="00A8771F"/>
    <w:rsid w:val="00A8786B"/>
    <w:rsid w:val="00A879F7"/>
    <w:rsid w:val="00A90332"/>
    <w:rsid w:val="00A90714"/>
    <w:rsid w:val="00A90B12"/>
    <w:rsid w:val="00A913E0"/>
    <w:rsid w:val="00A91795"/>
    <w:rsid w:val="00A919E7"/>
    <w:rsid w:val="00A93525"/>
    <w:rsid w:val="00A936C4"/>
    <w:rsid w:val="00A93735"/>
    <w:rsid w:val="00A94285"/>
    <w:rsid w:val="00A94698"/>
    <w:rsid w:val="00A95AFC"/>
    <w:rsid w:val="00A95D2E"/>
    <w:rsid w:val="00A95F2C"/>
    <w:rsid w:val="00A960BC"/>
    <w:rsid w:val="00A96FF9"/>
    <w:rsid w:val="00A97BF1"/>
    <w:rsid w:val="00A97F28"/>
    <w:rsid w:val="00AA0DCC"/>
    <w:rsid w:val="00AA13D5"/>
    <w:rsid w:val="00AA16FF"/>
    <w:rsid w:val="00AA1AAC"/>
    <w:rsid w:val="00AA213D"/>
    <w:rsid w:val="00AA298A"/>
    <w:rsid w:val="00AA315B"/>
    <w:rsid w:val="00AA350B"/>
    <w:rsid w:val="00AA4005"/>
    <w:rsid w:val="00AA4425"/>
    <w:rsid w:val="00AA48ED"/>
    <w:rsid w:val="00AA642E"/>
    <w:rsid w:val="00AA6B2B"/>
    <w:rsid w:val="00AA715D"/>
    <w:rsid w:val="00AA793B"/>
    <w:rsid w:val="00AA7D5E"/>
    <w:rsid w:val="00AA7F71"/>
    <w:rsid w:val="00AB0D55"/>
    <w:rsid w:val="00AB100F"/>
    <w:rsid w:val="00AB11FF"/>
    <w:rsid w:val="00AB1201"/>
    <w:rsid w:val="00AB145B"/>
    <w:rsid w:val="00AB1A89"/>
    <w:rsid w:val="00AB2356"/>
    <w:rsid w:val="00AB2BC8"/>
    <w:rsid w:val="00AB2F55"/>
    <w:rsid w:val="00AB2FA3"/>
    <w:rsid w:val="00AB3344"/>
    <w:rsid w:val="00AB3989"/>
    <w:rsid w:val="00AB3FD4"/>
    <w:rsid w:val="00AB4133"/>
    <w:rsid w:val="00AB41B1"/>
    <w:rsid w:val="00AB4D05"/>
    <w:rsid w:val="00AB4E9F"/>
    <w:rsid w:val="00AB5A2E"/>
    <w:rsid w:val="00AB6053"/>
    <w:rsid w:val="00AB64ED"/>
    <w:rsid w:val="00AB6FB4"/>
    <w:rsid w:val="00AB6FCC"/>
    <w:rsid w:val="00AB754B"/>
    <w:rsid w:val="00AC0434"/>
    <w:rsid w:val="00AC0B20"/>
    <w:rsid w:val="00AC0D7F"/>
    <w:rsid w:val="00AC164A"/>
    <w:rsid w:val="00AC1DB2"/>
    <w:rsid w:val="00AC2D55"/>
    <w:rsid w:val="00AC36C7"/>
    <w:rsid w:val="00AC3DB4"/>
    <w:rsid w:val="00AC4DD7"/>
    <w:rsid w:val="00AC51A7"/>
    <w:rsid w:val="00AC5963"/>
    <w:rsid w:val="00AC6277"/>
    <w:rsid w:val="00AC637A"/>
    <w:rsid w:val="00AC68D0"/>
    <w:rsid w:val="00AC6BCC"/>
    <w:rsid w:val="00AC6DC8"/>
    <w:rsid w:val="00AC7445"/>
    <w:rsid w:val="00AC7E86"/>
    <w:rsid w:val="00AD105C"/>
    <w:rsid w:val="00AD210A"/>
    <w:rsid w:val="00AD2521"/>
    <w:rsid w:val="00AD4002"/>
    <w:rsid w:val="00AD4675"/>
    <w:rsid w:val="00AD48D7"/>
    <w:rsid w:val="00AD5AB2"/>
    <w:rsid w:val="00AD5B9F"/>
    <w:rsid w:val="00AD5BA6"/>
    <w:rsid w:val="00AD5E43"/>
    <w:rsid w:val="00AD5F35"/>
    <w:rsid w:val="00AD639F"/>
    <w:rsid w:val="00AD76B7"/>
    <w:rsid w:val="00AD7C29"/>
    <w:rsid w:val="00AE02C5"/>
    <w:rsid w:val="00AE0A3E"/>
    <w:rsid w:val="00AE11DD"/>
    <w:rsid w:val="00AE1411"/>
    <w:rsid w:val="00AE1BC3"/>
    <w:rsid w:val="00AE22C2"/>
    <w:rsid w:val="00AE2E2E"/>
    <w:rsid w:val="00AE2F89"/>
    <w:rsid w:val="00AE2F8D"/>
    <w:rsid w:val="00AE40EB"/>
    <w:rsid w:val="00AE420C"/>
    <w:rsid w:val="00AE427B"/>
    <w:rsid w:val="00AE448A"/>
    <w:rsid w:val="00AE4799"/>
    <w:rsid w:val="00AE4B9B"/>
    <w:rsid w:val="00AE4EA5"/>
    <w:rsid w:val="00AE5558"/>
    <w:rsid w:val="00AE6F74"/>
    <w:rsid w:val="00AE771E"/>
    <w:rsid w:val="00AE775E"/>
    <w:rsid w:val="00AF02C4"/>
    <w:rsid w:val="00AF06C3"/>
    <w:rsid w:val="00AF0C8B"/>
    <w:rsid w:val="00AF2050"/>
    <w:rsid w:val="00AF273D"/>
    <w:rsid w:val="00AF37B3"/>
    <w:rsid w:val="00AF3957"/>
    <w:rsid w:val="00AF447E"/>
    <w:rsid w:val="00AF457F"/>
    <w:rsid w:val="00AF4F68"/>
    <w:rsid w:val="00AF52DB"/>
    <w:rsid w:val="00AF5821"/>
    <w:rsid w:val="00AF5AE5"/>
    <w:rsid w:val="00AF5BFC"/>
    <w:rsid w:val="00AF5D7B"/>
    <w:rsid w:val="00AF6099"/>
    <w:rsid w:val="00AF6C99"/>
    <w:rsid w:val="00AF7618"/>
    <w:rsid w:val="00B00926"/>
    <w:rsid w:val="00B00A04"/>
    <w:rsid w:val="00B0187B"/>
    <w:rsid w:val="00B02F86"/>
    <w:rsid w:val="00B030F6"/>
    <w:rsid w:val="00B0387C"/>
    <w:rsid w:val="00B03CA8"/>
    <w:rsid w:val="00B03D46"/>
    <w:rsid w:val="00B03DFF"/>
    <w:rsid w:val="00B03E1E"/>
    <w:rsid w:val="00B04468"/>
    <w:rsid w:val="00B04862"/>
    <w:rsid w:val="00B056C5"/>
    <w:rsid w:val="00B05D62"/>
    <w:rsid w:val="00B0682C"/>
    <w:rsid w:val="00B06AFA"/>
    <w:rsid w:val="00B06BC1"/>
    <w:rsid w:val="00B06F5D"/>
    <w:rsid w:val="00B0704D"/>
    <w:rsid w:val="00B071ED"/>
    <w:rsid w:val="00B1105A"/>
    <w:rsid w:val="00B1258B"/>
    <w:rsid w:val="00B12D0C"/>
    <w:rsid w:val="00B15503"/>
    <w:rsid w:val="00B166B4"/>
    <w:rsid w:val="00B1748B"/>
    <w:rsid w:val="00B17605"/>
    <w:rsid w:val="00B17C84"/>
    <w:rsid w:val="00B17CAB"/>
    <w:rsid w:val="00B20CA1"/>
    <w:rsid w:val="00B21272"/>
    <w:rsid w:val="00B21402"/>
    <w:rsid w:val="00B21902"/>
    <w:rsid w:val="00B219E5"/>
    <w:rsid w:val="00B22347"/>
    <w:rsid w:val="00B226D2"/>
    <w:rsid w:val="00B22DD5"/>
    <w:rsid w:val="00B2361B"/>
    <w:rsid w:val="00B236E1"/>
    <w:rsid w:val="00B2383D"/>
    <w:rsid w:val="00B2548F"/>
    <w:rsid w:val="00B2555A"/>
    <w:rsid w:val="00B26690"/>
    <w:rsid w:val="00B26A18"/>
    <w:rsid w:val="00B2727C"/>
    <w:rsid w:val="00B27CB8"/>
    <w:rsid w:val="00B301F5"/>
    <w:rsid w:val="00B319E6"/>
    <w:rsid w:val="00B31ED6"/>
    <w:rsid w:val="00B31F12"/>
    <w:rsid w:val="00B31F94"/>
    <w:rsid w:val="00B320DD"/>
    <w:rsid w:val="00B32328"/>
    <w:rsid w:val="00B3299D"/>
    <w:rsid w:val="00B330CB"/>
    <w:rsid w:val="00B33251"/>
    <w:rsid w:val="00B33A7C"/>
    <w:rsid w:val="00B33B3A"/>
    <w:rsid w:val="00B33C0A"/>
    <w:rsid w:val="00B34213"/>
    <w:rsid w:val="00B3450A"/>
    <w:rsid w:val="00B34561"/>
    <w:rsid w:val="00B354C9"/>
    <w:rsid w:val="00B355CC"/>
    <w:rsid w:val="00B37636"/>
    <w:rsid w:val="00B37CF2"/>
    <w:rsid w:val="00B407EE"/>
    <w:rsid w:val="00B40C50"/>
    <w:rsid w:val="00B41147"/>
    <w:rsid w:val="00B41332"/>
    <w:rsid w:val="00B41DAB"/>
    <w:rsid w:val="00B42060"/>
    <w:rsid w:val="00B42E38"/>
    <w:rsid w:val="00B438D2"/>
    <w:rsid w:val="00B43B19"/>
    <w:rsid w:val="00B4480A"/>
    <w:rsid w:val="00B44D82"/>
    <w:rsid w:val="00B44F62"/>
    <w:rsid w:val="00B451A6"/>
    <w:rsid w:val="00B4529F"/>
    <w:rsid w:val="00B452A7"/>
    <w:rsid w:val="00B45A2C"/>
    <w:rsid w:val="00B45B2F"/>
    <w:rsid w:val="00B4601A"/>
    <w:rsid w:val="00B46240"/>
    <w:rsid w:val="00B46431"/>
    <w:rsid w:val="00B46997"/>
    <w:rsid w:val="00B46C8D"/>
    <w:rsid w:val="00B477B6"/>
    <w:rsid w:val="00B5040F"/>
    <w:rsid w:val="00B50443"/>
    <w:rsid w:val="00B50614"/>
    <w:rsid w:val="00B523A2"/>
    <w:rsid w:val="00B533AD"/>
    <w:rsid w:val="00B539CE"/>
    <w:rsid w:val="00B550A7"/>
    <w:rsid w:val="00B55112"/>
    <w:rsid w:val="00B551A8"/>
    <w:rsid w:val="00B55409"/>
    <w:rsid w:val="00B55C0E"/>
    <w:rsid w:val="00B55CF0"/>
    <w:rsid w:val="00B55E19"/>
    <w:rsid w:val="00B5678F"/>
    <w:rsid w:val="00B57D62"/>
    <w:rsid w:val="00B60385"/>
    <w:rsid w:val="00B619A5"/>
    <w:rsid w:val="00B61A53"/>
    <w:rsid w:val="00B61BE7"/>
    <w:rsid w:val="00B622F2"/>
    <w:rsid w:val="00B6275D"/>
    <w:rsid w:val="00B6320B"/>
    <w:rsid w:val="00B6321D"/>
    <w:rsid w:val="00B635C0"/>
    <w:rsid w:val="00B63A6B"/>
    <w:rsid w:val="00B652B2"/>
    <w:rsid w:val="00B65A27"/>
    <w:rsid w:val="00B65BFA"/>
    <w:rsid w:val="00B65C11"/>
    <w:rsid w:val="00B66412"/>
    <w:rsid w:val="00B6701A"/>
    <w:rsid w:val="00B67983"/>
    <w:rsid w:val="00B679F2"/>
    <w:rsid w:val="00B67AC8"/>
    <w:rsid w:val="00B70F47"/>
    <w:rsid w:val="00B71B1E"/>
    <w:rsid w:val="00B73200"/>
    <w:rsid w:val="00B73348"/>
    <w:rsid w:val="00B7368E"/>
    <w:rsid w:val="00B7408C"/>
    <w:rsid w:val="00B7422D"/>
    <w:rsid w:val="00B742AC"/>
    <w:rsid w:val="00B7435D"/>
    <w:rsid w:val="00B754CA"/>
    <w:rsid w:val="00B757F9"/>
    <w:rsid w:val="00B76685"/>
    <w:rsid w:val="00B766DD"/>
    <w:rsid w:val="00B7746B"/>
    <w:rsid w:val="00B779E4"/>
    <w:rsid w:val="00B77F81"/>
    <w:rsid w:val="00B80042"/>
    <w:rsid w:val="00B800CF"/>
    <w:rsid w:val="00B80D91"/>
    <w:rsid w:val="00B81B2F"/>
    <w:rsid w:val="00B81CD7"/>
    <w:rsid w:val="00B83373"/>
    <w:rsid w:val="00B83397"/>
    <w:rsid w:val="00B8375D"/>
    <w:rsid w:val="00B8402B"/>
    <w:rsid w:val="00B841D8"/>
    <w:rsid w:val="00B84CCC"/>
    <w:rsid w:val="00B85E45"/>
    <w:rsid w:val="00B85FFB"/>
    <w:rsid w:val="00B86D4D"/>
    <w:rsid w:val="00B9188E"/>
    <w:rsid w:val="00B91CA5"/>
    <w:rsid w:val="00B92461"/>
    <w:rsid w:val="00B92A1B"/>
    <w:rsid w:val="00B93D18"/>
    <w:rsid w:val="00B94027"/>
    <w:rsid w:val="00B94758"/>
    <w:rsid w:val="00B94BE3"/>
    <w:rsid w:val="00B954FB"/>
    <w:rsid w:val="00B956B6"/>
    <w:rsid w:val="00B957F1"/>
    <w:rsid w:val="00BA084E"/>
    <w:rsid w:val="00BA0B0D"/>
    <w:rsid w:val="00BA13DD"/>
    <w:rsid w:val="00BA17D1"/>
    <w:rsid w:val="00BA18FF"/>
    <w:rsid w:val="00BA1F25"/>
    <w:rsid w:val="00BA21D9"/>
    <w:rsid w:val="00BA22F2"/>
    <w:rsid w:val="00BA23EC"/>
    <w:rsid w:val="00BA2B9C"/>
    <w:rsid w:val="00BA30E5"/>
    <w:rsid w:val="00BA4AC3"/>
    <w:rsid w:val="00BA4B6D"/>
    <w:rsid w:val="00BA4BC1"/>
    <w:rsid w:val="00BA4CC0"/>
    <w:rsid w:val="00BA4EA4"/>
    <w:rsid w:val="00BA5F6D"/>
    <w:rsid w:val="00BA6465"/>
    <w:rsid w:val="00BA6E26"/>
    <w:rsid w:val="00BB12C0"/>
    <w:rsid w:val="00BB19E6"/>
    <w:rsid w:val="00BB26C5"/>
    <w:rsid w:val="00BB341C"/>
    <w:rsid w:val="00BB4D9E"/>
    <w:rsid w:val="00BB4F0D"/>
    <w:rsid w:val="00BB4F19"/>
    <w:rsid w:val="00BB500A"/>
    <w:rsid w:val="00BB504A"/>
    <w:rsid w:val="00BB5440"/>
    <w:rsid w:val="00BB55F6"/>
    <w:rsid w:val="00BB5E3A"/>
    <w:rsid w:val="00BB65D2"/>
    <w:rsid w:val="00BB699A"/>
    <w:rsid w:val="00BB6A9F"/>
    <w:rsid w:val="00BB74E2"/>
    <w:rsid w:val="00BB7B72"/>
    <w:rsid w:val="00BC0163"/>
    <w:rsid w:val="00BC0234"/>
    <w:rsid w:val="00BC0E36"/>
    <w:rsid w:val="00BC31BD"/>
    <w:rsid w:val="00BC320B"/>
    <w:rsid w:val="00BC3746"/>
    <w:rsid w:val="00BC3E85"/>
    <w:rsid w:val="00BC4153"/>
    <w:rsid w:val="00BC49D8"/>
    <w:rsid w:val="00BC4CA3"/>
    <w:rsid w:val="00BC5723"/>
    <w:rsid w:val="00BC60BC"/>
    <w:rsid w:val="00BC671D"/>
    <w:rsid w:val="00BC6826"/>
    <w:rsid w:val="00BC698A"/>
    <w:rsid w:val="00BC707D"/>
    <w:rsid w:val="00BC72E1"/>
    <w:rsid w:val="00BC75F5"/>
    <w:rsid w:val="00BC7A23"/>
    <w:rsid w:val="00BD0C46"/>
    <w:rsid w:val="00BD0D97"/>
    <w:rsid w:val="00BD15EC"/>
    <w:rsid w:val="00BD1BC8"/>
    <w:rsid w:val="00BD20D6"/>
    <w:rsid w:val="00BD2236"/>
    <w:rsid w:val="00BD265B"/>
    <w:rsid w:val="00BD4E8A"/>
    <w:rsid w:val="00BD55EC"/>
    <w:rsid w:val="00BD5F72"/>
    <w:rsid w:val="00BD6161"/>
    <w:rsid w:val="00BD6975"/>
    <w:rsid w:val="00BE008A"/>
    <w:rsid w:val="00BE01FD"/>
    <w:rsid w:val="00BE079E"/>
    <w:rsid w:val="00BE0AFA"/>
    <w:rsid w:val="00BE1163"/>
    <w:rsid w:val="00BE18E3"/>
    <w:rsid w:val="00BE1ACB"/>
    <w:rsid w:val="00BE1B59"/>
    <w:rsid w:val="00BE21D6"/>
    <w:rsid w:val="00BE2345"/>
    <w:rsid w:val="00BE270E"/>
    <w:rsid w:val="00BE382A"/>
    <w:rsid w:val="00BE3E5D"/>
    <w:rsid w:val="00BE3FBF"/>
    <w:rsid w:val="00BE4E12"/>
    <w:rsid w:val="00BE5649"/>
    <w:rsid w:val="00BE5883"/>
    <w:rsid w:val="00BE5FC5"/>
    <w:rsid w:val="00BE7056"/>
    <w:rsid w:val="00BE733A"/>
    <w:rsid w:val="00BE7B9F"/>
    <w:rsid w:val="00BE7D1E"/>
    <w:rsid w:val="00BF00DF"/>
    <w:rsid w:val="00BF1855"/>
    <w:rsid w:val="00BF1A7F"/>
    <w:rsid w:val="00BF2138"/>
    <w:rsid w:val="00BF222F"/>
    <w:rsid w:val="00BF2602"/>
    <w:rsid w:val="00BF261A"/>
    <w:rsid w:val="00BF2908"/>
    <w:rsid w:val="00BF2B07"/>
    <w:rsid w:val="00BF2DFF"/>
    <w:rsid w:val="00BF3048"/>
    <w:rsid w:val="00BF353B"/>
    <w:rsid w:val="00BF3574"/>
    <w:rsid w:val="00BF378D"/>
    <w:rsid w:val="00BF3F3E"/>
    <w:rsid w:val="00BF4344"/>
    <w:rsid w:val="00BF4DE6"/>
    <w:rsid w:val="00BF4EC6"/>
    <w:rsid w:val="00BF5252"/>
    <w:rsid w:val="00BF5553"/>
    <w:rsid w:val="00BF5963"/>
    <w:rsid w:val="00BF5A87"/>
    <w:rsid w:val="00BF5E43"/>
    <w:rsid w:val="00BF710E"/>
    <w:rsid w:val="00BF72F0"/>
    <w:rsid w:val="00BF7DF6"/>
    <w:rsid w:val="00C0015E"/>
    <w:rsid w:val="00C00826"/>
    <w:rsid w:val="00C010A2"/>
    <w:rsid w:val="00C01378"/>
    <w:rsid w:val="00C01FEB"/>
    <w:rsid w:val="00C02530"/>
    <w:rsid w:val="00C03412"/>
    <w:rsid w:val="00C03A90"/>
    <w:rsid w:val="00C0447D"/>
    <w:rsid w:val="00C05AAB"/>
    <w:rsid w:val="00C062BB"/>
    <w:rsid w:val="00C06B13"/>
    <w:rsid w:val="00C0713D"/>
    <w:rsid w:val="00C072D0"/>
    <w:rsid w:val="00C07453"/>
    <w:rsid w:val="00C07561"/>
    <w:rsid w:val="00C0799A"/>
    <w:rsid w:val="00C07E6E"/>
    <w:rsid w:val="00C108B6"/>
    <w:rsid w:val="00C1113F"/>
    <w:rsid w:val="00C11ABE"/>
    <w:rsid w:val="00C11F7C"/>
    <w:rsid w:val="00C12237"/>
    <w:rsid w:val="00C122DC"/>
    <w:rsid w:val="00C13464"/>
    <w:rsid w:val="00C1397A"/>
    <w:rsid w:val="00C13BD5"/>
    <w:rsid w:val="00C13D54"/>
    <w:rsid w:val="00C14DCB"/>
    <w:rsid w:val="00C150FE"/>
    <w:rsid w:val="00C15169"/>
    <w:rsid w:val="00C162AB"/>
    <w:rsid w:val="00C169CC"/>
    <w:rsid w:val="00C171BC"/>
    <w:rsid w:val="00C179C1"/>
    <w:rsid w:val="00C17AF4"/>
    <w:rsid w:val="00C20AEE"/>
    <w:rsid w:val="00C20BD8"/>
    <w:rsid w:val="00C2143F"/>
    <w:rsid w:val="00C21478"/>
    <w:rsid w:val="00C21985"/>
    <w:rsid w:val="00C22413"/>
    <w:rsid w:val="00C22D73"/>
    <w:rsid w:val="00C23019"/>
    <w:rsid w:val="00C231FF"/>
    <w:rsid w:val="00C23237"/>
    <w:rsid w:val="00C23296"/>
    <w:rsid w:val="00C23456"/>
    <w:rsid w:val="00C23E80"/>
    <w:rsid w:val="00C23EF2"/>
    <w:rsid w:val="00C241B5"/>
    <w:rsid w:val="00C24594"/>
    <w:rsid w:val="00C245DC"/>
    <w:rsid w:val="00C24EF7"/>
    <w:rsid w:val="00C257FE"/>
    <w:rsid w:val="00C25C02"/>
    <w:rsid w:val="00C2656F"/>
    <w:rsid w:val="00C265A7"/>
    <w:rsid w:val="00C26B72"/>
    <w:rsid w:val="00C271EE"/>
    <w:rsid w:val="00C27D25"/>
    <w:rsid w:val="00C3045B"/>
    <w:rsid w:val="00C30FB1"/>
    <w:rsid w:val="00C31294"/>
    <w:rsid w:val="00C32B65"/>
    <w:rsid w:val="00C32DEC"/>
    <w:rsid w:val="00C33FC0"/>
    <w:rsid w:val="00C34349"/>
    <w:rsid w:val="00C346DD"/>
    <w:rsid w:val="00C35362"/>
    <w:rsid w:val="00C35D51"/>
    <w:rsid w:val="00C36793"/>
    <w:rsid w:val="00C36A54"/>
    <w:rsid w:val="00C3722C"/>
    <w:rsid w:val="00C37987"/>
    <w:rsid w:val="00C37D9B"/>
    <w:rsid w:val="00C400BA"/>
    <w:rsid w:val="00C40ADC"/>
    <w:rsid w:val="00C419F9"/>
    <w:rsid w:val="00C41A4E"/>
    <w:rsid w:val="00C4230A"/>
    <w:rsid w:val="00C42541"/>
    <w:rsid w:val="00C428D9"/>
    <w:rsid w:val="00C42CDE"/>
    <w:rsid w:val="00C42D8E"/>
    <w:rsid w:val="00C42EC7"/>
    <w:rsid w:val="00C43000"/>
    <w:rsid w:val="00C4364B"/>
    <w:rsid w:val="00C43F42"/>
    <w:rsid w:val="00C44AF4"/>
    <w:rsid w:val="00C45D67"/>
    <w:rsid w:val="00C46B78"/>
    <w:rsid w:val="00C47CF9"/>
    <w:rsid w:val="00C47D70"/>
    <w:rsid w:val="00C50644"/>
    <w:rsid w:val="00C50CDC"/>
    <w:rsid w:val="00C50F70"/>
    <w:rsid w:val="00C51667"/>
    <w:rsid w:val="00C5182A"/>
    <w:rsid w:val="00C519FF"/>
    <w:rsid w:val="00C51BDA"/>
    <w:rsid w:val="00C52638"/>
    <w:rsid w:val="00C534FD"/>
    <w:rsid w:val="00C53F48"/>
    <w:rsid w:val="00C547D7"/>
    <w:rsid w:val="00C54908"/>
    <w:rsid w:val="00C5579D"/>
    <w:rsid w:val="00C55B5B"/>
    <w:rsid w:val="00C56EF9"/>
    <w:rsid w:val="00C571D7"/>
    <w:rsid w:val="00C57F56"/>
    <w:rsid w:val="00C6005D"/>
    <w:rsid w:val="00C614F2"/>
    <w:rsid w:val="00C61524"/>
    <w:rsid w:val="00C62200"/>
    <w:rsid w:val="00C62568"/>
    <w:rsid w:val="00C62738"/>
    <w:rsid w:val="00C63014"/>
    <w:rsid w:val="00C630EC"/>
    <w:rsid w:val="00C63DF3"/>
    <w:rsid w:val="00C63E21"/>
    <w:rsid w:val="00C63EE9"/>
    <w:rsid w:val="00C6575F"/>
    <w:rsid w:val="00C65FC7"/>
    <w:rsid w:val="00C66489"/>
    <w:rsid w:val="00C6661E"/>
    <w:rsid w:val="00C66773"/>
    <w:rsid w:val="00C670C7"/>
    <w:rsid w:val="00C67188"/>
    <w:rsid w:val="00C67D99"/>
    <w:rsid w:val="00C70E53"/>
    <w:rsid w:val="00C713BF"/>
    <w:rsid w:val="00C72F62"/>
    <w:rsid w:val="00C730AA"/>
    <w:rsid w:val="00C73363"/>
    <w:rsid w:val="00C73397"/>
    <w:rsid w:val="00C7377D"/>
    <w:rsid w:val="00C737CC"/>
    <w:rsid w:val="00C740B2"/>
    <w:rsid w:val="00C742D8"/>
    <w:rsid w:val="00C746DF"/>
    <w:rsid w:val="00C74B19"/>
    <w:rsid w:val="00C74D11"/>
    <w:rsid w:val="00C75696"/>
    <w:rsid w:val="00C75D79"/>
    <w:rsid w:val="00C76159"/>
    <w:rsid w:val="00C7669E"/>
    <w:rsid w:val="00C7669F"/>
    <w:rsid w:val="00C7680B"/>
    <w:rsid w:val="00C76C52"/>
    <w:rsid w:val="00C80A31"/>
    <w:rsid w:val="00C80E08"/>
    <w:rsid w:val="00C818E5"/>
    <w:rsid w:val="00C81E5C"/>
    <w:rsid w:val="00C81EFD"/>
    <w:rsid w:val="00C82B24"/>
    <w:rsid w:val="00C835D4"/>
    <w:rsid w:val="00C83EE3"/>
    <w:rsid w:val="00C84FF7"/>
    <w:rsid w:val="00C853D7"/>
    <w:rsid w:val="00C86C19"/>
    <w:rsid w:val="00C870AF"/>
    <w:rsid w:val="00C87514"/>
    <w:rsid w:val="00C917C6"/>
    <w:rsid w:val="00C91B0E"/>
    <w:rsid w:val="00C92030"/>
    <w:rsid w:val="00C92610"/>
    <w:rsid w:val="00C929B5"/>
    <w:rsid w:val="00C92CE8"/>
    <w:rsid w:val="00C933D7"/>
    <w:rsid w:val="00C93F03"/>
    <w:rsid w:val="00C94523"/>
    <w:rsid w:val="00C94F53"/>
    <w:rsid w:val="00C9541E"/>
    <w:rsid w:val="00C959A4"/>
    <w:rsid w:val="00C96E95"/>
    <w:rsid w:val="00CA0E31"/>
    <w:rsid w:val="00CA1153"/>
    <w:rsid w:val="00CA11F2"/>
    <w:rsid w:val="00CA12E8"/>
    <w:rsid w:val="00CA13B6"/>
    <w:rsid w:val="00CA1479"/>
    <w:rsid w:val="00CA15EF"/>
    <w:rsid w:val="00CA16F3"/>
    <w:rsid w:val="00CA1C6E"/>
    <w:rsid w:val="00CA240E"/>
    <w:rsid w:val="00CA292C"/>
    <w:rsid w:val="00CA3142"/>
    <w:rsid w:val="00CA3570"/>
    <w:rsid w:val="00CA37B1"/>
    <w:rsid w:val="00CA43FE"/>
    <w:rsid w:val="00CA4607"/>
    <w:rsid w:val="00CA479A"/>
    <w:rsid w:val="00CA4A9C"/>
    <w:rsid w:val="00CA4F0C"/>
    <w:rsid w:val="00CA54CE"/>
    <w:rsid w:val="00CA553D"/>
    <w:rsid w:val="00CA585C"/>
    <w:rsid w:val="00CA5B0B"/>
    <w:rsid w:val="00CA5FCF"/>
    <w:rsid w:val="00CA6084"/>
    <w:rsid w:val="00CA7205"/>
    <w:rsid w:val="00CA7CF0"/>
    <w:rsid w:val="00CB0222"/>
    <w:rsid w:val="00CB0B82"/>
    <w:rsid w:val="00CB133A"/>
    <w:rsid w:val="00CB1343"/>
    <w:rsid w:val="00CB1959"/>
    <w:rsid w:val="00CB1B93"/>
    <w:rsid w:val="00CB2B51"/>
    <w:rsid w:val="00CB2D8D"/>
    <w:rsid w:val="00CB334F"/>
    <w:rsid w:val="00CB338E"/>
    <w:rsid w:val="00CB3534"/>
    <w:rsid w:val="00CB38F6"/>
    <w:rsid w:val="00CB39CC"/>
    <w:rsid w:val="00CB402C"/>
    <w:rsid w:val="00CB40CC"/>
    <w:rsid w:val="00CB44B7"/>
    <w:rsid w:val="00CB4750"/>
    <w:rsid w:val="00CB4796"/>
    <w:rsid w:val="00CB4CBE"/>
    <w:rsid w:val="00CB51D9"/>
    <w:rsid w:val="00CB5A71"/>
    <w:rsid w:val="00CB6433"/>
    <w:rsid w:val="00CB69DE"/>
    <w:rsid w:val="00CB6F93"/>
    <w:rsid w:val="00CB74FD"/>
    <w:rsid w:val="00CB7D62"/>
    <w:rsid w:val="00CC0037"/>
    <w:rsid w:val="00CC0548"/>
    <w:rsid w:val="00CC06F4"/>
    <w:rsid w:val="00CC0D47"/>
    <w:rsid w:val="00CC1E1B"/>
    <w:rsid w:val="00CC208E"/>
    <w:rsid w:val="00CC27FA"/>
    <w:rsid w:val="00CC2BD4"/>
    <w:rsid w:val="00CC2C86"/>
    <w:rsid w:val="00CC2E29"/>
    <w:rsid w:val="00CC363D"/>
    <w:rsid w:val="00CC3E26"/>
    <w:rsid w:val="00CC462C"/>
    <w:rsid w:val="00CC46B6"/>
    <w:rsid w:val="00CC4E94"/>
    <w:rsid w:val="00CC6319"/>
    <w:rsid w:val="00CC694E"/>
    <w:rsid w:val="00CC698F"/>
    <w:rsid w:val="00CC71C7"/>
    <w:rsid w:val="00CC7211"/>
    <w:rsid w:val="00CC741B"/>
    <w:rsid w:val="00CC7CAD"/>
    <w:rsid w:val="00CC7FAB"/>
    <w:rsid w:val="00CD0187"/>
    <w:rsid w:val="00CD01FE"/>
    <w:rsid w:val="00CD04A6"/>
    <w:rsid w:val="00CD0E4B"/>
    <w:rsid w:val="00CD1042"/>
    <w:rsid w:val="00CD1312"/>
    <w:rsid w:val="00CD1B1A"/>
    <w:rsid w:val="00CD22DE"/>
    <w:rsid w:val="00CD2D07"/>
    <w:rsid w:val="00CD2E71"/>
    <w:rsid w:val="00CD569C"/>
    <w:rsid w:val="00CD609B"/>
    <w:rsid w:val="00CD621D"/>
    <w:rsid w:val="00CD6691"/>
    <w:rsid w:val="00CD682E"/>
    <w:rsid w:val="00CD6BFE"/>
    <w:rsid w:val="00CD6F1B"/>
    <w:rsid w:val="00CD7441"/>
    <w:rsid w:val="00CD798D"/>
    <w:rsid w:val="00CE05D5"/>
    <w:rsid w:val="00CE0F7D"/>
    <w:rsid w:val="00CE1257"/>
    <w:rsid w:val="00CE1486"/>
    <w:rsid w:val="00CE17CD"/>
    <w:rsid w:val="00CE3129"/>
    <w:rsid w:val="00CE492C"/>
    <w:rsid w:val="00CE4C89"/>
    <w:rsid w:val="00CE4F63"/>
    <w:rsid w:val="00CE56DE"/>
    <w:rsid w:val="00CE5C20"/>
    <w:rsid w:val="00CE5E28"/>
    <w:rsid w:val="00CE6227"/>
    <w:rsid w:val="00CF07BA"/>
    <w:rsid w:val="00CF0940"/>
    <w:rsid w:val="00CF0A07"/>
    <w:rsid w:val="00CF0A8F"/>
    <w:rsid w:val="00CF1506"/>
    <w:rsid w:val="00CF19FA"/>
    <w:rsid w:val="00CF1D58"/>
    <w:rsid w:val="00CF20FA"/>
    <w:rsid w:val="00CF28F9"/>
    <w:rsid w:val="00CF33BB"/>
    <w:rsid w:val="00CF4756"/>
    <w:rsid w:val="00CF4BC3"/>
    <w:rsid w:val="00CF4C80"/>
    <w:rsid w:val="00CF541A"/>
    <w:rsid w:val="00CF5AFC"/>
    <w:rsid w:val="00CF649E"/>
    <w:rsid w:val="00CF6A3C"/>
    <w:rsid w:val="00CF74FA"/>
    <w:rsid w:val="00CF7640"/>
    <w:rsid w:val="00CF7E54"/>
    <w:rsid w:val="00D00003"/>
    <w:rsid w:val="00D011C9"/>
    <w:rsid w:val="00D01270"/>
    <w:rsid w:val="00D01500"/>
    <w:rsid w:val="00D01B37"/>
    <w:rsid w:val="00D01E00"/>
    <w:rsid w:val="00D02572"/>
    <w:rsid w:val="00D0296C"/>
    <w:rsid w:val="00D02ADF"/>
    <w:rsid w:val="00D02D18"/>
    <w:rsid w:val="00D03E7C"/>
    <w:rsid w:val="00D040B0"/>
    <w:rsid w:val="00D04237"/>
    <w:rsid w:val="00D04256"/>
    <w:rsid w:val="00D04B64"/>
    <w:rsid w:val="00D04CC6"/>
    <w:rsid w:val="00D0533D"/>
    <w:rsid w:val="00D05955"/>
    <w:rsid w:val="00D05C53"/>
    <w:rsid w:val="00D06796"/>
    <w:rsid w:val="00D0770A"/>
    <w:rsid w:val="00D07983"/>
    <w:rsid w:val="00D07AD3"/>
    <w:rsid w:val="00D07AD4"/>
    <w:rsid w:val="00D07E64"/>
    <w:rsid w:val="00D10808"/>
    <w:rsid w:val="00D10986"/>
    <w:rsid w:val="00D113CC"/>
    <w:rsid w:val="00D116AE"/>
    <w:rsid w:val="00D1179B"/>
    <w:rsid w:val="00D11CFE"/>
    <w:rsid w:val="00D11DD4"/>
    <w:rsid w:val="00D124F5"/>
    <w:rsid w:val="00D12DD6"/>
    <w:rsid w:val="00D12DED"/>
    <w:rsid w:val="00D13F5F"/>
    <w:rsid w:val="00D152B8"/>
    <w:rsid w:val="00D15390"/>
    <w:rsid w:val="00D15C7B"/>
    <w:rsid w:val="00D15FD5"/>
    <w:rsid w:val="00D161BD"/>
    <w:rsid w:val="00D16751"/>
    <w:rsid w:val="00D16CB2"/>
    <w:rsid w:val="00D16E09"/>
    <w:rsid w:val="00D1755D"/>
    <w:rsid w:val="00D1780E"/>
    <w:rsid w:val="00D221D0"/>
    <w:rsid w:val="00D22B06"/>
    <w:rsid w:val="00D22B57"/>
    <w:rsid w:val="00D23DBB"/>
    <w:rsid w:val="00D241B1"/>
    <w:rsid w:val="00D24B14"/>
    <w:rsid w:val="00D24F7C"/>
    <w:rsid w:val="00D252A4"/>
    <w:rsid w:val="00D25380"/>
    <w:rsid w:val="00D2571B"/>
    <w:rsid w:val="00D27F19"/>
    <w:rsid w:val="00D30120"/>
    <w:rsid w:val="00D301FE"/>
    <w:rsid w:val="00D30819"/>
    <w:rsid w:val="00D30888"/>
    <w:rsid w:val="00D30890"/>
    <w:rsid w:val="00D308C5"/>
    <w:rsid w:val="00D31D86"/>
    <w:rsid w:val="00D32845"/>
    <w:rsid w:val="00D3294D"/>
    <w:rsid w:val="00D32D6F"/>
    <w:rsid w:val="00D32F27"/>
    <w:rsid w:val="00D33502"/>
    <w:rsid w:val="00D338F6"/>
    <w:rsid w:val="00D34BD4"/>
    <w:rsid w:val="00D3556A"/>
    <w:rsid w:val="00D35FB4"/>
    <w:rsid w:val="00D36A63"/>
    <w:rsid w:val="00D374E7"/>
    <w:rsid w:val="00D37B04"/>
    <w:rsid w:val="00D37B0B"/>
    <w:rsid w:val="00D37FBE"/>
    <w:rsid w:val="00D405B0"/>
    <w:rsid w:val="00D41737"/>
    <w:rsid w:val="00D41928"/>
    <w:rsid w:val="00D41B37"/>
    <w:rsid w:val="00D41E43"/>
    <w:rsid w:val="00D42055"/>
    <w:rsid w:val="00D423E8"/>
    <w:rsid w:val="00D425A4"/>
    <w:rsid w:val="00D42C0D"/>
    <w:rsid w:val="00D42CE5"/>
    <w:rsid w:val="00D42D38"/>
    <w:rsid w:val="00D43141"/>
    <w:rsid w:val="00D43186"/>
    <w:rsid w:val="00D435B7"/>
    <w:rsid w:val="00D43DD5"/>
    <w:rsid w:val="00D44772"/>
    <w:rsid w:val="00D44C9E"/>
    <w:rsid w:val="00D44F43"/>
    <w:rsid w:val="00D458AF"/>
    <w:rsid w:val="00D46136"/>
    <w:rsid w:val="00D47174"/>
    <w:rsid w:val="00D472DC"/>
    <w:rsid w:val="00D47574"/>
    <w:rsid w:val="00D47789"/>
    <w:rsid w:val="00D52265"/>
    <w:rsid w:val="00D525EF"/>
    <w:rsid w:val="00D52B8C"/>
    <w:rsid w:val="00D533F6"/>
    <w:rsid w:val="00D540C6"/>
    <w:rsid w:val="00D545B7"/>
    <w:rsid w:val="00D54648"/>
    <w:rsid w:val="00D54B18"/>
    <w:rsid w:val="00D55D74"/>
    <w:rsid w:val="00D55F5A"/>
    <w:rsid w:val="00D56283"/>
    <w:rsid w:val="00D5637E"/>
    <w:rsid w:val="00D56E9E"/>
    <w:rsid w:val="00D576BB"/>
    <w:rsid w:val="00D5774C"/>
    <w:rsid w:val="00D60FC2"/>
    <w:rsid w:val="00D61085"/>
    <w:rsid w:val="00D612CE"/>
    <w:rsid w:val="00D61A95"/>
    <w:rsid w:val="00D6290D"/>
    <w:rsid w:val="00D63128"/>
    <w:rsid w:val="00D631CC"/>
    <w:rsid w:val="00D63DBA"/>
    <w:rsid w:val="00D64091"/>
    <w:rsid w:val="00D64339"/>
    <w:rsid w:val="00D6455D"/>
    <w:rsid w:val="00D6498C"/>
    <w:rsid w:val="00D64BD1"/>
    <w:rsid w:val="00D6531A"/>
    <w:rsid w:val="00D65E35"/>
    <w:rsid w:val="00D6769A"/>
    <w:rsid w:val="00D679CE"/>
    <w:rsid w:val="00D7015E"/>
    <w:rsid w:val="00D7038C"/>
    <w:rsid w:val="00D70CC5"/>
    <w:rsid w:val="00D71352"/>
    <w:rsid w:val="00D7149D"/>
    <w:rsid w:val="00D71CDF"/>
    <w:rsid w:val="00D72524"/>
    <w:rsid w:val="00D727C7"/>
    <w:rsid w:val="00D72DA5"/>
    <w:rsid w:val="00D737F7"/>
    <w:rsid w:val="00D738F0"/>
    <w:rsid w:val="00D73AA3"/>
    <w:rsid w:val="00D73B55"/>
    <w:rsid w:val="00D742CC"/>
    <w:rsid w:val="00D74DE4"/>
    <w:rsid w:val="00D74E88"/>
    <w:rsid w:val="00D74FD5"/>
    <w:rsid w:val="00D75ADF"/>
    <w:rsid w:val="00D75B73"/>
    <w:rsid w:val="00D75FFC"/>
    <w:rsid w:val="00D76283"/>
    <w:rsid w:val="00D7635C"/>
    <w:rsid w:val="00D77680"/>
    <w:rsid w:val="00D778D2"/>
    <w:rsid w:val="00D80241"/>
    <w:rsid w:val="00D8054D"/>
    <w:rsid w:val="00D80E28"/>
    <w:rsid w:val="00D81042"/>
    <w:rsid w:val="00D8134B"/>
    <w:rsid w:val="00D81E2B"/>
    <w:rsid w:val="00D81EB0"/>
    <w:rsid w:val="00D82089"/>
    <w:rsid w:val="00D82B9B"/>
    <w:rsid w:val="00D83EFA"/>
    <w:rsid w:val="00D84EAD"/>
    <w:rsid w:val="00D84FEF"/>
    <w:rsid w:val="00D85543"/>
    <w:rsid w:val="00D860A3"/>
    <w:rsid w:val="00D86340"/>
    <w:rsid w:val="00D86559"/>
    <w:rsid w:val="00D8725D"/>
    <w:rsid w:val="00D8785E"/>
    <w:rsid w:val="00D901C2"/>
    <w:rsid w:val="00D90923"/>
    <w:rsid w:val="00D91B4C"/>
    <w:rsid w:val="00D92254"/>
    <w:rsid w:val="00D92D9C"/>
    <w:rsid w:val="00D92F24"/>
    <w:rsid w:val="00D93022"/>
    <w:rsid w:val="00D934F8"/>
    <w:rsid w:val="00D935DC"/>
    <w:rsid w:val="00D946F6"/>
    <w:rsid w:val="00D94F26"/>
    <w:rsid w:val="00D94F71"/>
    <w:rsid w:val="00D952D2"/>
    <w:rsid w:val="00D955CB"/>
    <w:rsid w:val="00D95F2C"/>
    <w:rsid w:val="00DA07DE"/>
    <w:rsid w:val="00DA12B4"/>
    <w:rsid w:val="00DA175F"/>
    <w:rsid w:val="00DA1855"/>
    <w:rsid w:val="00DA1FF6"/>
    <w:rsid w:val="00DA2DF6"/>
    <w:rsid w:val="00DA32CF"/>
    <w:rsid w:val="00DA33B6"/>
    <w:rsid w:val="00DA448D"/>
    <w:rsid w:val="00DA4617"/>
    <w:rsid w:val="00DA4F08"/>
    <w:rsid w:val="00DA527B"/>
    <w:rsid w:val="00DA604A"/>
    <w:rsid w:val="00DA6058"/>
    <w:rsid w:val="00DA73A2"/>
    <w:rsid w:val="00DA75A4"/>
    <w:rsid w:val="00DA7781"/>
    <w:rsid w:val="00DB0757"/>
    <w:rsid w:val="00DB07F5"/>
    <w:rsid w:val="00DB1A1B"/>
    <w:rsid w:val="00DB2603"/>
    <w:rsid w:val="00DB26AA"/>
    <w:rsid w:val="00DB2A7A"/>
    <w:rsid w:val="00DB3443"/>
    <w:rsid w:val="00DB3BF9"/>
    <w:rsid w:val="00DB3EBD"/>
    <w:rsid w:val="00DB3EC8"/>
    <w:rsid w:val="00DB47F6"/>
    <w:rsid w:val="00DB4FF1"/>
    <w:rsid w:val="00DB5026"/>
    <w:rsid w:val="00DB52E8"/>
    <w:rsid w:val="00DB5F8E"/>
    <w:rsid w:val="00DB6565"/>
    <w:rsid w:val="00DB75AE"/>
    <w:rsid w:val="00DC0EA5"/>
    <w:rsid w:val="00DC134D"/>
    <w:rsid w:val="00DC192B"/>
    <w:rsid w:val="00DC1B11"/>
    <w:rsid w:val="00DC2D6A"/>
    <w:rsid w:val="00DC3913"/>
    <w:rsid w:val="00DC42C7"/>
    <w:rsid w:val="00DC4CCA"/>
    <w:rsid w:val="00DC6651"/>
    <w:rsid w:val="00DC66AD"/>
    <w:rsid w:val="00DC69F0"/>
    <w:rsid w:val="00DC764C"/>
    <w:rsid w:val="00DC7A6B"/>
    <w:rsid w:val="00DD0164"/>
    <w:rsid w:val="00DD0DF9"/>
    <w:rsid w:val="00DD0F0E"/>
    <w:rsid w:val="00DD0F37"/>
    <w:rsid w:val="00DD1183"/>
    <w:rsid w:val="00DD2A94"/>
    <w:rsid w:val="00DD3093"/>
    <w:rsid w:val="00DD3232"/>
    <w:rsid w:val="00DD3630"/>
    <w:rsid w:val="00DD3780"/>
    <w:rsid w:val="00DD4022"/>
    <w:rsid w:val="00DD450E"/>
    <w:rsid w:val="00DD57C4"/>
    <w:rsid w:val="00DD5CCF"/>
    <w:rsid w:val="00DD69F9"/>
    <w:rsid w:val="00DD6D7E"/>
    <w:rsid w:val="00DD732D"/>
    <w:rsid w:val="00DD7399"/>
    <w:rsid w:val="00DE0502"/>
    <w:rsid w:val="00DE084C"/>
    <w:rsid w:val="00DE12A1"/>
    <w:rsid w:val="00DE15D5"/>
    <w:rsid w:val="00DE24F9"/>
    <w:rsid w:val="00DE2586"/>
    <w:rsid w:val="00DE2B21"/>
    <w:rsid w:val="00DE3F88"/>
    <w:rsid w:val="00DE470F"/>
    <w:rsid w:val="00DE49DF"/>
    <w:rsid w:val="00DE4CEE"/>
    <w:rsid w:val="00DE4FD8"/>
    <w:rsid w:val="00DE6493"/>
    <w:rsid w:val="00DE6784"/>
    <w:rsid w:val="00DE6B0B"/>
    <w:rsid w:val="00DE6E62"/>
    <w:rsid w:val="00DE7DA7"/>
    <w:rsid w:val="00DE7E7A"/>
    <w:rsid w:val="00DE7F0E"/>
    <w:rsid w:val="00DF0654"/>
    <w:rsid w:val="00DF0EC4"/>
    <w:rsid w:val="00DF12CB"/>
    <w:rsid w:val="00DF1345"/>
    <w:rsid w:val="00DF13D3"/>
    <w:rsid w:val="00DF1432"/>
    <w:rsid w:val="00DF152E"/>
    <w:rsid w:val="00DF1619"/>
    <w:rsid w:val="00DF1655"/>
    <w:rsid w:val="00DF1B64"/>
    <w:rsid w:val="00DF1E32"/>
    <w:rsid w:val="00DF2211"/>
    <w:rsid w:val="00DF23B6"/>
    <w:rsid w:val="00DF28D1"/>
    <w:rsid w:val="00DF2F78"/>
    <w:rsid w:val="00DF3D3D"/>
    <w:rsid w:val="00DF4E17"/>
    <w:rsid w:val="00DF5D93"/>
    <w:rsid w:val="00DF6125"/>
    <w:rsid w:val="00DF6282"/>
    <w:rsid w:val="00DF68FA"/>
    <w:rsid w:val="00DF7E22"/>
    <w:rsid w:val="00E00130"/>
    <w:rsid w:val="00E00C21"/>
    <w:rsid w:val="00E01750"/>
    <w:rsid w:val="00E01CC9"/>
    <w:rsid w:val="00E01EC8"/>
    <w:rsid w:val="00E01F81"/>
    <w:rsid w:val="00E03B9D"/>
    <w:rsid w:val="00E03D63"/>
    <w:rsid w:val="00E04881"/>
    <w:rsid w:val="00E04E8B"/>
    <w:rsid w:val="00E05AD1"/>
    <w:rsid w:val="00E05D68"/>
    <w:rsid w:val="00E06B8A"/>
    <w:rsid w:val="00E07419"/>
    <w:rsid w:val="00E07DAA"/>
    <w:rsid w:val="00E10411"/>
    <w:rsid w:val="00E105EC"/>
    <w:rsid w:val="00E10698"/>
    <w:rsid w:val="00E10F65"/>
    <w:rsid w:val="00E121FD"/>
    <w:rsid w:val="00E12292"/>
    <w:rsid w:val="00E127F8"/>
    <w:rsid w:val="00E12941"/>
    <w:rsid w:val="00E12D0C"/>
    <w:rsid w:val="00E131D9"/>
    <w:rsid w:val="00E13775"/>
    <w:rsid w:val="00E14F51"/>
    <w:rsid w:val="00E15387"/>
    <w:rsid w:val="00E15A60"/>
    <w:rsid w:val="00E15FFC"/>
    <w:rsid w:val="00E16A13"/>
    <w:rsid w:val="00E17527"/>
    <w:rsid w:val="00E1761C"/>
    <w:rsid w:val="00E17CA2"/>
    <w:rsid w:val="00E20127"/>
    <w:rsid w:val="00E2125A"/>
    <w:rsid w:val="00E21309"/>
    <w:rsid w:val="00E21530"/>
    <w:rsid w:val="00E22331"/>
    <w:rsid w:val="00E2243C"/>
    <w:rsid w:val="00E227C1"/>
    <w:rsid w:val="00E22E42"/>
    <w:rsid w:val="00E23AB5"/>
    <w:rsid w:val="00E2527F"/>
    <w:rsid w:val="00E25BC4"/>
    <w:rsid w:val="00E25DA2"/>
    <w:rsid w:val="00E2620C"/>
    <w:rsid w:val="00E268DF"/>
    <w:rsid w:val="00E26C6B"/>
    <w:rsid w:val="00E27480"/>
    <w:rsid w:val="00E27CE5"/>
    <w:rsid w:val="00E30A40"/>
    <w:rsid w:val="00E30A9D"/>
    <w:rsid w:val="00E30AF4"/>
    <w:rsid w:val="00E33933"/>
    <w:rsid w:val="00E34F68"/>
    <w:rsid w:val="00E353E5"/>
    <w:rsid w:val="00E357B7"/>
    <w:rsid w:val="00E359D3"/>
    <w:rsid w:val="00E35E52"/>
    <w:rsid w:val="00E3625D"/>
    <w:rsid w:val="00E36410"/>
    <w:rsid w:val="00E3687F"/>
    <w:rsid w:val="00E3759E"/>
    <w:rsid w:val="00E378AF"/>
    <w:rsid w:val="00E3796D"/>
    <w:rsid w:val="00E37D95"/>
    <w:rsid w:val="00E401DA"/>
    <w:rsid w:val="00E40AD7"/>
    <w:rsid w:val="00E41779"/>
    <w:rsid w:val="00E41E76"/>
    <w:rsid w:val="00E4203C"/>
    <w:rsid w:val="00E4250F"/>
    <w:rsid w:val="00E425B4"/>
    <w:rsid w:val="00E428EB"/>
    <w:rsid w:val="00E42CF3"/>
    <w:rsid w:val="00E431D9"/>
    <w:rsid w:val="00E446B4"/>
    <w:rsid w:val="00E44EF0"/>
    <w:rsid w:val="00E45B4F"/>
    <w:rsid w:val="00E45EB0"/>
    <w:rsid w:val="00E47315"/>
    <w:rsid w:val="00E47B52"/>
    <w:rsid w:val="00E47C6D"/>
    <w:rsid w:val="00E47DB4"/>
    <w:rsid w:val="00E50F31"/>
    <w:rsid w:val="00E52024"/>
    <w:rsid w:val="00E52335"/>
    <w:rsid w:val="00E52440"/>
    <w:rsid w:val="00E52C00"/>
    <w:rsid w:val="00E52C0C"/>
    <w:rsid w:val="00E52C30"/>
    <w:rsid w:val="00E52E1D"/>
    <w:rsid w:val="00E52EC8"/>
    <w:rsid w:val="00E53796"/>
    <w:rsid w:val="00E53800"/>
    <w:rsid w:val="00E53903"/>
    <w:rsid w:val="00E53DD8"/>
    <w:rsid w:val="00E54052"/>
    <w:rsid w:val="00E540E9"/>
    <w:rsid w:val="00E544CD"/>
    <w:rsid w:val="00E550B3"/>
    <w:rsid w:val="00E55C55"/>
    <w:rsid w:val="00E57F2B"/>
    <w:rsid w:val="00E607A8"/>
    <w:rsid w:val="00E6081F"/>
    <w:rsid w:val="00E60EF1"/>
    <w:rsid w:val="00E61E13"/>
    <w:rsid w:val="00E61EB2"/>
    <w:rsid w:val="00E62EC8"/>
    <w:rsid w:val="00E644A5"/>
    <w:rsid w:val="00E645B6"/>
    <w:rsid w:val="00E6516D"/>
    <w:rsid w:val="00E65864"/>
    <w:rsid w:val="00E65CDB"/>
    <w:rsid w:val="00E663ED"/>
    <w:rsid w:val="00E66A2A"/>
    <w:rsid w:val="00E66B7E"/>
    <w:rsid w:val="00E67648"/>
    <w:rsid w:val="00E702D0"/>
    <w:rsid w:val="00E708C3"/>
    <w:rsid w:val="00E708C4"/>
    <w:rsid w:val="00E70B59"/>
    <w:rsid w:val="00E70CAB"/>
    <w:rsid w:val="00E70D30"/>
    <w:rsid w:val="00E72414"/>
    <w:rsid w:val="00E73044"/>
    <w:rsid w:val="00E7319F"/>
    <w:rsid w:val="00E7350A"/>
    <w:rsid w:val="00E73921"/>
    <w:rsid w:val="00E740F3"/>
    <w:rsid w:val="00E74595"/>
    <w:rsid w:val="00E754B3"/>
    <w:rsid w:val="00E75657"/>
    <w:rsid w:val="00E758F3"/>
    <w:rsid w:val="00E75BA2"/>
    <w:rsid w:val="00E76717"/>
    <w:rsid w:val="00E7706C"/>
    <w:rsid w:val="00E770D6"/>
    <w:rsid w:val="00E7756B"/>
    <w:rsid w:val="00E800DD"/>
    <w:rsid w:val="00E80388"/>
    <w:rsid w:val="00E8073C"/>
    <w:rsid w:val="00E80774"/>
    <w:rsid w:val="00E8162C"/>
    <w:rsid w:val="00E82416"/>
    <w:rsid w:val="00E8296D"/>
    <w:rsid w:val="00E82AB0"/>
    <w:rsid w:val="00E82C46"/>
    <w:rsid w:val="00E82FC6"/>
    <w:rsid w:val="00E837D5"/>
    <w:rsid w:val="00E839F5"/>
    <w:rsid w:val="00E83A1F"/>
    <w:rsid w:val="00E84551"/>
    <w:rsid w:val="00E8457B"/>
    <w:rsid w:val="00E84661"/>
    <w:rsid w:val="00E846F1"/>
    <w:rsid w:val="00E84B3B"/>
    <w:rsid w:val="00E84E8D"/>
    <w:rsid w:val="00E8599D"/>
    <w:rsid w:val="00E86291"/>
    <w:rsid w:val="00E863BF"/>
    <w:rsid w:val="00E86509"/>
    <w:rsid w:val="00E86AB5"/>
    <w:rsid w:val="00E86AD0"/>
    <w:rsid w:val="00E86C14"/>
    <w:rsid w:val="00E873F7"/>
    <w:rsid w:val="00E874F7"/>
    <w:rsid w:val="00E876FA"/>
    <w:rsid w:val="00E87F7A"/>
    <w:rsid w:val="00E900AE"/>
    <w:rsid w:val="00E91202"/>
    <w:rsid w:val="00E91AFA"/>
    <w:rsid w:val="00E91F84"/>
    <w:rsid w:val="00E920CF"/>
    <w:rsid w:val="00E921EF"/>
    <w:rsid w:val="00E92CC8"/>
    <w:rsid w:val="00E93625"/>
    <w:rsid w:val="00E93E6A"/>
    <w:rsid w:val="00E9501E"/>
    <w:rsid w:val="00E9546C"/>
    <w:rsid w:val="00E955A2"/>
    <w:rsid w:val="00E955B2"/>
    <w:rsid w:val="00E95BBC"/>
    <w:rsid w:val="00E95E25"/>
    <w:rsid w:val="00E95FBB"/>
    <w:rsid w:val="00E9662D"/>
    <w:rsid w:val="00E96BAD"/>
    <w:rsid w:val="00E96D24"/>
    <w:rsid w:val="00E978E3"/>
    <w:rsid w:val="00E97A04"/>
    <w:rsid w:val="00EA04B2"/>
    <w:rsid w:val="00EA090C"/>
    <w:rsid w:val="00EA0ACE"/>
    <w:rsid w:val="00EA12B5"/>
    <w:rsid w:val="00EA1459"/>
    <w:rsid w:val="00EA1462"/>
    <w:rsid w:val="00EA20F3"/>
    <w:rsid w:val="00EA2394"/>
    <w:rsid w:val="00EA2506"/>
    <w:rsid w:val="00EA2B48"/>
    <w:rsid w:val="00EA3980"/>
    <w:rsid w:val="00EA404E"/>
    <w:rsid w:val="00EA57FE"/>
    <w:rsid w:val="00EA5CBB"/>
    <w:rsid w:val="00EA5DDF"/>
    <w:rsid w:val="00EA6223"/>
    <w:rsid w:val="00EA6853"/>
    <w:rsid w:val="00EA7837"/>
    <w:rsid w:val="00EB01EF"/>
    <w:rsid w:val="00EB0A16"/>
    <w:rsid w:val="00EB0D59"/>
    <w:rsid w:val="00EB1A2B"/>
    <w:rsid w:val="00EB29BF"/>
    <w:rsid w:val="00EB31DA"/>
    <w:rsid w:val="00EB3C10"/>
    <w:rsid w:val="00EB3FD6"/>
    <w:rsid w:val="00EB418A"/>
    <w:rsid w:val="00EB4248"/>
    <w:rsid w:val="00EB42C6"/>
    <w:rsid w:val="00EB4DD0"/>
    <w:rsid w:val="00EB5423"/>
    <w:rsid w:val="00EB632C"/>
    <w:rsid w:val="00EB65A5"/>
    <w:rsid w:val="00EB6ABE"/>
    <w:rsid w:val="00EB70A1"/>
    <w:rsid w:val="00EB7831"/>
    <w:rsid w:val="00EC0757"/>
    <w:rsid w:val="00EC0ACD"/>
    <w:rsid w:val="00EC103F"/>
    <w:rsid w:val="00EC1161"/>
    <w:rsid w:val="00EC1D22"/>
    <w:rsid w:val="00EC1E49"/>
    <w:rsid w:val="00EC211B"/>
    <w:rsid w:val="00EC29FC"/>
    <w:rsid w:val="00EC3FDC"/>
    <w:rsid w:val="00EC402B"/>
    <w:rsid w:val="00EC4056"/>
    <w:rsid w:val="00EC4125"/>
    <w:rsid w:val="00EC58EB"/>
    <w:rsid w:val="00EC74EE"/>
    <w:rsid w:val="00EC7632"/>
    <w:rsid w:val="00EC7707"/>
    <w:rsid w:val="00EC7B88"/>
    <w:rsid w:val="00ED04CA"/>
    <w:rsid w:val="00ED05C4"/>
    <w:rsid w:val="00ED0C8B"/>
    <w:rsid w:val="00ED14C2"/>
    <w:rsid w:val="00ED19EA"/>
    <w:rsid w:val="00ED1EC5"/>
    <w:rsid w:val="00ED2831"/>
    <w:rsid w:val="00ED2D34"/>
    <w:rsid w:val="00ED43D1"/>
    <w:rsid w:val="00ED4C78"/>
    <w:rsid w:val="00ED4F6F"/>
    <w:rsid w:val="00ED52DB"/>
    <w:rsid w:val="00ED5852"/>
    <w:rsid w:val="00ED5A7F"/>
    <w:rsid w:val="00ED6837"/>
    <w:rsid w:val="00ED6895"/>
    <w:rsid w:val="00ED6C7B"/>
    <w:rsid w:val="00ED6D32"/>
    <w:rsid w:val="00ED7588"/>
    <w:rsid w:val="00ED7C2A"/>
    <w:rsid w:val="00EE04C1"/>
    <w:rsid w:val="00EE1CB8"/>
    <w:rsid w:val="00EE1CF9"/>
    <w:rsid w:val="00EE25F4"/>
    <w:rsid w:val="00EE29E8"/>
    <w:rsid w:val="00EE2A07"/>
    <w:rsid w:val="00EE2A8C"/>
    <w:rsid w:val="00EE31E2"/>
    <w:rsid w:val="00EE3AF8"/>
    <w:rsid w:val="00EE4219"/>
    <w:rsid w:val="00EE4AA5"/>
    <w:rsid w:val="00EE4EE1"/>
    <w:rsid w:val="00EE5017"/>
    <w:rsid w:val="00EE56BF"/>
    <w:rsid w:val="00EE5CA7"/>
    <w:rsid w:val="00EE653A"/>
    <w:rsid w:val="00EE781B"/>
    <w:rsid w:val="00EF06D9"/>
    <w:rsid w:val="00EF0B99"/>
    <w:rsid w:val="00EF0BA8"/>
    <w:rsid w:val="00EF1D84"/>
    <w:rsid w:val="00EF2477"/>
    <w:rsid w:val="00EF261E"/>
    <w:rsid w:val="00EF34F5"/>
    <w:rsid w:val="00EF36D2"/>
    <w:rsid w:val="00EF4574"/>
    <w:rsid w:val="00EF47F3"/>
    <w:rsid w:val="00EF5F05"/>
    <w:rsid w:val="00EF5F62"/>
    <w:rsid w:val="00EF5FB3"/>
    <w:rsid w:val="00EF5FFA"/>
    <w:rsid w:val="00EF773C"/>
    <w:rsid w:val="00EF7763"/>
    <w:rsid w:val="00F0002A"/>
    <w:rsid w:val="00F002A8"/>
    <w:rsid w:val="00F00351"/>
    <w:rsid w:val="00F00510"/>
    <w:rsid w:val="00F0125A"/>
    <w:rsid w:val="00F02769"/>
    <w:rsid w:val="00F029D1"/>
    <w:rsid w:val="00F03048"/>
    <w:rsid w:val="00F04476"/>
    <w:rsid w:val="00F048BB"/>
    <w:rsid w:val="00F04EAD"/>
    <w:rsid w:val="00F0545F"/>
    <w:rsid w:val="00F05E26"/>
    <w:rsid w:val="00F0644D"/>
    <w:rsid w:val="00F06C0D"/>
    <w:rsid w:val="00F07788"/>
    <w:rsid w:val="00F07C41"/>
    <w:rsid w:val="00F113AB"/>
    <w:rsid w:val="00F12EB4"/>
    <w:rsid w:val="00F14DD8"/>
    <w:rsid w:val="00F14F9D"/>
    <w:rsid w:val="00F15BC5"/>
    <w:rsid w:val="00F1638B"/>
    <w:rsid w:val="00F16934"/>
    <w:rsid w:val="00F172F3"/>
    <w:rsid w:val="00F17CB8"/>
    <w:rsid w:val="00F205D0"/>
    <w:rsid w:val="00F20A82"/>
    <w:rsid w:val="00F20D40"/>
    <w:rsid w:val="00F21EA2"/>
    <w:rsid w:val="00F22142"/>
    <w:rsid w:val="00F223BA"/>
    <w:rsid w:val="00F22E38"/>
    <w:rsid w:val="00F23165"/>
    <w:rsid w:val="00F23C4E"/>
    <w:rsid w:val="00F23CC1"/>
    <w:rsid w:val="00F245EB"/>
    <w:rsid w:val="00F2469B"/>
    <w:rsid w:val="00F24737"/>
    <w:rsid w:val="00F24841"/>
    <w:rsid w:val="00F24A19"/>
    <w:rsid w:val="00F24C84"/>
    <w:rsid w:val="00F2516A"/>
    <w:rsid w:val="00F25670"/>
    <w:rsid w:val="00F25A93"/>
    <w:rsid w:val="00F2622E"/>
    <w:rsid w:val="00F26475"/>
    <w:rsid w:val="00F2684E"/>
    <w:rsid w:val="00F27028"/>
    <w:rsid w:val="00F2753F"/>
    <w:rsid w:val="00F2759B"/>
    <w:rsid w:val="00F276DA"/>
    <w:rsid w:val="00F2785F"/>
    <w:rsid w:val="00F27CF7"/>
    <w:rsid w:val="00F27E48"/>
    <w:rsid w:val="00F30226"/>
    <w:rsid w:val="00F30782"/>
    <w:rsid w:val="00F30875"/>
    <w:rsid w:val="00F31524"/>
    <w:rsid w:val="00F31938"/>
    <w:rsid w:val="00F31A1C"/>
    <w:rsid w:val="00F32A82"/>
    <w:rsid w:val="00F335E4"/>
    <w:rsid w:val="00F3390E"/>
    <w:rsid w:val="00F33E7F"/>
    <w:rsid w:val="00F340A1"/>
    <w:rsid w:val="00F346FF"/>
    <w:rsid w:val="00F3473C"/>
    <w:rsid w:val="00F34E6D"/>
    <w:rsid w:val="00F35454"/>
    <w:rsid w:val="00F35B88"/>
    <w:rsid w:val="00F36692"/>
    <w:rsid w:val="00F36A55"/>
    <w:rsid w:val="00F36AD1"/>
    <w:rsid w:val="00F36DD5"/>
    <w:rsid w:val="00F37285"/>
    <w:rsid w:val="00F375E7"/>
    <w:rsid w:val="00F378C3"/>
    <w:rsid w:val="00F405BD"/>
    <w:rsid w:val="00F406F6"/>
    <w:rsid w:val="00F408B8"/>
    <w:rsid w:val="00F40AD5"/>
    <w:rsid w:val="00F40D7F"/>
    <w:rsid w:val="00F40F78"/>
    <w:rsid w:val="00F41121"/>
    <w:rsid w:val="00F41E54"/>
    <w:rsid w:val="00F420CF"/>
    <w:rsid w:val="00F42679"/>
    <w:rsid w:val="00F4274B"/>
    <w:rsid w:val="00F428AF"/>
    <w:rsid w:val="00F42BAA"/>
    <w:rsid w:val="00F43236"/>
    <w:rsid w:val="00F43421"/>
    <w:rsid w:val="00F43844"/>
    <w:rsid w:val="00F43881"/>
    <w:rsid w:val="00F43913"/>
    <w:rsid w:val="00F43F43"/>
    <w:rsid w:val="00F44021"/>
    <w:rsid w:val="00F44E14"/>
    <w:rsid w:val="00F46105"/>
    <w:rsid w:val="00F46172"/>
    <w:rsid w:val="00F4621C"/>
    <w:rsid w:val="00F46469"/>
    <w:rsid w:val="00F46561"/>
    <w:rsid w:val="00F472C5"/>
    <w:rsid w:val="00F47F1E"/>
    <w:rsid w:val="00F50649"/>
    <w:rsid w:val="00F509BB"/>
    <w:rsid w:val="00F50F7D"/>
    <w:rsid w:val="00F517A6"/>
    <w:rsid w:val="00F52272"/>
    <w:rsid w:val="00F528F1"/>
    <w:rsid w:val="00F52ADA"/>
    <w:rsid w:val="00F52AF3"/>
    <w:rsid w:val="00F52D1F"/>
    <w:rsid w:val="00F5358E"/>
    <w:rsid w:val="00F53CC1"/>
    <w:rsid w:val="00F5404C"/>
    <w:rsid w:val="00F54220"/>
    <w:rsid w:val="00F54B86"/>
    <w:rsid w:val="00F54F5B"/>
    <w:rsid w:val="00F55020"/>
    <w:rsid w:val="00F55E33"/>
    <w:rsid w:val="00F564DE"/>
    <w:rsid w:val="00F565E4"/>
    <w:rsid w:val="00F56AE3"/>
    <w:rsid w:val="00F56CF3"/>
    <w:rsid w:val="00F56DD2"/>
    <w:rsid w:val="00F57712"/>
    <w:rsid w:val="00F608A2"/>
    <w:rsid w:val="00F60BC4"/>
    <w:rsid w:val="00F60CBE"/>
    <w:rsid w:val="00F61246"/>
    <w:rsid w:val="00F61EF6"/>
    <w:rsid w:val="00F61FCB"/>
    <w:rsid w:val="00F6244B"/>
    <w:rsid w:val="00F629B6"/>
    <w:rsid w:val="00F6361D"/>
    <w:rsid w:val="00F63854"/>
    <w:rsid w:val="00F6396F"/>
    <w:rsid w:val="00F645BB"/>
    <w:rsid w:val="00F649FF"/>
    <w:rsid w:val="00F64A37"/>
    <w:rsid w:val="00F64EC0"/>
    <w:rsid w:val="00F664AD"/>
    <w:rsid w:val="00F6693D"/>
    <w:rsid w:val="00F66BE0"/>
    <w:rsid w:val="00F66CBB"/>
    <w:rsid w:val="00F671AE"/>
    <w:rsid w:val="00F6729A"/>
    <w:rsid w:val="00F67B01"/>
    <w:rsid w:val="00F707ED"/>
    <w:rsid w:val="00F70820"/>
    <w:rsid w:val="00F711D3"/>
    <w:rsid w:val="00F712CA"/>
    <w:rsid w:val="00F71F11"/>
    <w:rsid w:val="00F72367"/>
    <w:rsid w:val="00F72953"/>
    <w:rsid w:val="00F729EF"/>
    <w:rsid w:val="00F72D44"/>
    <w:rsid w:val="00F7339A"/>
    <w:rsid w:val="00F73AE0"/>
    <w:rsid w:val="00F744A2"/>
    <w:rsid w:val="00F75998"/>
    <w:rsid w:val="00F75ACC"/>
    <w:rsid w:val="00F75AE7"/>
    <w:rsid w:val="00F75E13"/>
    <w:rsid w:val="00F7686C"/>
    <w:rsid w:val="00F7700D"/>
    <w:rsid w:val="00F77888"/>
    <w:rsid w:val="00F77CAE"/>
    <w:rsid w:val="00F80DAE"/>
    <w:rsid w:val="00F81159"/>
    <w:rsid w:val="00F8116D"/>
    <w:rsid w:val="00F81B39"/>
    <w:rsid w:val="00F82271"/>
    <w:rsid w:val="00F8277A"/>
    <w:rsid w:val="00F83428"/>
    <w:rsid w:val="00F83B54"/>
    <w:rsid w:val="00F8477F"/>
    <w:rsid w:val="00F8485F"/>
    <w:rsid w:val="00F84875"/>
    <w:rsid w:val="00F8503E"/>
    <w:rsid w:val="00F85272"/>
    <w:rsid w:val="00F8679D"/>
    <w:rsid w:val="00F87A49"/>
    <w:rsid w:val="00F87A9D"/>
    <w:rsid w:val="00F902A1"/>
    <w:rsid w:val="00F91150"/>
    <w:rsid w:val="00F9175D"/>
    <w:rsid w:val="00F91848"/>
    <w:rsid w:val="00F9268A"/>
    <w:rsid w:val="00F928D1"/>
    <w:rsid w:val="00F92C03"/>
    <w:rsid w:val="00F93255"/>
    <w:rsid w:val="00F93B9E"/>
    <w:rsid w:val="00F9414E"/>
    <w:rsid w:val="00F945DD"/>
    <w:rsid w:val="00F94E9E"/>
    <w:rsid w:val="00F94FFE"/>
    <w:rsid w:val="00F95E02"/>
    <w:rsid w:val="00F968F8"/>
    <w:rsid w:val="00F96BB9"/>
    <w:rsid w:val="00F97297"/>
    <w:rsid w:val="00F976B9"/>
    <w:rsid w:val="00F97769"/>
    <w:rsid w:val="00F97943"/>
    <w:rsid w:val="00FA03CB"/>
    <w:rsid w:val="00FA0904"/>
    <w:rsid w:val="00FA0E66"/>
    <w:rsid w:val="00FA12EC"/>
    <w:rsid w:val="00FA137E"/>
    <w:rsid w:val="00FA15B8"/>
    <w:rsid w:val="00FA1FED"/>
    <w:rsid w:val="00FA2A34"/>
    <w:rsid w:val="00FA2F7F"/>
    <w:rsid w:val="00FA3BDA"/>
    <w:rsid w:val="00FA3E05"/>
    <w:rsid w:val="00FA409B"/>
    <w:rsid w:val="00FA41AF"/>
    <w:rsid w:val="00FA50D8"/>
    <w:rsid w:val="00FA6883"/>
    <w:rsid w:val="00FA750A"/>
    <w:rsid w:val="00FA7905"/>
    <w:rsid w:val="00FA7960"/>
    <w:rsid w:val="00FB03B6"/>
    <w:rsid w:val="00FB0AAF"/>
    <w:rsid w:val="00FB1298"/>
    <w:rsid w:val="00FB340C"/>
    <w:rsid w:val="00FB3627"/>
    <w:rsid w:val="00FB36D9"/>
    <w:rsid w:val="00FB3809"/>
    <w:rsid w:val="00FB38A1"/>
    <w:rsid w:val="00FB4B20"/>
    <w:rsid w:val="00FB5F9E"/>
    <w:rsid w:val="00FB65F4"/>
    <w:rsid w:val="00FB681E"/>
    <w:rsid w:val="00FB737C"/>
    <w:rsid w:val="00FB7FB6"/>
    <w:rsid w:val="00FC0B1A"/>
    <w:rsid w:val="00FC0D44"/>
    <w:rsid w:val="00FC0D9A"/>
    <w:rsid w:val="00FC1532"/>
    <w:rsid w:val="00FC1F8A"/>
    <w:rsid w:val="00FC2216"/>
    <w:rsid w:val="00FC2507"/>
    <w:rsid w:val="00FC2F4B"/>
    <w:rsid w:val="00FC310A"/>
    <w:rsid w:val="00FC3178"/>
    <w:rsid w:val="00FC322F"/>
    <w:rsid w:val="00FC372C"/>
    <w:rsid w:val="00FC4E88"/>
    <w:rsid w:val="00FC4F37"/>
    <w:rsid w:val="00FC60B5"/>
    <w:rsid w:val="00FC6D5D"/>
    <w:rsid w:val="00FC6F1D"/>
    <w:rsid w:val="00FC71A0"/>
    <w:rsid w:val="00FC7ABC"/>
    <w:rsid w:val="00FC7C9B"/>
    <w:rsid w:val="00FD0458"/>
    <w:rsid w:val="00FD0698"/>
    <w:rsid w:val="00FD0AE6"/>
    <w:rsid w:val="00FD0F66"/>
    <w:rsid w:val="00FD1601"/>
    <w:rsid w:val="00FD1D90"/>
    <w:rsid w:val="00FD21AF"/>
    <w:rsid w:val="00FD236D"/>
    <w:rsid w:val="00FD2736"/>
    <w:rsid w:val="00FD2BEE"/>
    <w:rsid w:val="00FD2DF1"/>
    <w:rsid w:val="00FD2E97"/>
    <w:rsid w:val="00FD3FAA"/>
    <w:rsid w:val="00FD4864"/>
    <w:rsid w:val="00FD533E"/>
    <w:rsid w:val="00FD5428"/>
    <w:rsid w:val="00FD5E50"/>
    <w:rsid w:val="00FD6956"/>
    <w:rsid w:val="00FD6987"/>
    <w:rsid w:val="00FD69CE"/>
    <w:rsid w:val="00FE02B9"/>
    <w:rsid w:val="00FE0A28"/>
    <w:rsid w:val="00FE150B"/>
    <w:rsid w:val="00FE301C"/>
    <w:rsid w:val="00FE3149"/>
    <w:rsid w:val="00FE3596"/>
    <w:rsid w:val="00FE3A0D"/>
    <w:rsid w:val="00FE46A9"/>
    <w:rsid w:val="00FE475B"/>
    <w:rsid w:val="00FE515C"/>
    <w:rsid w:val="00FE542D"/>
    <w:rsid w:val="00FE5821"/>
    <w:rsid w:val="00FE6D4B"/>
    <w:rsid w:val="00FE6D51"/>
    <w:rsid w:val="00FE6F2A"/>
    <w:rsid w:val="00FE781A"/>
    <w:rsid w:val="00FE7D5E"/>
    <w:rsid w:val="00FF0A99"/>
    <w:rsid w:val="00FF1026"/>
    <w:rsid w:val="00FF1527"/>
    <w:rsid w:val="00FF1981"/>
    <w:rsid w:val="00FF1F37"/>
    <w:rsid w:val="00FF3FBF"/>
    <w:rsid w:val="00FF4BC3"/>
    <w:rsid w:val="00FF56C1"/>
    <w:rsid w:val="00FF5CBA"/>
    <w:rsid w:val="00FF621F"/>
    <w:rsid w:val="00FF6989"/>
    <w:rsid w:val="00FF7222"/>
    <w:rsid w:val="00FF7590"/>
    <w:rsid w:val="00FF7A9A"/>
    <w:rsid w:val="010BC679"/>
    <w:rsid w:val="057913D2"/>
    <w:rsid w:val="05B2BBC0"/>
    <w:rsid w:val="05C297C2"/>
    <w:rsid w:val="05DEC49F"/>
    <w:rsid w:val="06585B0C"/>
    <w:rsid w:val="0A4D1338"/>
    <w:rsid w:val="0E86F4BC"/>
    <w:rsid w:val="10E01F5F"/>
    <w:rsid w:val="1887A0E7"/>
    <w:rsid w:val="18E58AD1"/>
    <w:rsid w:val="1CEBA583"/>
    <w:rsid w:val="24D79768"/>
    <w:rsid w:val="25F5B104"/>
    <w:rsid w:val="26B05A73"/>
    <w:rsid w:val="2A23AC79"/>
    <w:rsid w:val="2D00CA5E"/>
    <w:rsid w:val="2DEE1162"/>
    <w:rsid w:val="31FDB23B"/>
    <w:rsid w:val="33BAAC0D"/>
    <w:rsid w:val="4BBFE310"/>
    <w:rsid w:val="4EEB63C9"/>
    <w:rsid w:val="5763244D"/>
    <w:rsid w:val="5B24358D"/>
    <w:rsid w:val="5CC678A8"/>
    <w:rsid w:val="68345E3D"/>
    <w:rsid w:val="6BA8657A"/>
    <w:rsid w:val="6C90D586"/>
    <w:rsid w:val="722D0AD1"/>
    <w:rsid w:val="7ADDD720"/>
    <w:rsid w:val="7EBE55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69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5B55E8"/>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7706B8"/>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Box1Heading"/>
    <w:next w:val="Normal"/>
    <w:link w:val="Heading2Char"/>
    <w:uiPriority w:val="9"/>
    <w:unhideWhenUsed/>
    <w:qFormat/>
    <w:rsid w:val="00271FB6"/>
    <w:pPr>
      <w:outlineLvl w:val="1"/>
    </w:pPr>
  </w:style>
  <w:style w:type="paragraph" w:styleId="Heading3">
    <w:name w:val="heading 3"/>
    <w:basedOn w:val="Heading2"/>
    <w:next w:val="Normal"/>
    <w:link w:val="Heading3Char"/>
    <w:uiPriority w:val="9"/>
    <w:unhideWhenUsed/>
    <w:qFormat/>
    <w:rsid w:val="0025403C"/>
    <w:pPr>
      <w:spacing w:before="240" w:line="360" w:lineRule="atLeast"/>
      <w:outlineLvl w:val="2"/>
    </w:pPr>
    <w:rPr>
      <w:bCs/>
      <w:caps/>
      <w:sz w:val="28"/>
    </w:rPr>
  </w:style>
  <w:style w:type="paragraph" w:styleId="Heading4">
    <w:name w:val="heading 4"/>
    <w:basedOn w:val="Heading3"/>
    <w:next w:val="Normal"/>
    <w:link w:val="Heading4Char"/>
    <w:uiPriority w:val="9"/>
    <w:unhideWhenUsed/>
    <w:qFormat/>
    <w:rsid w:val="008D7CEC"/>
    <w:pPr>
      <w:spacing w:line="280" w:lineRule="atLeast"/>
      <w:outlineLvl w:val="3"/>
    </w:pPr>
    <w:rPr>
      <w:iCs/>
      <w:sz w:val="24"/>
    </w:rPr>
  </w:style>
  <w:style w:type="paragraph" w:styleId="Heading5">
    <w:name w:val="heading 5"/>
    <w:basedOn w:val="Heading4"/>
    <w:next w:val="Normal"/>
    <w:link w:val="Heading5Char"/>
    <w:uiPriority w:val="9"/>
    <w:unhideWhenUsed/>
    <w:qFormat/>
    <w:rsid w:val="007706B8"/>
    <w:pPr>
      <w:spacing w:line="200" w:lineRule="atLeast"/>
      <w:outlineLvl w:val="4"/>
    </w:pPr>
    <w:rPr>
      <w:b w:val="0"/>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6B8"/>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271FB6"/>
    <w:rPr>
      <w:b/>
      <w:color w:val="495965" w:themeColor="text2"/>
      <w:sz w:val="26"/>
      <w:shd w:val="clear" w:color="auto" w:fill="C1E7E0" w:themeFill="accent1" w:themeFillTint="66"/>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28"/>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7706B8"/>
    <w:pPr>
      <w:spacing w:before="0"/>
      <w:ind w:left="284" w:hanging="284"/>
    </w:pPr>
  </w:style>
  <w:style w:type="paragraph" w:customStyle="1" w:styleId="Bullet2">
    <w:name w:val="Bullet 2"/>
    <w:basedOn w:val="Bullet1"/>
    <w:qFormat/>
    <w:rsid w:val="00F2684E"/>
    <w:pPr>
      <w:ind w:left="568"/>
    </w:pPr>
  </w:style>
  <w:style w:type="paragraph" w:customStyle="1" w:styleId="Bullet3">
    <w:name w:val="Bullet 3"/>
    <w:basedOn w:val="Bullet2"/>
    <w:qFormat/>
    <w:rsid w:val="00F2684E"/>
    <w:pPr>
      <w:ind w:left="852"/>
    </w:pPr>
  </w:style>
  <w:style w:type="paragraph" w:customStyle="1" w:styleId="NumberedList1">
    <w:name w:val="Numbered List 1"/>
    <w:basedOn w:val="Normal"/>
    <w:qFormat/>
    <w:rsid w:val="00F2684E"/>
    <w:pPr>
      <w:numPr>
        <w:numId w:val="7"/>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6"/>
      </w:numPr>
    </w:pPr>
  </w:style>
  <w:style w:type="paragraph" w:customStyle="1" w:styleId="Heading2Numbered">
    <w:name w:val="Heading 2 Numbered"/>
    <w:basedOn w:val="Heading2"/>
    <w:next w:val="Normal"/>
    <w:qFormat/>
    <w:rsid w:val="00ED2831"/>
    <w:pPr>
      <w:numPr>
        <w:ilvl w:val="1"/>
        <w:numId w:val="6"/>
      </w:numPr>
      <w:spacing w:after="60"/>
    </w:pPr>
    <w:rPr>
      <w:bCs/>
    </w:rPr>
  </w:style>
  <w:style w:type="paragraph" w:customStyle="1" w:styleId="Heading3Numbered">
    <w:name w:val="Heading 3 Numbered"/>
    <w:basedOn w:val="Heading3"/>
    <w:next w:val="Normal"/>
    <w:qFormat/>
    <w:rsid w:val="00ED2831"/>
    <w:pPr>
      <w:numPr>
        <w:ilvl w:val="2"/>
        <w:numId w:val="6"/>
      </w:numPr>
      <w:spacing w:before="300" w:after="60"/>
    </w:pPr>
  </w:style>
  <w:style w:type="numbering" w:customStyle="1" w:styleId="BulletsList">
    <w:name w:val="Bullets List"/>
    <w:uiPriority w:val="99"/>
    <w:rsid w:val="007706B8"/>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lang w:val="en-GB"/>
    </w:rPr>
  </w:style>
  <w:style w:type="paragraph" w:styleId="TOC1">
    <w:name w:val="toc 1"/>
    <w:basedOn w:val="Normal"/>
    <w:next w:val="Normal"/>
    <w:autoRedefine/>
    <w:uiPriority w:val="39"/>
    <w:unhideWhenUsed/>
    <w:rsid w:val="005A6D43"/>
    <w:pPr>
      <w:tabs>
        <w:tab w:val="right" w:leader="dot" w:pos="9628"/>
      </w:tabs>
      <w:spacing w:after="0"/>
    </w:pPr>
    <w:rPr>
      <w:rFonts w:cstheme="minorHAnsi"/>
      <w:b/>
      <w:bCs/>
      <w:i/>
      <w:iCs/>
      <w:noProof/>
      <w:color w:val="000000" w:themeColor="text1"/>
      <w:sz w:val="24"/>
      <w:szCs w:val="24"/>
    </w:rPr>
  </w:style>
  <w:style w:type="paragraph" w:styleId="TOC2">
    <w:name w:val="toc 2"/>
    <w:basedOn w:val="Normal"/>
    <w:next w:val="Normal"/>
    <w:autoRedefine/>
    <w:uiPriority w:val="39"/>
    <w:unhideWhenUsed/>
    <w:rsid w:val="00670C52"/>
    <w:pPr>
      <w:numPr>
        <w:numId w:val="55"/>
      </w:numPr>
      <w:tabs>
        <w:tab w:val="left" w:pos="660"/>
        <w:tab w:val="right" w:pos="9628"/>
      </w:tabs>
      <w:spacing w:after="100" w:line="240" w:lineRule="auto"/>
      <w:ind w:right="379"/>
    </w:pPr>
    <w:rPr>
      <w:rFonts w:eastAsiaTheme="minorEastAsia"/>
      <w:noProof/>
      <w:u w:color="FFFFFF" w:themeColor="background1"/>
      <w:lang w:val="en-AU" w:eastAsia="en-AU"/>
    </w:rPr>
  </w:style>
  <w:style w:type="paragraph" w:styleId="TOC3">
    <w:name w:val="toc 3"/>
    <w:basedOn w:val="Normal"/>
    <w:next w:val="Normal"/>
    <w:autoRedefine/>
    <w:uiPriority w:val="39"/>
    <w:unhideWhenUsed/>
    <w:rsid w:val="00F27CF7"/>
    <w:pPr>
      <w:tabs>
        <w:tab w:val="right" w:leader="dot" w:pos="9628"/>
      </w:tabs>
      <w:spacing w:before="0" w:after="0"/>
      <w:ind w:left="440"/>
    </w:pPr>
    <w:rPr>
      <w:rFonts w:cstheme="minorHAnsi"/>
      <w:sz w:val="20"/>
      <w:szCs w:val="20"/>
    </w:rPr>
  </w:style>
  <w:style w:type="paragraph" w:styleId="Header">
    <w:name w:val="header"/>
    <w:basedOn w:val="Normal"/>
    <w:link w:val="HeaderChar"/>
    <w:uiPriority w:val="99"/>
    <w:unhideWhenUsed/>
    <w:rsid w:val="00FC322F"/>
    <w:pPr>
      <w:tabs>
        <w:tab w:val="center" w:pos="4513"/>
        <w:tab w:val="right" w:pos="9026"/>
      </w:tabs>
      <w:spacing w:before="0" w:after="0"/>
      <w:ind w:left="227"/>
    </w:pPr>
    <w:rPr>
      <w:b/>
      <w:caps/>
      <w:color w:val="FFFFFF" w:themeColor="background1"/>
      <w:sz w:val="20"/>
    </w:rPr>
  </w:style>
  <w:style w:type="paragraph" w:styleId="TOC4">
    <w:name w:val="toc 4"/>
    <w:basedOn w:val="Normal"/>
    <w:next w:val="Normal"/>
    <w:autoRedefine/>
    <w:uiPriority w:val="39"/>
    <w:unhideWhenUsed/>
    <w:locked/>
    <w:rsid w:val="008D7CEC"/>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8D7CEC"/>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8D7CEC"/>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8D7CEC"/>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locked/>
    <w:rsid w:val="008D7CEC"/>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8D7CEC"/>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7706B8"/>
    <w:pPr>
      <w:spacing w:before="400" w:after="400" w:line="280" w:lineRule="exact"/>
    </w:pPr>
    <w:rPr>
      <w:b/>
      <w:color w:val="ACD08C" w:themeColor="accent2"/>
      <w:sz w:val="28"/>
    </w:rPr>
  </w:style>
  <w:style w:type="table" w:styleId="TableGrid">
    <w:name w:val="Table Grid"/>
    <w:basedOn w:val="TableNormal"/>
    <w:uiPriority w:val="3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C322F"/>
    <w:rPr>
      <w:b/>
      <w:caps/>
      <w:color w:val="FFFFFF" w:themeColor="background1"/>
      <w:sz w:val="20"/>
      <w:lang w:val="en-GB"/>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7706B8"/>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FC322F"/>
    <w:pPr>
      <w:spacing w:before="0" w:after="0" w:line="240" w:lineRule="exact"/>
      <w:ind w:left="284" w:right="284"/>
    </w:pPr>
    <w:rPr>
      <w:color w:val="FFFFFF" w:themeColor="background1"/>
    </w:rPr>
  </w:style>
  <w:style w:type="character" w:customStyle="1" w:styleId="FooterChar">
    <w:name w:val="Footer Char"/>
    <w:basedOn w:val="DefaultParagraphFont"/>
    <w:link w:val="Footer"/>
    <w:uiPriority w:val="99"/>
    <w:rsid w:val="00FC322F"/>
    <w:rPr>
      <w:color w:val="FFFFFF" w:themeColor="background1"/>
      <w:lang w:val="en-GB"/>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aliases w:val="FA Fu,Texto nota pie IIRSA,Geneva 9,Font: Geneva 9,Boston 10,f,Footnote Text Char Char Char Char,Footnote Text Char Char Char Char Char Char Char Char,Footnote Text Char Char Char Char Char Char1,Footnote Text Char Char Char,ft,Texto,fn,9"/>
    <w:basedOn w:val="Normal"/>
    <w:link w:val="FootnoteTextChar"/>
    <w:uiPriority w:val="99"/>
    <w:unhideWhenUsed/>
    <w:qFormat/>
    <w:rsid w:val="008C5A0E"/>
    <w:pPr>
      <w:spacing w:before="60" w:after="0" w:line="140" w:lineRule="atLeast"/>
      <w:ind w:left="170" w:hanging="170"/>
    </w:pPr>
    <w:rPr>
      <w:sz w:val="12"/>
      <w:szCs w:val="20"/>
    </w:rPr>
  </w:style>
  <w:style w:type="character" w:customStyle="1" w:styleId="FootnoteTextChar">
    <w:name w:val="Footnote Text Char"/>
    <w:aliases w:val="FA Fu Char,Texto nota pie IIRSA Char,Geneva 9 Char,Font: Geneva 9 Char,Boston 10 Char,f Char,Footnote Text Char Char Char Char Char,Footnote Text Char Char Char Char Char Char Char Char Char,Footnote Text Char Char Char Char1,ft Char"/>
    <w:basedOn w:val="DefaultParagraphFont"/>
    <w:link w:val="FootnoteText"/>
    <w:uiPriority w:val="99"/>
    <w:qFormat/>
    <w:rsid w:val="008C5A0E"/>
    <w:rPr>
      <w:color w:val="495965" w:themeColor="text2"/>
      <w:sz w:val="12"/>
      <w:szCs w:val="20"/>
    </w:rPr>
  </w:style>
  <w:style w:type="character" w:styleId="FootnoteReference">
    <w:name w:val="footnote reference"/>
    <w:aliases w:val="Normal + Font:9 Point,Superscript 3 Point Times,ftref,BVI fnr,footnote ref,16 Point,Superscript 6 Point,referencia nota al pie,fr,Footnote text,(NECG) Footnote Reference,Footnote Reference Number,Ref,de nota al pie, BVI fnr,SUPERS,R"/>
    <w:basedOn w:val="DefaultParagraphFont"/>
    <w:link w:val="BVIfnrCharChar"/>
    <w:uiPriority w:val="99"/>
    <w:unhideWhenUsed/>
    <w:qFormat/>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961E72"/>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spacing w:before="60" w:line="220" w:lineRule="atLeast"/>
    </w:pPr>
    <w:rPr>
      <w:rFonts w:ascii="Calibri" w:hAnsi="Calibri"/>
      <w:sz w:val="18"/>
    </w:rPr>
  </w:style>
  <w:style w:type="paragraph" w:customStyle="1" w:styleId="TableBullet2">
    <w:name w:val="Table Bullet 2"/>
    <w:basedOn w:val="Bullet2"/>
    <w:qFormat/>
    <w:rsid w:val="00ED2831"/>
    <w:pPr>
      <w:spacing w:before="60" w:line="220" w:lineRule="atLeast"/>
    </w:pPr>
    <w:rPr>
      <w:rFonts w:ascii="Calibri" w:hAnsi="Calibri"/>
      <w:sz w:val="18"/>
    </w:rPr>
  </w:style>
  <w:style w:type="paragraph" w:customStyle="1" w:styleId="TableBullet3">
    <w:name w:val="Table Bullet 3"/>
    <w:basedOn w:val="Bullet3"/>
    <w:qFormat/>
    <w:rsid w:val="00ED2831"/>
    <w:pPr>
      <w:spacing w:before="60" w:line="220" w:lineRule="atLeast"/>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next w:val="Normal"/>
    <w:qFormat/>
    <w:rsid w:val="0025403C"/>
    <w:pPr>
      <w:keepNext/>
      <w:pBdr>
        <w:top w:val="single" w:sz="4" w:space="1" w:color="auto"/>
        <w:left w:val="single" w:sz="4" w:space="4" w:color="auto"/>
        <w:bottom w:val="single" w:sz="4" w:space="1" w:color="auto"/>
        <w:right w:val="single" w:sz="4" w:space="4" w:color="auto"/>
      </w:pBdr>
      <w:shd w:val="clear" w:color="auto" w:fill="C1E7E0" w:themeFill="accent1" w:themeFillTint="66"/>
      <w:spacing w:before="80" w:after="80" w:line="240" w:lineRule="auto"/>
    </w:pPr>
    <w:rPr>
      <w:b/>
      <w:color w:val="495965" w:themeColor="text2"/>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8"/>
      </w:numPr>
      <w:ind w:left="454" w:hanging="170"/>
    </w:pPr>
  </w:style>
  <w:style w:type="paragraph" w:customStyle="1" w:styleId="Box2Bullet">
    <w:name w:val="Box 2 Bullet"/>
    <w:basedOn w:val="Box2Text"/>
    <w:qFormat/>
    <w:rsid w:val="00C42541"/>
    <w:pPr>
      <w:numPr>
        <w:numId w:val="9"/>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semiHidden/>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semiHidden/>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aliases w:val="Numbered List Paragraph,List Bullet Mary,Bullet paras,Heading 1.1,List Paragraph (numbered (a)),Use Case List Paragraph,Bullets,ANNEX,List Paragraph1,List Paragraph2,List Paragraph Char Char Char,Main numbered paragraph,References,Liste 1"/>
    <w:basedOn w:val="Normal"/>
    <w:link w:val="ListParagraphChar"/>
    <w:uiPriority w:val="34"/>
    <w:qFormat/>
    <w:locked/>
    <w:rsid w:val="00A32858"/>
    <w:pPr>
      <w:ind w:left="720"/>
      <w:contextualSpacing/>
    </w:pPr>
  </w:style>
  <w:style w:type="paragraph" w:styleId="ListBullet">
    <w:name w:val="List Bullet"/>
    <w:basedOn w:val="BodyText"/>
    <w:qFormat/>
    <w:locked/>
    <w:rsid w:val="00A32858"/>
    <w:pPr>
      <w:numPr>
        <w:numId w:val="12"/>
      </w:numPr>
      <w:tabs>
        <w:tab w:val="left" w:pos="284"/>
      </w:tabs>
      <w:suppressAutoHyphens w:val="0"/>
      <w:spacing w:before="0" w:after="120" w:line="280" w:lineRule="exact"/>
    </w:pPr>
    <w:rPr>
      <w:rFonts w:ascii="Franklin Gothic Book" w:eastAsia="Times New Roman" w:hAnsi="Franklin Gothic Book" w:cs="Times New Roman"/>
      <w:sz w:val="21"/>
      <w:szCs w:val="24"/>
      <w:lang w:val="en-AU" w:eastAsia="en-AU"/>
    </w:rPr>
  </w:style>
  <w:style w:type="table" w:customStyle="1" w:styleId="TableGrid1">
    <w:name w:val="Table Grid1"/>
    <w:basedOn w:val="TableNormal"/>
    <w:next w:val="TableGrid"/>
    <w:uiPriority w:val="39"/>
    <w:locked/>
    <w:rsid w:val="000F4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aliases w:val="Table/Chart Title"/>
    <w:basedOn w:val="Heading2Char"/>
    <w:uiPriority w:val="33"/>
    <w:qFormat/>
    <w:locked/>
    <w:rsid w:val="006F116F"/>
    <w:rPr>
      <w:rFonts w:ascii="Calibri" w:eastAsiaTheme="majorEastAsia" w:hAnsi="Calibri" w:cstheme="majorBidi"/>
      <w:b w:val="0"/>
      <w:caps/>
      <w:color w:val="7C8C88"/>
      <w:sz w:val="26"/>
      <w:szCs w:val="26"/>
      <w:shd w:val="clear" w:color="auto" w:fill="C1E7E0" w:themeFill="accent1" w:themeFillTint="66"/>
      <w:lang w:val="en-GB"/>
    </w:rPr>
  </w:style>
  <w:style w:type="paragraph" w:customStyle="1" w:styleId="Tablecolumnheading">
    <w:name w:val="Table column heading"/>
    <w:basedOn w:val="Normal"/>
    <w:qFormat/>
    <w:rsid w:val="006F116F"/>
    <w:pPr>
      <w:keepNext/>
      <w:suppressAutoHyphens w:val="0"/>
      <w:spacing w:before="57" w:after="57" w:line="220" w:lineRule="atLeast"/>
      <w:ind w:left="96" w:right="96"/>
      <w:jc w:val="center"/>
    </w:pPr>
    <w:rPr>
      <w:rFonts w:eastAsia="Times New Roman" w:cs="Times New Roman"/>
      <w:b/>
      <w:color w:val="FFFFFF" w:themeColor="background1"/>
      <w:sz w:val="20"/>
      <w:szCs w:val="20"/>
      <w:lang w:val="en-AU"/>
    </w:rPr>
  </w:style>
  <w:style w:type="paragraph" w:customStyle="1" w:styleId="BodyTextHanging">
    <w:name w:val="Body Text Hanging"/>
    <w:basedOn w:val="BodyText"/>
    <w:link w:val="BodyTextHangingChar"/>
    <w:qFormat/>
    <w:rsid w:val="006F116F"/>
    <w:pPr>
      <w:spacing w:before="0" w:after="120" w:line="240" w:lineRule="auto"/>
    </w:pPr>
    <w:rPr>
      <w:rFonts w:ascii="Calibri" w:hAnsi="Calibri"/>
      <w:color w:val="000000" w:themeColor="text1"/>
      <w:lang w:eastAsia="en-AU"/>
    </w:rPr>
  </w:style>
  <w:style w:type="character" w:customStyle="1" w:styleId="BodyTextHangingChar">
    <w:name w:val="Body Text Hanging Char"/>
    <w:basedOn w:val="BodyTextChar"/>
    <w:link w:val="BodyTextHanging"/>
    <w:rsid w:val="006F116F"/>
    <w:rPr>
      <w:rFonts w:ascii="Calibri" w:hAnsi="Calibri"/>
      <w:color w:val="000000" w:themeColor="text1"/>
      <w:lang w:val="en-GB" w:eastAsia="en-AU"/>
    </w:rPr>
  </w:style>
  <w:style w:type="paragraph" w:styleId="Revision">
    <w:name w:val="Revision"/>
    <w:hidden/>
    <w:uiPriority w:val="99"/>
    <w:semiHidden/>
    <w:rsid w:val="0083795D"/>
    <w:pPr>
      <w:spacing w:after="0" w:line="240" w:lineRule="auto"/>
    </w:pPr>
    <w:rPr>
      <w:color w:val="495965" w:themeColor="text2"/>
      <w:lang w:val="en-GB"/>
    </w:rPr>
  </w:style>
  <w:style w:type="table" w:styleId="GridTable1Light">
    <w:name w:val="Grid Table 1 Light"/>
    <w:basedOn w:val="TableNormal"/>
    <w:uiPriority w:val="46"/>
    <w:locked/>
    <w:rsid w:val="0011588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096134"/>
    <w:rPr>
      <w:color w:val="800080" w:themeColor="followedHyperlink"/>
      <w:u w:val="single"/>
    </w:rPr>
  </w:style>
  <w:style w:type="character" w:styleId="UnresolvedMention">
    <w:name w:val="Unresolved Mention"/>
    <w:basedOn w:val="DefaultParagraphFont"/>
    <w:uiPriority w:val="99"/>
    <w:semiHidden/>
    <w:unhideWhenUsed/>
    <w:rsid w:val="00051CD2"/>
    <w:rPr>
      <w:color w:val="605E5C"/>
      <w:shd w:val="clear" w:color="auto" w:fill="E1DFDD"/>
    </w:rPr>
  </w:style>
  <w:style w:type="paragraph" w:styleId="NormalWeb">
    <w:name w:val="Normal (Web)"/>
    <w:basedOn w:val="Normal"/>
    <w:uiPriority w:val="99"/>
    <w:unhideWhenUsed/>
    <w:rsid w:val="00406EC8"/>
    <w:pPr>
      <w:suppressAutoHyphens w:val="0"/>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 w:type="character" w:customStyle="1" w:styleId="ref-lnk">
    <w:name w:val="ref-lnk"/>
    <w:basedOn w:val="DefaultParagraphFont"/>
    <w:rsid w:val="00051D21"/>
  </w:style>
  <w:style w:type="character" w:customStyle="1" w:styleId="off-screen">
    <w:name w:val="off-screen"/>
    <w:basedOn w:val="DefaultParagraphFont"/>
    <w:rsid w:val="00051D21"/>
  </w:style>
  <w:style w:type="character" w:customStyle="1" w:styleId="A4">
    <w:name w:val="A4"/>
    <w:uiPriority w:val="99"/>
    <w:rsid w:val="00310866"/>
    <w:rPr>
      <w:color w:val="211D1E"/>
      <w:sz w:val="22"/>
      <w:szCs w:val="22"/>
    </w:rPr>
  </w:style>
  <w:style w:type="character" w:customStyle="1" w:styleId="normaltextrun">
    <w:name w:val="normaltextrun"/>
    <w:basedOn w:val="DefaultParagraphFont"/>
    <w:rsid w:val="00185A47"/>
  </w:style>
  <w:style w:type="character" w:customStyle="1" w:styleId="eop">
    <w:name w:val="eop"/>
    <w:basedOn w:val="DefaultParagraphFont"/>
    <w:rsid w:val="00185A47"/>
  </w:style>
  <w:style w:type="paragraph" w:styleId="EndnoteText">
    <w:name w:val="endnote text"/>
    <w:basedOn w:val="Normal"/>
    <w:link w:val="EndnoteTextChar"/>
    <w:uiPriority w:val="99"/>
    <w:unhideWhenUsed/>
    <w:rsid w:val="00C571D7"/>
    <w:pPr>
      <w:spacing w:before="0" w:after="0" w:line="240" w:lineRule="auto"/>
    </w:pPr>
    <w:rPr>
      <w:sz w:val="20"/>
      <w:szCs w:val="20"/>
    </w:rPr>
  </w:style>
  <w:style w:type="character" w:customStyle="1" w:styleId="EndnoteTextChar">
    <w:name w:val="Endnote Text Char"/>
    <w:basedOn w:val="DefaultParagraphFont"/>
    <w:link w:val="EndnoteText"/>
    <w:uiPriority w:val="99"/>
    <w:rsid w:val="00C571D7"/>
    <w:rPr>
      <w:color w:val="495965" w:themeColor="text2"/>
      <w:sz w:val="20"/>
      <w:szCs w:val="20"/>
      <w:lang w:val="en-GB"/>
    </w:rPr>
  </w:style>
  <w:style w:type="paragraph" w:customStyle="1" w:styleId="paragraph">
    <w:name w:val="paragraph"/>
    <w:basedOn w:val="Normal"/>
    <w:rsid w:val="005829A7"/>
    <w:pPr>
      <w:suppressAutoHyphens w:val="0"/>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 w:type="character" w:customStyle="1" w:styleId="ListParagraphChar">
    <w:name w:val="List Paragraph Char"/>
    <w:aliases w:val="Numbered List Paragraph Char,List Bullet Mary Char,Bullet paras Char,Heading 1.1 Char,List Paragraph (numbered (a)) Char,Use Case List Paragraph Char,Bullets Char,ANNEX Char,List Paragraph1 Char,List Paragraph2 Char,References Char"/>
    <w:link w:val="ListParagraph"/>
    <w:uiPriority w:val="34"/>
    <w:qFormat/>
    <w:locked/>
    <w:rsid w:val="00030609"/>
    <w:rPr>
      <w:color w:val="495965" w:themeColor="text2"/>
      <w:lang w:val="en-GB"/>
    </w:rPr>
  </w:style>
  <w:style w:type="paragraph" w:customStyle="1" w:styleId="BVIfnrCharChar">
    <w:name w:val="BVI fnr Char Char"/>
    <w:aliases w:val="BVI fnr Car Car Char Char,BVI fnr Car Char Char,BVI fnr Car Car Car Car Char Char,BVI fnr Car Car Car Car Char Char Char1,FNRefe Char Char, BVI fnr Car Car Car Car Char Char Char Char Char, BVI fnr Car Car Char Char Char,4_G"/>
    <w:basedOn w:val="Normal"/>
    <w:link w:val="FootnoteReference"/>
    <w:uiPriority w:val="99"/>
    <w:rsid w:val="00030609"/>
    <w:pPr>
      <w:suppressAutoHyphens w:val="0"/>
      <w:spacing w:before="0" w:after="240" w:line="240" w:lineRule="exact"/>
      <w:jc w:val="both"/>
    </w:pPr>
    <w:rPr>
      <w:color w:val="auto"/>
      <w:vertAlign w:val="superscript"/>
      <w:lang w:val="en-AU"/>
    </w:rPr>
  </w:style>
  <w:style w:type="paragraph" w:customStyle="1" w:styleId="Nospacingbeforeorafter">
    <w:name w:val="No spacing before or after"/>
    <w:link w:val="NospacingbeforeorafterChar"/>
    <w:qFormat/>
    <w:rsid w:val="00F205D0"/>
    <w:pPr>
      <w:spacing w:after="0" w:line="264" w:lineRule="auto"/>
    </w:pPr>
    <w:rPr>
      <w:rFonts w:ascii="Franklin Gothic Book" w:hAnsi="Franklin Gothic Book" w:cs="Times New Roman"/>
    </w:rPr>
  </w:style>
  <w:style w:type="character" w:customStyle="1" w:styleId="NospacingbeforeorafterChar">
    <w:name w:val="No spacing before or after Char"/>
    <w:basedOn w:val="DefaultParagraphFont"/>
    <w:link w:val="Nospacingbeforeorafter"/>
    <w:rsid w:val="00F205D0"/>
    <w:rPr>
      <w:rFonts w:ascii="Franklin Gothic Book" w:hAnsi="Franklin Gothic Book" w:cs="Times New Roman"/>
    </w:rPr>
  </w:style>
  <w:style w:type="table" w:styleId="GridTable5Dark-Accent5">
    <w:name w:val="Grid Table 5 Dark Accent 5"/>
    <w:basedOn w:val="TableNormal"/>
    <w:uiPriority w:val="50"/>
    <w:locked/>
    <w:rsid w:val="005B7783"/>
    <w:pPr>
      <w:spacing w:after="0" w:line="240" w:lineRule="auto"/>
    </w:pPr>
    <w:rPr>
      <w:rFonts w:eastAsiaTheme="minorEastAsia"/>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EEE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9F6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9F6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9F6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9F68" w:themeFill="accent5"/>
      </w:tcPr>
    </w:tblStylePr>
    <w:tblStylePr w:type="band1Vert">
      <w:tblPr/>
      <w:tcPr>
        <w:shd w:val="clear" w:color="auto" w:fill="ADDEC1" w:themeFill="accent5" w:themeFillTint="66"/>
      </w:tcPr>
    </w:tblStylePr>
    <w:tblStylePr w:type="band1Horz">
      <w:tblPr/>
      <w:tcPr>
        <w:shd w:val="clear" w:color="auto" w:fill="ADDEC1"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66431">
      <w:bodyDiv w:val="1"/>
      <w:marLeft w:val="0"/>
      <w:marRight w:val="0"/>
      <w:marTop w:val="0"/>
      <w:marBottom w:val="0"/>
      <w:divBdr>
        <w:top w:val="none" w:sz="0" w:space="0" w:color="auto"/>
        <w:left w:val="none" w:sz="0" w:space="0" w:color="auto"/>
        <w:bottom w:val="none" w:sz="0" w:space="0" w:color="auto"/>
        <w:right w:val="none" w:sz="0" w:space="0" w:color="auto"/>
      </w:divBdr>
    </w:div>
    <w:div w:id="141703928">
      <w:bodyDiv w:val="1"/>
      <w:marLeft w:val="0"/>
      <w:marRight w:val="0"/>
      <w:marTop w:val="0"/>
      <w:marBottom w:val="0"/>
      <w:divBdr>
        <w:top w:val="none" w:sz="0" w:space="0" w:color="auto"/>
        <w:left w:val="none" w:sz="0" w:space="0" w:color="auto"/>
        <w:bottom w:val="none" w:sz="0" w:space="0" w:color="auto"/>
        <w:right w:val="none" w:sz="0" w:space="0" w:color="auto"/>
      </w:divBdr>
    </w:div>
    <w:div w:id="252206746">
      <w:bodyDiv w:val="1"/>
      <w:marLeft w:val="0"/>
      <w:marRight w:val="0"/>
      <w:marTop w:val="0"/>
      <w:marBottom w:val="0"/>
      <w:divBdr>
        <w:top w:val="none" w:sz="0" w:space="0" w:color="auto"/>
        <w:left w:val="none" w:sz="0" w:space="0" w:color="auto"/>
        <w:bottom w:val="none" w:sz="0" w:space="0" w:color="auto"/>
        <w:right w:val="none" w:sz="0" w:space="0" w:color="auto"/>
      </w:divBdr>
      <w:divsChild>
        <w:div w:id="1518809662">
          <w:marLeft w:val="420"/>
          <w:marRight w:val="-1320"/>
          <w:marTop w:val="60"/>
          <w:marBottom w:val="180"/>
          <w:divBdr>
            <w:top w:val="none" w:sz="0" w:space="0" w:color="auto"/>
            <w:left w:val="single" w:sz="12" w:space="15" w:color="FF8800"/>
            <w:bottom w:val="none" w:sz="0" w:space="0" w:color="auto"/>
            <w:right w:val="none" w:sz="0" w:space="0" w:color="auto"/>
          </w:divBdr>
        </w:div>
      </w:divsChild>
    </w:div>
    <w:div w:id="298002980">
      <w:bodyDiv w:val="1"/>
      <w:marLeft w:val="0"/>
      <w:marRight w:val="0"/>
      <w:marTop w:val="0"/>
      <w:marBottom w:val="0"/>
      <w:divBdr>
        <w:top w:val="none" w:sz="0" w:space="0" w:color="auto"/>
        <w:left w:val="none" w:sz="0" w:space="0" w:color="auto"/>
        <w:bottom w:val="none" w:sz="0" w:space="0" w:color="auto"/>
        <w:right w:val="none" w:sz="0" w:space="0" w:color="auto"/>
      </w:divBdr>
    </w:div>
    <w:div w:id="363949339">
      <w:bodyDiv w:val="1"/>
      <w:marLeft w:val="0"/>
      <w:marRight w:val="0"/>
      <w:marTop w:val="0"/>
      <w:marBottom w:val="0"/>
      <w:divBdr>
        <w:top w:val="none" w:sz="0" w:space="0" w:color="auto"/>
        <w:left w:val="none" w:sz="0" w:space="0" w:color="auto"/>
        <w:bottom w:val="none" w:sz="0" w:space="0" w:color="auto"/>
        <w:right w:val="none" w:sz="0" w:space="0" w:color="auto"/>
      </w:divBdr>
    </w:div>
    <w:div w:id="383455890">
      <w:bodyDiv w:val="1"/>
      <w:marLeft w:val="0"/>
      <w:marRight w:val="0"/>
      <w:marTop w:val="0"/>
      <w:marBottom w:val="0"/>
      <w:divBdr>
        <w:top w:val="none" w:sz="0" w:space="0" w:color="auto"/>
        <w:left w:val="none" w:sz="0" w:space="0" w:color="auto"/>
        <w:bottom w:val="none" w:sz="0" w:space="0" w:color="auto"/>
        <w:right w:val="none" w:sz="0" w:space="0" w:color="auto"/>
      </w:divBdr>
    </w:div>
    <w:div w:id="467624087">
      <w:bodyDiv w:val="1"/>
      <w:marLeft w:val="0"/>
      <w:marRight w:val="0"/>
      <w:marTop w:val="0"/>
      <w:marBottom w:val="0"/>
      <w:divBdr>
        <w:top w:val="none" w:sz="0" w:space="0" w:color="auto"/>
        <w:left w:val="none" w:sz="0" w:space="0" w:color="auto"/>
        <w:bottom w:val="none" w:sz="0" w:space="0" w:color="auto"/>
        <w:right w:val="none" w:sz="0" w:space="0" w:color="auto"/>
      </w:divBdr>
      <w:divsChild>
        <w:div w:id="473059761">
          <w:marLeft w:val="0"/>
          <w:marRight w:val="0"/>
          <w:marTop w:val="0"/>
          <w:marBottom w:val="0"/>
          <w:divBdr>
            <w:top w:val="none" w:sz="0" w:space="0" w:color="auto"/>
            <w:left w:val="none" w:sz="0" w:space="0" w:color="auto"/>
            <w:bottom w:val="none" w:sz="0" w:space="0" w:color="auto"/>
            <w:right w:val="none" w:sz="0" w:space="0" w:color="auto"/>
          </w:divBdr>
        </w:div>
        <w:div w:id="589697265">
          <w:marLeft w:val="0"/>
          <w:marRight w:val="0"/>
          <w:marTop w:val="0"/>
          <w:marBottom w:val="0"/>
          <w:divBdr>
            <w:top w:val="none" w:sz="0" w:space="0" w:color="auto"/>
            <w:left w:val="none" w:sz="0" w:space="0" w:color="auto"/>
            <w:bottom w:val="none" w:sz="0" w:space="0" w:color="auto"/>
            <w:right w:val="none" w:sz="0" w:space="0" w:color="auto"/>
          </w:divBdr>
        </w:div>
        <w:div w:id="832068565">
          <w:marLeft w:val="0"/>
          <w:marRight w:val="0"/>
          <w:marTop w:val="0"/>
          <w:marBottom w:val="0"/>
          <w:divBdr>
            <w:top w:val="none" w:sz="0" w:space="0" w:color="auto"/>
            <w:left w:val="none" w:sz="0" w:space="0" w:color="auto"/>
            <w:bottom w:val="none" w:sz="0" w:space="0" w:color="auto"/>
            <w:right w:val="none" w:sz="0" w:space="0" w:color="auto"/>
          </w:divBdr>
        </w:div>
        <w:div w:id="1940066639">
          <w:marLeft w:val="0"/>
          <w:marRight w:val="0"/>
          <w:marTop w:val="0"/>
          <w:marBottom w:val="0"/>
          <w:divBdr>
            <w:top w:val="none" w:sz="0" w:space="0" w:color="auto"/>
            <w:left w:val="none" w:sz="0" w:space="0" w:color="auto"/>
            <w:bottom w:val="none" w:sz="0" w:space="0" w:color="auto"/>
            <w:right w:val="none" w:sz="0" w:space="0" w:color="auto"/>
          </w:divBdr>
        </w:div>
      </w:divsChild>
    </w:div>
    <w:div w:id="525826726">
      <w:bodyDiv w:val="1"/>
      <w:marLeft w:val="0"/>
      <w:marRight w:val="0"/>
      <w:marTop w:val="0"/>
      <w:marBottom w:val="0"/>
      <w:divBdr>
        <w:top w:val="none" w:sz="0" w:space="0" w:color="auto"/>
        <w:left w:val="none" w:sz="0" w:space="0" w:color="auto"/>
        <w:bottom w:val="none" w:sz="0" w:space="0" w:color="auto"/>
        <w:right w:val="none" w:sz="0" w:space="0" w:color="auto"/>
      </w:divBdr>
    </w:div>
    <w:div w:id="565266151">
      <w:bodyDiv w:val="1"/>
      <w:marLeft w:val="0"/>
      <w:marRight w:val="0"/>
      <w:marTop w:val="0"/>
      <w:marBottom w:val="0"/>
      <w:divBdr>
        <w:top w:val="none" w:sz="0" w:space="0" w:color="auto"/>
        <w:left w:val="none" w:sz="0" w:space="0" w:color="auto"/>
        <w:bottom w:val="none" w:sz="0" w:space="0" w:color="auto"/>
        <w:right w:val="none" w:sz="0" w:space="0" w:color="auto"/>
      </w:divBdr>
    </w:div>
    <w:div w:id="689642627">
      <w:bodyDiv w:val="1"/>
      <w:marLeft w:val="0"/>
      <w:marRight w:val="0"/>
      <w:marTop w:val="0"/>
      <w:marBottom w:val="0"/>
      <w:divBdr>
        <w:top w:val="none" w:sz="0" w:space="0" w:color="auto"/>
        <w:left w:val="none" w:sz="0" w:space="0" w:color="auto"/>
        <w:bottom w:val="none" w:sz="0" w:space="0" w:color="auto"/>
        <w:right w:val="none" w:sz="0" w:space="0" w:color="auto"/>
      </w:divBdr>
    </w:div>
    <w:div w:id="758864138">
      <w:bodyDiv w:val="1"/>
      <w:marLeft w:val="0"/>
      <w:marRight w:val="0"/>
      <w:marTop w:val="0"/>
      <w:marBottom w:val="0"/>
      <w:divBdr>
        <w:top w:val="none" w:sz="0" w:space="0" w:color="auto"/>
        <w:left w:val="none" w:sz="0" w:space="0" w:color="auto"/>
        <w:bottom w:val="none" w:sz="0" w:space="0" w:color="auto"/>
        <w:right w:val="none" w:sz="0" w:space="0" w:color="auto"/>
      </w:divBdr>
    </w:div>
    <w:div w:id="810100721">
      <w:bodyDiv w:val="1"/>
      <w:marLeft w:val="0"/>
      <w:marRight w:val="0"/>
      <w:marTop w:val="0"/>
      <w:marBottom w:val="0"/>
      <w:divBdr>
        <w:top w:val="none" w:sz="0" w:space="0" w:color="auto"/>
        <w:left w:val="none" w:sz="0" w:space="0" w:color="auto"/>
        <w:bottom w:val="none" w:sz="0" w:space="0" w:color="auto"/>
        <w:right w:val="none" w:sz="0" w:space="0" w:color="auto"/>
      </w:divBdr>
    </w:div>
    <w:div w:id="828256263">
      <w:bodyDiv w:val="1"/>
      <w:marLeft w:val="0"/>
      <w:marRight w:val="0"/>
      <w:marTop w:val="0"/>
      <w:marBottom w:val="0"/>
      <w:divBdr>
        <w:top w:val="none" w:sz="0" w:space="0" w:color="auto"/>
        <w:left w:val="none" w:sz="0" w:space="0" w:color="auto"/>
        <w:bottom w:val="none" w:sz="0" w:space="0" w:color="auto"/>
        <w:right w:val="none" w:sz="0" w:space="0" w:color="auto"/>
      </w:divBdr>
    </w:div>
    <w:div w:id="896547278">
      <w:bodyDiv w:val="1"/>
      <w:marLeft w:val="0"/>
      <w:marRight w:val="0"/>
      <w:marTop w:val="0"/>
      <w:marBottom w:val="0"/>
      <w:divBdr>
        <w:top w:val="none" w:sz="0" w:space="0" w:color="auto"/>
        <w:left w:val="none" w:sz="0" w:space="0" w:color="auto"/>
        <w:bottom w:val="none" w:sz="0" w:space="0" w:color="auto"/>
        <w:right w:val="none" w:sz="0" w:space="0" w:color="auto"/>
      </w:divBdr>
      <w:divsChild>
        <w:div w:id="1618104994">
          <w:marLeft w:val="420"/>
          <w:marRight w:val="-1320"/>
          <w:marTop w:val="60"/>
          <w:marBottom w:val="180"/>
          <w:divBdr>
            <w:top w:val="none" w:sz="0" w:space="0" w:color="auto"/>
            <w:left w:val="single" w:sz="12" w:space="15" w:color="FF8800"/>
            <w:bottom w:val="none" w:sz="0" w:space="0" w:color="auto"/>
            <w:right w:val="none" w:sz="0" w:space="0" w:color="auto"/>
          </w:divBdr>
        </w:div>
      </w:divsChild>
    </w:div>
    <w:div w:id="900943489">
      <w:bodyDiv w:val="1"/>
      <w:marLeft w:val="0"/>
      <w:marRight w:val="0"/>
      <w:marTop w:val="0"/>
      <w:marBottom w:val="0"/>
      <w:divBdr>
        <w:top w:val="none" w:sz="0" w:space="0" w:color="auto"/>
        <w:left w:val="none" w:sz="0" w:space="0" w:color="auto"/>
        <w:bottom w:val="none" w:sz="0" w:space="0" w:color="auto"/>
        <w:right w:val="none" w:sz="0" w:space="0" w:color="auto"/>
      </w:divBdr>
    </w:div>
    <w:div w:id="1012074885">
      <w:bodyDiv w:val="1"/>
      <w:marLeft w:val="0"/>
      <w:marRight w:val="0"/>
      <w:marTop w:val="0"/>
      <w:marBottom w:val="0"/>
      <w:divBdr>
        <w:top w:val="none" w:sz="0" w:space="0" w:color="auto"/>
        <w:left w:val="none" w:sz="0" w:space="0" w:color="auto"/>
        <w:bottom w:val="none" w:sz="0" w:space="0" w:color="auto"/>
        <w:right w:val="none" w:sz="0" w:space="0" w:color="auto"/>
      </w:divBdr>
    </w:div>
    <w:div w:id="1058623971">
      <w:bodyDiv w:val="1"/>
      <w:marLeft w:val="0"/>
      <w:marRight w:val="0"/>
      <w:marTop w:val="0"/>
      <w:marBottom w:val="0"/>
      <w:divBdr>
        <w:top w:val="none" w:sz="0" w:space="0" w:color="auto"/>
        <w:left w:val="none" w:sz="0" w:space="0" w:color="auto"/>
        <w:bottom w:val="none" w:sz="0" w:space="0" w:color="auto"/>
        <w:right w:val="none" w:sz="0" w:space="0" w:color="auto"/>
      </w:divBdr>
    </w:div>
    <w:div w:id="1077097219">
      <w:bodyDiv w:val="1"/>
      <w:marLeft w:val="0"/>
      <w:marRight w:val="0"/>
      <w:marTop w:val="0"/>
      <w:marBottom w:val="0"/>
      <w:divBdr>
        <w:top w:val="none" w:sz="0" w:space="0" w:color="auto"/>
        <w:left w:val="none" w:sz="0" w:space="0" w:color="auto"/>
        <w:bottom w:val="none" w:sz="0" w:space="0" w:color="auto"/>
        <w:right w:val="none" w:sz="0" w:space="0" w:color="auto"/>
      </w:divBdr>
    </w:div>
    <w:div w:id="1080980251">
      <w:bodyDiv w:val="1"/>
      <w:marLeft w:val="0"/>
      <w:marRight w:val="0"/>
      <w:marTop w:val="0"/>
      <w:marBottom w:val="0"/>
      <w:divBdr>
        <w:top w:val="none" w:sz="0" w:space="0" w:color="auto"/>
        <w:left w:val="none" w:sz="0" w:space="0" w:color="auto"/>
        <w:bottom w:val="none" w:sz="0" w:space="0" w:color="auto"/>
        <w:right w:val="none" w:sz="0" w:space="0" w:color="auto"/>
      </w:divBdr>
    </w:div>
    <w:div w:id="1094058029">
      <w:bodyDiv w:val="1"/>
      <w:marLeft w:val="0"/>
      <w:marRight w:val="0"/>
      <w:marTop w:val="0"/>
      <w:marBottom w:val="0"/>
      <w:divBdr>
        <w:top w:val="none" w:sz="0" w:space="0" w:color="auto"/>
        <w:left w:val="none" w:sz="0" w:space="0" w:color="auto"/>
        <w:bottom w:val="none" w:sz="0" w:space="0" w:color="auto"/>
        <w:right w:val="none" w:sz="0" w:space="0" w:color="auto"/>
      </w:divBdr>
    </w:div>
    <w:div w:id="1175681859">
      <w:bodyDiv w:val="1"/>
      <w:marLeft w:val="0"/>
      <w:marRight w:val="0"/>
      <w:marTop w:val="0"/>
      <w:marBottom w:val="0"/>
      <w:divBdr>
        <w:top w:val="none" w:sz="0" w:space="0" w:color="auto"/>
        <w:left w:val="none" w:sz="0" w:space="0" w:color="auto"/>
        <w:bottom w:val="none" w:sz="0" w:space="0" w:color="auto"/>
        <w:right w:val="none" w:sz="0" w:space="0" w:color="auto"/>
      </w:divBdr>
    </w:div>
    <w:div w:id="1214082756">
      <w:bodyDiv w:val="1"/>
      <w:marLeft w:val="0"/>
      <w:marRight w:val="0"/>
      <w:marTop w:val="0"/>
      <w:marBottom w:val="0"/>
      <w:divBdr>
        <w:top w:val="none" w:sz="0" w:space="0" w:color="auto"/>
        <w:left w:val="none" w:sz="0" w:space="0" w:color="auto"/>
        <w:bottom w:val="none" w:sz="0" w:space="0" w:color="auto"/>
        <w:right w:val="none" w:sz="0" w:space="0" w:color="auto"/>
      </w:divBdr>
    </w:div>
    <w:div w:id="1310817987">
      <w:bodyDiv w:val="1"/>
      <w:marLeft w:val="0"/>
      <w:marRight w:val="0"/>
      <w:marTop w:val="0"/>
      <w:marBottom w:val="0"/>
      <w:divBdr>
        <w:top w:val="none" w:sz="0" w:space="0" w:color="auto"/>
        <w:left w:val="none" w:sz="0" w:space="0" w:color="auto"/>
        <w:bottom w:val="none" w:sz="0" w:space="0" w:color="auto"/>
        <w:right w:val="none" w:sz="0" w:space="0" w:color="auto"/>
      </w:divBdr>
      <w:divsChild>
        <w:div w:id="987782224">
          <w:marLeft w:val="0"/>
          <w:marRight w:val="0"/>
          <w:marTop w:val="0"/>
          <w:marBottom w:val="0"/>
          <w:divBdr>
            <w:top w:val="none" w:sz="0" w:space="0" w:color="auto"/>
            <w:left w:val="none" w:sz="0" w:space="0" w:color="auto"/>
            <w:bottom w:val="none" w:sz="0" w:space="0" w:color="auto"/>
            <w:right w:val="none" w:sz="0" w:space="0" w:color="auto"/>
          </w:divBdr>
          <w:divsChild>
            <w:div w:id="1901869108">
              <w:marLeft w:val="0"/>
              <w:marRight w:val="0"/>
              <w:marTop w:val="0"/>
              <w:marBottom w:val="0"/>
              <w:divBdr>
                <w:top w:val="none" w:sz="0" w:space="0" w:color="auto"/>
                <w:left w:val="none" w:sz="0" w:space="0" w:color="auto"/>
                <w:bottom w:val="none" w:sz="0" w:space="0" w:color="auto"/>
                <w:right w:val="none" w:sz="0" w:space="0" w:color="auto"/>
              </w:divBdr>
              <w:divsChild>
                <w:div w:id="1339698736">
                  <w:marLeft w:val="0"/>
                  <w:marRight w:val="0"/>
                  <w:marTop w:val="0"/>
                  <w:marBottom w:val="0"/>
                  <w:divBdr>
                    <w:top w:val="none" w:sz="0" w:space="0" w:color="auto"/>
                    <w:left w:val="none" w:sz="0" w:space="0" w:color="auto"/>
                    <w:bottom w:val="none" w:sz="0" w:space="0" w:color="auto"/>
                    <w:right w:val="none" w:sz="0" w:space="0" w:color="auto"/>
                  </w:divBdr>
                  <w:divsChild>
                    <w:div w:id="1339383740">
                      <w:marLeft w:val="0"/>
                      <w:marRight w:val="0"/>
                      <w:marTop w:val="100"/>
                      <w:marBottom w:val="100"/>
                      <w:divBdr>
                        <w:top w:val="none" w:sz="0" w:space="0" w:color="auto"/>
                        <w:left w:val="none" w:sz="0" w:space="0" w:color="auto"/>
                        <w:bottom w:val="none" w:sz="0" w:space="0" w:color="auto"/>
                        <w:right w:val="none" w:sz="0" w:space="0" w:color="auto"/>
                      </w:divBdr>
                      <w:divsChild>
                        <w:div w:id="698701035">
                          <w:marLeft w:val="0"/>
                          <w:marRight w:val="0"/>
                          <w:marTop w:val="0"/>
                          <w:marBottom w:val="0"/>
                          <w:divBdr>
                            <w:top w:val="none" w:sz="0" w:space="0" w:color="auto"/>
                            <w:left w:val="none" w:sz="0" w:space="0" w:color="auto"/>
                            <w:bottom w:val="none" w:sz="0" w:space="0" w:color="auto"/>
                            <w:right w:val="none" w:sz="0" w:space="0" w:color="auto"/>
                          </w:divBdr>
                          <w:divsChild>
                            <w:div w:id="382101812">
                              <w:marLeft w:val="0"/>
                              <w:marRight w:val="0"/>
                              <w:marTop w:val="0"/>
                              <w:marBottom w:val="0"/>
                              <w:divBdr>
                                <w:top w:val="single" w:sz="6" w:space="2" w:color="E6E7E8"/>
                                <w:left w:val="single" w:sz="6" w:space="2" w:color="E6E7E8"/>
                                <w:bottom w:val="single" w:sz="6" w:space="2" w:color="E6E7E8"/>
                                <w:right w:val="single" w:sz="6" w:space="2" w:color="E6E7E8"/>
                              </w:divBdr>
                              <w:divsChild>
                                <w:div w:id="570240811">
                                  <w:marLeft w:val="0"/>
                                  <w:marRight w:val="0"/>
                                  <w:marTop w:val="15"/>
                                  <w:marBottom w:val="0"/>
                                  <w:divBdr>
                                    <w:top w:val="none" w:sz="0" w:space="0" w:color="auto"/>
                                    <w:left w:val="none" w:sz="0" w:space="0" w:color="auto"/>
                                    <w:bottom w:val="none" w:sz="0" w:space="0" w:color="auto"/>
                                    <w:right w:val="none" w:sz="0" w:space="0" w:color="auto"/>
                                  </w:divBdr>
                                  <w:divsChild>
                                    <w:div w:id="486944714">
                                      <w:marLeft w:val="0"/>
                                      <w:marRight w:val="0"/>
                                      <w:marTop w:val="0"/>
                                      <w:marBottom w:val="0"/>
                                      <w:divBdr>
                                        <w:top w:val="none" w:sz="0" w:space="0" w:color="auto"/>
                                        <w:left w:val="none" w:sz="0" w:space="0" w:color="auto"/>
                                        <w:bottom w:val="none" w:sz="0" w:space="0" w:color="auto"/>
                                        <w:right w:val="none" w:sz="0" w:space="0" w:color="auto"/>
                                      </w:divBdr>
                                    </w:div>
                                    <w:div w:id="188502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5483924">
          <w:marLeft w:val="0"/>
          <w:marRight w:val="0"/>
          <w:marTop w:val="0"/>
          <w:marBottom w:val="0"/>
          <w:divBdr>
            <w:top w:val="none" w:sz="0" w:space="0" w:color="auto"/>
            <w:left w:val="none" w:sz="0" w:space="0" w:color="auto"/>
            <w:bottom w:val="none" w:sz="0" w:space="0" w:color="auto"/>
            <w:right w:val="none" w:sz="0" w:space="0" w:color="auto"/>
          </w:divBdr>
          <w:divsChild>
            <w:div w:id="1280528995">
              <w:marLeft w:val="0"/>
              <w:marRight w:val="0"/>
              <w:marTop w:val="0"/>
              <w:marBottom w:val="0"/>
              <w:divBdr>
                <w:top w:val="none" w:sz="0" w:space="0" w:color="auto"/>
                <w:left w:val="none" w:sz="0" w:space="0" w:color="auto"/>
                <w:bottom w:val="none" w:sz="0" w:space="0" w:color="auto"/>
                <w:right w:val="none" w:sz="0" w:space="0" w:color="auto"/>
              </w:divBdr>
              <w:divsChild>
                <w:div w:id="1270702843">
                  <w:marLeft w:val="0"/>
                  <w:marRight w:val="0"/>
                  <w:marTop w:val="0"/>
                  <w:marBottom w:val="0"/>
                  <w:divBdr>
                    <w:top w:val="none" w:sz="0" w:space="0" w:color="auto"/>
                    <w:left w:val="none" w:sz="0" w:space="0" w:color="auto"/>
                    <w:bottom w:val="none" w:sz="0" w:space="0" w:color="auto"/>
                    <w:right w:val="none" w:sz="0" w:space="0" w:color="auto"/>
                  </w:divBdr>
                  <w:divsChild>
                    <w:div w:id="127209168">
                      <w:marLeft w:val="0"/>
                      <w:marRight w:val="0"/>
                      <w:marTop w:val="0"/>
                      <w:marBottom w:val="0"/>
                      <w:divBdr>
                        <w:top w:val="none" w:sz="0" w:space="0" w:color="auto"/>
                        <w:left w:val="none" w:sz="0" w:space="0" w:color="auto"/>
                        <w:bottom w:val="none" w:sz="0" w:space="0" w:color="auto"/>
                        <w:right w:val="none" w:sz="0" w:space="0" w:color="auto"/>
                      </w:divBdr>
                      <w:divsChild>
                        <w:div w:id="831526793">
                          <w:marLeft w:val="0"/>
                          <w:marRight w:val="0"/>
                          <w:marTop w:val="0"/>
                          <w:marBottom w:val="0"/>
                          <w:divBdr>
                            <w:top w:val="none" w:sz="0" w:space="0" w:color="auto"/>
                            <w:left w:val="none" w:sz="0" w:space="0" w:color="auto"/>
                            <w:bottom w:val="none" w:sz="0" w:space="0" w:color="auto"/>
                            <w:right w:val="none" w:sz="0" w:space="0" w:color="auto"/>
                          </w:divBdr>
                          <w:divsChild>
                            <w:div w:id="218517321">
                              <w:marLeft w:val="0"/>
                              <w:marRight w:val="0"/>
                              <w:marTop w:val="0"/>
                              <w:marBottom w:val="0"/>
                              <w:divBdr>
                                <w:top w:val="none" w:sz="0" w:space="0" w:color="auto"/>
                                <w:left w:val="none" w:sz="0" w:space="0" w:color="auto"/>
                                <w:bottom w:val="none" w:sz="0" w:space="0" w:color="auto"/>
                                <w:right w:val="none" w:sz="0" w:space="0" w:color="auto"/>
                              </w:divBdr>
                              <w:divsChild>
                                <w:div w:id="50305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6322116">
      <w:bodyDiv w:val="1"/>
      <w:marLeft w:val="0"/>
      <w:marRight w:val="0"/>
      <w:marTop w:val="0"/>
      <w:marBottom w:val="0"/>
      <w:divBdr>
        <w:top w:val="none" w:sz="0" w:space="0" w:color="auto"/>
        <w:left w:val="none" w:sz="0" w:space="0" w:color="auto"/>
        <w:bottom w:val="none" w:sz="0" w:space="0" w:color="auto"/>
        <w:right w:val="none" w:sz="0" w:space="0" w:color="auto"/>
      </w:divBdr>
    </w:div>
    <w:div w:id="1334381680">
      <w:bodyDiv w:val="1"/>
      <w:marLeft w:val="0"/>
      <w:marRight w:val="0"/>
      <w:marTop w:val="0"/>
      <w:marBottom w:val="0"/>
      <w:divBdr>
        <w:top w:val="none" w:sz="0" w:space="0" w:color="auto"/>
        <w:left w:val="none" w:sz="0" w:space="0" w:color="auto"/>
        <w:bottom w:val="none" w:sz="0" w:space="0" w:color="auto"/>
        <w:right w:val="none" w:sz="0" w:space="0" w:color="auto"/>
      </w:divBdr>
    </w:div>
    <w:div w:id="1367558431">
      <w:bodyDiv w:val="1"/>
      <w:marLeft w:val="0"/>
      <w:marRight w:val="0"/>
      <w:marTop w:val="0"/>
      <w:marBottom w:val="0"/>
      <w:divBdr>
        <w:top w:val="none" w:sz="0" w:space="0" w:color="auto"/>
        <w:left w:val="none" w:sz="0" w:space="0" w:color="auto"/>
        <w:bottom w:val="none" w:sz="0" w:space="0" w:color="auto"/>
        <w:right w:val="none" w:sz="0" w:space="0" w:color="auto"/>
      </w:divBdr>
    </w:div>
    <w:div w:id="1367758529">
      <w:bodyDiv w:val="1"/>
      <w:marLeft w:val="0"/>
      <w:marRight w:val="0"/>
      <w:marTop w:val="0"/>
      <w:marBottom w:val="0"/>
      <w:divBdr>
        <w:top w:val="none" w:sz="0" w:space="0" w:color="auto"/>
        <w:left w:val="none" w:sz="0" w:space="0" w:color="auto"/>
        <w:bottom w:val="none" w:sz="0" w:space="0" w:color="auto"/>
        <w:right w:val="none" w:sz="0" w:space="0" w:color="auto"/>
      </w:divBdr>
    </w:div>
    <w:div w:id="1368682748">
      <w:bodyDiv w:val="1"/>
      <w:marLeft w:val="0"/>
      <w:marRight w:val="0"/>
      <w:marTop w:val="0"/>
      <w:marBottom w:val="0"/>
      <w:divBdr>
        <w:top w:val="none" w:sz="0" w:space="0" w:color="auto"/>
        <w:left w:val="none" w:sz="0" w:space="0" w:color="auto"/>
        <w:bottom w:val="none" w:sz="0" w:space="0" w:color="auto"/>
        <w:right w:val="none" w:sz="0" w:space="0" w:color="auto"/>
      </w:divBdr>
      <w:divsChild>
        <w:div w:id="37822185">
          <w:marLeft w:val="0"/>
          <w:marRight w:val="0"/>
          <w:marTop w:val="0"/>
          <w:marBottom w:val="0"/>
          <w:divBdr>
            <w:top w:val="none" w:sz="0" w:space="0" w:color="auto"/>
            <w:left w:val="none" w:sz="0" w:space="0" w:color="auto"/>
            <w:bottom w:val="none" w:sz="0" w:space="0" w:color="auto"/>
            <w:right w:val="none" w:sz="0" w:space="0" w:color="auto"/>
          </w:divBdr>
          <w:divsChild>
            <w:div w:id="497692191">
              <w:marLeft w:val="0"/>
              <w:marRight w:val="0"/>
              <w:marTop w:val="0"/>
              <w:marBottom w:val="0"/>
              <w:divBdr>
                <w:top w:val="none" w:sz="0" w:space="0" w:color="auto"/>
                <w:left w:val="none" w:sz="0" w:space="0" w:color="auto"/>
                <w:bottom w:val="none" w:sz="0" w:space="0" w:color="auto"/>
                <w:right w:val="none" w:sz="0" w:space="0" w:color="auto"/>
              </w:divBdr>
              <w:divsChild>
                <w:div w:id="1554462758">
                  <w:marLeft w:val="0"/>
                  <w:marRight w:val="0"/>
                  <w:marTop w:val="0"/>
                  <w:marBottom w:val="0"/>
                  <w:divBdr>
                    <w:top w:val="none" w:sz="0" w:space="0" w:color="auto"/>
                    <w:left w:val="none" w:sz="0" w:space="0" w:color="auto"/>
                    <w:bottom w:val="none" w:sz="0" w:space="0" w:color="auto"/>
                    <w:right w:val="none" w:sz="0" w:space="0" w:color="auto"/>
                  </w:divBdr>
                  <w:divsChild>
                    <w:div w:id="589049898">
                      <w:marLeft w:val="2325"/>
                      <w:marRight w:val="0"/>
                      <w:marTop w:val="0"/>
                      <w:marBottom w:val="0"/>
                      <w:divBdr>
                        <w:top w:val="none" w:sz="0" w:space="0" w:color="auto"/>
                        <w:left w:val="none" w:sz="0" w:space="0" w:color="auto"/>
                        <w:bottom w:val="none" w:sz="0" w:space="0" w:color="auto"/>
                        <w:right w:val="none" w:sz="0" w:space="0" w:color="auto"/>
                      </w:divBdr>
                      <w:divsChild>
                        <w:div w:id="944195103">
                          <w:marLeft w:val="0"/>
                          <w:marRight w:val="0"/>
                          <w:marTop w:val="0"/>
                          <w:marBottom w:val="0"/>
                          <w:divBdr>
                            <w:top w:val="none" w:sz="0" w:space="0" w:color="auto"/>
                            <w:left w:val="none" w:sz="0" w:space="0" w:color="auto"/>
                            <w:bottom w:val="none" w:sz="0" w:space="0" w:color="auto"/>
                            <w:right w:val="none" w:sz="0" w:space="0" w:color="auto"/>
                          </w:divBdr>
                          <w:divsChild>
                            <w:div w:id="1325208629">
                              <w:marLeft w:val="0"/>
                              <w:marRight w:val="0"/>
                              <w:marTop w:val="0"/>
                              <w:marBottom w:val="0"/>
                              <w:divBdr>
                                <w:top w:val="none" w:sz="0" w:space="0" w:color="auto"/>
                                <w:left w:val="none" w:sz="0" w:space="0" w:color="auto"/>
                                <w:bottom w:val="none" w:sz="0" w:space="0" w:color="auto"/>
                                <w:right w:val="none" w:sz="0" w:space="0" w:color="auto"/>
                              </w:divBdr>
                              <w:divsChild>
                                <w:div w:id="63064224">
                                  <w:marLeft w:val="0"/>
                                  <w:marRight w:val="0"/>
                                  <w:marTop w:val="0"/>
                                  <w:marBottom w:val="0"/>
                                  <w:divBdr>
                                    <w:top w:val="none" w:sz="0" w:space="0" w:color="auto"/>
                                    <w:left w:val="none" w:sz="0" w:space="0" w:color="auto"/>
                                    <w:bottom w:val="none" w:sz="0" w:space="0" w:color="auto"/>
                                    <w:right w:val="none" w:sz="0" w:space="0" w:color="auto"/>
                                  </w:divBdr>
                                  <w:divsChild>
                                    <w:div w:id="1033724144">
                                      <w:marLeft w:val="0"/>
                                      <w:marRight w:val="0"/>
                                      <w:marTop w:val="0"/>
                                      <w:marBottom w:val="0"/>
                                      <w:divBdr>
                                        <w:top w:val="none" w:sz="0" w:space="0" w:color="auto"/>
                                        <w:left w:val="none" w:sz="0" w:space="0" w:color="auto"/>
                                        <w:bottom w:val="none" w:sz="0" w:space="0" w:color="auto"/>
                                        <w:right w:val="none" w:sz="0" w:space="0" w:color="auto"/>
                                      </w:divBdr>
                                      <w:divsChild>
                                        <w:div w:id="802768694">
                                          <w:marLeft w:val="0"/>
                                          <w:marRight w:val="0"/>
                                          <w:marTop w:val="0"/>
                                          <w:marBottom w:val="0"/>
                                          <w:divBdr>
                                            <w:top w:val="none" w:sz="0" w:space="0" w:color="auto"/>
                                            <w:left w:val="none" w:sz="0" w:space="0" w:color="auto"/>
                                            <w:bottom w:val="none" w:sz="0" w:space="0" w:color="auto"/>
                                            <w:right w:val="none" w:sz="0" w:space="0" w:color="auto"/>
                                          </w:divBdr>
                                          <w:divsChild>
                                            <w:div w:id="683633401">
                                              <w:marLeft w:val="0"/>
                                              <w:marRight w:val="0"/>
                                              <w:marTop w:val="0"/>
                                              <w:marBottom w:val="0"/>
                                              <w:divBdr>
                                                <w:top w:val="none" w:sz="0" w:space="0" w:color="auto"/>
                                                <w:left w:val="none" w:sz="0" w:space="0" w:color="auto"/>
                                                <w:bottom w:val="none" w:sz="0" w:space="0" w:color="auto"/>
                                                <w:right w:val="none" w:sz="0" w:space="0" w:color="auto"/>
                                              </w:divBdr>
                                              <w:divsChild>
                                                <w:div w:id="151364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6178396">
      <w:bodyDiv w:val="1"/>
      <w:marLeft w:val="0"/>
      <w:marRight w:val="0"/>
      <w:marTop w:val="0"/>
      <w:marBottom w:val="0"/>
      <w:divBdr>
        <w:top w:val="none" w:sz="0" w:space="0" w:color="auto"/>
        <w:left w:val="none" w:sz="0" w:space="0" w:color="auto"/>
        <w:bottom w:val="none" w:sz="0" w:space="0" w:color="auto"/>
        <w:right w:val="none" w:sz="0" w:space="0" w:color="auto"/>
      </w:divBdr>
    </w:div>
    <w:div w:id="1444837707">
      <w:bodyDiv w:val="1"/>
      <w:marLeft w:val="0"/>
      <w:marRight w:val="0"/>
      <w:marTop w:val="0"/>
      <w:marBottom w:val="0"/>
      <w:divBdr>
        <w:top w:val="none" w:sz="0" w:space="0" w:color="auto"/>
        <w:left w:val="none" w:sz="0" w:space="0" w:color="auto"/>
        <w:bottom w:val="none" w:sz="0" w:space="0" w:color="auto"/>
        <w:right w:val="none" w:sz="0" w:space="0" w:color="auto"/>
      </w:divBdr>
    </w:div>
    <w:div w:id="1546214410">
      <w:bodyDiv w:val="1"/>
      <w:marLeft w:val="0"/>
      <w:marRight w:val="0"/>
      <w:marTop w:val="0"/>
      <w:marBottom w:val="0"/>
      <w:divBdr>
        <w:top w:val="none" w:sz="0" w:space="0" w:color="auto"/>
        <w:left w:val="none" w:sz="0" w:space="0" w:color="auto"/>
        <w:bottom w:val="none" w:sz="0" w:space="0" w:color="auto"/>
        <w:right w:val="none" w:sz="0" w:space="0" w:color="auto"/>
      </w:divBdr>
    </w:div>
    <w:div w:id="1644777690">
      <w:bodyDiv w:val="1"/>
      <w:marLeft w:val="0"/>
      <w:marRight w:val="0"/>
      <w:marTop w:val="0"/>
      <w:marBottom w:val="0"/>
      <w:divBdr>
        <w:top w:val="none" w:sz="0" w:space="0" w:color="auto"/>
        <w:left w:val="none" w:sz="0" w:space="0" w:color="auto"/>
        <w:bottom w:val="none" w:sz="0" w:space="0" w:color="auto"/>
        <w:right w:val="none" w:sz="0" w:space="0" w:color="auto"/>
      </w:divBdr>
    </w:div>
    <w:div w:id="1672560965">
      <w:bodyDiv w:val="1"/>
      <w:marLeft w:val="0"/>
      <w:marRight w:val="0"/>
      <w:marTop w:val="0"/>
      <w:marBottom w:val="0"/>
      <w:divBdr>
        <w:top w:val="none" w:sz="0" w:space="0" w:color="auto"/>
        <w:left w:val="none" w:sz="0" w:space="0" w:color="auto"/>
        <w:bottom w:val="none" w:sz="0" w:space="0" w:color="auto"/>
        <w:right w:val="none" w:sz="0" w:space="0" w:color="auto"/>
      </w:divBdr>
      <w:divsChild>
        <w:div w:id="1839880030">
          <w:marLeft w:val="0"/>
          <w:marRight w:val="0"/>
          <w:marTop w:val="0"/>
          <w:marBottom w:val="0"/>
          <w:divBdr>
            <w:top w:val="none" w:sz="0" w:space="0" w:color="auto"/>
            <w:left w:val="none" w:sz="0" w:space="0" w:color="auto"/>
            <w:bottom w:val="none" w:sz="0" w:space="0" w:color="auto"/>
            <w:right w:val="none" w:sz="0" w:space="0" w:color="auto"/>
          </w:divBdr>
        </w:div>
      </w:divsChild>
    </w:div>
    <w:div w:id="1700081187">
      <w:bodyDiv w:val="1"/>
      <w:marLeft w:val="0"/>
      <w:marRight w:val="0"/>
      <w:marTop w:val="0"/>
      <w:marBottom w:val="0"/>
      <w:divBdr>
        <w:top w:val="none" w:sz="0" w:space="0" w:color="auto"/>
        <w:left w:val="none" w:sz="0" w:space="0" w:color="auto"/>
        <w:bottom w:val="none" w:sz="0" w:space="0" w:color="auto"/>
        <w:right w:val="none" w:sz="0" w:space="0" w:color="auto"/>
      </w:divBdr>
    </w:div>
    <w:div w:id="1742020454">
      <w:bodyDiv w:val="1"/>
      <w:marLeft w:val="0"/>
      <w:marRight w:val="0"/>
      <w:marTop w:val="0"/>
      <w:marBottom w:val="0"/>
      <w:divBdr>
        <w:top w:val="none" w:sz="0" w:space="0" w:color="auto"/>
        <w:left w:val="none" w:sz="0" w:space="0" w:color="auto"/>
        <w:bottom w:val="none" w:sz="0" w:space="0" w:color="auto"/>
        <w:right w:val="none" w:sz="0" w:space="0" w:color="auto"/>
      </w:divBdr>
    </w:div>
    <w:div w:id="1845511369">
      <w:bodyDiv w:val="1"/>
      <w:marLeft w:val="0"/>
      <w:marRight w:val="0"/>
      <w:marTop w:val="0"/>
      <w:marBottom w:val="0"/>
      <w:divBdr>
        <w:top w:val="none" w:sz="0" w:space="0" w:color="auto"/>
        <w:left w:val="none" w:sz="0" w:space="0" w:color="auto"/>
        <w:bottom w:val="none" w:sz="0" w:space="0" w:color="auto"/>
        <w:right w:val="none" w:sz="0" w:space="0" w:color="auto"/>
      </w:divBdr>
    </w:div>
    <w:div w:id="1852061248">
      <w:bodyDiv w:val="1"/>
      <w:marLeft w:val="0"/>
      <w:marRight w:val="0"/>
      <w:marTop w:val="0"/>
      <w:marBottom w:val="0"/>
      <w:divBdr>
        <w:top w:val="none" w:sz="0" w:space="0" w:color="auto"/>
        <w:left w:val="none" w:sz="0" w:space="0" w:color="auto"/>
        <w:bottom w:val="none" w:sz="0" w:space="0" w:color="auto"/>
        <w:right w:val="none" w:sz="0" w:space="0" w:color="auto"/>
      </w:divBdr>
    </w:div>
    <w:div w:id="1920282892">
      <w:bodyDiv w:val="1"/>
      <w:marLeft w:val="0"/>
      <w:marRight w:val="0"/>
      <w:marTop w:val="0"/>
      <w:marBottom w:val="0"/>
      <w:divBdr>
        <w:top w:val="none" w:sz="0" w:space="0" w:color="auto"/>
        <w:left w:val="none" w:sz="0" w:space="0" w:color="auto"/>
        <w:bottom w:val="none" w:sz="0" w:space="0" w:color="auto"/>
        <w:right w:val="none" w:sz="0" w:space="0" w:color="auto"/>
      </w:divBdr>
    </w:div>
    <w:div w:id="1961759810">
      <w:bodyDiv w:val="1"/>
      <w:marLeft w:val="0"/>
      <w:marRight w:val="0"/>
      <w:marTop w:val="0"/>
      <w:marBottom w:val="0"/>
      <w:divBdr>
        <w:top w:val="none" w:sz="0" w:space="0" w:color="auto"/>
        <w:left w:val="none" w:sz="0" w:space="0" w:color="auto"/>
        <w:bottom w:val="none" w:sz="0" w:space="0" w:color="auto"/>
        <w:right w:val="none" w:sz="0" w:space="0" w:color="auto"/>
      </w:divBdr>
    </w:div>
    <w:div w:id="2034577157">
      <w:bodyDiv w:val="1"/>
      <w:marLeft w:val="0"/>
      <w:marRight w:val="0"/>
      <w:marTop w:val="0"/>
      <w:marBottom w:val="0"/>
      <w:divBdr>
        <w:top w:val="none" w:sz="0" w:space="0" w:color="auto"/>
        <w:left w:val="none" w:sz="0" w:space="0" w:color="auto"/>
        <w:bottom w:val="none" w:sz="0" w:space="0" w:color="auto"/>
        <w:right w:val="none" w:sz="0" w:space="0" w:color="auto"/>
      </w:divBdr>
    </w:div>
    <w:div w:id="2034722481">
      <w:bodyDiv w:val="1"/>
      <w:marLeft w:val="0"/>
      <w:marRight w:val="0"/>
      <w:marTop w:val="0"/>
      <w:marBottom w:val="0"/>
      <w:divBdr>
        <w:top w:val="none" w:sz="0" w:space="0" w:color="auto"/>
        <w:left w:val="none" w:sz="0" w:space="0" w:color="auto"/>
        <w:bottom w:val="none" w:sz="0" w:space="0" w:color="auto"/>
        <w:right w:val="none" w:sz="0" w:space="0" w:color="auto"/>
      </w:divBdr>
    </w:div>
    <w:div w:id="2070298298">
      <w:bodyDiv w:val="1"/>
      <w:marLeft w:val="0"/>
      <w:marRight w:val="0"/>
      <w:marTop w:val="0"/>
      <w:marBottom w:val="0"/>
      <w:divBdr>
        <w:top w:val="none" w:sz="0" w:space="0" w:color="auto"/>
        <w:left w:val="none" w:sz="0" w:space="0" w:color="auto"/>
        <w:bottom w:val="none" w:sz="0" w:space="0" w:color="auto"/>
        <w:right w:val="none" w:sz="0" w:space="0" w:color="auto"/>
      </w:divBdr>
    </w:div>
    <w:div w:id="2080440737">
      <w:bodyDiv w:val="1"/>
      <w:marLeft w:val="0"/>
      <w:marRight w:val="0"/>
      <w:marTop w:val="0"/>
      <w:marBottom w:val="0"/>
      <w:divBdr>
        <w:top w:val="none" w:sz="0" w:space="0" w:color="auto"/>
        <w:left w:val="none" w:sz="0" w:space="0" w:color="auto"/>
        <w:bottom w:val="none" w:sz="0" w:space="0" w:color="auto"/>
        <w:right w:val="none" w:sz="0" w:space="0" w:color="auto"/>
      </w:divBdr>
    </w:div>
    <w:div w:id="2146000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dfat.gov.au/about-us/publications/Pages/indonesia-aiped-strategic-review-options-development-paper.aspx" TargetMode="External"/><Relationship Id="rId3" Type="http://schemas.openxmlformats.org/officeDocument/2006/relationships/hyperlink" Target="https://openknowledge.worldbank.org/server/api/core/bitstreams/6b33e3a8-c1e6-5b8b-91ac-cb73d08f9a81/content" TargetMode="External"/><Relationship Id="rId7" Type="http://schemas.openxmlformats.org/officeDocument/2006/relationships/hyperlink" Target="https://www.sciencedirect.com/science/article/pii/S1201971221001934" TargetMode="External"/><Relationship Id="rId2" Type="http://schemas.openxmlformats.org/officeDocument/2006/relationships/hyperlink" Target="https://www.tandfonline.com/doi/pdf/10.1080/00074918.2019.1639509" TargetMode="External"/><Relationship Id="rId1" Type="http://schemas.openxmlformats.org/officeDocument/2006/relationships/hyperlink" Target="https://apps.who.int/iris/bitstream/handle/10665/254716/9789290225164-eng.pdf" TargetMode="External"/><Relationship Id="rId6" Type="http://schemas.openxmlformats.org/officeDocument/2006/relationships/hyperlink" Target="http://www.healthdata.org/indonesia" TargetMode="External"/><Relationship Id="rId5" Type="http://schemas.openxmlformats.org/officeDocument/2006/relationships/hyperlink" Target="https://documents1.worldbank.org/curated/en/732951615961029941/pdf/Indonesia-Country-Gender-Assessment-Investing-in-Opportunities-for-Women.pdf" TargetMode="External"/><Relationship Id="rId4" Type="http://schemas.openxmlformats.org/officeDocument/2006/relationships/hyperlink" Target="https://www.who.int/data/inequality-monitor/publications/report_2017_indones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136183277E134E9915F59669268432" ma:contentTypeVersion="14" ma:contentTypeDescription="Create a new document." ma:contentTypeScope="" ma:versionID="6f45edfdd304812e5d4f3e277c2bc480">
  <xsd:schema xmlns:xsd="http://www.w3.org/2001/XMLSchema" xmlns:xs="http://www.w3.org/2001/XMLSchema" xmlns:p="http://schemas.microsoft.com/office/2006/metadata/properties" xmlns:ns2="94957f58-8c9b-48f1-9a23-72185527d8a2" xmlns:ns3="46a9ee1c-e9d7-4c33-a893-a1e31be4ca82" targetNamespace="http://schemas.microsoft.com/office/2006/metadata/properties" ma:root="true" ma:fieldsID="2452244b69e7bcf537ba3bb793b7a029" ns2:_="" ns3:_="">
    <xsd:import namespace="94957f58-8c9b-48f1-9a23-72185527d8a2"/>
    <xsd:import namespace="46a9ee1c-e9d7-4c33-a893-a1e31be4ca8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957f58-8c9b-48f1-9a23-72185527d8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a9ee1c-e9d7-4c33-a893-a1e31be4ca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b3a6b59-bf40-4580-85e0-5f5503e96093}" ma:internalName="TaxCatchAll" ma:showField="CatchAllData" ma:web="46a9ee1c-e9d7-4c33-a893-a1e31be4ca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6a9ee1c-e9d7-4c33-a893-a1e31be4ca82" xsi:nil="true"/>
    <lcf76f155ced4ddcb4097134ff3c332f xmlns="94957f58-8c9b-48f1-9a23-72185527d8a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EE6B3-D1CA-483C-A81E-DF6F17C88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957f58-8c9b-48f1-9a23-72185527d8a2"/>
    <ds:schemaRef ds:uri="46a9ee1c-e9d7-4c33-a893-a1e31be4ca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A42415-B834-4A06-9068-3E6880C7939D}">
  <ds:schemaRefs>
    <ds:schemaRef ds:uri="http://purl.org/dc/terms/"/>
    <ds:schemaRef ds:uri="http://schemas.microsoft.com/office/2006/documentManagement/types"/>
    <ds:schemaRef ds:uri="94957f58-8c9b-48f1-9a23-72185527d8a2"/>
    <ds:schemaRef ds:uri="http://purl.org/dc/elements/1.1/"/>
    <ds:schemaRef ds:uri="http://schemas.microsoft.com/office/infopath/2007/PartnerControls"/>
    <ds:schemaRef ds:uri="http://schemas.openxmlformats.org/package/2006/metadata/core-properties"/>
    <ds:schemaRef ds:uri="46a9ee1c-e9d7-4c33-a893-a1e31be4ca82"/>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BBEDF34D-DF22-4677-AE3C-8CBE6F08F224}">
  <ds:schemaRefs>
    <ds:schemaRef ds:uri="http://schemas.microsoft.com/sharepoint/v3/contenttype/forms"/>
  </ds:schemaRefs>
</ds:datastoreItem>
</file>

<file path=customXml/itemProps4.xml><?xml version="1.0" encoding="utf-8"?>
<ds:datastoreItem xmlns:ds="http://schemas.openxmlformats.org/officeDocument/2006/customXml" ds:itemID="{74375870-C3D2-4B22-82EB-6A88162F9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12616</Words>
  <Characters>75504</Characters>
  <Application>Microsoft Office Word</Application>
  <DocSecurity>0</DocSecurity>
  <Lines>1500</Lines>
  <Paragraphs>515</Paragraphs>
  <ScaleCrop>false</ScaleCrop>
  <HeadingPairs>
    <vt:vector size="2" baseType="variant">
      <vt:variant>
        <vt:lpstr>Title</vt:lpstr>
      </vt:variant>
      <vt:variant>
        <vt:i4>1</vt:i4>
      </vt:variant>
    </vt:vector>
  </HeadingPairs>
  <TitlesOfParts>
    <vt:vector size="1" baseType="lpstr">
      <vt:lpstr>World Bank Health Transformation Multi-Donor Trust Fund: design document</vt:lpstr>
    </vt:vector>
  </TitlesOfParts>
  <Company/>
  <LinksUpToDate>false</LinksUpToDate>
  <CharactersWithSpaces>87781</CharactersWithSpaces>
  <SharedDoc>false</SharedDoc>
  <HLinks>
    <vt:vector size="72" baseType="variant">
      <vt:variant>
        <vt:i4>544604239</vt:i4>
      </vt:variant>
      <vt:variant>
        <vt:i4>24</vt:i4>
      </vt:variant>
      <vt:variant>
        <vt:i4>0</vt:i4>
      </vt:variant>
      <vt:variant>
        <vt:i4>5</vt:i4>
      </vt:variant>
      <vt:variant>
        <vt:lpwstr>C:\Users\kberryma\AppData\Local\Microsoft\Windows\INetCache\Content.Outlook\3AHEEAWF\•	Preventing sexual exploitation, abuse and harassment | Australian Government Department of Foreign Affairs and Trade (dfat.gov.au)</vt:lpwstr>
      </vt:variant>
      <vt:variant>
        <vt:lpwstr/>
      </vt:variant>
      <vt:variant>
        <vt:i4>540934238</vt:i4>
      </vt:variant>
      <vt:variant>
        <vt:i4>21</vt:i4>
      </vt:variant>
      <vt:variant>
        <vt:i4>0</vt:i4>
      </vt:variant>
      <vt:variant>
        <vt:i4>5</vt:i4>
      </vt:variant>
      <vt:variant>
        <vt:lpwstr>C:\Users\kberryma\AppData\Local\Microsoft\Windows\INetCache\Content.Outlook\3AHEEAWF\•	Child Protection Policy | Australian Government Department of Foreign Affairs and Trade (dfat.gov.au)</vt:lpwstr>
      </vt:variant>
      <vt:variant>
        <vt:lpwstr/>
      </vt:variant>
      <vt:variant>
        <vt:i4>5505102</vt:i4>
      </vt:variant>
      <vt:variant>
        <vt:i4>18</vt:i4>
      </vt:variant>
      <vt:variant>
        <vt:i4>0</vt:i4>
      </vt:variant>
      <vt:variant>
        <vt:i4>5</vt:i4>
      </vt:variant>
      <vt:variant>
        <vt:lpwstr>https://www.dfat.gov.au/aid/topics/aid-risk-management/Pages/environmental-and-social-safeguards</vt:lpwstr>
      </vt:variant>
      <vt:variant>
        <vt:lpwstr/>
      </vt:variant>
      <vt:variant>
        <vt:i4>1048628</vt:i4>
      </vt:variant>
      <vt:variant>
        <vt:i4>8</vt:i4>
      </vt:variant>
      <vt:variant>
        <vt:i4>0</vt:i4>
      </vt:variant>
      <vt:variant>
        <vt:i4>5</vt:i4>
      </vt:variant>
      <vt:variant>
        <vt:lpwstr/>
      </vt:variant>
      <vt:variant>
        <vt:lpwstr>_Toc132223552</vt:lpwstr>
      </vt:variant>
      <vt:variant>
        <vt:i4>1048628</vt:i4>
      </vt:variant>
      <vt:variant>
        <vt:i4>2</vt:i4>
      </vt:variant>
      <vt:variant>
        <vt:i4>0</vt:i4>
      </vt:variant>
      <vt:variant>
        <vt:i4>5</vt:i4>
      </vt:variant>
      <vt:variant>
        <vt:lpwstr/>
      </vt:variant>
      <vt:variant>
        <vt:lpwstr>_Toc132223551</vt:lpwstr>
      </vt:variant>
      <vt:variant>
        <vt:i4>3735666</vt:i4>
      </vt:variant>
      <vt:variant>
        <vt:i4>18</vt:i4>
      </vt:variant>
      <vt:variant>
        <vt:i4>0</vt:i4>
      </vt:variant>
      <vt:variant>
        <vt:i4>5</vt:i4>
      </vt:variant>
      <vt:variant>
        <vt:lpwstr>https://dfat.gov.au/about-us/publications/Pages/indonesia-aiped-strategic-review-options-development-paper.aspx</vt:lpwstr>
      </vt:variant>
      <vt:variant>
        <vt:lpwstr/>
      </vt:variant>
      <vt:variant>
        <vt:i4>7012465</vt:i4>
      </vt:variant>
      <vt:variant>
        <vt:i4>15</vt:i4>
      </vt:variant>
      <vt:variant>
        <vt:i4>0</vt:i4>
      </vt:variant>
      <vt:variant>
        <vt:i4>5</vt:i4>
      </vt:variant>
      <vt:variant>
        <vt:lpwstr>https://www.sciencedirect.com/science/article/pii/S1201971221001934</vt:lpwstr>
      </vt:variant>
      <vt:variant>
        <vt:lpwstr/>
      </vt:variant>
      <vt:variant>
        <vt:i4>3670057</vt:i4>
      </vt:variant>
      <vt:variant>
        <vt:i4>12</vt:i4>
      </vt:variant>
      <vt:variant>
        <vt:i4>0</vt:i4>
      </vt:variant>
      <vt:variant>
        <vt:i4>5</vt:i4>
      </vt:variant>
      <vt:variant>
        <vt:lpwstr>http://www.healthdata.org/indonesia</vt:lpwstr>
      </vt:variant>
      <vt:variant>
        <vt:lpwstr/>
      </vt:variant>
      <vt:variant>
        <vt:i4>917516</vt:i4>
      </vt:variant>
      <vt:variant>
        <vt:i4>9</vt:i4>
      </vt:variant>
      <vt:variant>
        <vt:i4>0</vt:i4>
      </vt:variant>
      <vt:variant>
        <vt:i4>5</vt:i4>
      </vt:variant>
      <vt:variant>
        <vt:lpwstr>https://www.who.int/data/inequality-monitor/publications/report_2017_indonesia</vt:lpwstr>
      </vt:variant>
      <vt:variant>
        <vt:lpwstr/>
      </vt:variant>
      <vt:variant>
        <vt:i4>6357024</vt:i4>
      </vt:variant>
      <vt:variant>
        <vt:i4>6</vt:i4>
      </vt:variant>
      <vt:variant>
        <vt:i4>0</vt:i4>
      </vt:variant>
      <vt:variant>
        <vt:i4>5</vt:i4>
      </vt:variant>
      <vt:variant>
        <vt:lpwstr>https://openknowledge.worldbank.org/server/api/core/bitstreams/6b33e3a8-c1e6-5b8b-91ac-cb73d08f9a81/content</vt:lpwstr>
      </vt:variant>
      <vt:variant>
        <vt:lpwstr/>
      </vt:variant>
      <vt:variant>
        <vt:i4>4653121</vt:i4>
      </vt:variant>
      <vt:variant>
        <vt:i4>3</vt:i4>
      </vt:variant>
      <vt:variant>
        <vt:i4>0</vt:i4>
      </vt:variant>
      <vt:variant>
        <vt:i4>5</vt:i4>
      </vt:variant>
      <vt:variant>
        <vt:lpwstr>https://www.tandfonline.com/doi/pdf/10.1080/00074918.2019.1639509</vt:lpwstr>
      </vt:variant>
      <vt:variant>
        <vt:lpwstr/>
      </vt:variant>
      <vt:variant>
        <vt:i4>5963789</vt:i4>
      </vt:variant>
      <vt:variant>
        <vt:i4>0</vt:i4>
      </vt:variant>
      <vt:variant>
        <vt:i4>0</vt:i4>
      </vt:variant>
      <vt:variant>
        <vt:i4>5</vt:i4>
      </vt:variant>
      <vt:variant>
        <vt:lpwstr>https://apps.who.int/iris/bitstream/handle/10665/254716/9789290225164-eng.pdf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Bank Health Transformation Multi-Donor Trust Fund: design document</dc:title>
  <dc:subject/>
  <dc:creator/>
  <cp:keywords>[SEC=OFFICIAL]</cp:keywords>
  <cp:lastModifiedBy/>
  <cp:revision>1</cp:revision>
  <dcterms:created xsi:type="dcterms:W3CDTF">2023-05-08T03:09:00Z</dcterms:created>
  <dcterms:modified xsi:type="dcterms:W3CDTF">2024-01-11T02:56:00Z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ED599AF754EF4B7586B9805639A3ED35</vt:lpwstr>
  </property>
  <property fmtid="{D5CDD505-2E9C-101B-9397-08002B2CF9AE}" pid="9" name="PM_ProtectiveMarkingValue_Footer">
    <vt:lpwstr>OFFICIAL</vt:lpwstr>
  </property>
  <property fmtid="{D5CDD505-2E9C-101B-9397-08002B2CF9AE}" pid="10" name="PM_Originator_Hash_SHA1">
    <vt:lpwstr>E5329D78ADFF18985C404F3A4015F7B7C209C4C5</vt:lpwstr>
  </property>
  <property fmtid="{D5CDD505-2E9C-101B-9397-08002B2CF9AE}" pid="11" name="PM_OriginationTimeStamp">
    <vt:lpwstr>2023-06-20T07:17:23Z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v=2022.2;d=gov.au;g=46DD6D7C-8107-577B-BC6E-F348953B2E44</vt:lpwstr>
  </property>
  <property fmtid="{D5CDD505-2E9C-101B-9397-08002B2CF9AE}" pid="20" name="PM_Hash_Version">
    <vt:lpwstr>2022.1</vt:lpwstr>
  </property>
  <property fmtid="{D5CDD505-2E9C-101B-9397-08002B2CF9AE}" pid="21" name="PM_Hash_Salt_Prev">
    <vt:lpwstr>BF2ED9C437F321AFDD18FB71AFB71E46</vt:lpwstr>
  </property>
  <property fmtid="{D5CDD505-2E9C-101B-9397-08002B2CF9AE}" pid="22" name="PM_Hash_Salt">
    <vt:lpwstr>DEBF7F89B720D6E3165A70D6A641D946</vt:lpwstr>
  </property>
  <property fmtid="{D5CDD505-2E9C-101B-9397-08002B2CF9AE}" pid="23" name="PM_Hash_SHA1">
    <vt:lpwstr>BFF07CAAF66E6032601FBF3F666A070AB496F24F</vt:lpwstr>
  </property>
  <property fmtid="{D5CDD505-2E9C-101B-9397-08002B2CF9AE}" pid="24" name="PM_OriginatorUserAccountName_SHA256">
    <vt:lpwstr>C427463A240001568B1E728057080C091949066E05DD342FA6B5B9F6FF33F8D6</vt:lpwstr>
  </property>
  <property fmtid="{D5CDD505-2E9C-101B-9397-08002B2CF9AE}" pid="25" name="PM_OriginatorDomainName_SHA256">
    <vt:lpwstr>6F3591835F3B2A8A025B00B5BA6418010DA3A17C9C26EA9C049FFD28039489A2</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ContentTypeId">
    <vt:lpwstr>0x010100F4136183277E134E9915F59669268432</vt:lpwstr>
  </property>
  <property fmtid="{D5CDD505-2E9C-101B-9397-08002B2CF9AE}" pid="29" name="PMHMAC">
    <vt:lpwstr>v=2022.1;a=SHA256;h=C4BE76481D0838B4AE2FDC7012E09D2D604C5713D7F113CF5DEA9CE88A820505</vt:lpwstr>
  </property>
</Properties>
</file>