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7D669D" w:rsidP="007D669D">
      <w:pPr>
        <w:tabs>
          <w:tab w:val="left" w:pos="3759"/>
        </w:tabs>
      </w:pPr>
      <w:r>
        <w:tab/>
      </w: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D7713F" w:rsidRPr="00D7713F" w:rsidRDefault="00A56F14" w:rsidP="002A51CA">
      <w:pPr>
        <w:pStyle w:val="Title"/>
        <w:spacing w:after="120" w:line="600" w:lineRule="exact"/>
        <w:rPr>
          <w:spacing w:val="-20"/>
          <w:sz w:val="60"/>
          <w:szCs w:val="60"/>
        </w:rPr>
      </w:pPr>
      <w:r w:rsidRPr="00D7713F">
        <w:rPr>
          <w:noProof/>
          <w:spacing w:val="-20"/>
          <w:sz w:val="60"/>
          <w:szCs w:val="60"/>
          <w:lang w:val="en-AU" w:eastAsia="en-AU"/>
        </w:rPr>
        <w:drawing>
          <wp:anchor distT="0" distB="0" distL="114300" distR="114300" simplePos="0" relativeHeight="251664384" behindDoc="1" locked="1" layoutInCell="1" allowOverlap="1" wp14:anchorId="507F5CE0" wp14:editId="411ADE1C">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D7713F">
        <w:rPr>
          <w:noProof/>
          <w:spacing w:val="-20"/>
          <w:sz w:val="60"/>
          <w:szCs w:val="60"/>
          <w:lang w:val="en-AU" w:eastAsia="en-AU"/>
        </w:rPr>
        <w:drawing>
          <wp:anchor distT="0" distB="0" distL="114300" distR="114300" simplePos="0" relativeHeight="251663360" behindDoc="1" locked="1" layoutInCell="1" allowOverlap="1" wp14:anchorId="3EC79EC1" wp14:editId="0B223001">
            <wp:simplePos x="0" y="0"/>
            <wp:positionH relativeFrom="page">
              <wp:posOffset>-183515</wp:posOffset>
            </wp:positionH>
            <wp:positionV relativeFrom="page">
              <wp:align>bottom</wp:align>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D7713F">
        <w:rPr>
          <w:spacing w:val="-20"/>
          <w:sz w:val="60"/>
          <w:szCs w:val="60"/>
        </w:rPr>
        <w:t xml:space="preserve">Aid Program Performance Report </w:t>
      </w:r>
    </w:p>
    <w:p w:rsidR="00C6626C" w:rsidRPr="00D7713F" w:rsidRDefault="00C6626C" w:rsidP="002A51CA">
      <w:pPr>
        <w:pStyle w:val="Title"/>
        <w:spacing w:after="120" w:line="600" w:lineRule="exact"/>
        <w:rPr>
          <w:spacing w:val="-20"/>
          <w:sz w:val="60"/>
          <w:szCs w:val="60"/>
        </w:rPr>
      </w:pPr>
      <w:r w:rsidRPr="00D7713F">
        <w:rPr>
          <w:spacing w:val="-20"/>
          <w:sz w:val="60"/>
          <w:szCs w:val="60"/>
        </w:rPr>
        <w:t>201</w:t>
      </w:r>
      <w:r w:rsidR="00D7713F">
        <w:rPr>
          <w:spacing w:val="-20"/>
          <w:sz w:val="60"/>
          <w:szCs w:val="60"/>
        </w:rPr>
        <w:t>8-19</w:t>
      </w:r>
    </w:p>
    <w:p w:rsidR="00C6626C" w:rsidRDefault="00E662BC" w:rsidP="00A56F14">
      <w:r>
        <w:rPr>
          <w:sz w:val="40"/>
        </w:rPr>
        <w:t>Philippines</w:t>
      </w:r>
    </w:p>
    <w:p w:rsidR="00C6626C" w:rsidRPr="002A51CA" w:rsidRDefault="00E662BC" w:rsidP="00A56F14">
      <w:pPr>
        <w:rPr>
          <w:sz w:val="24"/>
        </w:rPr>
      </w:pPr>
      <w:r>
        <w:rPr>
          <w:sz w:val="24"/>
        </w:rPr>
        <w:t>Octo</w:t>
      </w:r>
      <w:r w:rsidR="00C6626C" w:rsidRPr="002A51CA">
        <w:rPr>
          <w:sz w:val="24"/>
        </w:rPr>
        <w:t>ber 201</w:t>
      </w:r>
      <w:r w:rsidR="00D7713F">
        <w:rPr>
          <w:sz w:val="24"/>
        </w:rPr>
        <w:t>9</w:t>
      </w:r>
    </w:p>
    <w:p w:rsidR="00497D18" w:rsidRDefault="00497D18" w:rsidP="00497D18">
      <w:pPr>
        <w:suppressAutoHyphens w:val="0"/>
        <w:spacing w:before="0" w:after="120" w:line="440" w:lineRule="atLeast"/>
        <w:sectPr w:rsidR="00497D18" w:rsidSect="00497D18">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1418" w:footer="142" w:gutter="0"/>
          <w:pgNumType w:start="1"/>
          <w:cols w:space="397"/>
          <w:docGrid w:linePitch="360"/>
        </w:sectPr>
      </w:pPr>
    </w:p>
    <w:p w:rsidR="00D7713F" w:rsidRPr="00497D18" w:rsidRDefault="00A633FD" w:rsidP="00497D18">
      <w:pPr>
        <w:suppressAutoHyphens w:val="0"/>
        <w:spacing w:before="0" w:after="0" w:line="240" w:lineRule="auto"/>
        <w:rPr>
          <w:rFonts w:asciiTheme="majorHAnsi" w:eastAsiaTheme="majorEastAsia" w:hAnsiTheme="majorHAnsi" w:cstheme="majorHAnsi"/>
          <w:b/>
          <w:bCs/>
          <w:caps/>
          <w:sz w:val="38"/>
          <w:szCs w:val="38"/>
        </w:rPr>
      </w:pPr>
      <w:r w:rsidRPr="00497D18">
        <w:rPr>
          <w:rFonts w:asciiTheme="majorHAnsi" w:hAnsiTheme="majorHAnsi" w:cstheme="majorHAnsi"/>
          <w:b/>
          <w:caps/>
          <w:sz w:val="38"/>
          <w:szCs w:val="38"/>
        </w:rPr>
        <w:lastRenderedPageBreak/>
        <w:t xml:space="preserve">PHILIPPINES </w:t>
      </w:r>
      <w:r w:rsidR="00D7713F" w:rsidRPr="00497D18">
        <w:rPr>
          <w:rFonts w:asciiTheme="majorHAnsi" w:hAnsiTheme="majorHAnsi" w:cstheme="majorHAnsi"/>
          <w:b/>
          <w:caps/>
          <w:sz w:val="38"/>
          <w:szCs w:val="38"/>
        </w:rPr>
        <w:t>Aid Program Performance Information 201</w:t>
      </w:r>
      <w:r w:rsidR="00F46D79" w:rsidRPr="00497D18">
        <w:rPr>
          <w:rFonts w:asciiTheme="majorHAnsi" w:hAnsiTheme="majorHAnsi" w:cstheme="majorHAnsi"/>
          <w:b/>
          <w:caps/>
          <w:sz w:val="38"/>
          <w:szCs w:val="38"/>
        </w:rPr>
        <w:t>8-19</w:t>
      </w:r>
    </w:p>
    <w:p w:rsidR="00C6626C" w:rsidRPr="00C61187" w:rsidRDefault="00C6626C" w:rsidP="00497D18">
      <w:pPr>
        <w:pStyle w:val="ListBullet"/>
        <w:tabs>
          <w:tab w:val="clear" w:pos="284"/>
        </w:tabs>
        <w:spacing w:after="0" w:line="240" w:lineRule="auto"/>
        <w:rPr>
          <w:kern w:val="28"/>
        </w:rPr>
      </w:pPr>
      <w:r w:rsidRPr="002A51CA">
        <w:rPr>
          <w:rFonts w:asciiTheme="majorHAnsi" w:eastAsiaTheme="majorEastAsia" w:hAnsiTheme="majorHAnsi" w:cstheme="majorBidi"/>
          <w:caps/>
          <w:color w:val="495965" w:themeColor="text2"/>
          <w:sz w:val="38"/>
          <w:szCs w:val="26"/>
          <w:lang w:val="en-GB" w:eastAsia="en-US"/>
        </w:rPr>
        <w:t>Key Messages</w:t>
      </w:r>
    </w:p>
    <w:p w:rsidR="00A633FD" w:rsidRPr="00B920AB" w:rsidRDefault="00A633FD" w:rsidP="00F20161">
      <w:pPr>
        <w:spacing w:afterLines="60" w:after="144"/>
      </w:pPr>
      <w:r w:rsidRPr="00B920AB">
        <w:t xml:space="preserve">This report summarises the performance of Australia’s aid program in the Philippines from July 2018 to June 2019 </w:t>
      </w:r>
      <w:r w:rsidR="003E221A">
        <w:t xml:space="preserve">based on the objectives of </w:t>
      </w:r>
      <w:r w:rsidRPr="00B920AB">
        <w:t>the Philippines Aid Investment Plan 2015 to 2018</w:t>
      </w:r>
      <w:r w:rsidR="003E221A">
        <w:t>.</w:t>
      </w:r>
      <w:r w:rsidRPr="00B920AB">
        <w:t xml:space="preserve"> </w:t>
      </w:r>
      <w:r w:rsidR="00593221">
        <w:t>The report for 2018-19 bridges the transition to t</w:t>
      </w:r>
      <w:r w:rsidR="003E221A">
        <w:t>he</w:t>
      </w:r>
      <w:r w:rsidRPr="00B920AB">
        <w:t xml:space="preserve"> new Philippines Aid Investment Plan</w:t>
      </w:r>
      <w:r w:rsidR="00FF602E">
        <w:t xml:space="preserve"> </w:t>
      </w:r>
      <w:r w:rsidRPr="00B920AB">
        <w:t>2020-25.</w:t>
      </w:r>
    </w:p>
    <w:p w:rsidR="00A633FD" w:rsidRPr="00B920AB" w:rsidRDefault="00A633FD" w:rsidP="00F20161">
      <w:pPr>
        <w:spacing w:afterLines="60" w:after="144"/>
        <w:rPr>
          <w:rFonts w:cstheme="minorHAnsi"/>
        </w:rPr>
      </w:pPr>
      <w:r w:rsidRPr="00B920AB">
        <w:rPr>
          <w:rFonts w:cstheme="minorHAnsi"/>
        </w:rPr>
        <w:t xml:space="preserve">Australia </w:t>
      </w:r>
      <w:r w:rsidR="00C82D62">
        <w:rPr>
          <w:rFonts w:cstheme="minorHAnsi"/>
        </w:rPr>
        <w:t>continued to be a</w:t>
      </w:r>
      <w:r w:rsidRPr="00B920AB">
        <w:rPr>
          <w:rFonts w:cstheme="minorHAnsi"/>
        </w:rPr>
        <w:t xml:space="preserve"> flexible and responsive partner to the peace process in Muslim Mindanao, supporting public consultations and information campaigns in the lead-up to </w:t>
      </w:r>
      <w:r w:rsidR="00C82D62">
        <w:rPr>
          <w:rFonts w:cstheme="minorHAnsi"/>
        </w:rPr>
        <w:t xml:space="preserve">the January 2019 </w:t>
      </w:r>
      <w:r w:rsidRPr="00B920AB">
        <w:rPr>
          <w:rFonts w:cstheme="minorHAnsi"/>
        </w:rPr>
        <w:t xml:space="preserve">plebiscite on the Bangsamoro Organic Law. </w:t>
      </w:r>
      <w:r w:rsidR="00C82D62">
        <w:rPr>
          <w:rFonts w:cstheme="minorHAnsi"/>
        </w:rPr>
        <w:t>F</w:t>
      </w:r>
      <w:r w:rsidRPr="00B920AB">
        <w:rPr>
          <w:rFonts w:cstheme="minorHAnsi"/>
        </w:rPr>
        <w:t xml:space="preserve">ollowing the successful vote, </w:t>
      </w:r>
      <w:r w:rsidR="00C82D62">
        <w:rPr>
          <w:rFonts w:cstheme="minorHAnsi"/>
        </w:rPr>
        <w:t>we began supporting the</w:t>
      </w:r>
      <w:r w:rsidRPr="00B920AB">
        <w:rPr>
          <w:rFonts w:cstheme="minorHAnsi"/>
        </w:rPr>
        <w:t xml:space="preserve"> transition process, including </w:t>
      </w:r>
      <w:r w:rsidR="00C82D62">
        <w:rPr>
          <w:rFonts w:cstheme="minorHAnsi"/>
        </w:rPr>
        <w:t xml:space="preserve">by providing </w:t>
      </w:r>
      <w:r w:rsidRPr="00B920AB">
        <w:rPr>
          <w:rFonts w:cstheme="minorHAnsi"/>
        </w:rPr>
        <w:t>technical guidance to the senior Moro Islamic Liberation Front (MILF) leadership taking on the management of the new Bangsamoro Autonomous Region in Muslim Mindanao (BARMM).</w:t>
      </w:r>
    </w:p>
    <w:p w:rsidR="00A633FD" w:rsidRPr="007B3C60" w:rsidRDefault="00A633FD" w:rsidP="00F20161">
      <w:pPr>
        <w:spacing w:afterLines="60" w:after="144"/>
        <w:rPr>
          <w:rFonts w:cstheme="minorHAnsi"/>
        </w:rPr>
      </w:pPr>
      <w:r w:rsidRPr="007B3C60">
        <w:rPr>
          <w:rFonts w:cstheme="minorHAnsi"/>
        </w:rPr>
        <w:t xml:space="preserve">Australia increased its support for those affected by the Marawi conflict </w:t>
      </w:r>
      <w:r w:rsidR="00670D59" w:rsidRPr="007B3C60">
        <w:rPr>
          <w:rFonts w:cstheme="minorHAnsi"/>
        </w:rPr>
        <w:t>by committing an additional $</w:t>
      </w:r>
      <w:r w:rsidR="00AF118E">
        <w:rPr>
          <w:rFonts w:cstheme="minorHAnsi"/>
        </w:rPr>
        <w:t>5</w:t>
      </w:r>
      <w:r w:rsidR="00670D59" w:rsidRPr="007B3C60">
        <w:rPr>
          <w:rFonts w:cstheme="minorHAnsi"/>
        </w:rPr>
        <w:t xml:space="preserve"> million to supplement the </w:t>
      </w:r>
      <w:r w:rsidRPr="007B3C60">
        <w:rPr>
          <w:rFonts w:cstheme="minorHAnsi"/>
        </w:rPr>
        <w:t>$2</w:t>
      </w:r>
      <w:r w:rsidR="00AF118E">
        <w:rPr>
          <w:rFonts w:cstheme="minorHAnsi"/>
        </w:rPr>
        <w:t>5</w:t>
      </w:r>
      <w:r w:rsidRPr="007B3C60">
        <w:rPr>
          <w:rFonts w:cstheme="minorHAnsi"/>
        </w:rPr>
        <w:t xml:space="preserve"> million </w:t>
      </w:r>
      <w:r w:rsidR="00670D59" w:rsidRPr="007B3C60">
        <w:rPr>
          <w:rFonts w:cstheme="minorHAnsi"/>
        </w:rPr>
        <w:t xml:space="preserve">initially </w:t>
      </w:r>
      <w:r w:rsidR="00CA23C0" w:rsidRPr="007B3C60">
        <w:rPr>
          <w:rFonts w:cstheme="minorHAnsi"/>
        </w:rPr>
        <w:t>committed in 2017-18.</w:t>
      </w:r>
      <w:r w:rsidR="0013672F" w:rsidRPr="007B3C60">
        <w:rPr>
          <w:rFonts w:cstheme="minorHAnsi"/>
        </w:rPr>
        <w:t xml:space="preserve"> </w:t>
      </w:r>
      <w:r w:rsidRPr="007B3C60">
        <w:rPr>
          <w:rFonts w:cstheme="minorHAnsi"/>
        </w:rPr>
        <w:t xml:space="preserve">Over 66,000 </w:t>
      </w:r>
      <w:r w:rsidR="001955A8">
        <w:rPr>
          <w:rFonts w:cstheme="minorHAnsi"/>
        </w:rPr>
        <w:t xml:space="preserve">people </w:t>
      </w:r>
      <w:r w:rsidRPr="007B3C60">
        <w:rPr>
          <w:rFonts w:cstheme="minorHAnsi"/>
        </w:rPr>
        <w:t>continue to be displaced two years a</w:t>
      </w:r>
      <w:r w:rsidR="00C82D62" w:rsidRPr="007B3C60">
        <w:rPr>
          <w:rFonts w:cstheme="minorHAnsi"/>
        </w:rPr>
        <w:t>fter the conflict and we continue</w:t>
      </w:r>
      <w:r w:rsidRPr="007B3C60">
        <w:rPr>
          <w:rFonts w:cstheme="minorHAnsi"/>
        </w:rPr>
        <w:t xml:space="preserve"> to provide humanitarian ass</w:t>
      </w:r>
      <w:r w:rsidR="00C82D62" w:rsidRPr="007B3C60">
        <w:rPr>
          <w:rFonts w:cstheme="minorHAnsi"/>
        </w:rPr>
        <w:t xml:space="preserve">istance and livelihood </w:t>
      </w:r>
      <w:r w:rsidRPr="007B3C60">
        <w:rPr>
          <w:rFonts w:cstheme="minorHAnsi"/>
        </w:rPr>
        <w:t>support as well as support</w:t>
      </w:r>
      <w:r w:rsidR="00C82D62" w:rsidRPr="007B3C60">
        <w:rPr>
          <w:rFonts w:cstheme="minorHAnsi"/>
        </w:rPr>
        <w:t xml:space="preserve">ing </w:t>
      </w:r>
      <w:r w:rsidRPr="007B3C60">
        <w:rPr>
          <w:rFonts w:cstheme="minorHAnsi"/>
        </w:rPr>
        <w:t>reconstruction efforts. This assistance complements long-term peace and stability activities in the area to prev</w:t>
      </w:r>
      <w:r w:rsidR="00C82D62" w:rsidRPr="007B3C60">
        <w:rPr>
          <w:rFonts w:cstheme="minorHAnsi"/>
        </w:rPr>
        <w:t>ent violent extremism</w:t>
      </w:r>
      <w:r w:rsidRPr="007B3C60">
        <w:rPr>
          <w:rFonts w:cstheme="minorHAnsi"/>
        </w:rPr>
        <w:t xml:space="preserve">. </w:t>
      </w:r>
    </w:p>
    <w:p w:rsidR="00A633FD" w:rsidRPr="00FC1F6E" w:rsidRDefault="00A633FD" w:rsidP="00F20161">
      <w:pPr>
        <w:spacing w:afterLines="60" w:after="144"/>
      </w:pPr>
      <w:r w:rsidRPr="007B3C60">
        <w:rPr>
          <w:rFonts w:cstheme="minorHAnsi"/>
        </w:rPr>
        <w:t xml:space="preserve">Australia was the first </w:t>
      </w:r>
      <w:r w:rsidR="00C82D62" w:rsidRPr="007B3C60">
        <w:rPr>
          <w:rFonts w:cstheme="minorHAnsi"/>
        </w:rPr>
        <w:t xml:space="preserve">international </w:t>
      </w:r>
      <w:r w:rsidR="00456633" w:rsidRPr="007B3C60">
        <w:rPr>
          <w:rFonts w:cstheme="minorHAnsi"/>
        </w:rPr>
        <w:t xml:space="preserve">partner to </w:t>
      </w:r>
      <w:r w:rsidRPr="007B3C60">
        <w:rPr>
          <w:rFonts w:cstheme="minorHAnsi"/>
        </w:rPr>
        <w:t xml:space="preserve">respond </w:t>
      </w:r>
      <w:r w:rsidR="001955A8">
        <w:rPr>
          <w:rFonts w:cstheme="minorHAnsi"/>
        </w:rPr>
        <w:t xml:space="preserve">after </w:t>
      </w:r>
      <w:r w:rsidRPr="007B3C60">
        <w:rPr>
          <w:rFonts w:cstheme="minorHAnsi"/>
        </w:rPr>
        <w:t>Typhoon Mangkhut hit the northern Philippines in September 2018</w:t>
      </w:r>
      <w:r w:rsidR="00456633" w:rsidRPr="007B3C60">
        <w:rPr>
          <w:rFonts w:cstheme="minorHAnsi"/>
        </w:rPr>
        <w:t>, providing</w:t>
      </w:r>
      <w:r w:rsidRPr="007B3C60">
        <w:rPr>
          <w:rFonts w:cstheme="minorHAnsi"/>
        </w:rPr>
        <w:t xml:space="preserve"> </w:t>
      </w:r>
      <w:r w:rsidR="00670D59" w:rsidRPr="007B3C60">
        <w:rPr>
          <w:rFonts w:cstheme="minorHAnsi"/>
        </w:rPr>
        <w:t xml:space="preserve">$1.47 million in </w:t>
      </w:r>
      <w:r w:rsidRPr="007B3C60">
        <w:rPr>
          <w:rFonts w:cstheme="minorHAnsi"/>
        </w:rPr>
        <w:t>emergency cash and farm inputs</w:t>
      </w:r>
      <w:r w:rsidR="00456633" w:rsidRPr="007B3C60">
        <w:rPr>
          <w:rFonts w:cstheme="minorHAnsi"/>
        </w:rPr>
        <w:t xml:space="preserve"> to 2,000 affected families</w:t>
      </w:r>
      <w:r w:rsidRPr="007B3C60">
        <w:rPr>
          <w:rFonts w:cstheme="minorHAnsi"/>
        </w:rPr>
        <w:t>.</w:t>
      </w:r>
      <w:r w:rsidR="00615AD4">
        <w:rPr>
          <w:rFonts w:cstheme="minorHAnsi"/>
        </w:rPr>
        <w:t xml:space="preserve"> </w:t>
      </w:r>
      <w:r w:rsidR="00F00851">
        <w:rPr>
          <w:rFonts w:cstheme="minorHAnsi"/>
        </w:rPr>
        <w:t xml:space="preserve"> </w:t>
      </w:r>
    </w:p>
    <w:p w:rsidR="00A633FD" w:rsidRPr="00B920AB" w:rsidRDefault="00A633FD" w:rsidP="00F20161">
      <w:pPr>
        <w:spacing w:afterLines="60" w:after="144"/>
        <w:rPr>
          <w:rFonts w:cstheme="minorHAnsi"/>
          <w:iCs/>
        </w:rPr>
      </w:pPr>
      <w:r w:rsidRPr="00B920AB">
        <w:rPr>
          <w:rFonts w:cstheme="minorHAnsi"/>
        </w:rPr>
        <w:t>Engagement with multilateral development organisations has been strengthened through the design of the Australian Multilateral Partnerships for Economic Development</w:t>
      </w:r>
      <w:r w:rsidR="00456633">
        <w:rPr>
          <w:rFonts w:cstheme="minorHAnsi"/>
        </w:rPr>
        <w:t xml:space="preserve"> </w:t>
      </w:r>
      <w:r w:rsidR="001955A8">
        <w:rPr>
          <w:rFonts w:cstheme="minorHAnsi"/>
        </w:rPr>
        <w:t>investment</w:t>
      </w:r>
      <w:r w:rsidR="004B57E6">
        <w:rPr>
          <w:rFonts w:cstheme="minorHAnsi"/>
        </w:rPr>
        <w:t>.</w:t>
      </w:r>
      <w:r w:rsidR="001B2AAD">
        <w:rPr>
          <w:rFonts w:cstheme="minorHAnsi"/>
        </w:rPr>
        <w:t xml:space="preserve"> </w:t>
      </w:r>
      <w:r w:rsidR="004B57E6">
        <w:rPr>
          <w:rFonts w:cstheme="minorHAnsi"/>
        </w:rPr>
        <w:t>This e</w:t>
      </w:r>
      <w:r w:rsidRPr="00B920AB">
        <w:rPr>
          <w:rFonts w:cstheme="minorHAnsi"/>
        </w:rPr>
        <w:t>nable</w:t>
      </w:r>
      <w:r w:rsidR="004B57E6">
        <w:rPr>
          <w:rFonts w:cstheme="minorHAnsi"/>
        </w:rPr>
        <w:t>s</w:t>
      </w:r>
      <w:r w:rsidRPr="00B920AB">
        <w:rPr>
          <w:rFonts w:cstheme="minorHAnsi"/>
        </w:rPr>
        <w:t xml:space="preserve"> </w:t>
      </w:r>
      <w:r w:rsidR="004B57E6">
        <w:rPr>
          <w:rFonts w:cstheme="minorHAnsi"/>
        </w:rPr>
        <w:t>us</w:t>
      </w:r>
      <w:r w:rsidRPr="00B920AB">
        <w:rPr>
          <w:rFonts w:cstheme="minorHAnsi"/>
        </w:rPr>
        <w:t xml:space="preserve"> to continue to support select economic reforms and economic development activities with key partners such as the A</w:t>
      </w:r>
      <w:r w:rsidR="00C82D62">
        <w:rPr>
          <w:rFonts w:cstheme="minorHAnsi"/>
        </w:rPr>
        <w:t xml:space="preserve">sian </w:t>
      </w:r>
      <w:r w:rsidRPr="00B920AB">
        <w:rPr>
          <w:rFonts w:cstheme="minorHAnsi"/>
        </w:rPr>
        <w:t>D</w:t>
      </w:r>
      <w:r w:rsidR="00C82D62">
        <w:rPr>
          <w:rFonts w:cstheme="minorHAnsi"/>
        </w:rPr>
        <w:t xml:space="preserve">evelopment </w:t>
      </w:r>
      <w:r w:rsidRPr="00B920AB">
        <w:rPr>
          <w:rFonts w:cstheme="minorHAnsi"/>
        </w:rPr>
        <w:t>B</w:t>
      </w:r>
      <w:r w:rsidR="00C82D62">
        <w:rPr>
          <w:rFonts w:cstheme="minorHAnsi"/>
        </w:rPr>
        <w:t>ank (ADB)</w:t>
      </w:r>
      <w:r w:rsidRPr="00B920AB">
        <w:rPr>
          <w:rFonts w:cstheme="minorHAnsi"/>
        </w:rPr>
        <w:t>, I</w:t>
      </w:r>
      <w:r w:rsidR="00C82D62">
        <w:rPr>
          <w:rFonts w:cstheme="minorHAnsi"/>
        </w:rPr>
        <w:t xml:space="preserve">nternational </w:t>
      </w:r>
      <w:r w:rsidRPr="00B920AB">
        <w:rPr>
          <w:rFonts w:cstheme="minorHAnsi"/>
        </w:rPr>
        <w:t>F</w:t>
      </w:r>
      <w:r w:rsidR="00C82D62">
        <w:rPr>
          <w:rFonts w:cstheme="minorHAnsi"/>
        </w:rPr>
        <w:t xml:space="preserve">inance </w:t>
      </w:r>
      <w:r w:rsidRPr="00B920AB">
        <w:rPr>
          <w:rFonts w:cstheme="minorHAnsi"/>
        </w:rPr>
        <w:t>C</w:t>
      </w:r>
      <w:r w:rsidR="00C82D62">
        <w:rPr>
          <w:rFonts w:cstheme="minorHAnsi"/>
        </w:rPr>
        <w:t>orporation</w:t>
      </w:r>
      <w:r w:rsidR="001B2AAD">
        <w:rPr>
          <w:rFonts w:cstheme="minorHAnsi"/>
        </w:rPr>
        <w:t>,</w:t>
      </w:r>
      <w:r w:rsidR="00C82D62">
        <w:rPr>
          <w:rFonts w:cstheme="minorHAnsi"/>
        </w:rPr>
        <w:t xml:space="preserve"> (IFC)</w:t>
      </w:r>
      <w:r w:rsidRPr="00B920AB">
        <w:rPr>
          <w:rFonts w:cstheme="minorHAnsi"/>
        </w:rPr>
        <w:t xml:space="preserve"> and </w:t>
      </w:r>
      <w:r w:rsidR="00C82D62">
        <w:rPr>
          <w:rFonts w:cstheme="minorHAnsi"/>
        </w:rPr>
        <w:t xml:space="preserve">the </w:t>
      </w:r>
      <w:r w:rsidRPr="00B920AB">
        <w:rPr>
          <w:rFonts w:cstheme="minorHAnsi"/>
        </w:rPr>
        <w:t>World Bank</w:t>
      </w:r>
      <w:r w:rsidR="003C3F97">
        <w:rPr>
          <w:rFonts w:cstheme="minorHAnsi"/>
        </w:rPr>
        <w:t xml:space="preserve"> (WB)</w:t>
      </w:r>
      <w:r w:rsidRPr="00B920AB">
        <w:rPr>
          <w:rFonts w:cstheme="minorHAnsi"/>
        </w:rPr>
        <w:t>.</w:t>
      </w:r>
    </w:p>
    <w:p w:rsidR="00615AD4" w:rsidRPr="00B920AB" w:rsidRDefault="00615AD4" w:rsidP="00F20161">
      <w:pPr>
        <w:spacing w:afterLines="60" w:after="144"/>
        <w:rPr>
          <w:rFonts w:cstheme="minorHAnsi"/>
          <w:iCs/>
        </w:rPr>
      </w:pPr>
      <w:r>
        <w:rPr>
          <w:rFonts w:cstheme="minorHAnsi"/>
        </w:rPr>
        <w:t xml:space="preserve">Australia also continued to support key education reforms nationally and in the Bangsamoro. The performance of the </w:t>
      </w:r>
      <w:r>
        <w:t>Basic Education Sector Transformation</w:t>
      </w:r>
      <w:r w:rsidR="00456633">
        <w:t xml:space="preserve"> </w:t>
      </w:r>
      <w:r>
        <w:t xml:space="preserve">program improved significantly in its final year, following its designation as an </w:t>
      </w:r>
      <w:r w:rsidR="00456633">
        <w:t>i</w:t>
      </w:r>
      <w:r>
        <w:t xml:space="preserve">nvestment </w:t>
      </w:r>
      <w:r w:rsidR="00456633">
        <w:t>r</w:t>
      </w:r>
      <w:r>
        <w:t xml:space="preserve">equiring </w:t>
      </w:r>
      <w:r w:rsidR="00456633">
        <w:t>i</w:t>
      </w:r>
      <w:r>
        <w:t xml:space="preserve">mprovement in 2018, with close, collaborative management by the </w:t>
      </w:r>
      <w:r w:rsidR="00021FAA">
        <w:t xml:space="preserve">Australian </w:t>
      </w:r>
      <w:r w:rsidRPr="001E04A1">
        <w:t>Embassy</w:t>
      </w:r>
      <w:r>
        <w:t xml:space="preserve"> </w:t>
      </w:r>
      <w:r w:rsidR="00021FAA">
        <w:t xml:space="preserve">in the Philippines </w:t>
      </w:r>
      <w:r>
        <w:t xml:space="preserve">and </w:t>
      </w:r>
      <w:r w:rsidR="001955A8">
        <w:t xml:space="preserve">the </w:t>
      </w:r>
      <w:r>
        <w:t xml:space="preserve">managing contractor. </w:t>
      </w:r>
    </w:p>
    <w:p w:rsidR="00A633FD" w:rsidRPr="00B920AB" w:rsidRDefault="00A633FD" w:rsidP="00DC4A93">
      <w:pPr>
        <w:suppressAutoHyphens w:val="0"/>
        <w:spacing w:after="0"/>
      </w:pPr>
      <w:r w:rsidRPr="00B920AB">
        <w:t>Australia’s investments in the Philippines are delivering results. Key achievements in 2018-19 included:</w:t>
      </w:r>
    </w:p>
    <w:p w:rsidR="00A633FD" w:rsidRPr="00B920AB" w:rsidRDefault="004B57E6" w:rsidP="000332D7">
      <w:pPr>
        <w:numPr>
          <w:ilvl w:val="0"/>
          <w:numId w:val="12"/>
        </w:numPr>
        <w:suppressAutoHyphens w:val="0"/>
        <w:spacing w:afterLines="60" w:after="144"/>
        <w:ind w:left="714" w:hanging="357"/>
        <w:contextualSpacing/>
      </w:pPr>
      <w:r w:rsidRPr="004B57E6">
        <w:t xml:space="preserve">Under the </w:t>
      </w:r>
      <w:r w:rsidR="00A633FD" w:rsidRPr="004B57E6">
        <w:t xml:space="preserve">Partnerships for Peace program, </w:t>
      </w:r>
      <w:r w:rsidRPr="004B57E6">
        <w:t xml:space="preserve">we </w:t>
      </w:r>
      <w:r w:rsidR="00A633FD" w:rsidRPr="004B57E6">
        <w:t>supported significant progress in reducing clan conflict in the southern Philippines, with sixteen local conflicts formally settled through mediation, improved ceasefire mechanisms, and better communications between communities and police.</w:t>
      </w:r>
    </w:p>
    <w:p w:rsidR="00A633FD" w:rsidRPr="00B920AB" w:rsidRDefault="00A633FD" w:rsidP="000332D7">
      <w:pPr>
        <w:numPr>
          <w:ilvl w:val="0"/>
          <w:numId w:val="12"/>
        </w:numPr>
        <w:suppressAutoHyphens w:val="0"/>
        <w:spacing w:afterLines="60" w:after="144"/>
        <w:ind w:left="714" w:hanging="357"/>
        <w:contextualSpacing/>
      </w:pPr>
      <w:r w:rsidRPr="004B57E6">
        <w:t>The Coalitions for Change Program Phase 2, through its advocacy and support to policymakers, contributed to the passage of the</w:t>
      </w:r>
      <w:bookmarkStart w:id="0" w:name="_GoBack"/>
      <w:bookmarkEnd w:id="0"/>
      <w:r w:rsidRPr="004B57E6">
        <w:t xml:space="preserve"> Universal Health Care law that enrolls all Filipinos into the government national health insurance system and provides free primary health services.</w:t>
      </w:r>
    </w:p>
    <w:p w:rsidR="00A633FD" w:rsidRPr="00B920AB" w:rsidRDefault="004B57E6" w:rsidP="000332D7">
      <w:pPr>
        <w:numPr>
          <w:ilvl w:val="0"/>
          <w:numId w:val="12"/>
        </w:numPr>
        <w:suppressAutoHyphens w:val="0"/>
        <w:spacing w:afterLines="60" w:after="144"/>
        <w:ind w:left="714" w:hanging="357"/>
        <w:contextualSpacing/>
        <w:rPr>
          <w:lang w:val="en-AU"/>
        </w:rPr>
      </w:pPr>
      <w:r w:rsidRPr="007B3C60">
        <w:t>O</w:t>
      </w:r>
      <w:r w:rsidR="00A633FD" w:rsidRPr="007B3C60">
        <w:t>ur humanitarian activities supported response to disasters</w:t>
      </w:r>
      <w:r w:rsidR="005D3EC4" w:rsidRPr="007B3C60">
        <w:t xml:space="preserve"> and crises</w:t>
      </w:r>
      <w:r w:rsidR="00A633FD" w:rsidRPr="007B3C60">
        <w:t xml:space="preserve"> reaching 163,494 people. This</w:t>
      </w:r>
      <w:r w:rsidR="00A633FD" w:rsidRPr="00B920AB">
        <w:t xml:space="preserve"> included humanitarian response and early recovery assistance for the most vulnerable people affected by Typhoon Mangkhut, the Marawi conflict and recurrent conflict in Mindanao.</w:t>
      </w:r>
    </w:p>
    <w:p w:rsidR="00A633FD" w:rsidRPr="007047EA" w:rsidRDefault="00615AD4" w:rsidP="000332D7">
      <w:pPr>
        <w:numPr>
          <w:ilvl w:val="0"/>
          <w:numId w:val="12"/>
        </w:numPr>
        <w:suppressAutoHyphens w:val="0"/>
        <w:spacing w:afterLines="60" w:after="144"/>
        <w:ind w:left="714" w:hanging="357"/>
        <w:contextualSpacing/>
      </w:pPr>
      <w:r w:rsidRPr="007047EA">
        <w:t xml:space="preserve">Under the Education Pathways to Peace program, we </w:t>
      </w:r>
      <w:r w:rsidR="00D87B44">
        <w:t xml:space="preserve">trained over 900 public school teachers and 102 private Islamic school teachers and 450 school heads. We also </w:t>
      </w:r>
      <w:r w:rsidRPr="007047EA">
        <w:t>t</w:t>
      </w:r>
      <w:r w:rsidR="00A633FD" w:rsidRPr="007047EA">
        <w:t>rial</w:t>
      </w:r>
      <w:r w:rsidRPr="007047EA">
        <w:t>led</w:t>
      </w:r>
      <w:r w:rsidR="00A633FD" w:rsidRPr="007047EA">
        <w:t xml:space="preserve"> an innovative peace and inclusion curriculum with 2</w:t>
      </w:r>
      <w:r w:rsidRPr="007047EA">
        <w:t>6</w:t>
      </w:r>
      <w:r w:rsidR="00A633FD" w:rsidRPr="007047EA">
        <w:t>,000 primary s</w:t>
      </w:r>
      <w:r w:rsidR="004B57E6" w:rsidRPr="007047EA">
        <w:t xml:space="preserve">chool children in Marawi, </w:t>
      </w:r>
      <w:r w:rsidRPr="007047EA">
        <w:t xml:space="preserve">which </w:t>
      </w:r>
      <w:r w:rsidR="00A633FD" w:rsidRPr="007047EA">
        <w:t xml:space="preserve">resulted in a </w:t>
      </w:r>
      <w:r w:rsidRPr="007047EA">
        <w:t>39</w:t>
      </w:r>
      <w:r w:rsidR="00A633FD" w:rsidRPr="007047EA">
        <w:t xml:space="preserve">% reduction in attitudes supportive of using violence to resolve disputes, a </w:t>
      </w:r>
      <w:r w:rsidRPr="007047EA">
        <w:t>67</w:t>
      </w:r>
      <w:r w:rsidR="00A633FD" w:rsidRPr="007047EA">
        <w:t xml:space="preserve">% decrease in the number of children willing to break rules, and a </w:t>
      </w:r>
      <w:r w:rsidRPr="007047EA">
        <w:t>41</w:t>
      </w:r>
      <w:r w:rsidR="00A633FD" w:rsidRPr="007047EA">
        <w:t xml:space="preserve">% reduction in unequal gender norms. Teachers also </w:t>
      </w:r>
      <w:r w:rsidRPr="007047EA">
        <w:t xml:space="preserve">reported </w:t>
      </w:r>
      <w:r w:rsidR="00A633FD" w:rsidRPr="007047EA">
        <w:t>32% less violence among students.</w:t>
      </w:r>
      <w:r w:rsidR="00456633">
        <w:t xml:space="preserve"> </w:t>
      </w:r>
    </w:p>
    <w:p w:rsidR="00A633FD" w:rsidRDefault="00A633FD" w:rsidP="000332D7">
      <w:pPr>
        <w:numPr>
          <w:ilvl w:val="0"/>
          <w:numId w:val="12"/>
        </w:numPr>
        <w:suppressAutoHyphens w:val="0"/>
        <w:spacing w:before="0" w:afterLines="60" w:after="144"/>
        <w:ind w:left="714" w:hanging="357"/>
        <w:contextualSpacing/>
      </w:pPr>
      <w:r>
        <w:t>Australia supported the development and trial of a new national teacher professional development system that assesses and responds to teachers’ specific needs, helping to shift the Philippine Department of Education away from ineffective, centrally determined mass training programs.</w:t>
      </w:r>
    </w:p>
    <w:p w:rsidR="0000092F" w:rsidRPr="0000092F" w:rsidRDefault="0000092F" w:rsidP="0000092F">
      <w:pPr>
        <w:pStyle w:val="ListBullet"/>
        <w:tabs>
          <w:tab w:val="clear" w:pos="284"/>
        </w:tabs>
        <w:spacing w:after="0" w:line="240" w:lineRule="auto"/>
        <w:rPr>
          <w:rFonts w:asciiTheme="majorHAnsi" w:eastAsiaTheme="majorEastAsia" w:hAnsiTheme="majorHAnsi" w:cstheme="majorBidi"/>
          <w:caps/>
          <w:color w:val="495965" w:themeColor="text2"/>
          <w:sz w:val="2"/>
          <w:szCs w:val="26"/>
          <w:lang w:val="en-GB" w:eastAsia="en-US"/>
        </w:rPr>
      </w:pPr>
    </w:p>
    <w:p w:rsidR="00C6626C" w:rsidRPr="007D669D" w:rsidRDefault="0000092F" w:rsidP="007D669D">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Context</w:t>
      </w:r>
    </w:p>
    <w:p w:rsidR="00483381" w:rsidRDefault="00A633FD" w:rsidP="00483381">
      <w:r>
        <w:t>In 2018, t</w:t>
      </w:r>
      <w:r w:rsidRPr="00375FB4">
        <w:t>he Philippine economy grew by 6.</w:t>
      </w:r>
      <w:r>
        <w:t>2</w:t>
      </w:r>
      <w:r w:rsidRPr="00375FB4">
        <w:t xml:space="preserve"> per cent</w:t>
      </w:r>
      <w:r>
        <w:t>, below the Philippine Government’s 6.5-7.0 per cent target.</w:t>
      </w:r>
      <w:r w:rsidR="00483381">
        <w:t xml:space="preserve"> In early 2019, the growth target of 7-8 per cent was revised downwards, in part due to Congress’ delay in passing the 2019 budget.</w:t>
      </w:r>
      <w:r w:rsidR="001B2AAD">
        <w:t xml:space="preserve"> </w:t>
      </w:r>
      <w:r w:rsidR="00483381">
        <w:t>Growth may not reach above 6 per cent for 2019 – much lower than expected, but still comparatively strong</w:t>
      </w:r>
      <w:r w:rsidR="0013672F">
        <w:t xml:space="preserve">. </w:t>
      </w:r>
      <w:r w:rsidR="0013672F" w:rsidRPr="0013672F">
        <w:t xml:space="preserve">Governance constraints and the pervasive role of patronage in society and the economy </w:t>
      </w:r>
      <w:r w:rsidR="0013672F">
        <w:t>continue to challenge</w:t>
      </w:r>
      <w:r w:rsidR="0013672F" w:rsidRPr="0013672F">
        <w:t xml:space="preserve"> the policy-making process and act as ba</w:t>
      </w:r>
      <w:r w:rsidR="0013672F">
        <w:t>rriers to</w:t>
      </w:r>
      <w:r w:rsidR="00670D59">
        <w:t xml:space="preserve"> improved</w:t>
      </w:r>
      <w:r w:rsidR="0013672F">
        <w:t xml:space="preserve"> trade and investment. </w:t>
      </w:r>
      <w:r w:rsidR="00483381">
        <w:t xml:space="preserve">Whilst infrastructure development remains a high priority for the </w:t>
      </w:r>
      <w:r w:rsidR="001955A8">
        <w:t xml:space="preserve">Philippine </w:t>
      </w:r>
      <w:r w:rsidR="00483381">
        <w:t xml:space="preserve">Government, the pace of implementation </w:t>
      </w:r>
      <w:r w:rsidR="004B31B8">
        <w:t xml:space="preserve">through the Build, Build, Build program </w:t>
      </w:r>
      <w:r w:rsidR="00483381">
        <w:t xml:space="preserve">is not as fast as had been hoped. </w:t>
      </w:r>
      <w:r w:rsidR="00C41DBF">
        <w:t>Economic reform remains a high priority as the Philippine Government continues to push for the next package of the tax reforms to further increase revenue (e.g. higher ‘sin’ taxes) and to improve the business environment (e.g. corporate income tax and incentives reform).</w:t>
      </w:r>
      <w:r w:rsidR="0013672F">
        <w:t xml:space="preserve"> </w:t>
      </w:r>
    </w:p>
    <w:p w:rsidR="0013672F" w:rsidRDefault="00A633FD" w:rsidP="00A633FD">
      <w:r>
        <w:t>Despite recent gains in reducing poverty, however, 21.6 per cent of Filipinos still live below the national poverty line, with three-quarters living in rural areas and two-fifths located in Mindanao. Comparing the poverty rate in Metro Manila (3.9 per cent) with the poverty rate in</w:t>
      </w:r>
      <w:r w:rsidR="00483381">
        <w:t xml:space="preserve"> the BARMM</w:t>
      </w:r>
      <w:r>
        <w:t xml:space="preserve"> (53.7 per cent) </w:t>
      </w:r>
      <w:r w:rsidR="00483381">
        <w:t>illustrates</w:t>
      </w:r>
      <w:r>
        <w:t xml:space="preserve"> </w:t>
      </w:r>
      <w:r w:rsidR="00483381">
        <w:t>the</w:t>
      </w:r>
      <w:r>
        <w:t xml:space="preserve"> urban-rural and north-south divide</w:t>
      </w:r>
      <w:r w:rsidR="00483381">
        <w:t xml:space="preserve">, highlighting the importance of </w:t>
      </w:r>
      <w:r>
        <w:t>inclusive economic growth in the future if the Philippines is to match the poverty reduction efforts of its closest neighbours.</w:t>
      </w:r>
      <w:r w:rsidR="001B2AAD">
        <w:t xml:space="preserve"> </w:t>
      </w:r>
    </w:p>
    <w:p w:rsidR="00A633FD" w:rsidRPr="00375FB4" w:rsidRDefault="00483381" w:rsidP="00A633FD">
      <w:r w:rsidRPr="00483381">
        <w:t>The Philippines National Economic and Development Authority</w:t>
      </w:r>
      <w:r w:rsidR="005228AC">
        <w:t xml:space="preserve"> </w:t>
      </w:r>
      <w:r w:rsidRPr="00483381">
        <w:t xml:space="preserve">lists Australia as the </w:t>
      </w:r>
      <w:r w:rsidR="00CB0496">
        <w:t>sixth</w:t>
      </w:r>
      <w:r w:rsidRPr="00483381">
        <w:t xml:space="preserve"> largest </w:t>
      </w:r>
      <w:r w:rsidR="00456633">
        <w:t>o</w:t>
      </w:r>
      <w:r w:rsidR="001B2AAD">
        <w:t xml:space="preserve">fficial </w:t>
      </w:r>
      <w:r w:rsidR="00456633">
        <w:t>d</w:t>
      </w:r>
      <w:r w:rsidR="001B2AAD">
        <w:t xml:space="preserve">evelopment </w:t>
      </w:r>
      <w:r w:rsidR="00456633">
        <w:t>a</w:t>
      </w:r>
      <w:r w:rsidR="001B2AAD">
        <w:t>ssistance (</w:t>
      </w:r>
      <w:r w:rsidRPr="00483381">
        <w:t>ODA</w:t>
      </w:r>
      <w:r w:rsidR="001B2AAD">
        <w:t>)</w:t>
      </w:r>
      <w:r w:rsidRPr="00483381">
        <w:t xml:space="preserve"> donor (both loans and grants), </w:t>
      </w:r>
      <w:r w:rsidR="00456633">
        <w:t xml:space="preserve">but </w:t>
      </w:r>
      <w:r w:rsidRPr="00483381">
        <w:t xml:space="preserve">second </w:t>
      </w:r>
      <w:r w:rsidR="00456633">
        <w:t xml:space="preserve">only </w:t>
      </w:r>
      <w:r w:rsidRPr="00483381">
        <w:t xml:space="preserve">to the USA in terms of bilateral grants. </w:t>
      </w:r>
      <w:r>
        <w:t xml:space="preserve">Whilst </w:t>
      </w:r>
      <w:r w:rsidR="00A633FD">
        <w:t>Australia’s</w:t>
      </w:r>
      <w:r>
        <w:t xml:space="preserve"> assistance represents </w:t>
      </w:r>
      <w:r w:rsidR="00A633FD">
        <w:t>a small proportion of the Philippines national budget (approximately 0.2 per</w:t>
      </w:r>
      <w:r w:rsidR="00E9681B">
        <w:t xml:space="preserve"> </w:t>
      </w:r>
      <w:r w:rsidR="00A633FD">
        <w:t xml:space="preserve">cent in 2018-19), we magnify the impact of our spending by working </w:t>
      </w:r>
      <w:r>
        <w:t xml:space="preserve">with the Philippines to maximise the effectiveness of </w:t>
      </w:r>
      <w:r w:rsidR="007F442E">
        <w:t xml:space="preserve">its </w:t>
      </w:r>
      <w:r>
        <w:t xml:space="preserve">own </w:t>
      </w:r>
      <w:r w:rsidR="00A633FD">
        <w:t xml:space="preserve">resources </w:t>
      </w:r>
      <w:r>
        <w:t xml:space="preserve">through complementary and catalytic </w:t>
      </w:r>
      <w:r w:rsidR="00810127">
        <w:t>activ</w:t>
      </w:r>
      <w:r>
        <w:t xml:space="preserve">ities. </w:t>
      </w:r>
    </w:p>
    <w:p w:rsidR="00A633FD" w:rsidRDefault="00A633FD" w:rsidP="00A633FD">
      <w:r w:rsidRPr="005763B7">
        <w:t xml:space="preserve">In the aftermath of the </w:t>
      </w:r>
      <w:r>
        <w:t>Marawi conflict</w:t>
      </w:r>
      <w:r w:rsidRPr="005763B7">
        <w:t>, the Philippines established a</w:t>
      </w:r>
      <w:r>
        <w:t xml:space="preserve"> whole-of-government taskforce (</w:t>
      </w:r>
      <w:r w:rsidRPr="005763B7">
        <w:t xml:space="preserve">Task Force </w:t>
      </w:r>
      <w:r w:rsidRPr="005763B7">
        <w:rPr>
          <w:i/>
        </w:rPr>
        <w:t>Bangon Marawi</w:t>
      </w:r>
      <w:r>
        <w:t>)</w:t>
      </w:r>
      <w:r w:rsidRPr="005763B7">
        <w:t xml:space="preserve"> to lead recovery and reconstruction efforts in Marawi. However, progress has been slow for a range of reasons, including the clearance of une</w:t>
      </w:r>
      <w:r>
        <w:t xml:space="preserve">xploded ordnance in the city, </w:t>
      </w:r>
      <w:r w:rsidRPr="005763B7">
        <w:t>a delayed procurement process for reconstruction</w:t>
      </w:r>
      <w:r w:rsidR="00193EB1">
        <w:t>,</w:t>
      </w:r>
      <w:r w:rsidRPr="005763B7">
        <w:t xml:space="preserve"> and land title issues. A</w:t>
      </w:r>
      <w:r>
        <w:t>t the time of publication, approximately</w:t>
      </w:r>
      <w:r w:rsidRPr="005763B7">
        <w:t xml:space="preserve"> 6</w:t>
      </w:r>
      <w:r>
        <w:t>6</w:t>
      </w:r>
      <w:r w:rsidRPr="005763B7">
        <w:t>,000 Marawi residents remain displaced, staying with famil</w:t>
      </w:r>
      <w:r w:rsidR="00456633">
        <w:t xml:space="preserve">y or friends </w:t>
      </w:r>
      <w:r w:rsidRPr="005763B7">
        <w:t>or in evacuation centres, and will remain displaced for some time to come, with critical needs for protection, access to basic services, civil documentation, livelihoods</w:t>
      </w:r>
      <w:r w:rsidR="00193EB1">
        <w:t>,</w:t>
      </w:r>
      <w:r w:rsidRPr="005763B7">
        <w:t xml:space="preserve"> and education.</w:t>
      </w:r>
    </w:p>
    <w:p w:rsidR="00A633FD" w:rsidRPr="00510142" w:rsidRDefault="00A633FD" w:rsidP="00A633FD">
      <w:r w:rsidRPr="00510142">
        <w:t xml:space="preserve">The Bangsamoro </w:t>
      </w:r>
      <w:r w:rsidR="00615AD4">
        <w:t>Organic</w:t>
      </w:r>
      <w:r w:rsidRPr="00510142">
        <w:t xml:space="preserve"> Law, providing for the establishment of a new, larger autonomous Bangsamoro region in Mindanao, was ratified through two plebiscites held on 21 January and 6 February 2019.</w:t>
      </w:r>
      <w:r w:rsidR="001B2AAD">
        <w:t xml:space="preserve"> </w:t>
      </w:r>
      <w:r w:rsidRPr="00510142">
        <w:t>The plebiscite</w:t>
      </w:r>
      <w:r w:rsidR="00193EB1">
        <w:t>s</w:t>
      </w:r>
      <w:r w:rsidRPr="00510142">
        <w:t xml:space="preserve"> overwhelmingly supported the creation of a new Bangsamoro region.</w:t>
      </w:r>
      <w:r w:rsidR="001B2AAD">
        <w:t xml:space="preserve"> </w:t>
      </w:r>
      <w:r w:rsidRPr="00510142">
        <w:t>This is the culmination of decades of peace talks and creates the possibility, for the first time in a generation, of a peaceful and prosperous future in Muslim Mindanao - notwithstanding the challenges of setting up new governance arrangements.</w:t>
      </w:r>
      <w:r w:rsidR="001B2AAD">
        <w:t xml:space="preserve"> </w:t>
      </w:r>
      <w:r w:rsidRPr="00510142">
        <w:t>The new Bangsamoro Autonomous Region will take the form of a parliamentary-democratic government headed by a chief minister and 80 members of parliament.</w:t>
      </w:r>
      <w:r w:rsidR="001B2AAD">
        <w:t xml:space="preserve"> </w:t>
      </w:r>
      <w:r w:rsidRPr="00510142">
        <w:t xml:space="preserve">The Moro Islamic Liberation Front, which concluded a comprehensive agreement with the Government in 2014, will </w:t>
      </w:r>
      <w:r w:rsidR="00615AD4">
        <w:t>lead</w:t>
      </w:r>
      <w:r w:rsidR="00615AD4" w:rsidRPr="00510142">
        <w:t xml:space="preserve"> </w:t>
      </w:r>
      <w:r w:rsidRPr="00510142">
        <w:t>an interim government for three years, before parliamentary elections are held in 2022.</w:t>
      </w:r>
    </w:p>
    <w:p w:rsidR="00A633FD" w:rsidRDefault="00A633FD" w:rsidP="00A633FD">
      <w:pPr>
        <w:rPr>
          <w:rFonts w:ascii="Calibri Light" w:hAnsi="Calibri Light"/>
        </w:rPr>
      </w:pPr>
      <w:r>
        <w:rPr>
          <w:rFonts w:ascii="Calibri Light" w:hAnsi="Calibri Light"/>
        </w:rPr>
        <w:t>The Philippines remains highly vulnerable to disasters and climate change. It is ranked third for disaster risk worl</w:t>
      </w:r>
      <w:r w:rsidR="00693DF5">
        <w:rPr>
          <w:rFonts w:ascii="Calibri Light" w:hAnsi="Calibri Light"/>
        </w:rPr>
        <w:t>dwide (World Risk Report 2017</w:t>
      </w:r>
      <w:r>
        <w:rPr>
          <w:rFonts w:ascii="Calibri Light" w:hAnsi="Calibri Light"/>
        </w:rPr>
        <w:t xml:space="preserve">) and is the </w:t>
      </w:r>
      <w:r w:rsidR="00DC5F62">
        <w:rPr>
          <w:rFonts w:ascii="Calibri Light" w:hAnsi="Calibri Light"/>
        </w:rPr>
        <w:t xml:space="preserve">country </w:t>
      </w:r>
      <w:r w:rsidR="007F442E">
        <w:rPr>
          <w:rFonts w:ascii="Calibri Light" w:hAnsi="Calibri Light"/>
        </w:rPr>
        <w:t xml:space="preserve">assessed to be </w:t>
      </w:r>
      <w:r>
        <w:rPr>
          <w:rFonts w:ascii="Calibri Light" w:hAnsi="Calibri Light"/>
        </w:rPr>
        <w:t xml:space="preserve">fifth-most affected by climate change (Global Climate Risk Index 2017). </w:t>
      </w:r>
      <w:r w:rsidR="00DC2DB7">
        <w:rPr>
          <w:rFonts w:ascii="Calibri Light" w:hAnsi="Calibri Light"/>
        </w:rPr>
        <w:t xml:space="preserve">While a </w:t>
      </w:r>
      <w:r w:rsidR="00DC2DB7" w:rsidRPr="00DC2DB7">
        <w:rPr>
          <w:rFonts w:ascii="Calibri Light" w:hAnsi="Calibri Light"/>
        </w:rPr>
        <w:t xml:space="preserve">national </w:t>
      </w:r>
      <w:r w:rsidR="00DC2DB7">
        <w:rPr>
          <w:rFonts w:ascii="Calibri Light" w:hAnsi="Calibri Light"/>
        </w:rPr>
        <w:t xml:space="preserve">government </w:t>
      </w:r>
      <w:r w:rsidR="00DC2DB7" w:rsidRPr="00DC2DB7">
        <w:rPr>
          <w:rFonts w:ascii="Calibri Light" w:hAnsi="Calibri Light"/>
        </w:rPr>
        <w:t xml:space="preserve">architecture </w:t>
      </w:r>
      <w:r w:rsidR="00DC2DB7">
        <w:rPr>
          <w:rFonts w:ascii="Calibri Light" w:hAnsi="Calibri Light"/>
        </w:rPr>
        <w:t xml:space="preserve">to address disaster and climate change risks exists, the </w:t>
      </w:r>
      <w:r w:rsidR="00DC2DB7" w:rsidRPr="00DC2DB7">
        <w:rPr>
          <w:rFonts w:ascii="Calibri Light" w:hAnsi="Calibri Light"/>
        </w:rPr>
        <w:t>prima</w:t>
      </w:r>
      <w:r w:rsidR="00DC2DB7">
        <w:rPr>
          <w:rFonts w:ascii="Calibri Light" w:hAnsi="Calibri Light"/>
        </w:rPr>
        <w:t>ry responsibility for implementation</w:t>
      </w:r>
      <w:r w:rsidR="00DC2DB7" w:rsidRPr="00DC2DB7">
        <w:rPr>
          <w:rFonts w:ascii="Calibri Light" w:hAnsi="Calibri Light"/>
        </w:rPr>
        <w:t xml:space="preserve"> rest</w:t>
      </w:r>
      <w:r w:rsidR="00DC2DB7">
        <w:rPr>
          <w:rFonts w:ascii="Calibri Light" w:hAnsi="Calibri Light"/>
        </w:rPr>
        <w:t>s</w:t>
      </w:r>
      <w:r w:rsidR="00DC2DB7" w:rsidRPr="00DC2DB7">
        <w:rPr>
          <w:rFonts w:ascii="Calibri Light" w:hAnsi="Calibri Light"/>
        </w:rPr>
        <w:t xml:space="preserve"> with Local Government Units (LGUs)</w:t>
      </w:r>
      <w:r w:rsidR="00DC2DB7">
        <w:rPr>
          <w:rFonts w:ascii="Calibri Light" w:hAnsi="Calibri Light"/>
        </w:rPr>
        <w:t xml:space="preserve">. Cities, municipalities, and </w:t>
      </w:r>
      <w:r w:rsidR="00DC2DB7" w:rsidRPr="00DC2DB7">
        <w:rPr>
          <w:rFonts w:ascii="Calibri Light" w:hAnsi="Calibri Light"/>
        </w:rPr>
        <w:t>barangay</w:t>
      </w:r>
      <w:r w:rsidR="00DC2DB7">
        <w:rPr>
          <w:rFonts w:ascii="Calibri Light" w:hAnsi="Calibri Light"/>
        </w:rPr>
        <w:t>s however</w:t>
      </w:r>
      <w:r w:rsidR="00DC2DB7" w:rsidRPr="00DC2DB7">
        <w:rPr>
          <w:rFonts w:ascii="Calibri Light" w:hAnsi="Calibri Light"/>
        </w:rPr>
        <w:t xml:space="preserve"> </w:t>
      </w:r>
      <w:r w:rsidR="00DC2DB7">
        <w:rPr>
          <w:rFonts w:ascii="Calibri Light" w:hAnsi="Calibri Light"/>
        </w:rPr>
        <w:t xml:space="preserve">have severe </w:t>
      </w:r>
      <w:r w:rsidR="00DC2DB7" w:rsidRPr="00DC2DB7">
        <w:rPr>
          <w:rFonts w:ascii="Calibri Light" w:hAnsi="Calibri Light"/>
        </w:rPr>
        <w:t xml:space="preserve">capacity and resource constraints </w:t>
      </w:r>
      <w:r w:rsidR="00DC2DB7">
        <w:rPr>
          <w:rFonts w:ascii="Calibri Light" w:hAnsi="Calibri Light"/>
        </w:rPr>
        <w:t>which can be overwhelmed when confronted by disasters or climate risk events.</w:t>
      </w:r>
    </w:p>
    <w:p w:rsidR="00DC2DB7" w:rsidRDefault="00DC2DB7" w:rsidP="00A633FD">
      <w:pPr>
        <w:rPr>
          <w:rFonts w:ascii="Calibri Light" w:hAnsi="Calibri Light"/>
        </w:rPr>
      </w:pPr>
    </w:p>
    <w:p w:rsidR="00DC2DB7" w:rsidRDefault="00DC2DB7" w:rsidP="00A633FD">
      <w:pPr>
        <w:rPr>
          <w:rFonts w:ascii="Calibri Light" w:hAnsi="Calibri Light"/>
        </w:rPr>
      </w:pPr>
    </w:p>
    <w:p w:rsidR="00C6626C" w:rsidRDefault="00A633FD" w:rsidP="00A633FD">
      <w:r w:rsidRPr="00375FB4">
        <w:lastRenderedPageBreak/>
        <w:t>The Philippines remains the most gender equal country in Asia in 201</w:t>
      </w:r>
      <w:r>
        <w:t>8. It is ranked 8</w:t>
      </w:r>
      <w:r w:rsidRPr="00375FB4">
        <w:t>th in the Global Gender gap report in 201</w:t>
      </w:r>
      <w:r>
        <w:t>8</w:t>
      </w:r>
      <w:r w:rsidRPr="00375FB4">
        <w:t xml:space="preserve"> according to the Wo</w:t>
      </w:r>
      <w:r>
        <w:t>r</w:t>
      </w:r>
      <w:r w:rsidRPr="00375FB4">
        <w:t>ld Economic Forum (WEF)</w:t>
      </w:r>
      <w:r w:rsidRPr="003C084F">
        <w:rPr>
          <w:vertAlign w:val="superscript"/>
        </w:rPr>
        <w:footnoteReference w:id="2"/>
      </w:r>
      <w:r w:rsidRPr="00375FB4">
        <w:t>. Although the Philippines fares well in terms of the reported number of women in managerial and executive positions, the work force remains relatively gender</w:t>
      </w:r>
      <w:r w:rsidR="00193EB1">
        <w:t>-</w:t>
      </w:r>
      <w:r w:rsidRPr="00375FB4">
        <w:t>segregated</w:t>
      </w:r>
      <w:r w:rsidR="00193EB1">
        <w:t>,</w:t>
      </w:r>
      <w:r w:rsidRPr="00375FB4">
        <w:t xml:space="preserve"> with persistent wage differences between men and women for similar work done</w:t>
      </w:r>
      <w:r>
        <w:t xml:space="preserve"> and formal workforce participation by women still quite low.</w:t>
      </w:r>
      <w:r w:rsidR="00810127">
        <w:t xml:space="preserve"> Filipinos with disabilities remained among the most marginalised groups in society, facing barriers to accessing basic services, particularly in rural areas. </w:t>
      </w:r>
    </w:p>
    <w:p w:rsidR="00C6626C" w:rsidRPr="002A51CA" w:rsidRDefault="00C6626C" w:rsidP="00D7713F">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rsidR="00A633FD" w:rsidRDefault="00A633FD" w:rsidP="00A633FD">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3D7DCE">
        <w:rPr>
          <w:b/>
          <w:noProof/>
          <w:sz w:val="24"/>
        </w:rPr>
        <w:t>1</w:t>
      </w:r>
      <w:r w:rsidRPr="008C2F58">
        <w:rPr>
          <w:b/>
          <w:noProof/>
          <w:sz w:val="24"/>
        </w:rPr>
        <w:fldChar w:fldCharType="end"/>
      </w:r>
      <w:r w:rsidRPr="008C2F58">
        <w:rPr>
          <w:b/>
          <w:sz w:val="24"/>
        </w:rPr>
        <w:t xml:space="preserve"> Total ODA Expenditure in FY 201</w:t>
      </w:r>
      <w:r>
        <w:rPr>
          <w:b/>
          <w:sz w:val="24"/>
        </w:rPr>
        <w:t>8-19</w:t>
      </w:r>
    </w:p>
    <w:tbl>
      <w:tblPr>
        <w:tblStyle w:val="TableGrid"/>
        <w:tblW w:w="9497" w:type="dxa"/>
        <w:tblLook w:val="04A0" w:firstRow="1" w:lastRow="0" w:firstColumn="1" w:lastColumn="0" w:noHBand="0" w:noVBand="1"/>
      </w:tblPr>
      <w:tblGrid>
        <w:gridCol w:w="6232"/>
        <w:gridCol w:w="1423"/>
        <w:gridCol w:w="1842"/>
      </w:tblGrid>
      <w:tr w:rsidR="00A633FD" w:rsidTr="00A633FD">
        <w:tc>
          <w:tcPr>
            <w:tcW w:w="6232" w:type="dxa"/>
          </w:tcPr>
          <w:p w:rsidR="00A633FD" w:rsidRDefault="00A633FD" w:rsidP="00A633FD">
            <w:pPr>
              <w:spacing w:before="60"/>
              <w:rPr>
                <w:b/>
                <w:sz w:val="24"/>
              </w:rPr>
            </w:pPr>
            <w:r w:rsidRPr="00BE6C6D">
              <w:rPr>
                <w:sz w:val="20"/>
              </w:rPr>
              <w:t>Objective</w:t>
            </w:r>
          </w:p>
        </w:tc>
        <w:tc>
          <w:tcPr>
            <w:tcW w:w="1423" w:type="dxa"/>
          </w:tcPr>
          <w:p w:rsidR="00A633FD" w:rsidRDefault="00A633FD" w:rsidP="00A633FD">
            <w:pPr>
              <w:spacing w:before="60"/>
              <w:jc w:val="center"/>
              <w:rPr>
                <w:b/>
                <w:sz w:val="24"/>
              </w:rPr>
            </w:pPr>
            <w:r w:rsidRPr="00BE6C6D">
              <w:rPr>
                <w:sz w:val="20"/>
              </w:rPr>
              <w:t>A$ million</w:t>
            </w:r>
          </w:p>
        </w:tc>
        <w:tc>
          <w:tcPr>
            <w:tcW w:w="1842" w:type="dxa"/>
          </w:tcPr>
          <w:p w:rsidR="00A633FD" w:rsidRDefault="00A633FD" w:rsidP="00A633FD">
            <w:pPr>
              <w:spacing w:before="60"/>
              <w:ind w:right="-546"/>
              <w:jc w:val="center"/>
              <w:rPr>
                <w:b/>
                <w:sz w:val="24"/>
              </w:rPr>
            </w:pPr>
            <w:r w:rsidRPr="00BE6C6D">
              <w:rPr>
                <w:sz w:val="20"/>
              </w:rPr>
              <w:t>% of total ODA</w:t>
            </w:r>
          </w:p>
        </w:tc>
      </w:tr>
      <w:tr w:rsidR="0007164C" w:rsidTr="00A633FD">
        <w:tc>
          <w:tcPr>
            <w:tcW w:w="6232" w:type="dxa"/>
          </w:tcPr>
          <w:p w:rsidR="0007164C" w:rsidRPr="00BE6C6D" w:rsidRDefault="0007164C" w:rsidP="0007164C">
            <w:pPr>
              <w:spacing w:before="60"/>
              <w:rPr>
                <w:sz w:val="20"/>
              </w:rPr>
            </w:pPr>
            <w:r>
              <w:rPr>
                <w:sz w:val="20"/>
              </w:rPr>
              <w:t>Bilateral</w:t>
            </w:r>
          </w:p>
        </w:tc>
        <w:tc>
          <w:tcPr>
            <w:tcW w:w="1423" w:type="dxa"/>
          </w:tcPr>
          <w:p w:rsidR="0007164C" w:rsidRPr="00630C0E" w:rsidRDefault="0007164C" w:rsidP="0007164C">
            <w:pPr>
              <w:spacing w:before="60"/>
              <w:jc w:val="right"/>
              <w:rPr>
                <w:sz w:val="24"/>
              </w:rPr>
            </w:pPr>
            <w:r>
              <w:rPr>
                <w:b/>
                <w:sz w:val="24"/>
              </w:rPr>
              <w:t>67.0</w:t>
            </w:r>
          </w:p>
        </w:tc>
        <w:tc>
          <w:tcPr>
            <w:tcW w:w="1842" w:type="dxa"/>
            <w:shd w:val="clear" w:color="auto" w:fill="auto"/>
          </w:tcPr>
          <w:p w:rsidR="0007164C" w:rsidRDefault="0007164C" w:rsidP="0007164C">
            <w:pPr>
              <w:spacing w:before="60"/>
              <w:jc w:val="right"/>
              <w:rPr>
                <w:b/>
                <w:sz w:val="24"/>
              </w:rPr>
            </w:pPr>
            <w:r>
              <w:rPr>
                <w:b/>
                <w:sz w:val="24"/>
              </w:rPr>
              <w:t>79</w:t>
            </w:r>
          </w:p>
        </w:tc>
      </w:tr>
      <w:tr w:rsidR="0007164C" w:rsidTr="00A633FD">
        <w:tc>
          <w:tcPr>
            <w:tcW w:w="6232" w:type="dxa"/>
          </w:tcPr>
          <w:p w:rsidR="0007164C" w:rsidRPr="00B73E79" w:rsidRDefault="0007164C" w:rsidP="00DC204E">
            <w:pPr>
              <w:spacing w:before="60"/>
              <w:ind w:left="720"/>
              <w:rPr>
                <w:b/>
                <w:i/>
                <w:sz w:val="24"/>
              </w:rPr>
            </w:pPr>
            <w:r w:rsidRPr="00B73E79">
              <w:rPr>
                <w:i/>
                <w:sz w:val="20"/>
              </w:rPr>
              <w:t xml:space="preserve">Objective 1: </w:t>
            </w:r>
            <w:r w:rsidR="00DC204E" w:rsidRPr="00DC204E">
              <w:rPr>
                <w:i/>
                <w:sz w:val="20"/>
              </w:rPr>
              <w:t xml:space="preserve">Enhancing the Foundations for Economic Growth </w:t>
            </w:r>
          </w:p>
        </w:tc>
        <w:tc>
          <w:tcPr>
            <w:tcW w:w="1423" w:type="dxa"/>
          </w:tcPr>
          <w:p w:rsidR="0007164C" w:rsidRPr="00B73E79" w:rsidRDefault="0007164C" w:rsidP="00DC204E">
            <w:pPr>
              <w:spacing w:before="60"/>
              <w:jc w:val="right"/>
              <w:rPr>
                <w:i/>
                <w:sz w:val="24"/>
              </w:rPr>
            </w:pPr>
            <w:r>
              <w:rPr>
                <w:i/>
                <w:sz w:val="24"/>
              </w:rPr>
              <w:t>2</w:t>
            </w:r>
            <w:r w:rsidR="00DC204E">
              <w:rPr>
                <w:i/>
                <w:sz w:val="24"/>
              </w:rPr>
              <w:t>1</w:t>
            </w:r>
            <w:r>
              <w:rPr>
                <w:i/>
                <w:sz w:val="24"/>
              </w:rPr>
              <w:t>.0</w:t>
            </w:r>
          </w:p>
        </w:tc>
        <w:tc>
          <w:tcPr>
            <w:tcW w:w="1842" w:type="dxa"/>
            <w:shd w:val="clear" w:color="auto" w:fill="677370" w:themeFill="background2" w:themeFillShade="80"/>
          </w:tcPr>
          <w:p w:rsidR="0007164C" w:rsidRDefault="0007164C" w:rsidP="0007164C">
            <w:pPr>
              <w:spacing w:before="60"/>
              <w:jc w:val="right"/>
              <w:rPr>
                <w:b/>
                <w:sz w:val="24"/>
              </w:rPr>
            </w:pPr>
          </w:p>
        </w:tc>
      </w:tr>
      <w:tr w:rsidR="0007164C" w:rsidTr="00A633FD">
        <w:tc>
          <w:tcPr>
            <w:tcW w:w="6232" w:type="dxa"/>
          </w:tcPr>
          <w:p w:rsidR="0007164C" w:rsidRPr="00B73E79" w:rsidRDefault="0007164C" w:rsidP="00DC204E">
            <w:pPr>
              <w:spacing w:before="60"/>
              <w:ind w:left="720"/>
              <w:rPr>
                <w:b/>
                <w:i/>
                <w:sz w:val="24"/>
              </w:rPr>
            </w:pPr>
            <w:r w:rsidRPr="00B73E79">
              <w:rPr>
                <w:i/>
                <w:sz w:val="20"/>
              </w:rPr>
              <w:t xml:space="preserve">Objective 2: </w:t>
            </w:r>
            <w:r w:rsidR="00DC204E" w:rsidRPr="00DC204E">
              <w:rPr>
                <w:i/>
                <w:sz w:val="20"/>
              </w:rPr>
              <w:t>Building Stronger Institutions for Transparent and Accountable Governance</w:t>
            </w:r>
          </w:p>
        </w:tc>
        <w:tc>
          <w:tcPr>
            <w:tcW w:w="1423" w:type="dxa"/>
          </w:tcPr>
          <w:p w:rsidR="0007164C" w:rsidRPr="00B73E79" w:rsidRDefault="0007164C" w:rsidP="0007164C">
            <w:pPr>
              <w:spacing w:before="60"/>
              <w:jc w:val="right"/>
              <w:rPr>
                <w:i/>
                <w:sz w:val="24"/>
              </w:rPr>
            </w:pPr>
            <w:r>
              <w:rPr>
                <w:i/>
                <w:sz w:val="24"/>
              </w:rPr>
              <w:t>22.0</w:t>
            </w:r>
          </w:p>
        </w:tc>
        <w:tc>
          <w:tcPr>
            <w:tcW w:w="1842" w:type="dxa"/>
            <w:shd w:val="clear" w:color="auto" w:fill="677370" w:themeFill="background2" w:themeFillShade="80"/>
          </w:tcPr>
          <w:p w:rsidR="0007164C" w:rsidRDefault="0007164C" w:rsidP="0007164C">
            <w:pPr>
              <w:spacing w:before="60"/>
              <w:jc w:val="right"/>
              <w:rPr>
                <w:b/>
                <w:sz w:val="24"/>
              </w:rPr>
            </w:pPr>
          </w:p>
        </w:tc>
      </w:tr>
      <w:tr w:rsidR="0007164C" w:rsidTr="00A633FD">
        <w:tc>
          <w:tcPr>
            <w:tcW w:w="6232" w:type="dxa"/>
          </w:tcPr>
          <w:p w:rsidR="0007164C" w:rsidRPr="00B73E79" w:rsidRDefault="0007164C" w:rsidP="00DC204E">
            <w:pPr>
              <w:spacing w:before="60"/>
              <w:ind w:left="720"/>
              <w:rPr>
                <w:b/>
                <w:i/>
                <w:sz w:val="24"/>
              </w:rPr>
            </w:pPr>
            <w:r w:rsidRPr="00B73E79">
              <w:rPr>
                <w:i/>
                <w:sz w:val="20"/>
              </w:rPr>
              <w:t xml:space="preserve">Objective 3: </w:t>
            </w:r>
            <w:r w:rsidR="00DC204E" w:rsidRPr="00DC204E">
              <w:rPr>
                <w:i/>
                <w:sz w:val="20"/>
              </w:rPr>
              <w:t xml:space="preserve">Improving Conditions for Peace and Stability </w:t>
            </w:r>
          </w:p>
        </w:tc>
        <w:tc>
          <w:tcPr>
            <w:tcW w:w="1423" w:type="dxa"/>
          </w:tcPr>
          <w:p w:rsidR="0007164C" w:rsidRPr="00B73E79" w:rsidRDefault="0007164C" w:rsidP="00DC204E">
            <w:pPr>
              <w:spacing w:before="60"/>
              <w:jc w:val="right"/>
              <w:rPr>
                <w:i/>
                <w:sz w:val="24"/>
              </w:rPr>
            </w:pPr>
            <w:r>
              <w:rPr>
                <w:i/>
                <w:sz w:val="24"/>
              </w:rPr>
              <w:t>2</w:t>
            </w:r>
            <w:r w:rsidR="00DC204E">
              <w:rPr>
                <w:i/>
                <w:sz w:val="24"/>
              </w:rPr>
              <w:t>4</w:t>
            </w:r>
            <w:r>
              <w:rPr>
                <w:i/>
                <w:sz w:val="24"/>
              </w:rPr>
              <w:t>.0</w:t>
            </w:r>
          </w:p>
        </w:tc>
        <w:tc>
          <w:tcPr>
            <w:tcW w:w="1842" w:type="dxa"/>
            <w:shd w:val="clear" w:color="auto" w:fill="677370" w:themeFill="background2" w:themeFillShade="80"/>
          </w:tcPr>
          <w:p w:rsidR="0007164C" w:rsidRDefault="0007164C" w:rsidP="0007164C">
            <w:pPr>
              <w:spacing w:before="60"/>
              <w:jc w:val="right"/>
              <w:rPr>
                <w:b/>
                <w:sz w:val="24"/>
              </w:rPr>
            </w:pPr>
          </w:p>
        </w:tc>
      </w:tr>
      <w:tr w:rsidR="0007164C" w:rsidTr="00A633FD">
        <w:tc>
          <w:tcPr>
            <w:tcW w:w="6232" w:type="dxa"/>
          </w:tcPr>
          <w:p w:rsidR="0007164C" w:rsidRDefault="0007164C" w:rsidP="0007164C">
            <w:pPr>
              <w:spacing w:before="60"/>
              <w:rPr>
                <w:b/>
                <w:sz w:val="24"/>
              </w:rPr>
            </w:pPr>
            <w:r w:rsidRPr="00BE6C6D">
              <w:rPr>
                <w:sz w:val="20"/>
              </w:rPr>
              <w:t>Regional and Global</w:t>
            </w:r>
          </w:p>
        </w:tc>
        <w:tc>
          <w:tcPr>
            <w:tcW w:w="1423" w:type="dxa"/>
          </w:tcPr>
          <w:p w:rsidR="0007164C" w:rsidRDefault="0007164C" w:rsidP="0007164C">
            <w:pPr>
              <w:spacing w:before="60"/>
              <w:jc w:val="right"/>
              <w:rPr>
                <w:b/>
                <w:sz w:val="24"/>
              </w:rPr>
            </w:pPr>
            <w:r>
              <w:rPr>
                <w:b/>
                <w:sz w:val="24"/>
              </w:rPr>
              <w:t>14.8</w:t>
            </w:r>
          </w:p>
        </w:tc>
        <w:tc>
          <w:tcPr>
            <w:tcW w:w="1842" w:type="dxa"/>
          </w:tcPr>
          <w:p w:rsidR="0007164C" w:rsidRDefault="0007164C" w:rsidP="0007164C">
            <w:pPr>
              <w:spacing w:before="60"/>
              <w:jc w:val="right"/>
              <w:rPr>
                <w:b/>
                <w:sz w:val="24"/>
              </w:rPr>
            </w:pPr>
            <w:r>
              <w:rPr>
                <w:b/>
                <w:sz w:val="24"/>
              </w:rPr>
              <w:t>17</w:t>
            </w:r>
          </w:p>
        </w:tc>
      </w:tr>
      <w:tr w:rsidR="0007164C" w:rsidTr="00A633FD">
        <w:tc>
          <w:tcPr>
            <w:tcW w:w="6232" w:type="dxa"/>
          </w:tcPr>
          <w:p w:rsidR="0007164C" w:rsidRDefault="0007164C" w:rsidP="0007164C">
            <w:pPr>
              <w:spacing w:before="60"/>
              <w:rPr>
                <w:b/>
                <w:sz w:val="24"/>
              </w:rPr>
            </w:pPr>
            <w:r w:rsidRPr="00BE6C6D">
              <w:rPr>
                <w:sz w:val="20"/>
              </w:rPr>
              <w:t>Other Government Departments</w:t>
            </w:r>
          </w:p>
        </w:tc>
        <w:tc>
          <w:tcPr>
            <w:tcW w:w="1423" w:type="dxa"/>
          </w:tcPr>
          <w:p w:rsidR="0007164C" w:rsidRDefault="0007164C" w:rsidP="0007164C">
            <w:pPr>
              <w:spacing w:before="60"/>
              <w:jc w:val="right"/>
              <w:rPr>
                <w:b/>
                <w:sz w:val="24"/>
              </w:rPr>
            </w:pPr>
            <w:r>
              <w:rPr>
                <w:b/>
                <w:sz w:val="24"/>
              </w:rPr>
              <w:t>3.6</w:t>
            </w:r>
          </w:p>
        </w:tc>
        <w:tc>
          <w:tcPr>
            <w:tcW w:w="1842" w:type="dxa"/>
          </w:tcPr>
          <w:p w:rsidR="0007164C" w:rsidRDefault="0007164C" w:rsidP="0007164C">
            <w:pPr>
              <w:spacing w:before="60"/>
              <w:jc w:val="right"/>
              <w:rPr>
                <w:b/>
                <w:sz w:val="24"/>
              </w:rPr>
            </w:pPr>
            <w:r>
              <w:rPr>
                <w:b/>
                <w:sz w:val="24"/>
              </w:rPr>
              <w:t>4</w:t>
            </w:r>
          </w:p>
        </w:tc>
      </w:tr>
      <w:tr w:rsidR="0007164C" w:rsidTr="00A633FD">
        <w:tc>
          <w:tcPr>
            <w:tcW w:w="6232" w:type="dxa"/>
          </w:tcPr>
          <w:p w:rsidR="0007164C" w:rsidRDefault="0007164C" w:rsidP="0007164C">
            <w:pPr>
              <w:spacing w:before="60"/>
              <w:rPr>
                <w:b/>
                <w:sz w:val="24"/>
              </w:rPr>
            </w:pPr>
            <w:r w:rsidRPr="00BE6C6D">
              <w:rPr>
                <w:sz w:val="20"/>
              </w:rPr>
              <w:t>Total ODA Expenditure</w:t>
            </w:r>
          </w:p>
        </w:tc>
        <w:tc>
          <w:tcPr>
            <w:tcW w:w="1423" w:type="dxa"/>
          </w:tcPr>
          <w:p w:rsidR="0007164C" w:rsidRDefault="0007164C" w:rsidP="0007164C">
            <w:pPr>
              <w:spacing w:before="60"/>
              <w:jc w:val="right"/>
              <w:rPr>
                <w:b/>
                <w:sz w:val="24"/>
              </w:rPr>
            </w:pPr>
            <w:r>
              <w:rPr>
                <w:b/>
                <w:sz w:val="24"/>
              </w:rPr>
              <w:t>85.4</w:t>
            </w:r>
          </w:p>
        </w:tc>
        <w:tc>
          <w:tcPr>
            <w:tcW w:w="1842" w:type="dxa"/>
          </w:tcPr>
          <w:p w:rsidR="0007164C" w:rsidRDefault="0007164C" w:rsidP="0007164C">
            <w:pPr>
              <w:spacing w:before="60"/>
              <w:jc w:val="right"/>
              <w:rPr>
                <w:b/>
                <w:sz w:val="24"/>
              </w:rPr>
            </w:pPr>
            <w:r>
              <w:rPr>
                <w:b/>
                <w:sz w:val="24"/>
              </w:rPr>
              <w:t>100</w:t>
            </w:r>
          </w:p>
        </w:tc>
      </w:tr>
    </w:tbl>
    <w:p w:rsidR="002A51CA" w:rsidRPr="002A51CA" w:rsidRDefault="002A51CA" w:rsidP="00355959">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rsidR="00A633FD" w:rsidRPr="00C82D62" w:rsidRDefault="00A633FD" w:rsidP="00C82D62">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3D7DCE">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8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7"/>
        <w:gridCol w:w="1437"/>
        <w:gridCol w:w="1459"/>
      </w:tblGrid>
      <w:tr w:rsidR="00DC223F" w:rsidRPr="00812509" w:rsidTr="00DC223F">
        <w:trPr>
          <w:cnfStyle w:val="000000010000" w:firstRow="0" w:lastRow="0" w:firstColumn="0" w:lastColumn="0" w:oddVBand="0" w:evenVBand="0" w:oddHBand="0" w:evenHBand="1" w:firstRowFirstColumn="0" w:firstRowLastColumn="0" w:lastRowFirstColumn="0" w:lastRowLastColumn="0"/>
          <w:trHeight w:val="651"/>
        </w:trPr>
        <w:tc>
          <w:tcPr>
            <w:tcW w:w="63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C223F" w:rsidRPr="00517C6C" w:rsidRDefault="00DC223F" w:rsidP="00517C6C">
            <w:pPr>
              <w:pStyle w:val="TableTextColumnHeading"/>
            </w:pPr>
            <w:r w:rsidRPr="00517C6C">
              <w:rPr>
                <w:noProof/>
              </w:rPr>
              <w:drawing>
                <wp:anchor distT="0" distB="0" distL="114300" distR="114300" simplePos="0" relativeHeight="251715584" behindDoc="0" locked="0" layoutInCell="1" allowOverlap="1" wp14:anchorId="4CFADC57" wp14:editId="4EE3E33A">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C6C">
              <w:t>Objective</w:t>
            </w:r>
          </w:p>
          <w:p w:rsidR="00FB38A2" w:rsidRPr="00517C6C" w:rsidRDefault="00FB38A2" w:rsidP="00517C6C">
            <w:pPr>
              <w:pStyle w:val="TableTextColumnHeading"/>
              <w:rPr>
                <w:i/>
              </w:rPr>
            </w:pPr>
            <w:r w:rsidRPr="00517C6C">
              <w:rPr>
                <w:i/>
              </w:rPr>
              <w:t>(based on AIP 2015-2018</w:t>
            </w:r>
            <w:r w:rsidR="00E71A17" w:rsidRPr="00517C6C">
              <w:rPr>
                <w:i/>
              </w:rPr>
              <w:t xml:space="preserve"> as</w:t>
            </w:r>
            <w:r w:rsidRPr="00517C6C">
              <w:rPr>
                <w:i/>
              </w:rPr>
              <w:t xml:space="preserve"> </w:t>
            </w:r>
            <w:r w:rsidR="00193EB1">
              <w:rPr>
                <w:i/>
              </w:rPr>
              <w:t xml:space="preserve">the </w:t>
            </w:r>
            <w:r w:rsidRPr="00517C6C">
              <w:rPr>
                <w:i/>
              </w:rPr>
              <w:t xml:space="preserve">new AIP 2020-2025 </w:t>
            </w:r>
            <w:r w:rsidR="00E71A17" w:rsidRPr="00517C6C">
              <w:rPr>
                <w:i/>
              </w:rPr>
              <w:t xml:space="preserve">is </w:t>
            </w:r>
            <w:r w:rsidRPr="00517C6C">
              <w:rPr>
                <w:i/>
              </w:rPr>
              <w:t>still to be approved)</w:t>
            </w:r>
          </w:p>
        </w:tc>
        <w:tc>
          <w:tcPr>
            <w:tcW w:w="14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C223F" w:rsidRDefault="00DC223F" w:rsidP="00517C6C">
            <w:pPr>
              <w:pStyle w:val="TableTextColumnHeading"/>
            </w:pPr>
            <w:r>
              <w:t>Previous Rating</w:t>
            </w:r>
          </w:p>
          <w:p w:rsidR="00A3154C" w:rsidRPr="00517C6C" w:rsidRDefault="009C12F9" w:rsidP="00517C6C">
            <w:pPr>
              <w:pStyle w:val="TableTextColumnHeading"/>
              <w:rPr>
                <w:i/>
              </w:rPr>
            </w:pPr>
            <w:r w:rsidRPr="00517C6C">
              <w:rPr>
                <w:i/>
              </w:rPr>
              <w:t>(</w:t>
            </w:r>
            <w:r w:rsidR="00A3154C" w:rsidRPr="00517C6C">
              <w:rPr>
                <w:i/>
              </w:rPr>
              <w:t>FY17-18</w:t>
            </w:r>
            <w:r w:rsidRPr="00517C6C">
              <w:rPr>
                <w:i/>
              </w:rPr>
              <w:t>)</w:t>
            </w:r>
          </w:p>
        </w:tc>
        <w:tc>
          <w:tcPr>
            <w:tcW w:w="13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C223F" w:rsidRDefault="00DC223F" w:rsidP="00517C6C">
            <w:pPr>
              <w:pStyle w:val="TableTextColumnHeading"/>
            </w:pPr>
            <w:r w:rsidRPr="00812509">
              <w:t>Current Rating</w:t>
            </w:r>
          </w:p>
          <w:p w:rsidR="00A3154C" w:rsidRPr="00517C6C" w:rsidRDefault="009C12F9" w:rsidP="00517C6C">
            <w:pPr>
              <w:pStyle w:val="TableTextColumnHeading"/>
              <w:rPr>
                <w:i/>
              </w:rPr>
            </w:pPr>
            <w:r w:rsidRPr="00517C6C">
              <w:rPr>
                <w:i/>
              </w:rPr>
              <w:t>(</w:t>
            </w:r>
            <w:r w:rsidR="00A3154C" w:rsidRPr="00517C6C">
              <w:rPr>
                <w:i/>
              </w:rPr>
              <w:t>FY18-19</w:t>
            </w:r>
            <w:r w:rsidRPr="00517C6C">
              <w:rPr>
                <w:i/>
              </w:rPr>
              <w:t>)</w:t>
            </w:r>
          </w:p>
        </w:tc>
      </w:tr>
      <w:tr w:rsidR="00DC223F" w:rsidRPr="00812509" w:rsidTr="00DC223F">
        <w:trPr>
          <w:cnfStyle w:val="000000010000" w:firstRow="0" w:lastRow="0" w:firstColumn="0" w:lastColumn="0" w:oddVBand="0" w:evenVBand="0" w:oddHBand="0" w:evenHBand="1" w:firstRowFirstColumn="0" w:firstRowLastColumn="0" w:lastRowFirstColumn="0" w:lastRowLastColumn="0"/>
        </w:trPr>
        <w:tc>
          <w:tcPr>
            <w:tcW w:w="63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C223F" w:rsidRPr="00FB1B92" w:rsidRDefault="00DC223F" w:rsidP="00DC204E">
            <w:pPr>
              <w:pStyle w:val="TableTextEntries"/>
              <w:rPr>
                <w:rFonts w:asciiTheme="minorHAnsi" w:hAnsiTheme="minorHAnsi" w:cstheme="minorHAnsi"/>
              </w:rPr>
            </w:pPr>
            <w:r w:rsidRPr="00FB1B92">
              <w:rPr>
                <w:rFonts w:asciiTheme="minorHAnsi" w:hAnsiTheme="minorHAnsi" w:cstheme="minorHAnsi"/>
              </w:rPr>
              <w:t xml:space="preserve">Objective 1: </w:t>
            </w:r>
            <w:r w:rsidRPr="00FB1B92">
              <w:rPr>
                <w:rFonts w:asciiTheme="minorHAnsi" w:hAnsiTheme="minorHAnsi" w:cstheme="minorHAnsi"/>
                <w:b/>
                <w:bCs/>
                <w:color w:val="000000"/>
              </w:rPr>
              <w:t>Enhancing the Foundations for Economic Growth</w:t>
            </w:r>
            <w:r w:rsidRPr="00FB1B92">
              <w:rPr>
                <w:rFonts w:asciiTheme="minorHAnsi" w:hAnsiTheme="minorHAnsi" w:cstheme="minorHAnsi"/>
              </w:rPr>
              <w:t xml:space="preserve"> </w:t>
            </w:r>
          </w:p>
        </w:tc>
        <w:tc>
          <w:tcPr>
            <w:tcW w:w="14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rsidR="00DC223F" w:rsidRDefault="00A3154C" w:rsidP="00FB1B92">
            <w:pPr>
              <w:pStyle w:val="TableTextEntries"/>
              <w:jc w:val="center"/>
              <w:rPr>
                <w:rFonts w:asciiTheme="minorHAnsi" w:hAnsiTheme="minorHAnsi"/>
                <w:color w:val="FFFFFF" w:themeColor="background1"/>
              </w:rPr>
            </w:pPr>
            <w:r w:rsidRPr="00A3154C">
              <w:rPr>
                <w:rFonts w:asciiTheme="minorHAnsi" w:hAnsiTheme="minorHAnsi"/>
                <w:color w:val="FFFFFF" w:themeColor="background1"/>
              </w:rPr>
              <w:t>Amber</w:t>
            </w:r>
          </w:p>
        </w:tc>
        <w:tc>
          <w:tcPr>
            <w:tcW w:w="139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DC223F" w:rsidRPr="00812509" w:rsidRDefault="00DC223F" w:rsidP="00FB1B92">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DC223F" w:rsidRPr="00812509" w:rsidTr="00A3154C">
        <w:trPr>
          <w:cnfStyle w:val="000000010000" w:firstRow="0" w:lastRow="0" w:firstColumn="0" w:lastColumn="0" w:oddVBand="0" w:evenVBand="0" w:oddHBand="0" w:evenHBand="1" w:firstRowFirstColumn="0" w:firstRowLastColumn="0" w:lastRowFirstColumn="0" w:lastRowLastColumn="0"/>
        </w:trPr>
        <w:tc>
          <w:tcPr>
            <w:tcW w:w="63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C223F" w:rsidRPr="00FB1B92" w:rsidRDefault="00DC223F" w:rsidP="00FB1B92">
            <w:pPr>
              <w:pStyle w:val="TableTextEntries"/>
              <w:rPr>
                <w:rFonts w:asciiTheme="minorHAnsi" w:hAnsiTheme="minorHAnsi" w:cstheme="minorHAnsi"/>
              </w:rPr>
            </w:pPr>
            <w:r w:rsidRPr="00FB1B92">
              <w:rPr>
                <w:rFonts w:asciiTheme="minorHAnsi" w:hAnsiTheme="minorHAnsi" w:cstheme="minorHAnsi"/>
              </w:rPr>
              <w:t xml:space="preserve">Objective 2: </w:t>
            </w:r>
            <w:r w:rsidRPr="00FB1B92">
              <w:rPr>
                <w:rFonts w:asciiTheme="minorHAnsi" w:hAnsiTheme="minorHAnsi" w:cstheme="minorHAnsi"/>
                <w:b/>
              </w:rPr>
              <w:t>Building Stronger I</w:t>
            </w:r>
            <w:r w:rsidRPr="00FB1B92">
              <w:rPr>
                <w:rFonts w:asciiTheme="minorHAnsi" w:hAnsiTheme="minorHAnsi" w:cstheme="minorHAnsi"/>
                <w:b/>
                <w:bCs/>
                <w:color w:val="000000"/>
              </w:rPr>
              <w:t>nstitutions for Transparent and Accountable Governance</w:t>
            </w:r>
          </w:p>
        </w:tc>
        <w:tc>
          <w:tcPr>
            <w:tcW w:w="14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DC223F" w:rsidRDefault="00A3154C" w:rsidP="00FB1B92">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39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rsidR="00DC223F" w:rsidRPr="00812509" w:rsidRDefault="00DC223F" w:rsidP="00FB1B92">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r>
      <w:tr w:rsidR="00DC223F" w:rsidRPr="00812509" w:rsidTr="00DC223F">
        <w:trPr>
          <w:cnfStyle w:val="000000010000" w:firstRow="0" w:lastRow="0" w:firstColumn="0" w:lastColumn="0" w:oddVBand="0" w:evenVBand="0" w:oddHBand="0" w:evenHBand="1" w:firstRowFirstColumn="0" w:firstRowLastColumn="0" w:lastRowFirstColumn="0" w:lastRowLastColumn="0"/>
        </w:trPr>
        <w:tc>
          <w:tcPr>
            <w:tcW w:w="63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C223F" w:rsidRPr="00FB1B92" w:rsidRDefault="00DC223F" w:rsidP="00FB1B92">
            <w:pPr>
              <w:pStyle w:val="TableTextEntries"/>
              <w:rPr>
                <w:rFonts w:asciiTheme="minorHAnsi" w:hAnsiTheme="minorHAnsi" w:cstheme="minorHAnsi"/>
              </w:rPr>
            </w:pPr>
            <w:r w:rsidRPr="00FB1B92">
              <w:rPr>
                <w:rFonts w:asciiTheme="minorHAnsi" w:hAnsiTheme="minorHAnsi" w:cstheme="minorHAnsi"/>
              </w:rPr>
              <w:t>Objective 3</w:t>
            </w:r>
            <w:r w:rsidRPr="00FB1B92">
              <w:rPr>
                <w:rFonts w:asciiTheme="minorHAnsi" w:hAnsiTheme="minorHAnsi" w:cstheme="minorHAnsi"/>
                <w:b/>
                <w:bCs/>
                <w:color w:val="000000"/>
              </w:rPr>
              <w:t>: Improving Conditions for Peace and Stab</w:t>
            </w:r>
            <w:r>
              <w:rPr>
                <w:rFonts w:asciiTheme="minorHAnsi" w:hAnsiTheme="minorHAnsi" w:cstheme="minorHAnsi"/>
                <w:b/>
                <w:bCs/>
                <w:color w:val="000000"/>
              </w:rPr>
              <w:t>ility</w:t>
            </w:r>
          </w:p>
        </w:tc>
        <w:tc>
          <w:tcPr>
            <w:tcW w:w="14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DC223F" w:rsidRDefault="00A3154C" w:rsidP="00FB1B92">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39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DC223F" w:rsidRPr="00812509" w:rsidRDefault="00DC223F" w:rsidP="00FB1B92">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bl>
    <w:p w:rsidR="00FB1B92" w:rsidRPr="00FB1B92" w:rsidRDefault="00FB1B92" w:rsidP="00FB1B92">
      <w:pPr>
        <w:pStyle w:val="BodyText"/>
      </w:pPr>
    </w:p>
    <w:p w:rsidR="00355959" w:rsidRPr="00812509" w:rsidRDefault="00355959" w:rsidP="00355959">
      <w:pPr>
        <w:pStyle w:val="Note"/>
        <w:rPr>
          <w:rFonts w:asciiTheme="minorHAnsi" w:hAnsiTheme="minorHAnsi"/>
          <w:sz w:val="16"/>
        </w:rPr>
      </w:pPr>
      <w:r w:rsidRPr="00812509">
        <w:rPr>
          <w:rFonts w:asciiTheme="minorHAnsi" w:hAnsiTheme="minorHAnsi"/>
          <w:sz w:val="16"/>
        </w:rPr>
        <w:t xml:space="preserve">Note: </w:t>
      </w:r>
    </w:p>
    <w:p w:rsidR="00355959" w:rsidRPr="00812509" w:rsidRDefault="00355959" w:rsidP="0035595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355959" w:rsidRPr="00812509" w:rsidRDefault="00355959" w:rsidP="0035595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355959" w:rsidRDefault="00355959" w:rsidP="0035595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483381" w:rsidRDefault="00483381">
      <w:pPr>
        <w:suppressAutoHyphens w:val="0"/>
        <w:spacing w:before="0" w:after="120" w:line="440" w:lineRule="atLeast"/>
        <w:rPr>
          <w:rFonts w:asciiTheme="majorHAnsi" w:eastAsiaTheme="majorEastAsia" w:hAnsiTheme="majorHAnsi" w:cstheme="majorBidi"/>
          <w:caps/>
          <w:sz w:val="32"/>
          <w:szCs w:val="32"/>
        </w:rPr>
      </w:pPr>
      <w:r>
        <w:rPr>
          <w:rFonts w:asciiTheme="majorHAnsi" w:eastAsiaTheme="majorEastAsia" w:hAnsiTheme="majorHAnsi" w:cstheme="majorBidi"/>
          <w:caps/>
          <w:sz w:val="32"/>
          <w:szCs w:val="32"/>
        </w:rPr>
        <w:br w:type="page"/>
      </w:r>
    </w:p>
    <w:p w:rsidR="00DC204E" w:rsidRPr="00CF62AE" w:rsidRDefault="00DC204E" w:rsidP="00DC204E">
      <w:pPr>
        <w:spacing w:before="240"/>
        <w:rPr>
          <w:rFonts w:asciiTheme="majorHAnsi" w:eastAsiaTheme="majorEastAsia" w:hAnsiTheme="majorHAnsi" w:cstheme="majorBidi"/>
          <w:caps/>
          <w:color w:val="FF0000"/>
          <w:sz w:val="32"/>
          <w:szCs w:val="32"/>
        </w:rPr>
      </w:pPr>
      <w:r w:rsidRPr="00877607">
        <w:rPr>
          <w:rFonts w:asciiTheme="majorHAnsi" w:eastAsiaTheme="majorEastAsia" w:hAnsiTheme="majorHAnsi" w:cstheme="majorBidi"/>
          <w:caps/>
          <w:sz w:val="32"/>
          <w:szCs w:val="32"/>
        </w:rPr>
        <w:lastRenderedPageBreak/>
        <w:t xml:space="preserve">Objective </w:t>
      </w:r>
      <w:r>
        <w:rPr>
          <w:rFonts w:asciiTheme="majorHAnsi" w:eastAsiaTheme="majorEastAsia" w:hAnsiTheme="majorHAnsi" w:cstheme="majorBidi"/>
          <w:caps/>
          <w:sz w:val="32"/>
          <w:szCs w:val="32"/>
        </w:rPr>
        <w:t>1</w:t>
      </w:r>
      <w:r w:rsidRPr="00A633FD">
        <w:rPr>
          <w:rFonts w:asciiTheme="majorHAnsi" w:eastAsiaTheme="majorEastAsia" w:hAnsiTheme="majorHAnsi" w:cstheme="majorBidi"/>
          <w:caps/>
          <w:sz w:val="32"/>
          <w:szCs w:val="32"/>
        </w:rPr>
        <w:t xml:space="preserve">: </w:t>
      </w:r>
      <w:r>
        <w:rPr>
          <w:rFonts w:asciiTheme="majorHAnsi" w:eastAsiaTheme="majorEastAsia" w:hAnsiTheme="majorHAnsi" w:cstheme="majorBidi"/>
          <w:caps/>
          <w:sz w:val="32"/>
          <w:szCs w:val="32"/>
        </w:rPr>
        <w:t>enhancing the foundations for economic growth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DC204E" w:rsidRPr="00695730" w:rsidTr="003E221A">
        <w:tc>
          <w:tcPr>
            <w:tcW w:w="2016" w:type="dxa"/>
          </w:tcPr>
          <w:p w:rsidR="00DC204E" w:rsidRPr="00695730" w:rsidRDefault="00DC204E" w:rsidP="003E221A">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2A053952" wp14:editId="2574C6FC">
                  <wp:extent cx="1137600" cy="720000"/>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DC204E" w:rsidRPr="00695730" w:rsidRDefault="00DC204E" w:rsidP="003E221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C02789F" wp14:editId="55DA1708">
                  <wp:extent cx="657225" cy="657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_SDG goals_icons-individual-cmyk-0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tc>
        <w:tc>
          <w:tcPr>
            <w:tcW w:w="1906" w:type="dxa"/>
          </w:tcPr>
          <w:p w:rsidR="00DC204E" w:rsidRPr="00695730" w:rsidRDefault="00DC204E" w:rsidP="003E221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2AB276FF" wp14:editId="1B8BD1C8">
                  <wp:extent cx="6572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 goals_icons-individual-cmyk-0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tc>
        <w:tc>
          <w:tcPr>
            <w:tcW w:w="1906" w:type="dxa"/>
          </w:tcPr>
          <w:p w:rsidR="00DC204E" w:rsidRPr="00695730" w:rsidRDefault="00DC204E" w:rsidP="003E221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DFBA186" wp14:editId="1970708B">
                  <wp:extent cx="6381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_SDG goals_icons-individual-cmyk-1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8321" cy="638321"/>
                          </a:xfrm>
                          <a:prstGeom prst="rect">
                            <a:avLst/>
                          </a:prstGeom>
                        </pic:spPr>
                      </pic:pic>
                    </a:graphicData>
                  </a:graphic>
                </wp:inline>
              </w:drawing>
            </w:r>
          </w:p>
        </w:tc>
        <w:tc>
          <w:tcPr>
            <w:tcW w:w="1906" w:type="dxa"/>
          </w:tcPr>
          <w:p w:rsidR="00DC204E" w:rsidRPr="00695730" w:rsidRDefault="00DC204E" w:rsidP="003E221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99A3654" wp14:editId="7C22DFF8">
                  <wp:extent cx="628650" cy="628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_SDG goals_icons-individual-cmyk-1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tc>
      </w:tr>
    </w:tbl>
    <w:p w:rsidR="00DC204E" w:rsidRDefault="00DC204E" w:rsidP="00DC204E">
      <w:pPr>
        <w:spacing w:afterLines="60" w:after="144"/>
      </w:pPr>
      <w:r>
        <w:t xml:space="preserve">Through this Objective, </w:t>
      </w:r>
      <w:r w:rsidRPr="005C625F">
        <w:t xml:space="preserve">Australia </w:t>
      </w:r>
      <w:r>
        <w:t xml:space="preserve">aims </w:t>
      </w:r>
      <w:r w:rsidRPr="005C625F">
        <w:t xml:space="preserve">to </w:t>
      </w:r>
      <w:r>
        <w:t xml:space="preserve">promote </w:t>
      </w:r>
      <w:r w:rsidRPr="005C625F">
        <w:t xml:space="preserve">a </w:t>
      </w:r>
      <w:r>
        <w:t>vibrant Philippine</w:t>
      </w:r>
      <w:r w:rsidRPr="005C625F">
        <w:t xml:space="preserve"> economy by </w:t>
      </w:r>
      <w:r>
        <w:t xml:space="preserve">enhancing </w:t>
      </w:r>
      <w:r w:rsidRPr="005C625F">
        <w:t xml:space="preserve">the environment for </w:t>
      </w:r>
      <w:r>
        <w:t>increased investment, w</w:t>
      </w:r>
      <w:r w:rsidRPr="005C625F">
        <w:t>ork</w:t>
      </w:r>
      <w:r>
        <w:t>ing</w:t>
      </w:r>
      <w:r w:rsidRPr="005C625F">
        <w:t xml:space="preserve"> with partners to </w:t>
      </w:r>
      <w:r>
        <w:t xml:space="preserve">expand economic opportunities for a better-educated workforce, promoting economic participation for women, and assisting the Philippines develop priority </w:t>
      </w:r>
      <w:r w:rsidRPr="005C625F">
        <w:t>infrastructure</w:t>
      </w:r>
      <w:r>
        <w:t xml:space="preserve"> projects that attract private sector investment</w:t>
      </w:r>
      <w:r w:rsidRPr="005C625F">
        <w:t>.</w:t>
      </w:r>
    </w:p>
    <w:p w:rsidR="00DC204E" w:rsidRDefault="00DC204E" w:rsidP="00DC204E">
      <w:pPr>
        <w:spacing w:afterLines="60" w:after="144"/>
      </w:pPr>
      <w:r>
        <w:t xml:space="preserve">Progress on this objective is rated Green. Implementation of Australia’s on-going programs are on-track, and the transition from programs completing implementation in 2018-19 was managed smoothly, with new programs mobilised or to be mobilised as expected. Performance benchmarks for this objective were fully achieved as planned. </w:t>
      </w:r>
    </w:p>
    <w:p w:rsidR="00DC204E" w:rsidRDefault="00DC204E" w:rsidP="00DC204E">
      <w:pPr>
        <w:spacing w:afterLines="60" w:after="144"/>
      </w:pPr>
      <w:r>
        <w:t xml:space="preserve">In its last year of implementation, the </w:t>
      </w:r>
      <w:r w:rsidRPr="000040CA">
        <w:rPr>
          <w:b/>
        </w:rPr>
        <w:t>Australia-World Bank Philippines Development Trust Fund</w:t>
      </w:r>
      <w:r>
        <w:t xml:space="preserve"> (otherwise known as the Umbrella Trust Fund or </w:t>
      </w:r>
      <w:r w:rsidRPr="000040CA">
        <w:rPr>
          <w:b/>
        </w:rPr>
        <w:t>UTF</w:t>
      </w:r>
      <w:r>
        <w:t xml:space="preserve">) contributed to the enabling environment for business and trade </w:t>
      </w:r>
      <w:r w:rsidR="009170C4">
        <w:t xml:space="preserve">as expected </w:t>
      </w:r>
      <w:r>
        <w:t>through continued technical advice on the second package of tax reforms (e.g. corporate income tax and incentives rationalisation). Such critical assistance is typical of the important role the UTF had over its ten-year life in promoting a stable Philippine economy. It supported major initiatives such as Game Changers which in early 2019 helped the Philippine Government establish the fuel marking program to reduce oil revenue losses (estimated to be between PHP26.9 billion to PHP43.8 billion annually).</w:t>
      </w:r>
      <w:r w:rsidRPr="00534CCE">
        <w:rPr>
          <w:rStyle w:val="FootnoteReference"/>
        </w:rPr>
        <w:t xml:space="preserve"> </w:t>
      </w:r>
      <w:r>
        <w:rPr>
          <w:rStyle w:val="FootnoteReference"/>
        </w:rPr>
        <w:footnoteReference w:id="3"/>
      </w:r>
      <w:r>
        <w:t xml:space="preserve"> It helped reduce economic vulnerability by developing an international standard household targeting system for the Conditional Cash Transfer program that boosted school enrolment and health service usage among the poor. </w:t>
      </w:r>
      <w:r w:rsidRPr="00FC132A">
        <w:t xml:space="preserve">Building on and learning from the success of the UTF, the </w:t>
      </w:r>
      <w:r w:rsidRPr="00FC132A">
        <w:rPr>
          <w:b/>
        </w:rPr>
        <w:t>Advancing Multilateral Partnerships for Economic Development (AMPED)</w:t>
      </w:r>
      <w:r w:rsidRPr="00FC132A">
        <w:t xml:space="preserve"> was </w:t>
      </w:r>
      <w:r>
        <w:t xml:space="preserve">mobilised </w:t>
      </w:r>
      <w:r w:rsidR="009170C4">
        <w:t xml:space="preserve">as planned </w:t>
      </w:r>
      <w:r w:rsidRPr="00FC132A">
        <w:t xml:space="preserve">to strengthen the Philippine Government’s ability to manage the economy for growth. </w:t>
      </w:r>
      <w:r>
        <w:t>W</w:t>
      </w:r>
      <w:r w:rsidR="002D6009">
        <w:t>hile</w:t>
      </w:r>
      <w:r>
        <w:t xml:space="preserve"> </w:t>
      </w:r>
      <w:r w:rsidR="002D6009">
        <w:t xml:space="preserve">overall </w:t>
      </w:r>
      <w:r>
        <w:t>AMPED</w:t>
      </w:r>
      <w:r w:rsidR="002D6009">
        <w:t xml:space="preserve"> funding will be lower than the previous UTF</w:t>
      </w:r>
      <w:r>
        <w:t xml:space="preserve">, Australia </w:t>
      </w:r>
      <w:r w:rsidR="002D6009">
        <w:t xml:space="preserve">remains </w:t>
      </w:r>
      <w:r>
        <w:t>well-placed to continue progress achieved by the UTF in improving</w:t>
      </w:r>
      <w:r w:rsidRPr="00625675">
        <w:t xml:space="preserve"> </w:t>
      </w:r>
      <w:r>
        <w:t xml:space="preserve">the </w:t>
      </w:r>
      <w:r w:rsidRPr="00625675">
        <w:t>environment for business and trade</w:t>
      </w:r>
      <w:r>
        <w:t xml:space="preserve">. It also </w:t>
      </w:r>
      <w:r w:rsidRPr="00FC132A">
        <w:t>includes support to address the expanding nature of complex infrastructure development needs in the Philippines and increasing demand for assistance in developing long-term infrastructure projects beyond public-private partnerships</w:t>
      </w:r>
      <w:r>
        <w:t>.</w:t>
      </w:r>
      <w:r w:rsidRPr="00FC132A">
        <w:t xml:space="preserve"> By June 201</w:t>
      </w:r>
      <w:r>
        <w:t>9</w:t>
      </w:r>
      <w:r w:rsidRPr="00FC132A">
        <w:t xml:space="preserve">, </w:t>
      </w:r>
      <w:r>
        <w:t xml:space="preserve">arrangements </w:t>
      </w:r>
      <w:r w:rsidRPr="00FC132A">
        <w:t xml:space="preserve">with the World Bank and the International Finance Corporation were established </w:t>
      </w:r>
      <w:r>
        <w:t>in preparation for</w:t>
      </w:r>
      <w:r w:rsidRPr="00FC132A">
        <w:t xml:space="preserve"> </w:t>
      </w:r>
      <w:r>
        <w:t xml:space="preserve">new </w:t>
      </w:r>
      <w:r w:rsidRPr="00FC132A">
        <w:t xml:space="preserve">activities </w:t>
      </w:r>
      <w:r>
        <w:t>to be implemented beginning 2019-20</w:t>
      </w:r>
      <w:r w:rsidRPr="00FC132A">
        <w:t>.</w:t>
      </w:r>
    </w:p>
    <w:p w:rsidR="00DC204E" w:rsidRDefault="00DC204E" w:rsidP="00DC204E">
      <w:pPr>
        <w:spacing w:afterLines="60" w:after="144"/>
      </w:pPr>
      <w:r>
        <w:t xml:space="preserve">Ensuring inclusivity of economic development remains a high priority for Australia. The multi-country program </w:t>
      </w:r>
      <w:r w:rsidRPr="000040CA">
        <w:rPr>
          <w:b/>
        </w:rPr>
        <w:t>Investing in Women (IW)</w:t>
      </w:r>
      <w:r>
        <w:t xml:space="preserve"> continues to champion women’s full participation in economic activities</w:t>
      </w:r>
      <w:r w:rsidR="00BF5E6A">
        <w:t xml:space="preserve"> as entrepreneurs and as employees</w:t>
      </w:r>
      <w:r>
        <w:t xml:space="preserve">. By June 2019, </w:t>
      </w:r>
      <w:r w:rsidR="00BF5E6A">
        <w:t>the milestone target was met</w:t>
      </w:r>
      <w:r w:rsidR="00F24185">
        <w:t xml:space="preserve">: </w:t>
      </w:r>
      <w:r>
        <w:t xml:space="preserve">seven member companies of the Philippines Business Coalition for Women Empowerment (PBCWE) </w:t>
      </w:r>
      <w:r w:rsidR="00F24185">
        <w:t xml:space="preserve">were </w:t>
      </w:r>
      <w:r>
        <w:t xml:space="preserve">recognised for their commitment to </w:t>
      </w:r>
      <w:r w:rsidR="00BF5E6A">
        <w:t xml:space="preserve">workplace </w:t>
      </w:r>
      <w:r>
        <w:t xml:space="preserve">gender equality through the Economic Dividends for Gender Equality certification. These companies </w:t>
      </w:r>
      <w:r w:rsidR="00BF5E6A">
        <w:t xml:space="preserve">average </w:t>
      </w:r>
      <w:r>
        <w:t xml:space="preserve">high percentages of </w:t>
      </w:r>
      <w:r w:rsidR="00BF5E6A">
        <w:t>female</w:t>
      </w:r>
      <w:r>
        <w:t xml:space="preserve"> staff</w:t>
      </w:r>
      <w:r w:rsidR="00BF5E6A">
        <w:t xml:space="preserve"> (55%)</w:t>
      </w:r>
      <w:r>
        <w:t>; top management</w:t>
      </w:r>
      <w:r w:rsidR="00BF5E6A">
        <w:t xml:space="preserve"> (47%)</w:t>
      </w:r>
      <w:r>
        <w:t>; and board</w:t>
      </w:r>
      <w:r w:rsidR="00BF5E6A">
        <w:t xml:space="preserve"> member</w:t>
      </w:r>
      <w:r>
        <w:t>s</w:t>
      </w:r>
      <w:r w:rsidR="00BF5E6A">
        <w:t xml:space="preserve"> (27%)</w:t>
      </w:r>
      <w:r>
        <w:t xml:space="preserve">. Together with two new members, these large Philippine companies in PBCWE </w:t>
      </w:r>
      <w:r w:rsidR="00BF5E6A">
        <w:t xml:space="preserve">representing </w:t>
      </w:r>
      <w:r>
        <w:t xml:space="preserve">more than 130,000 employees are influencing </w:t>
      </w:r>
      <w:r w:rsidR="00BF5E6A">
        <w:t xml:space="preserve">the wider </w:t>
      </w:r>
      <w:r>
        <w:t xml:space="preserve">business </w:t>
      </w:r>
      <w:r w:rsidR="00BF5E6A">
        <w:t>community by promoting the business case for</w:t>
      </w:r>
      <w:r>
        <w:t xml:space="preserve"> workplace gender equality. </w:t>
      </w:r>
      <w:r w:rsidRPr="0072332A">
        <w:t>IW increas</w:t>
      </w:r>
      <w:r>
        <w:t>ed</w:t>
      </w:r>
      <w:r w:rsidRPr="0072332A">
        <w:t xml:space="preserve"> the flow of investment into women-owned and women-led small and medium enterprises (WSMEs) in the Philippines through </w:t>
      </w:r>
      <w:r w:rsidR="00BF5E6A">
        <w:t xml:space="preserve">partnerships with </w:t>
      </w:r>
      <w:r w:rsidRPr="0072332A">
        <w:t>impact investing</w:t>
      </w:r>
      <w:r w:rsidR="00BF5E6A">
        <w:t xml:space="preserve"> firms</w:t>
      </w:r>
      <w:r w:rsidRPr="0072332A">
        <w:t xml:space="preserve">. </w:t>
      </w:r>
      <w:r>
        <w:t>A</w:t>
      </w:r>
      <w:r w:rsidRPr="0072332A">
        <w:t xml:space="preserve"> total of </w:t>
      </w:r>
      <w:r>
        <w:t xml:space="preserve">five </w:t>
      </w:r>
      <w:r w:rsidRPr="0072332A">
        <w:t xml:space="preserve">deals with WSMEs were closed amounting to </w:t>
      </w:r>
      <w:r>
        <w:t>$957,242</w:t>
      </w:r>
      <w:r w:rsidRPr="0072332A">
        <w:t xml:space="preserve"> with a total private capital of </w:t>
      </w:r>
      <w:r>
        <w:t xml:space="preserve">$1.7 million </w:t>
      </w:r>
      <w:r w:rsidRPr="0072332A">
        <w:t>leveraged</w:t>
      </w:r>
      <w:r>
        <w:t xml:space="preserve"> </w:t>
      </w:r>
      <w:r w:rsidR="00BF5E6A">
        <w:t xml:space="preserve">(1.8 x IW’s capital) </w:t>
      </w:r>
      <w:r>
        <w:t>and $</w:t>
      </w:r>
      <w:r w:rsidR="00BF5E6A">
        <w:t>2.7</w:t>
      </w:r>
      <w:r>
        <w:t xml:space="preserve"> million co-investment from an impact investing fund</w:t>
      </w:r>
      <w:r w:rsidRPr="0072332A">
        <w:t xml:space="preserve">. </w:t>
      </w:r>
      <w:r>
        <w:t>T</w:t>
      </w:r>
      <w:r w:rsidRPr="0072332A">
        <w:t>hese investments</w:t>
      </w:r>
      <w:r>
        <w:t xml:space="preserve"> created 1,200 </w:t>
      </w:r>
      <w:r w:rsidRPr="0072332A">
        <w:t>jobs</w:t>
      </w:r>
      <w:r>
        <w:t>,</w:t>
      </w:r>
      <w:r w:rsidRPr="0072332A">
        <w:t xml:space="preserve"> of which </w:t>
      </w:r>
      <w:r>
        <w:t>50-60%</w:t>
      </w:r>
      <w:r w:rsidRPr="0072332A">
        <w:t xml:space="preserve"> </w:t>
      </w:r>
      <w:r>
        <w:t>wer</w:t>
      </w:r>
      <w:r w:rsidRPr="0072332A">
        <w:t xml:space="preserve">e </w:t>
      </w:r>
      <w:r>
        <w:t xml:space="preserve">for </w:t>
      </w:r>
      <w:r w:rsidRPr="0072332A">
        <w:t xml:space="preserve">women. </w:t>
      </w:r>
    </w:p>
    <w:p w:rsidR="00DC204E" w:rsidRDefault="00DC204E" w:rsidP="00DC204E">
      <w:pPr>
        <w:spacing w:afterLines="60" w:after="144"/>
      </w:pPr>
      <w:r w:rsidRPr="006E0F4C">
        <w:lastRenderedPageBreak/>
        <w:t xml:space="preserve">There have been considerable improvements across all aspects of the </w:t>
      </w:r>
      <w:r w:rsidRPr="006E0F4C">
        <w:rPr>
          <w:b/>
        </w:rPr>
        <w:t>Social Protection</w:t>
      </w:r>
      <w:r w:rsidRPr="006E0F4C">
        <w:t xml:space="preserve"> investment. </w:t>
      </w:r>
      <w:r w:rsidR="002775CB">
        <w:t>The Department of Social Welfare and Development (</w:t>
      </w:r>
      <w:r w:rsidRPr="006E0F4C">
        <w:t>DSWD</w:t>
      </w:r>
      <w:r w:rsidR="002775CB">
        <w:t>)</w:t>
      </w:r>
      <w:r w:rsidRPr="006E0F4C">
        <w:t xml:space="preserve"> delivered on key projects, including the major task of finalising the new Philippine Social Protection Operational Framework</w:t>
      </w:r>
      <w:r w:rsidR="009170C4">
        <w:t xml:space="preserve"> as targeted</w:t>
      </w:r>
      <w:r w:rsidRPr="006E0F4C">
        <w:t xml:space="preserve">. DSWD trained 216 officers to work effectively with LGUs, and used Geographical Information Systems to improve remote area outcomes. Technical assistance projects (26 completed, 22 ongoing) enhanced evidence-based policies and improved service delivery. Activities by multilateral partners also progressed well. </w:t>
      </w:r>
      <w:r w:rsidR="002775CB">
        <w:t xml:space="preserve">The United Nations Children’s Fund </w:t>
      </w:r>
      <w:r w:rsidRPr="006E0F4C">
        <w:t xml:space="preserve">produced the first Situational Analysis of Children with Disabilities in the Philippines, and reviewed business processes of the Modified Conditional Cash Transfer Program, including indigenous accessibility. The World Bank is strengthening the poverty targeting database </w:t>
      </w:r>
      <w:r w:rsidRPr="006E0F4C">
        <w:rPr>
          <w:i/>
        </w:rPr>
        <w:t>Listahanan</w:t>
      </w:r>
      <w:r w:rsidRPr="006E0F4C">
        <w:t xml:space="preserve"> and payment mechanisms of the ‘4Ps’ conditional cash transfer program.</w:t>
      </w:r>
      <w:r>
        <w:t xml:space="preserve"> </w:t>
      </w:r>
    </w:p>
    <w:p w:rsidR="00DC204E" w:rsidRDefault="00DC204E" w:rsidP="00DC204E">
      <w:pPr>
        <w:spacing w:afterLines="60" w:after="144"/>
        <w:rPr>
          <w:bCs/>
        </w:rPr>
      </w:pPr>
      <w:r w:rsidRPr="00D06C52">
        <w:rPr>
          <w:bCs/>
        </w:rPr>
        <w:t xml:space="preserve">The </w:t>
      </w:r>
      <w:r w:rsidRPr="00D06C52">
        <w:rPr>
          <w:b/>
          <w:bCs/>
        </w:rPr>
        <w:t>Innovation for Social Impact Partnership (ISIP)</w:t>
      </w:r>
      <w:r>
        <w:rPr>
          <w:bCs/>
        </w:rPr>
        <w:t xml:space="preserve"> </w:t>
      </w:r>
      <w:r w:rsidRPr="006713CC">
        <w:rPr>
          <w:bCs/>
        </w:rPr>
        <w:t>provide</w:t>
      </w:r>
      <w:r>
        <w:rPr>
          <w:bCs/>
        </w:rPr>
        <w:t>s</w:t>
      </w:r>
      <w:r w:rsidRPr="006713CC">
        <w:rPr>
          <w:bCs/>
        </w:rPr>
        <w:t xml:space="preserve"> catalytic financing and technical support</w:t>
      </w:r>
      <w:r>
        <w:rPr>
          <w:bCs/>
        </w:rPr>
        <w:t xml:space="preserve"> to</w:t>
      </w:r>
      <w:r w:rsidRPr="006713CC">
        <w:rPr>
          <w:bCs/>
        </w:rPr>
        <w:t xml:space="preserve"> high potential </w:t>
      </w:r>
      <w:r>
        <w:rPr>
          <w:bCs/>
        </w:rPr>
        <w:t xml:space="preserve">social enterprises and </w:t>
      </w:r>
      <w:r w:rsidR="00F24185">
        <w:rPr>
          <w:bCs/>
        </w:rPr>
        <w:t>enables</w:t>
      </w:r>
      <w:r w:rsidRPr="00D06C52">
        <w:rPr>
          <w:bCs/>
        </w:rPr>
        <w:t xml:space="preserve"> higher education institutions </w:t>
      </w:r>
      <w:r>
        <w:rPr>
          <w:bCs/>
        </w:rPr>
        <w:t>to stimulate</w:t>
      </w:r>
      <w:r w:rsidRPr="00D06C52">
        <w:rPr>
          <w:bCs/>
        </w:rPr>
        <w:t xml:space="preserve"> a pipeline of new social enterprises</w:t>
      </w:r>
      <w:r>
        <w:rPr>
          <w:bCs/>
        </w:rPr>
        <w:t>. This three-</w:t>
      </w:r>
      <w:r w:rsidRPr="00D06C52">
        <w:rPr>
          <w:bCs/>
        </w:rPr>
        <w:t>year</w:t>
      </w:r>
      <w:r>
        <w:rPr>
          <w:bCs/>
        </w:rPr>
        <w:t>,</w:t>
      </w:r>
      <w:r w:rsidRPr="00D06C52">
        <w:rPr>
          <w:bCs/>
        </w:rPr>
        <w:t xml:space="preserve"> tripartite program between the Australian Embassy, the United Nations Development Program and </w:t>
      </w:r>
      <w:r>
        <w:rPr>
          <w:bCs/>
        </w:rPr>
        <w:t>PhilDev</w:t>
      </w:r>
      <w:r w:rsidRPr="00D06C52">
        <w:rPr>
          <w:bCs/>
        </w:rPr>
        <w:t xml:space="preserve"> </w:t>
      </w:r>
      <w:r>
        <w:rPr>
          <w:bCs/>
        </w:rPr>
        <w:t xml:space="preserve">has so far assisted 10 social enterprises </w:t>
      </w:r>
      <w:r w:rsidRPr="00D06C52">
        <w:rPr>
          <w:bCs/>
        </w:rPr>
        <w:t>to scale-up operations.</w:t>
      </w:r>
    </w:p>
    <w:p w:rsidR="00DC204E" w:rsidRDefault="00DC204E" w:rsidP="00DC204E">
      <w:pPr>
        <w:spacing w:afterLines="60" w:after="144"/>
      </w:pPr>
      <w:r w:rsidRPr="00037D3A">
        <w:t xml:space="preserve">The </w:t>
      </w:r>
      <w:r w:rsidRPr="00037D3A">
        <w:rPr>
          <w:b/>
        </w:rPr>
        <w:t>Basic Education Sector Transformation (BEST)</w:t>
      </w:r>
      <w:r w:rsidR="00F24185">
        <w:rPr>
          <w:b/>
        </w:rPr>
        <w:t xml:space="preserve"> </w:t>
      </w:r>
      <w:r w:rsidR="00F24185" w:rsidRPr="000548AF">
        <w:t>program</w:t>
      </w:r>
      <w:r w:rsidR="00BA64A2" w:rsidRPr="00BA64A2">
        <w:t>, which concluded on 30 June 2019,</w:t>
      </w:r>
      <w:r w:rsidRPr="00037D3A">
        <w:t xml:space="preserve"> made important contributions to Philippine policies and systems for improving teaching quality and education service delivery, including the development and trial of a new teacher professional development system</w:t>
      </w:r>
      <w:r>
        <w:t xml:space="preserve"> </w:t>
      </w:r>
      <w:r w:rsidR="002C2FA8">
        <w:t xml:space="preserve">as intended for </w:t>
      </w:r>
      <w:r>
        <w:t>this last year of implementation</w:t>
      </w:r>
      <w:r w:rsidRPr="00037D3A">
        <w:t xml:space="preserve">. BEST also supported effective local initiatives to strengthen access, participation, literacy and numeracy, lifting literacy rates by over 80% in some areas. </w:t>
      </w:r>
      <w:r w:rsidR="009C27B3">
        <w:t>I</w:t>
      </w:r>
      <w:r w:rsidRPr="00037D3A">
        <w:t xml:space="preserve">n its final year, </w:t>
      </w:r>
      <w:r w:rsidR="009C27B3">
        <w:t xml:space="preserve">BEST helped the </w:t>
      </w:r>
      <w:r w:rsidR="009C27B3" w:rsidRPr="00037D3A">
        <w:t>Department of Education (DepEd)</w:t>
      </w:r>
      <w:r w:rsidR="009C27B3">
        <w:t xml:space="preserve"> to shift its strategic focus decisively from access to quality. T</w:t>
      </w:r>
      <w:r w:rsidRPr="00037D3A">
        <w:t xml:space="preserve">he program focused on transitioning management of key initiatives to </w:t>
      </w:r>
      <w:r w:rsidR="009C27B3">
        <w:t>DepEd</w:t>
      </w:r>
      <w:r w:rsidRPr="00037D3A">
        <w:t xml:space="preserve">, with most work streams on strong sustainability </w:t>
      </w:r>
      <w:r w:rsidRPr="007A0566">
        <w:t>pathways</w:t>
      </w:r>
      <w:r w:rsidR="009C27B3" w:rsidRPr="007A0566">
        <w:t>.</w:t>
      </w:r>
      <w:r w:rsidRPr="007A0566">
        <w:t xml:space="preserve"> </w:t>
      </w:r>
      <w:r w:rsidR="009C27B3" w:rsidRPr="007A0566">
        <w:t>S</w:t>
      </w:r>
      <w:r w:rsidRPr="007A0566">
        <w:t xml:space="preserve">ome risks </w:t>
      </w:r>
      <w:r w:rsidR="009C27B3" w:rsidRPr="007A0566">
        <w:t>remain around</w:t>
      </w:r>
      <w:r w:rsidRPr="007A0566">
        <w:t xml:space="preserve"> DepEd’s capacity to independently manage the large and complex Unified Information System developed with Australian support. </w:t>
      </w:r>
      <w:r w:rsidR="009C27B3" w:rsidRPr="007A0566">
        <w:t>In line with DepEd’s strengthened focus on</w:t>
      </w:r>
      <w:r w:rsidR="009C27B3">
        <w:t xml:space="preserve"> lifting teaching quality, Australia will mobilise a</w:t>
      </w:r>
      <w:r>
        <w:t xml:space="preserve"> modest </w:t>
      </w:r>
      <w:r w:rsidR="009C27B3">
        <w:t xml:space="preserve">but strategic </w:t>
      </w:r>
      <w:r>
        <w:t xml:space="preserve">successor project, Sustaining Education Reform Gains (SERG), </w:t>
      </w:r>
      <w:r w:rsidR="009C27B3">
        <w:t xml:space="preserve">to </w:t>
      </w:r>
      <w:r>
        <w:t>continue work initiated by BEST to help DepEd improve systems for teacher professional development for a further two years (2019-21).</w:t>
      </w:r>
    </w:p>
    <w:p w:rsidR="007B3C60" w:rsidRDefault="00DC204E" w:rsidP="00DC204E">
      <w:pPr>
        <w:spacing w:before="100" w:beforeAutospacing="1"/>
      </w:pPr>
      <w:r>
        <w:t xml:space="preserve">The </w:t>
      </w:r>
      <w:r w:rsidRPr="000040CA">
        <w:rPr>
          <w:b/>
        </w:rPr>
        <w:t xml:space="preserve">Strengthening Public Private Partnerships </w:t>
      </w:r>
      <w:r>
        <w:rPr>
          <w:b/>
        </w:rPr>
        <w:t xml:space="preserve">(PPP) </w:t>
      </w:r>
      <w:r w:rsidRPr="000040CA">
        <w:rPr>
          <w:b/>
        </w:rPr>
        <w:t>Program</w:t>
      </w:r>
      <w:r>
        <w:t xml:space="preserve"> with the </w:t>
      </w:r>
      <w:r w:rsidR="003C3F97">
        <w:t>ADB</w:t>
      </w:r>
      <w:r>
        <w:t xml:space="preserve"> continues to keep implementation relevant to the PPP policy environment, with new guidelines for the processing of unsolicited PPPs developed by the Philippines PPP Center in 2019. Over the past year, the PPP Center has also delivered on its new strategy to focus on </w:t>
      </w:r>
      <w:r w:rsidR="002775CB">
        <w:t xml:space="preserve">the </w:t>
      </w:r>
      <w:r>
        <w:t xml:space="preserve">local government level by helping 10 LGUs </w:t>
      </w:r>
      <w:r w:rsidR="002775CB">
        <w:t xml:space="preserve">further </w:t>
      </w:r>
      <w:r>
        <w:t>develop PPP projects already at advanced stages of preparation. At the national level, one PPP project (Operations and Maintenance of the Clark International Airport Expansion)</w:t>
      </w:r>
      <w:r w:rsidR="00EA7EC7">
        <w:t>,</w:t>
      </w:r>
      <w:r>
        <w:t xml:space="preserve"> developed with transaction support from the program</w:t>
      </w:r>
      <w:r w:rsidR="00EA7EC7">
        <w:t>,</w:t>
      </w:r>
      <w:r>
        <w:t xml:space="preserve"> was approved by the Philippines’ Investment Coordination Committee and went to market within this period. Approvals of solicited PPP projects have slowed down significantly overall since the shift in the government’s preference to unsolicited PPP projects beginning in 2017. </w:t>
      </w:r>
    </w:p>
    <w:p w:rsidR="00A633FD" w:rsidRPr="00DC204E" w:rsidRDefault="00A633FD" w:rsidP="00DC204E">
      <w:pPr>
        <w:spacing w:before="100" w:beforeAutospacing="1"/>
      </w:pPr>
      <w:r>
        <w:rPr>
          <w:rFonts w:asciiTheme="majorHAnsi" w:eastAsiaTheme="majorEastAsia" w:hAnsiTheme="majorHAnsi" w:cstheme="majorBidi"/>
          <w:caps/>
          <w:sz w:val="32"/>
          <w:szCs w:val="32"/>
        </w:rPr>
        <w:br w:type="page"/>
      </w:r>
    </w:p>
    <w:p w:rsidR="0072170F" w:rsidRPr="00CF62AE" w:rsidRDefault="0072170F" w:rsidP="0072170F">
      <w:pPr>
        <w:spacing w:before="240"/>
        <w:rPr>
          <w:rFonts w:asciiTheme="majorHAnsi" w:eastAsiaTheme="majorEastAsia" w:hAnsiTheme="majorHAnsi" w:cstheme="majorBidi"/>
          <w:caps/>
          <w:color w:val="FF0000"/>
          <w:sz w:val="32"/>
          <w:szCs w:val="32"/>
        </w:rPr>
      </w:pPr>
      <w:r w:rsidRPr="00877607">
        <w:rPr>
          <w:rFonts w:asciiTheme="majorHAnsi" w:eastAsiaTheme="majorEastAsia" w:hAnsiTheme="majorHAnsi" w:cstheme="majorBidi"/>
          <w:caps/>
          <w:sz w:val="32"/>
          <w:szCs w:val="32"/>
        </w:rPr>
        <w:lastRenderedPageBreak/>
        <w:t>Objective 2</w:t>
      </w:r>
      <w:r w:rsidR="00A633FD" w:rsidRPr="00A633FD">
        <w:rPr>
          <w:rFonts w:asciiTheme="majorHAnsi" w:eastAsiaTheme="majorEastAsia" w:hAnsiTheme="majorHAnsi" w:cstheme="majorBidi"/>
          <w:caps/>
          <w:sz w:val="32"/>
          <w:szCs w:val="32"/>
        </w:rPr>
        <w:t xml:space="preserve">: </w:t>
      </w:r>
      <w:r w:rsidR="00E73DCD" w:rsidRPr="00E73DCD">
        <w:rPr>
          <w:rFonts w:asciiTheme="majorHAnsi" w:eastAsiaTheme="majorEastAsia" w:hAnsiTheme="majorHAnsi" w:cstheme="majorBidi"/>
          <w:caps/>
          <w:sz w:val="32"/>
          <w:szCs w:val="32"/>
        </w:rPr>
        <w:t xml:space="preserve">Building Stronger Institutions for Transparent and Accountable Governance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4"/>
        <w:gridCol w:w="1906"/>
        <w:gridCol w:w="1906"/>
      </w:tblGrid>
      <w:tr w:rsidR="0038507B" w:rsidRPr="00695730" w:rsidTr="00FB38A2">
        <w:tc>
          <w:tcPr>
            <w:tcW w:w="2016" w:type="dxa"/>
          </w:tcPr>
          <w:p w:rsidR="0038507B" w:rsidRPr="00695730" w:rsidRDefault="0038507B" w:rsidP="00D05246">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2411797C" wp14:editId="4D6E6190">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38507B" w:rsidRDefault="0038507B" w:rsidP="00D05246">
            <w:pPr>
              <w:suppressAutoHyphens w:val="0"/>
              <w:spacing w:before="160" w:after="80" w:line="240" w:lineRule="auto"/>
              <w:jc w:val="center"/>
              <w:rPr>
                <w:noProof/>
                <w:lang w:val="en-AU" w:eastAsia="en-AU"/>
              </w:rPr>
            </w:pPr>
            <w:r>
              <w:rPr>
                <w:noProof/>
                <w:lang w:val="en-AU" w:eastAsia="en-AU"/>
              </w:rPr>
              <w:drawing>
                <wp:inline distT="0" distB="0" distL="0" distR="0" wp14:anchorId="4A186DA3" wp14:editId="2632CFDF">
                  <wp:extent cx="657225" cy="6572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_SDG goals_icons-individual-cmyk-0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tc>
        <w:tc>
          <w:tcPr>
            <w:tcW w:w="1904" w:type="dxa"/>
          </w:tcPr>
          <w:p w:rsidR="0038507B" w:rsidRPr="00695730" w:rsidRDefault="0038507B" w:rsidP="00D0524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B5E77DF" wp14:editId="522981DF">
                  <wp:extent cx="609600" cy="60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_SDG goals_icons-individual-cmyk-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tc>
        <w:tc>
          <w:tcPr>
            <w:tcW w:w="1906" w:type="dxa"/>
          </w:tcPr>
          <w:p w:rsidR="0038507B" w:rsidRPr="00695730" w:rsidRDefault="0038507B" w:rsidP="00D0524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DD0A0CF" wp14:editId="27B614EB">
                  <wp:extent cx="609600" cy="609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_SDG goals_icons-individual-cmyk-1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tc>
        <w:tc>
          <w:tcPr>
            <w:tcW w:w="1906" w:type="dxa"/>
          </w:tcPr>
          <w:p w:rsidR="0038507B" w:rsidRPr="00695730" w:rsidRDefault="0038507B" w:rsidP="00D05246">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458E513" wp14:editId="1158FA86">
                  <wp:extent cx="606013" cy="60960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7664" cy="631379"/>
                          </a:xfrm>
                          <a:prstGeom prst="rect">
                            <a:avLst/>
                          </a:prstGeom>
                        </pic:spPr>
                      </pic:pic>
                    </a:graphicData>
                  </a:graphic>
                </wp:inline>
              </w:drawing>
            </w:r>
          </w:p>
        </w:tc>
      </w:tr>
    </w:tbl>
    <w:p w:rsidR="00A633FD" w:rsidRDefault="00A633FD" w:rsidP="00F20161">
      <w:pPr>
        <w:spacing w:afterLines="60" w:after="144"/>
      </w:pPr>
      <w:r>
        <w:t xml:space="preserve">Under this Objective, Australia aims to strengthen the institutional capacity of the Philippine Government to support inclusive growth, reduce climate vulnerability, and protect the rights of children. </w:t>
      </w:r>
    </w:p>
    <w:p w:rsidR="00A633FD" w:rsidRDefault="00A633FD" w:rsidP="00F20161">
      <w:pPr>
        <w:spacing w:afterLines="60" w:after="144"/>
      </w:pPr>
      <w:r>
        <w:t>Progress on t</w:t>
      </w:r>
      <w:r w:rsidRPr="000253AA">
        <w:t>h</w:t>
      </w:r>
      <w:r>
        <w:t>is</w:t>
      </w:r>
      <w:r w:rsidRPr="000253AA">
        <w:t xml:space="preserve"> objective </w:t>
      </w:r>
      <w:r>
        <w:t>is A</w:t>
      </w:r>
      <w:r w:rsidRPr="000253AA">
        <w:t>mber</w:t>
      </w:r>
      <w:r>
        <w:t xml:space="preserve">, primarily due </w:t>
      </w:r>
      <w:r w:rsidRPr="00E9681B">
        <w:t xml:space="preserve">to the </w:t>
      </w:r>
      <w:r w:rsidR="00693DF5" w:rsidRPr="00E9681B">
        <w:t xml:space="preserve">non-mobilisation of a major </w:t>
      </w:r>
      <w:r w:rsidRPr="00E9681B">
        <w:t>program</w:t>
      </w:r>
      <w:r>
        <w:t xml:space="preserve"> to continue and expand support to infrastructure institutions in the Philippines. The absence of this program limited Australia’s ability to assist institutions working on </w:t>
      </w:r>
      <w:r w:rsidR="00693DF5">
        <w:t>public financ</w:t>
      </w:r>
      <w:r w:rsidR="0048467E">
        <w:t>ial</w:t>
      </w:r>
      <w:r w:rsidR="00693DF5">
        <w:t xml:space="preserve"> management and </w:t>
      </w:r>
      <w:r>
        <w:t xml:space="preserve">infrastructure development and </w:t>
      </w:r>
      <w:r w:rsidR="00EA7EC7">
        <w:t xml:space="preserve">will </w:t>
      </w:r>
      <w:r>
        <w:t>requir</w:t>
      </w:r>
      <w:r w:rsidR="00EA7EC7">
        <w:t>e</w:t>
      </w:r>
      <w:r>
        <w:t xml:space="preserve"> </w:t>
      </w:r>
      <w:r w:rsidR="00EA7EC7">
        <w:t xml:space="preserve">the </w:t>
      </w:r>
      <w:r>
        <w:t xml:space="preserve">recasting </w:t>
      </w:r>
      <w:r w:rsidR="00EA7EC7">
        <w:t xml:space="preserve">of </w:t>
      </w:r>
      <w:r>
        <w:t>this sub-objective in the ne</w:t>
      </w:r>
      <w:r w:rsidR="002775CB">
        <w:t>xt</w:t>
      </w:r>
      <w:r>
        <w:t xml:space="preserve"> Aid Investment Plan. Nevertheless, there was good </w:t>
      </w:r>
      <w:r w:rsidR="00EA7EC7">
        <w:t xml:space="preserve">progress against </w:t>
      </w:r>
      <w:r w:rsidR="00693DF5">
        <w:t>expected performance benchmarks</w:t>
      </w:r>
      <w:r>
        <w:t xml:space="preserve">, as </w:t>
      </w:r>
      <w:r w:rsidR="00693DF5">
        <w:t>we</w:t>
      </w:r>
      <w:r>
        <w:t xml:space="preserve"> provided </w:t>
      </w:r>
      <w:r w:rsidR="00693DF5">
        <w:t xml:space="preserve">on-going support for </w:t>
      </w:r>
      <w:r>
        <w:t>departments to implement policy reforms</w:t>
      </w:r>
      <w:r w:rsidRPr="000253AA">
        <w:t xml:space="preserve"> </w:t>
      </w:r>
      <w:r>
        <w:t>in health care and budget management, as well as mobilised a new program to strengthen agencies that protect children. Programs continued to provide capacity building assistance for institutions through short courses, long</w:t>
      </w:r>
      <w:r w:rsidR="00EA7EC7">
        <w:t>-</w:t>
      </w:r>
      <w:r>
        <w:t xml:space="preserve">term scholarships, and research support. </w:t>
      </w:r>
    </w:p>
    <w:p w:rsidR="00A633FD" w:rsidRDefault="00A633FD" w:rsidP="00F20161">
      <w:pPr>
        <w:spacing w:afterLines="60" w:after="144"/>
        <w:rPr>
          <w:bCs/>
        </w:rPr>
      </w:pPr>
      <w:r w:rsidRPr="00117D58">
        <w:t xml:space="preserve">The </w:t>
      </w:r>
      <w:r w:rsidRPr="00B31842">
        <w:rPr>
          <w:b/>
        </w:rPr>
        <w:t>Public Financial Management Program for Infrastructure (PFM-I)</w:t>
      </w:r>
      <w:r>
        <w:rPr>
          <w:b/>
        </w:rPr>
        <w:t xml:space="preserve"> </w:t>
      </w:r>
      <w:r w:rsidRPr="00134094">
        <w:rPr>
          <w:bCs/>
        </w:rPr>
        <w:t xml:space="preserve">was intended as a one-year interim activity </w:t>
      </w:r>
      <w:r>
        <w:rPr>
          <w:bCs/>
        </w:rPr>
        <w:t xml:space="preserve">that </w:t>
      </w:r>
      <w:r w:rsidRPr="00134094">
        <w:rPr>
          <w:bCs/>
        </w:rPr>
        <w:t>would leverage the existing relationship with</w:t>
      </w:r>
      <w:r w:rsidR="0048467E">
        <w:rPr>
          <w:bCs/>
        </w:rPr>
        <w:t xml:space="preserve"> the</w:t>
      </w:r>
      <w:r w:rsidRPr="00134094">
        <w:rPr>
          <w:bCs/>
        </w:rPr>
        <w:t xml:space="preserve"> D</w:t>
      </w:r>
      <w:r w:rsidR="0048467E">
        <w:rPr>
          <w:bCs/>
        </w:rPr>
        <w:t xml:space="preserve">epartment of </w:t>
      </w:r>
      <w:r w:rsidRPr="00134094">
        <w:rPr>
          <w:bCs/>
        </w:rPr>
        <w:t>B</w:t>
      </w:r>
      <w:r w:rsidR="0048467E">
        <w:rPr>
          <w:bCs/>
        </w:rPr>
        <w:t xml:space="preserve">udget and </w:t>
      </w:r>
      <w:r w:rsidRPr="00134094">
        <w:rPr>
          <w:bCs/>
        </w:rPr>
        <w:t>M</w:t>
      </w:r>
      <w:r w:rsidR="0048467E">
        <w:rPr>
          <w:bCs/>
        </w:rPr>
        <w:t>anagement</w:t>
      </w:r>
      <w:r w:rsidRPr="00134094">
        <w:rPr>
          <w:bCs/>
        </w:rPr>
        <w:t xml:space="preserve"> and expand support to PFM for infrastructure delivery by exploring new approaches, new areas of engagement, and new partnerships.</w:t>
      </w:r>
      <w:r w:rsidRPr="00117D58">
        <w:rPr>
          <w:bCs/>
        </w:rPr>
        <w:t xml:space="preserve"> </w:t>
      </w:r>
      <w:r w:rsidR="00005BB8">
        <w:rPr>
          <w:bCs/>
        </w:rPr>
        <w:t>The m</w:t>
      </w:r>
      <w:r w:rsidRPr="00117D58">
        <w:rPr>
          <w:bCs/>
        </w:rPr>
        <w:t xml:space="preserve">ajority of the expected development outcomes </w:t>
      </w:r>
      <w:r>
        <w:rPr>
          <w:bCs/>
        </w:rPr>
        <w:t xml:space="preserve">of the investment were achieved, such as the approval (albeit delayed) and implementation </w:t>
      </w:r>
      <w:r w:rsidRPr="00117D58">
        <w:rPr>
          <w:bCs/>
        </w:rPr>
        <w:t xml:space="preserve">of cash-based appropriation for the 2019 </w:t>
      </w:r>
      <w:r>
        <w:rPr>
          <w:bCs/>
        </w:rPr>
        <w:t xml:space="preserve">national </w:t>
      </w:r>
      <w:r w:rsidRPr="00117D58">
        <w:rPr>
          <w:bCs/>
        </w:rPr>
        <w:t>budget</w:t>
      </w:r>
      <w:r w:rsidR="002D6009">
        <w:rPr>
          <w:bCs/>
        </w:rPr>
        <w:t>.</w:t>
      </w:r>
      <w:r w:rsidRPr="00117D58">
        <w:rPr>
          <w:bCs/>
        </w:rPr>
        <w:t xml:space="preserve"> </w:t>
      </w:r>
      <w:r w:rsidR="002D6009">
        <w:rPr>
          <w:bCs/>
        </w:rPr>
        <w:t>O</w:t>
      </w:r>
      <w:r w:rsidRPr="00117D58">
        <w:rPr>
          <w:bCs/>
        </w:rPr>
        <w:t xml:space="preserve">perational breakthroughs in service delivery </w:t>
      </w:r>
      <w:r w:rsidR="002D6009">
        <w:rPr>
          <w:bCs/>
        </w:rPr>
        <w:t xml:space="preserve">were achieved </w:t>
      </w:r>
      <w:r w:rsidRPr="00117D58">
        <w:rPr>
          <w:bCs/>
        </w:rPr>
        <w:t>through technical advice provided to improve</w:t>
      </w:r>
      <w:r>
        <w:rPr>
          <w:bCs/>
        </w:rPr>
        <w:t xml:space="preserve"> operational performance of the Metro Rail Transit System Line 3</w:t>
      </w:r>
      <w:r w:rsidR="002D6009">
        <w:rPr>
          <w:bCs/>
        </w:rPr>
        <w:t xml:space="preserve"> and to improve ship maintenance by the Philippine Coast Guard</w:t>
      </w:r>
      <w:r>
        <w:rPr>
          <w:bCs/>
        </w:rPr>
        <w:t xml:space="preserve">. However, the new six-year $36 million </w:t>
      </w:r>
      <w:r w:rsidRPr="006C46FF">
        <w:rPr>
          <w:b/>
          <w:bCs/>
        </w:rPr>
        <w:t>Public Financial Management Program for Institutions and Infrastructure (PFMP-II)</w:t>
      </w:r>
      <w:r>
        <w:rPr>
          <w:bCs/>
        </w:rPr>
        <w:t xml:space="preserve"> that was planned to succeed and expand technical support provided by PFM-I did not proceed in the absence of a subsidiary arrangement </w:t>
      </w:r>
      <w:r w:rsidR="0007164C">
        <w:rPr>
          <w:bCs/>
        </w:rPr>
        <w:t xml:space="preserve">signed </w:t>
      </w:r>
      <w:r>
        <w:rPr>
          <w:bCs/>
        </w:rPr>
        <w:t>with the Philippine Government.</w:t>
      </w:r>
    </w:p>
    <w:p w:rsidR="00A633FD" w:rsidRPr="00B31842" w:rsidRDefault="00A633FD" w:rsidP="00F20161">
      <w:pPr>
        <w:spacing w:afterLines="60" w:after="144"/>
      </w:pPr>
      <w:r w:rsidRPr="00A7234D">
        <w:t xml:space="preserve">The </w:t>
      </w:r>
      <w:r w:rsidRPr="00A7234D">
        <w:rPr>
          <w:b/>
        </w:rPr>
        <w:t>Coalitions for Change Program (CfC)</w:t>
      </w:r>
      <w:r w:rsidRPr="00A7234D">
        <w:t xml:space="preserve"> uses innovative approaches to advocate for transformative policy reforms that strengthen institutions and contribute to inclusive economic growth and social development in the Philippines. The program is a partnership between the Australian Government and The Asia Foundation and supports </w:t>
      </w:r>
      <w:r>
        <w:t xml:space="preserve">private sector </w:t>
      </w:r>
      <w:r w:rsidRPr="00A7234D">
        <w:t xml:space="preserve">reform champions and policymakers to pursue technically difficult and politically challenging reforms. </w:t>
      </w:r>
      <w:r w:rsidR="007B3C60">
        <w:t>The flexible and adaptable approach applied by CFC has helped inform the design</w:t>
      </w:r>
      <w:r w:rsidR="008E55E3">
        <w:t xml:space="preserve"> and approaches of other Philippines aid investments. Given its innovative approach and high quality, the design of CFC’s second phase </w:t>
      </w:r>
      <w:r w:rsidR="00192D95">
        <w:t xml:space="preserve">(CfC 2) </w:t>
      </w:r>
      <w:r w:rsidR="008E55E3">
        <w:t>was awarded DFAT’s 2019 International Development Design award.</w:t>
      </w:r>
      <w:r w:rsidR="00192D95">
        <w:t xml:space="preserve"> With the start of CFC 2 this </w:t>
      </w:r>
      <w:r w:rsidR="008E55E3">
        <w:t>year</w:t>
      </w:r>
      <w:r w:rsidR="007B3C60" w:rsidRPr="00A7234D">
        <w:t xml:space="preserve">, </w:t>
      </w:r>
      <w:r w:rsidRPr="00A7234D">
        <w:t xml:space="preserve">the program successfully </w:t>
      </w:r>
      <w:r>
        <w:t xml:space="preserve">met its milestone for </w:t>
      </w:r>
      <w:r w:rsidR="0007164C">
        <w:t xml:space="preserve">the </w:t>
      </w:r>
      <w:r>
        <w:t>year</w:t>
      </w:r>
      <w:r w:rsidR="007C75A5">
        <w:t xml:space="preserve"> with the adoption of four new laws and policies.</w:t>
      </w:r>
      <w:r>
        <w:t xml:space="preserve"> </w:t>
      </w:r>
      <w:r w:rsidR="007C75A5">
        <w:t>M</w:t>
      </w:r>
      <w:r>
        <w:t>ost important</w:t>
      </w:r>
      <w:r w:rsidR="007C75A5">
        <w:t xml:space="preserve"> was</w:t>
      </w:r>
      <w:r>
        <w:t xml:space="preserve"> the</w:t>
      </w:r>
      <w:r w:rsidRPr="00A7234D">
        <w:t xml:space="preserve"> passage of the Universal Health Care (UHC) </w:t>
      </w:r>
      <w:r>
        <w:t>Act into law in February 2019</w:t>
      </w:r>
      <w:r w:rsidR="00192D95">
        <w:t xml:space="preserve"> which </w:t>
      </w:r>
      <w:r w:rsidRPr="00A7234D">
        <w:t>automatically enrol</w:t>
      </w:r>
      <w:r w:rsidR="00192D95">
        <w:t>s</w:t>
      </w:r>
      <w:r w:rsidRPr="00A7234D">
        <w:t xml:space="preserve"> 100% of the population, </w:t>
      </w:r>
      <w:r w:rsidR="00192D95">
        <w:t xml:space="preserve">or </w:t>
      </w:r>
      <w:r w:rsidRPr="00A7234D">
        <w:t>around 105 million people</w:t>
      </w:r>
      <w:r w:rsidR="00192D95">
        <w:t xml:space="preserve">, </w:t>
      </w:r>
      <w:r w:rsidR="00192D95" w:rsidRPr="00A7234D">
        <w:t>in the national health insurance program</w:t>
      </w:r>
      <w:r w:rsidRPr="00A7234D">
        <w:t xml:space="preserve">. Before UHC was enacted, only 2 out of 3 Filipinos had any form of health insurance based on the 2017 National Demographic and Health Survey. </w:t>
      </w:r>
      <w:r>
        <w:t>CfC</w:t>
      </w:r>
      <w:r w:rsidR="00136054">
        <w:t xml:space="preserve"> 2</w:t>
      </w:r>
      <w:r>
        <w:t xml:space="preserve"> also contributed to the adoption of the implementing rules and regulations for the Philippines Qualification Framework in January 2019</w:t>
      </w:r>
      <w:r w:rsidR="00DC5F62">
        <w:t>;</w:t>
      </w:r>
      <w:r>
        <w:t xml:space="preserve"> the amendment of the Agricultural Free Patent Act</w:t>
      </w:r>
      <w:r w:rsidR="00DC5F62">
        <w:t>,</w:t>
      </w:r>
      <w:r>
        <w:t xml:space="preserve"> which became law also in February 2019</w:t>
      </w:r>
      <w:r w:rsidR="00DC5F62">
        <w:t>;</w:t>
      </w:r>
      <w:r>
        <w:t xml:space="preserve"> and </w:t>
      </w:r>
      <w:r w:rsidR="00534CCE">
        <w:t>the adoption by the Departments of Transportation and Tourism of joint prioritisation criteria for airport and tourism infrastructure.</w:t>
      </w:r>
      <w:r>
        <w:t xml:space="preserve"> </w:t>
      </w:r>
      <w:r w:rsidRPr="00A7234D">
        <w:t xml:space="preserve">The Philippines also </w:t>
      </w:r>
      <w:r w:rsidR="00DC5F62">
        <w:t>continues to</w:t>
      </w:r>
      <w:r w:rsidR="00DC5F62" w:rsidRPr="00A7234D">
        <w:t xml:space="preserve"> </w:t>
      </w:r>
      <w:r w:rsidRPr="00A7234D">
        <w:t xml:space="preserve">reap gains </w:t>
      </w:r>
      <w:r w:rsidR="00DC5F62">
        <w:t>from</w:t>
      </w:r>
      <w:r w:rsidRPr="00A7234D">
        <w:t xml:space="preserve"> CfC Phase 1</w:t>
      </w:r>
      <w:r>
        <w:t>, such as</w:t>
      </w:r>
      <w:r w:rsidRPr="00A7234D">
        <w:t xml:space="preserve"> the reform to reclassify satellite broadband as a value-added service</w:t>
      </w:r>
      <w:r w:rsidR="00DC5F62">
        <w:t>,</w:t>
      </w:r>
      <w:r w:rsidRPr="00A7234D">
        <w:t xml:space="preserve"> </w:t>
      </w:r>
      <w:r>
        <w:t xml:space="preserve">which </w:t>
      </w:r>
      <w:r w:rsidRPr="00A7234D">
        <w:t xml:space="preserve">opened the market for small internet service </w:t>
      </w:r>
      <w:r w:rsidRPr="00A7234D">
        <w:lastRenderedPageBreak/>
        <w:t>providers. This reform resulted in an increase in the number of free Wi-Fi locations that provide internet access to isolated communities from 807 (in August 2017) to 2,708 (in July 2019)</w:t>
      </w:r>
      <w:r w:rsidR="00534CCE">
        <w:t>.</w:t>
      </w:r>
      <w:r w:rsidR="00534CCE">
        <w:rPr>
          <w:rStyle w:val="FootnoteReference"/>
        </w:rPr>
        <w:footnoteReference w:id="4"/>
      </w:r>
      <w:r w:rsidR="001B2AAD">
        <w:t xml:space="preserve"> </w:t>
      </w:r>
      <w:r w:rsidR="00F00851">
        <w:t xml:space="preserve">  </w:t>
      </w:r>
    </w:p>
    <w:p w:rsidR="00A633FD" w:rsidRDefault="00A633FD" w:rsidP="00F20161">
      <w:pPr>
        <w:spacing w:afterLines="60" w:after="144"/>
      </w:pPr>
      <w:r>
        <w:t>T</w:t>
      </w:r>
      <w:r w:rsidRPr="00B31842">
        <w:t>welve local government units (LGUs) are now better prepared and able to manage disaster and climate risk</w:t>
      </w:r>
      <w:r>
        <w:t xml:space="preserve"> </w:t>
      </w:r>
      <w:r w:rsidR="00DC5F62">
        <w:t>due to support from</w:t>
      </w:r>
      <w:r>
        <w:t xml:space="preserve"> </w:t>
      </w:r>
      <w:r w:rsidRPr="00B31842">
        <w:t xml:space="preserve">the </w:t>
      </w:r>
      <w:r w:rsidRPr="00141E72">
        <w:rPr>
          <w:b/>
        </w:rPr>
        <w:t>Resilience and Preparedness toward Inclusive Development Program (RAPID)</w:t>
      </w:r>
      <w:r>
        <w:t>. Implemented from</w:t>
      </w:r>
      <w:r w:rsidRPr="00B31842">
        <w:t xml:space="preserve"> 2014</w:t>
      </w:r>
      <w:r>
        <w:t xml:space="preserve"> to June 2019, the program enabled LGUs to </w:t>
      </w:r>
      <w:r w:rsidRPr="00B31842">
        <w:t>have access to updated flood and storm surge risk information to conduct vulnerability assessments and to determine community risk exposure</w:t>
      </w:r>
      <w:r w:rsidR="00481988">
        <w:t>, differentiated for men, women, girls, boys, elderly, indigenous peoples, and people with disabilities</w:t>
      </w:r>
      <w:r w:rsidRPr="00B31842">
        <w:t xml:space="preserve">. In cooperation with relevant </w:t>
      </w:r>
      <w:r>
        <w:t xml:space="preserve">national </w:t>
      </w:r>
      <w:r w:rsidRPr="00B31842">
        <w:t>Philippine Government agencies</w:t>
      </w:r>
      <w:r>
        <w:t>,</w:t>
      </w:r>
      <w:r w:rsidRPr="00B31842">
        <w:t xml:space="preserve"> </w:t>
      </w:r>
      <w:r>
        <w:t xml:space="preserve">these local governments </w:t>
      </w:r>
      <w:r w:rsidR="00DC5F62">
        <w:t xml:space="preserve">which </w:t>
      </w:r>
      <w:r>
        <w:t>cover 150 barangays</w:t>
      </w:r>
      <w:r w:rsidR="000548AF">
        <w:t xml:space="preserve"> (villages)</w:t>
      </w:r>
      <w:r w:rsidR="00DC5F62">
        <w:t>,</w:t>
      </w:r>
      <w:r w:rsidRPr="00B31842">
        <w:t xml:space="preserve"> </w:t>
      </w:r>
      <w:r>
        <w:t xml:space="preserve">now </w:t>
      </w:r>
      <w:r w:rsidRPr="00B31842">
        <w:t>have risk-sensitive land use and development plans in place</w:t>
      </w:r>
      <w:r>
        <w:t>,</w:t>
      </w:r>
      <w:r w:rsidRPr="00B31842">
        <w:t xml:space="preserve"> as well as community disaster risk reduction and management plans</w:t>
      </w:r>
      <w:r w:rsidR="00EA7EC7">
        <w:t xml:space="preserve">.  These include </w:t>
      </w:r>
      <w:r w:rsidRPr="00B31842">
        <w:t>community-based early warning systems</w:t>
      </w:r>
      <w:r w:rsidR="00481988">
        <w:t>, as well as specially</w:t>
      </w:r>
      <w:r w:rsidR="00EA7EC7">
        <w:t>-</w:t>
      </w:r>
      <w:r w:rsidR="00481988">
        <w:t>designed contingency plans and drills for vulnerable groups such as school children and pregnant women</w:t>
      </w:r>
      <w:r w:rsidRPr="00B31842">
        <w:t>.</w:t>
      </w:r>
      <w:r>
        <w:t xml:space="preserve"> </w:t>
      </w:r>
      <w:r w:rsidRPr="00B31842">
        <w:t>The program also supported the establishment of a multi-purpose evacuation centre.</w:t>
      </w:r>
      <w:r>
        <w:t xml:space="preserve"> Notably, </w:t>
      </w:r>
      <w:r w:rsidRPr="00B31842">
        <w:t>RAPID</w:t>
      </w:r>
      <w:r>
        <w:t xml:space="preserve"> was instrumental </w:t>
      </w:r>
      <w:r w:rsidR="00DC5F62">
        <w:t>in</w:t>
      </w:r>
      <w:r>
        <w:t xml:space="preserve"> boosting </w:t>
      </w:r>
      <w:r w:rsidRPr="00B31842">
        <w:t>the recovery and resilience of local governments and communities affected by Super Typhoon Haiyan in 2013.</w:t>
      </w:r>
      <w:r>
        <w:t xml:space="preserve"> With the completion of RAPID, a new disaster and climate resilience program will be designed and </w:t>
      </w:r>
      <w:r w:rsidR="00DC5F62">
        <w:t>for</w:t>
      </w:r>
      <w:r>
        <w:t xml:space="preserve"> mobilis</w:t>
      </w:r>
      <w:r w:rsidR="00DC5F62">
        <w:t>ation</w:t>
      </w:r>
      <w:r>
        <w:t xml:space="preserve"> in 2019-20.</w:t>
      </w:r>
    </w:p>
    <w:p w:rsidR="00A633FD" w:rsidRDefault="00A633FD" w:rsidP="00F20161">
      <w:pPr>
        <w:spacing w:afterLines="60" w:after="144"/>
      </w:pPr>
      <w:r w:rsidRPr="00A7234D">
        <w:t xml:space="preserve">Building on a previous initiative, the Australian Government launched the </w:t>
      </w:r>
      <w:r w:rsidRPr="00A7234D">
        <w:rPr>
          <w:b/>
        </w:rPr>
        <w:t>SaferKidsPH</w:t>
      </w:r>
      <w:r w:rsidRPr="00A7234D">
        <w:t xml:space="preserve"> program </w:t>
      </w:r>
      <w:r>
        <w:t xml:space="preserve">in October 2018 </w:t>
      </w:r>
      <w:r w:rsidRPr="00A7234D">
        <w:t>to enhance the Philippine child protection system to address online sexual exploitation of children (OSEC). It supports Australia</w:t>
      </w:r>
      <w:r w:rsidR="00CC3A04">
        <w:t>n</w:t>
      </w:r>
      <w:r w:rsidRPr="00A7234D">
        <w:t xml:space="preserve"> and the Philippines' international and domestic policies and programmes on countering all forms of child exploitation, human trafficking and transnational crimes. It will seek to increase public awareness of the risks and impact of OSEC, strengthen investigation, prosecution and adjudication of OSEC cases, and improve service delivery for OSEC prevention and protection of children in target areas (initially Cebu, Cagayan de Oro, and </w:t>
      </w:r>
      <w:r w:rsidR="00136054">
        <w:t xml:space="preserve">the </w:t>
      </w:r>
      <w:r w:rsidRPr="00A7234D">
        <w:t xml:space="preserve">National Capital Region). Through partnerships with the Australian Federal Police, and the consortium of UNICEF, The Asia Foundation, and Save the Children Philippines, the program will pursue strategic collaborations with </w:t>
      </w:r>
      <w:r w:rsidR="00CC3A04">
        <w:t xml:space="preserve">the </w:t>
      </w:r>
      <w:r w:rsidRPr="00A7234D">
        <w:t>Philippine</w:t>
      </w:r>
      <w:r w:rsidR="00CC3A04">
        <w:t>s</w:t>
      </w:r>
      <w:r w:rsidRPr="00A7234D">
        <w:t xml:space="preserve"> Government, and engage civil society, communities and schools, private sector, media, and other like-minded donors to support and be part of innovative and sustainable solutions to OSEC.</w:t>
      </w:r>
    </w:p>
    <w:p w:rsidR="00A633FD" w:rsidRDefault="00A633FD" w:rsidP="00F20161">
      <w:pPr>
        <w:spacing w:afterLines="60" w:after="144"/>
        <w:rPr>
          <w:bCs/>
        </w:rPr>
      </w:pPr>
      <w:r w:rsidRPr="00134094">
        <w:rPr>
          <w:bCs/>
        </w:rPr>
        <w:t xml:space="preserve">The </w:t>
      </w:r>
      <w:r w:rsidRPr="00117D58">
        <w:rPr>
          <w:b/>
          <w:bCs/>
        </w:rPr>
        <w:t>Australia Awards and Alumni Engagement Program (AAAEP)</w:t>
      </w:r>
      <w:r w:rsidRPr="00134094">
        <w:rPr>
          <w:bCs/>
        </w:rPr>
        <w:t xml:space="preserve"> </w:t>
      </w:r>
      <w:r>
        <w:rPr>
          <w:bCs/>
        </w:rPr>
        <w:t xml:space="preserve">is a flexible capacity building program </w:t>
      </w:r>
      <w:r w:rsidRPr="00134094">
        <w:rPr>
          <w:bCs/>
        </w:rPr>
        <w:t xml:space="preserve">to support the achievement of </w:t>
      </w:r>
      <w:r>
        <w:rPr>
          <w:bCs/>
        </w:rPr>
        <w:t xml:space="preserve">Australia’s development and economic diplomacy objectives in the Philippines. For 2018-19, the program awarded 90 scholarships to future Filipino change makers (52% women), delivered targeted </w:t>
      </w:r>
      <w:r w:rsidRPr="00134094">
        <w:rPr>
          <w:bCs/>
        </w:rPr>
        <w:t>short courses</w:t>
      </w:r>
      <w:r>
        <w:rPr>
          <w:bCs/>
        </w:rPr>
        <w:t xml:space="preserve"> for senior government staff (50% women) on Philippine priority issues such as the law of the sea and data analytics.</w:t>
      </w:r>
      <w:r w:rsidRPr="00134094">
        <w:rPr>
          <w:bCs/>
        </w:rPr>
        <w:t xml:space="preserve"> </w:t>
      </w:r>
      <w:r>
        <w:rPr>
          <w:bCs/>
        </w:rPr>
        <w:t>The program facilitated the entry of 280 new Filipino members, most of whom work in key development institutions, into the Australia Global Alumni network.</w:t>
      </w:r>
    </w:p>
    <w:p w:rsidR="002A51CA" w:rsidRDefault="00A633FD" w:rsidP="00F20161">
      <w:pPr>
        <w:spacing w:afterLines="60" w:after="144"/>
        <w:rPr>
          <w:rFonts w:eastAsia="Times New Roman"/>
          <w:color w:val="FF0000"/>
        </w:rPr>
      </w:pPr>
      <w:r w:rsidRPr="00A7234D">
        <w:rPr>
          <w:bCs/>
        </w:rPr>
        <w:t xml:space="preserve">Through the </w:t>
      </w:r>
      <w:r w:rsidRPr="00A7234D">
        <w:rPr>
          <w:b/>
          <w:bCs/>
        </w:rPr>
        <w:t>Philippines Research Initiative (Policy Window Philippines)</w:t>
      </w:r>
      <w:r w:rsidRPr="00A7234D">
        <w:rPr>
          <w:bCs/>
        </w:rPr>
        <w:t>, Australia works in partnership with the International Initiative for Impact Evaluation (3ie) to develop rigorous, mixed-methods impact evaluations to inform, and promote the uptake and communication of evidence-based policy making in the Philippines. Evaluations on-going during this year focused on assessing the effectiveness of the DSWD Sustainable Livelihood Program and the potential for Supreme Court initiatives aimed at reducing court congestion to be scaled up.</w:t>
      </w:r>
    </w:p>
    <w:p w:rsidR="00A633FD" w:rsidRDefault="00A633FD" w:rsidP="002A51CA">
      <w:pPr>
        <w:spacing w:after="120" w:line="280" w:lineRule="exact"/>
        <w:rPr>
          <w:rFonts w:eastAsia="Times New Roman"/>
          <w:color w:val="FF0000"/>
        </w:rPr>
      </w:pPr>
    </w:p>
    <w:p w:rsidR="00A633FD" w:rsidRDefault="00A633FD">
      <w:pPr>
        <w:suppressAutoHyphens w:val="0"/>
        <w:spacing w:before="0" w:after="120" w:line="440" w:lineRule="atLeast"/>
        <w:rPr>
          <w:rFonts w:asciiTheme="majorHAnsi" w:eastAsiaTheme="majorEastAsia" w:hAnsiTheme="majorHAnsi" w:cstheme="majorBidi"/>
          <w:caps/>
          <w:sz w:val="32"/>
          <w:szCs w:val="32"/>
        </w:rPr>
      </w:pPr>
      <w:r>
        <w:rPr>
          <w:rFonts w:asciiTheme="majorHAnsi" w:eastAsiaTheme="majorEastAsia" w:hAnsiTheme="majorHAnsi" w:cstheme="majorBidi"/>
          <w:caps/>
          <w:sz w:val="32"/>
          <w:szCs w:val="32"/>
        </w:rPr>
        <w:br w:type="page"/>
      </w:r>
    </w:p>
    <w:p w:rsidR="00DC204E" w:rsidRPr="00877607" w:rsidRDefault="00DC204E" w:rsidP="00DC204E">
      <w:pPr>
        <w:spacing w:before="100" w:beforeAutospacing="1"/>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lastRenderedPageBreak/>
        <w:t xml:space="preserve">Objective </w:t>
      </w:r>
      <w:r>
        <w:rPr>
          <w:rFonts w:asciiTheme="majorHAnsi" w:eastAsiaTheme="majorEastAsia" w:hAnsiTheme="majorHAnsi" w:cstheme="majorBidi"/>
          <w:caps/>
          <w:sz w:val="32"/>
          <w:szCs w:val="32"/>
        </w:rPr>
        <w:t xml:space="preserve">3: improving conditions for peace </w:t>
      </w:r>
      <w:r w:rsidRPr="00A633FD">
        <w:rPr>
          <w:rFonts w:asciiTheme="majorHAnsi" w:eastAsiaTheme="majorEastAsia" w:hAnsiTheme="majorHAnsi" w:cstheme="majorBidi"/>
          <w:caps/>
          <w:sz w:val="32"/>
          <w:szCs w:val="32"/>
        </w:rPr>
        <w:t>AND STABILITY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DC204E" w:rsidRPr="00695730" w:rsidTr="003E221A">
        <w:tc>
          <w:tcPr>
            <w:tcW w:w="2016" w:type="dxa"/>
          </w:tcPr>
          <w:p w:rsidR="00DC204E" w:rsidRPr="00695730" w:rsidRDefault="00DC204E" w:rsidP="003E221A">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1283D539" wp14:editId="6697A6AC">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DC204E" w:rsidRPr="00695730" w:rsidRDefault="00DC204E" w:rsidP="003E221A">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2E212D0" wp14:editId="15F898D8">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DC204E" w:rsidRPr="00695730" w:rsidRDefault="00DC204E" w:rsidP="003E221A">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7D0C63CB" wp14:editId="5F5D4DF8">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DC204E" w:rsidRPr="00695730" w:rsidRDefault="00DC204E" w:rsidP="003E221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1984FA3D" wp14:editId="1D80B327">
                  <wp:extent cx="612000" cy="61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DC204E" w:rsidRPr="00695730" w:rsidRDefault="00DC204E" w:rsidP="003E221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6D65B376" wp14:editId="71A29CF7">
                  <wp:extent cx="606013" cy="609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7664" cy="631379"/>
                          </a:xfrm>
                          <a:prstGeom prst="rect">
                            <a:avLst/>
                          </a:prstGeom>
                        </pic:spPr>
                      </pic:pic>
                    </a:graphicData>
                  </a:graphic>
                </wp:inline>
              </w:drawing>
            </w:r>
          </w:p>
        </w:tc>
      </w:tr>
    </w:tbl>
    <w:p w:rsidR="00DC204E" w:rsidRPr="00E47C81" w:rsidRDefault="00DC204E" w:rsidP="00DC204E">
      <w:pPr>
        <w:spacing w:before="100" w:after="40"/>
      </w:pPr>
      <w:r>
        <w:t xml:space="preserve">With this Objective, Australia </w:t>
      </w:r>
      <w:r w:rsidRPr="00E47C81">
        <w:t>support</w:t>
      </w:r>
      <w:r>
        <w:t>s</w:t>
      </w:r>
      <w:r w:rsidRPr="00E47C81">
        <w:t xml:space="preserve"> the peace process, transition and long-term stability and development in Muslim Mindanao, including through access to education, as well as providing humanitarian and recovery support to people affected and displaced by conflict and disasters across the Philippines. </w:t>
      </w:r>
      <w:r>
        <w:t>I</w:t>
      </w:r>
      <w:r w:rsidRPr="00E47C81">
        <w:t xml:space="preserve">nvestments align with Australia’s broader security interests in the southern Philippines, working to reduce the threat of violent extremism and support a more stable Mindanao. </w:t>
      </w:r>
    </w:p>
    <w:p w:rsidR="00DC204E" w:rsidRPr="00E47C81" w:rsidRDefault="00DC204E" w:rsidP="00DC204E">
      <w:pPr>
        <w:spacing w:after="40"/>
      </w:pPr>
      <w:r w:rsidRPr="00E47C81">
        <w:t xml:space="preserve">This </w:t>
      </w:r>
      <w:r w:rsidR="00136054">
        <w:t>o</w:t>
      </w:r>
      <w:r w:rsidRPr="00E47C81">
        <w:t xml:space="preserve">bjective is rated Green. While there were delays in some areas, such as the Philippine Government-led reconstruction of Marawi, overall the investments that sit under this </w:t>
      </w:r>
      <w:r w:rsidR="00136054">
        <w:t>o</w:t>
      </w:r>
      <w:r w:rsidRPr="00E47C81">
        <w:t xml:space="preserve">bjective achieved their targeted outcomes. These included support for the passage of the Bangsamoro Organic Law and resolving </w:t>
      </w:r>
      <w:r>
        <w:t xml:space="preserve">16 </w:t>
      </w:r>
      <w:r w:rsidRPr="00E47C81">
        <w:t xml:space="preserve">local conflicts (both through Peacebuilding in Conflict-Affected Mindanao); </w:t>
      </w:r>
      <w:r>
        <w:t xml:space="preserve">the </w:t>
      </w:r>
      <w:r w:rsidRPr="00E47C81">
        <w:t>Bangsamoro Government issu</w:t>
      </w:r>
      <w:r w:rsidR="00CC3A04">
        <w:t>ing</w:t>
      </w:r>
      <w:r w:rsidRPr="00E47C81">
        <w:t xml:space="preserve"> a policy enabling third-party delivery of education services in remote and conflict-affected areas (</w:t>
      </w:r>
      <w:r>
        <w:t xml:space="preserve">through </w:t>
      </w:r>
      <w:r w:rsidRPr="00E47C81">
        <w:t>Educati</w:t>
      </w:r>
      <w:r>
        <w:t>on Pathways to Peace); and assist</w:t>
      </w:r>
      <w:r w:rsidR="00CC3A04">
        <w:t>ing</w:t>
      </w:r>
      <w:r>
        <w:t xml:space="preserve"> </w:t>
      </w:r>
      <w:r w:rsidRPr="00FA238A">
        <w:t xml:space="preserve">163,494 </w:t>
      </w:r>
      <w:r w:rsidRPr="00E47C81">
        <w:t xml:space="preserve">women, men, boys and girls in conflict areas and crisis </w:t>
      </w:r>
      <w:r w:rsidRPr="00FA238A">
        <w:t>situations (through</w:t>
      </w:r>
      <w:r w:rsidRPr="00E47C81">
        <w:t xml:space="preserve"> humanitarian support to those affected by Typhoon Mangkhut, the Marawi conflict, and ongoing instability in Mindanao).</w:t>
      </w:r>
      <w:r>
        <w:t xml:space="preserve"> </w:t>
      </w:r>
    </w:p>
    <w:p w:rsidR="00DC204E" w:rsidRPr="00E47C81" w:rsidRDefault="00DC204E" w:rsidP="00DC204E">
      <w:pPr>
        <w:spacing w:after="40"/>
      </w:pPr>
      <w:r w:rsidRPr="00E47C81">
        <w:t xml:space="preserve">The </w:t>
      </w:r>
      <w:r w:rsidRPr="00E47C81">
        <w:rPr>
          <w:b/>
        </w:rPr>
        <w:t>Peacebuilding in Conflict-Affected Mindanao</w:t>
      </w:r>
      <w:r w:rsidRPr="00E47C81">
        <w:t xml:space="preserve"> investment is supporting the peace process, transition to the BARMM following the plebiscite supporting the Bangsamoro Organic Law and long-term stability and development in Muslim Mindanao. It consists of investments through NGOs as well as multilateral partners. Achievements included the Mindanao Trust Fund providing community development assistance to six </w:t>
      </w:r>
      <w:r>
        <w:t xml:space="preserve">MILF </w:t>
      </w:r>
      <w:r w:rsidRPr="00E47C81">
        <w:t>camps, benefitting 36,000 people. There were</w:t>
      </w:r>
      <w:r>
        <w:t>,</w:t>
      </w:r>
      <w:r w:rsidRPr="00E47C81">
        <w:t xml:space="preserve"> however</w:t>
      </w:r>
      <w:r>
        <w:t>,</w:t>
      </w:r>
      <w:r w:rsidRPr="00E47C81">
        <w:t xml:space="preserve"> serious delays to activities in Marawi, generally out of the control of partners, as Philippine Government-led clearing of ordnance continue</w:t>
      </w:r>
      <w:r w:rsidR="00A04DB8">
        <w:t>d</w:t>
      </w:r>
      <w:r w:rsidRPr="00E47C81">
        <w:t xml:space="preserve"> and rebuilding ha</w:t>
      </w:r>
      <w:r w:rsidR="00A04DB8">
        <w:t>d</w:t>
      </w:r>
      <w:r w:rsidRPr="00E47C81">
        <w:t xml:space="preserve"> not yet started. Our partners were also heavily involved in work to promote the Bangsamoro Organic Law, engaging all levels of government and diverse range of community representatives, including women, youth and indigenous groups, in its debate and establishment. </w:t>
      </w:r>
    </w:p>
    <w:p w:rsidR="00DC204E" w:rsidRDefault="00DC204E" w:rsidP="00DC204E">
      <w:pPr>
        <w:spacing w:after="40"/>
      </w:pPr>
      <w:r>
        <w:t>T</w:t>
      </w:r>
      <w:r w:rsidRPr="00E47C81">
        <w:t xml:space="preserve">he </w:t>
      </w:r>
      <w:r w:rsidRPr="00E47C81">
        <w:rPr>
          <w:b/>
        </w:rPr>
        <w:t>Education Pathways to Peace</w:t>
      </w:r>
      <w:r w:rsidRPr="00E47C81">
        <w:t xml:space="preserve"> </w:t>
      </w:r>
      <w:r w:rsidRPr="00E35503">
        <w:rPr>
          <w:b/>
        </w:rPr>
        <w:t>(Pathways)</w:t>
      </w:r>
      <w:r>
        <w:t xml:space="preserve"> </w:t>
      </w:r>
      <w:r w:rsidRPr="00E47C81">
        <w:t xml:space="preserve">investment </w:t>
      </w:r>
      <w:r w:rsidR="009C27B3">
        <w:t xml:space="preserve">which </w:t>
      </w:r>
      <w:r w:rsidRPr="00E47C81">
        <w:t>began implementation in February 2018</w:t>
      </w:r>
      <w:r w:rsidR="009C27B3">
        <w:t xml:space="preserve"> seeks to contribute actively to durable peace in the region.</w:t>
      </w:r>
      <w:r w:rsidRPr="00E47C81">
        <w:t xml:space="preserve"> </w:t>
      </w:r>
      <w:r w:rsidR="009C27B3">
        <w:t xml:space="preserve">It </w:t>
      </w:r>
      <w:r w:rsidRPr="00E47C81">
        <w:t>works with the new BARMM Ministry of Education to provide flexible support to improve education access and quality, including trialling new approaches to delivering specialised, culturally appropriate education that support peacebuilding. Pathways provided significant support to assist the transition from the former ARMM Department of Education to the new MILF-led Ministry, helping to minimise disruption to service delivery and build trust between the bureaucracy and new political leadership.</w:t>
      </w:r>
      <w:r w:rsidR="00F50452" w:rsidRPr="00F50452">
        <w:t xml:space="preserve"> To support improved access, Pathways assisted the Ministry to validate data on hundreds of villages unserved by public schools, and helped develop a new policy that will enable third party delivery of education services in remote and conflict-affected areas</w:t>
      </w:r>
      <w:r w:rsidR="00011796">
        <w:t>.</w:t>
      </w:r>
      <w:r w:rsidRPr="00E47C81">
        <w:t xml:space="preserve"> It trained over 900 public school teachers and 102 private Islamic school teachers and 450 school heads; and supported the delivery of a peace and inclusion-focused curriculum to </w:t>
      </w:r>
      <w:r>
        <w:t>over 26,000</w:t>
      </w:r>
      <w:r w:rsidRPr="00E47C81">
        <w:t xml:space="preserve"> children. Pathways also established temporary learning centres for 144 children displaced by the Marawi siege and trialled an innovative inclusive education kit to support pre-literacy and manual dexterity with 1,871 children with and without disabilities. </w:t>
      </w:r>
      <w:r w:rsidR="009C27B3">
        <w:t>Implementation</w:t>
      </w:r>
      <w:r w:rsidR="009C27B3" w:rsidRPr="00E47C81">
        <w:t xml:space="preserve"> </w:t>
      </w:r>
      <w:r w:rsidRPr="00E47C81">
        <w:t xml:space="preserve">of the program was initially slow, but this was expected given the disruption of the political transition and general insecurity in Mindanao. </w:t>
      </w:r>
    </w:p>
    <w:p w:rsidR="004B6ADB" w:rsidRDefault="004B6ADB" w:rsidP="00DC204E">
      <w:pPr>
        <w:spacing w:after="40"/>
      </w:pPr>
    </w:p>
    <w:p w:rsidR="004B6ADB" w:rsidRDefault="004B6ADB" w:rsidP="00DC204E">
      <w:pPr>
        <w:spacing w:after="40"/>
      </w:pPr>
    </w:p>
    <w:p w:rsidR="004B6ADB" w:rsidRPr="00E47C81" w:rsidRDefault="004B6ADB" w:rsidP="00DC204E">
      <w:pPr>
        <w:spacing w:after="40"/>
      </w:pPr>
    </w:p>
    <w:p w:rsidR="00B07F47" w:rsidRDefault="00DC204E" w:rsidP="00166989">
      <w:pPr>
        <w:spacing w:before="240"/>
        <w:ind w:right="-143"/>
      </w:pPr>
      <w:r w:rsidRPr="00F0042B">
        <w:lastRenderedPageBreak/>
        <w:t xml:space="preserve">Our </w:t>
      </w:r>
      <w:r w:rsidRPr="00F0042B">
        <w:rPr>
          <w:b/>
        </w:rPr>
        <w:t>Humanitarian Response and Recovery Assistance</w:t>
      </w:r>
      <w:r w:rsidRPr="00F0042B">
        <w:t xml:space="preserve"> investment provided assistance to </w:t>
      </w:r>
      <w:r w:rsidR="00B25916" w:rsidRPr="00F0042B">
        <w:t xml:space="preserve">a total of 163,494 </w:t>
      </w:r>
      <w:r w:rsidRPr="00F0042B">
        <w:t xml:space="preserve">people affected by </w:t>
      </w:r>
      <w:r w:rsidR="00B25916" w:rsidRPr="00F0042B">
        <w:t>Typhoon Mangk</w:t>
      </w:r>
      <w:r w:rsidR="001E7A4D" w:rsidRPr="00F0042B">
        <w:t>h</w:t>
      </w:r>
      <w:r w:rsidR="00B25916" w:rsidRPr="00F0042B">
        <w:t xml:space="preserve">ut in northern Philippines, and by </w:t>
      </w:r>
      <w:r w:rsidRPr="00F0042B">
        <w:t xml:space="preserve">the situation in Mindanao, which continued to be volatile, resulting in forced and protracted displacement on top of that due to the Marawi siege. </w:t>
      </w:r>
      <w:r w:rsidR="00AA3DFC">
        <w:rPr>
          <w:rFonts w:cstheme="minorHAnsi"/>
        </w:rPr>
        <w:t xml:space="preserve">As </w:t>
      </w:r>
      <w:r w:rsidR="00AA3DFC" w:rsidRPr="00B920AB">
        <w:rPr>
          <w:rFonts w:cstheme="minorHAnsi"/>
        </w:rPr>
        <w:t xml:space="preserve">the first </w:t>
      </w:r>
      <w:r w:rsidR="00AA3DFC">
        <w:rPr>
          <w:rFonts w:cstheme="minorHAnsi"/>
        </w:rPr>
        <w:t xml:space="preserve">international partner to </w:t>
      </w:r>
      <w:r w:rsidR="00AA3DFC" w:rsidRPr="00B920AB">
        <w:rPr>
          <w:rFonts w:cstheme="minorHAnsi"/>
        </w:rPr>
        <w:t>respond to Typhoon Mangkhut</w:t>
      </w:r>
      <w:r w:rsidR="00AA3DFC" w:rsidRPr="00F0042B">
        <w:rPr>
          <w:rFonts w:cstheme="minorHAnsi"/>
        </w:rPr>
        <w:t>, we provided humanitarian assistance through pre-positioned humanitarian supplies with the Philippines Red Cross, and supported the</w:t>
      </w:r>
      <w:r w:rsidR="00F00851" w:rsidRPr="00F0042B">
        <w:rPr>
          <w:rFonts w:cstheme="minorHAnsi"/>
        </w:rPr>
        <w:t xml:space="preserve"> </w:t>
      </w:r>
      <w:r w:rsidR="0013672F" w:rsidRPr="00F0042B">
        <w:rPr>
          <w:rFonts w:cstheme="minorHAnsi"/>
        </w:rPr>
        <w:t xml:space="preserve">early </w:t>
      </w:r>
      <w:r w:rsidR="00AA3DFC" w:rsidRPr="00F0042B">
        <w:rPr>
          <w:rFonts w:cstheme="minorHAnsi"/>
        </w:rPr>
        <w:t>recovery of livelihoods of 2,000 most vulnerable farming families with emergency cash and farm inputs through the World Food Programme and the Food and Agriculture Organisation. Meeting women’s specific needs was a particular focus, through provision of dignity kits, maternity packs, and reproductive health kits for 1,193 women affected by the typhoon.</w:t>
      </w:r>
      <w:r w:rsidR="00F0042B">
        <w:rPr>
          <w:rFonts w:cstheme="minorHAnsi"/>
        </w:rPr>
        <w:t xml:space="preserve"> </w:t>
      </w:r>
      <w:r w:rsidR="00B07F47" w:rsidRPr="00F0042B">
        <w:t xml:space="preserve">Australia’s funding support helped the United Nations High Commissioner for Refugees (UNHCR) maintain its operations in the Philippines and this enabled Australian assistance to benefit 61,670 people following the Marawi crisis. Australia funded one-third of UNCHR activities in 2018, including protection </w:t>
      </w:r>
      <w:r w:rsidR="00F0042B" w:rsidRPr="00F0042B">
        <w:t xml:space="preserve">of affected people through </w:t>
      </w:r>
      <w:r w:rsidR="00B07F47" w:rsidRPr="00F0042B">
        <w:t>psycho-social support for displaced families and establishment of local referral networks to respond to gender-based violence</w:t>
      </w:r>
      <w:r w:rsidR="00F0042B" w:rsidRPr="00F0042B">
        <w:t>, as well as addressing concerns of affected women through the prepositioning of sexual and reproductive health relief items.</w:t>
      </w:r>
    </w:p>
    <w:p w:rsidR="00D7242F" w:rsidRPr="005B128B" w:rsidRDefault="00BB6911" w:rsidP="00166989">
      <w:pPr>
        <w:suppressAutoHyphens w:val="0"/>
        <w:spacing w:before="240" w:after="0" w:line="240" w:lineRule="auto"/>
        <w:rPr>
          <w:rFonts w:asciiTheme="majorHAnsi" w:hAnsiTheme="majorHAnsi" w:cstheme="majorHAnsi"/>
          <w:sz w:val="38"/>
          <w:szCs w:val="38"/>
        </w:rPr>
      </w:pPr>
      <w:r>
        <w:rPr>
          <w:rFonts w:asciiTheme="majorHAnsi" w:hAnsiTheme="majorHAnsi" w:cstheme="majorHAnsi"/>
          <w:sz w:val="38"/>
          <w:szCs w:val="38"/>
        </w:rPr>
        <w:t xml:space="preserve">DFAT </w:t>
      </w:r>
      <w:r w:rsidR="00D7242F" w:rsidRPr="005B128B">
        <w:rPr>
          <w:rFonts w:asciiTheme="majorHAnsi" w:hAnsiTheme="majorHAnsi" w:cstheme="majorHAnsi"/>
          <w:sz w:val="38"/>
          <w:szCs w:val="38"/>
        </w:rPr>
        <w:t>REGIONAL</w:t>
      </w:r>
      <w:r>
        <w:rPr>
          <w:rFonts w:asciiTheme="majorHAnsi" w:hAnsiTheme="majorHAnsi" w:cstheme="majorHAnsi"/>
          <w:sz w:val="38"/>
          <w:szCs w:val="38"/>
        </w:rPr>
        <w:t xml:space="preserve"> AND</w:t>
      </w:r>
      <w:r w:rsidR="00D7242F" w:rsidRPr="005B128B">
        <w:rPr>
          <w:rFonts w:asciiTheme="majorHAnsi" w:hAnsiTheme="majorHAnsi" w:cstheme="majorHAnsi"/>
          <w:sz w:val="38"/>
          <w:szCs w:val="38"/>
        </w:rPr>
        <w:t xml:space="preserve"> GLOBAL </w:t>
      </w:r>
      <w:r>
        <w:rPr>
          <w:rFonts w:asciiTheme="majorHAnsi" w:hAnsiTheme="majorHAnsi" w:cstheme="majorHAnsi"/>
          <w:sz w:val="38"/>
          <w:szCs w:val="38"/>
        </w:rPr>
        <w:t xml:space="preserve">INITIATIVES </w:t>
      </w:r>
      <w:r w:rsidR="00D7242F" w:rsidRPr="005B128B">
        <w:rPr>
          <w:rFonts w:asciiTheme="majorHAnsi" w:hAnsiTheme="majorHAnsi" w:cstheme="majorHAnsi"/>
          <w:sz w:val="38"/>
          <w:szCs w:val="38"/>
        </w:rPr>
        <w:t>AND OTHER GOVERNMENT DEPARTMENTS</w:t>
      </w:r>
    </w:p>
    <w:p w:rsidR="00D7242F" w:rsidRDefault="00D7242F" w:rsidP="00A202B8">
      <w:pPr>
        <w:spacing w:before="0" w:afterLines="60" w:after="144"/>
      </w:pPr>
      <w:r w:rsidRPr="000E6253">
        <w:t xml:space="preserve">In addition to bilateral aid investments, Australia </w:t>
      </w:r>
      <w:r w:rsidR="00EE555C">
        <w:t xml:space="preserve">provided development assistance to the Philippines through a number of </w:t>
      </w:r>
      <w:r w:rsidRPr="000E6253">
        <w:t>global and regional initiatives</w:t>
      </w:r>
      <w:r w:rsidR="00EE555C">
        <w:t>.</w:t>
      </w:r>
      <w:r w:rsidRPr="000E6253">
        <w:t xml:space="preserve"> </w:t>
      </w:r>
      <w:r w:rsidR="00EE555C">
        <w:t xml:space="preserve">These included </w:t>
      </w:r>
      <w:r w:rsidRPr="000E6253">
        <w:t xml:space="preserve">the Australian </w:t>
      </w:r>
      <w:r w:rsidR="007A2E31">
        <w:t xml:space="preserve">Non-Government Organisation </w:t>
      </w:r>
      <w:r w:rsidRPr="000E6253">
        <w:t>Cooperation Program</w:t>
      </w:r>
      <w:r w:rsidR="00EE555C" w:rsidRPr="000E6253">
        <w:t xml:space="preserve"> </w:t>
      </w:r>
      <w:r w:rsidRPr="000E6253">
        <w:t>and Australian Aid: Friendship Grants, and through the Australian Centre for International Agricultural Research. Two new regional programs that will include the Philippines – the Southeast Asia Economic Governance and Infrastructure Facility and the ASEAN-Australia Smart Cities Initiative – were also designed during the period.</w:t>
      </w:r>
    </w:p>
    <w:p w:rsidR="00D7242F" w:rsidRDefault="00D7242F" w:rsidP="00A202B8">
      <w:pPr>
        <w:spacing w:after="0"/>
        <w:rPr>
          <w:b/>
          <w:bCs/>
          <w:color w:val="auto"/>
          <w:lang w:val="en-AU"/>
        </w:rPr>
      </w:pPr>
      <w:r>
        <w:rPr>
          <w:b/>
          <w:bCs/>
        </w:rPr>
        <w:t>Australian NGO Cooperation Program (ANCP) and Australian Aid: Friendship Grants (AAFG)</w:t>
      </w:r>
    </w:p>
    <w:p w:rsidR="00A202B8" w:rsidRDefault="00D7242F" w:rsidP="00A202B8">
      <w:pPr>
        <w:spacing w:before="0" w:afterLines="50" w:after="120"/>
        <w:rPr>
          <w:color w:val="44546A"/>
        </w:rPr>
      </w:pPr>
      <w:r>
        <w:rPr>
          <w:color w:val="44546A"/>
        </w:rPr>
        <w:t>In 2018-19, the ANCP invested $3.6 million to support 15 Australian NGOs deliver 25 projects (including 10 regional projects) in the Philippines. The projects focused on Disability, Child Protection, Livelihoods, Education, Eye Health, Food Security, Gender, Climate Change, Microfinance, Human Rights and Water and Sanitation and Hygiene. The program provided much needed support to households to attain food security and create sustainable livelihoods. Hygiene practices of school children were improved and disaster and climate change awareness training was provided to communities in urban centres. Support was provided to the Department of Health to implement its Community Eye Health Program in Mindanao.</w:t>
      </w:r>
    </w:p>
    <w:p w:rsidR="00D7242F" w:rsidRPr="00A202B8" w:rsidRDefault="00D7242F" w:rsidP="00A202B8">
      <w:pPr>
        <w:spacing w:afterLines="50" w:after="120"/>
        <w:rPr>
          <w:color w:val="44546A"/>
        </w:rPr>
      </w:pPr>
      <w:r>
        <w:rPr>
          <w:color w:val="44546A"/>
        </w:rPr>
        <w:t xml:space="preserve">The AAFG is a three-year, $10 million small grants program that aims to engage a diverse group of Australian community organisations (ACOs) in the delivery of Australian development cooperation assistance. The Philippines was one of the countries within the Indo-Pacific region eligible to </w:t>
      </w:r>
      <w:r w:rsidR="00CC3A04">
        <w:rPr>
          <w:color w:val="44546A"/>
        </w:rPr>
        <w:t xml:space="preserve">receive </w:t>
      </w:r>
      <w:r>
        <w:rPr>
          <w:color w:val="44546A"/>
        </w:rPr>
        <w:t xml:space="preserve">ACOs to undertake activities that: build on existing in-country projects that improve the lives of poor and vulnerable people in a sustainable way; use successful and/or innovative approaches to problem-solving that have potential for wider application; and assist and strengthen an overseas community’s capacity or socio-economic situation. </w:t>
      </w:r>
      <w:r w:rsidRPr="0028468E">
        <w:rPr>
          <w:i/>
          <w:color w:val="44546A"/>
        </w:rPr>
        <w:t>Bahay Tuluyan</w:t>
      </w:r>
      <w:r>
        <w:rPr>
          <w:color w:val="44546A"/>
        </w:rPr>
        <w:t xml:space="preserve"> Australia Philippines was awarded a $60,000 grant in December 2018 to provide vulnerable Filipino youth </w:t>
      </w:r>
      <w:r w:rsidR="007A2E31">
        <w:rPr>
          <w:color w:val="44546A"/>
        </w:rPr>
        <w:t xml:space="preserve">in the province of Quezon </w:t>
      </w:r>
      <w:r>
        <w:rPr>
          <w:color w:val="44546A"/>
        </w:rPr>
        <w:t>with valuable skills and income through hands-on training on social enterprise and organic agriculture.</w:t>
      </w:r>
    </w:p>
    <w:p w:rsidR="00D7242F" w:rsidRDefault="00D7242F" w:rsidP="00A202B8">
      <w:pPr>
        <w:spacing w:before="0" w:after="0"/>
        <w:rPr>
          <w:b/>
          <w:bCs/>
          <w:color w:val="44546A"/>
        </w:rPr>
      </w:pPr>
      <w:r>
        <w:rPr>
          <w:b/>
          <w:bCs/>
        </w:rPr>
        <w:t>Australian Centre for International Agricultural Research (ACIAR)</w:t>
      </w:r>
    </w:p>
    <w:p w:rsidR="00A202B8" w:rsidRPr="00E35503" w:rsidRDefault="00D7242F" w:rsidP="00E35503">
      <w:pPr>
        <w:spacing w:beforeLines="120" w:before="288" w:after="0"/>
        <w:contextualSpacing/>
        <w:rPr>
          <w:color w:val="44546A"/>
        </w:rPr>
      </w:pPr>
      <w:r>
        <w:rPr>
          <w:color w:val="44546A"/>
        </w:rPr>
        <w:t>In 2018-19, ACIAR implement</w:t>
      </w:r>
      <w:r w:rsidR="00005BB8">
        <w:rPr>
          <w:color w:val="44546A"/>
        </w:rPr>
        <w:t>ed</w:t>
      </w:r>
      <w:r>
        <w:rPr>
          <w:color w:val="44546A"/>
        </w:rPr>
        <w:t xml:space="preserve"> 18 projects with a total value of $20 million.</w:t>
      </w:r>
      <w:r w:rsidR="00E35503">
        <w:rPr>
          <w:color w:val="44546A"/>
        </w:rPr>
        <w:t xml:space="preserve"> </w:t>
      </w:r>
      <w:r>
        <w:rPr>
          <w:color w:val="44546A"/>
        </w:rPr>
        <w:t xml:space="preserve">Key achievements </w:t>
      </w:r>
      <w:r w:rsidRPr="00E35503">
        <w:rPr>
          <w:rFonts w:cstheme="minorHAnsi"/>
          <w:color w:val="44546A"/>
        </w:rPr>
        <w:t xml:space="preserve">include: </w:t>
      </w:r>
    </w:p>
    <w:p w:rsidR="00A202B8" w:rsidRPr="00E35503" w:rsidRDefault="00A202B8" w:rsidP="00166989">
      <w:pPr>
        <w:pStyle w:val="ListParagraph"/>
        <w:numPr>
          <w:ilvl w:val="0"/>
          <w:numId w:val="17"/>
        </w:numPr>
        <w:spacing w:afterLines="60" w:after="144" w:line="230" w:lineRule="atLeast"/>
        <w:ind w:left="714" w:hanging="357"/>
        <w:contextualSpacing w:val="0"/>
        <w:rPr>
          <w:rFonts w:asciiTheme="minorHAnsi" w:hAnsiTheme="minorHAnsi" w:cstheme="minorHAnsi"/>
          <w:color w:val="44546A"/>
          <w:sz w:val="22"/>
          <w:szCs w:val="22"/>
        </w:rPr>
      </w:pPr>
      <w:r w:rsidRPr="00E35503">
        <w:rPr>
          <w:rFonts w:asciiTheme="minorHAnsi" w:hAnsiTheme="minorHAnsi" w:cstheme="minorHAnsi"/>
          <w:color w:val="44546A"/>
          <w:sz w:val="22"/>
          <w:szCs w:val="22"/>
        </w:rPr>
        <w:t xml:space="preserve">Through a Livelihood Improvement via Facilitated Extension (LIFE) approach, participating farmer groups in pilot </w:t>
      </w:r>
      <w:r w:rsidR="00005BB8">
        <w:rPr>
          <w:rFonts w:asciiTheme="minorHAnsi" w:hAnsiTheme="minorHAnsi" w:cstheme="minorHAnsi"/>
          <w:color w:val="44546A"/>
          <w:sz w:val="22"/>
          <w:szCs w:val="22"/>
        </w:rPr>
        <w:t xml:space="preserve">project </w:t>
      </w:r>
      <w:r w:rsidRPr="00E35503">
        <w:rPr>
          <w:rFonts w:asciiTheme="minorHAnsi" w:hAnsiTheme="minorHAnsi" w:cstheme="minorHAnsi"/>
          <w:color w:val="44546A"/>
          <w:sz w:val="22"/>
          <w:szCs w:val="22"/>
        </w:rPr>
        <w:t xml:space="preserve">sites in western Mindanao </w:t>
      </w:r>
      <w:r w:rsidR="00005BB8">
        <w:rPr>
          <w:rFonts w:asciiTheme="minorHAnsi" w:hAnsiTheme="minorHAnsi" w:cstheme="minorHAnsi"/>
          <w:color w:val="44546A"/>
          <w:sz w:val="22"/>
          <w:szCs w:val="22"/>
        </w:rPr>
        <w:t>saw</w:t>
      </w:r>
      <w:r w:rsidRPr="00E35503">
        <w:rPr>
          <w:rFonts w:asciiTheme="minorHAnsi" w:hAnsiTheme="minorHAnsi" w:cstheme="minorHAnsi"/>
          <w:color w:val="44546A"/>
          <w:sz w:val="22"/>
          <w:szCs w:val="22"/>
        </w:rPr>
        <w:t xml:space="preserve"> significant </w:t>
      </w:r>
      <w:r w:rsidR="00005BB8">
        <w:rPr>
          <w:rFonts w:asciiTheme="minorHAnsi" w:hAnsiTheme="minorHAnsi" w:cstheme="minorHAnsi"/>
          <w:color w:val="44546A"/>
          <w:sz w:val="22"/>
          <w:szCs w:val="22"/>
        </w:rPr>
        <w:t xml:space="preserve">positive </w:t>
      </w:r>
      <w:r w:rsidRPr="00E35503">
        <w:rPr>
          <w:rFonts w:asciiTheme="minorHAnsi" w:hAnsiTheme="minorHAnsi" w:cstheme="minorHAnsi"/>
          <w:color w:val="44546A"/>
          <w:sz w:val="22"/>
          <w:szCs w:val="22"/>
        </w:rPr>
        <w:t xml:space="preserve">change </w:t>
      </w:r>
      <w:r w:rsidR="00005BB8">
        <w:rPr>
          <w:rFonts w:asciiTheme="minorHAnsi" w:hAnsiTheme="minorHAnsi" w:cstheme="minorHAnsi"/>
          <w:color w:val="44546A"/>
          <w:sz w:val="22"/>
          <w:szCs w:val="22"/>
        </w:rPr>
        <w:t>to</w:t>
      </w:r>
      <w:r w:rsidRPr="00E35503">
        <w:rPr>
          <w:rFonts w:asciiTheme="minorHAnsi" w:hAnsiTheme="minorHAnsi" w:cstheme="minorHAnsi"/>
          <w:color w:val="44546A"/>
          <w:sz w:val="22"/>
          <w:szCs w:val="22"/>
        </w:rPr>
        <w:t xml:space="preserve"> their livelihoods. </w:t>
      </w:r>
      <w:r w:rsidR="00005BB8">
        <w:rPr>
          <w:rFonts w:asciiTheme="minorHAnsi" w:hAnsiTheme="minorHAnsi" w:cstheme="minorHAnsi"/>
          <w:color w:val="44546A"/>
          <w:sz w:val="22"/>
          <w:szCs w:val="22"/>
        </w:rPr>
        <w:t>I</w:t>
      </w:r>
      <w:r w:rsidRPr="00E35503">
        <w:rPr>
          <w:rFonts w:asciiTheme="minorHAnsi" w:hAnsiTheme="minorHAnsi" w:cstheme="minorHAnsi"/>
          <w:color w:val="44546A"/>
          <w:sz w:val="22"/>
          <w:szCs w:val="22"/>
        </w:rPr>
        <w:t xml:space="preserve">ncome from farming activities </w:t>
      </w:r>
      <w:r w:rsidR="00005BB8">
        <w:rPr>
          <w:rFonts w:asciiTheme="minorHAnsi" w:hAnsiTheme="minorHAnsi" w:cstheme="minorHAnsi"/>
          <w:color w:val="44546A"/>
          <w:sz w:val="22"/>
          <w:szCs w:val="22"/>
        </w:rPr>
        <w:t>i</w:t>
      </w:r>
      <w:r w:rsidRPr="00E35503">
        <w:rPr>
          <w:rFonts w:asciiTheme="minorHAnsi" w:hAnsiTheme="minorHAnsi" w:cstheme="minorHAnsi"/>
          <w:color w:val="44546A"/>
          <w:sz w:val="22"/>
          <w:szCs w:val="22"/>
        </w:rPr>
        <w:t xml:space="preserve">ncreased by </w:t>
      </w:r>
      <w:r w:rsidR="00005BB8">
        <w:rPr>
          <w:rFonts w:asciiTheme="minorHAnsi" w:hAnsiTheme="minorHAnsi" w:cstheme="minorHAnsi"/>
          <w:color w:val="44546A"/>
          <w:sz w:val="22"/>
          <w:szCs w:val="22"/>
        </w:rPr>
        <w:t xml:space="preserve">an </w:t>
      </w:r>
      <w:r w:rsidRPr="00E35503">
        <w:rPr>
          <w:rFonts w:asciiTheme="minorHAnsi" w:hAnsiTheme="minorHAnsi" w:cstheme="minorHAnsi"/>
          <w:color w:val="44546A"/>
          <w:sz w:val="22"/>
          <w:szCs w:val="22"/>
        </w:rPr>
        <w:t>average of 64</w:t>
      </w:r>
      <w:r w:rsidR="00E35503">
        <w:rPr>
          <w:rFonts w:asciiTheme="minorHAnsi" w:hAnsiTheme="minorHAnsi" w:cstheme="minorHAnsi"/>
          <w:color w:val="44546A"/>
          <w:sz w:val="22"/>
          <w:szCs w:val="22"/>
        </w:rPr>
        <w:t> </w:t>
      </w:r>
      <w:r w:rsidRPr="00E35503">
        <w:rPr>
          <w:rFonts w:asciiTheme="minorHAnsi" w:hAnsiTheme="minorHAnsi" w:cstheme="minorHAnsi"/>
          <w:color w:val="44546A"/>
          <w:sz w:val="22"/>
          <w:szCs w:val="22"/>
        </w:rPr>
        <w:t>per</w:t>
      </w:r>
      <w:r w:rsidR="00E35503">
        <w:rPr>
          <w:rFonts w:asciiTheme="minorHAnsi" w:hAnsiTheme="minorHAnsi" w:cstheme="minorHAnsi"/>
          <w:color w:val="44546A"/>
          <w:sz w:val="22"/>
          <w:szCs w:val="22"/>
        </w:rPr>
        <w:t> </w:t>
      </w:r>
      <w:r w:rsidRPr="00E35503">
        <w:rPr>
          <w:rFonts w:asciiTheme="minorHAnsi" w:hAnsiTheme="minorHAnsi" w:cstheme="minorHAnsi"/>
          <w:color w:val="44546A"/>
          <w:sz w:val="22"/>
          <w:szCs w:val="22"/>
        </w:rPr>
        <w:t>cent and savings r</w:t>
      </w:r>
      <w:r w:rsidR="00005BB8">
        <w:rPr>
          <w:rFonts w:asciiTheme="minorHAnsi" w:hAnsiTheme="minorHAnsi" w:cstheme="minorHAnsi"/>
          <w:color w:val="44546A"/>
          <w:sz w:val="22"/>
          <w:szCs w:val="22"/>
        </w:rPr>
        <w:t>o</w:t>
      </w:r>
      <w:r w:rsidRPr="00E35503">
        <w:rPr>
          <w:rFonts w:asciiTheme="minorHAnsi" w:hAnsiTheme="minorHAnsi" w:cstheme="minorHAnsi"/>
          <w:color w:val="44546A"/>
          <w:sz w:val="22"/>
          <w:szCs w:val="22"/>
        </w:rPr>
        <w:t>se by 108 per</w:t>
      </w:r>
      <w:r w:rsidR="00E35503">
        <w:rPr>
          <w:rFonts w:asciiTheme="minorHAnsi" w:hAnsiTheme="minorHAnsi" w:cstheme="minorHAnsi"/>
          <w:color w:val="44546A"/>
          <w:sz w:val="22"/>
          <w:szCs w:val="22"/>
        </w:rPr>
        <w:t xml:space="preserve"> </w:t>
      </w:r>
      <w:r w:rsidRPr="00E35503">
        <w:rPr>
          <w:rFonts w:asciiTheme="minorHAnsi" w:hAnsiTheme="minorHAnsi" w:cstheme="minorHAnsi"/>
          <w:color w:val="44546A"/>
          <w:sz w:val="22"/>
          <w:szCs w:val="22"/>
        </w:rPr>
        <w:t xml:space="preserve">cent. </w:t>
      </w:r>
      <w:r w:rsidR="00005BB8">
        <w:rPr>
          <w:rFonts w:asciiTheme="minorHAnsi" w:hAnsiTheme="minorHAnsi" w:cstheme="minorHAnsi"/>
          <w:color w:val="44546A"/>
          <w:sz w:val="22"/>
          <w:szCs w:val="22"/>
        </w:rPr>
        <w:t xml:space="preserve">Additionally, the </w:t>
      </w:r>
      <w:r w:rsidRPr="00E35503">
        <w:rPr>
          <w:rFonts w:asciiTheme="minorHAnsi" w:hAnsiTheme="minorHAnsi" w:cstheme="minorHAnsi"/>
          <w:color w:val="44546A"/>
          <w:sz w:val="22"/>
          <w:szCs w:val="22"/>
        </w:rPr>
        <w:t>cost</w:t>
      </w:r>
      <w:r w:rsidR="00005BB8">
        <w:rPr>
          <w:rFonts w:asciiTheme="minorHAnsi" w:hAnsiTheme="minorHAnsi" w:cstheme="minorHAnsi"/>
          <w:color w:val="44546A"/>
          <w:sz w:val="22"/>
          <w:szCs w:val="22"/>
        </w:rPr>
        <w:t>s</w:t>
      </w:r>
      <w:r w:rsidRPr="00E35503">
        <w:rPr>
          <w:rFonts w:asciiTheme="minorHAnsi" w:hAnsiTheme="minorHAnsi" w:cstheme="minorHAnsi"/>
          <w:color w:val="44546A"/>
          <w:sz w:val="22"/>
          <w:szCs w:val="22"/>
        </w:rPr>
        <w:t xml:space="preserve"> of agricultural input</w:t>
      </w:r>
      <w:r w:rsidR="00005BB8">
        <w:rPr>
          <w:rFonts w:asciiTheme="minorHAnsi" w:hAnsiTheme="minorHAnsi" w:cstheme="minorHAnsi"/>
          <w:color w:val="44546A"/>
          <w:sz w:val="22"/>
          <w:szCs w:val="22"/>
        </w:rPr>
        <w:t>s</w:t>
      </w:r>
      <w:r w:rsidRPr="00E35503">
        <w:rPr>
          <w:rFonts w:asciiTheme="minorHAnsi" w:hAnsiTheme="minorHAnsi" w:cstheme="minorHAnsi"/>
          <w:color w:val="44546A"/>
          <w:sz w:val="22"/>
          <w:szCs w:val="22"/>
        </w:rPr>
        <w:t xml:space="preserve"> and labour decreased</w:t>
      </w:r>
      <w:r w:rsidR="00005BB8">
        <w:rPr>
          <w:rFonts w:asciiTheme="minorHAnsi" w:hAnsiTheme="minorHAnsi" w:cstheme="minorHAnsi"/>
          <w:color w:val="44546A"/>
          <w:sz w:val="22"/>
          <w:szCs w:val="22"/>
        </w:rPr>
        <w:t xml:space="preserve"> after the introduction of organic vegetable production</w:t>
      </w:r>
      <w:r w:rsidRPr="00E35503">
        <w:rPr>
          <w:rFonts w:asciiTheme="minorHAnsi" w:hAnsiTheme="minorHAnsi" w:cstheme="minorHAnsi"/>
          <w:color w:val="44546A"/>
          <w:sz w:val="22"/>
          <w:szCs w:val="22"/>
        </w:rPr>
        <w:t xml:space="preserve">. </w:t>
      </w:r>
      <w:r w:rsidR="00005BB8">
        <w:rPr>
          <w:rFonts w:asciiTheme="minorHAnsi" w:hAnsiTheme="minorHAnsi" w:cstheme="minorHAnsi"/>
          <w:color w:val="44546A"/>
          <w:sz w:val="22"/>
          <w:szCs w:val="22"/>
        </w:rPr>
        <w:t>Participating f</w:t>
      </w:r>
      <w:r w:rsidRPr="00E35503">
        <w:rPr>
          <w:rFonts w:asciiTheme="minorHAnsi" w:hAnsiTheme="minorHAnsi" w:cstheme="minorHAnsi"/>
          <w:color w:val="44546A"/>
          <w:sz w:val="22"/>
          <w:szCs w:val="22"/>
        </w:rPr>
        <w:t xml:space="preserve">armers are also </w:t>
      </w:r>
      <w:r w:rsidR="00005BB8">
        <w:rPr>
          <w:rFonts w:asciiTheme="minorHAnsi" w:hAnsiTheme="minorHAnsi" w:cstheme="minorHAnsi"/>
          <w:color w:val="44546A"/>
          <w:sz w:val="22"/>
          <w:szCs w:val="22"/>
        </w:rPr>
        <w:t xml:space="preserve">reportedly </w:t>
      </w:r>
      <w:r w:rsidRPr="00E35503">
        <w:rPr>
          <w:rFonts w:asciiTheme="minorHAnsi" w:hAnsiTheme="minorHAnsi" w:cstheme="minorHAnsi"/>
          <w:color w:val="44546A"/>
          <w:sz w:val="22"/>
          <w:szCs w:val="22"/>
        </w:rPr>
        <w:t xml:space="preserve">more confident in exploring new ventures and diversifying their income-generating activities. </w:t>
      </w:r>
    </w:p>
    <w:p w:rsidR="00A202B8" w:rsidRPr="00E35503" w:rsidRDefault="00A202B8" w:rsidP="000332D7">
      <w:pPr>
        <w:pStyle w:val="ListParagraph"/>
        <w:numPr>
          <w:ilvl w:val="0"/>
          <w:numId w:val="16"/>
        </w:numPr>
        <w:spacing w:before="120" w:afterLines="60" w:after="144" w:line="230" w:lineRule="atLeast"/>
        <w:contextualSpacing w:val="0"/>
        <w:rPr>
          <w:rFonts w:asciiTheme="minorHAnsi" w:hAnsiTheme="minorHAnsi" w:cstheme="minorHAnsi"/>
          <w:color w:val="44546A"/>
          <w:sz w:val="22"/>
          <w:szCs w:val="22"/>
        </w:rPr>
      </w:pPr>
      <w:r w:rsidRPr="00E35503">
        <w:rPr>
          <w:rFonts w:asciiTheme="minorHAnsi" w:hAnsiTheme="minorHAnsi" w:cstheme="minorHAnsi"/>
          <w:color w:val="44546A"/>
          <w:sz w:val="22"/>
          <w:szCs w:val="22"/>
        </w:rPr>
        <w:lastRenderedPageBreak/>
        <w:t>In 14 barangays</w:t>
      </w:r>
      <w:r w:rsidR="000548AF">
        <w:rPr>
          <w:rFonts w:asciiTheme="minorHAnsi" w:hAnsiTheme="minorHAnsi" w:cstheme="minorHAnsi"/>
          <w:color w:val="44546A"/>
          <w:sz w:val="22"/>
          <w:szCs w:val="22"/>
        </w:rPr>
        <w:t xml:space="preserve"> </w:t>
      </w:r>
      <w:r w:rsidRPr="00E35503">
        <w:rPr>
          <w:rFonts w:asciiTheme="minorHAnsi" w:hAnsiTheme="minorHAnsi" w:cstheme="minorHAnsi"/>
          <w:color w:val="44546A"/>
          <w:sz w:val="22"/>
          <w:szCs w:val="22"/>
        </w:rPr>
        <w:t>in Pampanga</w:t>
      </w:r>
      <w:r w:rsidR="00005BB8">
        <w:rPr>
          <w:rFonts w:asciiTheme="minorHAnsi" w:hAnsiTheme="minorHAnsi" w:cstheme="minorHAnsi"/>
          <w:color w:val="44546A"/>
          <w:sz w:val="22"/>
          <w:szCs w:val="22"/>
        </w:rPr>
        <w:t xml:space="preserve"> province</w:t>
      </w:r>
      <w:r w:rsidRPr="00E35503">
        <w:rPr>
          <w:rFonts w:asciiTheme="minorHAnsi" w:hAnsiTheme="minorHAnsi" w:cstheme="minorHAnsi"/>
          <w:color w:val="44546A"/>
          <w:sz w:val="22"/>
          <w:szCs w:val="22"/>
        </w:rPr>
        <w:t xml:space="preserve">, small-holder hog raisers </w:t>
      </w:r>
      <w:r w:rsidR="00005BB8">
        <w:rPr>
          <w:rFonts w:asciiTheme="minorHAnsi" w:hAnsiTheme="minorHAnsi" w:cstheme="minorHAnsi"/>
          <w:color w:val="44546A"/>
          <w:sz w:val="22"/>
          <w:szCs w:val="22"/>
        </w:rPr>
        <w:t>were</w:t>
      </w:r>
      <w:r w:rsidRPr="00E35503">
        <w:rPr>
          <w:rFonts w:asciiTheme="minorHAnsi" w:hAnsiTheme="minorHAnsi" w:cstheme="minorHAnsi"/>
          <w:color w:val="44546A"/>
          <w:sz w:val="22"/>
          <w:szCs w:val="22"/>
        </w:rPr>
        <w:t xml:space="preserve"> organised </w:t>
      </w:r>
      <w:r w:rsidR="00005BB8">
        <w:rPr>
          <w:rFonts w:asciiTheme="minorHAnsi" w:hAnsiTheme="minorHAnsi" w:cstheme="minorHAnsi"/>
          <w:color w:val="44546A"/>
          <w:sz w:val="22"/>
          <w:szCs w:val="22"/>
        </w:rPr>
        <w:t>into</w:t>
      </w:r>
      <w:r w:rsidRPr="00E35503">
        <w:rPr>
          <w:rFonts w:asciiTheme="minorHAnsi" w:hAnsiTheme="minorHAnsi" w:cstheme="minorHAnsi"/>
          <w:color w:val="44546A"/>
          <w:sz w:val="22"/>
          <w:szCs w:val="22"/>
        </w:rPr>
        <w:t xml:space="preserve"> a farmer</w:t>
      </w:r>
      <w:r w:rsidR="00005BB8">
        <w:rPr>
          <w:rFonts w:asciiTheme="minorHAnsi" w:hAnsiTheme="minorHAnsi" w:cstheme="minorHAnsi"/>
          <w:color w:val="44546A"/>
          <w:sz w:val="22"/>
          <w:szCs w:val="22"/>
        </w:rPr>
        <w:t>s</w:t>
      </w:r>
      <w:r w:rsidRPr="00E35503">
        <w:rPr>
          <w:rFonts w:asciiTheme="minorHAnsi" w:hAnsiTheme="minorHAnsi" w:cstheme="minorHAnsi"/>
          <w:color w:val="44546A"/>
          <w:sz w:val="22"/>
          <w:szCs w:val="22"/>
        </w:rPr>
        <w:t xml:space="preserve"> group</w:t>
      </w:r>
      <w:r w:rsidR="00005BB8">
        <w:rPr>
          <w:rFonts w:asciiTheme="minorHAnsi" w:hAnsiTheme="minorHAnsi" w:cstheme="minorHAnsi"/>
          <w:color w:val="44546A"/>
          <w:sz w:val="22"/>
          <w:szCs w:val="22"/>
        </w:rPr>
        <w:t>, improving</w:t>
      </w:r>
      <w:r w:rsidRPr="00E35503">
        <w:rPr>
          <w:rFonts w:asciiTheme="minorHAnsi" w:hAnsiTheme="minorHAnsi" w:cstheme="minorHAnsi"/>
          <w:color w:val="44546A"/>
          <w:sz w:val="22"/>
          <w:szCs w:val="22"/>
        </w:rPr>
        <w:t xml:space="preserve"> access to technical advice and services, </w:t>
      </w:r>
      <w:r w:rsidR="00005BB8">
        <w:rPr>
          <w:rFonts w:asciiTheme="minorHAnsi" w:hAnsiTheme="minorHAnsi" w:cstheme="minorHAnsi"/>
          <w:color w:val="44546A"/>
          <w:sz w:val="22"/>
          <w:szCs w:val="22"/>
        </w:rPr>
        <w:t>and improving their knowledge</w:t>
      </w:r>
      <w:r w:rsidRPr="00E35503">
        <w:rPr>
          <w:rFonts w:asciiTheme="minorHAnsi" w:hAnsiTheme="minorHAnsi" w:cstheme="minorHAnsi"/>
          <w:color w:val="44546A"/>
          <w:sz w:val="22"/>
          <w:szCs w:val="22"/>
        </w:rPr>
        <w:t xml:space="preserve"> </w:t>
      </w:r>
      <w:r w:rsidR="00005BB8">
        <w:rPr>
          <w:rFonts w:asciiTheme="minorHAnsi" w:hAnsiTheme="minorHAnsi" w:cstheme="minorHAnsi"/>
          <w:color w:val="44546A"/>
          <w:sz w:val="22"/>
          <w:szCs w:val="22"/>
        </w:rPr>
        <w:t xml:space="preserve">and ability </w:t>
      </w:r>
      <w:r w:rsidRPr="00E35503">
        <w:rPr>
          <w:rFonts w:asciiTheme="minorHAnsi" w:hAnsiTheme="minorHAnsi" w:cstheme="minorHAnsi"/>
          <w:color w:val="44546A"/>
          <w:sz w:val="22"/>
          <w:szCs w:val="22"/>
        </w:rPr>
        <w:t xml:space="preserve">to negotiate prices for produce and inputs. Environment and economic </w:t>
      </w:r>
      <w:r w:rsidR="00005BB8">
        <w:rPr>
          <w:rFonts w:asciiTheme="minorHAnsi" w:hAnsiTheme="minorHAnsi" w:cstheme="minorHAnsi"/>
          <w:color w:val="44546A"/>
          <w:sz w:val="22"/>
          <w:szCs w:val="22"/>
        </w:rPr>
        <w:t>b</w:t>
      </w:r>
      <w:r w:rsidRPr="00E35503">
        <w:rPr>
          <w:rFonts w:asciiTheme="minorHAnsi" w:hAnsiTheme="minorHAnsi" w:cstheme="minorHAnsi"/>
          <w:color w:val="44546A"/>
          <w:sz w:val="22"/>
          <w:szCs w:val="22"/>
        </w:rPr>
        <w:t>enefits have been reported among farmers who received biogas units (methane gas harvester and increases biodegradation of waste), and rainwater harvester</w:t>
      </w:r>
      <w:r w:rsidR="00005BB8">
        <w:rPr>
          <w:rFonts w:asciiTheme="minorHAnsi" w:hAnsiTheme="minorHAnsi" w:cstheme="minorHAnsi"/>
          <w:color w:val="44546A"/>
          <w:sz w:val="22"/>
          <w:szCs w:val="22"/>
        </w:rPr>
        <w:t>s</w:t>
      </w:r>
      <w:r w:rsidRPr="00E35503">
        <w:rPr>
          <w:rFonts w:asciiTheme="minorHAnsi" w:hAnsiTheme="minorHAnsi" w:cstheme="minorHAnsi"/>
          <w:color w:val="44546A"/>
          <w:sz w:val="22"/>
          <w:szCs w:val="22"/>
        </w:rPr>
        <w:t>. The</w:t>
      </w:r>
      <w:r w:rsidR="00005BB8">
        <w:rPr>
          <w:rFonts w:asciiTheme="minorHAnsi" w:hAnsiTheme="minorHAnsi" w:cstheme="minorHAnsi"/>
          <w:color w:val="44546A"/>
          <w:sz w:val="22"/>
          <w:szCs w:val="22"/>
        </w:rPr>
        <w:t xml:space="preserve"> farmers</w:t>
      </w:r>
      <w:r w:rsidRPr="00E35503">
        <w:rPr>
          <w:rFonts w:asciiTheme="minorHAnsi" w:hAnsiTheme="minorHAnsi" w:cstheme="minorHAnsi"/>
          <w:color w:val="44546A"/>
          <w:sz w:val="22"/>
          <w:szCs w:val="22"/>
        </w:rPr>
        <w:t xml:space="preserve"> have </w:t>
      </w:r>
      <w:r w:rsidR="00005BB8">
        <w:rPr>
          <w:rFonts w:asciiTheme="minorHAnsi" w:hAnsiTheme="minorHAnsi" w:cstheme="minorHAnsi"/>
          <w:color w:val="44546A"/>
          <w:sz w:val="22"/>
          <w:szCs w:val="22"/>
        </w:rPr>
        <w:t xml:space="preserve">saved on the costs of </w:t>
      </w:r>
      <w:r w:rsidRPr="00E35503">
        <w:rPr>
          <w:rFonts w:asciiTheme="minorHAnsi" w:hAnsiTheme="minorHAnsi" w:cstheme="minorHAnsi"/>
          <w:color w:val="44546A"/>
          <w:sz w:val="22"/>
          <w:szCs w:val="22"/>
        </w:rPr>
        <w:t xml:space="preserve">cooking gas and electricity from </w:t>
      </w:r>
      <w:r w:rsidR="00005BB8">
        <w:rPr>
          <w:rFonts w:asciiTheme="minorHAnsi" w:hAnsiTheme="minorHAnsi" w:cstheme="minorHAnsi"/>
          <w:color w:val="44546A"/>
          <w:sz w:val="22"/>
          <w:szCs w:val="22"/>
        </w:rPr>
        <w:t xml:space="preserve">methane </w:t>
      </w:r>
      <w:r w:rsidRPr="00E35503">
        <w:rPr>
          <w:rFonts w:asciiTheme="minorHAnsi" w:hAnsiTheme="minorHAnsi" w:cstheme="minorHAnsi"/>
          <w:color w:val="44546A"/>
          <w:sz w:val="22"/>
          <w:szCs w:val="22"/>
        </w:rPr>
        <w:t>gas</w:t>
      </w:r>
      <w:r w:rsidR="00E35503">
        <w:rPr>
          <w:rFonts w:asciiTheme="minorHAnsi" w:hAnsiTheme="minorHAnsi" w:cstheme="minorHAnsi"/>
          <w:color w:val="44546A"/>
          <w:sz w:val="22"/>
          <w:szCs w:val="22"/>
        </w:rPr>
        <w:t xml:space="preserve"> </w:t>
      </w:r>
      <w:r w:rsidRPr="00E35503">
        <w:rPr>
          <w:rFonts w:asciiTheme="minorHAnsi" w:hAnsiTheme="minorHAnsi" w:cstheme="minorHAnsi"/>
          <w:color w:val="44546A"/>
          <w:sz w:val="22"/>
          <w:szCs w:val="22"/>
        </w:rPr>
        <w:t>lamp</w:t>
      </w:r>
      <w:r w:rsidR="00005BB8">
        <w:rPr>
          <w:rFonts w:asciiTheme="minorHAnsi" w:hAnsiTheme="minorHAnsi" w:cstheme="minorHAnsi"/>
          <w:color w:val="44546A"/>
          <w:sz w:val="22"/>
          <w:szCs w:val="22"/>
        </w:rPr>
        <w:t>s</w:t>
      </w:r>
      <w:r w:rsidRPr="00E35503">
        <w:rPr>
          <w:rFonts w:asciiTheme="minorHAnsi" w:hAnsiTheme="minorHAnsi" w:cstheme="minorHAnsi"/>
          <w:color w:val="44546A"/>
          <w:sz w:val="22"/>
          <w:szCs w:val="22"/>
        </w:rPr>
        <w:t xml:space="preserve"> </w:t>
      </w:r>
      <w:r w:rsidR="00005BB8">
        <w:rPr>
          <w:rFonts w:asciiTheme="minorHAnsi" w:hAnsiTheme="minorHAnsi" w:cstheme="minorHAnsi"/>
          <w:color w:val="44546A"/>
          <w:sz w:val="22"/>
          <w:szCs w:val="22"/>
        </w:rPr>
        <w:t xml:space="preserve">(a </w:t>
      </w:r>
      <w:r w:rsidRPr="00E35503">
        <w:rPr>
          <w:rFonts w:asciiTheme="minorHAnsi" w:hAnsiTheme="minorHAnsi" w:cstheme="minorHAnsi"/>
          <w:color w:val="44546A"/>
          <w:sz w:val="22"/>
          <w:szCs w:val="22"/>
        </w:rPr>
        <w:t>source of light at night</w:t>
      </w:r>
      <w:r w:rsidR="00005BB8">
        <w:rPr>
          <w:rFonts w:asciiTheme="minorHAnsi" w:hAnsiTheme="minorHAnsi" w:cstheme="minorHAnsi"/>
          <w:color w:val="44546A"/>
          <w:sz w:val="22"/>
          <w:szCs w:val="22"/>
        </w:rPr>
        <w:t>)</w:t>
      </w:r>
      <w:r w:rsidRPr="00E35503">
        <w:rPr>
          <w:rFonts w:asciiTheme="minorHAnsi" w:hAnsiTheme="minorHAnsi" w:cstheme="minorHAnsi"/>
          <w:color w:val="44546A"/>
          <w:sz w:val="22"/>
          <w:szCs w:val="22"/>
        </w:rPr>
        <w:t>, as well as reduced bio</w:t>
      </w:r>
      <w:r w:rsidR="00E35503">
        <w:rPr>
          <w:rFonts w:asciiTheme="minorHAnsi" w:hAnsiTheme="minorHAnsi" w:cstheme="minorHAnsi"/>
          <w:color w:val="44546A"/>
          <w:sz w:val="22"/>
          <w:szCs w:val="22"/>
        </w:rPr>
        <w:t>-</w:t>
      </w:r>
      <w:r w:rsidRPr="00E35503">
        <w:rPr>
          <w:rFonts w:asciiTheme="minorHAnsi" w:hAnsiTheme="minorHAnsi" w:cstheme="minorHAnsi"/>
          <w:color w:val="44546A"/>
          <w:sz w:val="22"/>
          <w:szCs w:val="22"/>
        </w:rPr>
        <w:t xml:space="preserve">waste from their farms. </w:t>
      </w:r>
    </w:p>
    <w:p w:rsidR="00D7242F" w:rsidRDefault="00005BB8" w:rsidP="000332D7">
      <w:pPr>
        <w:pStyle w:val="ListParagraph"/>
        <w:numPr>
          <w:ilvl w:val="0"/>
          <w:numId w:val="16"/>
        </w:numPr>
        <w:spacing w:before="120" w:afterLines="60" w:after="144" w:line="230" w:lineRule="atLeast"/>
        <w:contextualSpacing w:val="0"/>
        <w:rPr>
          <w:rFonts w:asciiTheme="minorHAnsi" w:hAnsiTheme="minorHAnsi" w:cstheme="minorHAnsi"/>
          <w:color w:val="44546A"/>
          <w:sz w:val="22"/>
          <w:szCs w:val="22"/>
        </w:rPr>
      </w:pPr>
      <w:r>
        <w:rPr>
          <w:rFonts w:asciiTheme="minorHAnsi" w:hAnsiTheme="minorHAnsi" w:cstheme="minorHAnsi"/>
          <w:color w:val="44546A"/>
          <w:sz w:val="22"/>
          <w:szCs w:val="22"/>
        </w:rPr>
        <w:t>S</w:t>
      </w:r>
      <w:r w:rsidR="00A202B8" w:rsidRPr="00E35503">
        <w:rPr>
          <w:rFonts w:asciiTheme="minorHAnsi" w:hAnsiTheme="minorHAnsi" w:cstheme="minorHAnsi"/>
          <w:color w:val="44546A"/>
          <w:sz w:val="22"/>
          <w:szCs w:val="22"/>
        </w:rPr>
        <w:t xml:space="preserve">mall-holder farmers in Leyte </w:t>
      </w:r>
      <w:r>
        <w:rPr>
          <w:rFonts w:asciiTheme="minorHAnsi" w:hAnsiTheme="minorHAnsi" w:cstheme="minorHAnsi"/>
          <w:color w:val="44546A"/>
          <w:sz w:val="22"/>
          <w:szCs w:val="22"/>
        </w:rPr>
        <w:t xml:space="preserve">province </w:t>
      </w:r>
      <w:r w:rsidR="00A202B8" w:rsidRPr="00E35503">
        <w:rPr>
          <w:rFonts w:asciiTheme="minorHAnsi" w:hAnsiTheme="minorHAnsi" w:cstheme="minorHAnsi"/>
          <w:color w:val="44546A"/>
          <w:sz w:val="22"/>
          <w:szCs w:val="22"/>
        </w:rPr>
        <w:t>adopted new agricultural and postharvest practice</w:t>
      </w:r>
      <w:r>
        <w:rPr>
          <w:rFonts w:asciiTheme="minorHAnsi" w:hAnsiTheme="minorHAnsi" w:cstheme="minorHAnsi"/>
          <w:color w:val="44546A"/>
          <w:sz w:val="22"/>
          <w:szCs w:val="22"/>
        </w:rPr>
        <w:t>s, t</w:t>
      </w:r>
      <w:r w:rsidRPr="00E35503">
        <w:rPr>
          <w:rFonts w:asciiTheme="minorHAnsi" w:hAnsiTheme="minorHAnsi" w:cstheme="minorHAnsi"/>
          <w:color w:val="44546A"/>
          <w:sz w:val="22"/>
          <w:szCs w:val="22"/>
        </w:rPr>
        <w:t xml:space="preserve">hrough collective vegetable production, </w:t>
      </w:r>
      <w:r w:rsidR="00A202B8" w:rsidRPr="00E35503">
        <w:rPr>
          <w:rFonts w:asciiTheme="minorHAnsi" w:hAnsiTheme="minorHAnsi" w:cstheme="minorHAnsi"/>
          <w:color w:val="44546A"/>
          <w:sz w:val="22"/>
          <w:szCs w:val="22"/>
        </w:rPr>
        <w:t xml:space="preserve">and enhanced their knowledge and understanding </w:t>
      </w:r>
      <w:r w:rsidR="00532D30">
        <w:rPr>
          <w:rFonts w:asciiTheme="minorHAnsi" w:hAnsiTheme="minorHAnsi" w:cstheme="minorHAnsi"/>
          <w:color w:val="44546A"/>
          <w:sz w:val="22"/>
          <w:szCs w:val="22"/>
        </w:rPr>
        <w:t xml:space="preserve">of </w:t>
      </w:r>
      <w:r w:rsidR="00A202B8" w:rsidRPr="00E35503">
        <w:rPr>
          <w:rFonts w:asciiTheme="minorHAnsi" w:hAnsiTheme="minorHAnsi" w:cstheme="minorHAnsi"/>
          <w:color w:val="44546A"/>
          <w:sz w:val="22"/>
          <w:szCs w:val="22"/>
        </w:rPr>
        <w:t xml:space="preserve">value chains. </w:t>
      </w:r>
      <w:r>
        <w:rPr>
          <w:rFonts w:asciiTheme="minorHAnsi" w:hAnsiTheme="minorHAnsi" w:cstheme="minorHAnsi"/>
          <w:color w:val="44546A"/>
          <w:sz w:val="22"/>
          <w:szCs w:val="22"/>
        </w:rPr>
        <w:t>These f</w:t>
      </w:r>
      <w:r w:rsidR="00A202B8" w:rsidRPr="00E35503">
        <w:rPr>
          <w:rFonts w:asciiTheme="minorHAnsi" w:hAnsiTheme="minorHAnsi" w:cstheme="minorHAnsi"/>
          <w:color w:val="44546A"/>
          <w:sz w:val="22"/>
          <w:szCs w:val="22"/>
        </w:rPr>
        <w:t xml:space="preserve">armers </w:t>
      </w:r>
      <w:r>
        <w:rPr>
          <w:rFonts w:asciiTheme="minorHAnsi" w:hAnsiTheme="minorHAnsi" w:cstheme="minorHAnsi"/>
          <w:color w:val="44546A"/>
          <w:sz w:val="22"/>
          <w:szCs w:val="22"/>
        </w:rPr>
        <w:t xml:space="preserve">now </w:t>
      </w:r>
      <w:r w:rsidR="00A202B8" w:rsidRPr="00E35503">
        <w:rPr>
          <w:rFonts w:asciiTheme="minorHAnsi" w:hAnsiTheme="minorHAnsi" w:cstheme="minorHAnsi"/>
          <w:color w:val="44546A"/>
          <w:sz w:val="22"/>
          <w:szCs w:val="22"/>
        </w:rPr>
        <w:t xml:space="preserve">have more confidence </w:t>
      </w:r>
      <w:r>
        <w:rPr>
          <w:rFonts w:asciiTheme="minorHAnsi" w:hAnsiTheme="minorHAnsi" w:cstheme="minorHAnsi"/>
          <w:color w:val="44546A"/>
          <w:sz w:val="22"/>
          <w:szCs w:val="22"/>
        </w:rPr>
        <w:t>to</w:t>
      </w:r>
      <w:r w:rsidR="00A202B8" w:rsidRPr="00E35503">
        <w:rPr>
          <w:rFonts w:asciiTheme="minorHAnsi" w:hAnsiTheme="minorHAnsi" w:cstheme="minorHAnsi"/>
          <w:color w:val="44546A"/>
          <w:sz w:val="22"/>
          <w:szCs w:val="22"/>
        </w:rPr>
        <w:t xml:space="preserve"> produc</w:t>
      </w:r>
      <w:r>
        <w:rPr>
          <w:rFonts w:asciiTheme="minorHAnsi" w:hAnsiTheme="minorHAnsi" w:cstheme="minorHAnsi"/>
          <w:color w:val="44546A"/>
          <w:sz w:val="22"/>
          <w:szCs w:val="22"/>
        </w:rPr>
        <w:t>e</w:t>
      </w:r>
      <w:r w:rsidR="00A202B8" w:rsidRPr="00E35503">
        <w:rPr>
          <w:rFonts w:asciiTheme="minorHAnsi" w:hAnsiTheme="minorHAnsi" w:cstheme="minorHAnsi"/>
          <w:color w:val="44546A"/>
          <w:sz w:val="22"/>
          <w:szCs w:val="22"/>
        </w:rPr>
        <w:t xml:space="preserve"> crops using new technologies (e.g. protected cropping, fertigation) and are directly engaging and negotiating better prices for their harvest. The farmers are supplying bell pepper, tomato and lettuce to high value markets (e.g. supermarket, restaurant) in Tacloban</w:t>
      </w:r>
      <w:r>
        <w:rPr>
          <w:rFonts w:asciiTheme="minorHAnsi" w:hAnsiTheme="minorHAnsi" w:cstheme="minorHAnsi"/>
          <w:color w:val="44546A"/>
          <w:sz w:val="22"/>
          <w:szCs w:val="22"/>
        </w:rPr>
        <w:t xml:space="preserve"> City</w:t>
      </w:r>
      <w:r w:rsidR="00A202B8" w:rsidRPr="00E35503">
        <w:rPr>
          <w:rFonts w:asciiTheme="minorHAnsi" w:hAnsiTheme="minorHAnsi" w:cstheme="minorHAnsi"/>
          <w:color w:val="44546A"/>
          <w:sz w:val="22"/>
          <w:szCs w:val="22"/>
        </w:rPr>
        <w:t xml:space="preserve"> and Cebu City and the local market in Ormoc</w:t>
      </w:r>
      <w:r>
        <w:rPr>
          <w:rFonts w:asciiTheme="minorHAnsi" w:hAnsiTheme="minorHAnsi" w:cstheme="minorHAnsi"/>
          <w:color w:val="44546A"/>
          <w:sz w:val="22"/>
          <w:szCs w:val="22"/>
        </w:rPr>
        <w:t xml:space="preserve"> City</w:t>
      </w:r>
      <w:r w:rsidR="00A202B8" w:rsidRPr="00E35503">
        <w:rPr>
          <w:rFonts w:asciiTheme="minorHAnsi" w:hAnsiTheme="minorHAnsi" w:cstheme="minorHAnsi"/>
          <w:color w:val="44546A"/>
          <w:sz w:val="22"/>
          <w:szCs w:val="22"/>
        </w:rPr>
        <w:t>.</w:t>
      </w:r>
    </w:p>
    <w:p w:rsidR="002A51CA" w:rsidRDefault="00943CF4" w:rsidP="00CF62AE">
      <w:pPr>
        <w:pStyle w:val="Heading2"/>
        <w:spacing w:before="360" w:line="300" w:lineRule="exact"/>
      </w:pPr>
      <w:r>
        <w:t xml:space="preserve">SUPPORTING PHILIPPINE </w:t>
      </w:r>
      <w:r w:rsidR="00DC4A93">
        <w:t>development</w:t>
      </w:r>
    </w:p>
    <w:p w:rsidR="002A51CA" w:rsidRDefault="00592A37" w:rsidP="002C4B65">
      <w:pPr>
        <w:spacing w:after="120"/>
      </w:pPr>
      <w:r w:rsidRPr="00EF7770">
        <w:t>Th</w:t>
      </w:r>
      <w:r>
        <w:t>e Philippine Development Plan 2017-</w:t>
      </w:r>
      <w:r w:rsidRPr="00EF7770">
        <w:t>22 (PDP) is the Philippine Government’s framework for inclusive growth and the anchor for the bilateral development</w:t>
      </w:r>
      <w:r>
        <w:t xml:space="preserve"> engagement </w:t>
      </w:r>
      <w:r w:rsidRPr="00EF7770">
        <w:t xml:space="preserve">between the Philippines and Australia. These high-level goals of the Philippine Government shape Australia’s priorities in the Philippines, and </w:t>
      </w:r>
      <w:r>
        <w:t xml:space="preserve">we </w:t>
      </w:r>
      <w:r w:rsidRPr="00EF7770">
        <w:t xml:space="preserve">are tracking progress against these benchmarks </w:t>
      </w:r>
      <w:r>
        <w:t>during President Duterte’s term</w:t>
      </w:r>
      <w:r w:rsidR="007A2E31">
        <w:t>.</w:t>
      </w:r>
    </w:p>
    <w:tbl>
      <w:tblPr>
        <w:tblStyle w:val="TableGrid"/>
        <w:tblW w:w="9639" w:type="dxa"/>
        <w:tblInd w:w="-5" w:type="dxa"/>
        <w:tblLook w:val="04A0" w:firstRow="1" w:lastRow="0" w:firstColumn="1" w:lastColumn="0" w:noHBand="0" w:noVBand="1"/>
      </w:tblPr>
      <w:tblGrid>
        <w:gridCol w:w="4890"/>
        <w:gridCol w:w="4749"/>
      </w:tblGrid>
      <w:tr w:rsidR="00592A37" w:rsidRPr="00B054D6" w:rsidTr="007A2E31">
        <w:trPr>
          <w:tblHeader/>
        </w:trPr>
        <w:tc>
          <w:tcPr>
            <w:tcW w:w="4890" w:type="dxa"/>
            <w:vAlign w:val="center"/>
          </w:tcPr>
          <w:p w:rsidR="00592A37" w:rsidRPr="007A2E31" w:rsidRDefault="00592A37" w:rsidP="00534CCE">
            <w:pPr>
              <w:spacing w:before="20" w:after="20"/>
              <w:rPr>
                <w:rFonts w:eastAsia="Times New Roman"/>
                <w:b/>
                <w:lang w:val="en-AU"/>
              </w:rPr>
            </w:pPr>
            <w:r w:rsidRPr="007A2E31">
              <w:rPr>
                <w:rFonts w:eastAsia="Times New Roman"/>
                <w:b/>
                <w:lang w:val="en-AU"/>
              </w:rPr>
              <w:t>Philippine Government commitments</w:t>
            </w:r>
          </w:p>
        </w:tc>
        <w:tc>
          <w:tcPr>
            <w:tcW w:w="4749" w:type="dxa"/>
          </w:tcPr>
          <w:p w:rsidR="00592A37" w:rsidRPr="007A2E31" w:rsidRDefault="00592A37" w:rsidP="00534CCE">
            <w:pPr>
              <w:spacing w:before="20" w:after="20"/>
              <w:rPr>
                <w:rFonts w:eastAsia="Times New Roman"/>
                <w:b/>
                <w:lang w:val="en-AU"/>
              </w:rPr>
            </w:pPr>
            <w:r w:rsidRPr="007A2E31">
              <w:rPr>
                <w:rFonts w:eastAsia="Times New Roman"/>
                <w:b/>
                <w:lang w:val="en-AU"/>
              </w:rPr>
              <w:t xml:space="preserve">Progress </w:t>
            </w:r>
          </w:p>
        </w:tc>
      </w:tr>
      <w:tr w:rsidR="00592A37" w:rsidRPr="00B054D6" w:rsidTr="007A2E31">
        <w:tc>
          <w:tcPr>
            <w:tcW w:w="4890" w:type="dxa"/>
          </w:tcPr>
          <w:p w:rsidR="007A2E31" w:rsidRDefault="00592A37" w:rsidP="00592A37">
            <w:pPr>
              <w:spacing w:before="20" w:after="20"/>
            </w:pPr>
            <w:r w:rsidRPr="00592A37">
              <w:t xml:space="preserve">Increase annual infrastructure budget allocations to 7 per cent of GDP by 2022 (or Invest PHP8.4 trillion in infrastructure from 2017-2022) </w:t>
            </w:r>
          </w:p>
          <w:p w:rsidR="00592A37" w:rsidRPr="00592A37" w:rsidRDefault="00592A37" w:rsidP="00592A37">
            <w:pPr>
              <w:spacing w:before="20" w:after="20"/>
              <w:rPr>
                <w:rFonts w:eastAsia="Times New Roman"/>
                <w:iCs/>
                <w:color w:val="auto"/>
                <w:lang w:val="en-AU"/>
              </w:rPr>
            </w:pPr>
            <w:r w:rsidRPr="00592A37">
              <w:rPr>
                <w:b/>
                <w:i/>
              </w:rPr>
              <w:t>Baseline</w:t>
            </w:r>
            <w:r w:rsidRPr="00592A37">
              <w:t xml:space="preserve"> CY2017: 5</w:t>
            </w:r>
            <w:r>
              <w:t xml:space="preserve"> per cent</w:t>
            </w:r>
            <w:r w:rsidRPr="00592A37">
              <w:t xml:space="preserve"> of GDP (PHP847 million in annual budget)</w:t>
            </w:r>
          </w:p>
        </w:tc>
        <w:tc>
          <w:tcPr>
            <w:tcW w:w="4749" w:type="dxa"/>
          </w:tcPr>
          <w:p w:rsidR="00592A37" w:rsidRPr="00B230E1" w:rsidRDefault="00592A37" w:rsidP="00592A37">
            <w:pPr>
              <w:spacing w:before="20" w:after="20"/>
            </w:pPr>
            <w:r w:rsidRPr="00B230E1">
              <w:t>CY20</w:t>
            </w:r>
            <w:r>
              <w:t>19</w:t>
            </w:r>
            <w:r w:rsidRPr="00B230E1">
              <w:t>: PHP</w:t>
            </w:r>
            <w:r>
              <w:t>816.2 billion</w:t>
            </w:r>
            <w:r w:rsidRPr="00B230E1">
              <w:t xml:space="preserve"> (or </w:t>
            </w:r>
            <w:r>
              <w:t>4.2 per cent</w:t>
            </w:r>
            <w:r w:rsidRPr="00B230E1">
              <w:t xml:space="preserve"> of GDP) </w:t>
            </w:r>
          </w:p>
          <w:p w:rsidR="00592A37" w:rsidRPr="00592A37" w:rsidRDefault="00592A37" w:rsidP="003C3F97">
            <w:pPr>
              <w:spacing w:before="20" w:after="20"/>
              <w:rPr>
                <w:color w:val="auto"/>
              </w:rPr>
            </w:pPr>
            <w:r>
              <w:t xml:space="preserve">As of 30 April 2019, 37 out of 75 Infrastructure Flagship Projects have been </w:t>
            </w:r>
            <w:r w:rsidR="00B7150E">
              <w:t xml:space="preserve">approved </w:t>
            </w:r>
            <w:r>
              <w:t>by the Investment Coordination Committee and confirmed by the N</w:t>
            </w:r>
            <w:r w:rsidR="007A2E31">
              <w:t xml:space="preserve">ational </w:t>
            </w:r>
            <w:r>
              <w:t>E</w:t>
            </w:r>
            <w:r w:rsidR="007A2E31">
              <w:t xml:space="preserve">conomic and </w:t>
            </w:r>
            <w:r>
              <w:t>D</w:t>
            </w:r>
            <w:r w:rsidR="007A2E31">
              <w:t xml:space="preserve">evelopment </w:t>
            </w:r>
            <w:r>
              <w:t>A</w:t>
            </w:r>
            <w:r w:rsidR="007A2E31">
              <w:t>uthority</w:t>
            </w:r>
            <w:r>
              <w:t xml:space="preserve"> </w:t>
            </w:r>
            <w:r w:rsidR="007A2E31">
              <w:t>B</w:t>
            </w:r>
            <w:r>
              <w:t>oard with a total investment requirement of PhP1.56 trillion</w:t>
            </w:r>
          </w:p>
        </w:tc>
      </w:tr>
      <w:tr w:rsidR="00592A37" w:rsidRPr="00B054D6" w:rsidTr="007A2E31">
        <w:tc>
          <w:tcPr>
            <w:tcW w:w="4890" w:type="dxa"/>
          </w:tcPr>
          <w:p w:rsidR="007A2E31" w:rsidRDefault="00592A37" w:rsidP="00534CCE">
            <w:pPr>
              <w:spacing w:before="20" w:after="20"/>
            </w:pPr>
            <w:r w:rsidRPr="00592A37">
              <w:t xml:space="preserve">Reduce the national rate of poverty incidence to 14.0 per cent by 2022. Reduce poverty incidence in rural areas to 20 per cent in 2022 </w:t>
            </w:r>
          </w:p>
          <w:p w:rsidR="00592A37" w:rsidRPr="00592A37" w:rsidRDefault="00592A37" w:rsidP="003C3F97">
            <w:pPr>
              <w:spacing w:before="20" w:after="20"/>
              <w:rPr>
                <w:rFonts w:eastAsia="Times New Roman"/>
                <w:iCs/>
                <w:color w:val="auto"/>
                <w:lang w:val="en-AU"/>
              </w:rPr>
            </w:pPr>
            <w:r w:rsidRPr="00592A37">
              <w:rPr>
                <w:b/>
                <w:i/>
              </w:rPr>
              <w:t>Baseline</w:t>
            </w:r>
            <w:r w:rsidRPr="00592A37">
              <w:rPr>
                <w:rFonts w:eastAsia="Times New Roman"/>
                <w:b/>
                <w:i/>
                <w:iCs/>
                <w:color w:val="auto"/>
                <w:lang w:val="en-AU"/>
              </w:rPr>
              <w:t>:</w:t>
            </w:r>
            <w:r w:rsidRPr="00592A37">
              <w:rPr>
                <w:rFonts w:eastAsia="Times New Roman"/>
                <w:iCs/>
                <w:color w:val="auto"/>
                <w:lang w:val="en-AU"/>
              </w:rPr>
              <w:t xml:space="preserve"> </w:t>
            </w:r>
            <w:r w:rsidRPr="00592A37">
              <w:t>National</w:t>
            </w:r>
            <w:r w:rsidR="00B7150E">
              <w:t>:</w:t>
            </w:r>
            <w:r w:rsidRPr="00592A37">
              <w:t xml:space="preserve"> 2</w:t>
            </w:r>
            <w:r w:rsidR="00B7150E">
              <w:t>7</w:t>
            </w:r>
            <w:r w:rsidRPr="00592A37">
              <w:t>.6 per cent in 2015; Rural: 30 per cent in 2015</w:t>
            </w:r>
          </w:p>
        </w:tc>
        <w:tc>
          <w:tcPr>
            <w:tcW w:w="4749" w:type="dxa"/>
          </w:tcPr>
          <w:p w:rsidR="00592A37" w:rsidRPr="00592A37" w:rsidRDefault="00592A37" w:rsidP="00534CCE">
            <w:pPr>
              <w:spacing w:before="20" w:after="20"/>
            </w:pPr>
            <w:r w:rsidRPr="00592A37">
              <w:t>Poverty inc</w:t>
            </w:r>
            <w:r w:rsidR="007A2E31">
              <w:t>idence 21 per cent in 2018, down from 27.6 per cent</w:t>
            </w:r>
            <w:r w:rsidRPr="00592A37">
              <w:t xml:space="preserve"> in 2015</w:t>
            </w:r>
          </w:p>
        </w:tc>
      </w:tr>
      <w:tr w:rsidR="00592A37" w:rsidRPr="00B054D6" w:rsidTr="007A2E31">
        <w:tc>
          <w:tcPr>
            <w:tcW w:w="4890" w:type="dxa"/>
          </w:tcPr>
          <w:p w:rsidR="00592A37" w:rsidRDefault="00592A37" w:rsidP="00534CCE">
            <w:pPr>
              <w:spacing w:before="20" w:after="20"/>
            </w:pPr>
            <w:r>
              <w:t>Reduce the unemployment rate to 3-5 per cent by 2022</w:t>
            </w:r>
          </w:p>
          <w:p w:rsidR="00592A37" w:rsidRPr="00EF7770" w:rsidRDefault="00592A37" w:rsidP="003C3F97">
            <w:pPr>
              <w:spacing w:before="20" w:after="20"/>
            </w:pPr>
            <w:r w:rsidRPr="004B5594">
              <w:rPr>
                <w:b/>
                <w:i/>
              </w:rPr>
              <w:t xml:space="preserve">Baseline: </w:t>
            </w:r>
            <w:r>
              <w:t xml:space="preserve">5.5 </w:t>
            </w:r>
            <w:r w:rsidR="00B7150E">
              <w:t>p</w:t>
            </w:r>
            <w:r>
              <w:t>er cent in 2017</w:t>
            </w:r>
          </w:p>
        </w:tc>
        <w:tc>
          <w:tcPr>
            <w:tcW w:w="4749" w:type="dxa"/>
          </w:tcPr>
          <w:p w:rsidR="00592A37" w:rsidRPr="00B230E1" w:rsidRDefault="00592A37" w:rsidP="00534CCE">
            <w:pPr>
              <w:spacing w:before="20" w:after="20"/>
            </w:pPr>
            <w:r>
              <w:t>Unemployment rate estimated at 5.1 per cent in April 2018</w:t>
            </w:r>
          </w:p>
        </w:tc>
      </w:tr>
      <w:tr w:rsidR="00592A37" w:rsidRPr="00B054D6" w:rsidTr="007A2E31">
        <w:tc>
          <w:tcPr>
            <w:tcW w:w="4890" w:type="dxa"/>
          </w:tcPr>
          <w:p w:rsidR="007A2E31" w:rsidRDefault="00592A37" w:rsidP="00534CCE">
            <w:pPr>
              <w:spacing w:before="20" w:after="20"/>
            </w:pPr>
            <w:r w:rsidRPr="00EF7770">
              <w:t>Increase the labour force participation rate of women to 51.3 per cent by 2022</w:t>
            </w:r>
            <w:r>
              <w:t xml:space="preserve"> </w:t>
            </w:r>
          </w:p>
          <w:p w:rsidR="00592A37" w:rsidRPr="00B054D6" w:rsidRDefault="00592A37" w:rsidP="00534CCE">
            <w:pPr>
              <w:spacing w:before="20" w:after="20"/>
              <w:rPr>
                <w:rFonts w:eastAsia="Times New Roman"/>
                <w:iCs/>
                <w:color w:val="auto"/>
                <w:lang w:val="en-AU"/>
              </w:rPr>
            </w:pPr>
            <w:r w:rsidRPr="00EF7770">
              <w:rPr>
                <w:b/>
                <w:i/>
              </w:rPr>
              <w:t>Baseline</w:t>
            </w:r>
            <w:r w:rsidRPr="00EF7770">
              <w:t>: (2015) 49.3</w:t>
            </w:r>
            <w:r>
              <w:t xml:space="preserve"> per cent</w:t>
            </w:r>
          </w:p>
        </w:tc>
        <w:tc>
          <w:tcPr>
            <w:tcW w:w="4749" w:type="dxa"/>
          </w:tcPr>
          <w:p w:rsidR="00592A37" w:rsidRPr="00B230E1" w:rsidRDefault="00592A37" w:rsidP="00534CCE">
            <w:pPr>
              <w:spacing w:before="20" w:after="20"/>
            </w:pPr>
            <w:r>
              <w:t xml:space="preserve">Women’s </w:t>
            </w:r>
            <w:r w:rsidRPr="00B230E1">
              <w:t xml:space="preserve">labour force participation rate </w:t>
            </w:r>
            <w:r>
              <w:t>declined</w:t>
            </w:r>
            <w:r w:rsidRPr="00B230E1">
              <w:t xml:space="preserve"> </w:t>
            </w:r>
            <w:r>
              <w:t>to</w:t>
            </w:r>
            <w:r w:rsidRPr="00B230E1">
              <w:t xml:space="preserve"> </w:t>
            </w:r>
            <w:r>
              <w:t>46.6</w:t>
            </w:r>
            <w:r w:rsidRPr="00B230E1">
              <w:t xml:space="preserve"> p</w:t>
            </w:r>
            <w:r>
              <w:t>er cent according to the January 2019</w:t>
            </w:r>
            <w:r w:rsidRPr="00B230E1">
              <w:t xml:space="preserve"> Labo</w:t>
            </w:r>
            <w:r>
              <w:t>u</w:t>
            </w:r>
            <w:r w:rsidRPr="00B230E1">
              <w:t xml:space="preserve">r Force Survey </w:t>
            </w:r>
          </w:p>
        </w:tc>
      </w:tr>
      <w:tr w:rsidR="00592A37" w:rsidRPr="00B054D6" w:rsidTr="002C4B65">
        <w:trPr>
          <w:cantSplit/>
        </w:trPr>
        <w:tc>
          <w:tcPr>
            <w:tcW w:w="4890" w:type="dxa"/>
          </w:tcPr>
          <w:p w:rsidR="002C4B65" w:rsidRDefault="00592A37" w:rsidP="00534CCE">
            <w:pPr>
              <w:spacing w:before="20" w:after="20"/>
            </w:pPr>
            <w:r w:rsidRPr="00EF7770">
              <w:t xml:space="preserve">Improve the Philippines’ percentile ranking in the Worldwide Governance Indicators (WGI) </w:t>
            </w:r>
            <w:r>
              <w:t>-</w:t>
            </w:r>
            <w:r w:rsidRPr="00EF7770">
              <w:t xml:space="preserve"> Regulatory Quality Improved, to 60 p</w:t>
            </w:r>
            <w:r w:rsidR="002C4B65">
              <w:t>er</w:t>
            </w:r>
            <w:r w:rsidRPr="00EF7770">
              <w:t>c</w:t>
            </w:r>
            <w:r w:rsidR="002C4B65">
              <w:t>en</w:t>
            </w:r>
            <w:r w:rsidRPr="00EF7770">
              <w:t>t</w:t>
            </w:r>
            <w:r w:rsidR="002C4B65">
              <w:t>i</w:t>
            </w:r>
            <w:r w:rsidRPr="00EF7770">
              <w:t>l</w:t>
            </w:r>
            <w:r w:rsidR="002C4B65">
              <w:t>e</w:t>
            </w:r>
            <w:r w:rsidRPr="00EF7770">
              <w:t xml:space="preserve"> by 2022</w:t>
            </w:r>
            <w:r>
              <w:t xml:space="preserve"> </w:t>
            </w:r>
          </w:p>
          <w:p w:rsidR="00592A37" w:rsidRPr="00B054D6" w:rsidRDefault="00592A37" w:rsidP="00534CCE">
            <w:pPr>
              <w:spacing w:before="20" w:after="20"/>
              <w:rPr>
                <w:rFonts w:eastAsia="Times New Roman"/>
                <w:iCs/>
                <w:color w:val="auto"/>
                <w:lang w:val="en-AU"/>
              </w:rPr>
            </w:pPr>
            <w:r w:rsidRPr="00EF7770">
              <w:rPr>
                <w:b/>
                <w:i/>
              </w:rPr>
              <w:t>Baseline:</w:t>
            </w:r>
            <w:r w:rsidRPr="00EF7770">
              <w:t xml:space="preserve"> (2016) 53 p</w:t>
            </w:r>
            <w:r w:rsidR="002C4B65">
              <w:t>er</w:t>
            </w:r>
            <w:r w:rsidRPr="00EF7770">
              <w:t>c</w:t>
            </w:r>
            <w:r w:rsidR="002C4B65">
              <w:t>en</w:t>
            </w:r>
            <w:r w:rsidRPr="00EF7770">
              <w:t>t</w:t>
            </w:r>
            <w:r w:rsidR="002C4B65">
              <w:t>i</w:t>
            </w:r>
            <w:r w:rsidRPr="00EF7770">
              <w:t>l</w:t>
            </w:r>
            <w:r w:rsidR="002C4B65">
              <w:t>e</w:t>
            </w:r>
          </w:p>
        </w:tc>
        <w:tc>
          <w:tcPr>
            <w:tcW w:w="4749" w:type="dxa"/>
          </w:tcPr>
          <w:p w:rsidR="00592A37" w:rsidRPr="00B230E1" w:rsidRDefault="003C3F97" w:rsidP="003C3F97">
            <w:pPr>
              <w:spacing w:before="20" w:after="20"/>
            </w:pPr>
            <w:r>
              <w:t>T</w:t>
            </w:r>
            <w:r w:rsidR="00592A37" w:rsidRPr="0053600B">
              <w:t>he Philippines ranked within the 56 p</w:t>
            </w:r>
            <w:r w:rsidR="002C4B65">
              <w:t>er</w:t>
            </w:r>
            <w:r w:rsidR="00592A37" w:rsidRPr="0053600B">
              <w:t>c</w:t>
            </w:r>
            <w:r w:rsidR="002C4B65">
              <w:t>en</w:t>
            </w:r>
            <w:r w:rsidR="00592A37" w:rsidRPr="0053600B">
              <w:t>t</w:t>
            </w:r>
            <w:r w:rsidR="002C4B65">
              <w:t>i</w:t>
            </w:r>
            <w:r w:rsidR="00592A37" w:rsidRPr="0053600B">
              <w:t>l</w:t>
            </w:r>
            <w:r w:rsidR="002C4B65">
              <w:t>e</w:t>
            </w:r>
            <w:r>
              <w:t xml:space="preserve"> in 2017</w:t>
            </w:r>
          </w:p>
        </w:tc>
      </w:tr>
      <w:tr w:rsidR="00592A37" w:rsidRPr="00B054D6" w:rsidTr="007A2E31">
        <w:tc>
          <w:tcPr>
            <w:tcW w:w="4890" w:type="dxa"/>
          </w:tcPr>
          <w:p w:rsidR="002C4B65" w:rsidRDefault="00592A37" w:rsidP="00534CCE">
            <w:pPr>
              <w:spacing w:before="20" w:after="20"/>
            </w:pPr>
            <w:r w:rsidRPr="000450EF">
              <w:t>Improve percentile ranking in the Global Competitiveness Index (GCI) to 62 p</w:t>
            </w:r>
            <w:r w:rsidR="002C4B65">
              <w:t>er</w:t>
            </w:r>
            <w:r w:rsidRPr="000450EF">
              <w:t>c</w:t>
            </w:r>
            <w:r w:rsidR="002C4B65">
              <w:t>en</w:t>
            </w:r>
            <w:r w:rsidRPr="000450EF">
              <w:t>t</w:t>
            </w:r>
            <w:r w:rsidR="002C4B65">
              <w:t>i</w:t>
            </w:r>
            <w:r w:rsidRPr="000450EF">
              <w:t>l</w:t>
            </w:r>
            <w:r w:rsidR="002C4B65">
              <w:t>e</w:t>
            </w:r>
            <w:r w:rsidRPr="000450EF">
              <w:t xml:space="preserve"> by 2022 </w:t>
            </w:r>
          </w:p>
          <w:p w:rsidR="00592A37" w:rsidRPr="004B5594" w:rsidRDefault="00592A37" w:rsidP="00534CCE">
            <w:pPr>
              <w:spacing w:before="20" w:after="20"/>
              <w:rPr>
                <w:rFonts w:eastAsia="Times New Roman"/>
                <w:iCs/>
                <w:color w:val="auto"/>
                <w:highlight w:val="yellow"/>
                <w:lang w:val="en-AU"/>
              </w:rPr>
            </w:pPr>
            <w:r w:rsidRPr="000450EF">
              <w:rPr>
                <w:b/>
                <w:i/>
              </w:rPr>
              <w:t>Baseline:</w:t>
            </w:r>
            <w:r w:rsidRPr="000450EF">
              <w:t xml:space="preserve"> (2016) 59 p</w:t>
            </w:r>
            <w:r w:rsidR="002C4B65">
              <w:t>er</w:t>
            </w:r>
            <w:r w:rsidRPr="000450EF">
              <w:t>c</w:t>
            </w:r>
            <w:r w:rsidR="002C4B65">
              <w:t>en</w:t>
            </w:r>
            <w:r w:rsidRPr="000450EF">
              <w:t>t</w:t>
            </w:r>
            <w:r w:rsidR="002C4B65">
              <w:t>i</w:t>
            </w:r>
            <w:r w:rsidRPr="000450EF">
              <w:t>l</w:t>
            </w:r>
            <w:r w:rsidR="002C4B65">
              <w:t>e</w:t>
            </w:r>
          </w:p>
        </w:tc>
        <w:tc>
          <w:tcPr>
            <w:tcW w:w="4749" w:type="dxa"/>
          </w:tcPr>
          <w:p w:rsidR="00592A37" w:rsidRPr="00020E8D" w:rsidRDefault="00592A37" w:rsidP="00534CCE">
            <w:pPr>
              <w:spacing w:before="20" w:after="20"/>
              <w:rPr>
                <w:color w:val="FF0000"/>
                <w:highlight w:val="yellow"/>
              </w:rPr>
            </w:pPr>
            <w:r w:rsidRPr="0053600B">
              <w:t>The Philippines was ranked 56 for 2017-2018, up one position from 2016, which places them in the 60th percentile</w:t>
            </w:r>
          </w:p>
        </w:tc>
      </w:tr>
      <w:tr w:rsidR="00592A37" w:rsidRPr="00B054D6" w:rsidTr="007A2E31">
        <w:tc>
          <w:tcPr>
            <w:tcW w:w="4890" w:type="dxa"/>
          </w:tcPr>
          <w:p w:rsidR="007A2E31" w:rsidRDefault="00592A37" w:rsidP="00534CCE">
            <w:pPr>
              <w:spacing w:before="20" w:after="20"/>
            </w:pPr>
            <w:r w:rsidRPr="00EF7770">
              <w:lastRenderedPageBreak/>
              <w:t>Improve the Philippines’ overall ranking in the WB-IFC Doing Business Report</w:t>
            </w:r>
            <w:r>
              <w:t xml:space="preserve"> </w:t>
            </w:r>
          </w:p>
          <w:p w:rsidR="00592A37" w:rsidRPr="00B054D6" w:rsidRDefault="00592A37" w:rsidP="00534CCE">
            <w:pPr>
              <w:spacing w:before="20" w:after="20"/>
              <w:rPr>
                <w:rFonts w:eastAsia="Times New Roman"/>
                <w:iCs/>
                <w:color w:val="auto"/>
                <w:lang w:val="en-AU"/>
              </w:rPr>
            </w:pPr>
            <w:r w:rsidRPr="00EF7770">
              <w:rPr>
                <w:b/>
                <w:i/>
              </w:rPr>
              <w:t>Baseline:</w:t>
            </w:r>
            <w:r w:rsidRPr="00EF7770">
              <w:t xml:space="preserve"> </w:t>
            </w:r>
            <w:r w:rsidR="009A3A0C">
              <w:t>(</w:t>
            </w:r>
            <w:r w:rsidRPr="00EF7770">
              <w:t>2017</w:t>
            </w:r>
            <w:r w:rsidR="009A3A0C">
              <w:t>)</w:t>
            </w:r>
            <w:r w:rsidRPr="00EF7770">
              <w:t xml:space="preserve"> 99</w:t>
            </w:r>
            <w:r w:rsidR="009A3A0C">
              <w:t xml:space="preserve"> out of </w:t>
            </w:r>
            <w:r w:rsidRPr="00EF7770">
              <w:t>190</w:t>
            </w:r>
          </w:p>
        </w:tc>
        <w:tc>
          <w:tcPr>
            <w:tcW w:w="4749" w:type="dxa"/>
          </w:tcPr>
          <w:p w:rsidR="00592A37" w:rsidRPr="00B230E1" w:rsidRDefault="00592A37" w:rsidP="007424F4">
            <w:pPr>
              <w:spacing w:before="20" w:after="20"/>
            </w:pPr>
            <w:r w:rsidRPr="0053600B">
              <w:t xml:space="preserve">The </w:t>
            </w:r>
            <w:r w:rsidR="009A3A0C">
              <w:t xml:space="preserve">Philippines’ ranking declined to 124 out of 190 in the </w:t>
            </w:r>
            <w:r w:rsidRPr="0053600B">
              <w:t>2019 WB</w:t>
            </w:r>
            <w:r w:rsidR="009A3A0C">
              <w:t>-</w:t>
            </w:r>
            <w:r w:rsidRPr="0053600B">
              <w:t>IFC Doing Business Report</w:t>
            </w:r>
          </w:p>
        </w:tc>
      </w:tr>
      <w:tr w:rsidR="00592A37" w:rsidRPr="00B054D6" w:rsidTr="007A2E31">
        <w:tc>
          <w:tcPr>
            <w:tcW w:w="4890" w:type="dxa"/>
          </w:tcPr>
          <w:p w:rsidR="00592A37" w:rsidRPr="00592A37" w:rsidRDefault="00592A37" w:rsidP="00534CCE">
            <w:pPr>
              <w:spacing w:before="20" w:after="20"/>
            </w:pPr>
            <w:r w:rsidRPr="00592A37">
              <w:t xml:space="preserve">Increase total government spending in social protection </w:t>
            </w:r>
            <w:r w:rsidR="001B6B12" w:rsidRPr="00592A37">
              <w:t xml:space="preserve">(in </w:t>
            </w:r>
            <w:r w:rsidR="001B6B12" w:rsidRPr="008B1919">
              <w:t>PHP)</w:t>
            </w:r>
            <w:r w:rsidR="001B6B12">
              <w:t xml:space="preserve"> </w:t>
            </w:r>
            <w:r w:rsidRPr="00592A37">
              <w:t xml:space="preserve">as a proportion of the GDP </w:t>
            </w:r>
            <w:r w:rsidRPr="008B1919">
              <w:t xml:space="preserve">to </w:t>
            </w:r>
            <w:r w:rsidR="008D3999" w:rsidRPr="008B1919">
              <w:t>5</w:t>
            </w:r>
            <w:r w:rsidRPr="008B1919">
              <w:t xml:space="preserve"> per cent by 2022</w:t>
            </w:r>
          </w:p>
          <w:p w:rsidR="00592A37" w:rsidRPr="00592A37" w:rsidRDefault="00592A37" w:rsidP="00534CCE">
            <w:pPr>
              <w:spacing w:before="20" w:after="20"/>
            </w:pPr>
            <w:r w:rsidRPr="00592A37">
              <w:rPr>
                <w:b/>
                <w:i/>
              </w:rPr>
              <w:t>Baseline:</w:t>
            </w:r>
            <w:r w:rsidR="004D1FB4">
              <w:t xml:space="preserve"> (2018</w:t>
            </w:r>
            <w:r w:rsidRPr="00592A37">
              <w:t xml:space="preserve">) </w:t>
            </w:r>
          </w:p>
          <w:p w:rsidR="00592A37" w:rsidRPr="00592A37" w:rsidRDefault="00592A37" w:rsidP="00534CCE">
            <w:pPr>
              <w:spacing w:before="20" w:after="20"/>
            </w:pPr>
            <w:r w:rsidRPr="00592A37">
              <w:t>Budget allocation in 3 core social protection programs:</w:t>
            </w:r>
          </w:p>
          <w:p w:rsidR="004D1FB4" w:rsidRPr="004D1FB4" w:rsidRDefault="004D1FB4" w:rsidP="000332D7">
            <w:pPr>
              <w:pStyle w:val="Bullet1"/>
              <w:numPr>
                <w:ilvl w:val="0"/>
                <w:numId w:val="6"/>
              </w:numPr>
              <w:ind w:left="317" w:hanging="283"/>
            </w:pPr>
            <w:r w:rsidRPr="004D1FB4">
              <w:t>PHP5,375,085,000 (Kalahi-CIDSS-NCDDP)</w:t>
            </w:r>
          </w:p>
          <w:p w:rsidR="004D1FB4" w:rsidRPr="004D1FB4" w:rsidRDefault="004D1FB4" w:rsidP="000332D7">
            <w:pPr>
              <w:pStyle w:val="Bullet1"/>
              <w:numPr>
                <w:ilvl w:val="0"/>
                <w:numId w:val="6"/>
              </w:numPr>
              <w:ind w:left="317" w:hanging="283"/>
            </w:pPr>
            <w:r w:rsidRPr="004D1FB4">
              <w:t>PHP89,408,303,000 (4Ps)</w:t>
            </w:r>
          </w:p>
          <w:p w:rsidR="00592A37" w:rsidRPr="00592A37" w:rsidRDefault="004D1FB4" w:rsidP="000332D7">
            <w:pPr>
              <w:pStyle w:val="Bullet1"/>
              <w:numPr>
                <w:ilvl w:val="0"/>
                <w:numId w:val="6"/>
              </w:numPr>
              <w:ind w:left="317" w:hanging="283"/>
              <w:rPr>
                <w:iCs/>
              </w:rPr>
            </w:pPr>
            <w:r w:rsidRPr="004D1FB4">
              <w:t>PHP5,060,000,000 (SLP)</w:t>
            </w:r>
          </w:p>
        </w:tc>
        <w:tc>
          <w:tcPr>
            <w:tcW w:w="4749" w:type="dxa"/>
          </w:tcPr>
          <w:p w:rsidR="00592A37" w:rsidRPr="00592A37" w:rsidRDefault="00592A37" w:rsidP="00534CCE">
            <w:pPr>
              <w:spacing w:before="20" w:after="20"/>
            </w:pPr>
            <w:r w:rsidRPr="00592A37">
              <w:t>2019 budget allocation for the 3 core social protection programs are:</w:t>
            </w:r>
          </w:p>
          <w:p w:rsidR="004D1FB4" w:rsidRPr="004D1FB4" w:rsidRDefault="004D1FB4" w:rsidP="000332D7">
            <w:pPr>
              <w:pStyle w:val="Bullet1"/>
              <w:numPr>
                <w:ilvl w:val="0"/>
                <w:numId w:val="6"/>
              </w:numPr>
              <w:ind w:left="317" w:hanging="283"/>
            </w:pPr>
            <w:r>
              <w:t>PHP2,770,271,000 (Kalahi-CIDSS-NCDDP)</w:t>
            </w:r>
          </w:p>
          <w:p w:rsidR="004D1FB4" w:rsidRDefault="004D1FB4" w:rsidP="000332D7">
            <w:pPr>
              <w:pStyle w:val="Bullet1"/>
              <w:numPr>
                <w:ilvl w:val="0"/>
                <w:numId w:val="6"/>
              </w:numPr>
              <w:ind w:left="317" w:hanging="283"/>
            </w:pPr>
            <w:r>
              <w:t>PHP89,752,324,000 (4Ps)</w:t>
            </w:r>
          </w:p>
          <w:p w:rsidR="00592A37" w:rsidRPr="00592A37" w:rsidRDefault="004D1FB4" w:rsidP="000332D7">
            <w:pPr>
              <w:pStyle w:val="Bullet1"/>
              <w:numPr>
                <w:ilvl w:val="0"/>
                <w:numId w:val="6"/>
              </w:numPr>
              <w:ind w:left="317" w:hanging="283"/>
            </w:pPr>
            <w:r>
              <w:t>PHP1,724,882,000 (SLP)</w:t>
            </w:r>
          </w:p>
          <w:p w:rsidR="00592A37" w:rsidRPr="00592A37" w:rsidRDefault="00592A37" w:rsidP="00FF602E">
            <w:pPr>
              <w:spacing w:before="20" w:after="20"/>
            </w:pPr>
            <w:r w:rsidRPr="00592A37">
              <w:t>The percentage as a proportion of the GDP will be calculated in the PDP update to be released in 2020</w:t>
            </w:r>
          </w:p>
        </w:tc>
      </w:tr>
      <w:tr w:rsidR="00E74736" w:rsidRPr="00B054D6" w:rsidTr="008B701D">
        <w:trPr>
          <w:cantSplit/>
        </w:trPr>
        <w:tc>
          <w:tcPr>
            <w:tcW w:w="4890" w:type="dxa"/>
          </w:tcPr>
          <w:p w:rsidR="00E74736" w:rsidRPr="00EF7770" w:rsidRDefault="00E74736" w:rsidP="00E74736">
            <w:pPr>
              <w:spacing w:before="20" w:after="20"/>
            </w:pPr>
            <w:r w:rsidRPr="00EF7770">
              <w:t xml:space="preserve">Net enrolment rate in school </w:t>
            </w:r>
            <w:r w:rsidRPr="004B5594">
              <w:rPr>
                <w:b/>
              </w:rPr>
              <w:t>(</w:t>
            </w:r>
            <w:r w:rsidRPr="001D7FC1">
              <w:rPr>
                <w:b/>
                <w:i/>
              </w:rPr>
              <w:t>Baseline</w:t>
            </w:r>
            <w:r w:rsidRPr="007A2E31">
              <w:rPr>
                <w:b/>
              </w:rPr>
              <w:t xml:space="preserve"> 2015</w:t>
            </w:r>
            <w:r w:rsidRPr="004B5594">
              <w:rPr>
                <w:b/>
              </w:rPr>
              <w:t>)</w:t>
            </w:r>
            <w:r w:rsidRPr="00EF7770">
              <w:t>:</w:t>
            </w:r>
          </w:p>
          <w:p w:rsidR="00E74736" w:rsidRPr="00EF7770" w:rsidRDefault="00E74736" w:rsidP="000332D7">
            <w:pPr>
              <w:numPr>
                <w:ilvl w:val="0"/>
                <w:numId w:val="13"/>
              </w:numPr>
              <w:spacing w:before="20" w:after="20"/>
              <w:contextualSpacing/>
            </w:pPr>
            <w:r w:rsidRPr="00EF7770">
              <w:t>Kindergarten to 95.00 by 2022 (74.65)</w:t>
            </w:r>
          </w:p>
          <w:p w:rsidR="00E74736" w:rsidRDefault="00E74736" w:rsidP="000332D7">
            <w:pPr>
              <w:numPr>
                <w:ilvl w:val="0"/>
                <w:numId w:val="13"/>
              </w:numPr>
              <w:spacing w:before="20" w:after="20"/>
              <w:contextualSpacing/>
            </w:pPr>
            <w:r w:rsidRPr="00EF7770">
              <w:t>Elementary to 95.00 in 2022 (91.05)</w:t>
            </w:r>
          </w:p>
          <w:p w:rsidR="00E74736" w:rsidRPr="00592A37" w:rsidRDefault="00E74736" w:rsidP="000332D7">
            <w:pPr>
              <w:numPr>
                <w:ilvl w:val="0"/>
                <w:numId w:val="13"/>
              </w:numPr>
              <w:spacing w:before="20" w:after="20"/>
              <w:contextualSpacing/>
            </w:pPr>
            <w:r w:rsidRPr="00EF7770">
              <w:t>Junior High School to 75.44 in 2022 (68.15)</w:t>
            </w:r>
          </w:p>
        </w:tc>
        <w:tc>
          <w:tcPr>
            <w:tcW w:w="4749" w:type="dxa"/>
          </w:tcPr>
          <w:p w:rsidR="00E74736" w:rsidRPr="00B230E1" w:rsidRDefault="00E74736" w:rsidP="00E74736">
            <w:pPr>
              <w:spacing w:before="20" w:after="20"/>
            </w:pPr>
            <w:r w:rsidRPr="00B230E1">
              <w:t>Net enrolment rate in school (201</w:t>
            </w:r>
            <w:r>
              <w:t>8</w:t>
            </w:r>
            <w:r w:rsidRPr="00B230E1">
              <w:t>-201</w:t>
            </w:r>
            <w:r>
              <w:t>9</w:t>
            </w:r>
            <w:r w:rsidRPr="00B230E1">
              <w:t>):</w:t>
            </w:r>
          </w:p>
          <w:p w:rsidR="00E74736" w:rsidRPr="00015406" w:rsidRDefault="00E74736" w:rsidP="000332D7">
            <w:pPr>
              <w:numPr>
                <w:ilvl w:val="0"/>
                <w:numId w:val="13"/>
              </w:numPr>
              <w:spacing w:before="20" w:after="20"/>
              <w:contextualSpacing/>
            </w:pPr>
            <w:r w:rsidRPr="00015406">
              <w:t xml:space="preserve">Kindergarten: </w:t>
            </w:r>
            <w:r>
              <w:t>76.45</w:t>
            </w:r>
          </w:p>
          <w:p w:rsidR="00E74736" w:rsidRDefault="00E74736" w:rsidP="000332D7">
            <w:pPr>
              <w:numPr>
                <w:ilvl w:val="0"/>
                <w:numId w:val="13"/>
              </w:numPr>
              <w:spacing w:before="20" w:after="20"/>
              <w:contextualSpacing/>
            </w:pPr>
            <w:r w:rsidRPr="00015406">
              <w:t>Elementary: 94.</w:t>
            </w:r>
            <w:r>
              <w:t>05</w:t>
            </w:r>
          </w:p>
          <w:p w:rsidR="00E74736" w:rsidRPr="00592A37" w:rsidRDefault="00E74736" w:rsidP="000332D7">
            <w:pPr>
              <w:numPr>
                <w:ilvl w:val="0"/>
                <w:numId w:val="13"/>
              </w:numPr>
              <w:spacing w:before="20" w:after="20"/>
              <w:contextualSpacing/>
            </w:pPr>
            <w:r w:rsidRPr="00015406">
              <w:t xml:space="preserve">Junior High School: </w:t>
            </w:r>
            <w:r>
              <w:t>81.41</w:t>
            </w:r>
          </w:p>
        </w:tc>
      </w:tr>
      <w:tr w:rsidR="00E74736" w:rsidRPr="00B054D6" w:rsidTr="007A2E31">
        <w:trPr>
          <w:cantSplit/>
        </w:trPr>
        <w:tc>
          <w:tcPr>
            <w:tcW w:w="4890" w:type="dxa"/>
          </w:tcPr>
          <w:p w:rsidR="002C4B65" w:rsidRDefault="00E74736" w:rsidP="00E74736">
            <w:pPr>
              <w:spacing w:before="20" w:after="20"/>
            </w:pPr>
            <w:r w:rsidRPr="00EF7770">
              <w:t xml:space="preserve">Peace agreements with </w:t>
            </w:r>
            <w:r>
              <w:t>armed conflict group (Moro Islamic Liberation Front) successfully negotiated and implemented, with passage and ratification of an enabling law in accordance with the Comprehensive Agreement on the Bangsamoro.</w:t>
            </w:r>
          </w:p>
          <w:p w:rsidR="00E74736" w:rsidRPr="00B054D6" w:rsidRDefault="00E74736" w:rsidP="00E74736">
            <w:pPr>
              <w:spacing w:before="20" w:after="20"/>
              <w:rPr>
                <w:rFonts w:eastAsia="Times New Roman"/>
                <w:iCs/>
                <w:color w:val="auto"/>
                <w:lang w:val="en-AU"/>
              </w:rPr>
            </w:pPr>
            <w:r w:rsidRPr="002C4B65">
              <w:rPr>
                <w:b/>
                <w:i/>
              </w:rPr>
              <w:t>Starting Point</w:t>
            </w:r>
            <w:r>
              <w:t>: Bangsamoro Basic Law submitted to President Duterte in July 2017</w:t>
            </w:r>
          </w:p>
        </w:tc>
        <w:tc>
          <w:tcPr>
            <w:tcW w:w="4749" w:type="dxa"/>
          </w:tcPr>
          <w:p w:rsidR="00E74736" w:rsidRPr="00B230E1" w:rsidRDefault="00E74736" w:rsidP="002C4B65">
            <w:pPr>
              <w:spacing w:before="20" w:after="20"/>
            </w:pPr>
            <w:r w:rsidRPr="0053600B">
              <w:t>Bangsamo</w:t>
            </w:r>
            <w:r w:rsidRPr="001B6B12">
              <w:t xml:space="preserve">ro Organic Law approved by Congress </w:t>
            </w:r>
            <w:r w:rsidR="001B6B12" w:rsidRPr="001B6B12">
              <w:t>in July 2018 and ratified through plebiscite</w:t>
            </w:r>
            <w:r w:rsidR="007424F4">
              <w:t>s</w:t>
            </w:r>
            <w:r w:rsidR="001B6B12" w:rsidRPr="001B6B12">
              <w:t xml:space="preserve"> in early 2019</w:t>
            </w:r>
          </w:p>
        </w:tc>
      </w:tr>
      <w:tr w:rsidR="00E74736" w:rsidRPr="00B054D6" w:rsidTr="007A2E31">
        <w:tc>
          <w:tcPr>
            <w:tcW w:w="4890" w:type="dxa"/>
          </w:tcPr>
          <w:p w:rsidR="00E74736" w:rsidRPr="00B054D6" w:rsidRDefault="00E74736" w:rsidP="00E74736">
            <w:pPr>
              <w:spacing w:before="20" w:after="20"/>
              <w:rPr>
                <w:rFonts w:eastAsia="Times New Roman"/>
                <w:iCs/>
                <w:color w:val="auto"/>
                <w:lang w:val="en-AU"/>
              </w:rPr>
            </w:pPr>
            <w:r w:rsidRPr="00EF7770">
              <w:t xml:space="preserve">All families affected by natural and human-induced calamities are provided with relief assistance </w:t>
            </w:r>
            <w:r w:rsidRPr="00EF7770">
              <w:rPr>
                <w:b/>
                <w:i/>
              </w:rPr>
              <w:t>Baseline:</w:t>
            </w:r>
            <w:r w:rsidRPr="00EF7770">
              <w:t xml:space="preserve"> (2015) 54%</w:t>
            </w:r>
          </w:p>
        </w:tc>
        <w:tc>
          <w:tcPr>
            <w:tcW w:w="4749" w:type="dxa"/>
          </w:tcPr>
          <w:p w:rsidR="00980563" w:rsidRPr="001C6A16" w:rsidRDefault="00980563" w:rsidP="00E74736">
            <w:pPr>
              <w:spacing w:before="20" w:after="20"/>
            </w:pPr>
            <w:r w:rsidRPr="001C6A16">
              <w:t>The Philippine Government (DSWD and LGUs) and other partners provided the following humanitarian assistance:</w:t>
            </w:r>
          </w:p>
          <w:p w:rsidR="00C57D9D" w:rsidRPr="00FC1F6E" w:rsidRDefault="00980563" w:rsidP="000332D7">
            <w:pPr>
              <w:pStyle w:val="Bullet1"/>
              <w:numPr>
                <w:ilvl w:val="0"/>
                <w:numId w:val="6"/>
              </w:numPr>
              <w:spacing w:after="0"/>
              <w:ind w:left="317" w:hanging="283"/>
            </w:pPr>
            <w:r w:rsidRPr="001C6A16">
              <w:t>PHP20</w:t>
            </w:r>
            <w:r w:rsidR="00C57D9D" w:rsidRPr="001C6A16">
              <w:t xml:space="preserve">5 million </w:t>
            </w:r>
            <w:r w:rsidRPr="001C6A16">
              <w:t>(approx. AUD</w:t>
            </w:r>
            <w:r w:rsidR="00C57D9D" w:rsidRPr="001C6A16">
              <w:t>5.4 million</w:t>
            </w:r>
            <w:r w:rsidRPr="001C6A16">
              <w:t xml:space="preserve">) </w:t>
            </w:r>
            <w:r w:rsidR="00C57D9D" w:rsidRPr="001C6A16">
              <w:t>in response to Typho</w:t>
            </w:r>
            <w:r w:rsidR="007424F4">
              <w:t>o</w:t>
            </w:r>
            <w:r w:rsidR="00C57D9D" w:rsidRPr="001C6A16">
              <w:t>n Mangkhut, benefiting 1</w:t>
            </w:r>
            <w:r w:rsidR="007424F4">
              <w:t>.</w:t>
            </w:r>
            <w:r w:rsidR="00C57D9D" w:rsidRPr="001C6A16">
              <w:t>57 million people</w:t>
            </w:r>
          </w:p>
          <w:p w:rsidR="00E41B60" w:rsidRDefault="00C57D9D" w:rsidP="000332D7">
            <w:pPr>
              <w:pStyle w:val="Bullet1"/>
              <w:numPr>
                <w:ilvl w:val="0"/>
                <w:numId w:val="6"/>
              </w:numPr>
              <w:spacing w:after="0"/>
              <w:ind w:left="317" w:hanging="283"/>
            </w:pPr>
            <w:r w:rsidRPr="001C6A16">
              <w:t>PHP 765 million (approx. AUD20 million) in support of Marawi recovery, benefiting over 350,000 people; and</w:t>
            </w:r>
          </w:p>
          <w:p w:rsidR="00E74736" w:rsidRPr="00E41B60" w:rsidRDefault="00C57D9D" w:rsidP="000332D7">
            <w:pPr>
              <w:pStyle w:val="Bullet1"/>
              <w:numPr>
                <w:ilvl w:val="0"/>
                <w:numId w:val="6"/>
              </w:numPr>
              <w:spacing w:after="0"/>
              <w:ind w:left="317" w:hanging="283"/>
            </w:pPr>
            <w:r w:rsidRPr="00E41B60">
              <w:t>PHP7.35 million (approx. AUD193,370) to support people displaced by other conflict</w:t>
            </w:r>
            <w:r w:rsidR="00FF602E">
              <w:t>s</w:t>
            </w:r>
            <w:r w:rsidR="001B2AAD">
              <w:t xml:space="preserve"> </w:t>
            </w:r>
            <w:r w:rsidRPr="00E41B60">
              <w:t>in Mindanao</w:t>
            </w:r>
          </w:p>
        </w:tc>
      </w:tr>
    </w:tbl>
    <w:p w:rsidR="00FF602E" w:rsidRDefault="00FF602E" w:rsidP="00CF62AE">
      <w:pPr>
        <w:pStyle w:val="Heading2"/>
        <w:spacing w:before="360" w:line="300" w:lineRule="exact"/>
      </w:pPr>
    </w:p>
    <w:p w:rsidR="00FF602E" w:rsidRDefault="00FF602E">
      <w:pPr>
        <w:suppressAutoHyphens w:val="0"/>
        <w:spacing w:before="0" w:after="120" w:line="440" w:lineRule="atLeast"/>
        <w:rPr>
          <w:rFonts w:asciiTheme="majorHAnsi" w:eastAsiaTheme="majorEastAsia" w:hAnsiTheme="majorHAnsi" w:cstheme="majorBidi"/>
          <w:caps/>
          <w:sz w:val="38"/>
          <w:szCs w:val="26"/>
        </w:rPr>
      </w:pPr>
      <w:r>
        <w:br w:type="page"/>
      </w:r>
    </w:p>
    <w:p w:rsidR="00B62561" w:rsidRPr="00B14298" w:rsidRDefault="00B62561" w:rsidP="00B14298">
      <w:pPr>
        <w:spacing w:before="0" w:after="0" w:line="240" w:lineRule="auto"/>
        <w:rPr>
          <w:sz w:val="4"/>
        </w:rPr>
      </w:pPr>
    </w:p>
    <w:p w:rsidR="002A51CA" w:rsidRPr="002A51CA" w:rsidRDefault="002A51CA" w:rsidP="00B14298">
      <w:pPr>
        <w:pStyle w:val="Heading2"/>
        <w:spacing w:before="120" w:line="300" w:lineRule="exact"/>
      </w:pPr>
      <w:r w:rsidRPr="002A51CA">
        <w:t xml:space="preserve">Program Quality and Partner Performance </w:t>
      </w:r>
    </w:p>
    <w:p w:rsidR="002A51CA" w:rsidRPr="00CF62AE" w:rsidRDefault="002A51CA" w:rsidP="00766241">
      <w:pPr>
        <w:spacing w:before="0"/>
        <w:rPr>
          <w:sz w:val="32"/>
          <w:szCs w:val="32"/>
          <w:lang w:eastAsia="zh-CN"/>
        </w:rPr>
      </w:pPr>
      <w:r w:rsidRPr="00CF62AE">
        <w:rPr>
          <w:sz w:val="32"/>
          <w:szCs w:val="32"/>
          <w:lang w:eastAsia="zh-CN"/>
        </w:rPr>
        <w:t>Overview</w:t>
      </w:r>
      <w:r w:rsidRPr="00CF62AE">
        <w:rPr>
          <w:sz w:val="32"/>
          <w:szCs w:val="32"/>
          <w:lang w:eastAsia="zh-CN"/>
        </w:rPr>
        <w:tab/>
      </w:r>
      <w:r w:rsidRPr="00CF62AE">
        <w:rPr>
          <w:sz w:val="32"/>
          <w:szCs w:val="32"/>
          <w:lang w:eastAsia="zh-CN"/>
        </w:rPr>
        <w:tab/>
      </w:r>
    </w:p>
    <w:p w:rsidR="00D7242F" w:rsidRDefault="00D7242F" w:rsidP="00F42343">
      <w:pPr>
        <w:spacing w:before="0"/>
        <w:rPr>
          <w:color w:val="auto"/>
          <w:lang w:val="en-AU"/>
        </w:rPr>
      </w:pPr>
      <w:r>
        <w:t>The Philippines Program generates sufficient performance information collected through the monitoring and evaluation (M&amp;E) systems at the level of individual investments</w:t>
      </w:r>
      <w:r w:rsidR="00EE555C">
        <w:t xml:space="preserve"> to allow assessment of a range of indicators, including effectiveness</w:t>
      </w:r>
      <w:r>
        <w:t>. The continued engagement of M&amp;E expertise through 2018-19 was helpful in this regard</w:t>
      </w:r>
      <w:r w:rsidR="00935B52">
        <w:t xml:space="preserve">.  </w:t>
      </w:r>
      <w:r>
        <w:t>For example, extensive work was undertaken to develop program logic models and M&amp;E frameworks for two investments responding to the Mindanao humanitarian crisis. This process also helped address the issue of proliferation of agreements within investments as identified in the previous year’s APPR.</w:t>
      </w:r>
    </w:p>
    <w:p w:rsidR="00D7242F" w:rsidRDefault="008B701D" w:rsidP="00D7242F">
      <w:r>
        <w:t>With the transition from the AIP 2015-2018 to a new AIP 2020-2025 (</w:t>
      </w:r>
      <w:r w:rsidR="00EC6084">
        <w:t xml:space="preserve">still </w:t>
      </w:r>
      <w:r>
        <w:t>subject to approval</w:t>
      </w:r>
      <w:r w:rsidR="00EC6084">
        <w:t xml:space="preserve"> in late 2019</w:t>
      </w:r>
      <w:r>
        <w:t xml:space="preserve">), </w:t>
      </w:r>
      <w:r w:rsidR="00B40687" w:rsidRPr="00B40687">
        <w:t>Performance Benchmarks in Annex B were selected from the interim</w:t>
      </w:r>
      <w:r w:rsidR="00EC6084" w:rsidRPr="00B40687">
        <w:t xml:space="preserve"> </w:t>
      </w:r>
      <w:r w:rsidR="00D7242F" w:rsidRPr="00B40687">
        <w:t xml:space="preserve">Performance Assessment Framework (PAF) </w:t>
      </w:r>
      <w:r w:rsidR="00B40687" w:rsidRPr="00B40687">
        <w:t xml:space="preserve">in Annex E </w:t>
      </w:r>
      <w:r w:rsidRPr="00B40687">
        <w:t>prepared specifically for this reporting period (FY2018-19)</w:t>
      </w:r>
      <w:r w:rsidR="00D7242F" w:rsidRPr="00B40687">
        <w:t xml:space="preserve">. The number of outcomes in the </w:t>
      </w:r>
      <w:r w:rsidR="00EC6084" w:rsidRPr="00B40687">
        <w:t xml:space="preserve">2018-19 </w:t>
      </w:r>
      <w:r w:rsidR="00D7242F" w:rsidRPr="00B40687">
        <w:t>PAF is significantly lower than in the previous PAF</w:t>
      </w:r>
      <w:r w:rsidR="000548AF">
        <w:t>.</w:t>
      </w:r>
      <w:r w:rsidR="007A2E31" w:rsidRPr="00B40687">
        <w:t xml:space="preserve"> </w:t>
      </w:r>
    </w:p>
    <w:p w:rsidR="002A51CA" w:rsidRPr="00D05246" w:rsidRDefault="00D7242F" w:rsidP="00D7242F">
      <w:pPr>
        <w:rPr>
          <w:color w:val="FF0000"/>
        </w:rPr>
      </w:pPr>
      <w:r>
        <w:t xml:space="preserve">An independent final evaluation of the World Bank Development Trust Fund was completed in December 2018. The recommendations and management actions from this evaluation have been incorporated into the design of the new investment for partnerships with multilateral institutions such as the World Bank and ADB. Over the next 12 months, the Philippine Program will evaluate </w:t>
      </w:r>
      <w:r w:rsidR="00622D55">
        <w:t>two bilateral-funded projects</w:t>
      </w:r>
      <w:r>
        <w:t xml:space="preserve"> (BEST</w:t>
      </w:r>
      <w:r w:rsidR="00011796">
        <w:t xml:space="preserve"> and</w:t>
      </w:r>
      <w:r w:rsidR="00622D55">
        <w:t xml:space="preserve"> </w:t>
      </w:r>
      <w:r w:rsidR="005228AC">
        <w:t>PCTP-RAPID</w:t>
      </w:r>
      <w:r w:rsidR="00011796">
        <w:t xml:space="preserve">) and a </w:t>
      </w:r>
      <w:r w:rsidR="005228AC">
        <w:t>DFAT innovationXchange</w:t>
      </w:r>
      <w:r w:rsidR="00011796">
        <w:t>-funded project (IAFFORD)</w:t>
      </w:r>
      <w:r w:rsidR="00622D55">
        <w:t xml:space="preserve"> that were recently completed</w:t>
      </w:r>
      <w:r w:rsidR="005228AC">
        <w:t>.</w:t>
      </w:r>
    </w:p>
    <w:p w:rsidR="00600479" w:rsidRPr="00CF62AE" w:rsidRDefault="00600479" w:rsidP="00766241">
      <w:pPr>
        <w:spacing w:before="0"/>
        <w:rPr>
          <w:sz w:val="32"/>
          <w:szCs w:val="32"/>
          <w:lang w:eastAsia="zh-CN"/>
        </w:rPr>
      </w:pPr>
      <w:r w:rsidRPr="00CF62AE">
        <w:rPr>
          <w:sz w:val="32"/>
          <w:szCs w:val="32"/>
          <w:lang w:eastAsia="zh-CN"/>
        </w:rPr>
        <w:t>Aid Quality Checks (AQCs)</w:t>
      </w:r>
    </w:p>
    <w:p w:rsidR="00D7242F" w:rsidRDefault="00D7242F" w:rsidP="00F42343">
      <w:pPr>
        <w:spacing w:before="0"/>
      </w:pPr>
      <w:r>
        <w:t xml:space="preserve">The Philippines Program completed a total of twelve Aid Quality Checks (AQCs), including one </w:t>
      </w:r>
      <w:r w:rsidR="005228AC">
        <w:t>h</w:t>
      </w:r>
      <w:r>
        <w:t xml:space="preserve">umanitarian AQC (HAQC) for the Response and Recovery Assistance to the Philippines, and one </w:t>
      </w:r>
      <w:r w:rsidR="005228AC">
        <w:t>f</w:t>
      </w:r>
      <w:r>
        <w:t xml:space="preserve">inal AQC (FAQC) for the Australia-World Bank Philippines Development Trust Fund. Four investments were exempted from the AQC process. Overall ratings </w:t>
      </w:r>
      <w:r w:rsidR="00EE555C">
        <w:t xml:space="preserve">generally </w:t>
      </w:r>
      <w:r>
        <w:t xml:space="preserve">improved (with no ratings lower than ‘4’ in 2018-19) under the streamlined AQC process. A summary of year-on-year AQC ratings is in Annex D. </w:t>
      </w:r>
    </w:p>
    <w:p w:rsidR="001C636C" w:rsidRDefault="00D7242F" w:rsidP="00D7242F">
      <w:r>
        <w:t xml:space="preserve">Two investments (Social Protection and BEST) that were deemed </w:t>
      </w:r>
      <w:r w:rsidR="00EE555C">
        <w:t>i</w:t>
      </w:r>
      <w:r>
        <w:t xml:space="preserve">nvestments </w:t>
      </w:r>
      <w:r w:rsidR="00EE555C">
        <w:t>r</w:t>
      </w:r>
      <w:r>
        <w:t xml:space="preserve">equiring </w:t>
      </w:r>
      <w:r w:rsidR="00EE555C">
        <w:t>i</w:t>
      </w:r>
      <w:r>
        <w:t>mprovements (IRIs) in 2017-18 improved their ratings and are no longer IRIs in 2018-19.</w:t>
      </w:r>
    </w:p>
    <w:p w:rsidR="002A51CA" w:rsidRDefault="001C636C" w:rsidP="000332D7">
      <w:pPr>
        <w:rPr>
          <w:rFonts w:cstheme="minorHAnsi"/>
        </w:rPr>
      </w:pPr>
      <w:r w:rsidRPr="000332D7">
        <w:rPr>
          <w:b/>
        </w:rPr>
        <w:t>Gender</w:t>
      </w:r>
      <w:r w:rsidR="000332D7">
        <w:rPr>
          <w:b/>
        </w:rPr>
        <w:t xml:space="preserve">. </w:t>
      </w:r>
      <w:r w:rsidR="00D7242F">
        <w:t xml:space="preserve">Overall portfolio performance fell </w:t>
      </w:r>
      <w:r w:rsidR="005470CA">
        <w:t xml:space="preserve">just </w:t>
      </w:r>
      <w:r w:rsidR="00D7242F">
        <w:t>short of</w:t>
      </w:r>
      <w:r w:rsidR="00622D55">
        <w:t xml:space="preserve"> DFAT’s</w:t>
      </w:r>
      <w:r w:rsidR="00D7242F">
        <w:t xml:space="preserve"> 80% benchmark for effectively addressing gender equality, with 75% (9 out of 12 investments) rated satisfactory </w:t>
      </w:r>
      <w:r w:rsidR="000332D7">
        <w:t>in gender equality in the AQCs</w:t>
      </w:r>
      <w:r w:rsidR="00D7242F">
        <w:t>.</w:t>
      </w:r>
      <w:r w:rsidR="008B701D">
        <w:t xml:space="preserve"> </w:t>
      </w:r>
      <w:r w:rsidR="00C9654A">
        <w:t xml:space="preserve">Nevertheless, AQC moderation discussions noted that most of the action items that the DFAT Gender Equality Branch </w:t>
      </w:r>
      <w:r w:rsidR="00C9654A" w:rsidRPr="001E7A4D">
        <w:t xml:space="preserve">supported the previous year have been implemented. </w:t>
      </w:r>
      <w:r w:rsidR="000332D7" w:rsidRPr="001E7A4D">
        <w:t xml:space="preserve">Of the three investments rated unsatisfactory, </w:t>
      </w:r>
      <w:r w:rsidR="00622D55">
        <w:rPr>
          <w:rFonts w:cstheme="minorHAnsi"/>
        </w:rPr>
        <w:t>Pathways</w:t>
      </w:r>
      <w:r w:rsidR="001E7A4D" w:rsidRPr="001E7A4D">
        <w:rPr>
          <w:rFonts w:cstheme="minorHAnsi"/>
        </w:rPr>
        <w:t xml:space="preserve"> will mobilise additional resources and provide clearer operational guidance to improve gender equality in implementation. T</w:t>
      </w:r>
      <w:r w:rsidR="000332D7" w:rsidRPr="001E7A4D">
        <w:rPr>
          <w:rFonts w:cstheme="minorHAnsi"/>
        </w:rPr>
        <w:t>he</w:t>
      </w:r>
      <w:r w:rsidR="008B701D" w:rsidRPr="001E7A4D">
        <w:rPr>
          <w:rFonts w:cstheme="minorHAnsi"/>
        </w:rPr>
        <w:t xml:space="preserve"> </w:t>
      </w:r>
      <w:r w:rsidR="000332D7" w:rsidRPr="001E7A4D">
        <w:rPr>
          <w:rFonts w:cstheme="minorHAnsi"/>
        </w:rPr>
        <w:t xml:space="preserve">two </w:t>
      </w:r>
      <w:r w:rsidR="00622D55">
        <w:rPr>
          <w:rFonts w:cstheme="minorHAnsi"/>
        </w:rPr>
        <w:t>other</w:t>
      </w:r>
      <w:r w:rsidR="008B701D" w:rsidRPr="001E7A4D">
        <w:rPr>
          <w:rFonts w:cstheme="minorHAnsi"/>
        </w:rPr>
        <w:t xml:space="preserve"> investments </w:t>
      </w:r>
      <w:r w:rsidR="00A82097" w:rsidRPr="001E7A4D">
        <w:rPr>
          <w:rFonts w:cstheme="minorHAnsi"/>
        </w:rPr>
        <w:t>(UTF and PFMP-II)</w:t>
      </w:r>
      <w:r w:rsidR="00B87A7F" w:rsidRPr="001E7A4D">
        <w:rPr>
          <w:rFonts w:cstheme="minorHAnsi"/>
        </w:rPr>
        <w:t xml:space="preserve"> require no further actions as</w:t>
      </w:r>
      <w:r w:rsidR="00B87A7F">
        <w:rPr>
          <w:rFonts w:cstheme="minorHAnsi"/>
        </w:rPr>
        <w:t xml:space="preserve"> these</w:t>
      </w:r>
      <w:r w:rsidR="00A82097" w:rsidRPr="000332D7">
        <w:rPr>
          <w:rFonts w:cstheme="minorHAnsi"/>
        </w:rPr>
        <w:t xml:space="preserve"> already </w:t>
      </w:r>
      <w:r w:rsidR="008B701D" w:rsidRPr="000332D7">
        <w:rPr>
          <w:rFonts w:cstheme="minorHAnsi"/>
        </w:rPr>
        <w:t>ended on 30 June 20</w:t>
      </w:r>
      <w:r w:rsidR="008B701D" w:rsidRPr="00C9654A">
        <w:rPr>
          <w:rFonts w:cstheme="minorHAnsi"/>
        </w:rPr>
        <w:t>19.</w:t>
      </w:r>
    </w:p>
    <w:p w:rsidR="00C9654A" w:rsidRPr="000332D7" w:rsidRDefault="00C9654A" w:rsidP="00F42343">
      <w:pPr>
        <w:spacing w:after="0"/>
      </w:pPr>
      <w:r>
        <w:t>Several investments contributed to the reporting of DFAT’s Aggregate Development Results</w:t>
      </w:r>
      <w:r w:rsidR="005C1319">
        <w:t xml:space="preserve"> (ADRs)</w:t>
      </w:r>
      <w:r>
        <w:t xml:space="preserve"> related to improving </w:t>
      </w:r>
      <w:r w:rsidRPr="000332D7">
        <w:t>gender equality outcomes</w:t>
      </w:r>
      <w:r>
        <w:t>,</w:t>
      </w:r>
      <w:r w:rsidRPr="000332D7">
        <w:t xml:space="preserve"> such as:</w:t>
      </w:r>
    </w:p>
    <w:p w:rsidR="00C9654A" w:rsidRDefault="00C9654A" w:rsidP="00F42343">
      <w:pPr>
        <w:pStyle w:val="ListParagraph"/>
        <w:numPr>
          <w:ilvl w:val="0"/>
          <w:numId w:val="18"/>
        </w:numPr>
        <w:ind w:hanging="357"/>
        <w:rPr>
          <w:rFonts w:asciiTheme="minorHAnsi" w:hAnsiTheme="minorHAnsi" w:cstheme="minorHAnsi"/>
          <w:color w:val="495965" w:themeColor="text2"/>
          <w:sz w:val="22"/>
          <w:szCs w:val="22"/>
        </w:rPr>
      </w:pPr>
      <w:r>
        <w:rPr>
          <w:rFonts w:asciiTheme="minorHAnsi" w:hAnsiTheme="minorHAnsi" w:cstheme="minorHAnsi"/>
          <w:color w:val="495965" w:themeColor="text2"/>
          <w:sz w:val="22"/>
          <w:szCs w:val="22"/>
        </w:rPr>
        <w:t>Response and Recovery Assistance to the Philippines:</w:t>
      </w:r>
    </w:p>
    <w:p w:rsidR="00C9654A" w:rsidRDefault="00C9654A" w:rsidP="00F42343">
      <w:pPr>
        <w:pStyle w:val="ListParagraph"/>
        <w:numPr>
          <w:ilvl w:val="1"/>
          <w:numId w:val="18"/>
        </w:numPr>
        <w:ind w:left="1134" w:hanging="357"/>
        <w:rPr>
          <w:rFonts w:asciiTheme="minorHAnsi" w:hAnsiTheme="minorHAnsi" w:cstheme="minorHAnsi"/>
          <w:color w:val="495965" w:themeColor="text2"/>
          <w:sz w:val="22"/>
          <w:szCs w:val="22"/>
        </w:rPr>
      </w:pPr>
      <w:r>
        <w:rPr>
          <w:rFonts w:asciiTheme="minorHAnsi" w:hAnsiTheme="minorHAnsi" w:cstheme="minorHAnsi"/>
          <w:color w:val="495965" w:themeColor="text2"/>
          <w:sz w:val="22"/>
          <w:szCs w:val="22"/>
        </w:rPr>
        <w:t>Number of poor women and men who increase their access</w:t>
      </w:r>
      <w:r w:rsidR="001E7A4D">
        <w:rPr>
          <w:rFonts w:asciiTheme="minorHAnsi" w:hAnsiTheme="minorHAnsi" w:cstheme="minorHAnsi"/>
          <w:color w:val="495965" w:themeColor="text2"/>
          <w:sz w:val="22"/>
          <w:szCs w:val="22"/>
        </w:rPr>
        <w:t xml:space="preserve"> to financial services (W: 213; M: 53</w:t>
      </w:r>
      <w:r>
        <w:rPr>
          <w:rFonts w:asciiTheme="minorHAnsi" w:hAnsiTheme="minorHAnsi" w:cstheme="minorHAnsi"/>
          <w:color w:val="495965" w:themeColor="text2"/>
          <w:sz w:val="22"/>
          <w:szCs w:val="22"/>
        </w:rPr>
        <w:t>)</w:t>
      </w:r>
    </w:p>
    <w:p w:rsidR="00C9654A" w:rsidRDefault="00C9654A" w:rsidP="00F42343">
      <w:pPr>
        <w:pStyle w:val="ListParagraph"/>
        <w:numPr>
          <w:ilvl w:val="1"/>
          <w:numId w:val="18"/>
        </w:numPr>
        <w:ind w:left="1134" w:hanging="357"/>
        <w:rPr>
          <w:rFonts w:asciiTheme="minorHAnsi" w:hAnsiTheme="minorHAnsi" w:cstheme="minorHAnsi"/>
          <w:color w:val="495965" w:themeColor="text2"/>
          <w:sz w:val="22"/>
          <w:szCs w:val="22"/>
        </w:rPr>
      </w:pPr>
      <w:r>
        <w:rPr>
          <w:rFonts w:asciiTheme="minorHAnsi" w:hAnsiTheme="minorHAnsi" w:cstheme="minorHAnsi"/>
          <w:color w:val="495965" w:themeColor="text2"/>
          <w:sz w:val="22"/>
          <w:szCs w:val="22"/>
        </w:rPr>
        <w:t>Number of vulnerable women, men, girls and boys provided with life-saving assistance in crisis and c</w:t>
      </w:r>
      <w:r w:rsidR="001E7A4D">
        <w:rPr>
          <w:rFonts w:asciiTheme="minorHAnsi" w:hAnsiTheme="minorHAnsi" w:cstheme="minorHAnsi"/>
          <w:color w:val="495965" w:themeColor="text2"/>
          <w:sz w:val="22"/>
          <w:szCs w:val="22"/>
        </w:rPr>
        <w:t>onflict situations (W: 62,114; M: 57,336</w:t>
      </w:r>
      <w:r>
        <w:rPr>
          <w:rFonts w:asciiTheme="minorHAnsi" w:hAnsiTheme="minorHAnsi" w:cstheme="minorHAnsi"/>
          <w:color w:val="495965" w:themeColor="text2"/>
          <w:sz w:val="22"/>
          <w:szCs w:val="22"/>
        </w:rPr>
        <w:t>)</w:t>
      </w:r>
    </w:p>
    <w:p w:rsidR="00C9654A" w:rsidRDefault="00C9654A" w:rsidP="00F42343">
      <w:pPr>
        <w:pStyle w:val="ListParagraph"/>
        <w:numPr>
          <w:ilvl w:val="0"/>
          <w:numId w:val="18"/>
        </w:numPr>
        <w:ind w:hanging="357"/>
        <w:rPr>
          <w:rFonts w:asciiTheme="minorHAnsi" w:hAnsiTheme="minorHAnsi" w:cstheme="minorHAnsi"/>
          <w:color w:val="495965" w:themeColor="text2"/>
          <w:sz w:val="22"/>
          <w:szCs w:val="22"/>
        </w:rPr>
      </w:pPr>
      <w:r>
        <w:rPr>
          <w:rFonts w:asciiTheme="minorHAnsi" w:hAnsiTheme="minorHAnsi" w:cstheme="minorHAnsi"/>
          <w:color w:val="495965" w:themeColor="text2"/>
          <w:sz w:val="22"/>
          <w:szCs w:val="22"/>
        </w:rPr>
        <w:t xml:space="preserve">Education Pathways to Peace in Mindanao </w:t>
      </w:r>
    </w:p>
    <w:p w:rsidR="00C9654A" w:rsidRDefault="00C9654A" w:rsidP="00C9654A">
      <w:pPr>
        <w:pStyle w:val="ListParagraph"/>
        <w:numPr>
          <w:ilvl w:val="1"/>
          <w:numId w:val="18"/>
        </w:numPr>
        <w:ind w:left="1134"/>
        <w:rPr>
          <w:rFonts w:asciiTheme="minorHAnsi" w:hAnsiTheme="minorHAnsi" w:cstheme="minorHAnsi"/>
          <w:color w:val="495965" w:themeColor="text2"/>
          <w:sz w:val="22"/>
          <w:szCs w:val="22"/>
        </w:rPr>
      </w:pPr>
      <w:r>
        <w:rPr>
          <w:rFonts w:asciiTheme="minorHAnsi" w:hAnsiTheme="minorHAnsi" w:cstheme="minorHAnsi"/>
          <w:color w:val="495965" w:themeColor="text2"/>
          <w:sz w:val="22"/>
          <w:szCs w:val="22"/>
        </w:rPr>
        <w:t>Number of teachers trained in order to improve learning outcomes (</w:t>
      </w:r>
      <w:r w:rsidR="001E7A4D">
        <w:rPr>
          <w:rFonts w:asciiTheme="minorHAnsi" w:hAnsiTheme="minorHAnsi" w:cstheme="minorHAnsi"/>
          <w:color w:val="495965" w:themeColor="text2"/>
          <w:sz w:val="22"/>
          <w:szCs w:val="22"/>
        </w:rPr>
        <w:t>W:1,628; M</w:t>
      </w:r>
      <w:r>
        <w:rPr>
          <w:rFonts w:asciiTheme="minorHAnsi" w:hAnsiTheme="minorHAnsi" w:cstheme="minorHAnsi"/>
          <w:color w:val="495965" w:themeColor="text2"/>
          <w:sz w:val="22"/>
          <w:szCs w:val="22"/>
        </w:rPr>
        <w:t>:1,982;)</w:t>
      </w:r>
    </w:p>
    <w:p w:rsidR="009D7A9E" w:rsidRDefault="009D7A9E" w:rsidP="00130665">
      <w:pPr>
        <w:rPr>
          <w:rFonts w:cstheme="minorHAnsi"/>
        </w:rPr>
      </w:pPr>
      <w:r w:rsidRPr="00130665">
        <w:rPr>
          <w:rFonts w:cstheme="minorHAnsi"/>
          <w:b/>
        </w:rPr>
        <w:t>Disability</w:t>
      </w:r>
      <w:r w:rsidR="00D13225">
        <w:rPr>
          <w:rFonts w:cstheme="minorHAnsi"/>
        </w:rPr>
        <w:t>. Results</w:t>
      </w:r>
      <w:r>
        <w:rPr>
          <w:rFonts w:cstheme="minorHAnsi"/>
        </w:rPr>
        <w:t xml:space="preserve"> from the 12 AQC</w:t>
      </w:r>
      <w:r w:rsidR="00D13225">
        <w:rPr>
          <w:rFonts w:cstheme="minorHAnsi"/>
        </w:rPr>
        <w:t>s</w:t>
      </w:r>
      <w:r>
        <w:rPr>
          <w:rFonts w:cstheme="minorHAnsi"/>
        </w:rPr>
        <w:t xml:space="preserve"> show </w:t>
      </w:r>
      <w:r w:rsidR="00D13225">
        <w:rPr>
          <w:rFonts w:cstheme="minorHAnsi"/>
        </w:rPr>
        <w:t xml:space="preserve">satisfactory ratings for </w:t>
      </w:r>
      <w:r w:rsidR="00622D55">
        <w:rPr>
          <w:rFonts w:cstheme="minorHAnsi"/>
        </w:rPr>
        <w:t>eight</w:t>
      </w:r>
      <w:r w:rsidR="00D13225">
        <w:rPr>
          <w:rFonts w:cstheme="minorHAnsi"/>
        </w:rPr>
        <w:t xml:space="preserve"> investments in involving people with disabilities (sub-criterion 1) and </w:t>
      </w:r>
      <w:r w:rsidR="00EF0BF7">
        <w:rPr>
          <w:rFonts w:cstheme="minorHAnsi"/>
        </w:rPr>
        <w:t xml:space="preserve">for </w:t>
      </w:r>
      <w:r w:rsidR="00D13225">
        <w:rPr>
          <w:rFonts w:cstheme="minorHAnsi"/>
        </w:rPr>
        <w:t>ten investments</w:t>
      </w:r>
      <w:r w:rsidR="00EF0BF7">
        <w:rPr>
          <w:rFonts w:cstheme="minorHAnsi"/>
        </w:rPr>
        <w:t xml:space="preserve"> in identifying and addressing barriers to inclusion (sub-criterion 2). Examples of disability inclusive outcomes from investments include:</w:t>
      </w:r>
    </w:p>
    <w:p w:rsidR="00EF0BF7" w:rsidRPr="00E601C5" w:rsidRDefault="00EF0BF7" w:rsidP="00E601C5">
      <w:pPr>
        <w:pStyle w:val="ListParagraph"/>
        <w:numPr>
          <w:ilvl w:val="0"/>
          <w:numId w:val="19"/>
        </w:numPr>
        <w:rPr>
          <w:rFonts w:asciiTheme="minorHAnsi" w:hAnsiTheme="minorHAnsi" w:cstheme="minorHAnsi"/>
          <w:color w:val="495965" w:themeColor="text2"/>
          <w:sz w:val="22"/>
          <w:szCs w:val="22"/>
        </w:rPr>
      </w:pPr>
      <w:r>
        <w:rPr>
          <w:rFonts w:asciiTheme="minorHAnsi" w:hAnsiTheme="minorHAnsi" w:cstheme="minorHAnsi"/>
          <w:color w:val="495965" w:themeColor="text2"/>
          <w:sz w:val="22"/>
          <w:szCs w:val="22"/>
        </w:rPr>
        <w:lastRenderedPageBreak/>
        <w:t>Response and Recovery Assistance to the Philippines:</w:t>
      </w:r>
      <w:r w:rsidR="003C7F6D">
        <w:rPr>
          <w:rFonts w:asciiTheme="minorHAnsi" w:hAnsiTheme="minorHAnsi" w:cstheme="minorHAnsi"/>
          <w:color w:val="495965" w:themeColor="text2"/>
          <w:sz w:val="22"/>
          <w:szCs w:val="22"/>
        </w:rPr>
        <w:t xml:space="preserve"> </w:t>
      </w:r>
      <w:r w:rsidR="003C7F6D" w:rsidRPr="00E601C5">
        <w:rPr>
          <w:rFonts w:asciiTheme="minorHAnsi" w:hAnsiTheme="minorHAnsi" w:cstheme="minorHAnsi"/>
          <w:color w:val="495965" w:themeColor="text2"/>
          <w:sz w:val="22"/>
          <w:szCs w:val="22"/>
        </w:rPr>
        <w:t>T</w:t>
      </w:r>
      <w:r w:rsidRPr="00E601C5">
        <w:rPr>
          <w:rFonts w:asciiTheme="minorHAnsi" w:hAnsiTheme="minorHAnsi" w:cstheme="minorHAnsi"/>
          <w:color w:val="495965" w:themeColor="text2"/>
          <w:sz w:val="22"/>
          <w:szCs w:val="22"/>
        </w:rPr>
        <w:t xml:space="preserve">he Marawi Recovery Project identified the most vulnerable people with disabilities (PWD) </w:t>
      </w:r>
      <w:r w:rsidR="003C7F6D" w:rsidRPr="00E601C5">
        <w:rPr>
          <w:rFonts w:asciiTheme="minorHAnsi" w:hAnsiTheme="minorHAnsi" w:cstheme="minorHAnsi"/>
          <w:color w:val="495965" w:themeColor="text2"/>
          <w:sz w:val="22"/>
          <w:szCs w:val="22"/>
        </w:rPr>
        <w:t xml:space="preserve">and </w:t>
      </w:r>
      <w:r w:rsidRPr="00E601C5">
        <w:rPr>
          <w:rFonts w:asciiTheme="minorHAnsi" w:hAnsiTheme="minorHAnsi" w:cstheme="minorHAnsi"/>
          <w:color w:val="495965" w:themeColor="text2"/>
          <w:sz w:val="22"/>
          <w:szCs w:val="22"/>
        </w:rPr>
        <w:t>assist</w:t>
      </w:r>
      <w:r w:rsidR="003C7F6D" w:rsidRPr="00E601C5">
        <w:rPr>
          <w:rFonts w:asciiTheme="minorHAnsi" w:hAnsiTheme="minorHAnsi" w:cstheme="minorHAnsi"/>
          <w:color w:val="495965" w:themeColor="text2"/>
          <w:sz w:val="22"/>
          <w:szCs w:val="22"/>
        </w:rPr>
        <w:t>ed</w:t>
      </w:r>
      <w:r w:rsidRPr="00E601C5">
        <w:rPr>
          <w:rFonts w:asciiTheme="minorHAnsi" w:hAnsiTheme="minorHAnsi" w:cstheme="minorHAnsi"/>
          <w:color w:val="495965" w:themeColor="text2"/>
          <w:sz w:val="22"/>
          <w:szCs w:val="22"/>
        </w:rPr>
        <w:t xml:space="preserve"> 357 PWDs avail of free services and </w:t>
      </w:r>
      <w:r w:rsidR="003C7F6D" w:rsidRPr="00E601C5">
        <w:rPr>
          <w:rFonts w:asciiTheme="minorHAnsi" w:hAnsiTheme="minorHAnsi" w:cstheme="minorHAnsi"/>
          <w:color w:val="495965" w:themeColor="text2"/>
          <w:sz w:val="22"/>
          <w:szCs w:val="22"/>
        </w:rPr>
        <w:t xml:space="preserve">provided </w:t>
      </w:r>
      <w:r w:rsidRPr="00E601C5">
        <w:rPr>
          <w:rFonts w:asciiTheme="minorHAnsi" w:hAnsiTheme="minorHAnsi" w:cstheme="minorHAnsi"/>
          <w:color w:val="495965" w:themeColor="text2"/>
          <w:sz w:val="22"/>
          <w:szCs w:val="22"/>
        </w:rPr>
        <w:t>25 PWDs with assistive devices</w:t>
      </w:r>
      <w:r w:rsidR="00622D55">
        <w:rPr>
          <w:rFonts w:asciiTheme="minorHAnsi" w:hAnsiTheme="minorHAnsi" w:cstheme="minorHAnsi"/>
          <w:color w:val="495965" w:themeColor="text2"/>
          <w:sz w:val="22"/>
          <w:szCs w:val="22"/>
        </w:rPr>
        <w:t xml:space="preserve"> </w:t>
      </w:r>
      <w:r w:rsidR="007417DF">
        <w:rPr>
          <w:rFonts w:asciiTheme="minorHAnsi" w:hAnsiTheme="minorHAnsi" w:cstheme="minorHAnsi"/>
          <w:color w:val="495965" w:themeColor="text2"/>
          <w:sz w:val="22"/>
          <w:szCs w:val="22"/>
        </w:rPr>
        <w:t>(e.g. wheelchairs)</w:t>
      </w:r>
      <w:r w:rsidRPr="00E601C5">
        <w:rPr>
          <w:rFonts w:asciiTheme="minorHAnsi" w:hAnsiTheme="minorHAnsi" w:cstheme="minorHAnsi"/>
          <w:color w:val="495965" w:themeColor="text2"/>
          <w:sz w:val="22"/>
          <w:szCs w:val="22"/>
        </w:rPr>
        <w:t>.</w:t>
      </w:r>
    </w:p>
    <w:p w:rsidR="00EF0BF7" w:rsidRPr="00E601C5" w:rsidRDefault="00EF0BF7" w:rsidP="00E601C5">
      <w:pPr>
        <w:pStyle w:val="ListParagraph"/>
        <w:numPr>
          <w:ilvl w:val="0"/>
          <w:numId w:val="19"/>
        </w:numPr>
        <w:rPr>
          <w:rFonts w:asciiTheme="minorHAnsi" w:hAnsiTheme="minorHAnsi" w:cstheme="minorHAnsi"/>
          <w:color w:val="495965" w:themeColor="text2"/>
          <w:sz w:val="22"/>
          <w:szCs w:val="22"/>
        </w:rPr>
      </w:pPr>
      <w:r>
        <w:rPr>
          <w:rFonts w:asciiTheme="minorHAnsi" w:hAnsiTheme="minorHAnsi" w:cstheme="minorHAnsi"/>
          <w:color w:val="495965" w:themeColor="text2"/>
          <w:sz w:val="22"/>
          <w:szCs w:val="22"/>
        </w:rPr>
        <w:t>Strengthening Philippines Public Private Partnerships Program:</w:t>
      </w:r>
      <w:r w:rsidR="003C7F6D">
        <w:rPr>
          <w:rFonts w:asciiTheme="minorHAnsi" w:hAnsiTheme="minorHAnsi" w:cstheme="minorHAnsi"/>
          <w:color w:val="495965" w:themeColor="text2"/>
          <w:sz w:val="22"/>
          <w:szCs w:val="22"/>
        </w:rPr>
        <w:t xml:space="preserve"> </w:t>
      </w:r>
      <w:r w:rsidR="003C7F6D" w:rsidRPr="00E601C5">
        <w:rPr>
          <w:rFonts w:asciiTheme="minorHAnsi" w:hAnsiTheme="minorHAnsi" w:cstheme="minorHAnsi"/>
          <w:color w:val="495965" w:themeColor="text2"/>
          <w:sz w:val="22"/>
          <w:szCs w:val="22"/>
        </w:rPr>
        <w:t xml:space="preserve">Minimum performance standards and specifications contained in contracts for PPP projects supported by the Philippines PPP Center require compliance with </w:t>
      </w:r>
      <w:r w:rsidR="007417DF">
        <w:rPr>
          <w:rFonts w:asciiTheme="minorHAnsi" w:hAnsiTheme="minorHAnsi" w:cstheme="minorHAnsi"/>
          <w:color w:val="495965" w:themeColor="text2"/>
          <w:sz w:val="22"/>
          <w:szCs w:val="22"/>
        </w:rPr>
        <w:t xml:space="preserve">Philippine </w:t>
      </w:r>
      <w:r w:rsidR="003C7F6D" w:rsidRPr="00E601C5">
        <w:rPr>
          <w:rFonts w:asciiTheme="minorHAnsi" w:hAnsiTheme="minorHAnsi" w:cstheme="minorHAnsi"/>
          <w:color w:val="495965" w:themeColor="text2"/>
          <w:sz w:val="22"/>
          <w:szCs w:val="22"/>
        </w:rPr>
        <w:t>legal requirements on disability inclusion.</w:t>
      </w:r>
    </w:p>
    <w:p w:rsidR="003C7F6D" w:rsidRPr="00E601C5" w:rsidRDefault="003C7F6D" w:rsidP="00E601C5">
      <w:pPr>
        <w:pStyle w:val="ListParagraph"/>
        <w:numPr>
          <w:ilvl w:val="0"/>
          <w:numId w:val="19"/>
        </w:numPr>
        <w:rPr>
          <w:rFonts w:asciiTheme="minorHAnsi" w:hAnsiTheme="minorHAnsi" w:cstheme="minorHAnsi"/>
          <w:color w:val="495965" w:themeColor="text2"/>
          <w:sz w:val="22"/>
          <w:szCs w:val="22"/>
        </w:rPr>
      </w:pPr>
      <w:r>
        <w:rPr>
          <w:rFonts w:asciiTheme="minorHAnsi" w:hAnsiTheme="minorHAnsi" w:cstheme="minorHAnsi"/>
          <w:color w:val="495965" w:themeColor="text2"/>
          <w:sz w:val="22"/>
          <w:szCs w:val="22"/>
        </w:rPr>
        <w:t>Coalitions for Change Phase 2: With support from CfC 2, t</w:t>
      </w:r>
      <w:r w:rsidRPr="00E601C5">
        <w:rPr>
          <w:rFonts w:asciiTheme="minorHAnsi" w:hAnsiTheme="minorHAnsi" w:cstheme="minorHAnsi"/>
          <w:color w:val="495965" w:themeColor="text2"/>
          <w:sz w:val="22"/>
          <w:szCs w:val="22"/>
        </w:rPr>
        <w:t xml:space="preserve">he </w:t>
      </w:r>
      <w:r>
        <w:rPr>
          <w:rFonts w:asciiTheme="minorHAnsi" w:hAnsiTheme="minorHAnsi" w:cstheme="minorHAnsi"/>
          <w:color w:val="495965" w:themeColor="text2"/>
          <w:sz w:val="22"/>
          <w:szCs w:val="22"/>
        </w:rPr>
        <w:t xml:space="preserve">Philippine </w:t>
      </w:r>
      <w:r w:rsidRPr="00E601C5">
        <w:rPr>
          <w:rFonts w:asciiTheme="minorHAnsi" w:hAnsiTheme="minorHAnsi" w:cstheme="minorHAnsi"/>
          <w:color w:val="495965" w:themeColor="text2"/>
          <w:sz w:val="22"/>
          <w:szCs w:val="22"/>
        </w:rPr>
        <w:t xml:space="preserve">Government launched a </w:t>
      </w:r>
      <w:r>
        <w:rPr>
          <w:rFonts w:asciiTheme="minorHAnsi" w:hAnsiTheme="minorHAnsi" w:cstheme="minorHAnsi"/>
          <w:color w:val="495965" w:themeColor="text2"/>
          <w:sz w:val="22"/>
          <w:szCs w:val="22"/>
        </w:rPr>
        <w:t>nationwide campaign to ensure 1 per cent</w:t>
      </w:r>
      <w:r w:rsidRPr="00E601C5">
        <w:rPr>
          <w:rFonts w:asciiTheme="minorHAnsi" w:hAnsiTheme="minorHAnsi" w:cstheme="minorHAnsi"/>
          <w:color w:val="495965" w:themeColor="text2"/>
          <w:sz w:val="22"/>
          <w:szCs w:val="22"/>
        </w:rPr>
        <w:t xml:space="preserve"> of civil service positions are allocated for PWDs.</w:t>
      </w:r>
    </w:p>
    <w:p w:rsidR="00600479" w:rsidRPr="00CF62AE" w:rsidRDefault="00600479" w:rsidP="00600479">
      <w:pPr>
        <w:rPr>
          <w:sz w:val="32"/>
          <w:szCs w:val="32"/>
          <w:lang w:eastAsia="zh-CN"/>
        </w:rPr>
      </w:pPr>
      <w:r w:rsidRPr="00CF62AE">
        <w:rPr>
          <w:sz w:val="32"/>
          <w:szCs w:val="32"/>
          <w:lang w:eastAsia="zh-CN"/>
        </w:rPr>
        <w:t>Performance of key delivery partners</w:t>
      </w:r>
    </w:p>
    <w:p w:rsidR="00D7242F" w:rsidRPr="00C45AA8" w:rsidRDefault="00D7242F" w:rsidP="00D7242F">
      <w:r w:rsidRPr="00C45AA8">
        <w:t xml:space="preserve">In 2018-19, 15 Partner Performance Assessments (PPAs) (four with multilateral organisations, six with international NGOs and five with managing contractors) were completed by the Philippines Program. DFAT is achieving value for money and effective program assistance from partners based on these assessments. </w:t>
      </w:r>
    </w:p>
    <w:p w:rsidR="00431E2C" w:rsidRDefault="00D7242F" w:rsidP="00D7242F">
      <w:r w:rsidRPr="00C45AA8">
        <w:t xml:space="preserve">The PPA process provided a useful avenue for structured engagement with partners for </w:t>
      </w:r>
      <w:r w:rsidR="00EE555C">
        <w:t>i</w:t>
      </w:r>
      <w:r w:rsidRPr="00C45AA8">
        <w:t xml:space="preserve">nvestments </w:t>
      </w:r>
      <w:r w:rsidR="00EE555C">
        <w:t>r</w:t>
      </w:r>
      <w:r w:rsidRPr="00C45AA8">
        <w:t xml:space="preserve">equiring </w:t>
      </w:r>
      <w:r w:rsidR="00EE555C">
        <w:t>i</w:t>
      </w:r>
      <w:r w:rsidRPr="00C45AA8">
        <w:t xml:space="preserve">mprovement (IRIs) in the previous year. For example, in the case of the BEST, the Managing Contractor’s senior management team demonstrated constructive commitment to turn the program around based on the detailed IRI Remediation Plan developed by the Philippines Program. BEST’s performance improved significantly and enabled the program to end on a positive note </w:t>
      </w:r>
      <w:r w:rsidR="00810127">
        <w:t>i</w:t>
      </w:r>
      <w:r w:rsidRPr="00C45AA8">
        <w:t>n its final year of implementation.</w:t>
      </w:r>
    </w:p>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0F1E5B" w:rsidRDefault="000F1E5B" w:rsidP="00D7242F"/>
    <w:p w:rsidR="002A51CA" w:rsidRPr="002A51CA" w:rsidRDefault="002A51CA" w:rsidP="00166989">
      <w:pPr>
        <w:pStyle w:val="Heading2"/>
        <w:spacing w:before="240" w:line="300" w:lineRule="exact"/>
        <w:contextualSpacing w:val="0"/>
      </w:pPr>
      <w:r w:rsidRPr="002A51CA">
        <w:t>Risks</w:t>
      </w:r>
    </w:p>
    <w:p w:rsidR="002A51CA" w:rsidRPr="008C2F58"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W w:w="9640" w:type="dxa"/>
        <w:tblLayout w:type="fixed"/>
        <w:tblCellMar>
          <w:left w:w="0" w:type="dxa"/>
          <w:right w:w="0" w:type="dxa"/>
        </w:tblCellMar>
        <w:tblLook w:val="0000" w:firstRow="0" w:lastRow="0" w:firstColumn="0" w:lastColumn="0" w:noHBand="0" w:noVBand="0"/>
      </w:tblPr>
      <w:tblGrid>
        <w:gridCol w:w="1985"/>
        <w:gridCol w:w="2410"/>
        <w:gridCol w:w="2268"/>
        <w:gridCol w:w="1843"/>
        <w:gridCol w:w="1134"/>
      </w:tblGrid>
      <w:tr w:rsidR="00D7242F" w:rsidRPr="007417DF" w:rsidTr="00B14298">
        <w:trPr>
          <w:tblHeader/>
        </w:trPr>
        <w:tc>
          <w:tcPr>
            <w:tcW w:w="1985" w:type="dxa"/>
            <w:tcBorders>
              <w:top w:val="single" w:sz="12" w:space="0" w:color="000000"/>
              <w:left w:val="nil"/>
              <w:bottom w:val="nil"/>
              <w:right w:val="nil"/>
            </w:tcBorders>
          </w:tcPr>
          <w:p w:rsidR="00D7242F" w:rsidRPr="007417DF" w:rsidRDefault="00D7242F" w:rsidP="00746542">
            <w:pPr>
              <w:spacing w:before="40" w:after="40"/>
              <w:ind w:left="142" w:right="167"/>
              <w:rPr>
                <w:b/>
              </w:rPr>
            </w:pPr>
            <w:r w:rsidRPr="007417DF">
              <w:rPr>
                <w:b/>
              </w:rPr>
              <w:lastRenderedPageBreak/>
              <w:t>Key risks</w:t>
            </w:r>
          </w:p>
        </w:tc>
        <w:tc>
          <w:tcPr>
            <w:tcW w:w="2410" w:type="dxa"/>
            <w:tcBorders>
              <w:top w:val="single" w:sz="12" w:space="0" w:color="000000"/>
              <w:left w:val="nil"/>
              <w:bottom w:val="nil"/>
              <w:right w:val="nil"/>
            </w:tcBorders>
          </w:tcPr>
          <w:p w:rsidR="00D7242F" w:rsidRPr="007417DF" w:rsidRDefault="00D7242F" w:rsidP="00746542">
            <w:pPr>
              <w:spacing w:before="40" w:after="40"/>
              <w:ind w:left="117" w:right="141"/>
              <w:rPr>
                <w:b/>
              </w:rPr>
            </w:pPr>
            <w:r w:rsidRPr="007417DF">
              <w:rPr>
                <w:b/>
              </w:rPr>
              <w:t>What actions were taken to manage the risks over the past year?</w:t>
            </w:r>
          </w:p>
        </w:tc>
        <w:tc>
          <w:tcPr>
            <w:tcW w:w="2268" w:type="dxa"/>
            <w:tcBorders>
              <w:top w:val="single" w:sz="12" w:space="0" w:color="000000"/>
              <w:left w:val="nil"/>
              <w:bottom w:val="nil"/>
              <w:right w:val="nil"/>
            </w:tcBorders>
          </w:tcPr>
          <w:p w:rsidR="00D7242F" w:rsidRPr="007417DF" w:rsidRDefault="00D7242F" w:rsidP="00746542">
            <w:pPr>
              <w:spacing w:before="40" w:after="40"/>
              <w:ind w:left="143" w:right="174"/>
              <w:rPr>
                <w:b/>
              </w:rPr>
            </w:pPr>
            <w:r w:rsidRPr="007417DF">
              <w:rPr>
                <w:b/>
              </w:rPr>
              <w:t>What further actions will be taken to manage the risks in the coming year?</w:t>
            </w:r>
          </w:p>
        </w:tc>
        <w:tc>
          <w:tcPr>
            <w:tcW w:w="1843" w:type="dxa"/>
            <w:tcBorders>
              <w:top w:val="single" w:sz="12" w:space="0" w:color="000000"/>
              <w:left w:val="nil"/>
              <w:bottom w:val="nil"/>
              <w:right w:val="nil"/>
            </w:tcBorders>
          </w:tcPr>
          <w:p w:rsidR="00D7242F" w:rsidRPr="007417DF" w:rsidRDefault="00D7242F" w:rsidP="00746542">
            <w:pPr>
              <w:spacing w:before="40" w:after="40"/>
              <w:ind w:left="109" w:right="95"/>
              <w:rPr>
                <w:b/>
              </w:rPr>
            </w:pPr>
            <w:r w:rsidRPr="007417DF">
              <w:rPr>
                <w:b/>
              </w:rPr>
              <w:t>For emerging/</w:t>
            </w:r>
            <w:r w:rsidR="00FF602E" w:rsidRPr="007417DF">
              <w:rPr>
                <w:b/>
              </w:rPr>
              <w:t xml:space="preserve"> </w:t>
            </w:r>
            <w:r w:rsidRPr="007417DF">
              <w:rPr>
                <w:b/>
              </w:rPr>
              <w:t>ongoing risks provide a Risk Rating (low, medium, high, very high)</w:t>
            </w:r>
          </w:p>
        </w:tc>
        <w:tc>
          <w:tcPr>
            <w:tcW w:w="1134" w:type="dxa"/>
            <w:tcBorders>
              <w:top w:val="single" w:sz="12" w:space="0" w:color="000000"/>
              <w:left w:val="nil"/>
              <w:bottom w:val="nil"/>
              <w:right w:val="nil"/>
            </w:tcBorders>
          </w:tcPr>
          <w:p w:rsidR="00D7242F" w:rsidRPr="007417DF" w:rsidRDefault="00D7242F" w:rsidP="00746542">
            <w:pPr>
              <w:spacing w:before="40" w:after="40"/>
              <w:ind w:left="47" w:right="147"/>
              <w:rPr>
                <w:b/>
              </w:rPr>
            </w:pPr>
            <w:r w:rsidRPr="007417DF">
              <w:rPr>
                <w:b/>
              </w:rPr>
              <w:t>Are these same risks in Post’s Risk Register (Yes/No)</w:t>
            </w:r>
          </w:p>
        </w:tc>
      </w:tr>
      <w:tr w:rsidR="00D7242F" w:rsidRPr="007417DF" w:rsidTr="00B14298">
        <w:tc>
          <w:tcPr>
            <w:tcW w:w="1985" w:type="dxa"/>
            <w:tcBorders>
              <w:top w:val="nil"/>
              <w:left w:val="nil"/>
              <w:bottom w:val="nil"/>
              <w:right w:val="nil"/>
            </w:tcBorders>
          </w:tcPr>
          <w:p w:rsidR="00D7242F" w:rsidRPr="007417DF" w:rsidRDefault="00D7242F" w:rsidP="00746542">
            <w:pPr>
              <w:spacing w:before="0" w:after="40"/>
              <w:ind w:left="142" w:right="167"/>
            </w:pPr>
            <w:r w:rsidRPr="007417DF">
              <w:t>Humanitarian emergencies and natural disasters disrupt programs and divert resources</w:t>
            </w:r>
          </w:p>
        </w:tc>
        <w:tc>
          <w:tcPr>
            <w:tcW w:w="2410" w:type="dxa"/>
            <w:tcBorders>
              <w:top w:val="nil"/>
              <w:left w:val="nil"/>
              <w:bottom w:val="nil"/>
              <w:right w:val="nil"/>
            </w:tcBorders>
          </w:tcPr>
          <w:p w:rsidR="00D7242F" w:rsidRPr="007417DF" w:rsidRDefault="00D7242F" w:rsidP="00830D7D">
            <w:pPr>
              <w:spacing w:before="0" w:after="40"/>
              <w:ind w:left="117" w:right="141"/>
            </w:pPr>
            <w:r w:rsidRPr="007417DF">
              <w:t>Effective Whole-of-Government humanitarian response, backed by annual Emergency Response Team training exercises</w:t>
            </w:r>
          </w:p>
        </w:tc>
        <w:tc>
          <w:tcPr>
            <w:tcW w:w="2268" w:type="dxa"/>
            <w:tcBorders>
              <w:top w:val="nil"/>
              <w:left w:val="nil"/>
              <w:bottom w:val="nil"/>
              <w:right w:val="nil"/>
            </w:tcBorders>
          </w:tcPr>
          <w:p w:rsidR="00D7242F" w:rsidRPr="007417DF" w:rsidRDefault="00D7242F" w:rsidP="00746542">
            <w:pPr>
              <w:spacing w:before="0" w:after="40"/>
              <w:ind w:left="143" w:right="174"/>
            </w:pPr>
            <w:r w:rsidRPr="007417DF">
              <w:t>Continue to monitor targets of interest where Australia can provide effective support in humanitarian and disaster risk reduction</w:t>
            </w:r>
          </w:p>
        </w:tc>
        <w:tc>
          <w:tcPr>
            <w:tcW w:w="1843" w:type="dxa"/>
            <w:tcBorders>
              <w:top w:val="nil"/>
              <w:left w:val="nil"/>
              <w:bottom w:val="nil"/>
              <w:right w:val="nil"/>
            </w:tcBorders>
          </w:tcPr>
          <w:p w:rsidR="00D7242F" w:rsidRPr="007417DF" w:rsidRDefault="00D7242F" w:rsidP="00746542">
            <w:pPr>
              <w:spacing w:before="0" w:after="40"/>
              <w:ind w:left="109" w:right="95"/>
              <w:jc w:val="center"/>
            </w:pPr>
            <w:r w:rsidRPr="007417DF">
              <w:t>Medium</w:t>
            </w:r>
          </w:p>
        </w:tc>
        <w:tc>
          <w:tcPr>
            <w:tcW w:w="1134" w:type="dxa"/>
            <w:tcBorders>
              <w:top w:val="nil"/>
              <w:left w:val="nil"/>
              <w:bottom w:val="nil"/>
              <w:right w:val="nil"/>
            </w:tcBorders>
          </w:tcPr>
          <w:p w:rsidR="00D7242F" w:rsidRPr="007417DF" w:rsidRDefault="00D7242F" w:rsidP="00746542">
            <w:pPr>
              <w:spacing w:before="0" w:after="40"/>
              <w:ind w:left="47" w:right="147"/>
              <w:jc w:val="center"/>
            </w:pPr>
            <w:r w:rsidRPr="007417DF">
              <w:t>Yes</w:t>
            </w:r>
          </w:p>
        </w:tc>
      </w:tr>
      <w:tr w:rsidR="00D7242F" w:rsidRPr="007417DF" w:rsidTr="00B14298">
        <w:tc>
          <w:tcPr>
            <w:tcW w:w="1985" w:type="dxa"/>
            <w:tcBorders>
              <w:top w:val="nil"/>
              <w:left w:val="nil"/>
              <w:bottom w:val="nil"/>
              <w:right w:val="nil"/>
            </w:tcBorders>
          </w:tcPr>
          <w:p w:rsidR="00D7242F" w:rsidRPr="007417DF" w:rsidRDefault="00D7242F" w:rsidP="00B62561">
            <w:pPr>
              <w:spacing w:before="0" w:after="40"/>
              <w:ind w:left="142" w:right="167"/>
            </w:pPr>
            <w:r w:rsidRPr="007417DF">
              <w:t xml:space="preserve">Changes in </w:t>
            </w:r>
            <w:r w:rsidR="00B62561">
              <w:t>Government of the Philippines (</w:t>
            </w:r>
            <w:r w:rsidRPr="007417DF">
              <w:t>GPH</w:t>
            </w:r>
            <w:r w:rsidR="00B62561">
              <w:t>)</w:t>
            </w:r>
            <w:r w:rsidRPr="007417DF">
              <w:t xml:space="preserve"> priorities, changes in key contacts and/or poli</w:t>
            </w:r>
            <w:r w:rsidR="00E741E1" w:rsidRPr="007417DF">
              <w:t>tical and security instability</w:t>
            </w:r>
          </w:p>
        </w:tc>
        <w:tc>
          <w:tcPr>
            <w:tcW w:w="2410" w:type="dxa"/>
            <w:tcBorders>
              <w:top w:val="nil"/>
              <w:left w:val="nil"/>
              <w:bottom w:val="nil"/>
              <w:right w:val="nil"/>
            </w:tcBorders>
          </w:tcPr>
          <w:p w:rsidR="00D7242F" w:rsidRPr="007417DF" w:rsidRDefault="00D7242F" w:rsidP="00746542">
            <w:pPr>
              <w:spacing w:before="0" w:after="40"/>
              <w:ind w:left="117" w:right="141"/>
            </w:pPr>
            <w:r w:rsidRPr="007417DF">
              <w:t xml:space="preserve">Due diligence done prior to engagement with partners and contractors; worked flexibly to accommodate emerging priorities </w:t>
            </w:r>
          </w:p>
        </w:tc>
        <w:tc>
          <w:tcPr>
            <w:tcW w:w="2268" w:type="dxa"/>
            <w:tcBorders>
              <w:top w:val="nil"/>
              <w:left w:val="nil"/>
              <w:bottom w:val="nil"/>
              <w:right w:val="nil"/>
            </w:tcBorders>
          </w:tcPr>
          <w:p w:rsidR="00D7242F" w:rsidRPr="007417DF" w:rsidRDefault="00D7242F" w:rsidP="00746542">
            <w:pPr>
              <w:spacing w:before="0" w:after="40"/>
              <w:ind w:left="143" w:right="174"/>
            </w:pPr>
            <w:r w:rsidRPr="007417DF">
              <w:t xml:space="preserve">Continue with existing controls; </w:t>
            </w:r>
            <w:r w:rsidR="00E741E1" w:rsidRPr="007417DF">
              <w:t xml:space="preserve">continue to </w:t>
            </w:r>
            <w:r w:rsidRPr="007417DF">
              <w:t>build and strengthen relationships – including at Secretary level as new programs mobilise</w:t>
            </w:r>
          </w:p>
        </w:tc>
        <w:tc>
          <w:tcPr>
            <w:tcW w:w="1843" w:type="dxa"/>
            <w:tcBorders>
              <w:top w:val="nil"/>
              <w:left w:val="nil"/>
              <w:bottom w:val="nil"/>
              <w:right w:val="nil"/>
            </w:tcBorders>
          </w:tcPr>
          <w:p w:rsidR="00D7242F" w:rsidRPr="007417DF" w:rsidRDefault="00D7242F" w:rsidP="00746542">
            <w:pPr>
              <w:spacing w:before="0" w:after="40"/>
              <w:ind w:left="109" w:right="95"/>
              <w:jc w:val="center"/>
            </w:pPr>
            <w:r w:rsidRPr="007417DF">
              <w:t>Medium</w:t>
            </w:r>
          </w:p>
        </w:tc>
        <w:tc>
          <w:tcPr>
            <w:tcW w:w="1134" w:type="dxa"/>
            <w:tcBorders>
              <w:top w:val="nil"/>
              <w:left w:val="nil"/>
              <w:bottom w:val="nil"/>
              <w:right w:val="nil"/>
            </w:tcBorders>
          </w:tcPr>
          <w:p w:rsidR="00D7242F" w:rsidRPr="007417DF" w:rsidRDefault="00D7242F" w:rsidP="00746542">
            <w:pPr>
              <w:spacing w:before="0" w:after="40"/>
              <w:ind w:left="47" w:right="147"/>
              <w:jc w:val="center"/>
            </w:pPr>
            <w:r w:rsidRPr="007417DF">
              <w:t>Yes</w:t>
            </w:r>
          </w:p>
        </w:tc>
      </w:tr>
      <w:tr w:rsidR="00D7242F" w:rsidRPr="007417DF" w:rsidTr="00B14298">
        <w:tc>
          <w:tcPr>
            <w:tcW w:w="1985" w:type="dxa"/>
            <w:tcBorders>
              <w:top w:val="nil"/>
              <w:left w:val="nil"/>
              <w:bottom w:val="nil"/>
              <w:right w:val="nil"/>
            </w:tcBorders>
          </w:tcPr>
          <w:p w:rsidR="00D7242F" w:rsidRPr="007417DF" w:rsidRDefault="00D7242F" w:rsidP="00746542">
            <w:pPr>
              <w:spacing w:before="0" w:after="40"/>
              <w:ind w:left="142" w:right="167"/>
            </w:pPr>
            <w:r w:rsidRPr="007417DF">
              <w:t>Complex operating environment, active conflict setting, and presence of unlawful groups sees funds unintentionally directed towards entities/individuals w</w:t>
            </w:r>
            <w:r w:rsidR="00B62561">
              <w:t>ith links to unlawful activity</w:t>
            </w:r>
          </w:p>
        </w:tc>
        <w:tc>
          <w:tcPr>
            <w:tcW w:w="2410" w:type="dxa"/>
            <w:tcBorders>
              <w:top w:val="nil"/>
              <w:left w:val="nil"/>
              <w:bottom w:val="nil"/>
              <w:right w:val="nil"/>
            </w:tcBorders>
          </w:tcPr>
          <w:p w:rsidR="00D7242F" w:rsidRPr="007417DF" w:rsidRDefault="006F1011" w:rsidP="0048467E">
            <w:pPr>
              <w:spacing w:before="0" w:after="0"/>
              <w:ind w:left="117" w:right="141"/>
            </w:pPr>
            <w:r w:rsidRPr="007417DF">
              <w:t>O</w:t>
            </w:r>
            <w:r w:rsidR="00D7242F" w:rsidRPr="007417DF">
              <w:t>bligations for Managin</w:t>
            </w:r>
            <w:r w:rsidR="00E741E1" w:rsidRPr="007417DF">
              <w:t>g Contractors comply</w:t>
            </w:r>
            <w:r w:rsidR="00D7242F" w:rsidRPr="007417DF">
              <w:t xml:space="preserve"> with C</w:t>
            </w:r>
            <w:r w:rsidR="0048467E" w:rsidRPr="007417DF">
              <w:t>ommonwealth</w:t>
            </w:r>
            <w:r w:rsidR="00D7242F" w:rsidRPr="007417DF">
              <w:t xml:space="preserve"> Procurement Guidelines, including screening entities and indivi</w:t>
            </w:r>
            <w:r w:rsidR="00B62561">
              <w:t xml:space="preserve">duals through public databases; </w:t>
            </w:r>
            <w:r w:rsidR="00D7242F" w:rsidRPr="007417DF">
              <w:t xml:space="preserve">‘Managing Terrorism Financing Risk in the Philippines: Threat and Risk </w:t>
            </w:r>
            <w:r w:rsidRPr="007417DF">
              <w:t xml:space="preserve">Assessment and Framework’ </w:t>
            </w:r>
            <w:r w:rsidR="00E741E1" w:rsidRPr="007417DF">
              <w:t>approved</w:t>
            </w:r>
          </w:p>
        </w:tc>
        <w:tc>
          <w:tcPr>
            <w:tcW w:w="2268" w:type="dxa"/>
            <w:tcBorders>
              <w:top w:val="nil"/>
              <w:left w:val="nil"/>
              <w:bottom w:val="nil"/>
              <w:right w:val="nil"/>
            </w:tcBorders>
          </w:tcPr>
          <w:p w:rsidR="00D7242F" w:rsidRPr="007417DF" w:rsidRDefault="00B62561" w:rsidP="00746542">
            <w:pPr>
              <w:spacing w:before="0" w:after="40"/>
              <w:ind w:left="143" w:right="174"/>
            </w:pPr>
            <w:r>
              <w:t>C</w:t>
            </w:r>
            <w:r w:rsidR="00D7242F" w:rsidRPr="007417DF">
              <w:t>ontinue to implement additional screening measures on a quarterly basis; additional measures to be put in place for</w:t>
            </w:r>
            <w:r>
              <w:t xml:space="preserve"> conflict-settings as required</w:t>
            </w:r>
          </w:p>
        </w:tc>
        <w:tc>
          <w:tcPr>
            <w:tcW w:w="1843" w:type="dxa"/>
            <w:tcBorders>
              <w:top w:val="nil"/>
              <w:left w:val="nil"/>
              <w:bottom w:val="nil"/>
              <w:right w:val="nil"/>
            </w:tcBorders>
          </w:tcPr>
          <w:p w:rsidR="00D7242F" w:rsidRPr="007417DF" w:rsidRDefault="00D7242F" w:rsidP="00746542">
            <w:pPr>
              <w:spacing w:before="0" w:after="40"/>
              <w:ind w:left="109" w:right="95"/>
              <w:jc w:val="center"/>
            </w:pPr>
            <w:r w:rsidRPr="007417DF">
              <w:t>M</w:t>
            </w:r>
            <w:r w:rsidR="006F1011" w:rsidRPr="007417DF">
              <w:t>edium</w:t>
            </w:r>
          </w:p>
        </w:tc>
        <w:tc>
          <w:tcPr>
            <w:tcW w:w="1134" w:type="dxa"/>
            <w:tcBorders>
              <w:top w:val="nil"/>
              <w:left w:val="nil"/>
              <w:bottom w:val="nil"/>
              <w:right w:val="nil"/>
            </w:tcBorders>
          </w:tcPr>
          <w:p w:rsidR="00D7242F" w:rsidRPr="007417DF" w:rsidRDefault="006F1011" w:rsidP="00746542">
            <w:pPr>
              <w:spacing w:before="0" w:after="1680"/>
              <w:ind w:left="47" w:right="147"/>
              <w:jc w:val="center"/>
            </w:pPr>
            <w:r w:rsidRPr="007417DF">
              <w:t>Yes</w:t>
            </w:r>
          </w:p>
        </w:tc>
      </w:tr>
      <w:tr w:rsidR="00E741E1" w:rsidRPr="007417DF" w:rsidTr="00B14298">
        <w:tc>
          <w:tcPr>
            <w:tcW w:w="1985" w:type="dxa"/>
            <w:tcBorders>
              <w:top w:val="nil"/>
              <w:left w:val="nil"/>
              <w:bottom w:val="single" w:sz="12" w:space="0" w:color="000000"/>
              <w:right w:val="nil"/>
            </w:tcBorders>
          </w:tcPr>
          <w:p w:rsidR="00E741E1" w:rsidRPr="007417DF" w:rsidRDefault="006F1011" w:rsidP="00746542">
            <w:pPr>
              <w:spacing w:before="0" w:after="40"/>
              <w:ind w:left="142" w:right="167"/>
            </w:pPr>
            <w:r w:rsidRPr="007417DF">
              <w:t>GPH resistance to the ‘donor/</w:t>
            </w:r>
            <w:r w:rsidR="00746542" w:rsidRPr="007417DF">
              <w:t xml:space="preserve"> </w:t>
            </w:r>
            <w:r w:rsidRPr="007417DF">
              <w:t>recipient’ aid narrative, makes it challenging to communicate the relevance and e</w:t>
            </w:r>
            <w:r w:rsidR="00B62561">
              <w:t>ffectiveness of our aid program</w:t>
            </w:r>
          </w:p>
        </w:tc>
        <w:tc>
          <w:tcPr>
            <w:tcW w:w="2410" w:type="dxa"/>
            <w:tcBorders>
              <w:top w:val="nil"/>
              <w:left w:val="nil"/>
              <w:bottom w:val="single" w:sz="12" w:space="0" w:color="000000"/>
              <w:right w:val="nil"/>
            </w:tcBorders>
          </w:tcPr>
          <w:p w:rsidR="00E741E1" w:rsidRPr="007417DF" w:rsidRDefault="006F1011" w:rsidP="00746542">
            <w:pPr>
              <w:spacing w:before="0" w:after="0"/>
              <w:ind w:left="117" w:right="141"/>
            </w:pPr>
            <w:r w:rsidRPr="007417DF">
              <w:t>Different communications methods employed acro</w:t>
            </w:r>
            <w:r w:rsidR="00B62561">
              <w:t>ss certain parts of the program</w:t>
            </w:r>
          </w:p>
        </w:tc>
        <w:tc>
          <w:tcPr>
            <w:tcW w:w="2268" w:type="dxa"/>
            <w:tcBorders>
              <w:top w:val="nil"/>
              <w:left w:val="nil"/>
              <w:bottom w:val="single" w:sz="12" w:space="0" w:color="000000"/>
              <w:right w:val="nil"/>
            </w:tcBorders>
          </w:tcPr>
          <w:p w:rsidR="00E741E1" w:rsidRPr="007417DF" w:rsidRDefault="006F1011" w:rsidP="00746542">
            <w:pPr>
              <w:spacing w:before="0" w:after="40"/>
              <w:ind w:left="143" w:right="174"/>
            </w:pPr>
            <w:r w:rsidRPr="007417DF">
              <w:t>New communications strategy to be developed as the Philippines transitions to Upper Middle Income Country Status</w:t>
            </w:r>
          </w:p>
        </w:tc>
        <w:tc>
          <w:tcPr>
            <w:tcW w:w="1843" w:type="dxa"/>
            <w:tcBorders>
              <w:top w:val="nil"/>
              <w:left w:val="nil"/>
              <w:bottom w:val="single" w:sz="12" w:space="0" w:color="000000"/>
              <w:right w:val="nil"/>
            </w:tcBorders>
          </w:tcPr>
          <w:p w:rsidR="00E741E1" w:rsidRPr="007417DF" w:rsidRDefault="006F1011" w:rsidP="00746542">
            <w:pPr>
              <w:spacing w:before="0" w:after="40"/>
              <w:ind w:left="109" w:right="95"/>
              <w:jc w:val="center"/>
            </w:pPr>
            <w:r w:rsidRPr="007417DF">
              <w:t>Medium</w:t>
            </w:r>
          </w:p>
        </w:tc>
        <w:tc>
          <w:tcPr>
            <w:tcW w:w="1134" w:type="dxa"/>
            <w:tcBorders>
              <w:top w:val="nil"/>
              <w:left w:val="nil"/>
              <w:bottom w:val="single" w:sz="12" w:space="0" w:color="000000"/>
              <w:right w:val="nil"/>
            </w:tcBorders>
          </w:tcPr>
          <w:p w:rsidR="00E741E1" w:rsidRPr="007417DF" w:rsidRDefault="006F1011" w:rsidP="00746542">
            <w:pPr>
              <w:spacing w:before="0" w:after="1680"/>
              <w:ind w:left="47" w:right="147"/>
              <w:jc w:val="center"/>
            </w:pPr>
            <w:r w:rsidRPr="007417DF">
              <w:t>Yes</w:t>
            </w:r>
          </w:p>
        </w:tc>
      </w:tr>
    </w:tbl>
    <w:p w:rsidR="002A51CA" w:rsidRDefault="002A51CA" w:rsidP="002A51CA">
      <w:pPr>
        <w:spacing w:before="20" w:after="20" w:line="180" w:lineRule="atLeast"/>
        <w:jc w:val="both"/>
        <w:rPr>
          <w:rFonts w:ascii="Franklin Gothic Book" w:eastAsia="Times New Roman" w:hAnsi="Franklin Gothic Book"/>
          <w:b/>
          <w:sz w:val="14"/>
          <w:szCs w:val="14"/>
        </w:rPr>
      </w:pPr>
    </w:p>
    <w:p w:rsidR="002A6AC8" w:rsidRDefault="00D7242F" w:rsidP="00B14298">
      <w:pPr>
        <w:spacing w:before="20" w:after="240" w:line="180" w:lineRule="atLeast"/>
        <w:jc w:val="both"/>
      </w:pPr>
      <w:r w:rsidRPr="00130DFE">
        <w:t>The Risk profile for the program has not changed significantly over the last twelve months</w:t>
      </w:r>
      <w:r w:rsidR="00E741E1">
        <w:t>.</w:t>
      </w:r>
    </w:p>
    <w:p w:rsidR="005C48F4" w:rsidRPr="00B14298" w:rsidRDefault="005C48F4" w:rsidP="00B14298">
      <w:pPr>
        <w:spacing w:before="0" w:after="0" w:line="240" w:lineRule="auto"/>
        <w:rPr>
          <w:sz w:val="4"/>
        </w:rPr>
      </w:pPr>
    </w:p>
    <w:p w:rsidR="002A51CA" w:rsidRPr="002A51CA" w:rsidRDefault="002A51CA" w:rsidP="00B14298">
      <w:pPr>
        <w:pStyle w:val="Heading2"/>
        <w:spacing w:before="40" w:line="300" w:lineRule="exact"/>
      </w:pPr>
      <w:r w:rsidRPr="002A51CA">
        <w:t xml:space="preserve">Management </w:t>
      </w:r>
      <w:r w:rsidR="00AC302F">
        <w:t>actions</w:t>
      </w:r>
      <w:r w:rsidRPr="002A51CA">
        <w:tab/>
      </w:r>
      <w:r w:rsidRPr="002A51CA">
        <w:tab/>
      </w:r>
    </w:p>
    <w:p w:rsidR="000A2AE9" w:rsidRDefault="000A2AE9" w:rsidP="000A2AE9">
      <w:r w:rsidRPr="00D2255D">
        <w:t xml:space="preserve">Five of the seven management </w:t>
      </w:r>
      <w:r w:rsidR="00935B52">
        <w:t>actions</w:t>
      </w:r>
      <w:r w:rsidR="00935B52" w:rsidRPr="00D2255D">
        <w:t xml:space="preserve"> </w:t>
      </w:r>
      <w:r w:rsidRPr="00D2255D">
        <w:t xml:space="preserve">for 2017-18 were fully achieved during the period. The management action on the new Aid Investment Plan </w:t>
      </w:r>
      <w:r w:rsidR="00823E89">
        <w:t xml:space="preserve">(AIP) </w:t>
      </w:r>
      <w:r w:rsidRPr="00D2255D">
        <w:t xml:space="preserve">was partially achieved, with an advanced draft prepared during the period. </w:t>
      </w:r>
      <w:r w:rsidR="008B1919" w:rsidRPr="008B1919">
        <w:t xml:space="preserve">The detailed risk assessment to support operations (not just aid, but all aspects of Australia’s work) in Mindanao, noted in the previous APPR, took the form of an ongoing process rather than a final report. </w:t>
      </w:r>
      <w:r w:rsidRPr="00D2255D">
        <w:t>A summary of progress on management responses from 2017-18 is in Annex A.</w:t>
      </w:r>
    </w:p>
    <w:p w:rsidR="008F5121" w:rsidRDefault="00130665" w:rsidP="000A2AE9">
      <w:r>
        <w:t xml:space="preserve">The management actions will ensure </w:t>
      </w:r>
      <w:r w:rsidR="0094613A">
        <w:t xml:space="preserve">that for coming AIP period, </w:t>
      </w:r>
      <w:r>
        <w:t xml:space="preserve">the development program responds to the complex and evolving operating environment, includes a robust investment pipeline, and </w:t>
      </w:r>
      <w:r w:rsidR="008E05D0">
        <w:t xml:space="preserve">better </w:t>
      </w:r>
      <w:r>
        <w:t>integrates gender equality and disability inclusion in implementation.</w:t>
      </w:r>
    </w:p>
    <w:p w:rsidR="00D7242F" w:rsidRPr="00C100CC" w:rsidRDefault="00D7242F" w:rsidP="00D7242F">
      <w:pPr>
        <w:spacing w:before="20" w:after="20" w:line="180" w:lineRule="atLeast"/>
        <w:jc w:val="both"/>
      </w:pPr>
      <w:r w:rsidRPr="00C100CC">
        <w:t>Strategic Responses:</w:t>
      </w:r>
    </w:p>
    <w:p w:rsidR="00534CCE" w:rsidRPr="00C100CC" w:rsidRDefault="00534CCE" w:rsidP="000332D7">
      <w:pPr>
        <w:pStyle w:val="ListParagraph"/>
        <w:numPr>
          <w:ilvl w:val="0"/>
          <w:numId w:val="15"/>
        </w:numPr>
        <w:spacing w:before="20" w:after="20" w:line="180" w:lineRule="atLeast"/>
        <w:ind w:left="709" w:hanging="349"/>
        <w:jc w:val="both"/>
        <w:rPr>
          <w:rFonts w:asciiTheme="minorHAnsi" w:hAnsiTheme="minorHAnsi" w:cstheme="minorHAnsi"/>
          <w:color w:val="495965" w:themeColor="text2"/>
          <w:sz w:val="22"/>
          <w:szCs w:val="22"/>
        </w:rPr>
      </w:pPr>
      <w:r w:rsidRPr="00C100CC">
        <w:rPr>
          <w:rFonts w:asciiTheme="minorHAnsi" w:hAnsiTheme="minorHAnsi" w:cstheme="minorHAnsi"/>
          <w:color w:val="495965" w:themeColor="text2"/>
          <w:sz w:val="22"/>
          <w:szCs w:val="22"/>
        </w:rPr>
        <w:t xml:space="preserve">Revise </w:t>
      </w:r>
      <w:r w:rsidR="00F251AC">
        <w:rPr>
          <w:rFonts w:asciiTheme="minorHAnsi" w:hAnsiTheme="minorHAnsi" w:cstheme="minorHAnsi"/>
          <w:color w:val="495965" w:themeColor="text2"/>
          <w:sz w:val="22"/>
          <w:szCs w:val="22"/>
        </w:rPr>
        <w:t xml:space="preserve">draft </w:t>
      </w:r>
      <w:r w:rsidRPr="00C100CC">
        <w:rPr>
          <w:rFonts w:asciiTheme="minorHAnsi" w:hAnsiTheme="minorHAnsi" w:cstheme="minorHAnsi"/>
          <w:color w:val="495965" w:themeColor="text2"/>
          <w:sz w:val="22"/>
          <w:szCs w:val="22"/>
        </w:rPr>
        <w:t>AIP to address non-mobilisation of PFMP-II</w:t>
      </w:r>
      <w:r w:rsidR="00DF3E60">
        <w:rPr>
          <w:rFonts w:asciiTheme="minorHAnsi" w:hAnsiTheme="minorHAnsi" w:cstheme="minorHAnsi"/>
          <w:color w:val="495965" w:themeColor="text2"/>
          <w:sz w:val="22"/>
          <w:szCs w:val="22"/>
        </w:rPr>
        <w:t xml:space="preserve"> (c/o DFAT Manila)</w:t>
      </w:r>
    </w:p>
    <w:p w:rsidR="008B1919" w:rsidRDefault="00534CCE" w:rsidP="000332D7">
      <w:pPr>
        <w:pStyle w:val="ListParagraph"/>
        <w:numPr>
          <w:ilvl w:val="0"/>
          <w:numId w:val="15"/>
        </w:numPr>
        <w:spacing w:before="20" w:after="20" w:line="180" w:lineRule="atLeast"/>
        <w:ind w:left="709" w:hanging="349"/>
        <w:jc w:val="both"/>
        <w:rPr>
          <w:rFonts w:asciiTheme="minorHAnsi" w:hAnsiTheme="minorHAnsi" w:cstheme="minorHAnsi"/>
          <w:color w:val="495965" w:themeColor="text2"/>
          <w:sz w:val="22"/>
          <w:szCs w:val="22"/>
        </w:rPr>
      </w:pPr>
      <w:r w:rsidRPr="008B1919">
        <w:rPr>
          <w:rFonts w:asciiTheme="minorHAnsi" w:hAnsiTheme="minorHAnsi" w:cstheme="minorHAnsi"/>
          <w:color w:val="495965" w:themeColor="text2"/>
          <w:sz w:val="22"/>
          <w:szCs w:val="22"/>
        </w:rPr>
        <w:t>Programming for investments to replace programs ending in 2021</w:t>
      </w:r>
      <w:r w:rsidR="00DF3E60">
        <w:rPr>
          <w:rFonts w:asciiTheme="minorHAnsi" w:hAnsiTheme="minorHAnsi" w:cstheme="minorHAnsi"/>
          <w:color w:val="495965" w:themeColor="text2"/>
          <w:sz w:val="22"/>
          <w:szCs w:val="22"/>
        </w:rPr>
        <w:t xml:space="preserve"> (Political, Economic, and Development Sections)</w:t>
      </w:r>
    </w:p>
    <w:p w:rsidR="008B1919" w:rsidRDefault="008B1919" w:rsidP="000332D7">
      <w:pPr>
        <w:pStyle w:val="ListParagraph"/>
        <w:numPr>
          <w:ilvl w:val="0"/>
          <w:numId w:val="15"/>
        </w:numPr>
        <w:spacing w:before="20" w:after="20" w:line="180" w:lineRule="atLeast"/>
        <w:ind w:left="709" w:hanging="349"/>
        <w:jc w:val="both"/>
        <w:rPr>
          <w:rFonts w:asciiTheme="minorHAnsi" w:hAnsiTheme="minorHAnsi" w:cstheme="minorHAnsi"/>
          <w:color w:val="495965" w:themeColor="text2"/>
          <w:sz w:val="22"/>
          <w:szCs w:val="22"/>
        </w:rPr>
      </w:pPr>
      <w:r w:rsidRPr="008B1919">
        <w:rPr>
          <w:rFonts w:asciiTheme="minorHAnsi" w:hAnsiTheme="minorHAnsi" w:cstheme="minorHAnsi"/>
          <w:color w:val="495965" w:themeColor="text2"/>
          <w:sz w:val="22"/>
          <w:szCs w:val="22"/>
        </w:rPr>
        <w:t xml:space="preserve">Conduct conflict assessment for Mindanao </w:t>
      </w:r>
      <w:r w:rsidR="00DF3E60">
        <w:rPr>
          <w:rFonts w:asciiTheme="minorHAnsi" w:hAnsiTheme="minorHAnsi" w:cstheme="minorHAnsi"/>
          <w:color w:val="495965" w:themeColor="text2"/>
          <w:sz w:val="22"/>
          <w:szCs w:val="22"/>
        </w:rPr>
        <w:t xml:space="preserve">by </w:t>
      </w:r>
      <w:r w:rsidR="00E71A17">
        <w:rPr>
          <w:rFonts w:asciiTheme="minorHAnsi" w:hAnsiTheme="minorHAnsi" w:cstheme="minorHAnsi"/>
          <w:color w:val="495965" w:themeColor="text2"/>
          <w:sz w:val="22"/>
          <w:szCs w:val="22"/>
        </w:rPr>
        <w:t>March 2020</w:t>
      </w:r>
      <w:r w:rsidR="00DF3E60">
        <w:rPr>
          <w:rFonts w:asciiTheme="minorHAnsi" w:hAnsiTheme="minorHAnsi" w:cstheme="minorHAnsi"/>
          <w:color w:val="495965" w:themeColor="text2"/>
          <w:sz w:val="22"/>
          <w:szCs w:val="22"/>
        </w:rPr>
        <w:t xml:space="preserve"> </w:t>
      </w:r>
      <w:r w:rsidRPr="008B1919">
        <w:rPr>
          <w:rFonts w:asciiTheme="minorHAnsi" w:hAnsiTheme="minorHAnsi" w:cstheme="minorHAnsi"/>
          <w:color w:val="495965" w:themeColor="text2"/>
          <w:sz w:val="22"/>
          <w:szCs w:val="22"/>
        </w:rPr>
        <w:t>to inform Peace and Stability programming</w:t>
      </w:r>
      <w:r w:rsidR="00DF3E60">
        <w:rPr>
          <w:rFonts w:asciiTheme="minorHAnsi" w:hAnsiTheme="minorHAnsi" w:cstheme="minorHAnsi"/>
          <w:color w:val="495965" w:themeColor="text2"/>
          <w:sz w:val="22"/>
          <w:szCs w:val="22"/>
        </w:rPr>
        <w:t xml:space="preserve">  (Political Section)</w:t>
      </w:r>
    </w:p>
    <w:p w:rsidR="008B1919" w:rsidRPr="008B1919" w:rsidRDefault="008B1919" w:rsidP="000332D7">
      <w:pPr>
        <w:pStyle w:val="ListParagraph"/>
        <w:numPr>
          <w:ilvl w:val="0"/>
          <w:numId w:val="15"/>
        </w:numPr>
        <w:spacing w:before="20" w:after="20" w:line="180" w:lineRule="atLeast"/>
        <w:ind w:left="709" w:hanging="349"/>
        <w:jc w:val="both"/>
        <w:rPr>
          <w:rFonts w:asciiTheme="minorHAnsi" w:hAnsiTheme="minorHAnsi" w:cstheme="minorHAnsi"/>
          <w:color w:val="495965" w:themeColor="text2"/>
          <w:sz w:val="22"/>
          <w:szCs w:val="22"/>
        </w:rPr>
      </w:pPr>
      <w:r w:rsidRPr="008B1919">
        <w:rPr>
          <w:rFonts w:asciiTheme="minorHAnsi" w:hAnsiTheme="minorHAnsi" w:cstheme="minorHAnsi"/>
          <w:color w:val="495965" w:themeColor="text2"/>
          <w:sz w:val="22"/>
          <w:szCs w:val="22"/>
        </w:rPr>
        <w:t>Conduct mid-term review of Peace and Stability investments</w:t>
      </w:r>
      <w:r w:rsidR="00DF3E60">
        <w:rPr>
          <w:rFonts w:asciiTheme="minorHAnsi" w:hAnsiTheme="minorHAnsi" w:cstheme="minorHAnsi"/>
          <w:color w:val="495965" w:themeColor="text2"/>
          <w:sz w:val="22"/>
          <w:szCs w:val="22"/>
        </w:rPr>
        <w:t xml:space="preserve"> by </w:t>
      </w:r>
      <w:r w:rsidR="00E71A17">
        <w:rPr>
          <w:rFonts w:asciiTheme="minorHAnsi" w:hAnsiTheme="minorHAnsi" w:cstheme="minorHAnsi"/>
          <w:color w:val="495965" w:themeColor="text2"/>
          <w:sz w:val="22"/>
          <w:szCs w:val="22"/>
        </w:rPr>
        <w:t>March 2020</w:t>
      </w:r>
      <w:r w:rsidRPr="008B1919">
        <w:rPr>
          <w:rFonts w:asciiTheme="minorHAnsi" w:hAnsiTheme="minorHAnsi" w:cstheme="minorHAnsi"/>
          <w:color w:val="495965" w:themeColor="text2"/>
          <w:sz w:val="22"/>
          <w:szCs w:val="22"/>
        </w:rPr>
        <w:t>; this combined with above conflict assessment will inform future programming and budget priorities</w:t>
      </w:r>
      <w:r w:rsidR="00DF3E60">
        <w:rPr>
          <w:rFonts w:asciiTheme="minorHAnsi" w:hAnsiTheme="minorHAnsi" w:cstheme="minorHAnsi"/>
          <w:color w:val="495965" w:themeColor="text2"/>
          <w:sz w:val="22"/>
          <w:szCs w:val="22"/>
        </w:rPr>
        <w:t xml:space="preserve"> (Political Section)</w:t>
      </w:r>
    </w:p>
    <w:p w:rsidR="00D7242F" w:rsidRPr="008B1919" w:rsidRDefault="00EE555C" w:rsidP="000332D7">
      <w:pPr>
        <w:pStyle w:val="ListParagraph"/>
        <w:numPr>
          <w:ilvl w:val="0"/>
          <w:numId w:val="15"/>
        </w:numPr>
        <w:spacing w:before="20" w:after="20" w:line="180" w:lineRule="atLeast"/>
        <w:ind w:left="709" w:hanging="349"/>
        <w:jc w:val="both"/>
        <w:rPr>
          <w:rFonts w:asciiTheme="minorHAnsi" w:hAnsiTheme="minorHAnsi" w:cstheme="minorHAnsi"/>
          <w:color w:val="495965" w:themeColor="text2"/>
          <w:sz w:val="22"/>
          <w:szCs w:val="22"/>
        </w:rPr>
      </w:pPr>
      <w:r>
        <w:rPr>
          <w:rFonts w:asciiTheme="minorHAnsi" w:hAnsiTheme="minorHAnsi" w:cstheme="minorHAnsi"/>
          <w:color w:val="495965" w:themeColor="text2"/>
          <w:sz w:val="22"/>
          <w:szCs w:val="22"/>
        </w:rPr>
        <w:t>U</w:t>
      </w:r>
      <w:r w:rsidR="00D7242F" w:rsidRPr="008B1919">
        <w:rPr>
          <w:rFonts w:asciiTheme="minorHAnsi" w:hAnsiTheme="minorHAnsi" w:cstheme="minorHAnsi"/>
          <w:color w:val="495965" w:themeColor="text2"/>
          <w:sz w:val="22"/>
          <w:szCs w:val="22"/>
        </w:rPr>
        <w:t xml:space="preserve">pdate and revise Philippines Program Gender Action Plan to align with a new </w:t>
      </w:r>
      <w:r w:rsidR="00746542">
        <w:rPr>
          <w:rFonts w:asciiTheme="minorHAnsi" w:hAnsiTheme="minorHAnsi" w:cstheme="minorHAnsi"/>
          <w:color w:val="495965" w:themeColor="text2"/>
          <w:sz w:val="22"/>
          <w:szCs w:val="22"/>
        </w:rPr>
        <w:t>AIP</w:t>
      </w:r>
      <w:r w:rsidR="00D7242F" w:rsidRPr="008B1919">
        <w:rPr>
          <w:rFonts w:asciiTheme="minorHAnsi" w:hAnsiTheme="minorHAnsi" w:cstheme="minorHAnsi"/>
          <w:color w:val="495965" w:themeColor="text2"/>
          <w:sz w:val="22"/>
          <w:szCs w:val="22"/>
        </w:rPr>
        <w:t xml:space="preserve"> period</w:t>
      </w:r>
      <w:r w:rsidR="00DF3E60">
        <w:rPr>
          <w:rFonts w:asciiTheme="minorHAnsi" w:hAnsiTheme="minorHAnsi" w:cstheme="minorHAnsi"/>
          <w:color w:val="495965" w:themeColor="text2"/>
          <w:sz w:val="22"/>
          <w:szCs w:val="22"/>
        </w:rPr>
        <w:t xml:space="preserve"> by January 2020 (Economic Section) </w:t>
      </w:r>
    </w:p>
    <w:p w:rsidR="00810127" w:rsidRPr="00C100CC" w:rsidRDefault="00EE555C" w:rsidP="000332D7">
      <w:pPr>
        <w:pStyle w:val="ListParagraph"/>
        <w:numPr>
          <w:ilvl w:val="0"/>
          <w:numId w:val="15"/>
        </w:numPr>
        <w:spacing w:before="20" w:after="20" w:line="180" w:lineRule="atLeast"/>
        <w:ind w:left="709" w:hanging="349"/>
        <w:jc w:val="both"/>
        <w:rPr>
          <w:rFonts w:asciiTheme="minorHAnsi" w:hAnsiTheme="minorHAnsi" w:cstheme="minorHAnsi"/>
          <w:color w:val="495965" w:themeColor="text2"/>
          <w:sz w:val="22"/>
          <w:szCs w:val="22"/>
        </w:rPr>
      </w:pPr>
      <w:r>
        <w:rPr>
          <w:rFonts w:asciiTheme="minorHAnsi" w:hAnsiTheme="minorHAnsi" w:cstheme="minorHAnsi"/>
          <w:color w:val="495965" w:themeColor="text2"/>
          <w:sz w:val="22"/>
          <w:szCs w:val="22"/>
        </w:rPr>
        <w:t>R</w:t>
      </w:r>
      <w:r w:rsidR="00810127" w:rsidRPr="008B1919">
        <w:rPr>
          <w:rFonts w:asciiTheme="minorHAnsi" w:hAnsiTheme="minorHAnsi" w:cstheme="minorHAnsi"/>
          <w:color w:val="495965" w:themeColor="text2"/>
          <w:sz w:val="22"/>
          <w:szCs w:val="22"/>
        </w:rPr>
        <w:t>eview the performance of the program on disability-inclusive development</w:t>
      </w:r>
      <w:r w:rsidR="00810127">
        <w:rPr>
          <w:rFonts w:asciiTheme="minorHAnsi" w:hAnsiTheme="minorHAnsi" w:cstheme="minorHAnsi"/>
          <w:color w:val="495965" w:themeColor="text2"/>
          <w:sz w:val="22"/>
          <w:szCs w:val="22"/>
        </w:rPr>
        <w:t>, and identify concrete measures to strengthen inclusion of people with disabilities</w:t>
      </w:r>
      <w:r w:rsidR="00DF3E60">
        <w:rPr>
          <w:rFonts w:asciiTheme="minorHAnsi" w:hAnsiTheme="minorHAnsi" w:cstheme="minorHAnsi"/>
          <w:color w:val="495965" w:themeColor="text2"/>
          <w:sz w:val="22"/>
          <w:szCs w:val="22"/>
        </w:rPr>
        <w:t xml:space="preserve"> by </w:t>
      </w:r>
      <w:r w:rsidR="009C27B3">
        <w:rPr>
          <w:rFonts w:asciiTheme="minorHAnsi" w:hAnsiTheme="minorHAnsi" w:cstheme="minorHAnsi"/>
          <w:color w:val="495965" w:themeColor="text2"/>
          <w:sz w:val="22"/>
          <w:szCs w:val="22"/>
        </w:rPr>
        <w:t xml:space="preserve">June 2020 </w:t>
      </w:r>
      <w:r w:rsidR="00DF3E60">
        <w:rPr>
          <w:rFonts w:asciiTheme="minorHAnsi" w:hAnsiTheme="minorHAnsi" w:cstheme="minorHAnsi"/>
          <w:color w:val="495965" w:themeColor="text2"/>
          <w:sz w:val="22"/>
          <w:szCs w:val="22"/>
        </w:rPr>
        <w:t>(Development Section)</w:t>
      </w:r>
    </w:p>
    <w:p w:rsidR="00D7242F" w:rsidRPr="00C100CC" w:rsidRDefault="00D7242F" w:rsidP="00D7242F">
      <w:pPr>
        <w:spacing w:before="20" w:after="20" w:line="180" w:lineRule="atLeast"/>
        <w:jc w:val="both"/>
      </w:pPr>
      <w:r w:rsidRPr="00C100CC">
        <w:t>Operational Responses:</w:t>
      </w:r>
    </w:p>
    <w:p w:rsidR="00534CCE" w:rsidRPr="00C100CC" w:rsidRDefault="00534CCE" w:rsidP="000332D7">
      <w:pPr>
        <w:pStyle w:val="ListParagraph"/>
        <w:numPr>
          <w:ilvl w:val="0"/>
          <w:numId w:val="14"/>
        </w:numPr>
        <w:spacing w:before="20" w:after="20" w:line="180" w:lineRule="atLeast"/>
        <w:jc w:val="both"/>
        <w:rPr>
          <w:rFonts w:asciiTheme="minorHAnsi" w:hAnsiTheme="minorHAnsi" w:cstheme="minorHAnsi"/>
          <w:color w:val="495965" w:themeColor="text2"/>
          <w:sz w:val="22"/>
          <w:szCs w:val="22"/>
        </w:rPr>
      </w:pPr>
      <w:r w:rsidRPr="00C100CC">
        <w:rPr>
          <w:rFonts w:asciiTheme="minorHAnsi" w:hAnsiTheme="minorHAnsi" w:cstheme="minorHAnsi"/>
          <w:color w:val="495965" w:themeColor="text2"/>
          <w:sz w:val="22"/>
          <w:szCs w:val="22"/>
        </w:rPr>
        <w:t>Mobilise new activities for WB, ADB, IFC under AMPED</w:t>
      </w:r>
      <w:r w:rsidR="00DF3E60">
        <w:rPr>
          <w:rFonts w:asciiTheme="minorHAnsi" w:hAnsiTheme="minorHAnsi" w:cstheme="minorHAnsi"/>
          <w:color w:val="495965" w:themeColor="text2"/>
          <w:sz w:val="22"/>
          <w:szCs w:val="22"/>
        </w:rPr>
        <w:t xml:space="preserve"> by December 2019 (Economic Section)</w:t>
      </w:r>
    </w:p>
    <w:p w:rsidR="00342074" w:rsidRDefault="00534CCE" w:rsidP="00B62561">
      <w:pPr>
        <w:pStyle w:val="ListParagraph"/>
        <w:numPr>
          <w:ilvl w:val="0"/>
          <w:numId w:val="14"/>
        </w:numPr>
        <w:spacing w:before="20" w:after="20" w:line="180" w:lineRule="atLeast"/>
        <w:jc w:val="both"/>
        <w:rPr>
          <w:rFonts w:asciiTheme="minorHAnsi" w:hAnsiTheme="minorHAnsi" w:cstheme="minorHAnsi"/>
          <w:color w:val="495965" w:themeColor="text2"/>
          <w:sz w:val="22"/>
          <w:szCs w:val="22"/>
        </w:rPr>
      </w:pPr>
      <w:r w:rsidRPr="008F5121">
        <w:rPr>
          <w:rFonts w:asciiTheme="minorHAnsi" w:hAnsiTheme="minorHAnsi" w:cstheme="minorHAnsi"/>
          <w:color w:val="495965" w:themeColor="text2"/>
          <w:sz w:val="22"/>
          <w:szCs w:val="22"/>
        </w:rPr>
        <w:t xml:space="preserve">Finalise design and commence implementation of </w:t>
      </w:r>
      <w:r w:rsidR="00B62561" w:rsidRPr="00B62561">
        <w:rPr>
          <w:rFonts w:asciiTheme="minorHAnsi" w:hAnsiTheme="minorHAnsi" w:cstheme="minorHAnsi"/>
          <w:color w:val="495965" w:themeColor="text2"/>
          <w:sz w:val="22"/>
          <w:szCs w:val="22"/>
        </w:rPr>
        <w:t>Strengthening Institutions and Empowering Localities against Disasters and Climate Change</w:t>
      </w:r>
      <w:r w:rsidR="00B62561">
        <w:rPr>
          <w:rFonts w:asciiTheme="minorHAnsi" w:hAnsiTheme="minorHAnsi" w:cstheme="minorHAnsi"/>
          <w:color w:val="495965" w:themeColor="text2"/>
          <w:sz w:val="22"/>
          <w:szCs w:val="22"/>
        </w:rPr>
        <w:t xml:space="preserve"> (</w:t>
      </w:r>
      <w:r w:rsidRPr="008F5121">
        <w:rPr>
          <w:rFonts w:asciiTheme="minorHAnsi" w:hAnsiTheme="minorHAnsi" w:cstheme="minorHAnsi"/>
          <w:color w:val="495965" w:themeColor="text2"/>
          <w:sz w:val="22"/>
          <w:szCs w:val="22"/>
        </w:rPr>
        <w:t>SHIELD</w:t>
      </w:r>
      <w:r w:rsidR="00B62561">
        <w:rPr>
          <w:rFonts w:asciiTheme="minorHAnsi" w:hAnsiTheme="minorHAnsi" w:cstheme="minorHAnsi"/>
          <w:color w:val="495965" w:themeColor="text2"/>
          <w:sz w:val="22"/>
          <w:szCs w:val="22"/>
        </w:rPr>
        <w:t>)</w:t>
      </w:r>
      <w:r w:rsidR="00DF3E60" w:rsidRPr="008F5121">
        <w:rPr>
          <w:rFonts w:asciiTheme="minorHAnsi" w:hAnsiTheme="minorHAnsi" w:cstheme="minorHAnsi"/>
          <w:color w:val="495965" w:themeColor="text2"/>
          <w:sz w:val="22"/>
          <w:szCs w:val="22"/>
        </w:rPr>
        <w:t xml:space="preserve"> </w:t>
      </w:r>
      <w:r w:rsidR="00F0042B">
        <w:rPr>
          <w:rFonts w:asciiTheme="minorHAnsi" w:hAnsiTheme="minorHAnsi" w:cstheme="minorHAnsi"/>
          <w:color w:val="495965" w:themeColor="text2"/>
          <w:sz w:val="22"/>
          <w:szCs w:val="22"/>
        </w:rPr>
        <w:t xml:space="preserve">by June 2020 </w:t>
      </w:r>
      <w:r w:rsidR="008F5121" w:rsidRPr="008F5121">
        <w:rPr>
          <w:rFonts w:asciiTheme="minorHAnsi" w:hAnsiTheme="minorHAnsi" w:cstheme="minorHAnsi"/>
          <w:color w:val="495965" w:themeColor="text2"/>
          <w:sz w:val="22"/>
          <w:szCs w:val="22"/>
        </w:rPr>
        <w:t xml:space="preserve">and </w:t>
      </w:r>
      <w:r w:rsidR="00C57D9D" w:rsidRPr="00342074">
        <w:rPr>
          <w:rFonts w:asciiTheme="minorHAnsi" w:hAnsiTheme="minorHAnsi" w:cstheme="minorHAnsi"/>
          <w:color w:val="495965" w:themeColor="text2"/>
          <w:sz w:val="22"/>
          <w:szCs w:val="22"/>
        </w:rPr>
        <w:t>SERG</w:t>
      </w:r>
      <w:r w:rsidR="00DF3E60" w:rsidRPr="00342074">
        <w:rPr>
          <w:rFonts w:asciiTheme="minorHAnsi" w:hAnsiTheme="minorHAnsi" w:cstheme="minorHAnsi"/>
          <w:color w:val="495965" w:themeColor="text2"/>
          <w:sz w:val="22"/>
          <w:szCs w:val="22"/>
        </w:rPr>
        <w:t xml:space="preserve"> by </w:t>
      </w:r>
      <w:r w:rsidR="009C27B3">
        <w:rPr>
          <w:rFonts w:asciiTheme="minorHAnsi" w:hAnsiTheme="minorHAnsi" w:cstheme="minorHAnsi"/>
          <w:color w:val="495965" w:themeColor="text2"/>
          <w:sz w:val="22"/>
          <w:szCs w:val="22"/>
        </w:rPr>
        <w:t xml:space="preserve">October 2019 </w:t>
      </w:r>
      <w:r w:rsidR="00DF3E60" w:rsidRPr="00342074">
        <w:rPr>
          <w:rFonts w:asciiTheme="minorHAnsi" w:hAnsiTheme="minorHAnsi" w:cstheme="minorHAnsi"/>
          <w:color w:val="495965" w:themeColor="text2"/>
          <w:sz w:val="22"/>
          <w:szCs w:val="22"/>
        </w:rPr>
        <w:t>(Development Section)</w:t>
      </w:r>
    </w:p>
    <w:p w:rsidR="00D15A00" w:rsidRPr="00342074" w:rsidRDefault="006F1011" w:rsidP="00342074">
      <w:pPr>
        <w:pStyle w:val="ListParagraph"/>
        <w:numPr>
          <w:ilvl w:val="0"/>
          <w:numId w:val="14"/>
        </w:numPr>
        <w:spacing w:before="20" w:after="20" w:line="180" w:lineRule="atLeast"/>
        <w:jc w:val="both"/>
        <w:rPr>
          <w:rFonts w:asciiTheme="minorHAnsi" w:hAnsiTheme="minorHAnsi" w:cstheme="minorHAnsi"/>
          <w:color w:val="495965" w:themeColor="text2"/>
          <w:sz w:val="22"/>
          <w:szCs w:val="22"/>
        </w:rPr>
      </w:pPr>
      <w:r w:rsidRPr="00342074">
        <w:rPr>
          <w:rFonts w:asciiTheme="minorHAnsi" w:hAnsiTheme="minorHAnsi" w:cstheme="minorHAnsi"/>
          <w:color w:val="495965" w:themeColor="text2"/>
          <w:sz w:val="22"/>
          <w:szCs w:val="22"/>
        </w:rPr>
        <w:t xml:space="preserve">Finalise design for the new research </w:t>
      </w:r>
      <w:r w:rsidR="001E04A1" w:rsidRPr="00342074">
        <w:rPr>
          <w:rFonts w:asciiTheme="minorHAnsi" w:hAnsiTheme="minorHAnsi" w:cstheme="minorHAnsi"/>
          <w:color w:val="495965" w:themeColor="text2"/>
          <w:sz w:val="22"/>
          <w:szCs w:val="22"/>
        </w:rPr>
        <w:t xml:space="preserve">investment </w:t>
      </w:r>
      <w:r w:rsidRPr="00342074">
        <w:rPr>
          <w:rFonts w:asciiTheme="minorHAnsi" w:hAnsiTheme="minorHAnsi" w:cstheme="minorHAnsi"/>
          <w:color w:val="495965" w:themeColor="text2"/>
          <w:sz w:val="22"/>
          <w:szCs w:val="22"/>
        </w:rPr>
        <w:t>to continue our support to the Philippines Project and Policy Window Philippines amongst others</w:t>
      </w:r>
      <w:r w:rsidR="00DF3E60" w:rsidRPr="00342074">
        <w:rPr>
          <w:rFonts w:asciiTheme="minorHAnsi" w:hAnsiTheme="minorHAnsi" w:cstheme="minorHAnsi"/>
          <w:color w:val="495965" w:themeColor="text2"/>
          <w:sz w:val="22"/>
          <w:szCs w:val="22"/>
        </w:rPr>
        <w:t xml:space="preserve"> by December 2019 (Economic Section)</w:t>
      </w:r>
      <w:r w:rsidRPr="00342074">
        <w:rPr>
          <w:rFonts w:asciiTheme="minorHAnsi" w:hAnsiTheme="minorHAnsi" w:cstheme="minorHAnsi"/>
          <w:color w:val="495965" w:themeColor="text2"/>
          <w:sz w:val="22"/>
          <w:szCs w:val="22"/>
        </w:rPr>
        <w:t xml:space="preserve"> </w:t>
      </w:r>
    </w:p>
    <w:p w:rsidR="00400B0F" w:rsidRPr="008821C2" w:rsidRDefault="00400B0F" w:rsidP="008821C2">
      <w:pPr>
        <w:pStyle w:val="Subtitle"/>
        <w:numPr>
          <w:ilvl w:val="0"/>
          <w:numId w:val="0"/>
        </w:numPr>
        <w:spacing w:before="360" w:after="120" w:line="300" w:lineRule="exact"/>
        <w:rPr>
          <w:rFonts w:asciiTheme="majorHAnsi" w:hAnsiTheme="majorHAnsi" w:cstheme="majorHAnsi"/>
        </w:rPr>
      </w:pPr>
      <w:r w:rsidRPr="008821C2">
        <w:rPr>
          <w:rFonts w:asciiTheme="majorHAnsi" w:hAnsiTheme="majorHAnsi" w:cstheme="majorHAnsi"/>
        </w:rPr>
        <w:t xml:space="preserve">Annex A - Progress in Addressing Management </w:t>
      </w:r>
      <w:r w:rsidR="00AC302F" w:rsidRPr="008821C2">
        <w:rPr>
          <w:rFonts w:asciiTheme="majorHAnsi" w:hAnsiTheme="majorHAnsi" w:cstheme="majorHAnsi"/>
        </w:rPr>
        <w:t>actions</w:t>
      </w:r>
    </w:p>
    <w:tbl>
      <w:tblPr>
        <w:tblStyle w:val="AP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4"/>
        <w:gridCol w:w="1113"/>
        <w:gridCol w:w="4341"/>
      </w:tblGrid>
      <w:tr w:rsidR="00D7242F" w:rsidRPr="00EA3A30" w:rsidTr="006457D4">
        <w:trPr>
          <w:cnfStyle w:val="000000010000" w:firstRow="0" w:lastRow="0" w:firstColumn="0" w:lastColumn="0" w:oddVBand="0" w:evenVBand="0" w:oddHBand="0" w:evenHBand="1" w:firstRowFirstColumn="0" w:firstRowLastColumn="0" w:lastRowFirstColumn="0" w:lastRowLastColumn="0"/>
        </w:trPr>
        <w:tc>
          <w:tcPr>
            <w:tcW w:w="42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242F" w:rsidRPr="00EA3A30" w:rsidRDefault="00D7242F" w:rsidP="00534CCE">
            <w:pPr>
              <w:keepLines/>
              <w:spacing w:before="80" w:after="80" w:line="200" w:lineRule="atLeast"/>
              <w:rPr>
                <w:rFonts w:asciiTheme="minorHAnsi" w:eastAsia="Times New Roman" w:hAnsiTheme="minorHAnsi" w:cstheme="minorHAnsi"/>
                <w:b/>
                <w:iCs/>
                <w:sz w:val="18"/>
                <w:szCs w:val="18"/>
                <w:lang w:eastAsia="en-US"/>
              </w:rPr>
            </w:pPr>
            <w:r w:rsidRPr="00EA3A30">
              <w:rPr>
                <w:rFonts w:asciiTheme="minorHAnsi" w:eastAsia="Times New Roman" w:hAnsiTheme="minorHAnsi" w:cstheme="minorHAnsi"/>
                <w:b/>
                <w:iCs/>
                <w:sz w:val="18"/>
                <w:szCs w:val="18"/>
                <w:lang w:eastAsia="en-US"/>
              </w:rPr>
              <w:t>Management responses identified in 2017-18 APPR</w:t>
            </w:r>
            <w:r w:rsidRPr="00EA3A30">
              <w:rPr>
                <w:rFonts w:asciiTheme="minorHAnsi" w:eastAsia="Times New Roman" w:hAnsiTheme="minorHAnsi" w:cstheme="minorHAnsi"/>
                <w:b/>
                <w:iCs/>
                <w:sz w:val="18"/>
                <w:szCs w:val="18"/>
                <w:lang w:eastAsia="en-US"/>
              </w:rPr>
              <w:tab/>
            </w:r>
          </w:p>
        </w:tc>
        <w:tc>
          <w:tcPr>
            <w:tcW w:w="11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242F" w:rsidRPr="00EA3A30" w:rsidRDefault="00D7242F" w:rsidP="00534CCE">
            <w:pPr>
              <w:keepLines/>
              <w:spacing w:before="80" w:after="80" w:line="200" w:lineRule="atLeast"/>
              <w:jc w:val="center"/>
              <w:rPr>
                <w:rFonts w:asciiTheme="minorHAnsi" w:eastAsia="Times New Roman" w:hAnsiTheme="minorHAnsi" w:cstheme="minorHAnsi"/>
                <w:b/>
                <w:iCs/>
                <w:sz w:val="18"/>
                <w:szCs w:val="18"/>
                <w:lang w:eastAsia="en-US"/>
              </w:rPr>
            </w:pPr>
            <w:r w:rsidRPr="00EA3A30">
              <w:rPr>
                <w:rFonts w:asciiTheme="minorHAnsi" w:eastAsia="Times New Roman" w:hAnsiTheme="minorHAnsi" w:cstheme="minorHAnsi"/>
                <w:b/>
                <w:iCs/>
                <w:sz w:val="18"/>
                <w:szCs w:val="18"/>
                <w:lang w:eastAsia="en-US"/>
              </w:rPr>
              <w:t>Rating</w:t>
            </w:r>
          </w:p>
        </w:tc>
        <w:tc>
          <w:tcPr>
            <w:tcW w:w="43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242F" w:rsidRPr="00EA3A30" w:rsidRDefault="00D7242F" w:rsidP="00534CCE">
            <w:pPr>
              <w:keepLines/>
              <w:spacing w:before="80" w:after="80" w:line="200" w:lineRule="atLeast"/>
              <w:jc w:val="center"/>
              <w:rPr>
                <w:rFonts w:asciiTheme="minorHAnsi" w:eastAsia="Times New Roman" w:hAnsiTheme="minorHAnsi" w:cstheme="minorHAnsi"/>
                <w:b/>
                <w:iCs/>
                <w:sz w:val="18"/>
                <w:szCs w:val="18"/>
                <w:lang w:eastAsia="en-US"/>
              </w:rPr>
            </w:pPr>
            <w:r w:rsidRPr="00EA3A30">
              <w:rPr>
                <w:rFonts w:asciiTheme="minorHAnsi" w:eastAsia="Times New Roman" w:hAnsiTheme="minorHAnsi" w:cstheme="minorHAnsi"/>
                <w:b/>
                <w:iCs/>
                <w:sz w:val="18"/>
                <w:szCs w:val="18"/>
                <w:lang w:eastAsia="en-US"/>
              </w:rPr>
              <w:t>Progress made</w:t>
            </w:r>
            <w:r w:rsidR="001B2AAD">
              <w:rPr>
                <w:rFonts w:asciiTheme="minorHAnsi" w:eastAsia="Times New Roman" w:hAnsiTheme="minorHAnsi" w:cstheme="minorHAnsi"/>
                <w:b/>
                <w:iCs/>
                <w:sz w:val="18"/>
                <w:szCs w:val="18"/>
                <w:lang w:eastAsia="en-US"/>
              </w:rPr>
              <w:t xml:space="preserve"> </w:t>
            </w:r>
            <w:r w:rsidRPr="00EA3A30">
              <w:rPr>
                <w:rFonts w:asciiTheme="minorHAnsi" w:eastAsia="Times New Roman" w:hAnsiTheme="minorHAnsi" w:cstheme="minorHAnsi"/>
                <w:b/>
                <w:iCs/>
                <w:sz w:val="18"/>
                <w:szCs w:val="18"/>
                <w:lang w:eastAsia="en-US"/>
              </w:rPr>
              <w:t>in 2018-19</w:t>
            </w:r>
          </w:p>
        </w:tc>
      </w:tr>
      <w:tr w:rsidR="00D7242F" w:rsidRPr="00EA3A30" w:rsidTr="006457D4">
        <w:trPr>
          <w:cnfStyle w:val="000000010000" w:firstRow="0" w:lastRow="0" w:firstColumn="0" w:lastColumn="0" w:oddVBand="0" w:evenVBand="0" w:oddHBand="0" w:evenHBand="1" w:firstRowFirstColumn="0" w:firstRowLastColumn="0" w:lastRowFirstColumn="0" w:lastRowLastColumn="0"/>
        </w:trPr>
        <w:tc>
          <w:tcPr>
            <w:tcW w:w="4206" w:type="dxa"/>
            <w:tcBorders>
              <w:top w:val="single" w:sz="6" w:space="0" w:color="auto"/>
              <w:left w:val="single" w:sz="6" w:space="0" w:color="auto"/>
              <w:bottom w:val="single" w:sz="6" w:space="0" w:color="auto"/>
              <w:right w:val="single" w:sz="6" w:space="0" w:color="auto"/>
            </w:tcBorders>
          </w:tcPr>
          <w:p w:rsidR="00D7242F" w:rsidRPr="00EA3A30" w:rsidRDefault="00D7242F" w:rsidP="00534CCE">
            <w:pPr>
              <w:keepLines/>
              <w:spacing w:before="40" w:after="40" w:line="200" w:lineRule="atLeast"/>
              <w:rPr>
                <w:rFonts w:asciiTheme="minorHAnsi" w:eastAsia="Times New Roman" w:hAnsiTheme="minorHAnsi" w:cstheme="minorHAnsi"/>
                <w:iCs/>
                <w:sz w:val="18"/>
                <w:szCs w:val="18"/>
                <w:lang w:eastAsia="en-US"/>
              </w:rPr>
            </w:pPr>
            <w:r w:rsidRPr="00EA3A30">
              <w:rPr>
                <w:rFonts w:asciiTheme="minorHAnsi" w:eastAsia="Times New Roman" w:hAnsiTheme="minorHAnsi" w:cstheme="minorHAnsi"/>
                <w:iCs/>
                <w:sz w:val="18"/>
                <w:szCs w:val="18"/>
                <w:lang w:eastAsia="en-US"/>
              </w:rPr>
              <w:t>A new AIP for the Philippines will be finalised and implemented for the period ending 2024. This will include: recasting objectives; revising modalities; better performance benchmarks and Performance Assessment Framework.</w:t>
            </w:r>
          </w:p>
        </w:tc>
        <w:tc>
          <w:tcPr>
            <w:tcW w:w="1101" w:type="dxa"/>
            <w:tcBorders>
              <w:top w:val="single" w:sz="6" w:space="0" w:color="auto"/>
              <w:left w:val="single" w:sz="6" w:space="0" w:color="auto"/>
              <w:bottom w:val="single" w:sz="6" w:space="0" w:color="auto"/>
              <w:right w:val="single" w:sz="6" w:space="0" w:color="auto"/>
            </w:tcBorders>
            <w:shd w:val="clear" w:color="auto" w:fill="E36C0A"/>
          </w:tcPr>
          <w:p w:rsidR="00D7242F" w:rsidRPr="00EA3A30" w:rsidRDefault="00D7242F" w:rsidP="00534CCE">
            <w:pPr>
              <w:keepLines/>
              <w:spacing w:before="40" w:after="40" w:line="200" w:lineRule="atLeast"/>
              <w:jc w:val="center"/>
              <w:rPr>
                <w:rFonts w:asciiTheme="minorHAnsi" w:eastAsia="Times New Roman" w:hAnsiTheme="minorHAnsi" w:cstheme="minorHAnsi"/>
                <w:iCs/>
                <w:color w:val="FFFFFF" w:themeColor="background1"/>
                <w:sz w:val="18"/>
                <w:szCs w:val="18"/>
                <w:lang w:eastAsia="en-US"/>
              </w:rPr>
            </w:pPr>
            <w:r w:rsidRPr="00EA3A30">
              <w:rPr>
                <w:rFonts w:asciiTheme="minorHAnsi" w:eastAsia="Times New Roman" w:hAnsiTheme="minorHAnsi" w:cstheme="minorHAnsi"/>
                <w:iCs/>
                <w:color w:val="FFFFFF" w:themeColor="background1"/>
                <w:sz w:val="18"/>
                <w:szCs w:val="18"/>
                <w:lang w:eastAsia="en-US"/>
              </w:rPr>
              <w:t>Partly achieved</w:t>
            </w:r>
            <w:r w:rsidRPr="00EA3A30">
              <w:rPr>
                <w:rFonts w:eastAsia="Times New Roman" w:cstheme="minorHAnsi"/>
                <w:iCs/>
                <w:color w:val="FFFFFF" w:themeColor="background1"/>
                <w:sz w:val="18"/>
                <w:szCs w:val="18"/>
              </w:rPr>
              <w:fldChar w:fldCharType="begin"/>
            </w:r>
            <w:r w:rsidRPr="00EA3A30">
              <w:rPr>
                <w:rFonts w:asciiTheme="minorHAnsi" w:eastAsia="Times New Roman" w:hAnsiTheme="minorHAnsi" w:cstheme="minorHAnsi"/>
                <w:iCs/>
                <w:color w:val="FFFFFF" w:themeColor="background1"/>
                <w:sz w:val="18"/>
                <w:szCs w:val="18"/>
                <w:lang w:eastAsia="en-US"/>
              </w:rPr>
              <w:instrText xml:space="preserve"> AUTOTEXTLIST  \s "Rating bullet"\t "Right click to choose a rating" \* MERGEFORMAT </w:instrText>
            </w:r>
            <w:r w:rsidRPr="00EA3A30">
              <w:rPr>
                <w:rFonts w:eastAsia="Times New Roman" w:cstheme="minorHAnsi"/>
                <w:iCs/>
                <w:color w:val="FFFFFF" w:themeColor="background1"/>
                <w:sz w:val="18"/>
                <w:szCs w:val="18"/>
              </w:rPr>
              <w:fldChar w:fldCharType="end"/>
            </w:r>
          </w:p>
        </w:tc>
        <w:tc>
          <w:tcPr>
            <w:tcW w:w="4377" w:type="dxa"/>
            <w:tcBorders>
              <w:top w:val="single" w:sz="6" w:space="0" w:color="auto"/>
              <w:left w:val="single" w:sz="6" w:space="0" w:color="auto"/>
              <w:bottom w:val="single" w:sz="6" w:space="0" w:color="auto"/>
              <w:right w:val="single" w:sz="6" w:space="0" w:color="auto"/>
            </w:tcBorders>
          </w:tcPr>
          <w:p w:rsidR="00D7242F" w:rsidRPr="00EA3A30" w:rsidRDefault="00D7242F" w:rsidP="000A2AE9">
            <w:pPr>
              <w:keepLines/>
              <w:spacing w:before="40" w:after="40" w:line="200" w:lineRule="atLeast"/>
              <w:rPr>
                <w:rFonts w:asciiTheme="minorHAnsi" w:eastAsia="Times New Roman" w:hAnsiTheme="minorHAnsi" w:cstheme="minorHAnsi"/>
                <w:iCs/>
                <w:color w:val="92D050"/>
                <w:sz w:val="18"/>
                <w:szCs w:val="18"/>
                <w:lang w:eastAsia="en-US"/>
              </w:rPr>
            </w:pPr>
            <w:r w:rsidRPr="00EA3A30">
              <w:rPr>
                <w:rFonts w:asciiTheme="minorHAnsi" w:eastAsia="Times New Roman" w:hAnsiTheme="minorHAnsi" w:cstheme="minorHAnsi"/>
                <w:iCs/>
                <w:sz w:val="18"/>
                <w:szCs w:val="18"/>
                <w:lang w:eastAsia="en-US"/>
              </w:rPr>
              <w:t>The draft AIP 2020-2025 (with updated objectives and improved performance benchmarks and PAF) was prepared and will be submitted for Ministerial approval in late 2019. [</w:t>
            </w:r>
            <w:r w:rsidRPr="00EA3A30">
              <w:rPr>
                <w:rFonts w:asciiTheme="minorHAnsi" w:eastAsia="Times New Roman" w:hAnsiTheme="minorHAnsi" w:cstheme="minorHAnsi"/>
                <w:i/>
                <w:iCs/>
                <w:sz w:val="18"/>
                <w:szCs w:val="18"/>
                <w:lang w:eastAsia="en-US"/>
              </w:rPr>
              <w:t>Note: Submission of all DFAT AIPs were postponed due to the conduct of Australian Government elections in May 2019</w:t>
            </w:r>
            <w:r w:rsidRPr="00EA3A30">
              <w:rPr>
                <w:rFonts w:asciiTheme="minorHAnsi" w:eastAsia="Times New Roman" w:hAnsiTheme="minorHAnsi" w:cstheme="minorHAnsi"/>
                <w:iCs/>
                <w:sz w:val="18"/>
                <w:szCs w:val="18"/>
                <w:lang w:eastAsia="en-US"/>
              </w:rPr>
              <w:t>.]</w:t>
            </w:r>
          </w:p>
        </w:tc>
      </w:tr>
      <w:tr w:rsidR="00D7242F" w:rsidRPr="00EA3A30" w:rsidTr="006457D4">
        <w:trPr>
          <w:cnfStyle w:val="000000010000" w:firstRow="0" w:lastRow="0" w:firstColumn="0" w:lastColumn="0" w:oddVBand="0" w:evenVBand="0" w:oddHBand="0" w:evenHBand="1" w:firstRowFirstColumn="0" w:firstRowLastColumn="0" w:lastRowFirstColumn="0" w:lastRowLastColumn="0"/>
        </w:trPr>
        <w:tc>
          <w:tcPr>
            <w:tcW w:w="42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242F" w:rsidRPr="00EA3A30" w:rsidRDefault="00D7242F" w:rsidP="00534CCE">
            <w:pPr>
              <w:keepLines/>
              <w:spacing w:before="40" w:after="40" w:line="200" w:lineRule="atLeast"/>
              <w:rPr>
                <w:rFonts w:asciiTheme="minorHAnsi" w:eastAsia="Times New Roman" w:hAnsiTheme="minorHAnsi" w:cstheme="minorHAnsi"/>
                <w:iCs/>
                <w:sz w:val="18"/>
                <w:szCs w:val="18"/>
                <w:lang w:eastAsia="en-US"/>
              </w:rPr>
            </w:pPr>
            <w:r w:rsidRPr="00EA3A30">
              <w:rPr>
                <w:rFonts w:asciiTheme="minorHAnsi" w:eastAsia="Times New Roman" w:hAnsiTheme="minorHAnsi" w:cstheme="minorHAnsi"/>
                <w:iCs/>
                <w:sz w:val="18"/>
                <w:szCs w:val="18"/>
                <w:lang w:eastAsia="en-US"/>
              </w:rPr>
              <w:t>The Philippines Program Gender Action Plan will be updated following an internal review of the first year of implementation of the Plan.</w:t>
            </w:r>
          </w:p>
        </w:tc>
        <w:tc>
          <w:tcPr>
            <w:tcW w:w="11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D7242F" w:rsidRPr="00EA3A30" w:rsidRDefault="00D7242F" w:rsidP="00534CCE">
            <w:pPr>
              <w:keepLines/>
              <w:spacing w:before="40" w:after="40" w:line="200" w:lineRule="atLeast"/>
              <w:jc w:val="center"/>
              <w:rPr>
                <w:rFonts w:asciiTheme="minorHAnsi" w:eastAsia="Times New Roman" w:hAnsiTheme="minorHAnsi" w:cstheme="minorHAnsi"/>
                <w:iCs/>
                <w:color w:val="FFFFFF" w:themeColor="background1"/>
                <w:sz w:val="18"/>
                <w:szCs w:val="18"/>
                <w:lang w:eastAsia="en-US"/>
              </w:rPr>
            </w:pPr>
            <w:r w:rsidRPr="00EA3A30">
              <w:rPr>
                <w:rFonts w:asciiTheme="minorHAnsi" w:eastAsia="Times New Roman" w:hAnsiTheme="minorHAnsi" w:cstheme="minorHAnsi"/>
                <w:iCs/>
                <w:color w:val="FFFFFF" w:themeColor="background1"/>
                <w:sz w:val="18"/>
                <w:szCs w:val="18"/>
                <w:lang w:eastAsia="en-US"/>
              </w:rPr>
              <w:t>Achieved</w:t>
            </w:r>
          </w:p>
        </w:tc>
        <w:tc>
          <w:tcPr>
            <w:tcW w:w="43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242F" w:rsidRPr="00EA3A30" w:rsidRDefault="00D7242F" w:rsidP="00534CCE">
            <w:pPr>
              <w:keepLines/>
              <w:spacing w:before="40" w:after="40" w:line="200" w:lineRule="atLeast"/>
              <w:rPr>
                <w:rFonts w:asciiTheme="minorHAnsi" w:eastAsia="Times New Roman" w:hAnsiTheme="minorHAnsi" w:cstheme="minorHAnsi"/>
                <w:iCs/>
                <w:color w:val="92D050"/>
                <w:sz w:val="18"/>
                <w:szCs w:val="18"/>
                <w:lang w:eastAsia="en-US"/>
              </w:rPr>
            </w:pPr>
            <w:r w:rsidRPr="00EA3A30">
              <w:rPr>
                <w:rFonts w:asciiTheme="minorHAnsi" w:eastAsia="Times New Roman" w:hAnsiTheme="minorHAnsi" w:cstheme="minorHAnsi"/>
                <w:iCs/>
                <w:sz w:val="18"/>
                <w:szCs w:val="18"/>
                <w:lang w:eastAsia="en-US"/>
              </w:rPr>
              <w:t>The annual update was completed in January 2019. Based on the one-year implementation review, 25 sub-action points targeted for 2018-19 were achieved or partially achieved.</w:t>
            </w:r>
          </w:p>
        </w:tc>
      </w:tr>
      <w:tr w:rsidR="00D7242F" w:rsidRPr="00EA3A30" w:rsidTr="006457D4">
        <w:trPr>
          <w:cnfStyle w:val="000000010000" w:firstRow="0" w:lastRow="0" w:firstColumn="0" w:lastColumn="0" w:oddVBand="0" w:evenVBand="0" w:oddHBand="0" w:evenHBand="1" w:firstRowFirstColumn="0" w:firstRowLastColumn="0" w:lastRowFirstColumn="0" w:lastRowLastColumn="0"/>
        </w:trPr>
        <w:tc>
          <w:tcPr>
            <w:tcW w:w="4206" w:type="dxa"/>
            <w:tcBorders>
              <w:top w:val="single" w:sz="6" w:space="0" w:color="auto"/>
              <w:left w:val="single" w:sz="6" w:space="0" w:color="auto"/>
              <w:bottom w:val="single" w:sz="6" w:space="0" w:color="auto"/>
              <w:right w:val="single" w:sz="6" w:space="0" w:color="auto"/>
            </w:tcBorders>
          </w:tcPr>
          <w:p w:rsidR="00D7242F" w:rsidRPr="00EA3A30" w:rsidRDefault="00D7242F" w:rsidP="00534CCE">
            <w:pPr>
              <w:keepLines/>
              <w:spacing w:before="40" w:after="40" w:line="200" w:lineRule="atLeast"/>
              <w:rPr>
                <w:rFonts w:asciiTheme="minorHAnsi" w:eastAsia="Times New Roman" w:hAnsiTheme="minorHAnsi" w:cstheme="minorHAnsi"/>
                <w:iCs/>
                <w:sz w:val="18"/>
                <w:szCs w:val="18"/>
                <w:lang w:eastAsia="en-US"/>
              </w:rPr>
            </w:pPr>
            <w:r w:rsidRPr="00EA3A30">
              <w:rPr>
                <w:rFonts w:asciiTheme="minorHAnsi" w:eastAsia="Times New Roman" w:hAnsiTheme="minorHAnsi" w:cstheme="minorHAnsi"/>
                <w:iCs/>
                <w:sz w:val="18"/>
                <w:szCs w:val="18"/>
                <w:lang w:eastAsia="en-US"/>
              </w:rPr>
              <w:t>Management of two Investments Requiring Improvement (IRI) will be a priority for both program teams and senior management at the embassy.</w:t>
            </w:r>
          </w:p>
        </w:tc>
        <w:tc>
          <w:tcPr>
            <w:tcW w:w="1101" w:type="dxa"/>
            <w:tcBorders>
              <w:top w:val="single" w:sz="6" w:space="0" w:color="auto"/>
              <w:left w:val="single" w:sz="6" w:space="0" w:color="auto"/>
              <w:bottom w:val="single" w:sz="6" w:space="0" w:color="auto"/>
              <w:right w:val="single" w:sz="6" w:space="0" w:color="auto"/>
            </w:tcBorders>
            <w:shd w:val="clear" w:color="auto" w:fill="72AF2F"/>
          </w:tcPr>
          <w:p w:rsidR="00D7242F" w:rsidRPr="00EA3A30" w:rsidRDefault="00D7242F" w:rsidP="00534CCE">
            <w:pPr>
              <w:keepLines/>
              <w:spacing w:before="40" w:after="40" w:line="200" w:lineRule="atLeast"/>
              <w:jc w:val="center"/>
              <w:rPr>
                <w:rFonts w:asciiTheme="minorHAnsi" w:eastAsia="Times New Roman" w:hAnsiTheme="minorHAnsi" w:cstheme="minorHAnsi"/>
                <w:iCs/>
                <w:color w:val="FFFFFF" w:themeColor="background1"/>
                <w:sz w:val="18"/>
                <w:szCs w:val="18"/>
                <w:lang w:eastAsia="en-US"/>
              </w:rPr>
            </w:pPr>
            <w:r w:rsidRPr="00EA3A30">
              <w:rPr>
                <w:rFonts w:asciiTheme="minorHAnsi" w:eastAsia="Times New Roman" w:hAnsiTheme="minorHAnsi" w:cstheme="minorHAnsi"/>
                <w:iCs/>
                <w:color w:val="FFFFFF" w:themeColor="background1"/>
                <w:sz w:val="18"/>
                <w:szCs w:val="18"/>
                <w:lang w:eastAsia="en-US"/>
              </w:rPr>
              <w:t>Achieved</w:t>
            </w:r>
          </w:p>
        </w:tc>
        <w:tc>
          <w:tcPr>
            <w:tcW w:w="4377" w:type="dxa"/>
            <w:tcBorders>
              <w:top w:val="single" w:sz="6" w:space="0" w:color="auto"/>
              <w:left w:val="single" w:sz="6" w:space="0" w:color="auto"/>
              <w:bottom w:val="single" w:sz="6" w:space="0" w:color="auto"/>
              <w:right w:val="single" w:sz="6" w:space="0" w:color="auto"/>
            </w:tcBorders>
          </w:tcPr>
          <w:p w:rsidR="00D7242F" w:rsidRPr="00EA3A30" w:rsidRDefault="00D7242F" w:rsidP="00534CCE">
            <w:pPr>
              <w:keepLines/>
              <w:spacing w:before="40" w:after="40" w:line="200" w:lineRule="atLeast"/>
              <w:rPr>
                <w:rFonts w:asciiTheme="minorHAnsi" w:eastAsia="Times New Roman" w:hAnsiTheme="minorHAnsi" w:cstheme="minorHAnsi"/>
                <w:iCs/>
                <w:color w:val="409F68" w:themeColor="accent6"/>
                <w:sz w:val="18"/>
                <w:szCs w:val="18"/>
                <w:lang w:eastAsia="en-US"/>
              </w:rPr>
            </w:pPr>
            <w:r w:rsidRPr="00EA3A30">
              <w:rPr>
                <w:rFonts w:asciiTheme="minorHAnsi" w:eastAsia="Times New Roman" w:hAnsiTheme="minorHAnsi" w:cstheme="minorHAnsi"/>
                <w:iCs/>
                <w:sz w:val="18"/>
                <w:szCs w:val="18"/>
                <w:lang w:eastAsia="en-US"/>
              </w:rPr>
              <w:t>Remediation plans were implemented for the two IRIs, leading to satisfactory 2018-19 quality ratings for both investments.</w:t>
            </w:r>
          </w:p>
        </w:tc>
      </w:tr>
      <w:tr w:rsidR="00D7242F" w:rsidRPr="00EA3A30" w:rsidTr="006457D4">
        <w:trPr>
          <w:cnfStyle w:val="000000010000" w:firstRow="0" w:lastRow="0" w:firstColumn="0" w:lastColumn="0" w:oddVBand="0" w:evenVBand="0" w:oddHBand="0" w:evenHBand="1" w:firstRowFirstColumn="0" w:firstRowLastColumn="0" w:lastRowFirstColumn="0" w:lastRowLastColumn="0"/>
        </w:trPr>
        <w:tc>
          <w:tcPr>
            <w:tcW w:w="42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242F" w:rsidRPr="00EA3A30" w:rsidRDefault="00D7242F" w:rsidP="00534CCE">
            <w:pPr>
              <w:keepLines/>
              <w:spacing w:before="40" w:after="40" w:line="200" w:lineRule="atLeast"/>
              <w:rPr>
                <w:rFonts w:asciiTheme="minorHAnsi" w:eastAsia="Times New Roman" w:hAnsiTheme="minorHAnsi" w:cstheme="minorHAnsi"/>
                <w:iCs/>
                <w:sz w:val="18"/>
                <w:szCs w:val="18"/>
              </w:rPr>
            </w:pPr>
            <w:r w:rsidRPr="00EA3A30">
              <w:rPr>
                <w:rFonts w:asciiTheme="minorHAnsi" w:eastAsia="Times New Roman" w:hAnsiTheme="minorHAnsi" w:cstheme="minorHAnsi"/>
                <w:iCs/>
                <w:sz w:val="18"/>
                <w:szCs w:val="18"/>
              </w:rPr>
              <w:t>The embassy will monitor humanitarian and recovery activities for communities affected by the Marawi conflict and identify opportunities to assist with the longer term recovery plan from the Philippine Government.</w:t>
            </w:r>
          </w:p>
        </w:tc>
        <w:tc>
          <w:tcPr>
            <w:tcW w:w="11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D7242F" w:rsidRPr="00EA3A30" w:rsidRDefault="00D7242F" w:rsidP="00534CCE">
            <w:pPr>
              <w:keepLines/>
              <w:spacing w:before="40" w:after="40" w:line="200" w:lineRule="atLeast"/>
              <w:jc w:val="center"/>
              <w:rPr>
                <w:rFonts w:asciiTheme="minorHAnsi" w:eastAsia="Times New Roman" w:hAnsiTheme="minorHAnsi" w:cstheme="minorHAnsi"/>
                <w:iCs/>
                <w:color w:val="FFFFFF" w:themeColor="background1"/>
                <w:sz w:val="18"/>
                <w:szCs w:val="18"/>
              </w:rPr>
            </w:pPr>
            <w:r w:rsidRPr="00EA3A30">
              <w:rPr>
                <w:rFonts w:asciiTheme="minorHAnsi" w:eastAsia="Times New Roman" w:hAnsiTheme="minorHAnsi" w:cstheme="minorHAnsi"/>
                <w:iCs/>
                <w:color w:val="FFFFFF" w:themeColor="background1"/>
                <w:sz w:val="18"/>
                <w:szCs w:val="18"/>
                <w:lang w:eastAsia="en-US"/>
              </w:rPr>
              <w:t>Achieved</w:t>
            </w:r>
          </w:p>
        </w:tc>
        <w:tc>
          <w:tcPr>
            <w:tcW w:w="43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242F" w:rsidRPr="00EA3A30" w:rsidRDefault="00D7242F" w:rsidP="00AE5EA8">
            <w:pPr>
              <w:keepLines/>
              <w:spacing w:before="40" w:after="40" w:line="200" w:lineRule="atLeast"/>
              <w:rPr>
                <w:rFonts w:asciiTheme="minorHAnsi" w:eastAsia="Times New Roman" w:hAnsiTheme="minorHAnsi" w:cstheme="minorHAnsi"/>
                <w:iCs/>
                <w:color w:val="409F68" w:themeColor="accent6"/>
                <w:sz w:val="18"/>
                <w:szCs w:val="18"/>
              </w:rPr>
            </w:pPr>
            <w:r w:rsidRPr="00EA3A30">
              <w:rPr>
                <w:rFonts w:asciiTheme="minorHAnsi" w:eastAsia="Times New Roman" w:hAnsiTheme="minorHAnsi" w:cstheme="minorHAnsi"/>
                <w:iCs/>
                <w:sz w:val="18"/>
                <w:szCs w:val="18"/>
              </w:rPr>
              <w:t>Australia increased its support for those affected by the Marawi conflict from $2</w:t>
            </w:r>
            <w:r w:rsidR="00AE5EA8">
              <w:rPr>
                <w:rFonts w:asciiTheme="minorHAnsi" w:eastAsia="Times New Roman" w:hAnsiTheme="minorHAnsi" w:cstheme="minorHAnsi"/>
                <w:iCs/>
                <w:sz w:val="18"/>
                <w:szCs w:val="18"/>
              </w:rPr>
              <w:t>5</w:t>
            </w:r>
            <w:r w:rsidRPr="00EA3A30">
              <w:rPr>
                <w:rFonts w:asciiTheme="minorHAnsi" w:eastAsia="Times New Roman" w:hAnsiTheme="minorHAnsi" w:cstheme="minorHAnsi"/>
                <w:iCs/>
                <w:sz w:val="18"/>
                <w:szCs w:val="18"/>
              </w:rPr>
              <w:t xml:space="preserve"> million in 2017-18 to $30 million in 2018-19. </w:t>
            </w:r>
          </w:p>
        </w:tc>
      </w:tr>
      <w:tr w:rsidR="00D7242F" w:rsidRPr="00EA3A30" w:rsidTr="006457D4">
        <w:trPr>
          <w:cnfStyle w:val="000000010000" w:firstRow="0" w:lastRow="0" w:firstColumn="0" w:lastColumn="0" w:oddVBand="0" w:evenVBand="0" w:oddHBand="0" w:evenHBand="1" w:firstRowFirstColumn="0" w:firstRowLastColumn="0" w:lastRowFirstColumn="0" w:lastRowLastColumn="0"/>
          <w:trHeight w:val="445"/>
        </w:trPr>
        <w:tc>
          <w:tcPr>
            <w:tcW w:w="42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242F" w:rsidRPr="00EA3A30" w:rsidRDefault="00D7242F" w:rsidP="00534CCE">
            <w:pPr>
              <w:keepLines/>
              <w:spacing w:before="40" w:after="40" w:line="200" w:lineRule="atLeast"/>
              <w:rPr>
                <w:rFonts w:asciiTheme="minorHAnsi" w:eastAsia="Times New Roman" w:hAnsiTheme="minorHAnsi" w:cstheme="minorHAnsi"/>
                <w:iCs/>
                <w:sz w:val="18"/>
                <w:szCs w:val="18"/>
                <w:lang w:eastAsia="en-US"/>
              </w:rPr>
            </w:pPr>
            <w:r w:rsidRPr="00EA3A30">
              <w:rPr>
                <w:rFonts w:asciiTheme="minorHAnsi" w:eastAsia="Times New Roman" w:hAnsiTheme="minorHAnsi" w:cstheme="minorHAnsi"/>
                <w:iCs/>
                <w:sz w:val="18"/>
                <w:szCs w:val="18"/>
                <w:lang w:eastAsia="en-US"/>
              </w:rPr>
              <w:t>Post will lead a detailed risk assessment process to support operations in Mindanao</w:t>
            </w:r>
          </w:p>
        </w:tc>
        <w:tc>
          <w:tcPr>
            <w:tcW w:w="11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rsidR="00D7242F" w:rsidRPr="00EA3A30" w:rsidRDefault="002C2FA8" w:rsidP="00534CCE">
            <w:pPr>
              <w:keepLines/>
              <w:spacing w:before="40" w:after="40" w:line="200" w:lineRule="atLeast"/>
              <w:jc w:val="center"/>
              <w:rPr>
                <w:rFonts w:asciiTheme="minorHAnsi" w:eastAsia="Times New Roman" w:hAnsiTheme="minorHAnsi" w:cstheme="minorHAnsi"/>
                <w:iCs/>
                <w:color w:val="FFFFFF" w:themeColor="background1"/>
                <w:sz w:val="18"/>
                <w:szCs w:val="18"/>
                <w:lang w:eastAsia="en-US"/>
              </w:rPr>
            </w:pPr>
            <w:r>
              <w:rPr>
                <w:rFonts w:asciiTheme="minorHAnsi" w:eastAsia="Times New Roman" w:hAnsiTheme="minorHAnsi" w:cstheme="minorHAnsi"/>
                <w:iCs/>
                <w:color w:val="FFFFFF" w:themeColor="background1"/>
                <w:sz w:val="18"/>
                <w:szCs w:val="18"/>
                <w:lang w:eastAsia="en-US"/>
              </w:rPr>
              <w:t xml:space="preserve">Partly </w:t>
            </w:r>
            <w:r w:rsidR="00D7242F" w:rsidRPr="00EA3A30">
              <w:rPr>
                <w:rFonts w:asciiTheme="minorHAnsi" w:eastAsia="Times New Roman" w:hAnsiTheme="minorHAnsi" w:cstheme="minorHAnsi"/>
                <w:iCs/>
                <w:color w:val="FFFFFF" w:themeColor="background1"/>
                <w:sz w:val="18"/>
                <w:szCs w:val="18"/>
                <w:lang w:eastAsia="en-US"/>
              </w:rPr>
              <w:t>achieved</w:t>
            </w:r>
          </w:p>
        </w:tc>
        <w:tc>
          <w:tcPr>
            <w:tcW w:w="43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242F" w:rsidRPr="00EA3A30" w:rsidRDefault="008B1919" w:rsidP="00542BA4">
            <w:pPr>
              <w:keepLines/>
              <w:spacing w:before="40" w:after="40" w:line="200" w:lineRule="atLeast"/>
              <w:rPr>
                <w:rFonts w:asciiTheme="minorHAnsi" w:eastAsia="Times New Roman" w:hAnsiTheme="minorHAnsi" w:cstheme="minorHAnsi"/>
                <w:iCs/>
                <w:color w:val="409F68" w:themeColor="accent6"/>
                <w:sz w:val="18"/>
                <w:szCs w:val="18"/>
                <w:lang w:eastAsia="en-US"/>
              </w:rPr>
            </w:pPr>
            <w:r w:rsidRPr="008B1919">
              <w:rPr>
                <w:rFonts w:asciiTheme="minorHAnsi" w:eastAsia="Times New Roman" w:hAnsiTheme="minorHAnsi" w:cstheme="minorHAnsi"/>
                <w:iCs/>
                <w:sz w:val="18"/>
                <w:szCs w:val="18"/>
                <w:lang w:eastAsia="en-US"/>
              </w:rPr>
              <w:t>A detailed risk assessment to support operations (not just aid, but all aspects of Australia’s work) in Mindanao, took the form of an ongoing process rather than a final report. This included the development of rolling three-month security assessments for travel to Davao and Cagayan de Oro (‘reconsider your need to travel’ zones), as well as the individual approval and assessment processes for other essential travel to Mindanao. This now underpins and informs all work and travel to Mindanao.</w:t>
            </w:r>
          </w:p>
        </w:tc>
      </w:tr>
      <w:tr w:rsidR="00D7242F" w:rsidRPr="00EA3A30" w:rsidTr="006457D4">
        <w:trPr>
          <w:cnfStyle w:val="000000010000" w:firstRow="0" w:lastRow="0" w:firstColumn="0" w:lastColumn="0" w:oddVBand="0" w:evenVBand="0" w:oddHBand="0" w:evenHBand="1" w:firstRowFirstColumn="0" w:firstRowLastColumn="0" w:lastRowFirstColumn="0" w:lastRowLastColumn="0"/>
          <w:trHeight w:val="563"/>
        </w:trPr>
        <w:tc>
          <w:tcPr>
            <w:tcW w:w="42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242F" w:rsidRPr="00EA3A30" w:rsidRDefault="00D7242F" w:rsidP="00534CCE">
            <w:pPr>
              <w:keepLines/>
              <w:spacing w:before="40" w:after="40" w:line="200" w:lineRule="atLeast"/>
              <w:rPr>
                <w:rFonts w:asciiTheme="minorHAnsi" w:eastAsia="Times New Roman" w:hAnsiTheme="minorHAnsi" w:cstheme="minorHAnsi"/>
                <w:iCs/>
                <w:sz w:val="18"/>
                <w:szCs w:val="18"/>
              </w:rPr>
            </w:pPr>
            <w:r w:rsidRPr="00EA3A30">
              <w:rPr>
                <w:rFonts w:asciiTheme="minorHAnsi" w:eastAsia="Times New Roman" w:hAnsiTheme="minorHAnsi" w:cstheme="minorHAnsi"/>
                <w:iCs/>
                <w:sz w:val="18"/>
                <w:szCs w:val="18"/>
              </w:rPr>
              <w:t>Post will lead processes with the monitoring and evaluation (M&amp;E) adviser to ensure initiatives involving a large number of separate investments are contributing to consolidated objectives and help prevent proliferation of smaller investments.</w:t>
            </w:r>
          </w:p>
        </w:tc>
        <w:tc>
          <w:tcPr>
            <w:tcW w:w="11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D7242F" w:rsidRPr="00EA3A30" w:rsidRDefault="00D7242F" w:rsidP="00534CCE">
            <w:pPr>
              <w:keepLines/>
              <w:spacing w:before="40" w:after="40" w:line="200" w:lineRule="atLeast"/>
              <w:jc w:val="center"/>
              <w:rPr>
                <w:rFonts w:asciiTheme="minorHAnsi" w:eastAsia="Times New Roman" w:hAnsiTheme="minorHAnsi" w:cstheme="minorHAnsi"/>
                <w:iCs/>
                <w:color w:val="FFFFFF" w:themeColor="background1"/>
                <w:sz w:val="18"/>
                <w:szCs w:val="18"/>
              </w:rPr>
            </w:pPr>
            <w:r w:rsidRPr="00EA3A30">
              <w:rPr>
                <w:rFonts w:asciiTheme="minorHAnsi" w:eastAsia="Times New Roman" w:hAnsiTheme="minorHAnsi" w:cstheme="minorHAnsi"/>
                <w:iCs/>
                <w:color w:val="FFFFFF" w:themeColor="background1"/>
                <w:sz w:val="18"/>
                <w:szCs w:val="18"/>
                <w:lang w:eastAsia="en-US"/>
              </w:rPr>
              <w:t>Achieved</w:t>
            </w:r>
          </w:p>
        </w:tc>
        <w:tc>
          <w:tcPr>
            <w:tcW w:w="43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242F" w:rsidRPr="00EA3A30" w:rsidRDefault="00D7242F" w:rsidP="0088413E">
            <w:pPr>
              <w:keepLines/>
              <w:spacing w:before="40" w:after="40" w:line="200" w:lineRule="atLeast"/>
              <w:rPr>
                <w:rFonts w:asciiTheme="minorHAnsi" w:eastAsia="Times New Roman" w:hAnsiTheme="minorHAnsi" w:cstheme="minorHAnsi"/>
                <w:iCs/>
                <w:color w:val="409F68" w:themeColor="accent6"/>
                <w:sz w:val="18"/>
                <w:szCs w:val="18"/>
              </w:rPr>
            </w:pPr>
            <w:r w:rsidRPr="00EA3A30">
              <w:rPr>
                <w:rFonts w:asciiTheme="minorHAnsi" w:eastAsia="Times New Roman" w:hAnsiTheme="minorHAnsi" w:cstheme="minorHAnsi"/>
                <w:iCs/>
                <w:sz w:val="18"/>
                <w:szCs w:val="18"/>
              </w:rPr>
              <w:t xml:space="preserve">All investment-level M&amp;E frameworks reviewed and realigned to </w:t>
            </w:r>
            <w:r w:rsidR="000A2AE9">
              <w:rPr>
                <w:rFonts w:asciiTheme="minorHAnsi" w:eastAsia="Times New Roman" w:hAnsiTheme="minorHAnsi" w:cstheme="minorHAnsi"/>
                <w:iCs/>
                <w:sz w:val="18"/>
                <w:szCs w:val="18"/>
              </w:rPr>
              <w:t xml:space="preserve">the </w:t>
            </w:r>
            <w:r w:rsidR="00AE5EA8">
              <w:rPr>
                <w:rFonts w:asciiTheme="minorHAnsi" w:eastAsia="Times New Roman" w:hAnsiTheme="minorHAnsi" w:cstheme="minorHAnsi"/>
                <w:iCs/>
                <w:sz w:val="18"/>
                <w:szCs w:val="18"/>
              </w:rPr>
              <w:t>interim</w:t>
            </w:r>
            <w:r w:rsidR="00AE5EA8" w:rsidRPr="00EA3A30">
              <w:rPr>
                <w:rFonts w:asciiTheme="minorHAnsi" w:eastAsia="Times New Roman" w:hAnsiTheme="minorHAnsi" w:cstheme="minorHAnsi"/>
                <w:iCs/>
                <w:sz w:val="18"/>
                <w:szCs w:val="18"/>
              </w:rPr>
              <w:t xml:space="preserve"> </w:t>
            </w:r>
            <w:r w:rsidRPr="00EA3A30">
              <w:rPr>
                <w:rFonts w:asciiTheme="minorHAnsi" w:eastAsia="Times New Roman" w:hAnsiTheme="minorHAnsi" w:cstheme="minorHAnsi"/>
                <w:iCs/>
                <w:sz w:val="18"/>
                <w:szCs w:val="18"/>
              </w:rPr>
              <w:t xml:space="preserve">PAF for 2018-19 and to the </w:t>
            </w:r>
            <w:r w:rsidR="00AE5EA8">
              <w:rPr>
                <w:rFonts w:asciiTheme="minorHAnsi" w:eastAsia="Times New Roman" w:hAnsiTheme="minorHAnsi" w:cstheme="minorHAnsi"/>
                <w:iCs/>
                <w:sz w:val="18"/>
                <w:szCs w:val="18"/>
              </w:rPr>
              <w:t xml:space="preserve">proposed </w:t>
            </w:r>
            <w:r w:rsidRPr="00EA3A30">
              <w:rPr>
                <w:rFonts w:asciiTheme="minorHAnsi" w:eastAsia="Times New Roman" w:hAnsiTheme="minorHAnsi" w:cstheme="minorHAnsi"/>
                <w:iCs/>
                <w:sz w:val="18"/>
                <w:szCs w:val="18"/>
              </w:rPr>
              <w:t xml:space="preserve">PAF </w:t>
            </w:r>
            <w:r w:rsidR="00AE5EA8">
              <w:rPr>
                <w:rFonts w:asciiTheme="minorHAnsi" w:eastAsia="Times New Roman" w:hAnsiTheme="minorHAnsi" w:cstheme="minorHAnsi"/>
                <w:iCs/>
                <w:sz w:val="18"/>
                <w:szCs w:val="18"/>
              </w:rPr>
              <w:t xml:space="preserve">in the new AIP </w:t>
            </w:r>
            <w:r w:rsidRPr="00EA3A30">
              <w:rPr>
                <w:rFonts w:asciiTheme="minorHAnsi" w:eastAsia="Times New Roman" w:hAnsiTheme="minorHAnsi" w:cstheme="minorHAnsi"/>
                <w:iCs/>
                <w:sz w:val="18"/>
                <w:szCs w:val="18"/>
              </w:rPr>
              <w:t>2020-2025.</w:t>
            </w:r>
          </w:p>
        </w:tc>
      </w:tr>
      <w:tr w:rsidR="00D7242F" w:rsidRPr="00EA3A30" w:rsidTr="006457D4">
        <w:trPr>
          <w:cnfStyle w:val="000000010000" w:firstRow="0" w:lastRow="0" w:firstColumn="0" w:lastColumn="0" w:oddVBand="0" w:evenVBand="0" w:oddHBand="0" w:evenHBand="1" w:firstRowFirstColumn="0" w:firstRowLastColumn="0" w:lastRowFirstColumn="0" w:lastRowLastColumn="0"/>
          <w:trHeight w:val="335"/>
        </w:trPr>
        <w:tc>
          <w:tcPr>
            <w:tcW w:w="4206" w:type="dxa"/>
            <w:tcBorders>
              <w:top w:val="single" w:sz="6" w:space="0" w:color="auto"/>
              <w:left w:val="single" w:sz="6" w:space="0" w:color="auto"/>
              <w:bottom w:val="single" w:sz="6" w:space="0" w:color="auto"/>
              <w:right w:val="single" w:sz="6" w:space="0" w:color="auto"/>
            </w:tcBorders>
          </w:tcPr>
          <w:p w:rsidR="00D7242F" w:rsidRPr="00EA3A30" w:rsidRDefault="00D7242F" w:rsidP="00534CCE">
            <w:pPr>
              <w:keepLines/>
              <w:spacing w:before="40" w:after="40" w:line="200" w:lineRule="atLeast"/>
              <w:rPr>
                <w:rFonts w:asciiTheme="minorHAnsi" w:eastAsia="Times New Roman" w:hAnsiTheme="minorHAnsi" w:cstheme="minorHAnsi"/>
                <w:iCs/>
                <w:sz w:val="18"/>
                <w:szCs w:val="18"/>
              </w:rPr>
            </w:pPr>
            <w:r w:rsidRPr="00EA3A30">
              <w:rPr>
                <w:rFonts w:asciiTheme="minorHAnsi" w:eastAsia="Times New Roman" w:hAnsiTheme="minorHAnsi" w:cstheme="minorHAnsi"/>
                <w:iCs/>
                <w:sz w:val="18"/>
                <w:szCs w:val="18"/>
              </w:rPr>
              <w:t>Two programs (Coalitions for Change and Child Protection) to commence second phase in 2018-19.</w:t>
            </w:r>
          </w:p>
        </w:tc>
        <w:tc>
          <w:tcPr>
            <w:tcW w:w="1101" w:type="dxa"/>
            <w:tcBorders>
              <w:top w:val="single" w:sz="6" w:space="0" w:color="auto"/>
              <w:left w:val="single" w:sz="6" w:space="0" w:color="auto"/>
              <w:bottom w:val="single" w:sz="6" w:space="0" w:color="auto"/>
              <w:right w:val="single" w:sz="6" w:space="0" w:color="auto"/>
            </w:tcBorders>
            <w:shd w:val="clear" w:color="auto" w:fill="72AF2F"/>
          </w:tcPr>
          <w:p w:rsidR="00D7242F" w:rsidRPr="00EA3A30" w:rsidRDefault="00D7242F" w:rsidP="00534CCE">
            <w:pPr>
              <w:keepLines/>
              <w:spacing w:before="40" w:after="40" w:line="200" w:lineRule="atLeast"/>
              <w:jc w:val="center"/>
              <w:rPr>
                <w:rFonts w:asciiTheme="minorHAnsi" w:eastAsia="Times New Roman" w:hAnsiTheme="minorHAnsi" w:cstheme="minorHAnsi"/>
                <w:iCs/>
                <w:color w:val="FFFFFF" w:themeColor="background1"/>
                <w:sz w:val="18"/>
                <w:szCs w:val="18"/>
              </w:rPr>
            </w:pPr>
            <w:r w:rsidRPr="00EA3A30">
              <w:rPr>
                <w:rFonts w:asciiTheme="minorHAnsi" w:eastAsia="Times New Roman" w:hAnsiTheme="minorHAnsi" w:cstheme="minorHAnsi"/>
                <w:iCs/>
                <w:color w:val="FFFFFF" w:themeColor="background1"/>
                <w:sz w:val="18"/>
                <w:szCs w:val="18"/>
                <w:lang w:eastAsia="en-US"/>
              </w:rPr>
              <w:t>Achieved</w:t>
            </w:r>
          </w:p>
        </w:tc>
        <w:tc>
          <w:tcPr>
            <w:tcW w:w="4377" w:type="dxa"/>
            <w:tcBorders>
              <w:top w:val="single" w:sz="6" w:space="0" w:color="auto"/>
              <w:left w:val="single" w:sz="6" w:space="0" w:color="auto"/>
              <w:bottom w:val="single" w:sz="6" w:space="0" w:color="auto"/>
              <w:right w:val="single" w:sz="6" w:space="0" w:color="auto"/>
            </w:tcBorders>
          </w:tcPr>
          <w:p w:rsidR="00D7242F" w:rsidRPr="00EA3A30" w:rsidRDefault="00D7242F" w:rsidP="00534CCE">
            <w:pPr>
              <w:keepLines/>
              <w:spacing w:before="40" w:after="40" w:line="200" w:lineRule="atLeast"/>
              <w:rPr>
                <w:rFonts w:asciiTheme="minorHAnsi" w:eastAsia="Times New Roman" w:hAnsiTheme="minorHAnsi" w:cstheme="minorHAnsi"/>
                <w:iCs/>
                <w:color w:val="409F68" w:themeColor="accent6"/>
                <w:sz w:val="18"/>
                <w:szCs w:val="18"/>
              </w:rPr>
            </w:pPr>
            <w:r w:rsidRPr="00EA3A30">
              <w:rPr>
                <w:rFonts w:asciiTheme="minorHAnsi" w:eastAsia="Times New Roman" w:hAnsiTheme="minorHAnsi" w:cstheme="minorHAnsi"/>
                <w:iCs/>
                <w:sz w:val="18"/>
                <w:szCs w:val="18"/>
              </w:rPr>
              <w:t>Both programs successfully mobilised in 2018-19.</w:t>
            </w:r>
          </w:p>
        </w:tc>
      </w:tr>
    </w:tbl>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w:t>
      </w:r>
      <w:r w:rsidR="001B2AAD">
        <w:rPr>
          <w:rFonts w:eastAsia="Times New Roman"/>
          <w:b/>
          <w:sz w:val="16"/>
          <w:szCs w:val="14"/>
        </w:rPr>
        <w:t xml:space="preserve"> </w:t>
      </w:r>
      <w:r w:rsidRPr="00812509">
        <w:rPr>
          <w:rFonts w:eastAsia="Times New Roman"/>
          <w:b/>
          <w:sz w:val="16"/>
          <w:szCs w:val="14"/>
        </w:rPr>
        <w:t xml:space="preserve">Significant progress has been made in addressing the issue </w:t>
      </w:r>
    </w:p>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w:t>
      </w:r>
      <w:r w:rsidR="001B2AAD">
        <w:rPr>
          <w:rFonts w:eastAsia="Times New Roman"/>
          <w:b/>
          <w:sz w:val="16"/>
          <w:szCs w:val="14"/>
        </w:rPr>
        <w:t xml:space="preserve"> </w:t>
      </w:r>
      <w:r w:rsidRPr="00812509">
        <w:rPr>
          <w:rFonts w:eastAsia="Times New Roman"/>
          <w:b/>
          <w:sz w:val="16"/>
          <w:szCs w:val="14"/>
        </w:rPr>
        <w:t xml:space="preserve">Some progress has been made in addressing the issue, but the issue has not been resolved </w:t>
      </w:r>
    </w:p>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400B0F" w:rsidRPr="00C61187" w:rsidRDefault="00400B0F" w:rsidP="00400B0F">
      <w:pPr>
        <w:spacing w:after="160" w:line="280" w:lineRule="exact"/>
        <w:rPr>
          <w:rFonts w:ascii="Franklin Gothic Book" w:eastAsia="Times New Roman" w:hAnsi="Franklin Gothic Book"/>
          <w:sz w:val="21"/>
        </w:rPr>
      </w:pPr>
    </w:p>
    <w:p w:rsidR="00400B0F" w:rsidRPr="00C61187" w:rsidRDefault="00400B0F" w:rsidP="00400B0F">
      <w:pPr>
        <w:spacing w:after="200" w:line="276" w:lineRule="auto"/>
        <w:rPr>
          <w:rFonts w:ascii="Franklin Gothic Book" w:hAnsi="Franklin Gothic Book"/>
          <w:sz w:val="21"/>
        </w:rPr>
      </w:pPr>
    </w:p>
    <w:p w:rsidR="00D15A00" w:rsidRDefault="00D15A00" w:rsidP="002A51CA"/>
    <w:p w:rsidR="00060268" w:rsidRDefault="00060268" w:rsidP="002A51CA"/>
    <w:p w:rsidR="001502C9" w:rsidRDefault="001502C9" w:rsidP="002A51CA"/>
    <w:p w:rsidR="001502C9" w:rsidRDefault="001502C9" w:rsidP="002A51CA"/>
    <w:p w:rsidR="00033AB7" w:rsidRPr="008821C2" w:rsidRDefault="002A51CA" w:rsidP="008821C2">
      <w:pPr>
        <w:pStyle w:val="Subtitle"/>
        <w:numPr>
          <w:ilvl w:val="0"/>
          <w:numId w:val="0"/>
        </w:numPr>
        <w:spacing w:before="360" w:after="120" w:line="300" w:lineRule="exact"/>
        <w:rPr>
          <w:rFonts w:asciiTheme="majorHAnsi" w:hAnsiTheme="majorHAnsi" w:cstheme="majorHAnsi"/>
        </w:rPr>
      </w:pPr>
      <w:r w:rsidRPr="008821C2">
        <w:rPr>
          <w:rFonts w:asciiTheme="majorHAnsi" w:eastAsia="Times New Roman" w:hAnsiTheme="majorHAnsi" w:cstheme="majorHAnsi"/>
          <w:sz w:val="21"/>
        </w:rPr>
        <w:t xml:space="preserve"> </w:t>
      </w:r>
      <w:r w:rsidR="00400B0F" w:rsidRPr="008821C2">
        <w:rPr>
          <w:rFonts w:asciiTheme="majorHAnsi" w:hAnsiTheme="majorHAnsi" w:cstheme="majorHAnsi"/>
        </w:rPr>
        <w:t xml:space="preserve">Annex B </w:t>
      </w:r>
      <w:r w:rsidR="00033AB7" w:rsidRPr="008821C2">
        <w:rPr>
          <w:rFonts w:asciiTheme="majorHAnsi" w:hAnsiTheme="majorHAnsi" w:cstheme="majorHAnsi"/>
        </w:rPr>
        <w:t>–</w:t>
      </w:r>
      <w:r w:rsidR="00400B0F" w:rsidRPr="008821C2">
        <w:rPr>
          <w:rFonts w:asciiTheme="majorHAnsi" w:hAnsiTheme="majorHAnsi" w:cstheme="majorHAnsi"/>
        </w:rPr>
        <w:t xml:space="preserve"> </w:t>
      </w:r>
      <w:r w:rsidR="00033AB7" w:rsidRPr="008821C2">
        <w:rPr>
          <w:rFonts w:asciiTheme="majorHAnsi" w:hAnsiTheme="majorHAnsi" w:cstheme="majorHAnsi"/>
        </w:rPr>
        <w:t>PERFORMANCE BENCHMARKS</w:t>
      </w:r>
    </w:p>
    <w:p w:rsidR="008821C2" w:rsidRPr="00F8189A" w:rsidRDefault="000A2AE9" w:rsidP="008821C2">
      <w:pPr>
        <w:rPr>
          <w:rFonts w:eastAsia="Times New Roman" w:cstheme="minorHAnsi"/>
          <w:sz w:val="32"/>
          <w:szCs w:val="32"/>
        </w:rPr>
      </w:pPr>
      <w:r>
        <w:rPr>
          <w:rFonts w:eastAsia="Times New Roman" w:cstheme="minorHAnsi"/>
          <w:sz w:val="32"/>
          <w:szCs w:val="32"/>
        </w:rPr>
        <w:t xml:space="preserve">1 </w:t>
      </w:r>
      <w:r w:rsidR="008821C2" w:rsidRPr="00F8189A">
        <w:rPr>
          <w:rFonts w:eastAsia="Times New Roman" w:cstheme="minorHAnsi"/>
          <w:sz w:val="32"/>
          <w:szCs w:val="32"/>
        </w:rPr>
        <w:t>Progress towards Performance Benchmarks in 2018-19</w:t>
      </w:r>
    </w:p>
    <w:p w:rsidR="008821C2" w:rsidRPr="00F8189A" w:rsidRDefault="008E4DDA" w:rsidP="00D67CEF">
      <w:pPr>
        <w:spacing w:after="120"/>
        <w:ind w:left="142" w:hanging="142"/>
        <w:rPr>
          <w:color w:val="FF0000"/>
        </w:rPr>
      </w:pPr>
      <w:r w:rsidRPr="008E4DDA">
        <w:rPr>
          <w:i/>
          <w:sz w:val="18"/>
        </w:rPr>
        <w:t>*</w:t>
      </w:r>
      <w:r w:rsidR="00B40687">
        <w:rPr>
          <w:i/>
          <w:sz w:val="18"/>
        </w:rPr>
        <w:t>Interim p</w:t>
      </w:r>
      <w:r w:rsidRPr="008E4DDA">
        <w:rPr>
          <w:i/>
          <w:sz w:val="18"/>
        </w:rPr>
        <w:t xml:space="preserve">erformance benchmarks </w:t>
      </w:r>
      <w:r w:rsidR="003E221A">
        <w:rPr>
          <w:i/>
          <w:sz w:val="18"/>
        </w:rPr>
        <w:t xml:space="preserve">were prepared specifically </w:t>
      </w:r>
      <w:r w:rsidRPr="008E4DDA">
        <w:rPr>
          <w:i/>
          <w:sz w:val="18"/>
        </w:rPr>
        <w:t xml:space="preserve">for 2018-19 </w:t>
      </w:r>
      <w:r w:rsidR="003E221A">
        <w:rPr>
          <w:i/>
          <w:sz w:val="18"/>
        </w:rPr>
        <w:t>based on the objectives of the Aid Investment Plan 2014-15 to 2017-18. .</w:t>
      </w:r>
    </w:p>
    <w:tbl>
      <w:tblPr>
        <w:tblStyle w:val="DFATTable"/>
        <w:tblW w:w="5001" w:type="pct"/>
        <w:tblLook w:val="04A0" w:firstRow="1" w:lastRow="0" w:firstColumn="1" w:lastColumn="0" w:noHBand="0" w:noVBand="1"/>
      </w:tblPr>
      <w:tblGrid>
        <w:gridCol w:w="1817"/>
        <w:gridCol w:w="1620"/>
        <w:gridCol w:w="2235"/>
        <w:gridCol w:w="843"/>
        <w:gridCol w:w="3125"/>
      </w:tblGrid>
      <w:tr w:rsidR="003E221A" w:rsidRPr="00C61187" w:rsidTr="001A17D9">
        <w:trPr>
          <w:tblHeader/>
        </w:trPr>
        <w:tc>
          <w:tcPr>
            <w:tcW w:w="943" w:type="pct"/>
            <w:tcBorders>
              <w:top w:val="single" w:sz="12" w:space="0" w:color="auto"/>
              <w:bottom w:val="single" w:sz="4" w:space="0" w:color="auto"/>
            </w:tcBorders>
            <w:tcMar>
              <w:top w:w="57" w:type="dxa"/>
              <w:bottom w:w="57" w:type="dxa"/>
            </w:tcMar>
          </w:tcPr>
          <w:p w:rsidR="003E221A" w:rsidRPr="00880004" w:rsidRDefault="003E221A" w:rsidP="003E221A">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r>
              <w:rPr>
                <w:rFonts w:asciiTheme="minorHAnsi" w:eastAsia="Times New Roman" w:hAnsiTheme="minorHAnsi"/>
                <w:b/>
                <w:iCs/>
                <w:szCs w:val="17"/>
                <w:lang w:eastAsia="en-US"/>
              </w:rPr>
              <w:t xml:space="preserve"> and sub-objectives</w:t>
            </w:r>
          </w:p>
        </w:tc>
        <w:tc>
          <w:tcPr>
            <w:tcW w:w="840" w:type="pct"/>
            <w:tcBorders>
              <w:top w:val="single" w:sz="12" w:space="0" w:color="auto"/>
              <w:bottom w:val="single" w:sz="4" w:space="0" w:color="auto"/>
            </w:tcBorders>
          </w:tcPr>
          <w:p w:rsidR="003E221A" w:rsidRPr="00880004" w:rsidRDefault="003E221A" w:rsidP="003E221A">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159" w:type="pct"/>
            <w:tcBorders>
              <w:top w:val="single" w:sz="12" w:space="0" w:color="auto"/>
              <w:bottom w:val="single" w:sz="4" w:space="0" w:color="auto"/>
            </w:tcBorders>
            <w:vAlign w:val="center"/>
          </w:tcPr>
          <w:p w:rsidR="003E221A" w:rsidRPr="008E4DDA" w:rsidRDefault="003E221A" w:rsidP="003E221A">
            <w:pPr>
              <w:keepLines/>
              <w:spacing w:before="80" w:after="80" w:line="200" w:lineRule="atLeast"/>
              <w:jc w:val="center"/>
              <w:rPr>
                <w:rFonts w:asciiTheme="minorHAnsi" w:eastAsia="Times New Roman" w:hAnsiTheme="minorHAnsi"/>
                <w:b/>
                <w:iCs/>
                <w:szCs w:val="17"/>
                <w:lang w:eastAsia="en-US"/>
              </w:rPr>
            </w:pPr>
            <w:r w:rsidRPr="008E4DDA">
              <w:rPr>
                <w:rFonts w:asciiTheme="minorHAnsi" w:eastAsia="Times New Roman" w:hAnsiTheme="minorHAnsi"/>
                <w:b/>
                <w:iCs/>
                <w:szCs w:val="17"/>
                <w:lang w:eastAsia="en-US"/>
              </w:rPr>
              <w:t xml:space="preserve">2018-19 </w:t>
            </w:r>
            <w:r w:rsidR="00D67CEF">
              <w:rPr>
                <w:rFonts w:asciiTheme="minorHAnsi" w:eastAsia="Times New Roman" w:hAnsiTheme="minorHAnsi"/>
                <w:b/>
                <w:iCs/>
                <w:szCs w:val="17"/>
                <w:lang w:eastAsia="en-US"/>
              </w:rPr>
              <w:t xml:space="preserve">Expected </w:t>
            </w:r>
            <w:r w:rsidRPr="008E4DDA">
              <w:rPr>
                <w:rFonts w:asciiTheme="minorHAnsi" w:eastAsia="Times New Roman" w:hAnsiTheme="minorHAnsi"/>
                <w:b/>
                <w:iCs/>
                <w:szCs w:val="17"/>
                <w:lang w:eastAsia="en-US"/>
              </w:rPr>
              <w:t>Milestones</w:t>
            </w:r>
          </w:p>
        </w:tc>
        <w:tc>
          <w:tcPr>
            <w:tcW w:w="437" w:type="pct"/>
            <w:tcBorders>
              <w:top w:val="single" w:sz="12" w:space="0" w:color="auto"/>
              <w:bottom w:val="single" w:sz="4" w:space="0" w:color="auto"/>
            </w:tcBorders>
          </w:tcPr>
          <w:p w:rsidR="003E221A" w:rsidRPr="00880004" w:rsidRDefault="003E221A" w:rsidP="003E221A">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1622" w:type="pct"/>
            <w:tcBorders>
              <w:top w:val="single" w:sz="12" w:space="0" w:color="auto"/>
              <w:bottom w:val="single" w:sz="4" w:space="0" w:color="auto"/>
            </w:tcBorders>
          </w:tcPr>
          <w:p w:rsidR="003E221A" w:rsidRPr="00880004" w:rsidRDefault="003E221A" w:rsidP="003E221A">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8-19</w:t>
            </w:r>
          </w:p>
        </w:tc>
      </w:tr>
      <w:tr w:rsidR="00A3154C" w:rsidRPr="00C61187" w:rsidTr="001A17D9">
        <w:tc>
          <w:tcPr>
            <w:tcW w:w="5000" w:type="pct"/>
            <w:gridSpan w:val="5"/>
            <w:tcBorders>
              <w:top w:val="single" w:sz="4" w:space="0" w:color="auto"/>
            </w:tcBorders>
            <w:tcMar>
              <w:top w:w="57" w:type="dxa"/>
              <w:bottom w:w="57" w:type="dxa"/>
            </w:tcMar>
          </w:tcPr>
          <w:p w:rsidR="00A3154C" w:rsidRPr="00362511" w:rsidRDefault="00A3154C" w:rsidP="003E221A">
            <w:pPr>
              <w:keepLines/>
              <w:spacing w:before="40" w:after="40" w:line="200" w:lineRule="atLeast"/>
            </w:pPr>
            <w:r w:rsidRPr="00362511">
              <w:rPr>
                <w:rFonts w:asciiTheme="minorHAnsi" w:eastAsia="Times New Roman" w:hAnsiTheme="minorHAnsi"/>
                <w:b/>
                <w:iCs/>
                <w:szCs w:val="17"/>
                <w:lang w:eastAsia="en-US"/>
              </w:rPr>
              <w:t xml:space="preserve">Aid Objective </w:t>
            </w:r>
            <w:r>
              <w:rPr>
                <w:rFonts w:asciiTheme="minorHAnsi" w:eastAsia="Times New Roman" w:hAnsiTheme="minorHAnsi"/>
                <w:b/>
                <w:iCs/>
                <w:szCs w:val="17"/>
                <w:lang w:eastAsia="en-US"/>
              </w:rPr>
              <w:t>1</w:t>
            </w:r>
            <w:r w:rsidRPr="00362511">
              <w:rPr>
                <w:rFonts w:asciiTheme="minorHAnsi" w:eastAsia="Times New Roman" w:hAnsiTheme="minorHAnsi"/>
                <w:b/>
                <w:iCs/>
                <w:szCs w:val="17"/>
                <w:lang w:eastAsia="en-US"/>
              </w:rPr>
              <w:t xml:space="preserve">: </w:t>
            </w:r>
            <w:r w:rsidRPr="003E221A">
              <w:rPr>
                <w:rFonts w:asciiTheme="minorHAnsi" w:eastAsia="Times New Roman" w:hAnsiTheme="minorHAnsi"/>
                <w:b/>
                <w:iCs/>
                <w:szCs w:val="17"/>
                <w:lang w:eastAsia="en-US"/>
              </w:rPr>
              <w:t xml:space="preserve">Enhancing the Foundations for Economic Growth </w:t>
            </w:r>
          </w:p>
        </w:tc>
      </w:tr>
      <w:tr w:rsidR="003E221A" w:rsidRPr="00C61187" w:rsidTr="001A17D9">
        <w:tc>
          <w:tcPr>
            <w:tcW w:w="943" w:type="pct"/>
            <w:tcBorders>
              <w:bottom w:val="nil"/>
            </w:tcBorders>
            <w:tcMar>
              <w:top w:w="57" w:type="dxa"/>
              <w:bottom w:w="57" w:type="dxa"/>
            </w:tcMar>
          </w:tcPr>
          <w:p w:rsidR="003E221A" w:rsidRPr="00362511" w:rsidRDefault="00FB38A2" w:rsidP="003E221A">
            <w:pPr>
              <w:spacing w:before="0" w:after="120" w:line="240" w:lineRule="auto"/>
              <w:rPr>
                <w:rFonts w:asciiTheme="minorHAnsi" w:hAnsiTheme="minorHAnsi"/>
                <w:lang w:eastAsia="en-US"/>
              </w:rPr>
            </w:pPr>
            <w:r w:rsidRPr="00362511">
              <w:rPr>
                <w:rFonts w:asciiTheme="minorHAnsi" w:hAnsiTheme="minorHAnsi"/>
                <w:lang w:eastAsia="en-US"/>
              </w:rPr>
              <w:t>Improve and enable a more inclusive environment for business and trade</w:t>
            </w:r>
          </w:p>
        </w:tc>
        <w:tc>
          <w:tcPr>
            <w:tcW w:w="840" w:type="pct"/>
            <w:tcBorders>
              <w:bottom w:val="nil"/>
            </w:tcBorders>
          </w:tcPr>
          <w:p w:rsidR="003E221A" w:rsidRPr="00362511" w:rsidRDefault="003E221A" w:rsidP="003E221A">
            <w:pPr>
              <w:keepLines/>
              <w:spacing w:before="40" w:after="40" w:line="200" w:lineRule="atLeast"/>
              <w:rPr>
                <w:rFonts w:asciiTheme="minorHAnsi" w:hAnsiTheme="minorHAnsi"/>
                <w:lang w:eastAsia="en-US"/>
              </w:rPr>
            </w:pPr>
            <w:r w:rsidRPr="00362511">
              <w:rPr>
                <w:rFonts w:asciiTheme="minorHAnsi" w:hAnsiTheme="minorHAnsi"/>
                <w:lang w:eastAsia="en-US"/>
              </w:rPr>
              <w:t>Formal workplace policies to promote gender equity and non-discrimination are implemented by businesses</w:t>
            </w:r>
          </w:p>
        </w:tc>
        <w:tc>
          <w:tcPr>
            <w:tcW w:w="1159" w:type="pct"/>
            <w:tcBorders>
              <w:bottom w:val="nil"/>
            </w:tcBorders>
            <w:shd w:val="clear" w:color="auto" w:fill="auto"/>
          </w:tcPr>
          <w:p w:rsidR="003E221A" w:rsidRPr="00362511" w:rsidRDefault="003E221A" w:rsidP="004B6ADB">
            <w:pPr>
              <w:keepLines/>
              <w:spacing w:before="40" w:after="40" w:line="200" w:lineRule="atLeast"/>
              <w:rPr>
                <w:rFonts w:asciiTheme="minorHAnsi" w:hAnsiTheme="minorHAnsi"/>
                <w:lang w:eastAsia="en-US"/>
              </w:rPr>
            </w:pPr>
            <w:r w:rsidRPr="00362511">
              <w:rPr>
                <w:rFonts w:asciiTheme="minorHAnsi" w:hAnsiTheme="minorHAnsi"/>
                <w:lang w:eastAsia="en-US"/>
              </w:rPr>
              <w:t>7</w:t>
            </w:r>
            <w:r w:rsidR="004B6ADB">
              <w:rPr>
                <w:rFonts w:asciiTheme="minorHAnsi" w:hAnsiTheme="minorHAnsi"/>
                <w:lang w:eastAsia="en-US"/>
              </w:rPr>
              <w:t xml:space="preserve"> member companies of the</w:t>
            </w:r>
            <w:r w:rsidRPr="00362511">
              <w:rPr>
                <w:rFonts w:asciiTheme="minorHAnsi" w:hAnsiTheme="minorHAnsi"/>
                <w:lang w:eastAsia="en-US"/>
              </w:rPr>
              <w:t xml:space="preserve"> Investing in Women business coalition in the Philippines acquire EDGE certification</w:t>
            </w:r>
          </w:p>
        </w:tc>
        <w:tc>
          <w:tcPr>
            <w:tcW w:w="437" w:type="pct"/>
            <w:tcBorders>
              <w:bottom w:val="nil"/>
            </w:tcBorders>
            <w:shd w:val="clear" w:color="auto" w:fill="92D050"/>
          </w:tcPr>
          <w:p w:rsidR="003E221A" w:rsidRPr="00362511" w:rsidRDefault="003E221A" w:rsidP="003E221A">
            <w:pPr>
              <w:jc w:val="center"/>
              <w:rPr>
                <w:color w:val="FFFFFF" w:themeColor="background1"/>
              </w:rPr>
            </w:pPr>
            <w:r w:rsidRPr="00362511">
              <w:rPr>
                <w:rFonts w:asciiTheme="minorHAnsi" w:hAnsiTheme="minorHAnsi"/>
                <w:color w:val="FFFFFF" w:themeColor="background1"/>
                <w:lang w:eastAsia="en-US"/>
              </w:rPr>
              <w:t>Achieved</w:t>
            </w:r>
          </w:p>
        </w:tc>
        <w:tc>
          <w:tcPr>
            <w:tcW w:w="1622" w:type="pct"/>
            <w:tcBorders>
              <w:bottom w:val="nil"/>
            </w:tcBorders>
          </w:tcPr>
          <w:p w:rsidR="003E221A" w:rsidRPr="00362511" w:rsidRDefault="003E221A" w:rsidP="003E221A">
            <w:pPr>
              <w:keepLines/>
              <w:spacing w:before="40" w:after="40" w:line="200" w:lineRule="atLeast"/>
              <w:rPr>
                <w:rFonts w:asciiTheme="minorHAnsi" w:hAnsiTheme="minorHAnsi"/>
                <w:lang w:eastAsia="en-US"/>
              </w:rPr>
            </w:pPr>
            <w:r w:rsidRPr="00362511">
              <w:rPr>
                <w:rFonts w:asciiTheme="minorHAnsi" w:hAnsiTheme="minorHAnsi"/>
                <w:lang w:eastAsia="en-US"/>
              </w:rPr>
              <w:t>Seven members received EDGE certification by June 2019.</w:t>
            </w:r>
          </w:p>
        </w:tc>
      </w:tr>
      <w:tr w:rsidR="003E221A" w:rsidRPr="00C61187" w:rsidTr="001A17D9">
        <w:tc>
          <w:tcPr>
            <w:tcW w:w="943" w:type="pct"/>
            <w:tcBorders>
              <w:top w:val="nil"/>
              <w:bottom w:val="nil"/>
            </w:tcBorders>
            <w:tcMar>
              <w:top w:w="57" w:type="dxa"/>
              <w:bottom w:w="57" w:type="dxa"/>
            </w:tcMar>
          </w:tcPr>
          <w:p w:rsidR="003E221A" w:rsidRPr="00362511" w:rsidRDefault="003E221A" w:rsidP="003E221A">
            <w:pPr>
              <w:spacing w:before="0" w:after="120" w:line="240" w:lineRule="auto"/>
              <w:rPr>
                <w:rFonts w:asciiTheme="minorHAnsi" w:hAnsiTheme="minorHAnsi"/>
                <w:lang w:eastAsia="en-US"/>
              </w:rPr>
            </w:pPr>
            <w:r w:rsidRPr="00362511">
              <w:rPr>
                <w:rFonts w:asciiTheme="minorHAnsi" w:hAnsiTheme="minorHAnsi"/>
                <w:lang w:eastAsia="en-US"/>
              </w:rPr>
              <w:t>More equitable access to quality education for a skilled national workforce</w:t>
            </w:r>
          </w:p>
        </w:tc>
        <w:tc>
          <w:tcPr>
            <w:tcW w:w="840" w:type="pct"/>
            <w:tcBorders>
              <w:top w:val="nil"/>
              <w:bottom w:val="nil"/>
            </w:tcBorders>
          </w:tcPr>
          <w:p w:rsidR="003E221A" w:rsidRPr="00362511" w:rsidRDefault="003E221A" w:rsidP="003E221A">
            <w:pPr>
              <w:keepLines/>
              <w:spacing w:before="40" w:after="40" w:line="200" w:lineRule="atLeast"/>
              <w:rPr>
                <w:rFonts w:asciiTheme="minorHAnsi" w:hAnsiTheme="minorHAnsi"/>
                <w:lang w:eastAsia="en-US"/>
              </w:rPr>
            </w:pPr>
            <w:r>
              <w:rPr>
                <w:rFonts w:asciiTheme="minorHAnsi" w:hAnsiTheme="minorHAnsi"/>
                <w:lang w:eastAsia="en-US"/>
              </w:rPr>
              <w:t>Improved t</w:t>
            </w:r>
            <w:r w:rsidRPr="00362511">
              <w:rPr>
                <w:rFonts w:asciiTheme="minorHAnsi" w:hAnsiTheme="minorHAnsi"/>
                <w:lang w:eastAsia="en-US"/>
              </w:rPr>
              <w:t xml:space="preserve">eaching practices in line with Philippine Professional Standards for Teachers </w:t>
            </w:r>
          </w:p>
        </w:tc>
        <w:tc>
          <w:tcPr>
            <w:tcW w:w="1159" w:type="pct"/>
            <w:tcBorders>
              <w:top w:val="nil"/>
              <w:bottom w:val="nil"/>
            </w:tcBorders>
            <w:shd w:val="clear" w:color="auto" w:fill="auto"/>
          </w:tcPr>
          <w:p w:rsidR="003E221A" w:rsidRPr="00362511" w:rsidRDefault="003E221A" w:rsidP="003E221A">
            <w:pPr>
              <w:keepLines/>
              <w:spacing w:before="40" w:after="40" w:line="200" w:lineRule="atLeast"/>
              <w:rPr>
                <w:rFonts w:asciiTheme="minorHAnsi" w:hAnsiTheme="minorHAnsi"/>
                <w:lang w:eastAsia="en-US"/>
              </w:rPr>
            </w:pPr>
            <w:r w:rsidRPr="00362511">
              <w:rPr>
                <w:rFonts w:asciiTheme="minorHAnsi" w:hAnsiTheme="minorHAnsi"/>
                <w:lang w:eastAsia="en-US"/>
              </w:rPr>
              <w:t>Department of Education issues a policy to systematise teacher professional development through the National Educators’ Academy of the Philippines</w:t>
            </w:r>
          </w:p>
        </w:tc>
        <w:tc>
          <w:tcPr>
            <w:tcW w:w="437" w:type="pct"/>
            <w:tcBorders>
              <w:top w:val="nil"/>
              <w:bottom w:val="nil"/>
            </w:tcBorders>
            <w:shd w:val="clear" w:color="auto" w:fill="92D050"/>
          </w:tcPr>
          <w:p w:rsidR="003E221A" w:rsidRPr="00362511" w:rsidRDefault="003E221A" w:rsidP="003E221A">
            <w:pPr>
              <w:jc w:val="center"/>
              <w:rPr>
                <w:color w:val="FFFFFF" w:themeColor="background1"/>
              </w:rPr>
            </w:pPr>
            <w:r w:rsidRPr="00362511">
              <w:rPr>
                <w:rFonts w:asciiTheme="minorHAnsi" w:hAnsiTheme="minorHAnsi"/>
                <w:color w:val="FFFFFF" w:themeColor="background1"/>
                <w:lang w:eastAsia="en-US"/>
              </w:rPr>
              <w:t>Achieved</w:t>
            </w:r>
          </w:p>
        </w:tc>
        <w:tc>
          <w:tcPr>
            <w:tcW w:w="1622" w:type="pct"/>
            <w:tcBorders>
              <w:top w:val="nil"/>
              <w:bottom w:val="nil"/>
            </w:tcBorders>
          </w:tcPr>
          <w:p w:rsidR="003E221A" w:rsidRPr="00362511" w:rsidRDefault="004B6ADB" w:rsidP="003E221A">
            <w:pPr>
              <w:keepLines/>
              <w:spacing w:before="40" w:after="40" w:line="200" w:lineRule="atLeast"/>
              <w:rPr>
                <w:rFonts w:asciiTheme="minorHAnsi" w:hAnsiTheme="minorHAnsi"/>
                <w:lang w:eastAsia="en-US"/>
              </w:rPr>
            </w:pPr>
            <w:r>
              <w:rPr>
                <w:rFonts w:asciiTheme="minorHAnsi" w:hAnsiTheme="minorHAnsi"/>
                <w:lang w:eastAsia="en-US"/>
              </w:rPr>
              <w:t>New teacher professional system developed and trialled.</w:t>
            </w:r>
          </w:p>
        </w:tc>
      </w:tr>
      <w:tr w:rsidR="00A3154C" w:rsidRPr="00C61187" w:rsidTr="001A17D9">
        <w:tc>
          <w:tcPr>
            <w:tcW w:w="5000" w:type="pct"/>
            <w:gridSpan w:val="5"/>
            <w:tcBorders>
              <w:top w:val="nil"/>
              <w:bottom w:val="nil"/>
            </w:tcBorders>
            <w:tcMar>
              <w:top w:w="57" w:type="dxa"/>
              <w:bottom w:w="57" w:type="dxa"/>
            </w:tcMar>
          </w:tcPr>
          <w:p w:rsidR="00A3154C" w:rsidRPr="00362511" w:rsidRDefault="00A3154C" w:rsidP="00362511">
            <w:pPr>
              <w:keepLines/>
              <w:spacing w:before="40" w:after="40" w:line="200" w:lineRule="atLeast"/>
            </w:pPr>
            <w:r w:rsidRPr="008E4DDA">
              <w:rPr>
                <w:rFonts w:asciiTheme="minorHAnsi" w:eastAsia="Times New Roman" w:hAnsiTheme="minorHAnsi"/>
                <w:b/>
                <w:iCs/>
                <w:szCs w:val="17"/>
                <w:lang w:eastAsia="en-US"/>
              </w:rPr>
              <w:t xml:space="preserve">Aid Objective 2: </w:t>
            </w:r>
            <w:r w:rsidRPr="00DC223F">
              <w:rPr>
                <w:rFonts w:asciiTheme="minorHAnsi" w:eastAsia="Times New Roman" w:hAnsiTheme="minorHAnsi"/>
                <w:b/>
                <w:iCs/>
                <w:szCs w:val="17"/>
                <w:lang w:eastAsia="en-US"/>
              </w:rPr>
              <w:t>Building Stronger Institutions for Transparent and Accountable Governance</w:t>
            </w:r>
          </w:p>
        </w:tc>
      </w:tr>
      <w:tr w:rsidR="00362511" w:rsidRPr="00C61187" w:rsidTr="001A17D9">
        <w:tc>
          <w:tcPr>
            <w:tcW w:w="943" w:type="pct"/>
            <w:tcBorders>
              <w:top w:val="nil"/>
            </w:tcBorders>
            <w:tcMar>
              <w:top w:w="57" w:type="dxa"/>
              <w:bottom w:w="57" w:type="dxa"/>
            </w:tcMar>
          </w:tcPr>
          <w:p w:rsidR="00362511" w:rsidRPr="00362511" w:rsidRDefault="00362511" w:rsidP="00362511">
            <w:pPr>
              <w:spacing w:before="0" w:after="120" w:line="240" w:lineRule="auto"/>
              <w:rPr>
                <w:rFonts w:asciiTheme="minorHAnsi" w:hAnsiTheme="minorHAnsi"/>
                <w:lang w:eastAsia="en-US"/>
              </w:rPr>
            </w:pPr>
            <w:r w:rsidRPr="00362511">
              <w:rPr>
                <w:rFonts w:asciiTheme="minorHAnsi" w:hAnsiTheme="minorHAnsi"/>
                <w:lang w:eastAsia="en-US"/>
              </w:rPr>
              <w:t>Improve public financial management in infrastructure and public-private sector partnerships</w:t>
            </w:r>
          </w:p>
        </w:tc>
        <w:tc>
          <w:tcPr>
            <w:tcW w:w="840" w:type="pct"/>
            <w:tcBorders>
              <w:top w:val="nil"/>
            </w:tcBorders>
          </w:tcPr>
          <w:p w:rsidR="00362511" w:rsidRPr="00362511" w:rsidRDefault="00362511" w:rsidP="00362511">
            <w:pPr>
              <w:keepLines/>
              <w:spacing w:before="40" w:after="40" w:line="200" w:lineRule="atLeast"/>
              <w:rPr>
                <w:rFonts w:asciiTheme="minorHAnsi" w:hAnsiTheme="minorHAnsi"/>
                <w:lang w:eastAsia="en-US"/>
              </w:rPr>
            </w:pPr>
            <w:r w:rsidRPr="00362511">
              <w:rPr>
                <w:rFonts w:asciiTheme="minorHAnsi" w:hAnsiTheme="minorHAnsi"/>
                <w:lang w:eastAsia="en-US"/>
              </w:rPr>
              <w:t>Department of Budget and Management and Department of Transportation introduce and implement new budgeting and procurement systems</w:t>
            </w:r>
          </w:p>
        </w:tc>
        <w:tc>
          <w:tcPr>
            <w:tcW w:w="1159" w:type="pct"/>
            <w:tcBorders>
              <w:top w:val="nil"/>
            </w:tcBorders>
            <w:shd w:val="clear" w:color="auto" w:fill="auto"/>
          </w:tcPr>
          <w:p w:rsidR="00362511" w:rsidRPr="00362511" w:rsidRDefault="00362511" w:rsidP="00362511">
            <w:pPr>
              <w:keepLines/>
              <w:spacing w:before="40" w:after="40" w:line="200" w:lineRule="atLeast"/>
              <w:rPr>
                <w:rFonts w:asciiTheme="minorHAnsi" w:hAnsiTheme="minorHAnsi"/>
                <w:lang w:eastAsia="en-US"/>
              </w:rPr>
            </w:pPr>
            <w:r w:rsidRPr="00362511">
              <w:rPr>
                <w:rFonts w:asciiTheme="minorHAnsi" w:hAnsiTheme="minorHAnsi"/>
                <w:lang w:eastAsia="en-US"/>
              </w:rPr>
              <w:t>Cash-based budgeting adopted by the Philippine Government</w:t>
            </w:r>
          </w:p>
          <w:p w:rsidR="00362511" w:rsidRPr="00362511" w:rsidRDefault="00362511" w:rsidP="00362511">
            <w:pPr>
              <w:keepLines/>
              <w:spacing w:before="40" w:after="40" w:line="200" w:lineRule="atLeast"/>
              <w:rPr>
                <w:rFonts w:asciiTheme="minorHAnsi" w:hAnsiTheme="minorHAnsi"/>
                <w:lang w:eastAsia="en-US"/>
              </w:rPr>
            </w:pPr>
          </w:p>
          <w:p w:rsidR="00362511" w:rsidRPr="00362511" w:rsidRDefault="00362511" w:rsidP="00362511">
            <w:pPr>
              <w:keepLines/>
              <w:spacing w:before="40" w:after="40" w:line="200" w:lineRule="atLeast"/>
              <w:rPr>
                <w:rFonts w:asciiTheme="minorHAnsi" w:hAnsiTheme="minorHAnsi"/>
                <w:lang w:eastAsia="en-US"/>
              </w:rPr>
            </w:pPr>
            <w:r w:rsidRPr="00362511">
              <w:rPr>
                <w:rFonts w:asciiTheme="minorHAnsi" w:hAnsiTheme="minorHAnsi"/>
                <w:lang w:eastAsia="en-US"/>
              </w:rPr>
              <w:t>Mobilisation of PFMP-II in 2018-19</w:t>
            </w:r>
          </w:p>
        </w:tc>
        <w:tc>
          <w:tcPr>
            <w:tcW w:w="437" w:type="pct"/>
            <w:tcBorders>
              <w:top w:val="nil"/>
            </w:tcBorders>
            <w:shd w:val="clear" w:color="auto" w:fill="FFC000"/>
          </w:tcPr>
          <w:p w:rsidR="00362511" w:rsidRPr="00362511" w:rsidRDefault="00362511" w:rsidP="00362511">
            <w:pPr>
              <w:keepLines/>
              <w:spacing w:before="40" w:after="40" w:line="200" w:lineRule="atLeast"/>
              <w:jc w:val="center"/>
              <w:rPr>
                <w:rFonts w:asciiTheme="minorHAnsi" w:hAnsiTheme="minorHAnsi"/>
                <w:color w:val="FFFFFF" w:themeColor="background1"/>
                <w:lang w:eastAsia="en-US"/>
              </w:rPr>
            </w:pPr>
            <w:r w:rsidRPr="00362511">
              <w:rPr>
                <w:rFonts w:asciiTheme="minorHAnsi" w:hAnsiTheme="minorHAnsi"/>
                <w:color w:val="FFFFFF" w:themeColor="background1"/>
                <w:lang w:eastAsia="en-US"/>
              </w:rPr>
              <w:t>Partly Achieved</w:t>
            </w:r>
          </w:p>
        </w:tc>
        <w:tc>
          <w:tcPr>
            <w:tcW w:w="1622" w:type="pct"/>
            <w:tcBorders>
              <w:top w:val="nil"/>
            </w:tcBorders>
          </w:tcPr>
          <w:p w:rsidR="00362511" w:rsidRPr="00362511" w:rsidRDefault="00362511" w:rsidP="00362511">
            <w:pPr>
              <w:keepLines/>
              <w:spacing w:before="40" w:after="40" w:line="200" w:lineRule="atLeast"/>
              <w:rPr>
                <w:rFonts w:asciiTheme="minorHAnsi" w:hAnsiTheme="minorHAnsi"/>
                <w:lang w:eastAsia="en-US"/>
              </w:rPr>
            </w:pPr>
            <w:r w:rsidRPr="00362511">
              <w:rPr>
                <w:rFonts w:asciiTheme="minorHAnsi" w:hAnsiTheme="minorHAnsi"/>
                <w:lang w:eastAsia="en-US"/>
              </w:rPr>
              <w:t>The program enabled DBM introduce the cash-based budget across the Philippine Government. After facing uncertainty in late 2018 and early 2019, the budget was finally passed and signed by the President in March 2019. However, the new PFMP-II intended to continue support for PFM in infrastructure will no longer proceed in the absence of a signed arrangement with the Philippine Government in place.</w:t>
            </w:r>
          </w:p>
        </w:tc>
      </w:tr>
      <w:tr w:rsidR="00362511" w:rsidRPr="00C61187" w:rsidTr="001A17D9">
        <w:tc>
          <w:tcPr>
            <w:tcW w:w="943" w:type="pct"/>
            <w:tcBorders>
              <w:bottom w:val="nil"/>
            </w:tcBorders>
            <w:tcMar>
              <w:top w:w="57" w:type="dxa"/>
              <w:bottom w:w="57" w:type="dxa"/>
            </w:tcMar>
          </w:tcPr>
          <w:p w:rsidR="00362511" w:rsidRPr="00362511" w:rsidRDefault="00362511" w:rsidP="00362511">
            <w:pPr>
              <w:spacing w:before="0" w:after="120" w:line="240" w:lineRule="auto"/>
              <w:rPr>
                <w:rFonts w:asciiTheme="minorHAnsi" w:hAnsiTheme="minorHAnsi"/>
                <w:lang w:eastAsia="en-US"/>
              </w:rPr>
            </w:pPr>
            <w:r w:rsidRPr="00362511">
              <w:rPr>
                <w:rFonts w:asciiTheme="minorHAnsi" w:hAnsiTheme="minorHAnsi"/>
                <w:lang w:eastAsia="en-US"/>
              </w:rPr>
              <w:t>Strengthen institutional capacity to support inclusive growth and reduce vulnerability</w:t>
            </w:r>
          </w:p>
        </w:tc>
        <w:tc>
          <w:tcPr>
            <w:tcW w:w="840" w:type="pct"/>
            <w:tcBorders>
              <w:bottom w:val="nil"/>
            </w:tcBorders>
          </w:tcPr>
          <w:p w:rsidR="00362511" w:rsidRPr="00362511" w:rsidRDefault="00362511" w:rsidP="00362511">
            <w:pPr>
              <w:keepLines/>
              <w:spacing w:before="40" w:after="40" w:line="200" w:lineRule="atLeast"/>
              <w:rPr>
                <w:rFonts w:asciiTheme="minorHAnsi" w:hAnsiTheme="minorHAnsi"/>
                <w:lang w:eastAsia="en-US"/>
              </w:rPr>
            </w:pPr>
            <w:r w:rsidRPr="00362511">
              <w:rPr>
                <w:rFonts w:asciiTheme="minorHAnsi" w:hAnsiTheme="minorHAnsi"/>
                <w:lang w:eastAsia="en-US"/>
              </w:rPr>
              <w:t>Policy reforms related to resilient, sustainable, and inclusive economic growth are adopted by the Philippine Government</w:t>
            </w:r>
          </w:p>
        </w:tc>
        <w:tc>
          <w:tcPr>
            <w:tcW w:w="1159" w:type="pct"/>
            <w:tcBorders>
              <w:bottom w:val="nil"/>
            </w:tcBorders>
            <w:shd w:val="clear" w:color="auto" w:fill="auto"/>
          </w:tcPr>
          <w:p w:rsidR="00362511" w:rsidRPr="00362511" w:rsidRDefault="00362511" w:rsidP="00362511">
            <w:pPr>
              <w:keepLines/>
              <w:spacing w:before="40" w:after="40" w:line="200" w:lineRule="atLeast"/>
              <w:rPr>
                <w:rFonts w:asciiTheme="minorHAnsi" w:hAnsiTheme="minorHAnsi"/>
                <w:lang w:eastAsia="en-US"/>
              </w:rPr>
            </w:pPr>
            <w:r w:rsidRPr="00362511">
              <w:rPr>
                <w:rFonts w:asciiTheme="minorHAnsi" w:hAnsiTheme="minorHAnsi"/>
                <w:lang w:eastAsia="en-US"/>
              </w:rPr>
              <w:t>At least 4 new laws and/or policies adopted</w:t>
            </w:r>
          </w:p>
        </w:tc>
        <w:tc>
          <w:tcPr>
            <w:tcW w:w="437" w:type="pct"/>
            <w:tcBorders>
              <w:bottom w:val="nil"/>
            </w:tcBorders>
            <w:shd w:val="clear" w:color="auto" w:fill="92D050"/>
          </w:tcPr>
          <w:p w:rsidR="00362511" w:rsidRPr="00362511" w:rsidRDefault="00362511" w:rsidP="00362511">
            <w:pPr>
              <w:keepLines/>
              <w:spacing w:before="40" w:after="40" w:line="200" w:lineRule="atLeast"/>
              <w:jc w:val="center"/>
              <w:rPr>
                <w:rFonts w:asciiTheme="minorHAnsi" w:hAnsiTheme="minorHAnsi"/>
                <w:color w:val="FFFFFF" w:themeColor="background1"/>
                <w:lang w:eastAsia="en-US"/>
              </w:rPr>
            </w:pPr>
            <w:r w:rsidRPr="00362511">
              <w:rPr>
                <w:rFonts w:asciiTheme="minorHAnsi" w:hAnsiTheme="minorHAnsi"/>
                <w:color w:val="FFFFFF" w:themeColor="background1"/>
                <w:lang w:eastAsia="en-US"/>
              </w:rPr>
              <w:t>Achieved</w:t>
            </w:r>
          </w:p>
        </w:tc>
        <w:tc>
          <w:tcPr>
            <w:tcW w:w="1622" w:type="pct"/>
            <w:tcBorders>
              <w:bottom w:val="nil"/>
            </w:tcBorders>
          </w:tcPr>
          <w:p w:rsidR="00362511" w:rsidRPr="00362511" w:rsidRDefault="00362511" w:rsidP="00362511">
            <w:pPr>
              <w:keepLines/>
              <w:spacing w:before="40" w:after="40" w:line="200" w:lineRule="atLeast"/>
              <w:rPr>
                <w:rFonts w:asciiTheme="minorHAnsi" w:hAnsiTheme="minorHAnsi"/>
                <w:lang w:eastAsia="en-US"/>
              </w:rPr>
            </w:pPr>
            <w:r w:rsidRPr="00362511">
              <w:rPr>
                <w:rFonts w:asciiTheme="minorHAnsi" w:hAnsiTheme="minorHAnsi"/>
                <w:lang w:eastAsia="en-US"/>
              </w:rPr>
              <w:t xml:space="preserve">Passage of Universal Health Care Act and amendment to Agricultural Free Patent Act in February 2019. Implementing rules and regulations of the Philippines Qualification Framework passed by the Department of Education in January 2019. </w:t>
            </w:r>
          </w:p>
        </w:tc>
      </w:tr>
      <w:tr w:rsidR="00362511" w:rsidRPr="00C61187" w:rsidTr="001A17D9">
        <w:tc>
          <w:tcPr>
            <w:tcW w:w="943" w:type="pct"/>
            <w:tcBorders>
              <w:top w:val="nil"/>
              <w:bottom w:val="single" w:sz="4" w:space="0" w:color="auto"/>
            </w:tcBorders>
            <w:tcMar>
              <w:top w:w="57" w:type="dxa"/>
              <w:bottom w:w="57" w:type="dxa"/>
            </w:tcMar>
          </w:tcPr>
          <w:p w:rsidR="00362511" w:rsidRPr="00362511" w:rsidRDefault="00362511" w:rsidP="00362511">
            <w:pPr>
              <w:spacing w:before="0" w:after="120" w:line="240" w:lineRule="auto"/>
              <w:rPr>
                <w:rFonts w:asciiTheme="minorHAnsi" w:hAnsiTheme="minorHAnsi"/>
                <w:lang w:eastAsia="en-US"/>
              </w:rPr>
            </w:pPr>
          </w:p>
        </w:tc>
        <w:tc>
          <w:tcPr>
            <w:tcW w:w="840" w:type="pct"/>
            <w:tcBorders>
              <w:top w:val="nil"/>
              <w:bottom w:val="single" w:sz="4" w:space="0" w:color="auto"/>
            </w:tcBorders>
          </w:tcPr>
          <w:p w:rsidR="00362511" w:rsidRPr="00362511" w:rsidRDefault="00362511" w:rsidP="00362511">
            <w:pPr>
              <w:keepLines/>
              <w:spacing w:before="40" w:after="40" w:line="200" w:lineRule="atLeast"/>
              <w:rPr>
                <w:rFonts w:asciiTheme="minorHAnsi" w:hAnsiTheme="minorHAnsi"/>
                <w:lang w:eastAsia="en-US"/>
              </w:rPr>
            </w:pPr>
            <w:r w:rsidRPr="00362511">
              <w:rPr>
                <w:rFonts w:asciiTheme="minorHAnsi" w:hAnsiTheme="minorHAnsi"/>
                <w:lang w:eastAsia="en-US"/>
              </w:rPr>
              <w:t>Local government units (LGUs) and communities are better prepared and more resilient to disasters and climate change</w:t>
            </w:r>
          </w:p>
        </w:tc>
        <w:tc>
          <w:tcPr>
            <w:tcW w:w="1159" w:type="pct"/>
            <w:tcBorders>
              <w:top w:val="nil"/>
              <w:bottom w:val="single" w:sz="4" w:space="0" w:color="auto"/>
            </w:tcBorders>
            <w:shd w:val="clear" w:color="auto" w:fill="auto"/>
          </w:tcPr>
          <w:p w:rsidR="00362511" w:rsidRPr="00362511" w:rsidRDefault="00362511" w:rsidP="00362511">
            <w:pPr>
              <w:keepLines/>
              <w:spacing w:before="40" w:after="40" w:line="200" w:lineRule="atLeast"/>
              <w:rPr>
                <w:rFonts w:asciiTheme="minorHAnsi" w:hAnsiTheme="minorHAnsi"/>
                <w:lang w:eastAsia="en-US"/>
              </w:rPr>
            </w:pPr>
            <w:r w:rsidRPr="00362511">
              <w:rPr>
                <w:rFonts w:asciiTheme="minorHAnsi" w:hAnsiTheme="minorHAnsi"/>
                <w:lang w:eastAsia="en-US"/>
              </w:rPr>
              <w:t>12 Local Government Units, covering 150 barangays, assisted</w:t>
            </w:r>
          </w:p>
        </w:tc>
        <w:tc>
          <w:tcPr>
            <w:tcW w:w="437" w:type="pct"/>
            <w:tcBorders>
              <w:top w:val="nil"/>
              <w:bottom w:val="single" w:sz="4" w:space="0" w:color="auto"/>
            </w:tcBorders>
            <w:shd w:val="clear" w:color="auto" w:fill="92D050"/>
          </w:tcPr>
          <w:p w:rsidR="00362511" w:rsidRPr="00362511" w:rsidRDefault="00362511" w:rsidP="00362511">
            <w:pPr>
              <w:jc w:val="center"/>
              <w:rPr>
                <w:color w:val="FFFFFF" w:themeColor="background1"/>
              </w:rPr>
            </w:pPr>
            <w:r w:rsidRPr="00362511">
              <w:rPr>
                <w:rFonts w:asciiTheme="minorHAnsi" w:hAnsiTheme="minorHAnsi"/>
                <w:color w:val="FFFFFF" w:themeColor="background1"/>
                <w:lang w:eastAsia="en-US"/>
              </w:rPr>
              <w:t>Achieved</w:t>
            </w:r>
          </w:p>
        </w:tc>
        <w:tc>
          <w:tcPr>
            <w:tcW w:w="1622" w:type="pct"/>
            <w:tcBorders>
              <w:top w:val="nil"/>
              <w:bottom w:val="single" w:sz="4" w:space="0" w:color="auto"/>
            </w:tcBorders>
          </w:tcPr>
          <w:p w:rsidR="00362511" w:rsidRPr="00362511" w:rsidRDefault="00362511" w:rsidP="00362511">
            <w:pPr>
              <w:keepLines/>
              <w:spacing w:before="40" w:after="40" w:line="200" w:lineRule="atLeast"/>
              <w:rPr>
                <w:rFonts w:asciiTheme="minorHAnsi" w:hAnsiTheme="minorHAnsi"/>
                <w:lang w:eastAsia="en-US"/>
              </w:rPr>
            </w:pPr>
            <w:r w:rsidRPr="00362511">
              <w:rPr>
                <w:rFonts w:asciiTheme="minorHAnsi" w:hAnsiTheme="minorHAnsi"/>
                <w:lang w:eastAsia="en-US"/>
              </w:rPr>
              <w:t>All 12 partner LGUs have completed their risk-informed plans using updated hazard and risk information. This has been translated in the projects identified and developed by LGUs for local or national funding. A total of 150 coastal barangays have increased understanding of flood and storm surge risks, prepared contingency plans, and conducted regular drills.</w:t>
            </w:r>
          </w:p>
        </w:tc>
      </w:tr>
    </w:tbl>
    <w:p w:rsidR="00D67CEF" w:rsidRDefault="00D67CEF"/>
    <w:p w:rsidR="00D67CEF" w:rsidRDefault="00D67CEF"/>
    <w:tbl>
      <w:tblPr>
        <w:tblStyle w:val="DFATTable"/>
        <w:tblW w:w="5001" w:type="pct"/>
        <w:tblLook w:val="04A0" w:firstRow="1" w:lastRow="0" w:firstColumn="1" w:lastColumn="0" w:noHBand="0" w:noVBand="1"/>
      </w:tblPr>
      <w:tblGrid>
        <w:gridCol w:w="1817"/>
        <w:gridCol w:w="1620"/>
        <w:gridCol w:w="2235"/>
        <w:gridCol w:w="843"/>
        <w:gridCol w:w="3125"/>
      </w:tblGrid>
      <w:tr w:rsidR="00D67CEF" w:rsidRPr="00880004" w:rsidTr="001A17D9">
        <w:trPr>
          <w:tblHeader/>
        </w:trPr>
        <w:tc>
          <w:tcPr>
            <w:tcW w:w="943" w:type="pct"/>
            <w:tcBorders>
              <w:top w:val="single" w:sz="12" w:space="0" w:color="auto"/>
              <w:bottom w:val="single" w:sz="4" w:space="0" w:color="auto"/>
            </w:tcBorders>
            <w:tcMar>
              <w:top w:w="57" w:type="dxa"/>
              <w:bottom w:w="57" w:type="dxa"/>
            </w:tcMar>
          </w:tcPr>
          <w:p w:rsidR="00D67CEF" w:rsidRPr="00880004" w:rsidRDefault="00D67CEF" w:rsidP="009170C4">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r>
              <w:rPr>
                <w:rFonts w:asciiTheme="minorHAnsi" w:eastAsia="Times New Roman" w:hAnsiTheme="minorHAnsi"/>
                <w:b/>
                <w:iCs/>
                <w:szCs w:val="17"/>
                <w:lang w:eastAsia="en-US"/>
              </w:rPr>
              <w:t xml:space="preserve"> and sub-objectives</w:t>
            </w:r>
          </w:p>
        </w:tc>
        <w:tc>
          <w:tcPr>
            <w:tcW w:w="840" w:type="pct"/>
            <w:tcBorders>
              <w:top w:val="single" w:sz="12" w:space="0" w:color="auto"/>
              <w:bottom w:val="single" w:sz="4" w:space="0" w:color="auto"/>
            </w:tcBorders>
          </w:tcPr>
          <w:p w:rsidR="00D67CEF" w:rsidRPr="00880004" w:rsidRDefault="00D67CEF" w:rsidP="009170C4">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159" w:type="pct"/>
            <w:tcBorders>
              <w:top w:val="single" w:sz="12" w:space="0" w:color="auto"/>
              <w:bottom w:val="single" w:sz="4" w:space="0" w:color="auto"/>
            </w:tcBorders>
            <w:vAlign w:val="center"/>
          </w:tcPr>
          <w:p w:rsidR="00D67CEF" w:rsidRPr="008E4DDA" w:rsidRDefault="00D67CEF" w:rsidP="009170C4">
            <w:pPr>
              <w:keepLines/>
              <w:spacing w:before="80" w:after="80" w:line="200" w:lineRule="atLeast"/>
              <w:jc w:val="center"/>
              <w:rPr>
                <w:rFonts w:asciiTheme="minorHAnsi" w:eastAsia="Times New Roman" w:hAnsiTheme="minorHAnsi"/>
                <w:b/>
                <w:iCs/>
                <w:szCs w:val="17"/>
                <w:lang w:eastAsia="en-US"/>
              </w:rPr>
            </w:pPr>
            <w:r w:rsidRPr="008E4DDA">
              <w:rPr>
                <w:rFonts w:asciiTheme="minorHAnsi" w:eastAsia="Times New Roman" w:hAnsiTheme="minorHAnsi"/>
                <w:b/>
                <w:iCs/>
                <w:szCs w:val="17"/>
                <w:lang w:eastAsia="en-US"/>
              </w:rPr>
              <w:t xml:space="preserve">2018-19 </w:t>
            </w:r>
            <w:r>
              <w:rPr>
                <w:rFonts w:asciiTheme="minorHAnsi" w:eastAsia="Times New Roman" w:hAnsiTheme="minorHAnsi"/>
                <w:b/>
                <w:iCs/>
                <w:szCs w:val="17"/>
                <w:lang w:eastAsia="en-US"/>
              </w:rPr>
              <w:t xml:space="preserve">Expected </w:t>
            </w:r>
            <w:r w:rsidRPr="008E4DDA">
              <w:rPr>
                <w:rFonts w:asciiTheme="minorHAnsi" w:eastAsia="Times New Roman" w:hAnsiTheme="minorHAnsi"/>
                <w:b/>
                <w:iCs/>
                <w:szCs w:val="17"/>
                <w:lang w:eastAsia="en-US"/>
              </w:rPr>
              <w:t>Milestones</w:t>
            </w:r>
          </w:p>
        </w:tc>
        <w:tc>
          <w:tcPr>
            <w:tcW w:w="437" w:type="pct"/>
            <w:tcBorders>
              <w:top w:val="single" w:sz="12" w:space="0" w:color="auto"/>
              <w:bottom w:val="single" w:sz="4" w:space="0" w:color="auto"/>
            </w:tcBorders>
          </w:tcPr>
          <w:p w:rsidR="00D67CEF" w:rsidRPr="00880004" w:rsidRDefault="00D67CEF" w:rsidP="009170C4">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1622" w:type="pct"/>
            <w:tcBorders>
              <w:top w:val="single" w:sz="12" w:space="0" w:color="auto"/>
              <w:bottom w:val="single" w:sz="4" w:space="0" w:color="auto"/>
            </w:tcBorders>
          </w:tcPr>
          <w:p w:rsidR="00D67CEF" w:rsidRPr="00880004" w:rsidRDefault="00D67CEF" w:rsidP="009170C4">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8-19</w:t>
            </w:r>
          </w:p>
        </w:tc>
      </w:tr>
      <w:tr w:rsidR="00A3154C" w:rsidRPr="00C61187" w:rsidTr="001A17D9">
        <w:tc>
          <w:tcPr>
            <w:tcW w:w="5000" w:type="pct"/>
            <w:gridSpan w:val="5"/>
            <w:tcBorders>
              <w:top w:val="nil"/>
              <w:bottom w:val="nil"/>
            </w:tcBorders>
            <w:tcMar>
              <w:top w:w="57" w:type="dxa"/>
              <w:bottom w:w="57" w:type="dxa"/>
            </w:tcMar>
          </w:tcPr>
          <w:p w:rsidR="00A3154C" w:rsidRPr="008E4DDA" w:rsidRDefault="00A3154C" w:rsidP="003E221A">
            <w:pPr>
              <w:keepLines/>
              <w:spacing w:before="40" w:after="40" w:line="200" w:lineRule="atLeast"/>
            </w:pPr>
            <w:r w:rsidRPr="008E4DDA">
              <w:rPr>
                <w:rFonts w:asciiTheme="minorHAnsi" w:eastAsia="Times New Roman" w:hAnsiTheme="minorHAnsi"/>
                <w:b/>
                <w:iCs/>
                <w:szCs w:val="17"/>
                <w:lang w:eastAsia="en-US"/>
              </w:rPr>
              <w:t xml:space="preserve">Aid Objective </w:t>
            </w:r>
            <w:r>
              <w:rPr>
                <w:rFonts w:asciiTheme="minorHAnsi" w:eastAsia="Times New Roman" w:hAnsiTheme="minorHAnsi"/>
                <w:b/>
                <w:iCs/>
                <w:szCs w:val="17"/>
                <w:lang w:eastAsia="en-US"/>
              </w:rPr>
              <w:t>3</w:t>
            </w:r>
            <w:r w:rsidRPr="008E4DDA">
              <w:rPr>
                <w:rFonts w:asciiTheme="minorHAnsi" w:eastAsia="Times New Roman" w:hAnsiTheme="minorHAnsi"/>
                <w:b/>
                <w:iCs/>
                <w:szCs w:val="17"/>
                <w:lang w:eastAsia="en-US"/>
              </w:rPr>
              <w:t xml:space="preserve">: </w:t>
            </w:r>
            <w:r w:rsidRPr="00DC223F">
              <w:rPr>
                <w:rFonts w:asciiTheme="minorHAnsi" w:eastAsia="Times New Roman" w:hAnsiTheme="minorHAnsi"/>
                <w:b/>
                <w:iCs/>
                <w:szCs w:val="17"/>
                <w:lang w:eastAsia="en-US"/>
              </w:rPr>
              <w:t xml:space="preserve">Improving Conditions for Peace </w:t>
            </w:r>
            <w:r w:rsidRPr="008E4DDA">
              <w:rPr>
                <w:rFonts w:asciiTheme="minorHAnsi" w:eastAsia="Times New Roman" w:hAnsiTheme="minorHAnsi"/>
                <w:b/>
                <w:iCs/>
                <w:szCs w:val="17"/>
                <w:lang w:eastAsia="en-US"/>
              </w:rPr>
              <w:t>and Stability</w:t>
            </w:r>
          </w:p>
        </w:tc>
      </w:tr>
      <w:tr w:rsidR="003E221A" w:rsidRPr="00C61187" w:rsidTr="001A17D9">
        <w:tc>
          <w:tcPr>
            <w:tcW w:w="943" w:type="pct"/>
            <w:tcBorders>
              <w:top w:val="nil"/>
            </w:tcBorders>
            <w:tcMar>
              <w:top w:w="57" w:type="dxa"/>
              <w:bottom w:w="57" w:type="dxa"/>
            </w:tcMar>
          </w:tcPr>
          <w:p w:rsidR="003E221A" w:rsidRPr="008E4DDA" w:rsidRDefault="003E221A" w:rsidP="003E221A">
            <w:pPr>
              <w:spacing w:before="0" w:after="0" w:line="240" w:lineRule="auto"/>
              <w:rPr>
                <w:rFonts w:asciiTheme="minorHAnsi" w:hAnsiTheme="minorHAnsi"/>
                <w:lang w:eastAsia="en-US"/>
              </w:rPr>
            </w:pPr>
            <w:r w:rsidRPr="008E4DDA">
              <w:rPr>
                <w:rFonts w:asciiTheme="minorHAnsi" w:hAnsiTheme="minorHAnsi"/>
                <w:lang w:eastAsia="en-US"/>
              </w:rPr>
              <w:t>Support political transition towards inclusive and responsive governance in the Bangsamoro</w:t>
            </w:r>
          </w:p>
        </w:tc>
        <w:tc>
          <w:tcPr>
            <w:tcW w:w="840" w:type="pct"/>
            <w:tcBorders>
              <w:top w:val="nil"/>
            </w:tcBorders>
          </w:tcPr>
          <w:p w:rsidR="003E221A" w:rsidRPr="008E4DDA" w:rsidRDefault="003E221A" w:rsidP="003E221A">
            <w:pPr>
              <w:keepLines/>
              <w:spacing w:before="40" w:after="40" w:line="200" w:lineRule="atLeast"/>
              <w:rPr>
                <w:rFonts w:asciiTheme="minorHAnsi" w:hAnsiTheme="minorHAnsi"/>
                <w:lang w:eastAsia="en-US"/>
              </w:rPr>
            </w:pPr>
            <w:r w:rsidRPr="008E4DDA">
              <w:rPr>
                <w:rFonts w:asciiTheme="minorHAnsi" w:hAnsiTheme="minorHAnsi"/>
                <w:lang w:eastAsia="en-US"/>
              </w:rPr>
              <w:t>BARMM Regional Government ministries and agencies are established and strengthened</w:t>
            </w:r>
          </w:p>
        </w:tc>
        <w:tc>
          <w:tcPr>
            <w:tcW w:w="1159" w:type="pct"/>
            <w:tcBorders>
              <w:top w:val="nil"/>
            </w:tcBorders>
            <w:shd w:val="clear" w:color="auto" w:fill="auto"/>
          </w:tcPr>
          <w:p w:rsidR="003E221A" w:rsidRPr="008E4DDA" w:rsidRDefault="003E221A" w:rsidP="003E221A">
            <w:pPr>
              <w:spacing w:before="0" w:after="0" w:line="240" w:lineRule="auto"/>
              <w:rPr>
                <w:rFonts w:asciiTheme="minorHAnsi" w:hAnsiTheme="minorHAnsi"/>
                <w:lang w:eastAsia="en-US"/>
              </w:rPr>
            </w:pPr>
            <w:r w:rsidRPr="008E4DDA">
              <w:rPr>
                <w:rFonts w:asciiTheme="minorHAnsi" w:hAnsiTheme="minorHAnsi"/>
                <w:lang w:eastAsia="en-US"/>
              </w:rPr>
              <w:t>Passage of Bangsamoro Organic Law supported</w:t>
            </w:r>
          </w:p>
        </w:tc>
        <w:tc>
          <w:tcPr>
            <w:tcW w:w="437" w:type="pct"/>
            <w:tcBorders>
              <w:top w:val="nil"/>
            </w:tcBorders>
            <w:shd w:val="clear" w:color="auto" w:fill="92D050"/>
          </w:tcPr>
          <w:p w:rsidR="003E221A" w:rsidRPr="008E4DDA" w:rsidRDefault="003E221A" w:rsidP="003E221A">
            <w:pPr>
              <w:keepLines/>
              <w:spacing w:before="40" w:after="40" w:line="200" w:lineRule="atLeast"/>
              <w:jc w:val="center"/>
              <w:rPr>
                <w:rFonts w:asciiTheme="minorHAnsi" w:hAnsiTheme="minorHAnsi"/>
                <w:color w:val="FFFFFF" w:themeColor="background1"/>
                <w:lang w:eastAsia="en-US"/>
              </w:rPr>
            </w:pPr>
            <w:r w:rsidRPr="008E4DDA">
              <w:rPr>
                <w:rFonts w:asciiTheme="minorHAnsi" w:hAnsiTheme="minorHAnsi"/>
                <w:color w:val="FFFFFF" w:themeColor="background1"/>
                <w:lang w:eastAsia="en-US"/>
              </w:rPr>
              <w:t>Achieved</w:t>
            </w:r>
          </w:p>
        </w:tc>
        <w:tc>
          <w:tcPr>
            <w:tcW w:w="1622" w:type="pct"/>
            <w:tcBorders>
              <w:top w:val="nil"/>
            </w:tcBorders>
          </w:tcPr>
          <w:p w:rsidR="003E221A" w:rsidRPr="008E4DDA" w:rsidRDefault="003E221A" w:rsidP="003E221A">
            <w:pPr>
              <w:keepLines/>
              <w:spacing w:before="40" w:after="40" w:line="200" w:lineRule="atLeast"/>
              <w:rPr>
                <w:rFonts w:asciiTheme="minorHAnsi" w:hAnsiTheme="minorHAnsi"/>
                <w:lang w:eastAsia="en-US"/>
              </w:rPr>
            </w:pPr>
            <w:r w:rsidRPr="008E4DDA">
              <w:rPr>
                <w:rFonts w:asciiTheme="minorHAnsi" w:hAnsiTheme="minorHAnsi"/>
                <w:lang w:eastAsia="en-US"/>
              </w:rPr>
              <w:t>The Bangsamoro Organic Law was passed in July 2018 and ratified in January 2019. With the creation of the BARMM, the program has a formal basis to engage with and support the Bangsamoro Transition Authority in process of establishing the BARMM ministries and agencies.</w:t>
            </w:r>
          </w:p>
          <w:p w:rsidR="003E221A" w:rsidRPr="008E4DDA" w:rsidRDefault="003E221A" w:rsidP="003E221A">
            <w:pPr>
              <w:keepLines/>
              <w:spacing w:before="40" w:after="40" w:line="200" w:lineRule="atLeast"/>
              <w:rPr>
                <w:rFonts w:asciiTheme="minorHAnsi" w:hAnsiTheme="minorHAnsi"/>
                <w:lang w:eastAsia="en-US"/>
              </w:rPr>
            </w:pPr>
          </w:p>
        </w:tc>
      </w:tr>
      <w:tr w:rsidR="00A3154C" w:rsidRPr="00C61187" w:rsidTr="001A17D9">
        <w:tc>
          <w:tcPr>
            <w:tcW w:w="943" w:type="pct"/>
            <w:tcMar>
              <w:top w:w="57" w:type="dxa"/>
              <w:bottom w:w="57" w:type="dxa"/>
            </w:tcMar>
          </w:tcPr>
          <w:p w:rsidR="00A3154C" w:rsidRPr="008E4DDA" w:rsidRDefault="00A3154C" w:rsidP="00A3154C">
            <w:pPr>
              <w:spacing w:before="0" w:after="0" w:line="240" w:lineRule="auto"/>
            </w:pPr>
            <w:r w:rsidRPr="008E4DDA">
              <w:rPr>
                <w:rFonts w:asciiTheme="minorHAnsi" w:hAnsiTheme="minorHAnsi"/>
                <w:lang w:eastAsia="en-US"/>
              </w:rPr>
              <w:t>Improve access to basic services in the Bangsamoro and vulnerable communities</w:t>
            </w:r>
          </w:p>
        </w:tc>
        <w:tc>
          <w:tcPr>
            <w:tcW w:w="840" w:type="pct"/>
          </w:tcPr>
          <w:p w:rsidR="00A3154C" w:rsidRPr="008E4DDA" w:rsidRDefault="00A3154C" w:rsidP="00A3154C">
            <w:pPr>
              <w:keepLines/>
              <w:spacing w:before="40" w:after="40" w:line="200" w:lineRule="atLeast"/>
            </w:pPr>
            <w:r w:rsidRPr="008E4DDA">
              <w:rPr>
                <w:rFonts w:asciiTheme="minorHAnsi" w:hAnsiTheme="minorHAnsi"/>
                <w:lang w:eastAsia="en-US"/>
              </w:rPr>
              <w:t>Participation rates of boys and girls in Kindergarten to Grade 3 in target areas in BARMM increase</w:t>
            </w:r>
          </w:p>
        </w:tc>
        <w:tc>
          <w:tcPr>
            <w:tcW w:w="1159" w:type="pct"/>
            <w:shd w:val="clear" w:color="auto" w:fill="auto"/>
          </w:tcPr>
          <w:p w:rsidR="00A3154C" w:rsidRPr="008E4DDA" w:rsidRDefault="00A3154C" w:rsidP="00A3154C">
            <w:pPr>
              <w:spacing w:before="0" w:after="0" w:line="240" w:lineRule="auto"/>
            </w:pPr>
            <w:r w:rsidRPr="008E4DDA">
              <w:rPr>
                <w:rFonts w:asciiTheme="minorHAnsi" w:hAnsiTheme="minorHAnsi"/>
                <w:lang w:eastAsia="en-US"/>
              </w:rPr>
              <w:t>Bangsamoro Government issues a policy enabling third party delivery of education services in remote and conflict-affected areas</w:t>
            </w:r>
          </w:p>
        </w:tc>
        <w:tc>
          <w:tcPr>
            <w:tcW w:w="437" w:type="pct"/>
            <w:shd w:val="clear" w:color="auto" w:fill="92D050"/>
          </w:tcPr>
          <w:p w:rsidR="00A3154C" w:rsidRPr="008E4DDA" w:rsidRDefault="00A3154C" w:rsidP="00A3154C">
            <w:pPr>
              <w:jc w:val="center"/>
              <w:rPr>
                <w:color w:val="FFFFFF" w:themeColor="background1"/>
              </w:rPr>
            </w:pPr>
            <w:r w:rsidRPr="008E4DDA">
              <w:rPr>
                <w:rFonts w:asciiTheme="minorHAnsi" w:hAnsiTheme="minorHAnsi"/>
                <w:color w:val="FFFFFF" w:themeColor="background1"/>
                <w:lang w:eastAsia="en-US"/>
              </w:rPr>
              <w:t>Achieved</w:t>
            </w:r>
          </w:p>
        </w:tc>
        <w:tc>
          <w:tcPr>
            <w:tcW w:w="1622" w:type="pct"/>
          </w:tcPr>
          <w:p w:rsidR="00A3154C" w:rsidRPr="008E4DDA" w:rsidRDefault="00A3154C" w:rsidP="00A3154C">
            <w:pPr>
              <w:keepLines/>
              <w:spacing w:before="40" w:after="40" w:line="200" w:lineRule="atLeast"/>
              <w:rPr>
                <w:rFonts w:asciiTheme="minorHAnsi" w:hAnsiTheme="minorHAnsi"/>
                <w:lang w:eastAsia="en-US"/>
              </w:rPr>
            </w:pPr>
            <w:r w:rsidRPr="008E4DDA">
              <w:rPr>
                <w:rFonts w:asciiTheme="minorHAnsi" w:hAnsiTheme="minorHAnsi"/>
                <w:lang w:eastAsia="en-US"/>
              </w:rPr>
              <w:t>Bangsamoro Government issues a policy enabling third party delivery of education services in remote and conflict-affected areas</w:t>
            </w:r>
          </w:p>
          <w:p w:rsidR="00A3154C" w:rsidRPr="008E4DDA" w:rsidRDefault="00A3154C" w:rsidP="00A3154C">
            <w:pPr>
              <w:keepLines/>
              <w:spacing w:before="40" w:after="40" w:line="200" w:lineRule="atLeast"/>
            </w:pPr>
          </w:p>
        </w:tc>
      </w:tr>
      <w:tr w:rsidR="00A3154C" w:rsidRPr="00C61187" w:rsidTr="001A17D9">
        <w:tc>
          <w:tcPr>
            <w:tcW w:w="943" w:type="pct"/>
            <w:tcMar>
              <w:top w:w="57" w:type="dxa"/>
              <w:bottom w:w="57" w:type="dxa"/>
            </w:tcMar>
          </w:tcPr>
          <w:p w:rsidR="00A3154C" w:rsidRPr="008E4DDA" w:rsidRDefault="00D67CEF" w:rsidP="00A3154C">
            <w:pPr>
              <w:spacing w:before="0" w:after="0" w:line="240" w:lineRule="auto"/>
              <w:rPr>
                <w:rFonts w:asciiTheme="minorHAnsi" w:hAnsiTheme="minorHAnsi"/>
                <w:lang w:eastAsia="en-US"/>
              </w:rPr>
            </w:pPr>
            <w:r w:rsidRPr="008E4DDA">
              <w:rPr>
                <w:rFonts w:asciiTheme="minorHAnsi" w:hAnsiTheme="minorHAnsi"/>
                <w:lang w:eastAsia="en-US"/>
              </w:rPr>
              <w:t>Enhance capacity of communities and institutions to promote peace, security and resilience</w:t>
            </w:r>
          </w:p>
        </w:tc>
        <w:tc>
          <w:tcPr>
            <w:tcW w:w="840" w:type="pct"/>
          </w:tcPr>
          <w:p w:rsidR="00A3154C" w:rsidRPr="008E4DDA" w:rsidRDefault="00A3154C" w:rsidP="00A3154C">
            <w:pPr>
              <w:keepLines/>
              <w:spacing w:before="40" w:after="40" w:line="200" w:lineRule="atLeast"/>
              <w:rPr>
                <w:rFonts w:asciiTheme="minorHAnsi" w:hAnsiTheme="minorHAnsi"/>
                <w:lang w:eastAsia="en-US"/>
              </w:rPr>
            </w:pPr>
            <w:r w:rsidRPr="008E4DDA">
              <w:rPr>
                <w:rFonts w:asciiTheme="minorHAnsi" w:hAnsiTheme="minorHAnsi"/>
                <w:lang w:eastAsia="en-US"/>
              </w:rPr>
              <w:t>Vulnerable women, men, girls and boys in conflict and crisis situations are provided assistance</w:t>
            </w:r>
          </w:p>
        </w:tc>
        <w:tc>
          <w:tcPr>
            <w:tcW w:w="1159" w:type="pct"/>
            <w:shd w:val="clear" w:color="auto" w:fill="auto"/>
          </w:tcPr>
          <w:p w:rsidR="00A3154C" w:rsidRPr="008E4DDA" w:rsidRDefault="00A3154C" w:rsidP="00843274">
            <w:pPr>
              <w:spacing w:before="0" w:after="0" w:line="240" w:lineRule="auto"/>
              <w:rPr>
                <w:rFonts w:asciiTheme="minorHAnsi" w:hAnsiTheme="minorHAnsi"/>
                <w:lang w:eastAsia="en-US"/>
              </w:rPr>
            </w:pPr>
            <w:r w:rsidRPr="008E4DDA">
              <w:rPr>
                <w:rFonts w:asciiTheme="minorHAnsi" w:hAnsiTheme="minorHAnsi"/>
                <w:lang w:eastAsia="en-US"/>
              </w:rPr>
              <w:t>Number of women, men, girls and boys receive Australian-supported assistance</w:t>
            </w:r>
          </w:p>
        </w:tc>
        <w:tc>
          <w:tcPr>
            <w:tcW w:w="437" w:type="pct"/>
            <w:shd w:val="clear" w:color="auto" w:fill="92D050"/>
          </w:tcPr>
          <w:p w:rsidR="00A3154C" w:rsidRPr="008E4DDA" w:rsidRDefault="00A3154C" w:rsidP="00A3154C">
            <w:pPr>
              <w:jc w:val="center"/>
              <w:rPr>
                <w:color w:val="FFFFFF" w:themeColor="background1"/>
              </w:rPr>
            </w:pPr>
            <w:r w:rsidRPr="008E4DDA">
              <w:rPr>
                <w:rFonts w:asciiTheme="minorHAnsi" w:hAnsiTheme="minorHAnsi"/>
                <w:color w:val="FFFFFF" w:themeColor="background1"/>
                <w:lang w:eastAsia="en-US"/>
              </w:rPr>
              <w:t>Achieved</w:t>
            </w:r>
          </w:p>
        </w:tc>
        <w:tc>
          <w:tcPr>
            <w:tcW w:w="1622" w:type="pct"/>
          </w:tcPr>
          <w:p w:rsidR="00A3154C" w:rsidRPr="008E4DDA" w:rsidRDefault="00A3154C" w:rsidP="00A3154C">
            <w:pPr>
              <w:keepLines/>
              <w:spacing w:before="40" w:after="40" w:line="200" w:lineRule="atLeast"/>
              <w:rPr>
                <w:rFonts w:asciiTheme="minorHAnsi" w:hAnsiTheme="minorHAnsi"/>
                <w:lang w:eastAsia="en-US"/>
              </w:rPr>
            </w:pPr>
            <w:r w:rsidRPr="008E4DDA">
              <w:rPr>
                <w:rFonts w:asciiTheme="minorHAnsi" w:hAnsiTheme="minorHAnsi"/>
                <w:lang w:eastAsia="en-US"/>
              </w:rPr>
              <w:t>Humanitarian activities reached 163,494 people. This included response and early recovery assistance for people affected by Typhoon Mangkhut, the Marawi conflict, and recurrent conflict in Mindanao.</w:t>
            </w:r>
          </w:p>
        </w:tc>
      </w:tr>
    </w:tbl>
    <w:p w:rsidR="000A2AE9" w:rsidRDefault="000A2AE9" w:rsidP="008821C2">
      <w:pPr>
        <w:spacing w:before="20" w:after="20" w:line="180" w:lineRule="atLeast"/>
        <w:jc w:val="both"/>
        <w:rPr>
          <w:rFonts w:eastAsia="Times New Roman"/>
          <w:b/>
          <w:sz w:val="16"/>
          <w:szCs w:val="14"/>
        </w:rPr>
      </w:pP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w:t>
      </w:r>
      <w:r w:rsidR="001B2AAD">
        <w:rPr>
          <w:rFonts w:eastAsia="Times New Roman"/>
          <w:b/>
          <w:sz w:val="16"/>
          <w:szCs w:val="14"/>
        </w:rPr>
        <w:t xml:space="preserve"> </w:t>
      </w:r>
      <w:r w:rsidRPr="00880004">
        <w:rPr>
          <w:rFonts w:eastAsia="Times New Roman"/>
          <w:b/>
          <w:sz w:val="16"/>
          <w:szCs w:val="14"/>
        </w:rPr>
        <w:t xml:space="preserve">Significant progress has been made and the performance benchmark was achieved </w:t>
      </w: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w:t>
      </w:r>
      <w:r w:rsidR="001B2AAD">
        <w:rPr>
          <w:rFonts w:eastAsia="Times New Roman"/>
          <w:b/>
          <w:sz w:val="16"/>
          <w:szCs w:val="14"/>
        </w:rPr>
        <w:t xml:space="preserve"> </w:t>
      </w:r>
      <w:r w:rsidRPr="00880004">
        <w:rPr>
          <w:rFonts w:eastAsia="Times New Roman"/>
          <w:b/>
          <w:sz w:val="16"/>
          <w:szCs w:val="14"/>
        </w:rPr>
        <w:t xml:space="preserve">Some progress has been made towards achieving the performance benchmark, but progress was less than anticipated. </w:t>
      </w:r>
    </w:p>
    <w:p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7B4865" w:rsidRDefault="007B4865" w:rsidP="007B4865">
      <w:pPr>
        <w:rPr>
          <w:rFonts w:ascii="Franklin Gothic Book" w:eastAsia="Times New Roman" w:hAnsi="Franklin Gothic Book"/>
          <w:b/>
          <w:sz w:val="24"/>
          <w:szCs w:val="24"/>
        </w:rPr>
      </w:pPr>
    </w:p>
    <w:p w:rsidR="00A848CB" w:rsidRDefault="00A848CB" w:rsidP="007B4865">
      <w:pPr>
        <w:rPr>
          <w:rFonts w:ascii="Franklin Gothic Book" w:eastAsia="Times New Roman" w:hAnsi="Franklin Gothic Book"/>
          <w:b/>
          <w:sz w:val="24"/>
          <w:szCs w:val="24"/>
        </w:rPr>
      </w:pPr>
    </w:p>
    <w:p w:rsidR="00A848CB" w:rsidRDefault="00A848CB" w:rsidP="007B4865">
      <w:pPr>
        <w:rPr>
          <w:rFonts w:ascii="Franklin Gothic Book" w:eastAsia="Times New Roman" w:hAnsi="Franklin Gothic Book"/>
          <w:b/>
          <w:sz w:val="24"/>
          <w:szCs w:val="24"/>
        </w:rPr>
      </w:pPr>
    </w:p>
    <w:p w:rsidR="008821C2" w:rsidRPr="00F8189A" w:rsidRDefault="000A2AE9" w:rsidP="008821C2">
      <w:pPr>
        <w:rPr>
          <w:rFonts w:eastAsia="Times New Roman" w:cstheme="minorHAnsi"/>
          <w:sz w:val="32"/>
          <w:szCs w:val="32"/>
        </w:rPr>
      </w:pPr>
      <w:r>
        <w:rPr>
          <w:rFonts w:eastAsia="Times New Roman" w:cstheme="minorHAnsi"/>
          <w:sz w:val="32"/>
          <w:szCs w:val="32"/>
        </w:rPr>
        <w:t xml:space="preserve">2 </w:t>
      </w:r>
      <w:r w:rsidR="008821C2" w:rsidRPr="00F8189A">
        <w:rPr>
          <w:rFonts w:eastAsia="Times New Roman" w:cstheme="minorHAnsi"/>
          <w:sz w:val="32"/>
          <w:szCs w:val="32"/>
        </w:rPr>
        <w:t xml:space="preserve">Performance Benchmarks for </w:t>
      </w:r>
      <w:r w:rsidR="008821C2">
        <w:rPr>
          <w:rFonts w:eastAsia="Times New Roman" w:cstheme="minorHAnsi"/>
          <w:sz w:val="32"/>
          <w:szCs w:val="32"/>
        </w:rPr>
        <w:t>2019-20</w:t>
      </w:r>
    </w:p>
    <w:p w:rsidR="008821C2" w:rsidRDefault="00B93DB8" w:rsidP="008821C2">
      <w:pPr>
        <w:spacing w:after="120"/>
        <w:rPr>
          <w:i/>
          <w:sz w:val="18"/>
        </w:rPr>
      </w:pPr>
      <w:r w:rsidRPr="008E4DDA">
        <w:rPr>
          <w:i/>
          <w:sz w:val="18"/>
        </w:rPr>
        <w:t>*Performance benchmarks for 201</w:t>
      </w:r>
      <w:r w:rsidR="002A30F7">
        <w:rPr>
          <w:i/>
          <w:sz w:val="18"/>
        </w:rPr>
        <w:t>9</w:t>
      </w:r>
      <w:r w:rsidRPr="008E4DDA">
        <w:rPr>
          <w:i/>
          <w:sz w:val="18"/>
        </w:rPr>
        <w:t>-</w:t>
      </w:r>
      <w:r w:rsidR="002A30F7">
        <w:rPr>
          <w:i/>
          <w:sz w:val="18"/>
        </w:rPr>
        <w:t xml:space="preserve">20 will be identified upon approval of </w:t>
      </w:r>
      <w:r w:rsidRPr="008E4DDA">
        <w:rPr>
          <w:i/>
          <w:sz w:val="18"/>
        </w:rPr>
        <w:t xml:space="preserve">new Performance Assessment Framework of the Aid Investment Plan 2020-25 </w:t>
      </w:r>
    </w:p>
    <w:p w:rsidR="001502C9" w:rsidRDefault="001502C9" w:rsidP="008821C2">
      <w:pPr>
        <w:spacing w:after="120"/>
        <w:rPr>
          <w:i/>
          <w:sz w:val="18"/>
        </w:rPr>
      </w:pPr>
    </w:p>
    <w:p w:rsidR="001502C9" w:rsidRDefault="001502C9" w:rsidP="008821C2">
      <w:pPr>
        <w:spacing w:after="120"/>
        <w:rPr>
          <w:i/>
          <w:sz w:val="18"/>
        </w:rPr>
      </w:pPr>
    </w:p>
    <w:p w:rsidR="001502C9" w:rsidRDefault="001502C9" w:rsidP="008821C2">
      <w:pPr>
        <w:spacing w:after="120"/>
        <w:rPr>
          <w:i/>
          <w:sz w:val="18"/>
        </w:rPr>
      </w:pPr>
    </w:p>
    <w:p w:rsidR="001502C9" w:rsidRDefault="001502C9" w:rsidP="008821C2">
      <w:pPr>
        <w:spacing w:after="120"/>
        <w:rPr>
          <w:i/>
          <w:sz w:val="18"/>
        </w:rPr>
      </w:pPr>
    </w:p>
    <w:p w:rsidR="001502C9" w:rsidRDefault="001502C9" w:rsidP="008821C2">
      <w:pPr>
        <w:spacing w:after="120"/>
        <w:rPr>
          <w:i/>
          <w:sz w:val="18"/>
        </w:rPr>
        <w:sectPr w:rsidR="001502C9" w:rsidSect="00497D18">
          <w:headerReference w:type="default" r:id="rId28"/>
          <w:footerReference w:type="default" r:id="rId29"/>
          <w:pgSz w:w="11906" w:h="16838" w:code="9"/>
          <w:pgMar w:top="1418" w:right="1134" w:bottom="1418" w:left="1134" w:header="1418" w:footer="142" w:gutter="0"/>
          <w:pgNumType w:start="1"/>
          <w:cols w:space="397"/>
          <w:docGrid w:linePitch="360"/>
        </w:sectPr>
      </w:pPr>
    </w:p>
    <w:p w:rsidR="00400B0F" w:rsidRPr="008821C2" w:rsidRDefault="00400B0F" w:rsidP="00783BC1">
      <w:pPr>
        <w:suppressAutoHyphens w:val="0"/>
        <w:spacing w:before="240" w:after="120" w:line="300" w:lineRule="exact"/>
        <w:rPr>
          <w:rFonts w:asciiTheme="majorHAnsi" w:hAnsiTheme="majorHAnsi" w:cstheme="majorHAnsi"/>
          <w:sz w:val="38"/>
          <w:szCs w:val="38"/>
        </w:rPr>
      </w:pPr>
      <w:r w:rsidRPr="004B6ADB">
        <w:rPr>
          <w:rFonts w:asciiTheme="majorHAnsi" w:hAnsiTheme="majorHAnsi" w:cstheme="majorHAnsi"/>
          <w:caps/>
          <w:sz w:val="38"/>
          <w:szCs w:val="38"/>
        </w:rPr>
        <w:t>Annex</w:t>
      </w:r>
      <w:r w:rsidRPr="008821C2">
        <w:rPr>
          <w:rFonts w:asciiTheme="majorHAnsi" w:hAnsiTheme="majorHAnsi" w:cstheme="majorHAnsi"/>
          <w:sz w:val="38"/>
          <w:szCs w:val="38"/>
        </w:rPr>
        <w:t xml:space="preserve"> C - </w:t>
      </w:r>
      <w:r w:rsidRPr="00C377CA">
        <w:rPr>
          <w:rFonts w:asciiTheme="majorHAnsi" w:hAnsiTheme="majorHAnsi" w:cstheme="majorHAnsi"/>
          <w:caps/>
          <w:sz w:val="38"/>
          <w:szCs w:val="38"/>
        </w:rPr>
        <w:t>Evaluation Planning</w:t>
      </w:r>
    </w:p>
    <w:p w:rsidR="008821C2" w:rsidRPr="00EF26B5" w:rsidRDefault="008821C2" w:rsidP="008821C2">
      <w:pPr>
        <w:spacing w:before="360"/>
        <w:rPr>
          <w:rFonts w:eastAsiaTheme="majorEastAsia" w:cstheme="minorHAnsi"/>
          <w:caps/>
          <w:sz w:val="36"/>
          <w:szCs w:val="36"/>
        </w:rPr>
      </w:pPr>
      <w:r w:rsidRPr="00EF26B5">
        <w:rPr>
          <w:rFonts w:eastAsiaTheme="majorEastAsia" w:cstheme="minorHAnsi"/>
          <w:caps/>
          <w:sz w:val="36"/>
          <w:szCs w:val="36"/>
        </w:rPr>
        <w:t xml:space="preserve">List of evaluations completed in the reporting period </w:t>
      </w:r>
    </w:p>
    <w:tbl>
      <w:tblPr>
        <w:tblStyle w:val="APPR"/>
        <w:tblW w:w="14601" w:type="dxa"/>
        <w:tblLayout w:type="fixed"/>
        <w:tblLook w:val="04A0" w:firstRow="1" w:lastRow="0" w:firstColumn="1" w:lastColumn="0" w:noHBand="0" w:noVBand="1"/>
      </w:tblPr>
      <w:tblGrid>
        <w:gridCol w:w="3261"/>
        <w:gridCol w:w="3982"/>
        <w:gridCol w:w="1688"/>
        <w:gridCol w:w="1981"/>
        <w:gridCol w:w="1699"/>
        <w:gridCol w:w="1990"/>
      </w:tblGrid>
      <w:tr w:rsidR="008821C2" w:rsidRPr="00C61187" w:rsidTr="001502C9">
        <w:trPr>
          <w:cnfStyle w:val="100000000000" w:firstRow="1" w:lastRow="0" w:firstColumn="0" w:lastColumn="0" w:oddVBand="0" w:evenVBand="0" w:oddHBand="0" w:evenHBand="0" w:firstRowFirstColumn="0" w:firstRowLastColumn="0" w:lastRowFirstColumn="0" w:lastRowLastColumn="0"/>
        </w:trPr>
        <w:tc>
          <w:tcPr>
            <w:tcW w:w="3219" w:type="dxa"/>
          </w:tcPr>
          <w:p w:rsidR="008821C2" w:rsidRPr="00812509" w:rsidRDefault="008821C2" w:rsidP="006804A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8821C2" w:rsidRPr="00812509" w:rsidRDefault="008821C2" w:rsidP="006804A5">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954" w:type="dxa"/>
          </w:tcPr>
          <w:p w:rsidR="008821C2" w:rsidRPr="00812509" w:rsidRDefault="008821C2" w:rsidP="006804A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660" w:type="dxa"/>
          </w:tcPr>
          <w:p w:rsidR="008821C2" w:rsidRPr="00812509" w:rsidRDefault="008821C2" w:rsidP="006804A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rsidR="008821C2" w:rsidRPr="00812509" w:rsidRDefault="008821C2" w:rsidP="006804A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rsidR="008821C2" w:rsidRPr="00812509" w:rsidRDefault="008821C2" w:rsidP="006804A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1948" w:type="dxa"/>
          </w:tcPr>
          <w:p w:rsidR="008821C2" w:rsidRPr="00812509" w:rsidRDefault="008821C2" w:rsidP="006804A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D11D1C" w:rsidRPr="003B5EE5" w:rsidTr="001502C9">
        <w:trPr>
          <w:cnfStyle w:val="100000000000" w:firstRow="1" w:lastRow="0" w:firstColumn="0" w:lastColumn="0" w:oddVBand="0" w:evenVBand="0" w:oddHBand="0" w:evenHBand="0" w:firstRowFirstColumn="0" w:firstRowLastColumn="0" w:lastRowFirstColumn="0" w:lastRowLastColumn="0"/>
        </w:trPr>
        <w:tc>
          <w:tcPr>
            <w:tcW w:w="3219" w:type="dxa"/>
          </w:tcPr>
          <w:p w:rsidR="00D11D1C" w:rsidRPr="00085E5F" w:rsidRDefault="00D11D1C" w:rsidP="00D11D1C">
            <w:pPr>
              <w:keepLines/>
              <w:spacing w:before="40" w:after="40" w:line="200" w:lineRule="atLeast"/>
              <w:rPr>
                <w:rFonts w:asciiTheme="minorHAnsi" w:eastAsia="Times New Roman" w:hAnsiTheme="minorHAnsi"/>
                <w:b w:val="0"/>
                <w:iCs/>
                <w:color w:val="FF0000"/>
                <w:szCs w:val="17"/>
                <w:lang w:eastAsia="en-US"/>
              </w:rPr>
            </w:pPr>
            <w:r>
              <w:rPr>
                <w:rFonts w:asciiTheme="minorHAnsi" w:eastAsia="Times New Roman" w:hAnsiTheme="minorHAnsi"/>
                <w:b w:val="0"/>
                <w:iCs/>
                <w:szCs w:val="17"/>
                <w:lang w:eastAsia="en-US"/>
              </w:rPr>
              <w:t>INI632 - Australia-World Bank Philippines Development Trust Fund</w:t>
            </w:r>
          </w:p>
        </w:tc>
        <w:tc>
          <w:tcPr>
            <w:tcW w:w="3954" w:type="dxa"/>
          </w:tcPr>
          <w:p w:rsidR="00D11D1C" w:rsidRPr="00085E5F" w:rsidRDefault="00D11D1C" w:rsidP="00D11D1C">
            <w:pPr>
              <w:keepLines/>
              <w:spacing w:before="40" w:after="40" w:line="200" w:lineRule="atLeast"/>
              <w:rPr>
                <w:rFonts w:asciiTheme="minorHAnsi" w:eastAsia="Times New Roman" w:hAnsiTheme="minorHAnsi"/>
                <w:b w:val="0"/>
                <w:iCs/>
                <w:color w:val="FF0000"/>
                <w:szCs w:val="17"/>
                <w:lang w:eastAsia="en-US"/>
              </w:rPr>
            </w:pPr>
            <w:r>
              <w:rPr>
                <w:rFonts w:asciiTheme="minorHAnsi" w:eastAsia="Times New Roman" w:hAnsiTheme="minorHAnsi"/>
                <w:b w:val="0"/>
                <w:iCs/>
                <w:szCs w:val="17"/>
                <w:lang w:eastAsia="en-US"/>
              </w:rPr>
              <w:t>Australia-World Bank Philippines Development Trust Fund: Evaluation Report</w:t>
            </w:r>
          </w:p>
        </w:tc>
        <w:tc>
          <w:tcPr>
            <w:tcW w:w="1660" w:type="dxa"/>
          </w:tcPr>
          <w:p w:rsidR="00D11D1C" w:rsidRPr="00085E5F" w:rsidRDefault="00D11D1C" w:rsidP="00D11D1C">
            <w:pPr>
              <w:keepLines/>
              <w:spacing w:before="40" w:after="40" w:line="200" w:lineRule="atLeast"/>
              <w:rPr>
                <w:rFonts w:asciiTheme="minorHAnsi" w:eastAsia="Times New Roman" w:hAnsiTheme="minorHAnsi"/>
                <w:b w:val="0"/>
                <w:iCs/>
                <w:color w:val="FF0000"/>
                <w:szCs w:val="17"/>
                <w:lang w:eastAsia="en-US"/>
              </w:rPr>
            </w:pPr>
            <w:r>
              <w:rPr>
                <w:rFonts w:asciiTheme="minorHAnsi" w:hAnsiTheme="minorHAnsi"/>
                <w:b w:val="0"/>
                <w:szCs w:val="17"/>
                <w:lang w:eastAsia="en-US"/>
              </w:rPr>
              <w:t>21 December 2018</w:t>
            </w:r>
          </w:p>
        </w:tc>
        <w:tc>
          <w:tcPr>
            <w:tcW w:w="1953" w:type="dxa"/>
          </w:tcPr>
          <w:p w:rsidR="00D11D1C" w:rsidRPr="00753206" w:rsidRDefault="00D11D1C" w:rsidP="00D11D1C">
            <w:pPr>
              <w:keepLines/>
              <w:spacing w:before="40" w:after="40" w:line="200" w:lineRule="atLeast"/>
              <w:rPr>
                <w:rFonts w:asciiTheme="minorHAnsi" w:hAnsiTheme="minorHAnsi"/>
                <w:b w:val="0"/>
                <w:szCs w:val="17"/>
                <w:lang w:eastAsia="en-US"/>
              </w:rPr>
            </w:pPr>
            <w:r>
              <w:rPr>
                <w:rFonts w:asciiTheme="minorHAnsi" w:hAnsiTheme="minorHAnsi"/>
                <w:b w:val="0"/>
                <w:szCs w:val="17"/>
                <w:lang w:eastAsia="en-US"/>
              </w:rPr>
              <w:t>9 January 2019</w:t>
            </w:r>
          </w:p>
        </w:tc>
        <w:tc>
          <w:tcPr>
            <w:tcW w:w="1671" w:type="dxa"/>
          </w:tcPr>
          <w:p w:rsidR="00D11D1C" w:rsidRPr="00753206" w:rsidRDefault="00D11D1C" w:rsidP="00D11D1C">
            <w:pPr>
              <w:keepLines/>
              <w:spacing w:before="40" w:after="40" w:line="200" w:lineRule="atLeast"/>
              <w:rPr>
                <w:rFonts w:asciiTheme="minorHAnsi" w:hAnsiTheme="minorHAnsi"/>
                <w:b w:val="0"/>
                <w:szCs w:val="17"/>
                <w:lang w:eastAsia="en-US"/>
              </w:rPr>
            </w:pPr>
            <w:r>
              <w:rPr>
                <w:rFonts w:asciiTheme="minorHAnsi" w:hAnsiTheme="minorHAnsi"/>
                <w:b w:val="0"/>
                <w:szCs w:val="17"/>
                <w:lang w:eastAsia="en-US"/>
              </w:rPr>
              <w:t>9 January 2019</w:t>
            </w:r>
          </w:p>
        </w:tc>
        <w:tc>
          <w:tcPr>
            <w:tcW w:w="1948" w:type="dxa"/>
          </w:tcPr>
          <w:p w:rsidR="00D11D1C" w:rsidRPr="00753206" w:rsidRDefault="00D11D1C" w:rsidP="00D11D1C">
            <w:pPr>
              <w:keepLines/>
              <w:spacing w:before="40" w:after="40" w:line="200" w:lineRule="atLeast"/>
              <w:rPr>
                <w:rFonts w:asciiTheme="minorHAnsi" w:hAnsiTheme="minorHAnsi"/>
                <w:b w:val="0"/>
                <w:szCs w:val="17"/>
                <w:lang w:eastAsia="en-US"/>
              </w:rPr>
            </w:pPr>
            <w:r w:rsidRPr="00996A09">
              <w:rPr>
                <w:rFonts w:asciiTheme="minorHAnsi" w:hAnsiTheme="minorHAnsi"/>
                <w:b w:val="0"/>
                <w:szCs w:val="17"/>
                <w:lang w:eastAsia="en-US"/>
              </w:rPr>
              <w:t>31 December 2018</w:t>
            </w:r>
          </w:p>
        </w:tc>
      </w:tr>
      <w:tr w:rsidR="00D11D1C" w:rsidRPr="003B5EE5" w:rsidTr="001502C9">
        <w:trPr>
          <w:cnfStyle w:val="100000000000" w:firstRow="1" w:lastRow="0" w:firstColumn="0" w:lastColumn="0" w:oddVBand="0" w:evenVBand="0" w:oddHBand="0" w:evenHBand="0" w:firstRowFirstColumn="0" w:firstRowLastColumn="0" w:lastRowFirstColumn="0" w:lastRowLastColumn="0"/>
        </w:trPr>
        <w:tc>
          <w:tcPr>
            <w:tcW w:w="3219" w:type="dxa"/>
          </w:tcPr>
          <w:p w:rsidR="00D11D1C" w:rsidRPr="003D135F" w:rsidRDefault="00D11D1C" w:rsidP="00D11D1C">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INJ839 - The Asia Foundation (TAF) Partnership Philippines</w:t>
            </w:r>
          </w:p>
        </w:tc>
        <w:tc>
          <w:tcPr>
            <w:tcW w:w="3954" w:type="dxa"/>
          </w:tcPr>
          <w:p w:rsidR="00D11D1C" w:rsidRPr="003D135F" w:rsidRDefault="00D11D1C" w:rsidP="00D11D1C">
            <w:pPr>
              <w:keepLines/>
              <w:spacing w:before="40" w:after="40" w:line="200" w:lineRule="atLeast"/>
              <w:rPr>
                <w:rFonts w:eastAsia="Times New Roman"/>
                <w:b w:val="0"/>
                <w:iCs/>
                <w:szCs w:val="17"/>
              </w:rPr>
            </w:pPr>
            <w:r w:rsidRPr="003D135F">
              <w:rPr>
                <w:rFonts w:asciiTheme="minorHAnsi" w:eastAsia="Times New Roman" w:hAnsiTheme="minorHAnsi"/>
                <w:b w:val="0"/>
                <w:iCs/>
                <w:szCs w:val="17"/>
                <w:lang w:eastAsia="en-US"/>
              </w:rPr>
              <w:t>Independent Completion Review</w:t>
            </w:r>
            <w:r>
              <w:rPr>
                <w:rFonts w:asciiTheme="minorHAnsi" w:eastAsia="Times New Roman" w:hAnsiTheme="minorHAnsi"/>
                <w:b w:val="0"/>
                <w:iCs/>
                <w:szCs w:val="17"/>
                <w:lang w:eastAsia="en-US"/>
              </w:rPr>
              <w:t xml:space="preserve"> of the Coalitions for Change Program</w:t>
            </w:r>
          </w:p>
        </w:tc>
        <w:tc>
          <w:tcPr>
            <w:tcW w:w="1660" w:type="dxa"/>
          </w:tcPr>
          <w:p w:rsidR="00D11D1C" w:rsidRPr="00070343" w:rsidRDefault="00D11D1C" w:rsidP="00D11D1C">
            <w:pPr>
              <w:keepLines/>
              <w:spacing w:before="40" w:after="40" w:line="200" w:lineRule="atLeast"/>
              <w:rPr>
                <w:rFonts w:asciiTheme="minorHAnsi" w:eastAsia="Times New Roman" w:hAnsiTheme="minorHAnsi"/>
                <w:b w:val="0"/>
                <w:iCs/>
                <w:szCs w:val="17"/>
                <w:lang w:eastAsia="en-US"/>
              </w:rPr>
            </w:pPr>
            <w:r w:rsidRPr="00070343">
              <w:rPr>
                <w:rFonts w:asciiTheme="minorHAnsi" w:eastAsia="Times New Roman" w:hAnsiTheme="minorHAnsi"/>
                <w:b w:val="0"/>
                <w:iCs/>
                <w:szCs w:val="17"/>
                <w:lang w:eastAsia="en-US"/>
              </w:rPr>
              <w:t>17 February 2018</w:t>
            </w:r>
          </w:p>
        </w:tc>
        <w:tc>
          <w:tcPr>
            <w:tcW w:w="1953" w:type="dxa"/>
          </w:tcPr>
          <w:p w:rsidR="00D11D1C" w:rsidRPr="00070343" w:rsidRDefault="00D11D1C" w:rsidP="00D11D1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25 April 2018</w:t>
            </w:r>
          </w:p>
        </w:tc>
        <w:tc>
          <w:tcPr>
            <w:tcW w:w="1671" w:type="dxa"/>
          </w:tcPr>
          <w:p w:rsidR="00D11D1C" w:rsidRPr="00070343" w:rsidRDefault="00D11D1C" w:rsidP="00D11D1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20 August 2018</w:t>
            </w:r>
          </w:p>
        </w:tc>
        <w:tc>
          <w:tcPr>
            <w:tcW w:w="1948" w:type="dxa"/>
          </w:tcPr>
          <w:p w:rsidR="00D11D1C" w:rsidRPr="00070343" w:rsidRDefault="00D11D1C" w:rsidP="00D11D1C">
            <w:pPr>
              <w:keepLines/>
              <w:spacing w:before="40" w:after="40" w:line="200" w:lineRule="atLeast"/>
              <w:rPr>
                <w:rFonts w:asciiTheme="minorHAnsi" w:eastAsia="Times New Roman" w:hAnsiTheme="minorHAnsi"/>
                <w:b w:val="0"/>
                <w:iCs/>
                <w:szCs w:val="17"/>
                <w:lang w:eastAsia="en-US"/>
              </w:rPr>
            </w:pPr>
            <w:r w:rsidRPr="00996A09">
              <w:rPr>
                <w:rFonts w:asciiTheme="minorHAnsi" w:eastAsia="Times New Roman" w:hAnsiTheme="minorHAnsi"/>
                <w:b w:val="0"/>
                <w:iCs/>
                <w:szCs w:val="17"/>
                <w:lang w:eastAsia="en-US"/>
              </w:rPr>
              <w:t>17 February 2018</w:t>
            </w:r>
          </w:p>
        </w:tc>
      </w:tr>
    </w:tbl>
    <w:p w:rsidR="008821C2" w:rsidRPr="00EF26B5" w:rsidRDefault="008821C2" w:rsidP="008821C2">
      <w:pPr>
        <w:spacing w:before="360"/>
        <w:rPr>
          <w:rFonts w:eastAsiaTheme="majorEastAsia" w:cstheme="minorHAnsi"/>
          <w:caps/>
          <w:sz w:val="36"/>
          <w:szCs w:val="36"/>
        </w:rPr>
      </w:pPr>
      <w:r w:rsidRPr="00EF26B5">
        <w:rPr>
          <w:rFonts w:eastAsiaTheme="majorEastAsia" w:cstheme="minorHAnsi"/>
          <w:caps/>
          <w:sz w:val="36"/>
          <w:szCs w:val="36"/>
        </w:rPr>
        <w:t xml:space="preserve">List of program prioritised evaluations planned for the next 12 months </w:t>
      </w:r>
    </w:p>
    <w:tbl>
      <w:tblPr>
        <w:tblStyle w:val="APPR"/>
        <w:tblW w:w="14601" w:type="dxa"/>
        <w:tblLook w:val="0600" w:firstRow="0" w:lastRow="0" w:firstColumn="0" w:lastColumn="0" w:noHBand="1" w:noVBand="1"/>
      </w:tblPr>
      <w:tblGrid>
        <w:gridCol w:w="3261"/>
        <w:gridCol w:w="2268"/>
        <w:gridCol w:w="2577"/>
        <w:gridCol w:w="2126"/>
        <w:gridCol w:w="2810"/>
        <w:gridCol w:w="1559"/>
      </w:tblGrid>
      <w:tr w:rsidR="008821C2" w:rsidRPr="00C61187" w:rsidTr="001502C9">
        <w:tc>
          <w:tcPr>
            <w:tcW w:w="3219" w:type="dxa"/>
          </w:tcPr>
          <w:p w:rsidR="008821C2" w:rsidRPr="00812509" w:rsidRDefault="008821C2" w:rsidP="006804A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240" w:type="dxa"/>
          </w:tcPr>
          <w:p w:rsidR="008821C2" w:rsidRPr="00812509" w:rsidRDefault="008821C2" w:rsidP="006804A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549" w:type="dxa"/>
          </w:tcPr>
          <w:p w:rsidR="008821C2" w:rsidRPr="00812509" w:rsidRDefault="008821C2" w:rsidP="002A30F7">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Date – planned </w:t>
            </w:r>
            <w:r w:rsidR="002A30F7">
              <w:rPr>
                <w:rFonts w:asciiTheme="minorHAnsi" w:eastAsia="Times New Roman" w:hAnsiTheme="minorHAnsi"/>
                <w:b/>
                <w:iCs/>
                <w:szCs w:val="17"/>
                <w:lang w:eastAsia="en-US"/>
              </w:rPr>
              <w:t>c</w:t>
            </w:r>
            <w:r w:rsidRPr="00812509">
              <w:rPr>
                <w:rFonts w:asciiTheme="minorHAnsi" w:eastAsia="Times New Roman" w:hAnsiTheme="minorHAnsi"/>
                <w:b/>
                <w:iCs/>
                <w:szCs w:val="17"/>
                <w:lang w:eastAsia="en-US"/>
              </w:rPr>
              <w:t>ommencement (month/year)</w:t>
            </w:r>
          </w:p>
        </w:tc>
        <w:tc>
          <w:tcPr>
            <w:tcW w:w="2098" w:type="dxa"/>
          </w:tcPr>
          <w:p w:rsidR="008821C2" w:rsidRPr="00812509" w:rsidRDefault="008821C2" w:rsidP="006804A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782" w:type="dxa"/>
          </w:tcPr>
          <w:p w:rsidR="008821C2" w:rsidRPr="00812509" w:rsidRDefault="008821C2" w:rsidP="006804A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1517" w:type="dxa"/>
          </w:tcPr>
          <w:p w:rsidR="008821C2" w:rsidRPr="00812509" w:rsidRDefault="008821C2" w:rsidP="006804A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D11D1C" w:rsidRPr="00C61187" w:rsidTr="001502C9">
        <w:tc>
          <w:tcPr>
            <w:tcW w:w="3219" w:type="dxa"/>
          </w:tcPr>
          <w:p w:rsidR="00D11D1C" w:rsidRPr="00DC165D" w:rsidRDefault="00D11D1C"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BEST </w:t>
            </w:r>
            <w:r w:rsidRPr="00F67BB4">
              <w:rPr>
                <w:rFonts w:asciiTheme="minorHAnsi" w:eastAsia="Times New Roman" w:hAnsiTheme="minorHAnsi"/>
                <w:iCs/>
                <w:szCs w:val="17"/>
                <w:lang w:eastAsia="en-US"/>
              </w:rPr>
              <w:t>End of</w:t>
            </w:r>
            <w:r>
              <w:rPr>
                <w:rFonts w:asciiTheme="minorHAnsi" w:eastAsia="Times New Roman" w:hAnsiTheme="minorHAnsi"/>
                <w:iCs/>
                <w:szCs w:val="17"/>
                <w:lang w:eastAsia="en-US"/>
              </w:rPr>
              <w:t xml:space="preserve"> Program Evaluation study</w:t>
            </w:r>
          </w:p>
        </w:tc>
        <w:tc>
          <w:tcPr>
            <w:tcW w:w="2240" w:type="dxa"/>
          </w:tcPr>
          <w:p w:rsidR="00D11D1C" w:rsidRPr="00915A2B" w:rsidRDefault="00D11D1C" w:rsidP="00D11D1C">
            <w:pPr>
              <w:keepLines/>
              <w:spacing w:before="40" w:after="40" w:line="200" w:lineRule="atLeast"/>
              <w:rPr>
                <w:rFonts w:asciiTheme="minorHAnsi" w:eastAsia="Times New Roman" w:hAnsiTheme="minorHAnsi"/>
                <w:iCs/>
                <w:szCs w:val="17"/>
                <w:lang w:eastAsia="en-US"/>
              </w:rPr>
            </w:pPr>
            <w:r w:rsidRPr="003D135F">
              <w:rPr>
                <w:rFonts w:asciiTheme="minorHAnsi" w:eastAsia="Times New Roman" w:hAnsiTheme="minorHAnsi"/>
                <w:iCs/>
                <w:szCs w:val="17"/>
                <w:lang w:eastAsia="en-US"/>
              </w:rPr>
              <w:t>INJ223</w:t>
            </w:r>
            <w:r>
              <w:rPr>
                <w:rFonts w:asciiTheme="minorHAnsi" w:eastAsia="Times New Roman" w:hAnsiTheme="minorHAnsi"/>
                <w:iCs/>
                <w:szCs w:val="17"/>
                <w:lang w:eastAsia="en-US"/>
              </w:rPr>
              <w:t xml:space="preserve"> - Basic Education Sector Transformation (BEST) Program</w:t>
            </w:r>
          </w:p>
        </w:tc>
        <w:tc>
          <w:tcPr>
            <w:tcW w:w="2549" w:type="dxa"/>
          </w:tcPr>
          <w:p w:rsidR="00D11D1C" w:rsidRPr="00915A2B" w:rsidRDefault="00B821A0"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March </w:t>
            </w:r>
            <w:r w:rsidR="00D11D1C">
              <w:rPr>
                <w:rFonts w:asciiTheme="minorHAnsi" w:eastAsia="Times New Roman" w:hAnsiTheme="minorHAnsi"/>
                <w:iCs/>
                <w:szCs w:val="17"/>
                <w:lang w:eastAsia="en-US"/>
              </w:rPr>
              <w:t>2019</w:t>
            </w:r>
          </w:p>
        </w:tc>
        <w:tc>
          <w:tcPr>
            <w:tcW w:w="2098" w:type="dxa"/>
          </w:tcPr>
          <w:p w:rsidR="00D11D1C" w:rsidRPr="00915A2B" w:rsidRDefault="00B821A0"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October </w:t>
            </w:r>
            <w:r w:rsidR="00D11D1C">
              <w:rPr>
                <w:rFonts w:asciiTheme="minorHAnsi" w:eastAsia="Times New Roman" w:hAnsiTheme="minorHAnsi"/>
                <w:iCs/>
                <w:szCs w:val="17"/>
                <w:lang w:eastAsia="en-US"/>
              </w:rPr>
              <w:t>2019</w:t>
            </w:r>
          </w:p>
        </w:tc>
        <w:tc>
          <w:tcPr>
            <w:tcW w:w="2782" w:type="dxa"/>
          </w:tcPr>
          <w:p w:rsidR="00D11D1C" w:rsidRPr="00DC165D" w:rsidRDefault="00D11D1C"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 verify performance and demonstrate program results in final year</w:t>
            </w:r>
          </w:p>
        </w:tc>
        <w:tc>
          <w:tcPr>
            <w:tcW w:w="1517" w:type="dxa"/>
          </w:tcPr>
          <w:p w:rsidR="00D11D1C" w:rsidRPr="00915A2B" w:rsidRDefault="00D11D1C"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Partner-led</w:t>
            </w:r>
          </w:p>
        </w:tc>
      </w:tr>
      <w:tr w:rsidR="00D11D1C" w:rsidRPr="00C61187" w:rsidTr="001502C9">
        <w:tc>
          <w:tcPr>
            <w:tcW w:w="3219" w:type="dxa"/>
          </w:tcPr>
          <w:p w:rsidR="00D11D1C" w:rsidRPr="00B46B86" w:rsidRDefault="00D11D1C" w:rsidP="00D11D1C">
            <w:pPr>
              <w:keepLines/>
              <w:spacing w:before="40" w:after="40" w:line="200" w:lineRule="atLeast"/>
              <w:rPr>
                <w:rFonts w:eastAsia="Times New Roman"/>
                <w:iCs/>
                <w:szCs w:val="17"/>
              </w:rPr>
            </w:pPr>
            <w:r w:rsidRPr="001B5ECB">
              <w:rPr>
                <w:rFonts w:asciiTheme="minorHAnsi" w:eastAsia="Times New Roman" w:hAnsiTheme="minorHAnsi"/>
                <w:iCs/>
                <w:szCs w:val="17"/>
                <w:lang w:eastAsia="en-US"/>
              </w:rPr>
              <w:t>PCTP-RAPID (Project Climate Twin Phoenix-Resilience and Preparedness towards Inclusive Development) Program Terminal Evaluation</w:t>
            </w:r>
          </w:p>
        </w:tc>
        <w:tc>
          <w:tcPr>
            <w:tcW w:w="2240" w:type="dxa"/>
          </w:tcPr>
          <w:p w:rsidR="00D11D1C" w:rsidRPr="006223AB" w:rsidRDefault="00D11D1C"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ING581 -</w:t>
            </w:r>
            <w:r w:rsidRPr="006223AB">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Philippines: Disaster and Climate Risks Management</w:t>
            </w:r>
          </w:p>
        </w:tc>
        <w:tc>
          <w:tcPr>
            <w:tcW w:w="2549" w:type="dxa"/>
          </w:tcPr>
          <w:p w:rsidR="00D11D1C" w:rsidRPr="007D6DD5" w:rsidRDefault="00D11D1C"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March</w:t>
            </w:r>
            <w:r w:rsidRPr="007D6DD5">
              <w:rPr>
                <w:rFonts w:asciiTheme="minorHAnsi" w:eastAsia="Times New Roman" w:hAnsiTheme="minorHAnsi"/>
                <w:iCs/>
                <w:szCs w:val="17"/>
                <w:lang w:eastAsia="en-US"/>
              </w:rPr>
              <w:t xml:space="preserve"> 2019</w:t>
            </w:r>
          </w:p>
        </w:tc>
        <w:tc>
          <w:tcPr>
            <w:tcW w:w="2098" w:type="dxa"/>
          </w:tcPr>
          <w:p w:rsidR="00D11D1C" w:rsidRPr="007D6DD5" w:rsidRDefault="00D11D1C"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August 2019</w:t>
            </w:r>
          </w:p>
        </w:tc>
        <w:tc>
          <w:tcPr>
            <w:tcW w:w="2782" w:type="dxa"/>
          </w:tcPr>
          <w:p w:rsidR="00D11D1C" w:rsidRPr="001B5ECB" w:rsidRDefault="00D11D1C" w:rsidP="00D11D1C">
            <w:pPr>
              <w:keepLines/>
              <w:spacing w:before="40" w:after="40" w:line="200" w:lineRule="atLeast"/>
              <w:rPr>
                <w:rFonts w:asciiTheme="minorHAnsi" w:eastAsia="Times New Roman" w:hAnsiTheme="minorHAnsi"/>
                <w:iCs/>
                <w:szCs w:val="17"/>
                <w:lang w:eastAsia="en-US"/>
              </w:rPr>
            </w:pPr>
            <w:r w:rsidRPr="001B5ECB">
              <w:rPr>
                <w:rFonts w:asciiTheme="minorHAnsi" w:eastAsia="Times New Roman" w:hAnsiTheme="minorHAnsi"/>
                <w:iCs/>
                <w:szCs w:val="17"/>
                <w:lang w:eastAsia="en-US"/>
              </w:rPr>
              <w:t>(a) Assess the performance of PCTP-RAPID and its contributions against its targets and expecte</w:t>
            </w:r>
            <w:r>
              <w:rPr>
                <w:rFonts w:asciiTheme="minorHAnsi" w:eastAsia="Times New Roman" w:hAnsiTheme="minorHAnsi"/>
                <w:iCs/>
                <w:szCs w:val="17"/>
                <w:lang w:eastAsia="en-US"/>
              </w:rPr>
              <w:t>d results from 2012 to 2019</w:t>
            </w:r>
            <w:r w:rsidRPr="001B5ECB">
              <w:rPr>
                <w:rFonts w:asciiTheme="minorHAnsi" w:eastAsia="Times New Roman" w:hAnsiTheme="minorHAnsi"/>
                <w:iCs/>
                <w:szCs w:val="17"/>
                <w:lang w:eastAsia="en-US"/>
              </w:rPr>
              <w:t xml:space="preserve"> </w:t>
            </w:r>
          </w:p>
          <w:p w:rsidR="00D11D1C" w:rsidRPr="00DC165D" w:rsidRDefault="00D11D1C" w:rsidP="00D11D1C">
            <w:pPr>
              <w:keepLines/>
              <w:spacing w:before="40" w:after="40" w:line="200" w:lineRule="atLeast"/>
              <w:rPr>
                <w:rFonts w:eastAsia="Times New Roman"/>
                <w:iCs/>
                <w:szCs w:val="17"/>
              </w:rPr>
            </w:pPr>
            <w:r>
              <w:rPr>
                <w:rFonts w:asciiTheme="minorHAnsi" w:eastAsia="Times New Roman" w:hAnsiTheme="minorHAnsi"/>
                <w:iCs/>
                <w:szCs w:val="17"/>
                <w:lang w:eastAsia="en-US"/>
              </w:rPr>
              <w:t>(b) A</w:t>
            </w:r>
            <w:r w:rsidRPr="001B5ECB">
              <w:rPr>
                <w:rFonts w:asciiTheme="minorHAnsi" w:eastAsia="Times New Roman" w:hAnsiTheme="minorHAnsi"/>
                <w:iCs/>
                <w:szCs w:val="17"/>
                <w:lang w:eastAsia="en-US"/>
              </w:rPr>
              <w:t>ssess PCTP-RAPID’s value additions and how its results can be adopted and sustained by national and subnational government entities, communities, civil society groups, and other stakeholders</w:t>
            </w:r>
          </w:p>
        </w:tc>
        <w:tc>
          <w:tcPr>
            <w:tcW w:w="1517" w:type="dxa"/>
          </w:tcPr>
          <w:p w:rsidR="00D11D1C" w:rsidRPr="00915A2B" w:rsidRDefault="00D11D1C" w:rsidP="00D11D1C">
            <w:pPr>
              <w:keepLines/>
              <w:spacing w:before="40" w:after="40" w:line="200" w:lineRule="atLeast"/>
              <w:rPr>
                <w:rFonts w:eastAsia="Times New Roman"/>
                <w:iCs/>
                <w:szCs w:val="17"/>
              </w:rPr>
            </w:pPr>
            <w:r>
              <w:rPr>
                <w:rFonts w:asciiTheme="minorHAnsi" w:eastAsia="Times New Roman" w:hAnsiTheme="minorHAnsi"/>
                <w:iCs/>
                <w:szCs w:val="17"/>
                <w:lang w:eastAsia="en-US"/>
              </w:rPr>
              <w:t>Partner</w:t>
            </w:r>
            <w:r w:rsidRPr="007D6DD5">
              <w:rPr>
                <w:rFonts w:asciiTheme="minorHAnsi" w:eastAsia="Times New Roman" w:hAnsiTheme="minorHAnsi"/>
                <w:iCs/>
                <w:szCs w:val="17"/>
                <w:lang w:eastAsia="en-US"/>
              </w:rPr>
              <w:t>-led</w:t>
            </w:r>
          </w:p>
        </w:tc>
      </w:tr>
      <w:tr w:rsidR="00D11D1C" w:rsidRPr="00C61187" w:rsidTr="001502C9">
        <w:tc>
          <w:tcPr>
            <w:tcW w:w="3219" w:type="dxa"/>
          </w:tcPr>
          <w:p w:rsidR="00D11D1C" w:rsidRPr="00F67BB4" w:rsidRDefault="00D11D1C"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w:t>
            </w:r>
            <w:r w:rsidRPr="001B5ECB">
              <w:rPr>
                <w:rFonts w:asciiTheme="minorHAnsi" w:eastAsia="Times New Roman" w:hAnsiTheme="minorHAnsi"/>
                <w:iCs/>
                <w:szCs w:val="17"/>
                <w:lang w:eastAsia="en-US"/>
              </w:rPr>
              <w:t>ndependent Evaluation of the Inclusive and Affordable Financial Facilities for Resilient and Developed Filipinos (IAFFORD) Project</w:t>
            </w:r>
          </w:p>
        </w:tc>
        <w:tc>
          <w:tcPr>
            <w:tcW w:w="2240" w:type="dxa"/>
          </w:tcPr>
          <w:p w:rsidR="00D11D1C" w:rsidRPr="00F67BB4" w:rsidRDefault="00D11D1C"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INM007 - </w:t>
            </w:r>
            <w:r w:rsidRPr="001B5ECB">
              <w:rPr>
                <w:rFonts w:asciiTheme="minorHAnsi" w:eastAsia="Times New Roman" w:hAnsiTheme="minorHAnsi"/>
                <w:iCs/>
                <w:szCs w:val="17"/>
                <w:lang w:eastAsia="en-US"/>
              </w:rPr>
              <w:t>Strategic Innovations Partnership with Google</w:t>
            </w:r>
          </w:p>
        </w:tc>
        <w:tc>
          <w:tcPr>
            <w:tcW w:w="2549" w:type="dxa"/>
          </w:tcPr>
          <w:p w:rsidR="00D11D1C" w:rsidRPr="00F67BB4" w:rsidRDefault="00D11D1C"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June </w:t>
            </w:r>
            <w:r w:rsidRPr="001B5ECB">
              <w:rPr>
                <w:rFonts w:asciiTheme="minorHAnsi" w:eastAsia="Times New Roman" w:hAnsiTheme="minorHAnsi"/>
                <w:iCs/>
                <w:szCs w:val="17"/>
                <w:lang w:eastAsia="en-US"/>
              </w:rPr>
              <w:t>2019</w:t>
            </w:r>
          </w:p>
        </w:tc>
        <w:tc>
          <w:tcPr>
            <w:tcW w:w="2098" w:type="dxa"/>
          </w:tcPr>
          <w:p w:rsidR="00D11D1C" w:rsidRPr="00F67BB4" w:rsidRDefault="00D11D1C"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December </w:t>
            </w:r>
            <w:r w:rsidRPr="001B5ECB">
              <w:rPr>
                <w:rFonts w:asciiTheme="minorHAnsi" w:eastAsia="Times New Roman" w:hAnsiTheme="minorHAnsi"/>
                <w:iCs/>
                <w:szCs w:val="17"/>
                <w:lang w:eastAsia="en-US"/>
              </w:rPr>
              <w:t>2019</w:t>
            </w:r>
          </w:p>
        </w:tc>
        <w:tc>
          <w:tcPr>
            <w:tcW w:w="2782" w:type="dxa"/>
          </w:tcPr>
          <w:p w:rsidR="00D11D1C" w:rsidRPr="00F67BB4" w:rsidRDefault="00D11D1C" w:rsidP="00D11D1C">
            <w:pPr>
              <w:keepLines/>
              <w:spacing w:before="40" w:after="40" w:line="200" w:lineRule="atLeast"/>
              <w:rPr>
                <w:rFonts w:asciiTheme="minorHAnsi" w:eastAsia="Times New Roman" w:hAnsiTheme="minorHAnsi"/>
                <w:iCs/>
                <w:szCs w:val="17"/>
                <w:lang w:eastAsia="en-US"/>
              </w:rPr>
            </w:pPr>
            <w:r w:rsidRPr="001B5ECB">
              <w:rPr>
                <w:rFonts w:asciiTheme="minorHAnsi" w:eastAsia="Times New Roman" w:hAnsiTheme="minorHAnsi"/>
                <w:iCs/>
                <w:szCs w:val="17"/>
                <w:lang w:eastAsia="en-US"/>
              </w:rPr>
              <w:t>Assess outcomes and lessons learned to inform future investments</w:t>
            </w:r>
          </w:p>
        </w:tc>
        <w:tc>
          <w:tcPr>
            <w:tcW w:w="1517" w:type="dxa"/>
          </w:tcPr>
          <w:p w:rsidR="00D11D1C" w:rsidRPr="00F67BB4" w:rsidRDefault="00D11D1C" w:rsidP="00D11D1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DFAT-led</w:t>
            </w:r>
          </w:p>
        </w:tc>
      </w:tr>
    </w:tbl>
    <w:p w:rsidR="001502C9" w:rsidRDefault="001502C9" w:rsidP="001502C9"/>
    <w:p w:rsidR="001502C9" w:rsidRDefault="001502C9" w:rsidP="001502C9">
      <w:pPr>
        <w:sectPr w:rsidR="001502C9" w:rsidSect="001502C9">
          <w:headerReference w:type="default" r:id="rId30"/>
          <w:footerReference w:type="default" r:id="rId31"/>
          <w:pgSz w:w="16838" w:h="11906" w:orient="landscape" w:code="9"/>
          <w:pgMar w:top="1134" w:right="1418" w:bottom="1134" w:left="1418" w:header="1418" w:footer="142" w:gutter="0"/>
          <w:cols w:space="397"/>
          <w:docGrid w:linePitch="360"/>
        </w:sectPr>
      </w:pPr>
    </w:p>
    <w:p w:rsidR="00400B0F" w:rsidRPr="00901B73" w:rsidRDefault="00400B0F" w:rsidP="00783BC1">
      <w:pPr>
        <w:keepNext/>
        <w:tabs>
          <w:tab w:val="left" w:pos="1560"/>
        </w:tabs>
        <w:spacing w:before="240" w:after="120" w:line="300" w:lineRule="exact"/>
        <w:outlineLvl w:val="1"/>
        <w:rPr>
          <w:rFonts w:asciiTheme="majorHAnsi" w:eastAsiaTheme="majorEastAsia" w:hAnsiTheme="majorHAnsi" w:cstheme="majorHAnsi"/>
          <w:bCs/>
          <w:iCs/>
          <w:caps/>
          <w:spacing w:val="-10"/>
          <w:kern w:val="28"/>
          <w:sz w:val="38"/>
          <w:szCs w:val="24"/>
        </w:rPr>
      </w:pPr>
      <w:r w:rsidRPr="00901B73">
        <w:rPr>
          <w:rFonts w:asciiTheme="majorHAnsi" w:eastAsiaTheme="majorEastAsia" w:hAnsiTheme="majorHAnsi" w:cstheme="majorHAnsi"/>
          <w:bCs/>
          <w:iCs/>
          <w:caps/>
          <w:spacing w:val="-10"/>
          <w:kern w:val="28"/>
          <w:sz w:val="38"/>
          <w:szCs w:val="24"/>
        </w:rPr>
        <w:t>Annex D - Aid Quality Check ratings</w:t>
      </w:r>
    </w:p>
    <w:p w:rsidR="00901B73" w:rsidRPr="00EF26B5" w:rsidRDefault="002A30F7" w:rsidP="00901B73">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Pr>
          <w:rFonts w:asciiTheme="minorHAnsi" w:eastAsiaTheme="majorEastAsia" w:hAnsiTheme="minorHAnsi" w:cstheme="minorHAnsi"/>
          <w:caps/>
          <w:color w:val="495965" w:themeColor="text2"/>
          <w:sz w:val="36"/>
          <w:szCs w:val="36"/>
          <w:lang w:val="en-GB" w:eastAsia="en-US"/>
        </w:rPr>
        <w:t xml:space="preserve">1 </w:t>
      </w:r>
      <w:r w:rsidR="00901B73" w:rsidRPr="00EF26B5">
        <w:rPr>
          <w:rFonts w:asciiTheme="minorHAnsi" w:eastAsiaTheme="majorEastAsia" w:hAnsiTheme="minorHAnsi" w:cstheme="minorHAnsi"/>
          <w:caps/>
          <w:color w:val="495965" w:themeColor="text2"/>
          <w:sz w:val="36"/>
          <w:szCs w:val="36"/>
          <w:lang w:val="en-GB" w:eastAsia="en-US"/>
        </w:rPr>
        <w:t>AQC ratings</w:t>
      </w:r>
    </w:p>
    <w:tbl>
      <w:tblPr>
        <w:tblStyle w:val="APPR"/>
        <w:tblW w:w="4906" w:type="pct"/>
        <w:tblLook w:val="0000" w:firstRow="0" w:lastRow="0" w:firstColumn="0" w:lastColumn="0" w:noHBand="0" w:noVBand="0"/>
      </w:tblPr>
      <w:tblGrid>
        <w:gridCol w:w="2747"/>
        <w:gridCol w:w="1524"/>
        <w:gridCol w:w="919"/>
        <w:gridCol w:w="610"/>
        <w:gridCol w:w="610"/>
        <w:gridCol w:w="610"/>
        <w:gridCol w:w="610"/>
        <w:gridCol w:w="608"/>
        <w:gridCol w:w="608"/>
        <w:gridCol w:w="611"/>
      </w:tblGrid>
      <w:tr w:rsidR="00516DFE" w:rsidRPr="00812509" w:rsidTr="006804A5">
        <w:trPr>
          <w:cnfStyle w:val="000000010000" w:firstRow="0" w:lastRow="0" w:firstColumn="0" w:lastColumn="0" w:oddVBand="0" w:evenVBand="0" w:oddHBand="0" w:evenHBand="1" w:firstRowFirstColumn="0" w:firstRowLastColumn="0" w:lastRowFirstColumn="0" w:lastRowLastColumn="0"/>
          <w:trHeight w:val="1416"/>
        </w:trPr>
        <w:tc>
          <w:tcPr>
            <w:tcW w:w="1430" w:type="pct"/>
            <w:vAlign w:val="center"/>
          </w:tcPr>
          <w:p w:rsidR="00516DFE" w:rsidRPr="00812509" w:rsidRDefault="00516DFE" w:rsidP="006804A5">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89984" behindDoc="0" locked="0" layoutInCell="1" allowOverlap="1" wp14:anchorId="00C5FB88" wp14:editId="464F5231">
                  <wp:simplePos x="0" y="0"/>
                  <wp:positionH relativeFrom="column">
                    <wp:posOffset>0</wp:posOffset>
                  </wp:positionH>
                  <wp:positionV relativeFrom="paragraph">
                    <wp:posOffset>0</wp:posOffset>
                  </wp:positionV>
                  <wp:extent cx="1857375" cy="228600"/>
                  <wp:effectExtent l="0" t="0" r="9525" b="0"/>
                  <wp:wrapNone/>
                  <wp:docPr id="48" name="Picture 4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791" w:type="pct"/>
            <w:textDirection w:val="btLr"/>
            <w:vAlign w:val="center"/>
          </w:tcPr>
          <w:p w:rsidR="00516DFE" w:rsidRPr="00812509" w:rsidRDefault="00516DFE" w:rsidP="006804A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71" w:type="pct"/>
            <w:textDirection w:val="btLr"/>
            <w:vAlign w:val="center"/>
          </w:tcPr>
          <w:p w:rsidR="00516DFE" w:rsidRPr="00812509" w:rsidRDefault="00516DFE" w:rsidP="006804A5">
            <w:pPr>
              <w:keepLines/>
              <w:spacing w:before="0" w:after="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08" w:type="pct"/>
            <w:textDirection w:val="btLr"/>
            <w:vAlign w:val="center"/>
          </w:tcPr>
          <w:p w:rsidR="00516DFE" w:rsidRPr="00812509" w:rsidRDefault="00516DFE" w:rsidP="006804A5">
            <w:pPr>
              <w:keepLines/>
              <w:spacing w:before="0" w:after="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08" w:type="pct"/>
            <w:textDirection w:val="btLr"/>
            <w:vAlign w:val="center"/>
          </w:tcPr>
          <w:p w:rsidR="00516DFE" w:rsidRPr="00812509" w:rsidRDefault="00516DFE" w:rsidP="006804A5">
            <w:pPr>
              <w:keepLines/>
              <w:spacing w:before="0" w:after="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08" w:type="pct"/>
            <w:textDirection w:val="btLr"/>
            <w:vAlign w:val="center"/>
          </w:tcPr>
          <w:p w:rsidR="00516DFE" w:rsidRPr="00812509" w:rsidRDefault="00516DFE" w:rsidP="006804A5">
            <w:pPr>
              <w:keepLines/>
              <w:spacing w:before="0" w:after="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08" w:type="pct"/>
            <w:textDirection w:val="btLr"/>
            <w:vAlign w:val="center"/>
          </w:tcPr>
          <w:p w:rsidR="00516DFE" w:rsidRPr="00812509" w:rsidRDefault="00516DFE" w:rsidP="006804A5">
            <w:pPr>
              <w:keepLines/>
              <w:spacing w:before="0" w:after="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07" w:type="pct"/>
            <w:textDirection w:val="btLr"/>
            <w:vAlign w:val="center"/>
          </w:tcPr>
          <w:p w:rsidR="00516DFE" w:rsidRPr="00812509" w:rsidRDefault="00516DFE" w:rsidP="006804A5">
            <w:pPr>
              <w:keepLines/>
              <w:spacing w:before="0" w:after="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07" w:type="pct"/>
            <w:textDirection w:val="btLr"/>
            <w:vAlign w:val="center"/>
          </w:tcPr>
          <w:p w:rsidR="00516DFE" w:rsidRPr="00812509" w:rsidRDefault="00516DFE" w:rsidP="006804A5">
            <w:pPr>
              <w:keepLines/>
              <w:spacing w:before="0" w:after="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01" w:type="pct"/>
            <w:textDirection w:val="btLr"/>
            <w:vAlign w:val="center"/>
          </w:tcPr>
          <w:p w:rsidR="00516DFE" w:rsidRPr="00812509" w:rsidRDefault="00516DFE" w:rsidP="006804A5">
            <w:pPr>
              <w:keepLines/>
              <w:spacing w:before="0" w:after="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Ri</w:t>
            </w:r>
            <w:r w:rsidRPr="00812509">
              <w:rPr>
                <w:rFonts w:asciiTheme="minorHAnsi" w:eastAsia="Times New Roman" w:hAnsiTheme="minorHAnsi"/>
                <w:b/>
                <w:iCs/>
                <w:szCs w:val="17"/>
                <w:lang w:eastAsia="en-US"/>
              </w:rPr>
              <w:t>sks</w:t>
            </w:r>
            <w:r w:rsidR="001B2AAD">
              <w:rPr>
                <w:rFonts w:asciiTheme="minorHAnsi" w:eastAsia="Times New Roman" w:hAnsiTheme="minorHAnsi"/>
                <w:b/>
                <w:iCs/>
                <w:szCs w:val="17"/>
                <w:lang w:eastAsia="en-US"/>
              </w:rPr>
              <w:t xml:space="preserve"> </w:t>
            </w:r>
            <w:r w:rsidRPr="00812509">
              <w:rPr>
                <w:rFonts w:asciiTheme="minorHAnsi" w:eastAsia="Times New Roman" w:hAnsiTheme="minorHAnsi"/>
                <w:b/>
                <w:iCs/>
                <w:szCs w:val="17"/>
                <w:lang w:eastAsia="en-US"/>
              </w:rPr>
              <w:t>and Safeguards</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val="restart"/>
          </w:tcPr>
          <w:p w:rsidR="00516DFE" w:rsidRPr="00812509" w:rsidRDefault="00516DFE" w:rsidP="006804A5">
            <w:pPr>
              <w:keepLines/>
              <w:spacing w:before="40" w:after="40" w:line="200" w:lineRule="atLeast"/>
              <w:rPr>
                <w:rFonts w:asciiTheme="minorHAnsi" w:eastAsia="Times New Roman" w:hAnsiTheme="minorHAnsi"/>
                <w:iCs/>
                <w:szCs w:val="17"/>
                <w:lang w:eastAsia="en-US"/>
              </w:rPr>
            </w:pPr>
            <w:r w:rsidRPr="00384A20">
              <w:rPr>
                <w:rFonts w:asciiTheme="minorHAnsi" w:eastAsia="Times New Roman" w:hAnsiTheme="minorHAnsi"/>
                <w:iCs/>
                <w:szCs w:val="17"/>
                <w:lang w:eastAsia="en-US"/>
              </w:rPr>
              <w:t>INM313 - Philippine-Australia Scholarships &amp; Alumni Program</w:t>
            </w:r>
          </w:p>
        </w:tc>
        <w:tc>
          <w:tcPr>
            <w:tcW w:w="791" w:type="pct"/>
            <w:vMerge w:val="restart"/>
            <w:vAlign w:val="center"/>
          </w:tcPr>
          <w:p w:rsidR="00516DFE" w:rsidRPr="00970536" w:rsidRDefault="00516DFE" w:rsidP="006804A5">
            <w:pPr>
              <w:autoSpaceDE w:val="0"/>
              <w:autoSpaceDN w:val="0"/>
              <w:adjustRightInd w:val="0"/>
              <w:spacing w:before="40" w:after="40"/>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$15.5m</w:t>
            </w:r>
          </w:p>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Sep-17 to Sep-21</w:t>
            </w:r>
          </w:p>
        </w:tc>
        <w:tc>
          <w:tcPr>
            <w:tcW w:w="471" w:type="pc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2018-19</w:t>
            </w:r>
          </w:p>
        </w:tc>
        <w:tc>
          <w:tcPr>
            <w:tcW w:w="308" w:type="pct"/>
            <w:shd w:val="clear" w:color="auto" w:fill="auto"/>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n/a</w:t>
            </w:r>
          </w:p>
        </w:tc>
        <w:tc>
          <w:tcPr>
            <w:tcW w:w="308" w:type="pct"/>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5</w:t>
            </w:r>
          </w:p>
        </w:tc>
        <w:tc>
          <w:tcPr>
            <w:tcW w:w="308" w:type="pct"/>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5</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5</w:t>
            </w:r>
          </w:p>
        </w:tc>
        <w:tc>
          <w:tcPr>
            <w:tcW w:w="301" w:type="pct"/>
            <w:shd w:val="clear" w:color="auto" w:fill="auto"/>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tcBorders>
              <w:bottom w:val="single" w:sz="4" w:space="0" w:color="auto"/>
            </w:tcBorders>
          </w:tcPr>
          <w:p w:rsidR="00516DFE" w:rsidRPr="00812509" w:rsidRDefault="00516DFE" w:rsidP="006804A5">
            <w:pPr>
              <w:keepLines/>
              <w:spacing w:before="40" w:after="40" w:line="200" w:lineRule="atLeast"/>
              <w:rPr>
                <w:rFonts w:asciiTheme="minorHAnsi" w:eastAsia="Times New Roman" w:hAnsiTheme="minorHAnsi"/>
                <w:iCs/>
                <w:szCs w:val="17"/>
                <w:lang w:eastAsia="en-US"/>
              </w:rPr>
            </w:pPr>
          </w:p>
        </w:tc>
        <w:tc>
          <w:tcPr>
            <w:tcW w:w="791" w:type="pct"/>
            <w:vMerge/>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p>
        </w:tc>
        <w:tc>
          <w:tcPr>
            <w:tcW w:w="471" w:type="pct"/>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2017-18</w:t>
            </w:r>
          </w:p>
        </w:tc>
        <w:tc>
          <w:tcPr>
            <w:tcW w:w="308" w:type="pct"/>
            <w:tcBorders>
              <w:bottom w:val="single" w:sz="4" w:space="0" w:color="auto"/>
            </w:tcBorders>
            <w:shd w:val="clear" w:color="auto" w:fill="92D05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5</w:t>
            </w:r>
          </w:p>
        </w:tc>
        <w:tc>
          <w:tcPr>
            <w:tcW w:w="308" w:type="pct"/>
            <w:tcBorders>
              <w:bottom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4</w:t>
            </w:r>
          </w:p>
        </w:tc>
        <w:tc>
          <w:tcPr>
            <w:tcW w:w="308" w:type="pct"/>
            <w:tcBorders>
              <w:bottom w:val="single" w:sz="4" w:space="0" w:color="auto"/>
            </w:tcBorders>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5</w:t>
            </w:r>
          </w:p>
        </w:tc>
        <w:tc>
          <w:tcPr>
            <w:tcW w:w="308" w:type="pct"/>
            <w:tcBorders>
              <w:bottom w:val="single" w:sz="4" w:space="0" w:color="auto"/>
            </w:tcBorders>
            <w:shd w:val="clear" w:color="auto" w:fill="FFFF0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4</w:t>
            </w:r>
          </w:p>
        </w:tc>
        <w:tc>
          <w:tcPr>
            <w:tcW w:w="307" w:type="pct"/>
            <w:tcBorders>
              <w:bottom w:val="single" w:sz="4" w:space="0" w:color="auto"/>
            </w:tcBorders>
            <w:shd w:val="clear" w:color="auto" w:fill="FFFF0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4</w:t>
            </w:r>
          </w:p>
        </w:tc>
        <w:tc>
          <w:tcPr>
            <w:tcW w:w="307" w:type="pct"/>
            <w:tcBorders>
              <w:bottom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4</w:t>
            </w:r>
          </w:p>
        </w:tc>
        <w:tc>
          <w:tcPr>
            <w:tcW w:w="301" w:type="pct"/>
            <w:tcBorders>
              <w:bottom w:val="single" w:sz="4" w:space="0" w:color="auto"/>
            </w:tcBorders>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val="restart"/>
          </w:tcPr>
          <w:p w:rsidR="00516DFE" w:rsidRPr="00812509" w:rsidRDefault="00516DFE" w:rsidP="006804A5">
            <w:pPr>
              <w:keepLines/>
              <w:spacing w:before="40" w:after="40" w:line="200" w:lineRule="atLeast"/>
              <w:rPr>
                <w:rFonts w:asciiTheme="minorHAnsi" w:eastAsia="Times New Roman" w:hAnsiTheme="minorHAnsi"/>
                <w:iCs/>
                <w:szCs w:val="17"/>
                <w:lang w:eastAsia="en-US"/>
              </w:rPr>
            </w:pPr>
            <w:r w:rsidRPr="00384A20">
              <w:rPr>
                <w:rFonts w:asciiTheme="minorHAnsi" w:eastAsia="Times New Roman" w:hAnsiTheme="minorHAnsi"/>
                <w:iCs/>
                <w:szCs w:val="17"/>
                <w:lang w:eastAsia="en-US"/>
              </w:rPr>
              <w:t>INJ766 - Strengthening Public Private Partnership Program</w:t>
            </w:r>
          </w:p>
        </w:tc>
        <w:tc>
          <w:tcPr>
            <w:tcW w:w="791" w:type="pct"/>
            <w:vMerge w:val="restart"/>
            <w:vAlign w:val="center"/>
          </w:tcPr>
          <w:p w:rsidR="00516DFE" w:rsidRPr="00970536" w:rsidRDefault="00516DFE" w:rsidP="006804A5">
            <w:pPr>
              <w:autoSpaceDE w:val="0"/>
              <w:autoSpaceDN w:val="0"/>
              <w:adjustRightInd w:val="0"/>
              <w:spacing w:before="40" w:after="40"/>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$26.07m</w:t>
            </w:r>
          </w:p>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Mar-11 to Mar-21</w:t>
            </w:r>
          </w:p>
        </w:tc>
        <w:tc>
          <w:tcPr>
            <w:tcW w:w="471" w:type="pc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2018-19</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8"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4</w:t>
            </w:r>
          </w:p>
        </w:tc>
        <w:tc>
          <w:tcPr>
            <w:tcW w:w="308"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4</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4</w:t>
            </w:r>
          </w:p>
        </w:tc>
        <w:tc>
          <w:tcPr>
            <w:tcW w:w="301" w:type="pct"/>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tcBorders>
              <w:bottom w:val="single" w:sz="4" w:space="0" w:color="auto"/>
            </w:tcBorders>
          </w:tcPr>
          <w:p w:rsidR="00516DFE" w:rsidRPr="00812509" w:rsidRDefault="00516DFE" w:rsidP="006804A5">
            <w:pPr>
              <w:keepLines/>
              <w:spacing w:before="40" w:after="40" w:line="200" w:lineRule="atLeast"/>
              <w:rPr>
                <w:rFonts w:asciiTheme="minorHAnsi" w:eastAsia="Times New Roman" w:hAnsiTheme="minorHAnsi"/>
                <w:iCs/>
                <w:szCs w:val="17"/>
                <w:lang w:eastAsia="en-US"/>
              </w:rPr>
            </w:pPr>
          </w:p>
        </w:tc>
        <w:tc>
          <w:tcPr>
            <w:tcW w:w="791" w:type="pct"/>
            <w:vMerge/>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p>
        </w:tc>
        <w:tc>
          <w:tcPr>
            <w:tcW w:w="471" w:type="pct"/>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2017-18</w:t>
            </w:r>
          </w:p>
        </w:tc>
        <w:tc>
          <w:tcPr>
            <w:tcW w:w="308" w:type="pct"/>
            <w:tcBorders>
              <w:bottom w:val="single" w:sz="4" w:space="0" w:color="auto"/>
            </w:tcBorders>
            <w:shd w:val="clear" w:color="auto" w:fill="92D05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5</w:t>
            </w:r>
          </w:p>
        </w:tc>
        <w:tc>
          <w:tcPr>
            <w:tcW w:w="308" w:type="pct"/>
            <w:tcBorders>
              <w:bottom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4</w:t>
            </w:r>
          </w:p>
        </w:tc>
        <w:tc>
          <w:tcPr>
            <w:tcW w:w="308" w:type="pct"/>
            <w:tcBorders>
              <w:bottom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4</w:t>
            </w:r>
          </w:p>
        </w:tc>
        <w:tc>
          <w:tcPr>
            <w:tcW w:w="308" w:type="pct"/>
            <w:tcBorders>
              <w:bottom w:val="single" w:sz="4" w:space="0" w:color="auto"/>
            </w:tcBorders>
            <w:shd w:val="clear" w:color="auto" w:fill="FFFF0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4</w:t>
            </w:r>
          </w:p>
        </w:tc>
        <w:tc>
          <w:tcPr>
            <w:tcW w:w="307" w:type="pct"/>
            <w:tcBorders>
              <w:bottom w:val="single" w:sz="4" w:space="0" w:color="auto"/>
            </w:tcBorders>
            <w:shd w:val="clear" w:color="auto" w:fill="92D05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5</w:t>
            </w:r>
          </w:p>
        </w:tc>
        <w:tc>
          <w:tcPr>
            <w:tcW w:w="307" w:type="pct"/>
            <w:tcBorders>
              <w:bottom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4</w:t>
            </w:r>
          </w:p>
        </w:tc>
        <w:tc>
          <w:tcPr>
            <w:tcW w:w="301" w:type="pct"/>
            <w:tcBorders>
              <w:bottom w:val="single" w:sz="4" w:space="0" w:color="auto"/>
            </w:tcBorders>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val="restart"/>
          </w:tcPr>
          <w:p w:rsidR="00516DFE" w:rsidRPr="00812509" w:rsidRDefault="00516DFE" w:rsidP="006804A5">
            <w:pPr>
              <w:keepLines/>
              <w:spacing w:before="40" w:after="40" w:line="200" w:lineRule="atLeast"/>
              <w:rPr>
                <w:rFonts w:asciiTheme="minorHAnsi" w:eastAsia="Times New Roman" w:hAnsiTheme="minorHAnsi"/>
                <w:iCs/>
                <w:szCs w:val="17"/>
                <w:lang w:eastAsia="en-US"/>
              </w:rPr>
            </w:pPr>
            <w:r w:rsidRPr="00384A20">
              <w:rPr>
                <w:rFonts w:asciiTheme="minorHAnsi" w:eastAsia="Times New Roman" w:hAnsiTheme="minorHAnsi"/>
                <w:iCs/>
                <w:szCs w:val="17"/>
                <w:lang w:eastAsia="en-US"/>
              </w:rPr>
              <w:t>INL799 - Social Protection and Eco Section Program Support</w:t>
            </w:r>
          </w:p>
        </w:tc>
        <w:tc>
          <w:tcPr>
            <w:tcW w:w="791" w:type="pct"/>
            <w:vMerge w:val="restar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$11.04m</w:t>
            </w:r>
          </w:p>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Aug-15 to Jun-20</w:t>
            </w:r>
          </w:p>
        </w:tc>
        <w:tc>
          <w:tcPr>
            <w:tcW w:w="471" w:type="pc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2018-19</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8"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4</w:t>
            </w:r>
          </w:p>
        </w:tc>
        <w:tc>
          <w:tcPr>
            <w:tcW w:w="308" w:type="pct"/>
            <w:shd w:val="clear" w:color="auto" w:fill="FFC0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3</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4</w:t>
            </w:r>
          </w:p>
        </w:tc>
        <w:tc>
          <w:tcPr>
            <w:tcW w:w="301" w:type="pct"/>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tcBorders>
              <w:bottom w:val="single" w:sz="4" w:space="0" w:color="auto"/>
            </w:tcBorders>
          </w:tcPr>
          <w:p w:rsidR="00516DFE" w:rsidRPr="00812509" w:rsidRDefault="00516DFE" w:rsidP="006804A5">
            <w:pPr>
              <w:keepLines/>
              <w:spacing w:before="40" w:after="40" w:line="200" w:lineRule="atLeast"/>
              <w:rPr>
                <w:rFonts w:asciiTheme="minorHAnsi" w:eastAsia="Times New Roman" w:hAnsiTheme="minorHAnsi"/>
                <w:iCs/>
                <w:szCs w:val="17"/>
                <w:lang w:eastAsia="en-US"/>
              </w:rPr>
            </w:pPr>
          </w:p>
        </w:tc>
        <w:tc>
          <w:tcPr>
            <w:tcW w:w="791" w:type="pct"/>
            <w:vMerge/>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p>
        </w:tc>
        <w:tc>
          <w:tcPr>
            <w:tcW w:w="471" w:type="pct"/>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2017-18</w:t>
            </w:r>
          </w:p>
        </w:tc>
        <w:tc>
          <w:tcPr>
            <w:tcW w:w="308" w:type="pct"/>
            <w:tcBorders>
              <w:bottom w:val="single" w:sz="4" w:space="0" w:color="auto"/>
            </w:tcBorders>
            <w:shd w:val="clear" w:color="auto" w:fill="92D05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5</w:t>
            </w:r>
          </w:p>
        </w:tc>
        <w:tc>
          <w:tcPr>
            <w:tcW w:w="308" w:type="pct"/>
            <w:tcBorders>
              <w:bottom w:val="single" w:sz="4" w:space="0" w:color="auto"/>
            </w:tcBorders>
            <w:shd w:val="clear" w:color="auto" w:fill="FFC0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3</w:t>
            </w:r>
          </w:p>
        </w:tc>
        <w:tc>
          <w:tcPr>
            <w:tcW w:w="308" w:type="pct"/>
            <w:tcBorders>
              <w:bottom w:val="single" w:sz="4" w:space="0" w:color="auto"/>
            </w:tcBorders>
            <w:shd w:val="clear" w:color="auto" w:fill="FFC0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3</w:t>
            </w:r>
          </w:p>
        </w:tc>
        <w:tc>
          <w:tcPr>
            <w:tcW w:w="308" w:type="pct"/>
            <w:tcBorders>
              <w:bottom w:val="single" w:sz="4" w:space="0" w:color="auto"/>
            </w:tcBorders>
            <w:shd w:val="clear" w:color="auto" w:fill="FFFF0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4</w:t>
            </w:r>
          </w:p>
        </w:tc>
        <w:tc>
          <w:tcPr>
            <w:tcW w:w="307" w:type="pct"/>
            <w:tcBorders>
              <w:bottom w:val="single" w:sz="4" w:space="0" w:color="auto"/>
            </w:tcBorders>
            <w:shd w:val="clear" w:color="auto" w:fill="92D05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5</w:t>
            </w:r>
          </w:p>
        </w:tc>
        <w:tc>
          <w:tcPr>
            <w:tcW w:w="307" w:type="pct"/>
            <w:tcBorders>
              <w:bottom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lang w:eastAsia="en-US"/>
              </w:rPr>
            </w:pPr>
            <w:r w:rsidRPr="00641030">
              <w:rPr>
                <w:rFonts w:asciiTheme="minorHAnsi" w:eastAsia="Times New Roman" w:hAnsiTheme="minorHAnsi" w:cstheme="minorHAnsi"/>
                <w:iCs/>
                <w:sz w:val="16"/>
                <w:szCs w:val="16"/>
                <w:lang w:eastAsia="en-US"/>
              </w:rPr>
              <w:t>4</w:t>
            </w:r>
          </w:p>
        </w:tc>
        <w:tc>
          <w:tcPr>
            <w:tcW w:w="301" w:type="pct"/>
            <w:tcBorders>
              <w:bottom w:val="single" w:sz="4" w:space="0" w:color="auto"/>
            </w:tcBorders>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val="restart"/>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r w:rsidRPr="00384A20">
              <w:rPr>
                <w:rFonts w:asciiTheme="minorHAnsi" w:eastAsia="Times New Roman" w:hAnsiTheme="minorHAnsi"/>
                <w:iCs/>
                <w:szCs w:val="17"/>
                <w:lang w:eastAsia="en-US"/>
              </w:rPr>
              <w:t>INL798 - PFMP for Institutions and Infrastructure</w:t>
            </w:r>
            <w:r>
              <w:rPr>
                <w:rFonts w:asciiTheme="minorHAnsi" w:eastAsia="Times New Roman" w:hAnsiTheme="minorHAnsi"/>
                <w:iCs/>
                <w:szCs w:val="17"/>
                <w:lang w:eastAsia="en-US"/>
              </w:rPr>
              <w:t xml:space="preserve"> (PFMP-ii)</w:t>
            </w:r>
          </w:p>
        </w:tc>
        <w:tc>
          <w:tcPr>
            <w:tcW w:w="791" w:type="pct"/>
            <w:vMerge w:val="restar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$41.4m</w:t>
            </w:r>
          </w:p>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Aug-2015 to Jun-19</w:t>
            </w:r>
          </w:p>
        </w:tc>
        <w:tc>
          <w:tcPr>
            <w:tcW w:w="471" w:type="pc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2018-19</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8" w:type="pct"/>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5</w:t>
            </w:r>
          </w:p>
        </w:tc>
        <w:tc>
          <w:tcPr>
            <w:tcW w:w="308"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FF00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1</w:t>
            </w:r>
          </w:p>
        </w:tc>
        <w:tc>
          <w:tcPr>
            <w:tcW w:w="301" w:type="pct"/>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p>
        </w:tc>
        <w:tc>
          <w:tcPr>
            <w:tcW w:w="791" w:type="pct"/>
            <w:vMerge/>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p>
        </w:tc>
        <w:tc>
          <w:tcPr>
            <w:tcW w:w="471" w:type="pc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2017-18</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7"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7"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1" w:type="pct"/>
            <w:shd w:val="clear" w:color="auto" w:fill="auto"/>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val="restart"/>
            <w:tcBorders>
              <w:top w:val="single" w:sz="4" w:space="0" w:color="auto"/>
            </w:tcBorders>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r w:rsidRPr="00384A20">
              <w:rPr>
                <w:rFonts w:asciiTheme="minorHAnsi" w:eastAsia="Times New Roman" w:hAnsiTheme="minorHAnsi"/>
                <w:iCs/>
                <w:szCs w:val="17"/>
                <w:lang w:eastAsia="en-US"/>
              </w:rPr>
              <w:t>INL343 - Peacebuilding in Conflict-Affected Mindanao</w:t>
            </w:r>
            <w:r w:rsidR="00592A37">
              <w:rPr>
                <w:rFonts w:asciiTheme="minorHAnsi" w:eastAsia="Times New Roman" w:hAnsiTheme="minorHAnsi"/>
                <w:iCs/>
                <w:szCs w:val="17"/>
                <w:lang w:eastAsia="en-US"/>
              </w:rPr>
              <w:t xml:space="preserve"> (PCAM)</w:t>
            </w:r>
          </w:p>
        </w:tc>
        <w:tc>
          <w:tcPr>
            <w:tcW w:w="791" w:type="pct"/>
            <w:vMerge w:val="restart"/>
            <w:tcBorders>
              <w:top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$80.6m</w:t>
            </w:r>
          </w:p>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Apr-14 to Jun-22</w:t>
            </w:r>
          </w:p>
        </w:tc>
        <w:tc>
          <w:tcPr>
            <w:tcW w:w="471" w:type="pct"/>
            <w:tcBorders>
              <w:top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2018-19</w:t>
            </w:r>
          </w:p>
        </w:tc>
        <w:tc>
          <w:tcPr>
            <w:tcW w:w="308" w:type="pct"/>
            <w:tcBorders>
              <w:top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8" w:type="pct"/>
            <w:tcBorders>
              <w:top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8" w:type="pct"/>
            <w:tcBorders>
              <w:top w:val="single" w:sz="4" w:space="0" w:color="auto"/>
            </w:tcBorders>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5</w:t>
            </w:r>
          </w:p>
        </w:tc>
        <w:tc>
          <w:tcPr>
            <w:tcW w:w="308" w:type="pct"/>
            <w:tcBorders>
              <w:top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tcBorders>
              <w:top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tcBorders>
              <w:top w:val="single" w:sz="4" w:space="0" w:color="auto"/>
            </w:tcBorders>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5</w:t>
            </w:r>
          </w:p>
        </w:tc>
        <w:tc>
          <w:tcPr>
            <w:tcW w:w="301" w:type="pct"/>
            <w:tcBorders>
              <w:top w:val="single" w:sz="4" w:space="0" w:color="auto"/>
            </w:tcBorders>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tcBorders>
              <w:bottom w:val="single" w:sz="4" w:space="0" w:color="auto"/>
            </w:tcBorders>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p>
        </w:tc>
        <w:tc>
          <w:tcPr>
            <w:tcW w:w="791" w:type="pct"/>
            <w:vMerge/>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p>
        </w:tc>
        <w:tc>
          <w:tcPr>
            <w:tcW w:w="471" w:type="pct"/>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2017-18</w:t>
            </w:r>
          </w:p>
        </w:tc>
        <w:tc>
          <w:tcPr>
            <w:tcW w:w="308" w:type="pct"/>
            <w:tcBorders>
              <w:bottom w:val="single" w:sz="4" w:space="0" w:color="auto"/>
            </w:tcBorders>
            <w:shd w:val="clear" w:color="auto" w:fill="92D05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6</w:t>
            </w:r>
          </w:p>
        </w:tc>
        <w:tc>
          <w:tcPr>
            <w:tcW w:w="308" w:type="pct"/>
            <w:tcBorders>
              <w:bottom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8" w:type="pct"/>
            <w:tcBorders>
              <w:bottom w:val="single" w:sz="4" w:space="0" w:color="auto"/>
            </w:tcBorders>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5</w:t>
            </w:r>
          </w:p>
        </w:tc>
        <w:tc>
          <w:tcPr>
            <w:tcW w:w="308" w:type="pct"/>
            <w:tcBorders>
              <w:bottom w:val="single" w:sz="4" w:space="0" w:color="auto"/>
            </w:tcBorders>
            <w:shd w:val="clear" w:color="auto" w:fill="FFFF0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4</w:t>
            </w:r>
          </w:p>
        </w:tc>
        <w:tc>
          <w:tcPr>
            <w:tcW w:w="307" w:type="pct"/>
            <w:tcBorders>
              <w:bottom w:val="single" w:sz="4" w:space="0" w:color="auto"/>
            </w:tcBorders>
            <w:shd w:val="clear" w:color="auto" w:fill="92D05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5</w:t>
            </w:r>
          </w:p>
        </w:tc>
        <w:tc>
          <w:tcPr>
            <w:tcW w:w="307" w:type="pct"/>
            <w:tcBorders>
              <w:bottom w:val="single" w:sz="4" w:space="0" w:color="auto"/>
            </w:tcBorders>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5</w:t>
            </w:r>
          </w:p>
        </w:tc>
        <w:tc>
          <w:tcPr>
            <w:tcW w:w="301" w:type="pct"/>
            <w:tcBorders>
              <w:bottom w:val="single" w:sz="4" w:space="0" w:color="auto"/>
            </w:tcBorders>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val="restart"/>
          </w:tcPr>
          <w:p w:rsidR="00516DFE" w:rsidRPr="00384A20" w:rsidRDefault="00167D94" w:rsidP="006804A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INM474 - PH</w:t>
            </w:r>
            <w:r w:rsidR="00516DFE" w:rsidRPr="00384A20">
              <w:rPr>
                <w:rFonts w:asciiTheme="minorHAnsi" w:eastAsia="Times New Roman" w:hAnsiTheme="minorHAnsi"/>
                <w:iCs/>
                <w:szCs w:val="17"/>
                <w:lang w:eastAsia="en-US"/>
              </w:rPr>
              <w:t>-Australia Cit</w:t>
            </w:r>
            <w:r w:rsidR="00516DFE">
              <w:rPr>
                <w:rFonts w:asciiTheme="minorHAnsi" w:eastAsia="Times New Roman" w:hAnsiTheme="minorHAnsi"/>
                <w:iCs/>
                <w:szCs w:val="17"/>
                <w:lang w:eastAsia="en-US"/>
              </w:rPr>
              <w:t>izens Empowerment Program</w:t>
            </w:r>
            <w:r>
              <w:rPr>
                <w:rFonts w:asciiTheme="minorHAnsi" w:eastAsia="Times New Roman" w:hAnsiTheme="minorHAnsi"/>
                <w:iCs/>
                <w:szCs w:val="17"/>
                <w:lang w:eastAsia="en-US"/>
              </w:rPr>
              <w:t xml:space="preserve"> (PACE)</w:t>
            </w:r>
            <w:r w:rsidR="00516DFE">
              <w:rPr>
                <w:rFonts w:asciiTheme="minorHAnsi" w:eastAsia="Times New Roman" w:hAnsiTheme="minorHAnsi"/>
                <w:iCs/>
                <w:szCs w:val="17"/>
                <w:lang w:eastAsia="en-US"/>
              </w:rPr>
              <w:t xml:space="preserve"> </w:t>
            </w:r>
          </w:p>
        </w:tc>
        <w:tc>
          <w:tcPr>
            <w:tcW w:w="791" w:type="pct"/>
            <w:vMerge w:val="restar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$5.1m</w:t>
            </w:r>
          </w:p>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Feb-18 to Jun-21</w:t>
            </w:r>
          </w:p>
        </w:tc>
        <w:tc>
          <w:tcPr>
            <w:tcW w:w="471" w:type="pc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2018-19</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8"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8"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5</w:t>
            </w:r>
          </w:p>
        </w:tc>
        <w:tc>
          <w:tcPr>
            <w:tcW w:w="301" w:type="pct"/>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tcBorders>
              <w:bottom w:val="single" w:sz="4" w:space="0" w:color="auto"/>
            </w:tcBorders>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p>
        </w:tc>
        <w:tc>
          <w:tcPr>
            <w:tcW w:w="791" w:type="pct"/>
            <w:vMerge/>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p>
        </w:tc>
        <w:tc>
          <w:tcPr>
            <w:tcW w:w="471" w:type="pct"/>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2017-18</w:t>
            </w:r>
          </w:p>
        </w:tc>
        <w:tc>
          <w:tcPr>
            <w:tcW w:w="308"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7"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7"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1" w:type="pct"/>
            <w:tcBorders>
              <w:bottom w:val="single" w:sz="4" w:space="0" w:color="auto"/>
            </w:tcBorders>
            <w:shd w:val="clear" w:color="auto" w:fill="auto"/>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val="restart"/>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r w:rsidRPr="00384A20">
              <w:rPr>
                <w:rFonts w:asciiTheme="minorHAnsi" w:eastAsia="Times New Roman" w:hAnsiTheme="minorHAnsi"/>
                <w:iCs/>
                <w:szCs w:val="17"/>
                <w:lang w:eastAsia="en-US"/>
              </w:rPr>
              <w:t>ING581 - Philippines Disaster and Climate Risks Management</w:t>
            </w:r>
            <w:r w:rsidR="00167D94">
              <w:rPr>
                <w:rFonts w:asciiTheme="minorHAnsi" w:eastAsia="Times New Roman" w:hAnsiTheme="minorHAnsi"/>
                <w:iCs/>
                <w:szCs w:val="17"/>
                <w:lang w:eastAsia="en-US"/>
              </w:rPr>
              <w:t xml:space="preserve"> (DCRM)</w:t>
            </w:r>
          </w:p>
        </w:tc>
        <w:tc>
          <w:tcPr>
            <w:tcW w:w="791" w:type="pct"/>
            <w:vMerge w:val="restar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$47.8m</w:t>
            </w:r>
          </w:p>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Jun-06 to Dec-20</w:t>
            </w:r>
          </w:p>
        </w:tc>
        <w:tc>
          <w:tcPr>
            <w:tcW w:w="471" w:type="pc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2018-19</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8"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8" w:type="pct"/>
            <w:shd w:val="clear" w:color="auto" w:fill="FFC0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3</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1" w:type="pct"/>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p>
        </w:tc>
        <w:tc>
          <w:tcPr>
            <w:tcW w:w="791" w:type="pct"/>
            <w:vMerge/>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p>
        </w:tc>
        <w:tc>
          <w:tcPr>
            <w:tcW w:w="471" w:type="pc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2017-18</w:t>
            </w:r>
          </w:p>
        </w:tc>
        <w:tc>
          <w:tcPr>
            <w:tcW w:w="308" w:type="pct"/>
            <w:shd w:val="clear" w:color="auto" w:fill="92D05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6</w:t>
            </w:r>
          </w:p>
        </w:tc>
        <w:tc>
          <w:tcPr>
            <w:tcW w:w="308" w:type="pct"/>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5</w:t>
            </w:r>
          </w:p>
        </w:tc>
        <w:tc>
          <w:tcPr>
            <w:tcW w:w="308" w:type="pct"/>
            <w:shd w:val="clear" w:color="auto" w:fill="FFC0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3</w:t>
            </w:r>
          </w:p>
        </w:tc>
        <w:tc>
          <w:tcPr>
            <w:tcW w:w="308" w:type="pct"/>
            <w:shd w:val="clear" w:color="auto" w:fill="FFFF0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4</w:t>
            </w:r>
          </w:p>
        </w:tc>
        <w:tc>
          <w:tcPr>
            <w:tcW w:w="307" w:type="pct"/>
            <w:shd w:val="clear" w:color="auto" w:fill="92D05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5</w:t>
            </w:r>
          </w:p>
        </w:tc>
        <w:tc>
          <w:tcPr>
            <w:tcW w:w="307" w:type="pct"/>
            <w:shd w:val="clear" w:color="auto" w:fill="92D05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5</w:t>
            </w:r>
          </w:p>
        </w:tc>
        <w:tc>
          <w:tcPr>
            <w:tcW w:w="301" w:type="pct"/>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val="restart"/>
            <w:tcBorders>
              <w:top w:val="single" w:sz="4" w:space="0" w:color="auto"/>
            </w:tcBorders>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r w:rsidRPr="00384A20">
              <w:rPr>
                <w:rFonts w:asciiTheme="minorHAnsi" w:eastAsia="Times New Roman" w:hAnsiTheme="minorHAnsi"/>
                <w:iCs/>
                <w:szCs w:val="17"/>
                <w:lang w:eastAsia="en-US"/>
              </w:rPr>
              <w:t>INL791 - Education Pathways to Peace in Mindanao (PATHWAYS)</w:t>
            </w:r>
          </w:p>
        </w:tc>
        <w:tc>
          <w:tcPr>
            <w:tcW w:w="791" w:type="pct"/>
            <w:vMerge w:val="restart"/>
            <w:tcBorders>
              <w:top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$90.4m</w:t>
            </w:r>
          </w:p>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Aug-15 to Jun-26</w:t>
            </w:r>
          </w:p>
        </w:tc>
        <w:tc>
          <w:tcPr>
            <w:tcW w:w="471" w:type="pct"/>
            <w:tcBorders>
              <w:top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2018-19</w:t>
            </w:r>
          </w:p>
        </w:tc>
        <w:tc>
          <w:tcPr>
            <w:tcW w:w="308" w:type="pct"/>
            <w:tcBorders>
              <w:top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8" w:type="pct"/>
            <w:tcBorders>
              <w:top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8" w:type="pct"/>
            <w:tcBorders>
              <w:top w:val="single" w:sz="4" w:space="0" w:color="auto"/>
            </w:tcBorders>
            <w:shd w:val="clear" w:color="auto" w:fill="FFC0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3</w:t>
            </w:r>
          </w:p>
        </w:tc>
        <w:tc>
          <w:tcPr>
            <w:tcW w:w="308" w:type="pct"/>
            <w:tcBorders>
              <w:top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tcBorders>
              <w:top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tcBorders>
              <w:top w:val="single" w:sz="4" w:space="0" w:color="auto"/>
            </w:tcBorders>
            <w:shd w:val="clear" w:color="auto" w:fill="FFC0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3</w:t>
            </w:r>
          </w:p>
        </w:tc>
        <w:tc>
          <w:tcPr>
            <w:tcW w:w="301" w:type="pct"/>
            <w:tcBorders>
              <w:top w:val="single" w:sz="4" w:space="0" w:color="auto"/>
            </w:tcBorders>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tcBorders>
              <w:bottom w:val="single" w:sz="4" w:space="0" w:color="auto"/>
            </w:tcBorders>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p>
        </w:tc>
        <w:tc>
          <w:tcPr>
            <w:tcW w:w="791" w:type="pct"/>
            <w:vMerge/>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p>
        </w:tc>
        <w:tc>
          <w:tcPr>
            <w:tcW w:w="471" w:type="pct"/>
            <w:tcBorders>
              <w:bottom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2017-18</w:t>
            </w:r>
          </w:p>
        </w:tc>
        <w:tc>
          <w:tcPr>
            <w:tcW w:w="308"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7"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7" w:type="pct"/>
            <w:tcBorders>
              <w:bottom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1" w:type="pct"/>
            <w:tcBorders>
              <w:bottom w:val="single" w:sz="4" w:space="0" w:color="auto"/>
            </w:tcBorders>
            <w:shd w:val="clear" w:color="auto" w:fill="auto"/>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val="restart"/>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r w:rsidRPr="00384A20">
              <w:rPr>
                <w:rFonts w:asciiTheme="minorHAnsi" w:eastAsia="Times New Roman" w:hAnsiTheme="minorHAnsi"/>
                <w:iCs/>
                <w:szCs w:val="17"/>
                <w:lang w:eastAsia="en-US"/>
              </w:rPr>
              <w:t>INM238 - Coalitions for Change (CfC) Phase 2</w:t>
            </w:r>
          </w:p>
        </w:tc>
        <w:tc>
          <w:tcPr>
            <w:tcW w:w="791" w:type="pct"/>
            <w:vMerge w:val="restar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$33.8m</w:t>
            </w:r>
          </w:p>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Apr-17 to Jun-24</w:t>
            </w:r>
          </w:p>
        </w:tc>
        <w:tc>
          <w:tcPr>
            <w:tcW w:w="471" w:type="pc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2018-19</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8"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8"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1" w:type="pct"/>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p>
        </w:tc>
        <w:tc>
          <w:tcPr>
            <w:tcW w:w="791" w:type="pct"/>
            <w:vMerge/>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p>
        </w:tc>
        <w:tc>
          <w:tcPr>
            <w:tcW w:w="471" w:type="pc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2017-18</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8"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7"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7" w:type="pct"/>
            <w:shd w:val="clear" w:color="auto" w:fill="auto"/>
            <w:noWrap/>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c>
          <w:tcPr>
            <w:tcW w:w="301" w:type="pct"/>
            <w:shd w:val="clear" w:color="auto" w:fill="auto"/>
            <w:vAlign w:val="center"/>
          </w:tcPr>
          <w:p w:rsidR="00516DFE" w:rsidRPr="00641030" w:rsidRDefault="00516DFE" w:rsidP="006804A5">
            <w:pPr>
              <w:spacing w:before="40" w:after="40"/>
              <w:jc w:val="center"/>
              <w:rPr>
                <w:rFonts w:asciiTheme="minorHAnsi" w:hAnsiTheme="minorHAnsi" w:cstheme="minorHAnsi"/>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val="restart"/>
            <w:tcBorders>
              <w:top w:val="single" w:sz="4" w:space="0" w:color="auto"/>
            </w:tcBorders>
          </w:tcPr>
          <w:p w:rsidR="00516DFE" w:rsidRPr="00384A20" w:rsidRDefault="00516DFE" w:rsidP="006804A5">
            <w:pPr>
              <w:keepLines/>
              <w:spacing w:before="40" w:after="40" w:line="200" w:lineRule="atLeast"/>
              <w:rPr>
                <w:rFonts w:asciiTheme="minorHAnsi" w:eastAsia="Times New Roman" w:hAnsiTheme="minorHAnsi"/>
                <w:iCs/>
                <w:szCs w:val="17"/>
                <w:lang w:eastAsia="en-US"/>
              </w:rPr>
            </w:pPr>
            <w:r w:rsidRPr="00384A20">
              <w:rPr>
                <w:rFonts w:asciiTheme="minorHAnsi" w:eastAsia="Times New Roman" w:hAnsiTheme="minorHAnsi"/>
                <w:iCs/>
                <w:szCs w:val="17"/>
                <w:lang w:eastAsia="en-US"/>
              </w:rPr>
              <w:t>INJ223 - Basic Education Sector Transformation (BEST) Program</w:t>
            </w:r>
          </w:p>
        </w:tc>
        <w:tc>
          <w:tcPr>
            <w:tcW w:w="791" w:type="pct"/>
            <w:vMerge w:val="restart"/>
            <w:tcBorders>
              <w:top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$116.8m</w:t>
            </w:r>
          </w:p>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Jul-10 to Oct-20</w:t>
            </w:r>
          </w:p>
        </w:tc>
        <w:tc>
          <w:tcPr>
            <w:tcW w:w="471" w:type="pct"/>
            <w:tcBorders>
              <w:top w:val="single" w:sz="4" w:space="0" w:color="auto"/>
            </w:tcBorders>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2018-19</w:t>
            </w:r>
          </w:p>
        </w:tc>
        <w:tc>
          <w:tcPr>
            <w:tcW w:w="308" w:type="pct"/>
            <w:tcBorders>
              <w:top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8" w:type="pct"/>
            <w:tcBorders>
              <w:top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8" w:type="pct"/>
            <w:tcBorders>
              <w:top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8" w:type="pct"/>
            <w:tcBorders>
              <w:top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tcBorders>
              <w:top w:val="single" w:sz="4" w:space="0" w:color="auto"/>
            </w:tcBorders>
            <w:shd w:val="clear" w:color="auto" w:fill="auto"/>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c>
          <w:tcPr>
            <w:tcW w:w="307" w:type="pct"/>
            <w:tcBorders>
              <w:top w:val="single" w:sz="4" w:space="0" w:color="auto"/>
            </w:tcBorders>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1" w:type="pct"/>
            <w:tcBorders>
              <w:top w:val="single" w:sz="4" w:space="0" w:color="auto"/>
            </w:tcBorders>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r w:rsidR="00516DFE" w:rsidRPr="00812509" w:rsidTr="006804A5">
        <w:trPr>
          <w:cnfStyle w:val="000000010000" w:firstRow="0" w:lastRow="0" w:firstColumn="0" w:lastColumn="0" w:oddVBand="0" w:evenVBand="0" w:oddHBand="0" w:evenHBand="1" w:firstRowFirstColumn="0" w:firstRowLastColumn="0" w:lastRowFirstColumn="0" w:lastRowLastColumn="0"/>
          <w:trHeight w:val="284"/>
        </w:trPr>
        <w:tc>
          <w:tcPr>
            <w:tcW w:w="1430" w:type="pct"/>
            <w:vMerge/>
          </w:tcPr>
          <w:p w:rsidR="00516DFE" w:rsidRPr="00812509" w:rsidRDefault="00516DFE" w:rsidP="006804A5">
            <w:pPr>
              <w:keepLines/>
              <w:spacing w:before="40" w:after="40" w:line="200" w:lineRule="atLeast"/>
              <w:rPr>
                <w:rFonts w:eastAsia="Times New Roman"/>
                <w:iCs/>
                <w:szCs w:val="17"/>
              </w:rPr>
            </w:pPr>
          </w:p>
        </w:tc>
        <w:tc>
          <w:tcPr>
            <w:tcW w:w="791" w:type="pct"/>
            <w:vMerge/>
          </w:tcPr>
          <w:p w:rsidR="00516DFE" w:rsidRPr="00970536" w:rsidRDefault="00516DFE" w:rsidP="006804A5">
            <w:pPr>
              <w:keepLines/>
              <w:spacing w:before="40" w:after="40" w:line="200" w:lineRule="atLeast"/>
              <w:rPr>
                <w:rFonts w:eastAsia="Times New Roman"/>
                <w:iCs/>
                <w:sz w:val="16"/>
                <w:szCs w:val="16"/>
              </w:rPr>
            </w:pPr>
          </w:p>
        </w:tc>
        <w:tc>
          <w:tcPr>
            <w:tcW w:w="471" w:type="pct"/>
            <w:vAlign w:val="center"/>
          </w:tcPr>
          <w:p w:rsidR="00516DFE" w:rsidRPr="00970536" w:rsidRDefault="00516DFE" w:rsidP="006804A5">
            <w:pPr>
              <w:keepLines/>
              <w:spacing w:before="40" w:after="40" w:line="200" w:lineRule="atLeast"/>
              <w:jc w:val="center"/>
              <w:rPr>
                <w:rFonts w:asciiTheme="minorHAnsi" w:eastAsia="Times New Roman" w:hAnsiTheme="minorHAnsi"/>
                <w:iCs/>
                <w:sz w:val="16"/>
                <w:szCs w:val="16"/>
                <w:lang w:eastAsia="en-US"/>
              </w:rPr>
            </w:pPr>
            <w:r w:rsidRPr="00970536">
              <w:rPr>
                <w:rFonts w:asciiTheme="minorHAnsi" w:eastAsia="Times New Roman" w:hAnsiTheme="minorHAnsi"/>
                <w:iCs/>
                <w:sz w:val="16"/>
                <w:szCs w:val="16"/>
                <w:lang w:eastAsia="en-US"/>
              </w:rPr>
              <w:t>2017-18</w:t>
            </w:r>
          </w:p>
        </w:tc>
        <w:tc>
          <w:tcPr>
            <w:tcW w:w="308" w:type="pct"/>
            <w:shd w:val="clear" w:color="auto" w:fill="92D05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5</w:t>
            </w:r>
          </w:p>
        </w:tc>
        <w:tc>
          <w:tcPr>
            <w:tcW w:w="308" w:type="pct"/>
            <w:shd w:val="clear" w:color="auto" w:fill="FFC0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3</w:t>
            </w:r>
          </w:p>
        </w:tc>
        <w:tc>
          <w:tcPr>
            <w:tcW w:w="308" w:type="pct"/>
            <w:shd w:val="clear" w:color="auto" w:fill="FFC0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3</w:t>
            </w:r>
          </w:p>
        </w:tc>
        <w:tc>
          <w:tcPr>
            <w:tcW w:w="308" w:type="pct"/>
            <w:shd w:val="clear" w:color="auto" w:fill="FFC00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3</w:t>
            </w:r>
          </w:p>
        </w:tc>
        <w:tc>
          <w:tcPr>
            <w:tcW w:w="307" w:type="pct"/>
            <w:shd w:val="clear" w:color="auto" w:fill="FFFF00"/>
            <w:noWrap/>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hAnsiTheme="minorHAnsi" w:cstheme="minorHAnsi"/>
                <w:sz w:val="16"/>
                <w:szCs w:val="16"/>
              </w:rPr>
              <w:t>4</w:t>
            </w:r>
          </w:p>
        </w:tc>
        <w:tc>
          <w:tcPr>
            <w:tcW w:w="307" w:type="pct"/>
            <w:shd w:val="clear" w:color="auto" w:fill="FFFF00"/>
            <w:noWrap/>
            <w:vAlign w:val="center"/>
          </w:tcPr>
          <w:p w:rsidR="00516DFE" w:rsidRPr="00641030" w:rsidRDefault="00516DFE" w:rsidP="006804A5">
            <w:pPr>
              <w:keepLines/>
              <w:spacing w:before="40" w:after="40" w:line="200" w:lineRule="atLeast"/>
              <w:jc w:val="center"/>
              <w:rPr>
                <w:rFonts w:asciiTheme="minorHAnsi" w:eastAsia="Times New Roman" w:hAnsiTheme="minorHAnsi" w:cstheme="minorHAnsi"/>
                <w:iCs/>
                <w:sz w:val="16"/>
                <w:szCs w:val="16"/>
              </w:rPr>
            </w:pPr>
            <w:r w:rsidRPr="00641030">
              <w:rPr>
                <w:rFonts w:asciiTheme="minorHAnsi" w:eastAsia="Times New Roman" w:hAnsiTheme="minorHAnsi" w:cstheme="minorHAnsi"/>
                <w:iCs/>
                <w:sz w:val="16"/>
                <w:szCs w:val="16"/>
              </w:rPr>
              <w:t>4</w:t>
            </w:r>
          </w:p>
        </w:tc>
        <w:tc>
          <w:tcPr>
            <w:tcW w:w="301" w:type="pct"/>
            <w:shd w:val="clear" w:color="auto" w:fill="auto"/>
            <w:vAlign w:val="center"/>
          </w:tcPr>
          <w:p w:rsidR="00516DFE" w:rsidRPr="00641030" w:rsidRDefault="00516DFE" w:rsidP="006804A5">
            <w:pPr>
              <w:spacing w:before="40" w:after="40"/>
              <w:jc w:val="center"/>
              <w:rPr>
                <w:rFonts w:asciiTheme="minorHAnsi" w:hAnsiTheme="minorHAnsi" w:cstheme="minorHAnsi"/>
                <w:sz w:val="16"/>
                <w:szCs w:val="16"/>
              </w:rPr>
            </w:pPr>
            <w:r w:rsidRPr="00641030">
              <w:rPr>
                <w:rFonts w:asciiTheme="minorHAnsi" w:eastAsia="Times New Roman" w:hAnsiTheme="minorHAnsi" w:cstheme="minorHAnsi"/>
                <w:iCs/>
                <w:sz w:val="16"/>
                <w:szCs w:val="16"/>
                <w:lang w:eastAsia="en-US"/>
              </w:rPr>
              <w:t>n/a</w:t>
            </w:r>
          </w:p>
        </w:tc>
      </w:tr>
    </w:tbl>
    <w:p w:rsidR="00C05D5C" w:rsidRPr="00A8197B" w:rsidRDefault="002A30F7" w:rsidP="00C05D5C">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inorHAnsi" w:eastAsiaTheme="majorEastAsia" w:hAnsiTheme="minorHAnsi" w:cstheme="minorHAnsi"/>
          <w:caps/>
          <w:color w:val="495965" w:themeColor="text2"/>
          <w:sz w:val="36"/>
          <w:szCs w:val="36"/>
          <w:lang w:val="en-GB" w:eastAsia="en-US"/>
        </w:rPr>
        <w:t xml:space="preserve">2 </w:t>
      </w:r>
      <w:r w:rsidR="00C05D5C" w:rsidRPr="00EF26B5">
        <w:rPr>
          <w:rFonts w:asciiTheme="minorHAnsi" w:eastAsiaTheme="majorEastAsia" w:hAnsiTheme="minorHAnsi" w:cstheme="minorHAnsi"/>
          <w:caps/>
          <w:color w:val="495965" w:themeColor="text2"/>
          <w:sz w:val="36"/>
          <w:szCs w:val="36"/>
          <w:lang w:val="en-GB" w:eastAsia="en-US"/>
        </w:rPr>
        <w:t>HAQC ratings</w:t>
      </w:r>
    </w:p>
    <w:tbl>
      <w:tblPr>
        <w:tblStyle w:val="APPR"/>
        <w:tblW w:w="4972" w:type="pct"/>
        <w:tblLook w:val="0000" w:firstRow="0" w:lastRow="0" w:firstColumn="0" w:lastColumn="0" w:noHBand="0" w:noVBand="0"/>
      </w:tblPr>
      <w:tblGrid>
        <w:gridCol w:w="2784"/>
        <w:gridCol w:w="1398"/>
        <w:gridCol w:w="772"/>
        <w:gridCol w:w="772"/>
        <w:gridCol w:w="772"/>
        <w:gridCol w:w="772"/>
        <w:gridCol w:w="772"/>
        <w:gridCol w:w="772"/>
        <w:gridCol w:w="770"/>
      </w:tblGrid>
      <w:tr w:rsidR="006804A5" w:rsidRPr="00812509" w:rsidTr="008A2345">
        <w:trPr>
          <w:cnfStyle w:val="000000010000" w:firstRow="0" w:lastRow="0" w:firstColumn="0" w:lastColumn="0" w:oddVBand="0" w:evenVBand="0" w:oddHBand="0" w:evenHBand="1" w:firstRowFirstColumn="0" w:firstRowLastColumn="0" w:lastRowFirstColumn="0" w:lastRowLastColumn="0"/>
          <w:trHeight w:val="1420"/>
        </w:trPr>
        <w:tc>
          <w:tcPr>
            <w:tcW w:w="1431" w:type="pct"/>
            <w:vAlign w:val="center"/>
          </w:tcPr>
          <w:p w:rsidR="006804A5" w:rsidRPr="00812509" w:rsidRDefault="006804A5" w:rsidP="00444CF3">
            <w:pPr>
              <w:keepLines/>
              <w:spacing w:before="40" w:after="4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92032" behindDoc="0" locked="0" layoutInCell="1" allowOverlap="1" wp14:anchorId="6C110E12" wp14:editId="6555BFE6">
                  <wp:simplePos x="0" y="0"/>
                  <wp:positionH relativeFrom="column">
                    <wp:posOffset>0</wp:posOffset>
                  </wp:positionH>
                  <wp:positionV relativeFrom="paragraph">
                    <wp:posOffset>0</wp:posOffset>
                  </wp:positionV>
                  <wp:extent cx="1857375" cy="228600"/>
                  <wp:effectExtent l="0" t="0" r="9525" b="0"/>
                  <wp:wrapNone/>
                  <wp:docPr id="49" name="Picture 4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715" w:type="pct"/>
            <w:textDirection w:val="btLr"/>
            <w:vAlign w:val="center"/>
          </w:tcPr>
          <w:p w:rsidR="006804A5" w:rsidRPr="00812509" w:rsidRDefault="006804A5" w:rsidP="00444CF3">
            <w:pPr>
              <w:keepLines/>
              <w:spacing w:before="40" w:after="4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88" w:type="pct"/>
            <w:noWrap/>
            <w:textDirection w:val="btLr"/>
            <w:vAlign w:val="center"/>
          </w:tcPr>
          <w:p w:rsidR="006804A5" w:rsidRPr="00812509" w:rsidRDefault="006804A5" w:rsidP="00444CF3">
            <w:pPr>
              <w:keepLines/>
              <w:spacing w:before="40" w:after="4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88" w:type="pct"/>
            <w:noWrap/>
            <w:textDirection w:val="btLr"/>
            <w:vAlign w:val="center"/>
          </w:tcPr>
          <w:p w:rsidR="006804A5" w:rsidRPr="00812509" w:rsidRDefault="006804A5" w:rsidP="00444CF3">
            <w:pPr>
              <w:keepLines/>
              <w:spacing w:before="40" w:after="4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88" w:type="pct"/>
            <w:noWrap/>
            <w:textDirection w:val="btLr"/>
            <w:vAlign w:val="center"/>
          </w:tcPr>
          <w:p w:rsidR="006804A5" w:rsidRPr="00812509" w:rsidRDefault="006804A5" w:rsidP="00444CF3">
            <w:pPr>
              <w:keepLines/>
              <w:spacing w:before="40" w:after="4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88" w:type="pct"/>
            <w:noWrap/>
            <w:textDirection w:val="btLr"/>
            <w:vAlign w:val="center"/>
          </w:tcPr>
          <w:p w:rsidR="006804A5" w:rsidRPr="00812509" w:rsidRDefault="006804A5" w:rsidP="00444CF3">
            <w:pPr>
              <w:keepLines/>
              <w:spacing w:before="40" w:after="4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88" w:type="pct"/>
            <w:noWrap/>
            <w:textDirection w:val="btLr"/>
            <w:vAlign w:val="center"/>
          </w:tcPr>
          <w:p w:rsidR="006804A5" w:rsidRPr="00812509" w:rsidRDefault="006804A5" w:rsidP="00444CF3">
            <w:pPr>
              <w:keepLines/>
              <w:spacing w:before="40" w:after="4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Connectedness</w:t>
            </w:r>
          </w:p>
        </w:tc>
        <w:tc>
          <w:tcPr>
            <w:tcW w:w="388" w:type="pct"/>
            <w:textDirection w:val="btLr"/>
            <w:vAlign w:val="center"/>
          </w:tcPr>
          <w:p w:rsidR="006804A5" w:rsidRPr="00812509" w:rsidRDefault="006804A5" w:rsidP="00444CF3">
            <w:pPr>
              <w:keepLines/>
              <w:spacing w:before="40" w:after="4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80" w:type="pct"/>
            <w:textDirection w:val="btLr"/>
            <w:vAlign w:val="center"/>
          </w:tcPr>
          <w:p w:rsidR="006804A5" w:rsidRPr="00812509" w:rsidRDefault="006804A5" w:rsidP="00444CF3">
            <w:pPr>
              <w:keepLines/>
              <w:spacing w:before="40" w:after="4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Protection</w:t>
            </w:r>
          </w:p>
        </w:tc>
      </w:tr>
      <w:tr w:rsidR="006804A5" w:rsidRPr="00812509" w:rsidTr="008A2345">
        <w:trPr>
          <w:cnfStyle w:val="000000010000" w:firstRow="0" w:lastRow="0" w:firstColumn="0" w:lastColumn="0" w:oddVBand="0" w:evenVBand="0" w:oddHBand="0" w:evenHBand="1" w:firstRowFirstColumn="0" w:firstRowLastColumn="0" w:lastRowFirstColumn="0" w:lastRowLastColumn="0"/>
          <w:trHeight w:val="268"/>
        </w:trPr>
        <w:tc>
          <w:tcPr>
            <w:tcW w:w="1431" w:type="pct"/>
          </w:tcPr>
          <w:p w:rsidR="006804A5" w:rsidRPr="00812509" w:rsidRDefault="006804A5" w:rsidP="00444CF3">
            <w:pPr>
              <w:keepLines/>
              <w:spacing w:before="40" w:after="40" w:line="200" w:lineRule="atLeast"/>
              <w:rPr>
                <w:rFonts w:asciiTheme="minorHAnsi" w:eastAsia="Times New Roman" w:hAnsiTheme="minorHAnsi"/>
                <w:iCs/>
                <w:szCs w:val="17"/>
                <w:lang w:eastAsia="en-US"/>
              </w:rPr>
            </w:pPr>
            <w:r w:rsidRPr="006804A5">
              <w:rPr>
                <w:rFonts w:asciiTheme="minorHAnsi" w:eastAsia="Times New Roman" w:hAnsiTheme="minorHAnsi"/>
                <w:iCs/>
                <w:szCs w:val="17"/>
                <w:lang w:eastAsia="en-US"/>
              </w:rPr>
              <w:t>INM381 - Response &amp; Recovery Assistance to the Philippines (RRAP)</w:t>
            </w:r>
          </w:p>
        </w:tc>
        <w:tc>
          <w:tcPr>
            <w:tcW w:w="715" w:type="pct"/>
            <w:vAlign w:val="center"/>
          </w:tcPr>
          <w:p w:rsidR="006804A5" w:rsidRPr="006804A5" w:rsidRDefault="006804A5" w:rsidP="00444CF3">
            <w:pPr>
              <w:autoSpaceDE w:val="0"/>
              <w:autoSpaceDN w:val="0"/>
              <w:adjustRightInd w:val="0"/>
              <w:spacing w:before="40" w:after="40"/>
              <w:jc w:val="center"/>
              <w:rPr>
                <w:rFonts w:asciiTheme="minorHAnsi" w:eastAsia="Times New Roman" w:hAnsiTheme="minorHAnsi"/>
                <w:iCs/>
                <w:szCs w:val="17"/>
                <w:lang w:eastAsia="en-US"/>
              </w:rPr>
            </w:pPr>
            <w:r w:rsidRPr="006804A5">
              <w:rPr>
                <w:rFonts w:asciiTheme="minorHAnsi" w:eastAsia="Times New Roman" w:hAnsiTheme="minorHAnsi"/>
                <w:iCs/>
                <w:szCs w:val="17"/>
                <w:lang w:eastAsia="en-US"/>
              </w:rPr>
              <w:t>$ 18.4m</w:t>
            </w:r>
          </w:p>
          <w:p w:rsidR="006804A5" w:rsidRPr="00812509" w:rsidRDefault="006804A5" w:rsidP="00444CF3">
            <w:pPr>
              <w:keepLines/>
              <w:spacing w:before="40" w:after="40" w:line="200" w:lineRule="atLeast"/>
              <w:jc w:val="center"/>
              <w:rPr>
                <w:rFonts w:asciiTheme="minorHAnsi" w:eastAsia="Times New Roman" w:hAnsiTheme="minorHAnsi"/>
                <w:iCs/>
                <w:szCs w:val="17"/>
                <w:lang w:eastAsia="en-US"/>
              </w:rPr>
            </w:pPr>
            <w:r w:rsidRPr="006804A5">
              <w:rPr>
                <w:rFonts w:asciiTheme="minorHAnsi" w:eastAsia="Times New Roman" w:hAnsiTheme="minorHAnsi"/>
                <w:iCs/>
                <w:szCs w:val="17"/>
                <w:lang w:eastAsia="en-US"/>
              </w:rPr>
              <w:t>Sep-17 to Jun-21</w:t>
            </w:r>
          </w:p>
        </w:tc>
        <w:tc>
          <w:tcPr>
            <w:tcW w:w="388" w:type="pct"/>
            <w:shd w:val="clear" w:color="auto" w:fill="92D050"/>
            <w:noWrap/>
            <w:vAlign w:val="center"/>
          </w:tcPr>
          <w:p w:rsidR="006804A5" w:rsidRPr="00812509" w:rsidRDefault="006804A5"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8" w:type="pct"/>
            <w:shd w:val="clear" w:color="auto" w:fill="FFFF00"/>
            <w:noWrap/>
            <w:vAlign w:val="center"/>
          </w:tcPr>
          <w:p w:rsidR="006804A5" w:rsidRPr="00812509" w:rsidRDefault="006804A5"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8" w:type="pct"/>
            <w:shd w:val="clear" w:color="auto" w:fill="FFFF00"/>
            <w:noWrap/>
            <w:vAlign w:val="center"/>
          </w:tcPr>
          <w:p w:rsidR="006804A5" w:rsidRPr="00812509" w:rsidRDefault="006804A5"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8" w:type="pct"/>
            <w:shd w:val="clear" w:color="auto" w:fill="FFFF00"/>
            <w:noWrap/>
            <w:vAlign w:val="center"/>
          </w:tcPr>
          <w:p w:rsidR="006804A5" w:rsidRPr="00812509" w:rsidRDefault="006804A5"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8" w:type="pct"/>
            <w:shd w:val="clear" w:color="auto" w:fill="92D050"/>
            <w:noWrap/>
            <w:vAlign w:val="center"/>
          </w:tcPr>
          <w:p w:rsidR="006804A5" w:rsidRPr="00812509" w:rsidRDefault="006804A5"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8" w:type="pct"/>
            <w:shd w:val="clear" w:color="auto" w:fill="FFFF00"/>
            <w:vAlign w:val="center"/>
          </w:tcPr>
          <w:p w:rsidR="006804A5" w:rsidRPr="00812509" w:rsidRDefault="006804A5"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shd w:val="clear" w:color="auto" w:fill="92D050"/>
            <w:vAlign w:val="center"/>
          </w:tcPr>
          <w:p w:rsidR="006804A5" w:rsidRPr="00812509" w:rsidRDefault="006804A5"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bl>
    <w:p w:rsidR="008A2345" w:rsidRDefault="008A2345" w:rsidP="00C05D5C">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p>
    <w:p w:rsidR="00C05D5C" w:rsidRPr="00A8197B" w:rsidRDefault="002A30F7" w:rsidP="00C05D5C">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inorHAnsi" w:eastAsiaTheme="majorEastAsia" w:hAnsiTheme="minorHAnsi" w:cstheme="minorHAnsi"/>
          <w:caps/>
          <w:color w:val="495965" w:themeColor="text2"/>
          <w:sz w:val="36"/>
          <w:szCs w:val="36"/>
          <w:lang w:val="en-GB" w:eastAsia="en-US"/>
        </w:rPr>
        <w:t xml:space="preserve">3 </w:t>
      </w:r>
      <w:r w:rsidR="00C05D5C" w:rsidRPr="00EF26B5">
        <w:rPr>
          <w:rFonts w:asciiTheme="minorHAnsi" w:eastAsiaTheme="majorEastAsia" w:hAnsiTheme="minorHAnsi" w:cstheme="minorHAnsi"/>
          <w:caps/>
          <w:color w:val="495965" w:themeColor="text2"/>
          <w:sz w:val="36"/>
          <w:szCs w:val="36"/>
          <w:lang w:val="en-GB" w:eastAsia="en-US"/>
        </w:rPr>
        <w:t>FAQC ratings</w:t>
      </w:r>
      <w:r w:rsidR="00C05D5C" w:rsidRPr="00A8197B">
        <w:rPr>
          <w:rFonts w:asciiTheme="majorHAnsi" w:eastAsiaTheme="majorEastAsia" w:hAnsiTheme="majorHAnsi" w:cstheme="majorBidi"/>
          <w:caps/>
          <w:color w:val="495965" w:themeColor="text2"/>
          <w:sz w:val="38"/>
          <w:szCs w:val="26"/>
          <w:lang w:val="en-GB" w:eastAsia="en-US"/>
        </w:rPr>
        <w:t xml:space="preserve"> </w:t>
      </w:r>
    </w:p>
    <w:tbl>
      <w:tblPr>
        <w:tblStyle w:val="APPR"/>
        <w:tblW w:w="4905" w:type="pct"/>
        <w:tblLook w:val="0000" w:firstRow="0" w:lastRow="0" w:firstColumn="0" w:lastColumn="0" w:noHBand="0" w:noVBand="0"/>
      </w:tblPr>
      <w:tblGrid>
        <w:gridCol w:w="2691"/>
        <w:gridCol w:w="1403"/>
        <w:gridCol w:w="765"/>
        <w:gridCol w:w="765"/>
        <w:gridCol w:w="766"/>
        <w:gridCol w:w="766"/>
        <w:gridCol w:w="766"/>
        <w:gridCol w:w="766"/>
        <w:gridCol w:w="767"/>
      </w:tblGrid>
      <w:tr w:rsidR="00444CF3" w:rsidRPr="00812509" w:rsidTr="008A2345">
        <w:trPr>
          <w:cnfStyle w:val="000000010000" w:firstRow="0" w:lastRow="0" w:firstColumn="0" w:lastColumn="0" w:oddVBand="0" w:evenVBand="0" w:oddHBand="0" w:evenHBand="1" w:firstRowFirstColumn="0" w:firstRowLastColumn="0" w:lastRowFirstColumn="0" w:lastRowLastColumn="0"/>
          <w:trHeight w:val="1308"/>
        </w:trPr>
        <w:tc>
          <w:tcPr>
            <w:tcW w:w="1401" w:type="pct"/>
          </w:tcPr>
          <w:p w:rsidR="00444CF3" w:rsidRPr="00812509" w:rsidRDefault="00444CF3" w:rsidP="006804A5">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94080" behindDoc="0" locked="0" layoutInCell="1" allowOverlap="1" wp14:anchorId="25AFC208" wp14:editId="62B380D3">
                  <wp:simplePos x="0" y="0"/>
                  <wp:positionH relativeFrom="column">
                    <wp:posOffset>0</wp:posOffset>
                  </wp:positionH>
                  <wp:positionV relativeFrom="paragraph">
                    <wp:posOffset>0</wp:posOffset>
                  </wp:positionV>
                  <wp:extent cx="1857375" cy="228600"/>
                  <wp:effectExtent l="0" t="0" r="9525" b="0"/>
                  <wp:wrapNone/>
                  <wp:docPr id="50" name="Picture 5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728" w:type="pct"/>
            <w:textDirection w:val="btLr"/>
            <w:vAlign w:val="center"/>
          </w:tcPr>
          <w:p w:rsidR="00444CF3" w:rsidRPr="00812509" w:rsidRDefault="00444CF3" w:rsidP="00444CF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90" w:type="pct"/>
            <w:noWrap/>
            <w:textDirection w:val="btLr"/>
            <w:vAlign w:val="center"/>
          </w:tcPr>
          <w:p w:rsidR="00444CF3" w:rsidRPr="00812509" w:rsidRDefault="00444CF3" w:rsidP="00444CF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90" w:type="pct"/>
            <w:noWrap/>
            <w:textDirection w:val="btLr"/>
            <w:vAlign w:val="center"/>
          </w:tcPr>
          <w:p w:rsidR="00444CF3" w:rsidRPr="00812509" w:rsidRDefault="00444CF3" w:rsidP="00444CF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90" w:type="pct"/>
            <w:noWrap/>
            <w:textDirection w:val="btLr"/>
            <w:vAlign w:val="center"/>
          </w:tcPr>
          <w:p w:rsidR="00444CF3" w:rsidRPr="00812509" w:rsidRDefault="00444CF3" w:rsidP="00444CF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90" w:type="pct"/>
            <w:noWrap/>
            <w:textDirection w:val="btLr"/>
            <w:vAlign w:val="center"/>
          </w:tcPr>
          <w:p w:rsidR="00444CF3" w:rsidRPr="00812509" w:rsidRDefault="00444CF3" w:rsidP="00444CF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90" w:type="pct"/>
            <w:noWrap/>
            <w:textDirection w:val="btLr"/>
            <w:vAlign w:val="center"/>
          </w:tcPr>
          <w:p w:rsidR="00444CF3" w:rsidRPr="00812509" w:rsidRDefault="00444CF3" w:rsidP="00444CF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90" w:type="pct"/>
            <w:noWrap/>
            <w:textDirection w:val="btLr"/>
            <w:vAlign w:val="center"/>
          </w:tcPr>
          <w:p w:rsidR="00444CF3" w:rsidRPr="00812509" w:rsidRDefault="00444CF3" w:rsidP="00444CF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83" w:type="pct"/>
            <w:textDirection w:val="btLr"/>
            <w:vAlign w:val="center"/>
          </w:tcPr>
          <w:p w:rsidR="00444CF3" w:rsidRPr="00812509" w:rsidRDefault="00444CF3" w:rsidP="00444CF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r>
      <w:tr w:rsidR="00444CF3" w:rsidRPr="00812509" w:rsidTr="008A2345">
        <w:trPr>
          <w:cnfStyle w:val="000000010000" w:firstRow="0" w:lastRow="0" w:firstColumn="0" w:lastColumn="0" w:oddVBand="0" w:evenVBand="0" w:oddHBand="0" w:evenHBand="1" w:firstRowFirstColumn="0" w:firstRowLastColumn="0" w:lastRowFirstColumn="0" w:lastRowLastColumn="0"/>
          <w:trHeight w:val="246"/>
        </w:trPr>
        <w:tc>
          <w:tcPr>
            <w:tcW w:w="1401" w:type="pct"/>
          </w:tcPr>
          <w:p w:rsidR="00444CF3" w:rsidRPr="00812509" w:rsidRDefault="00444CF3" w:rsidP="00444CF3">
            <w:pPr>
              <w:keepLines/>
              <w:spacing w:before="40" w:after="40" w:line="200" w:lineRule="atLeast"/>
              <w:rPr>
                <w:rFonts w:asciiTheme="minorHAnsi" w:eastAsia="Times New Roman" w:hAnsiTheme="minorHAnsi"/>
                <w:iCs/>
                <w:szCs w:val="17"/>
                <w:lang w:eastAsia="en-US"/>
              </w:rPr>
            </w:pPr>
            <w:r w:rsidRPr="00444CF3">
              <w:rPr>
                <w:rFonts w:asciiTheme="minorHAnsi" w:eastAsia="Times New Roman" w:hAnsiTheme="minorHAnsi"/>
                <w:iCs/>
                <w:szCs w:val="17"/>
                <w:lang w:eastAsia="en-US"/>
              </w:rPr>
              <w:t>INI632 - Australia-WB Philippines Development Trust Fund (UTF)</w:t>
            </w:r>
          </w:p>
        </w:tc>
        <w:tc>
          <w:tcPr>
            <w:tcW w:w="728" w:type="pct"/>
            <w:vAlign w:val="center"/>
          </w:tcPr>
          <w:p w:rsidR="00444CF3" w:rsidRPr="00444CF3" w:rsidRDefault="00444CF3" w:rsidP="00444CF3">
            <w:pPr>
              <w:autoSpaceDE w:val="0"/>
              <w:autoSpaceDN w:val="0"/>
              <w:adjustRightInd w:val="0"/>
              <w:spacing w:before="40" w:after="40"/>
              <w:jc w:val="center"/>
              <w:rPr>
                <w:rFonts w:asciiTheme="minorHAnsi" w:eastAsia="Times New Roman" w:hAnsiTheme="minorHAnsi"/>
                <w:iCs/>
                <w:szCs w:val="17"/>
                <w:lang w:eastAsia="en-US"/>
              </w:rPr>
            </w:pPr>
            <w:r w:rsidRPr="00444CF3">
              <w:rPr>
                <w:rFonts w:asciiTheme="minorHAnsi" w:eastAsia="Times New Roman" w:hAnsiTheme="minorHAnsi"/>
                <w:iCs/>
                <w:szCs w:val="17"/>
                <w:lang w:eastAsia="en-US"/>
              </w:rPr>
              <w:t>$47.09m</w:t>
            </w:r>
          </w:p>
          <w:p w:rsidR="00444CF3" w:rsidRPr="00812509" w:rsidRDefault="00444CF3" w:rsidP="00444CF3">
            <w:pPr>
              <w:keepLines/>
              <w:spacing w:before="40" w:after="40" w:line="200" w:lineRule="atLeast"/>
              <w:jc w:val="center"/>
              <w:rPr>
                <w:rFonts w:asciiTheme="minorHAnsi" w:eastAsia="Times New Roman" w:hAnsiTheme="minorHAnsi"/>
                <w:iCs/>
                <w:szCs w:val="17"/>
                <w:lang w:eastAsia="en-US"/>
              </w:rPr>
            </w:pPr>
            <w:r w:rsidRPr="00444CF3">
              <w:rPr>
                <w:rFonts w:asciiTheme="minorHAnsi" w:eastAsia="Times New Roman" w:hAnsiTheme="minorHAnsi"/>
                <w:iCs/>
                <w:szCs w:val="17"/>
                <w:lang w:eastAsia="en-US"/>
              </w:rPr>
              <w:t>Jun-09 to Dec-19</w:t>
            </w:r>
          </w:p>
        </w:tc>
        <w:tc>
          <w:tcPr>
            <w:tcW w:w="390" w:type="pct"/>
            <w:shd w:val="clear" w:color="auto" w:fill="FFFF00"/>
            <w:noWrap/>
            <w:vAlign w:val="center"/>
          </w:tcPr>
          <w:p w:rsidR="00444CF3" w:rsidRPr="00812509" w:rsidRDefault="00444CF3"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0" w:type="pct"/>
            <w:shd w:val="clear" w:color="auto" w:fill="92D050"/>
            <w:noWrap/>
            <w:vAlign w:val="center"/>
          </w:tcPr>
          <w:p w:rsidR="00444CF3" w:rsidRPr="00812509" w:rsidRDefault="00444CF3"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90" w:type="pct"/>
            <w:shd w:val="clear" w:color="auto" w:fill="FFFF00"/>
            <w:noWrap/>
            <w:vAlign w:val="center"/>
          </w:tcPr>
          <w:p w:rsidR="00444CF3" w:rsidRPr="00812509" w:rsidRDefault="00444CF3"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0" w:type="pct"/>
            <w:shd w:val="clear" w:color="auto" w:fill="FFFF00"/>
            <w:noWrap/>
            <w:vAlign w:val="center"/>
          </w:tcPr>
          <w:p w:rsidR="00444CF3" w:rsidRPr="00812509" w:rsidRDefault="00444CF3"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0" w:type="pct"/>
            <w:shd w:val="clear" w:color="auto" w:fill="FFFF00"/>
            <w:noWrap/>
            <w:vAlign w:val="center"/>
          </w:tcPr>
          <w:p w:rsidR="00444CF3" w:rsidRPr="00812509" w:rsidRDefault="00444CF3"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0" w:type="pct"/>
            <w:shd w:val="clear" w:color="auto" w:fill="92D050"/>
            <w:noWrap/>
            <w:vAlign w:val="center"/>
          </w:tcPr>
          <w:p w:rsidR="00444CF3" w:rsidRPr="00812509" w:rsidRDefault="00444CF3"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3" w:type="pct"/>
            <w:shd w:val="clear" w:color="auto" w:fill="FFC000"/>
            <w:vAlign w:val="center"/>
          </w:tcPr>
          <w:p w:rsidR="00444CF3" w:rsidRPr="00812509" w:rsidRDefault="00444CF3" w:rsidP="00444CF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bl>
    <w:p w:rsidR="00C05D5C" w:rsidRPr="00812509" w:rsidRDefault="00C05D5C" w:rsidP="00C05D5C">
      <w:pPr>
        <w:spacing w:before="20" w:after="20" w:line="180" w:lineRule="atLeast"/>
        <w:jc w:val="both"/>
        <w:rPr>
          <w:rFonts w:eastAsia="Times New Roman"/>
          <w:b/>
          <w:sz w:val="14"/>
          <w:szCs w:val="14"/>
        </w:rPr>
      </w:pPr>
    </w:p>
    <w:p w:rsidR="00C05D5C" w:rsidRPr="00812509" w:rsidRDefault="00C05D5C" w:rsidP="00C05D5C">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C05D5C" w:rsidRPr="00812509" w:rsidRDefault="00C05D5C" w:rsidP="00C05D5C">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C05D5C" w:rsidRPr="00812509" w:rsidRDefault="00C05D5C" w:rsidP="00C05D5C">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w:t>
      </w:r>
      <w:r w:rsidR="001B2AAD">
        <w:rPr>
          <w:rFonts w:eastAsia="Times New Roman"/>
          <w:b/>
          <w:sz w:val="16"/>
          <w:szCs w:val="14"/>
        </w:rPr>
        <w:t xml:space="preserve">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C05D5C" w:rsidRPr="00812509" w:rsidRDefault="00C05D5C" w:rsidP="00C05D5C">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C05D5C" w:rsidRPr="00812509" w:rsidRDefault="00C05D5C" w:rsidP="00C05D5C">
      <w:pPr>
        <w:spacing w:before="20" w:after="20" w:line="180" w:lineRule="atLeast"/>
        <w:rPr>
          <w:rFonts w:eastAsia="Times New Roman"/>
          <w:b/>
          <w:sz w:val="16"/>
          <w:szCs w:val="14"/>
        </w:rPr>
      </w:pPr>
      <w:r w:rsidRPr="00812509">
        <w:rPr>
          <w:rFonts w:eastAsia="Times New Roman"/>
          <w:b/>
          <w:sz w:val="16"/>
          <w:szCs w:val="14"/>
        </w:rPr>
        <w:t>Less than satisfactory (1, 2 and 3)</w:t>
      </w:r>
    </w:p>
    <w:p w:rsidR="00C05D5C" w:rsidRPr="00812509" w:rsidRDefault="00C05D5C" w:rsidP="00C05D5C">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C05D5C" w:rsidRPr="00812509" w:rsidRDefault="00C05D5C" w:rsidP="00C05D5C">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w:t>
      </w:r>
      <w:r w:rsidR="001B2AAD">
        <w:rPr>
          <w:rFonts w:eastAsia="Times New Roman"/>
          <w:b/>
          <w:sz w:val="16"/>
          <w:szCs w:val="14"/>
        </w:rPr>
        <w:t xml:space="preserve">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1502C9" w:rsidRDefault="001502C9" w:rsidP="001502C9"/>
    <w:p w:rsidR="00C05D5C" w:rsidRPr="001502C9" w:rsidRDefault="00943CF4" w:rsidP="001502C9">
      <w:pPr>
        <w:rPr>
          <w:rFonts w:asciiTheme="majorHAnsi" w:hAnsiTheme="majorHAnsi" w:cstheme="majorHAnsi"/>
          <w:sz w:val="38"/>
          <w:szCs w:val="38"/>
        </w:rPr>
      </w:pPr>
      <w:r w:rsidRPr="004B6ADB">
        <w:rPr>
          <w:rFonts w:asciiTheme="majorHAnsi" w:hAnsiTheme="majorHAnsi" w:cstheme="majorHAnsi"/>
          <w:caps/>
          <w:sz w:val="38"/>
          <w:szCs w:val="38"/>
        </w:rPr>
        <w:t>Annex</w:t>
      </w:r>
      <w:r w:rsidRPr="001502C9">
        <w:rPr>
          <w:rFonts w:asciiTheme="majorHAnsi" w:hAnsiTheme="majorHAnsi" w:cstheme="majorHAnsi"/>
          <w:sz w:val="38"/>
          <w:szCs w:val="38"/>
        </w:rPr>
        <w:t xml:space="preserve"> E -</w:t>
      </w:r>
      <w:r w:rsidR="00C05D5C" w:rsidRPr="001502C9">
        <w:rPr>
          <w:rFonts w:asciiTheme="majorHAnsi" w:hAnsiTheme="majorHAnsi" w:cstheme="majorHAnsi"/>
          <w:sz w:val="38"/>
          <w:szCs w:val="38"/>
        </w:rPr>
        <w:t xml:space="preserve"> </w:t>
      </w:r>
      <w:r w:rsidR="001A17D9" w:rsidRPr="00C377CA">
        <w:rPr>
          <w:rFonts w:asciiTheme="majorHAnsi" w:hAnsiTheme="majorHAnsi" w:cstheme="majorHAnsi"/>
          <w:caps/>
          <w:sz w:val="38"/>
          <w:szCs w:val="38"/>
        </w:rPr>
        <w:t xml:space="preserve">Interim </w:t>
      </w:r>
      <w:r w:rsidR="00C05D5C" w:rsidRPr="00C377CA">
        <w:rPr>
          <w:rFonts w:asciiTheme="majorHAnsi" w:hAnsiTheme="majorHAnsi" w:cstheme="majorHAnsi"/>
          <w:caps/>
          <w:sz w:val="38"/>
          <w:szCs w:val="38"/>
        </w:rPr>
        <w:t>Performance Assessment Framework</w:t>
      </w:r>
      <w:r w:rsidR="001A17D9" w:rsidRPr="00C377CA">
        <w:rPr>
          <w:rFonts w:asciiTheme="majorHAnsi" w:hAnsiTheme="majorHAnsi" w:cstheme="majorHAnsi"/>
          <w:caps/>
          <w:sz w:val="38"/>
          <w:szCs w:val="38"/>
        </w:rPr>
        <w:t xml:space="preserve"> for</w:t>
      </w:r>
      <w:r w:rsidR="001A17D9">
        <w:rPr>
          <w:rFonts w:asciiTheme="majorHAnsi" w:hAnsiTheme="majorHAnsi" w:cstheme="majorHAnsi"/>
          <w:sz w:val="38"/>
          <w:szCs w:val="38"/>
        </w:rPr>
        <w:t xml:space="preserve"> 2018-19</w:t>
      </w:r>
    </w:p>
    <w:p w:rsidR="002A30F7" w:rsidRPr="002A30F7" w:rsidRDefault="002A30F7" w:rsidP="001502C9">
      <w:pPr>
        <w:rPr>
          <w:i/>
          <w:sz w:val="18"/>
        </w:rPr>
      </w:pPr>
    </w:p>
    <w:tbl>
      <w:tblPr>
        <w:tblW w:w="9639" w:type="dxa"/>
        <w:tblLook w:val="04A0" w:firstRow="1" w:lastRow="0" w:firstColumn="1" w:lastColumn="0" w:noHBand="0" w:noVBand="1"/>
      </w:tblPr>
      <w:tblGrid>
        <w:gridCol w:w="2441"/>
        <w:gridCol w:w="29"/>
        <w:gridCol w:w="2903"/>
        <w:gridCol w:w="14"/>
        <w:gridCol w:w="2657"/>
        <w:gridCol w:w="18"/>
        <w:gridCol w:w="1577"/>
      </w:tblGrid>
      <w:tr w:rsidR="008A2345" w:rsidRPr="002A30F7" w:rsidTr="00A107DB">
        <w:trPr>
          <w:trHeight w:val="17"/>
          <w:tblHeader/>
        </w:trPr>
        <w:tc>
          <w:tcPr>
            <w:tcW w:w="2470" w:type="dxa"/>
            <w:gridSpan w:val="2"/>
            <w:shd w:val="clear" w:color="auto" w:fill="auto"/>
            <w:noWrap/>
            <w:hideMark/>
          </w:tcPr>
          <w:p w:rsidR="008A2345" w:rsidRPr="002A30F7" w:rsidRDefault="008A2345" w:rsidP="00A107DB">
            <w:pPr>
              <w:jc w:val="center"/>
              <w:rPr>
                <w:rFonts w:eastAsia="Times New Roman" w:cstheme="minorHAnsi"/>
                <w:b/>
                <w:bCs/>
                <w:sz w:val="18"/>
                <w:szCs w:val="18"/>
                <w:lang w:eastAsia="en-AU"/>
              </w:rPr>
            </w:pPr>
            <w:r w:rsidRPr="002A30F7">
              <w:rPr>
                <w:rFonts w:eastAsia="Times New Roman" w:cstheme="minorHAnsi"/>
                <w:b/>
                <w:bCs/>
                <w:sz w:val="18"/>
                <w:szCs w:val="18"/>
                <w:lang w:eastAsia="en-AU"/>
              </w:rPr>
              <w:t>Objectives and Sub-Objectives</w:t>
            </w:r>
          </w:p>
        </w:tc>
        <w:tc>
          <w:tcPr>
            <w:tcW w:w="2905" w:type="dxa"/>
            <w:shd w:val="clear" w:color="auto" w:fill="auto"/>
          </w:tcPr>
          <w:p w:rsidR="008A2345" w:rsidRPr="002A30F7" w:rsidRDefault="008A2345" w:rsidP="00A107DB">
            <w:pPr>
              <w:jc w:val="center"/>
              <w:rPr>
                <w:rFonts w:eastAsia="Times New Roman" w:cstheme="minorHAnsi"/>
                <w:b/>
                <w:bCs/>
                <w:sz w:val="18"/>
                <w:szCs w:val="18"/>
                <w:lang w:eastAsia="en-AU"/>
              </w:rPr>
            </w:pPr>
            <w:r w:rsidRPr="002A30F7">
              <w:rPr>
                <w:rFonts w:eastAsia="Times New Roman" w:cstheme="minorHAnsi"/>
                <w:b/>
                <w:bCs/>
                <w:sz w:val="18"/>
                <w:szCs w:val="18"/>
                <w:lang w:eastAsia="en-AU"/>
              </w:rPr>
              <w:t>Intermediate Outcomes</w:t>
            </w:r>
          </w:p>
        </w:tc>
        <w:tc>
          <w:tcPr>
            <w:tcW w:w="2689" w:type="dxa"/>
            <w:gridSpan w:val="3"/>
            <w:shd w:val="clear" w:color="auto" w:fill="auto"/>
            <w:noWrap/>
            <w:hideMark/>
          </w:tcPr>
          <w:p w:rsidR="008A2345" w:rsidRPr="002A30F7" w:rsidRDefault="008A2345" w:rsidP="00A107DB">
            <w:pPr>
              <w:jc w:val="center"/>
              <w:rPr>
                <w:rFonts w:eastAsia="Times New Roman" w:cstheme="minorHAnsi"/>
                <w:b/>
                <w:bCs/>
                <w:sz w:val="18"/>
                <w:szCs w:val="18"/>
                <w:lang w:eastAsia="en-AU"/>
              </w:rPr>
            </w:pPr>
            <w:r w:rsidRPr="002A30F7">
              <w:rPr>
                <w:rFonts w:eastAsia="Times New Roman" w:cstheme="minorHAnsi"/>
                <w:b/>
                <w:bCs/>
                <w:sz w:val="18"/>
                <w:szCs w:val="18"/>
                <w:lang w:eastAsia="en-AU"/>
              </w:rPr>
              <w:t>FY201</w:t>
            </w:r>
            <w:r w:rsidR="00843274">
              <w:rPr>
                <w:rFonts w:eastAsia="Times New Roman" w:cstheme="minorHAnsi"/>
                <w:b/>
                <w:bCs/>
                <w:sz w:val="18"/>
                <w:szCs w:val="18"/>
                <w:lang w:eastAsia="en-AU"/>
              </w:rPr>
              <w:t>8</w:t>
            </w:r>
            <w:r w:rsidRPr="002A30F7">
              <w:rPr>
                <w:rFonts w:eastAsia="Times New Roman" w:cstheme="minorHAnsi"/>
                <w:b/>
                <w:bCs/>
                <w:sz w:val="18"/>
                <w:szCs w:val="18"/>
                <w:lang w:eastAsia="en-AU"/>
              </w:rPr>
              <w:t>-</w:t>
            </w:r>
            <w:r w:rsidR="00843274">
              <w:rPr>
                <w:rFonts w:eastAsia="Times New Roman" w:cstheme="minorHAnsi"/>
                <w:b/>
                <w:bCs/>
                <w:sz w:val="18"/>
                <w:szCs w:val="18"/>
                <w:lang w:eastAsia="en-AU"/>
              </w:rPr>
              <w:t>19</w:t>
            </w:r>
            <w:r w:rsidRPr="002A30F7">
              <w:rPr>
                <w:rFonts w:eastAsia="Times New Roman" w:cstheme="minorHAnsi"/>
                <w:b/>
                <w:bCs/>
                <w:sz w:val="18"/>
                <w:szCs w:val="18"/>
                <w:lang w:eastAsia="en-AU"/>
              </w:rPr>
              <w:t xml:space="preserve"> </w:t>
            </w:r>
            <w:r w:rsidR="00A107DB">
              <w:rPr>
                <w:rFonts w:eastAsia="Times New Roman" w:cstheme="minorHAnsi"/>
                <w:b/>
                <w:bCs/>
                <w:sz w:val="18"/>
                <w:szCs w:val="18"/>
                <w:lang w:eastAsia="en-AU"/>
              </w:rPr>
              <w:t xml:space="preserve">Expected </w:t>
            </w:r>
            <w:r w:rsidRPr="002A30F7">
              <w:rPr>
                <w:rFonts w:eastAsia="Times New Roman" w:cstheme="minorHAnsi"/>
                <w:b/>
                <w:bCs/>
                <w:sz w:val="18"/>
                <w:szCs w:val="18"/>
                <w:lang w:eastAsia="en-AU"/>
              </w:rPr>
              <w:t>Milestones</w:t>
            </w:r>
          </w:p>
        </w:tc>
        <w:tc>
          <w:tcPr>
            <w:tcW w:w="1575" w:type="dxa"/>
            <w:shd w:val="clear" w:color="auto" w:fill="auto"/>
          </w:tcPr>
          <w:p w:rsidR="008A2345" w:rsidRPr="002A30F7" w:rsidRDefault="008A2345" w:rsidP="00A107DB">
            <w:pPr>
              <w:jc w:val="center"/>
              <w:rPr>
                <w:rFonts w:eastAsia="Times New Roman" w:cstheme="minorHAnsi"/>
                <w:b/>
                <w:sz w:val="18"/>
                <w:szCs w:val="18"/>
                <w:lang w:eastAsia="en-AU"/>
              </w:rPr>
            </w:pPr>
            <w:r w:rsidRPr="002A30F7">
              <w:rPr>
                <w:rFonts w:eastAsia="Times New Roman" w:cstheme="minorHAnsi"/>
                <w:b/>
                <w:sz w:val="18"/>
                <w:szCs w:val="18"/>
                <w:lang w:eastAsia="en-AU"/>
              </w:rPr>
              <w:t>DFAT Investment contributing to Outcome</w:t>
            </w:r>
          </w:p>
        </w:tc>
      </w:tr>
      <w:tr w:rsidR="005438A0" w:rsidRPr="002A30F7" w:rsidTr="00021FAA">
        <w:trPr>
          <w:trHeight w:val="20"/>
          <w:tblHeader/>
        </w:trPr>
        <w:tc>
          <w:tcPr>
            <w:tcW w:w="9639" w:type="dxa"/>
            <w:gridSpan w:val="7"/>
            <w:shd w:val="clear" w:color="auto" w:fill="auto"/>
            <w:vAlign w:val="center"/>
          </w:tcPr>
          <w:p w:rsidR="005438A0" w:rsidRPr="002A30F7" w:rsidRDefault="005438A0" w:rsidP="00843274">
            <w:pPr>
              <w:spacing w:before="40" w:after="40"/>
              <w:rPr>
                <w:rFonts w:eastAsia="Times New Roman"/>
                <w:iCs/>
                <w:sz w:val="18"/>
                <w:szCs w:val="18"/>
                <w:lang w:eastAsia="en-AU"/>
              </w:rPr>
            </w:pPr>
            <w:r w:rsidRPr="002A30F7">
              <w:rPr>
                <w:rFonts w:eastAsia="Times New Roman" w:cstheme="minorHAnsi"/>
                <w:b/>
                <w:bCs/>
                <w:sz w:val="18"/>
                <w:szCs w:val="18"/>
                <w:lang w:eastAsia="en-AU"/>
              </w:rPr>
              <w:t xml:space="preserve">Aid Objective </w:t>
            </w:r>
            <w:r w:rsidR="00843274">
              <w:rPr>
                <w:rFonts w:eastAsia="Times New Roman" w:cstheme="minorHAnsi"/>
                <w:b/>
                <w:bCs/>
                <w:sz w:val="18"/>
                <w:szCs w:val="18"/>
                <w:lang w:eastAsia="en-AU"/>
              </w:rPr>
              <w:t>1</w:t>
            </w:r>
            <w:r w:rsidRPr="002A30F7">
              <w:rPr>
                <w:rFonts w:eastAsia="Times New Roman" w:cstheme="minorHAnsi"/>
                <w:b/>
                <w:bCs/>
                <w:sz w:val="18"/>
                <w:szCs w:val="18"/>
                <w:lang w:eastAsia="en-AU"/>
              </w:rPr>
              <w:t xml:space="preserve">: </w:t>
            </w:r>
            <w:r w:rsidR="00843274" w:rsidRPr="00843274">
              <w:rPr>
                <w:rFonts w:eastAsia="Times New Roman" w:cstheme="minorHAnsi"/>
                <w:b/>
                <w:bCs/>
                <w:sz w:val="18"/>
                <w:szCs w:val="18"/>
                <w:lang w:eastAsia="en-AU"/>
              </w:rPr>
              <w:t xml:space="preserve">Enhancing the Foundations for Economic Growth </w:t>
            </w:r>
          </w:p>
        </w:tc>
      </w:tr>
      <w:tr w:rsidR="005438A0" w:rsidRPr="002A30F7" w:rsidTr="00021FAA">
        <w:trPr>
          <w:trHeight w:val="20"/>
        </w:trPr>
        <w:tc>
          <w:tcPr>
            <w:tcW w:w="2441" w:type="dxa"/>
            <w:shd w:val="clear" w:color="auto" w:fill="auto"/>
          </w:tcPr>
          <w:p w:rsidR="005438A0" w:rsidRPr="002A30F7" w:rsidRDefault="00843274" w:rsidP="00021FAA">
            <w:pPr>
              <w:spacing w:before="0" w:line="240" w:lineRule="auto"/>
              <w:rPr>
                <w:rFonts w:eastAsia="Times New Roman" w:cstheme="minorHAnsi"/>
                <w:sz w:val="18"/>
                <w:szCs w:val="18"/>
                <w:lang w:eastAsia="en-AU"/>
              </w:rPr>
            </w:pPr>
            <w:r w:rsidRPr="002A30F7">
              <w:rPr>
                <w:rFonts w:eastAsia="Times New Roman" w:cstheme="minorHAnsi"/>
                <w:sz w:val="18"/>
                <w:szCs w:val="18"/>
                <w:lang w:eastAsia="en-AU"/>
              </w:rPr>
              <w:t>Improve and enable a more inclusive environment for business and trade</w:t>
            </w:r>
          </w:p>
        </w:tc>
        <w:tc>
          <w:tcPr>
            <w:tcW w:w="2946" w:type="dxa"/>
            <w:gridSpan w:val="3"/>
            <w:shd w:val="clear" w:color="auto" w:fill="auto"/>
          </w:tcPr>
          <w:p w:rsidR="005438A0" w:rsidRPr="002A30F7" w:rsidRDefault="005438A0" w:rsidP="00021FAA">
            <w:pPr>
              <w:spacing w:before="0" w:line="240" w:lineRule="auto"/>
              <w:rPr>
                <w:rFonts w:eastAsia="Times New Roman" w:cstheme="minorHAnsi"/>
                <w:sz w:val="18"/>
                <w:szCs w:val="18"/>
                <w:lang w:eastAsia="en-AU"/>
              </w:rPr>
            </w:pPr>
            <w:r w:rsidRPr="002A30F7">
              <w:rPr>
                <w:rFonts w:eastAsia="Times New Roman" w:cstheme="minorHAnsi"/>
                <w:sz w:val="18"/>
                <w:szCs w:val="18"/>
                <w:lang w:eastAsia="en-AU"/>
              </w:rPr>
              <w:t>Formal workplace policies to promote gender equity and non-discrimination are implemented by businesses</w:t>
            </w:r>
          </w:p>
        </w:tc>
        <w:tc>
          <w:tcPr>
            <w:tcW w:w="2657" w:type="dxa"/>
            <w:shd w:val="clear" w:color="auto" w:fill="auto"/>
          </w:tcPr>
          <w:p w:rsidR="005438A0" w:rsidRPr="002A30F7" w:rsidRDefault="00843274" w:rsidP="00021FAA">
            <w:pPr>
              <w:spacing w:before="0" w:line="240" w:lineRule="auto"/>
              <w:rPr>
                <w:rFonts w:eastAsia="Times New Roman" w:cstheme="minorHAnsi"/>
                <w:sz w:val="18"/>
                <w:szCs w:val="18"/>
                <w:lang w:eastAsia="en-AU"/>
              </w:rPr>
            </w:pPr>
            <w:r>
              <w:rPr>
                <w:rFonts w:eastAsia="Times New Roman" w:cstheme="minorHAnsi"/>
                <w:sz w:val="18"/>
                <w:szCs w:val="18"/>
                <w:lang w:eastAsia="en-AU"/>
              </w:rPr>
              <w:t>7</w:t>
            </w:r>
            <w:r w:rsidR="005438A0" w:rsidRPr="002A30F7">
              <w:rPr>
                <w:rFonts w:eastAsia="Times New Roman" w:cstheme="minorHAnsi"/>
                <w:sz w:val="18"/>
                <w:szCs w:val="18"/>
                <w:lang w:eastAsia="en-AU"/>
              </w:rPr>
              <w:t xml:space="preserve"> member companies of the Investing in Women business coalition in the Philippines acquire EDGE certification</w:t>
            </w:r>
          </w:p>
          <w:p w:rsidR="005438A0" w:rsidRPr="002A30F7" w:rsidRDefault="005438A0" w:rsidP="00021FAA">
            <w:pPr>
              <w:spacing w:before="0" w:line="240" w:lineRule="auto"/>
              <w:rPr>
                <w:rFonts w:eastAsia="Times New Roman" w:cstheme="minorHAnsi"/>
                <w:sz w:val="18"/>
                <w:szCs w:val="18"/>
                <w:lang w:eastAsia="en-AU"/>
              </w:rPr>
            </w:pPr>
          </w:p>
        </w:tc>
        <w:tc>
          <w:tcPr>
            <w:tcW w:w="1595" w:type="dxa"/>
            <w:gridSpan w:val="2"/>
            <w:shd w:val="clear" w:color="auto" w:fill="auto"/>
          </w:tcPr>
          <w:p w:rsidR="005438A0" w:rsidRPr="002A30F7" w:rsidRDefault="005438A0" w:rsidP="00021FAA">
            <w:pPr>
              <w:spacing w:before="0" w:line="240" w:lineRule="auto"/>
              <w:jc w:val="center"/>
              <w:rPr>
                <w:rFonts w:eastAsia="Times New Roman" w:cstheme="minorHAnsi"/>
                <w:sz w:val="18"/>
                <w:szCs w:val="18"/>
                <w:lang w:eastAsia="en-AU"/>
              </w:rPr>
            </w:pPr>
            <w:r w:rsidRPr="002A30F7">
              <w:rPr>
                <w:rFonts w:eastAsia="Times New Roman" w:cstheme="minorHAnsi"/>
                <w:sz w:val="18"/>
                <w:szCs w:val="18"/>
                <w:lang w:eastAsia="en-AU"/>
              </w:rPr>
              <w:t>IW</w:t>
            </w:r>
          </w:p>
        </w:tc>
      </w:tr>
      <w:tr w:rsidR="005438A0" w:rsidRPr="002A30F7" w:rsidTr="00021FAA">
        <w:trPr>
          <w:trHeight w:val="20"/>
        </w:trPr>
        <w:tc>
          <w:tcPr>
            <w:tcW w:w="2441" w:type="dxa"/>
            <w:shd w:val="clear" w:color="auto" w:fill="auto"/>
          </w:tcPr>
          <w:p w:rsidR="005438A0" w:rsidRPr="002A30F7" w:rsidRDefault="005438A0" w:rsidP="00021FAA">
            <w:pPr>
              <w:spacing w:before="0" w:line="240" w:lineRule="auto"/>
              <w:rPr>
                <w:rFonts w:eastAsia="Times New Roman" w:cstheme="minorHAnsi"/>
                <w:sz w:val="18"/>
                <w:szCs w:val="18"/>
                <w:lang w:eastAsia="en-AU"/>
              </w:rPr>
            </w:pPr>
            <w:r w:rsidRPr="002A30F7">
              <w:rPr>
                <w:rFonts w:eastAsia="Times New Roman" w:cstheme="minorHAnsi"/>
                <w:sz w:val="18"/>
                <w:szCs w:val="18"/>
                <w:lang w:eastAsia="en-AU"/>
              </w:rPr>
              <w:t>More equitable access to quality education for a skilled national workforce</w:t>
            </w:r>
          </w:p>
        </w:tc>
        <w:tc>
          <w:tcPr>
            <w:tcW w:w="2946" w:type="dxa"/>
            <w:gridSpan w:val="3"/>
            <w:shd w:val="clear" w:color="auto" w:fill="auto"/>
          </w:tcPr>
          <w:p w:rsidR="005438A0" w:rsidRPr="002A30F7" w:rsidRDefault="005438A0" w:rsidP="00021FAA">
            <w:pPr>
              <w:spacing w:before="0" w:line="240" w:lineRule="auto"/>
              <w:rPr>
                <w:rFonts w:eastAsia="Times New Roman" w:cstheme="minorHAnsi"/>
                <w:sz w:val="18"/>
                <w:szCs w:val="18"/>
                <w:lang w:eastAsia="en-AU"/>
              </w:rPr>
            </w:pPr>
            <w:r>
              <w:rPr>
                <w:rFonts w:eastAsia="Times New Roman" w:cstheme="minorHAnsi"/>
                <w:sz w:val="18"/>
                <w:szCs w:val="18"/>
                <w:lang w:eastAsia="en-AU"/>
              </w:rPr>
              <w:t>Improved t</w:t>
            </w:r>
            <w:r w:rsidRPr="002A30F7">
              <w:rPr>
                <w:rFonts w:eastAsia="Times New Roman" w:cstheme="minorHAnsi"/>
                <w:sz w:val="18"/>
                <w:szCs w:val="18"/>
                <w:lang w:eastAsia="en-AU"/>
              </w:rPr>
              <w:t>eaching practices in line with Philippine Professional Standards for Teachers</w:t>
            </w:r>
          </w:p>
        </w:tc>
        <w:tc>
          <w:tcPr>
            <w:tcW w:w="2657" w:type="dxa"/>
            <w:shd w:val="clear" w:color="auto" w:fill="auto"/>
          </w:tcPr>
          <w:p w:rsidR="005438A0" w:rsidRPr="002A30F7" w:rsidRDefault="005438A0" w:rsidP="00843274">
            <w:pPr>
              <w:spacing w:before="0" w:line="240" w:lineRule="auto"/>
              <w:rPr>
                <w:rFonts w:eastAsia="Times New Roman" w:cstheme="minorHAnsi"/>
                <w:sz w:val="18"/>
                <w:szCs w:val="18"/>
                <w:lang w:eastAsia="en-AU"/>
              </w:rPr>
            </w:pPr>
            <w:r w:rsidRPr="002A30F7">
              <w:rPr>
                <w:rFonts w:eastAsia="Times New Roman" w:cstheme="minorHAnsi"/>
                <w:sz w:val="18"/>
                <w:szCs w:val="18"/>
                <w:lang w:eastAsia="en-AU"/>
              </w:rPr>
              <w:t xml:space="preserve">Department of Education issues a policy </w:t>
            </w:r>
            <w:r w:rsidR="00843274" w:rsidRPr="00843274">
              <w:rPr>
                <w:rFonts w:eastAsia="Times New Roman" w:cstheme="minorHAnsi"/>
                <w:sz w:val="18"/>
                <w:szCs w:val="18"/>
                <w:lang w:eastAsia="en-AU"/>
              </w:rPr>
              <w:t xml:space="preserve">to systematise teacher professional development through the National Educators’ Academy of the Philippines </w:t>
            </w:r>
          </w:p>
        </w:tc>
        <w:tc>
          <w:tcPr>
            <w:tcW w:w="1595" w:type="dxa"/>
            <w:gridSpan w:val="2"/>
            <w:shd w:val="clear" w:color="auto" w:fill="auto"/>
          </w:tcPr>
          <w:p w:rsidR="005438A0" w:rsidRPr="002A30F7" w:rsidRDefault="00843274" w:rsidP="00021FAA">
            <w:pPr>
              <w:spacing w:before="0" w:line="240" w:lineRule="auto"/>
              <w:jc w:val="center"/>
              <w:rPr>
                <w:rFonts w:eastAsia="Times New Roman" w:cstheme="minorHAnsi"/>
                <w:sz w:val="18"/>
                <w:szCs w:val="18"/>
                <w:lang w:eastAsia="en-AU"/>
              </w:rPr>
            </w:pPr>
            <w:r>
              <w:rPr>
                <w:rFonts w:eastAsia="Times New Roman" w:cstheme="minorHAnsi"/>
                <w:sz w:val="18"/>
                <w:szCs w:val="18"/>
                <w:lang w:eastAsia="en-AU"/>
              </w:rPr>
              <w:t>BEST</w:t>
            </w:r>
          </w:p>
        </w:tc>
      </w:tr>
      <w:tr w:rsidR="005438A0" w:rsidRPr="002A30F7" w:rsidTr="00021FAA">
        <w:trPr>
          <w:trHeight w:val="20"/>
        </w:trPr>
        <w:tc>
          <w:tcPr>
            <w:tcW w:w="2441" w:type="dxa"/>
            <w:shd w:val="clear" w:color="auto" w:fill="auto"/>
          </w:tcPr>
          <w:p w:rsidR="005438A0" w:rsidRPr="002A30F7" w:rsidRDefault="005438A0" w:rsidP="00021FAA">
            <w:pPr>
              <w:spacing w:before="0" w:line="240" w:lineRule="auto"/>
              <w:rPr>
                <w:rFonts w:eastAsia="Times New Roman" w:cstheme="minorHAnsi"/>
                <w:sz w:val="18"/>
                <w:szCs w:val="18"/>
                <w:lang w:eastAsia="en-AU"/>
              </w:rPr>
            </w:pPr>
            <w:r w:rsidRPr="002A30F7">
              <w:rPr>
                <w:rFonts w:eastAsia="Times New Roman" w:cstheme="minorHAnsi"/>
                <w:sz w:val="18"/>
                <w:szCs w:val="18"/>
                <w:lang w:eastAsia="en-AU"/>
              </w:rPr>
              <w:t>Strengthen the environment for private infrastructure development</w:t>
            </w:r>
          </w:p>
        </w:tc>
        <w:tc>
          <w:tcPr>
            <w:tcW w:w="2946" w:type="dxa"/>
            <w:gridSpan w:val="3"/>
            <w:shd w:val="clear" w:color="auto" w:fill="auto"/>
          </w:tcPr>
          <w:p w:rsidR="005438A0" w:rsidRPr="002A30F7" w:rsidRDefault="005438A0" w:rsidP="00021FAA">
            <w:pPr>
              <w:spacing w:before="0" w:line="240" w:lineRule="auto"/>
              <w:rPr>
                <w:rFonts w:eastAsia="Times New Roman" w:cstheme="minorHAnsi"/>
                <w:sz w:val="18"/>
                <w:szCs w:val="18"/>
                <w:lang w:eastAsia="en-AU"/>
              </w:rPr>
            </w:pPr>
            <w:r w:rsidRPr="002A30F7">
              <w:rPr>
                <w:rFonts w:eastAsia="Times New Roman" w:cstheme="minorHAnsi"/>
                <w:sz w:val="18"/>
                <w:szCs w:val="18"/>
                <w:lang w:eastAsia="en-AU"/>
              </w:rPr>
              <w:t>Philippine Government infrastructure projects are better prepared and/or better designed</w:t>
            </w:r>
          </w:p>
        </w:tc>
        <w:tc>
          <w:tcPr>
            <w:tcW w:w="2657" w:type="dxa"/>
            <w:shd w:val="clear" w:color="auto" w:fill="auto"/>
          </w:tcPr>
          <w:p w:rsidR="005438A0" w:rsidRPr="002A30F7" w:rsidRDefault="00843274" w:rsidP="00A107DB">
            <w:pPr>
              <w:spacing w:before="0" w:line="240" w:lineRule="auto"/>
              <w:rPr>
                <w:rFonts w:eastAsia="Times New Roman" w:cstheme="minorHAnsi"/>
                <w:sz w:val="18"/>
                <w:szCs w:val="18"/>
                <w:lang w:eastAsia="en-AU"/>
              </w:rPr>
            </w:pPr>
            <w:r>
              <w:rPr>
                <w:rFonts w:eastAsia="Times New Roman" w:cstheme="minorHAnsi"/>
                <w:sz w:val="18"/>
                <w:szCs w:val="18"/>
                <w:lang w:eastAsia="en-AU"/>
              </w:rPr>
              <w:t xml:space="preserve">New investment </w:t>
            </w:r>
            <w:r w:rsidR="00676AC6">
              <w:rPr>
                <w:rFonts w:eastAsia="Times New Roman" w:cstheme="minorHAnsi"/>
                <w:sz w:val="18"/>
                <w:szCs w:val="18"/>
                <w:lang w:eastAsia="en-AU"/>
              </w:rPr>
              <w:t xml:space="preserve">which includes </w:t>
            </w:r>
            <w:r w:rsidR="00A107DB">
              <w:rPr>
                <w:rFonts w:eastAsia="Times New Roman" w:cstheme="minorHAnsi"/>
                <w:sz w:val="18"/>
                <w:szCs w:val="18"/>
                <w:lang w:eastAsia="en-AU"/>
              </w:rPr>
              <w:t xml:space="preserve">window </w:t>
            </w:r>
            <w:r>
              <w:rPr>
                <w:rFonts w:eastAsia="Times New Roman" w:cstheme="minorHAnsi"/>
                <w:sz w:val="18"/>
                <w:szCs w:val="18"/>
                <w:lang w:eastAsia="en-AU"/>
              </w:rPr>
              <w:t>to support infrastructure development designed and mobilised</w:t>
            </w:r>
          </w:p>
        </w:tc>
        <w:tc>
          <w:tcPr>
            <w:tcW w:w="1595" w:type="dxa"/>
            <w:gridSpan w:val="2"/>
            <w:shd w:val="clear" w:color="auto" w:fill="auto"/>
          </w:tcPr>
          <w:p w:rsidR="005438A0" w:rsidRPr="002A30F7" w:rsidRDefault="005438A0" w:rsidP="00843274">
            <w:pPr>
              <w:spacing w:before="0" w:line="240" w:lineRule="auto"/>
              <w:jc w:val="center"/>
              <w:rPr>
                <w:rFonts w:eastAsia="Times New Roman" w:cstheme="minorHAnsi"/>
                <w:sz w:val="18"/>
                <w:szCs w:val="18"/>
                <w:lang w:eastAsia="en-AU"/>
              </w:rPr>
            </w:pPr>
            <w:r w:rsidRPr="002A30F7">
              <w:rPr>
                <w:rFonts w:eastAsia="Times New Roman" w:cstheme="minorHAnsi"/>
                <w:sz w:val="18"/>
                <w:szCs w:val="18"/>
                <w:lang w:eastAsia="en-AU"/>
              </w:rPr>
              <w:t xml:space="preserve">AMPED </w:t>
            </w:r>
          </w:p>
        </w:tc>
      </w:tr>
      <w:tr w:rsidR="005438A0" w:rsidRPr="002A30F7" w:rsidTr="00021FAA">
        <w:trPr>
          <w:trHeight w:val="15"/>
          <w:tblHeader/>
        </w:trPr>
        <w:tc>
          <w:tcPr>
            <w:tcW w:w="9639" w:type="dxa"/>
            <w:gridSpan w:val="7"/>
            <w:shd w:val="clear" w:color="auto" w:fill="auto"/>
            <w:vAlign w:val="center"/>
          </w:tcPr>
          <w:p w:rsidR="005438A0" w:rsidRPr="002A30F7" w:rsidRDefault="005438A0" w:rsidP="006C7931">
            <w:pPr>
              <w:rPr>
                <w:rFonts w:eastAsia="Times New Roman"/>
                <w:iCs/>
                <w:sz w:val="18"/>
                <w:szCs w:val="18"/>
                <w:lang w:eastAsia="en-AU"/>
              </w:rPr>
            </w:pPr>
            <w:r w:rsidRPr="002A30F7">
              <w:rPr>
                <w:rFonts w:eastAsia="Times New Roman" w:cstheme="minorHAnsi"/>
                <w:b/>
                <w:bCs/>
                <w:sz w:val="18"/>
                <w:szCs w:val="18"/>
                <w:lang w:eastAsia="en-AU"/>
              </w:rPr>
              <w:t xml:space="preserve">Aid Objective 2: </w:t>
            </w:r>
            <w:r w:rsidR="006C7931" w:rsidRPr="006C7931">
              <w:rPr>
                <w:rFonts w:eastAsia="Times New Roman" w:cstheme="minorHAnsi"/>
                <w:b/>
                <w:bCs/>
                <w:sz w:val="18"/>
                <w:szCs w:val="18"/>
                <w:lang w:eastAsia="en-AU"/>
              </w:rPr>
              <w:t xml:space="preserve">Building Stronger Institutions for Transparent and Accountable Governance </w:t>
            </w:r>
          </w:p>
        </w:tc>
      </w:tr>
      <w:tr w:rsidR="00676AC6" w:rsidRPr="002A30F7" w:rsidTr="00021FAA">
        <w:trPr>
          <w:trHeight w:val="15"/>
        </w:trPr>
        <w:tc>
          <w:tcPr>
            <w:tcW w:w="2439" w:type="dxa"/>
            <w:shd w:val="clear" w:color="auto" w:fill="auto"/>
          </w:tcPr>
          <w:p w:rsidR="00676AC6" w:rsidRPr="002A30F7" w:rsidRDefault="00676AC6" w:rsidP="00676AC6">
            <w:pPr>
              <w:rPr>
                <w:rFonts w:eastAsia="Times New Roman" w:cstheme="minorHAnsi"/>
                <w:sz w:val="18"/>
                <w:szCs w:val="18"/>
                <w:lang w:eastAsia="en-AU"/>
              </w:rPr>
            </w:pPr>
            <w:r w:rsidRPr="00676AC6">
              <w:rPr>
                <w:rFonts w:eastAsia="Times New Roman" w:cstheme="minorHAnsi"/>
                <w:sz w:val="18"/>
                <w:szCs w:val="18"/>
                <w:lang w:eastAsia="en-AU"/>
              </w:rPr>
              <w:t>Improve public financial management in infrastructure and public-private sector partnerships</w:t>
            </w:r>
            <w:r w:rsidRPr="00676AC6">
              <w:rPr>
                <w:rFonts w:eastAsia="Times New Roman" w:cstheme="minorHAnsi"/>
                <w:sz w:val="18"/>
                <w:szCs w:val="18"/>
                <w:lang w:eastAsia="en-AU"/>
              </w:rPr>
              <w:tab/>
            </w:r>
          </w:p>
        </w:tc>
        <w:tc>
          <w:tcPr>
            <w:tcW w:w="2948" w:type="dxa"/>
            <w:gridSpan w:val="3"/>
            <w:shd w:val="clear" w:color="auto" w:fill="auto"/>
          </w:tcPr>
          <w:p w:rsidR="00676AC6" w:rsidRPr="002A30F7" w:rsidRDefault="00676AC6" w:rsidP="00021FAA">
            <w:pPr>
              <w:rPr>
                <w:rFonts w:eastAsia="Times New Roman" w:cstheme="minorHAnsi"/>
                <w:sz w:val="18"/>
                <w:szCs w:val="18"/>
                <w:lang w:eastAsia="en-AU"/>
              </w:rPr>
            </w:pPr>
            <w:r w:rsidRPr="00676AC6">
              <w:rPr>
                <w:rFonts w:eastAsia="Times New Roman" w:cstheme="minorHAnsi"/>
                <w:sz w:val="18"/>
                <w:szCs w:val="18"/>
                <w:lang w:eastAsia="en-AU"/>
              </w:rPr>
              <w:t>Department of Budget and Management and Department of Transportation introduce and implement new budgeting and procurement systems</w:t>
            </w:r>
            <w:r w:rsidRPr="00676AC6">
              <w:rPr>
                <w:rFonts w:eastAsia="Times New Roman" w:cstheme="minorHAnsi"/>
                <w:sz w:val="18"/>
                <w:szCs w:val="18"/>
                <w:lang w:eastAsia="en-AU"/>
              </w:rPr>
              <w:tab/>
            </w:r>
          </w:p>
        </w:tc>
        <w:tc>
          <w:tcPr>
            <w:tcW w:w="2656" w:type="dxa"/>
            <w:shd w:val="clear" w:color="auto" w:fill="auto"/>
          </w:tcPr>
          <w:p w:rsidR="00676AC6" w:rsidRDefault="00676AC6" w:rsidP="00021FAA">
            <w:pPr>
              <w:rPr>
                <w:rFonts w:eastAsia="Times New Roman" w:cstheme="minorHAnsi"/>
                <w:sz w:val="18"/>
                <w:szCs w:val="18"/>
                <w:lang w:eastAsia="en-AU"/>
              </w:rPr>
            </w:pPr>
            <w:r w:rsidRPr="00676AC6">
              <w:rPr>
                <w:rFonts w:eastAsia="Times New Roman" w:cstheme="minorHAnsi"/>
                <w:sz w:val="18"/>
                <w:szCs w:val="18"/>
                <w:lang w:eastAsia="en-AU"/>
              </w:rPr>
              <w:t>Cash-based budgeting adopted by the Philippine Government</w:t>
            </w:r>
          </w:p>
          <w:p w:rsidR="004B6ADB" w:rsidRPr="002A30F7" w:rsidRDefault="004B6ADB" w:rsidP="00021FAA">
            <w:pPr>
              <w:rPr>
                <w:rFonts w:eastAsia="Times New Roman" w:cstheme="minorHAnsi"/>
                <w:sz w:val="18"/>
                <w:szCs w:val="18"/>
                <w:lang w:eastAsia="en-AU"/>
              </w:rPr>
            </w:pPr>
            <w:r w:rsidRPr="004B6ADB">
              <w:rPr>
                <w:rFonts w:eastAsia="Times New Roman" w:cstheme="minorHAnsi"/>
                <w:sz w:val="18"/>
                <w:szCs w:val="18"/>
                <w:lang w:eastAsia="en-AU"/>
              </w:rPr>
              <w:t>Mobilisation of PFMP-II in 2018-19</w:t>
            </w:r>
          </w:p>
        </w:tc>
        <w:tc>
          <w:tcPr>
            <w:tcW w:w="1596" w:type="dxa"/>
            <w:gridSpan w:val="2"/>
            <w:shd w:val="clear" w:color="auto" w:fill="auto"/>
          </w:tcPr>
          <w:p w:rsidR="00676AC6" w:rsidRDefault="00676AC6" w:rsidP="006C7931">
            <w:pPr>
              <w:jc w:val="center"/>
              <w:rPr>
                <w:rFonts w:eastAsia="Times New Roman" w:cstheme="minorHAnsi"/>
                <w:sz w:val="18"/>
                <w:szCs w:val="18"/>
                <w:lang w:eastAsia="en-AU"/>
              </w:rPr>
            </w:pPr>
            <w:r>
              <w:rPr>
                <w:rFonts w:eastAsia="Times New Roman" w:cstheme="minorHAnsi"/>
                <w:sz w:val="18"/>
                <w:szCs w:val="18"/>
                <w:lang w:eastAsia="en-AU"/>
              </w:rPr>
              <w:t>PFM-I</w:t>
            </w:r>
          </w:p>
        </w:tc>
      </w:tr>
      <w:tr w:rsidR="005438A0" w:rsidRPr="002A30F7" w:rsidTr="00021FAA">
        <w:trPr>
          <w:trHeight w:val="15"/>
        </w:trPr>
        <w:tc>
          <w:tcPr>
            <w:tcW w:w="2439" w:type="dxa"/>
            <w:shd w:val="clear" w:color="auto" w:fill="auto"/>
          </w:tcPr>
          <w:p w:rsidR="005438A0" w:rsidRPr="002A30F7" w:rsidRDefault="005438A0" w:rsidP="00021FAA">
            <w:pPr>
              <w:rPr>
                <w:rFonts w:eastAsia="Times New Roman" w:cstheme="minorHAnsi"/>
                <w:sz w:val="18"/>
                <w:szCs w:val="18"/>
                <w:lang w:eastAsia="en-AU"/>
              </w:rPr>
            </w:pPr>
            <w:r w:rsidRPr="002A30F7">
              <w:rPr>
                <w:rFonts w:eastAsia="Times New Roman" w:cstheme="minorHAnsi"/>
                <w:sz w:val="18"/>
                <w:szCs w:val="18"/>
                <w:lang w:eastAsia="en-AU"/>
              </w:rPr>
              <w:t>Strengthen institutional capacity to support inclusive growth and reduce vulnerability</w:t>
            </w:r>
          </w:p>
        </w:tc>
        <w:tc>
          <w:tcPr>
            <w:tcW w:w="2948" w:type="dxa"/>
            <w:gridSpan w:val="3"/>
            <w:shd w:val="clear" w:color="auto" w:fill="auto"/>
          </w:tcPr>
          <w:p w:rsidR="005438A0" w:rsidRPr="002A30F7" w:rsidRDefault="005438A0" w:rsidP="00021FAA">
            <w:pPr>
              <w:rPr>
                <w:rFonts w:eastAsia="Times New Roman" w:cstheme="minorHAnsi"/>
                <w:sz w:val="18"/>
                <w:szCs w:val="18"/>
                <w:lang w:eastAsia="en-AU"/>
              </w:rPr>
            </w:pPr>
            <w:r w:rsidRPr="002A30F7">
              <w:rPr>
                <w:rFonts w:eastAsia="Times New Roman" w:cstheme="minorHAnsi"/>
                <w:sz w:val="18"/>
                <w:szCs w:val="18"/>
                <w:lang w:eastAsia="en-AU"/>
              </w:rPr>
              <w:t>Policy reforms related to resilient, sustainable, and inclusive economic growth are adopted by the Philippine Government</w:t>
            </w:r>
          </w:p>
        </w:tc>
        <w:tc>
          <w:tcPr>
            <w:tcW w:w="2656" w:type="dxa"/>
            <w:shd w:val="clear" w:color="auto" w:fill="auto"/>
          </w:tcPr>
          <w:p w:rsidR="005438A0" w:rsidRPr="002A30F7" w:rsidRDefault="005438A0" w:rsidP="00676AC6">
            <w:pPr>
              <w:rPr>
                <w:rFonts w:eastAsia="Times New Roman" w:cstheme="minorHAnsi"/>
                <w:sz w:val="18"/>
                <w:szCs w:val="18"/>
                <w:lang w:eastAsia="en-AU"/>
              </w:rPr>
            </w:pPr>
            <w:r w:rsidRPr="002A30F7">
              <w:rPr>
                <w:rFonts w:eastAsia="Times New Roman" w:cstheme="minorHAnsi"/>
                <w:sz w:val="18"/>
                <w:szCs w:val="18"/>
                <w:lang w:eastAsia="en-AU"/>
              </w:rPr>
              <w:t>At least 4 new laws and/or policies adopted</w:t>
            </w:r>
          </w:p>
        </w:tc>
        <w:tc>
          <w:tcPr>
            <w:tcW w:w="1596" w:type="dxa"/>
            <w:gridSpan w:val="2"/>
            <w:shd w:val="clear" w:color="auto" w:fill="auto"/>
          </w:tcPr>
          <w:p w:rsidR="005438A0" w:rsidRPr="002A30F7" w:rsidRDefault="005438A0" w:rsidP="006C7931">
            <w:pPr>
              <w:jc w:val="center"/>
              <w:rPr>
                <w:rFonts w:eastAsia="Times New Roman" w:cstheme="minorHAnsi"/>
                <w:sz w:val="18"/>
                <w:szCs w:val="18"/>
                <w:lang w:eastAsia="en-AU"/>
              </w:rPr>
            </w:pPr>
            <w:r>
              <w:rPr>
                <w:rFonts w:eastAsia="Times New Roman" w:cstheme="minorHAnsi"/>
                <w:sz w:val="18"/>
                <w:szCs w:val="18"/>
                <w:lang w:eastAsia="en-AU"/>
              </w:rPr>
              <w:t>CfC2</w:t>
            </w:r>
          </w:p>
        </w:tc>
      </w:tr>
      <w:tr w:rsidR="005438A0" w:rsidRPr="002A30F7" w:rsidTr="00021FAA">
        <w:trPr>
          <w:trHeight w:val="15"/>
        </w:trPr>
        <w:tc>
          <w:tcPr>
            <w:tcW w:w="2439" w:type="dxa"/>
            <w:shd w:val="clear" w:color="auto" w:fill="auto"/>
            <w:vAlign w:val="center"/>
          </w:tcPr>
          <w:p w:rsidR="005438A0" w:rsidRPr="002A30F7" w:rsidRDefault="005438A0" w:rsidP="00021FAA">
            <w:pPr>
              <w:rPr>
                <w:rFonts w:eastAsia="Times New Roman" w:cstheme="minorHAnsi"/>
                <w:sz w:val="18"/>
                <w:szCs w:val="18"/>
                <w:lang w:eastAsia="en-AU"/>
              </w:rPr>
            </w:pPr>
          </w:p>
        </w:tc>
        <w:tc>
          <w:tcPr>
            <w:tcW w:w="2948" w:type="dxa"/>
            <w:gridSpan w:val="3"/>
            <w:shd w:val="clear" w:color="auto" w:fill="auto"/>
          </w:tcPr>
          <w:p w:rsidR="005438A0" w:rsidRPr="002A30F7" w:rsidRDefault="005438A0" w:rsidP="00021FAA">
            <w:pPr>
              <w:rPr>
                <w:rFonts w:eastAsia="Times New Roman" w:cstheme="minorHAnsi"/>
                <w:sz w:val="18"/>
                <w:szCs w:val="18"/>
                <w:lang w:eastAsia="en-AU"/>
              </w:rPr>
            </w:pPr>
            <w:r w:rsidRPr="002A30F7">
              <w:rPr>
                <w:rFonts w:eastAsia="Times New Roman" w:cstheme="minorHAnsi"/>
                <w:sz w:val="18"/>
                <w:szCs w:val="18"/>
                <w:lang w:eastAsia="en-AU"/>
              </w:rPr>
              <w:t>Local government units (LGUs) and communities are better prepared and more resilient to disasters and climate change</w:t>
            </w:r>
          </w:p>
        </w:tc>
        <w:tc>
          <w:tcPr>
            <w:tcW w:w="2656" w:type="dxa"/>
            <w:shd w:val="clear" w:color="auto" w:fill="auto"/>
          </w:tcPr>
          <w:p w:rsidR="005438A0" w:rsidRPr="002A30F7" w:rsidRDefault="004B6ADB" w:rsidP="00021FAA">
            <w:pPr>
              <w:rPr>
                <w:rFonts w:eastAsia="Times New Roman" w:cstheme="minorHAnsi"/>
                <w:sz w:val="18"/>
                <w:szCs w:val="18"/>
                <w:lang w:eastAsia="en-AU"/>
              </w:rPr>
            </w:pPr>
            <w:r>
              <w:rPr>
                <w:rFonts w:eastAsia="Times New Roman" w:cstheme="minorHAnsi"/>
                <w:sz w:val="18"/>
                <w:szCs w:val="18"/>
                <w:lang w:eastAsia="en-AU"/>
              </w:rPr>
              <w:t xml:space="preserve">12 Local Government Units covering </w:t>
            </w:r>
            <w:r w:rsidR="00676AC6" w:rsidRPr="00676AC6">
              <w:rPr>
                <w:rFonts w:eastAsia="Times New Roman" w:cstheme="minorHAnsi"/>
                <w:sz w:val="18"/>
                <w:szCs w:val="18"/>
                <w:lang w:eastAsia="en-AU"/>
              </w:rPr>
              <w:t>150 barangays assisted</w:t>
            </w:r>
          </w:p>
        </w:tc>
        <w:tc>
          <w:tcPr>
            <w:tcW w:w="1596" w:type="dxa"/>
            <w:gridSpan w:val="2"/>
            <w:shd w:val="clear" w:color="auto" w:fill="auto"/>
          </w:tcPr>
          <w:p w:rsidR="005438A0" w:rsidRPr="002A30F7" w:rsidRDefault="00676AC6" w:rsidP="006C7931">
            <w:pPr>
              <w:jc w:val="center"/>
              <w:rPr>
                <w:rFonts w:eastAsia="Times New Roman" w:cstheme="minorHAnsi"/>
                <w:sz w:val="18"/>
                <w:szCs w:val="18"/>
                <w:lang w:eastAsia="en-AU"/>
              </w:rPr>
            </w:pPr>
            <w:r>
              <w:rPr>
                <w:rFonts w:eastAsia="Times New Roman" w:cstheme="minorHAnsi"/>
                <w:sz w:val="18"/>
                <w:szCs w:val="18"/>
                <w:lang w:eastAsia="en-AU"/>
              </w:rPr>
              <w:t>RAPID</w:t>
            </w:r>
          </w:p>
        </w:tc>
      </w:tr>
      <w:tr w:rsidR="005438A0" w:rsidRPr="002A30F7" w:rsidTr="00021FAA">
        <w:trPr>
          <w:trHeight w:val="15"/>
        </w:trPr>
        <w:tc>
          <w:tcPr>
            <w:tcW w:w="2439" w:type="dxa"/>
            <w:shd w:val="clear" w:color="auto" w:fill="auto"/>
          </w:tcPr>
          <w:p w:rsidR="005438A0" w:rsidRPr="002A30F7" w:rsidRDefault="005438A0" w:rsidP="00021FAA">
            <w:pPr>
              <w:rPr>
                <w:rFonts w:eastAsia="Times New Roman" w:cstheme="minorHAnsi"/>
                <w:sz w:val="18"/>
                <w:szCs w:val="18"/>
                <w:lang w:eastAsia="en-AU"/>
              </w:rPr>
            </w:pPr>
            <w:r w:rsidRPr="002A30F7">
              <w:rPr>
                <w:rFonts w:eastAsia="Times New Roman" w:cstheme="minorHAnsi"/>
                <w:sz w:val="18"/>
                <w:szCs w:val="18"/>
                <w:lang w:eastAsia="en-AU"/>
              </w:rPr>
              <w:t>Improve systems to support human rights</w:t>
            </w:r>
          </w:p>
        </w:tc>
        <w:tc>
          <w:tcPr>
            <w:tcW w:w="2948" w:type="dxa"/>
            <w:gridSpan w:val="3"/>
            <w:shd w:val="clear" w:color="auto" w:fill="auto"/>
          </w:tcPr>
          <w:p w:rsidR="005438A0" w:rsidRPr="002A30F7" w:rsidRDefault="005438A0" w:rsidP="00021FAA">
            <w:pPr>
              <w:rPr>
                <w:rFonts w:eastAsia="Times New Roman" w:cstheme="minorHAnsi"/>
                <w:sz w:val="18"/>
                <w:szCs w:val="18"/>
                <w:lang w:eastAsia="en-AU"/>
              </w:rPr>
            </w:pPr>
            <w:r w:rsidRPr="002A30F7">
              <w:rPr>
                <w:rFonts w:eastAsia="Times New Roman" w:cstheme="minorHAnsi"/>
                <w:sz w:val="18"/>
                <w:szCs w:val="18"/>
                <w:lang w:eastAsia="en-AU"/>
              </w:rPr>
              <w:t>Capacity of, and cooperation between, relevant Philippine government agencies and institutions to promote and protect human rights are strengthened</w:t>
            </w:r>
          </w:p>
        </w:tc>
        <w:tc>
          <w:tcPr>
            <w:tcW w:w="2656" w:type="dxa"/>
            <w:shd w:val="clear" w:color="auto" w:fill="auto"/>
          </w:tcPr>
          <w:p w:rsidR="005438A0" w:rsidRPr="002A30F7" w:rsidRDefault="00676AC6" w:rsidP="00021FAA">
            <w:pPr>
              <w:rPr>
                <w:rFonts w:eastAsia="Times New Roman" w:cstheme="minorHAnsi"/>
                <w:sz w:val="18"/>
                <w:szCs w:val="18"/>
                <w:lang w:eastAsia="en-AU"/>
              </w:rPr>
            </w:pPr>
            <w:r w:rsidRPr="00676AC6">
              <w:rPr>
                <w:rFonts w:eastAsia="Times New Roman" w:cstheme="minorHAnsi"/>
                <w:sz w:val="18"/>
                <w:szCs w:val="18"/>
                <w:lang w:eastAsia="en-AU"/>
              </w:rPr>
              <w:t>New investment (SaferKidsPH) designed and mobilised</w:t>
            </w:r>
          </w:p>
        </w:tc>
        <w:tc>
          <w:tcPr>
            <w:tcW w:w="1596" w:type="dxa"/>
            <w:gridSpan w:val="2"/>
            <w:shd w:val="clear" w:color="auto" w:fill="auto"/>
          </w:tcPr>
          <w:p w:rsidR="005438A0" w:rsidRPr="002A30F7" w:rsidRDefault="005438A0" w:rsidP="006C7931">
            <w:pPr>
              <w:jc w:val="center"/>
              <w:rPr>
                <w:rFonts w:eastAsia="Times New Roman" w:cstheme="minorHAnsi"/>
                <w:sz w:val="18"/>
                <w:szCs w:val="18"/>
                <w:lang w:eastAsia="en-AU"/>
              </w:rPr>
            </w:pPr>
            <w:r w:rsidRPr="002A30F7">
              <w:rPr>
                <w:rFonts w:eastAsia="Times New Roman" w:cstheme="minorHAnsi"/>
                <w:sz w:val="18"/>
                <w:szCs w:val="18"/>
                <w:lang w:eastAsia="en-AU"/>
              </w:rPr>
              <w:t>SaferKidsPH</w:t>
            </w:r>
          </w:p>
        </w:tc>
      </w:tr>
    </w:tbl>
    <w:p w:rsidR="00CA7DD8" w:rsidRDefault="00CA7DD8" w:rsidP="001502C9"/>
    <w:p w:rsidR="002A30F7" w:rsidRDefault="002A30F7" w:rsidP="00784031"/>
    <w:p w:rsidR="00A107DB" w:rsidRDefault="00A107DB" w:rsidP="00784031"/>
    <w:p w:rsidR="006C7931" w:rsidRDefault="006C7931" w:rsidP="00784031"/>
    <w:p w:rsidR="002A30F7" w:rsidRDefault="002A30F7" w:rsidP="00784031"/>
    <w:tbl>
      <w:tblPr>
        <w:tblW w:w="9639" w:type="dxa"/>
        <w:tblLook w:val="04A0" w:firstRow="1" w:lastRow="0" w:firstColumn="1" w:lastColumn="0" w:noHBand="0" w:noVBand="1"/>
      </w:tblPr>
      <w:tblGrid>
        <w:gridCol w:w="2441"/>
        <w:gridCol w:w="29"/>
        <w:gridCol w:w="2905"/>
        <w:gridCol w:w="12"/>
        <w:gridCol w:w="2657"/>
        <w:gridCol w:w="20"/>
        <w:gridCol w:w="1575"/>
      </w:tblGrid>
      <w:tr w:rsidR="00167D94" w:rsidRPr="002A30F7" w:rsidTr="00A107DB">
        <w:trPr>
          <w:trHeight w:val="20"/>
          <w:tblHeader/>
        </w:trPr>
        <w:tc>
          <w:tcPr>
            <w:tcW w:w="2441" w:type="dxa"/>
            <w:shd w:val="clear" w:color="auto" w:fill="auto"/>
          </w:tcPr>
          <w:p w:rsidR="00167D94" w:rsidRPr="002A30F7" w:rsidRDefault="00167D94" w:rsidP="00A107DB">
            <w:pPr>
              <w:spacing w:before="0" w:after="0" w:line="240" w:lineRule="auto"/>
              <w:jc w:val="center"/>
              <w:rPr>
                <w:rFonts w:eastAsia="Times New Roman" w:cstheme="minorHAnsi"/>
                <w:b/>
                <w:bCs/>
                <w:sz w:val="18"/>
                <w:szCs w:val="18"/>
                <w:lang w:eastAsia="en-AU"/>
              </w:rPr>
            </w:pPr>
            <w:r w:rsidRPr="002A30F7">
              <w:rPr>
                <w:rFonts w:eastAsia="Times New Roman" w:cstheme="minorHAnsi"/>
                <w:b/>
                <w:bCs/>
                <w:sz w:val="18"/>
                <w:szCs w:val="18"/>
                <w:lang w:eastAsia="en-AU"/>
              </w:rPr>
              <w:t>Objectives and Sub-Objectives</w:t>
            </w:r>
          </w:p>
        </w:tc>
        <w:tc>
          <w:tcPr>
            <w:tcW w:w="2946" w:type="dxa"/>
            <w:gridSpan w:val="3"/>
            <w:shd w:val="clear" w:color="auto" w:fill="auto"/>
          </w:tcPr>
          <w:p w:rsidR="00167D94" w:rsidRPr="002A30F7" w:rsidRDefault="00167D94" w:rsidP="00A107DB">
            <w:pPr>
              <w:spacing w:before="0" w:after="0" w:line="240" w:lineRule="auto"/>
              <w:jc w:val="center"/>
              <w:rPr>
                <w:rFonts w:eastAsia="Times New Roman" w:cstheme="minorHAnsi"/>
                <w:b/>
                <w:bCs/>
                <w:sz w:val="18"/>
                <w:szCs w:val="18"/>
                <w:lang w:eastAsia="en-AU"/>
              </w:rPr>
            </w:pPr>
            <w:r w:rsidRPr="002A30F7">
              <w:rPr>
                <w:rFonts w:eastAsia="Times New Roman" w:cstheme="minorHAnsi"/>
                <w:b/>
                <w:bCs/>
                <w:sz w:val="18"/>
                <w:szCs w:val="18"/>
                <w:lang w:eastAsia="en-AU"/>
              </w:rPr>
              <w:t>Intermediate Outcomes</w:t>
            </w:r>
          </w:p>
        </w:tc>
        <w:tc>
          <w:tcPr>
            <w:tcW w:w="2657" w:type="dxa"/>
            <w:shd w:val="clear" w:color="auto" w:fill="auto"/>
          </w:tcPr>
          <w:p w:rsidR="00167D94" w:rsidRPr="002A30F7" w:rsidRDefault="00167D94">
            <w:pPr>
              <w:spacing w:before="0" w:after="0" w:line="240" w:lineRule="auto"/>
              <w:jc w:val="center"/>
              <w:rPr>
                <w:rFonts w:eastAsia="Times New Roman" w:cstheme="minorHAnsi"/>
                <w:b/>
                <w:bCs/>
                <w:sz w:val="18"/>
                <w:szCs w:val="18"/>
                <w:lang w:eastAsia="en-AU"/>
              </w:rPr>
            </w:pPr>
            <w:r w:rsidRPr="002A30F7">
              <w:rPr>
                <w:rFonts w:eastAsia="Times New Roman" w:cstheme="minorHAnsi"/>
                <w:b/>
                <w:bCs/>
                <w:sz w:val="18"/>
                <w:szCs w:val="18"/>
                <w:lang w:eastAsia="en-AU"/>
              </w:rPr>
              <w:t>FY201</w:t>
            </w:r>
            <w:r w:rsidR="009E4550">
              <w:rPr>
                <w:rFonts w:eastAsia="Times New Roman" w:cstheme="minorHAnsi"/>
                <w:b/>
                <w:bCs/>
                <w:sz w:val="18"/>
                <w:szCs w:val="18"/>
                <w:lang w:eastAsia="en-AU"/>
              </w:rPr>
              <w:t>8</w:t>
            </w:r>
            <w:r w:rsidRPr="002A30F7">
              <w:rPr>
                <w:rFonts w:eastAsia="Times New Roman" w:cstheme="minorHAnsi"/>
                <w:b/>
                <w:bCs/>
                <w:sz w:val="18"/>
                <w:szCs w:val="18"/>
                <w:lang w:eastAsia="en-AU"/>
              </w:rPr>
              <w:t>-</w:t>
            </w:r>
            <w:r w:rsidR="009E4550">
              <w:rPr>
                <w:rFonts w:eastAsia="Times New Roman" w:cstheme="minorHAnsi"/>
                <w:b/>
                <w:bCs/>
                <w:sz w:val="18"/>
                <w:szCs w:val="18"/>
                <w:lang w:eastAsia="en-AU"/>
              </w:rPr>
              <w:t>19</w:t>
            </w:r>
            <w:r w:rsidRPr="002A30F7">
              <w:rPr>
                <w:rFonts w:eastAsia="Times New Roman" w:cstheme="minorHAnsi"/>
                <w:b/>
                <w:bCs/>
                <w:sz w:val="18"/>
                <w:szCs w:val="18"/>
                <w:lang w:eastAsia="en-AU"/>
              </w:rPr>
              <w:t xml:space="preserve"> </w:t>
            </w:r>
            <w:r w:rsidR="00402C0B">
              <w:rPr>
                <w:rFonts w:eastAsia="Times New Roman" w:cstheme="minorHAnsi"/>
                <w:b/>
                <w:bCs/>
                <w:sz w:val="18"/>
                <w:szCs w:val="18"/>
                <w:lang w:eastAsia="en-AU"/>
              </w:rPr>
              <w:t xml:space="preserve">Expected </w:t>
            </w:r>
            <w:r w:rsidRPr="002A30F7">
              <w:rPr>
                <w:rFonts w:eastAsia="Times New Roman" w:cstheme="minorHAnsi"/>
                <w:b/>
                <w:bCs/>
                <w:sz w:val="18"/>
                <w:szCs w:val="18"/>
                <w:lang w:eastAsia="en-AU"/>
              </w:rPr>
              <w:t>Milestones</w:t>
            </w:r>
          </w:p>
        </w:tc>
        <w:tc>
          <w:tcPr>
            <w:tcW w:w="1595" w:type="dxa"/>
            <w:gridSpan w:val="2"/>
            <w:shd w:val="clear" w:color="auto" w:fill="auto"/>
          </w:tcPr>
          <w:p w:rsidR="00167D94" w:rsidRPr="002A30F7" w:rsidRDefault="00167D94" w:rsidP="00A107DB">
            <w:pPr>
              <w:spacing w:before="0" w:after="0" w:line="240" w:lineRule="auto"/>
              <w:jc w:val="center"/>
              <w:rPr>
                <w:rFonts w:eastAsia="Times New Roman" w:cstheme="minorHAnsi"/>
                <w:b/>
                <w:sz w:val="18"/>
                <w:szCs w:val="18"/>
                <w:lang w:eastAsia="en-AU"/>
              </w:rPr>
            </w:pPr>
            <w:r w:rsidRPr="002A30F7">
              <w:rPr>
                <w:rFonts w:eastAsia="Times New Roman" w:cstheme="minorHAnsi"/>
                <w:b/>
                <w:sz w:val="18"/>
                <w:szCs w:val="18"/>
                <w:lang w:eastAsia="en-AU"/>
              </w:rPr>
              <w:t>DFAT Investment contributing to Outcome</w:t>
            </w:r>
          </w:p>
        </w:tc>
      </w:tr>
      <w:tr w:rsidR="005438A0" w:rsidRPr="002A30F7" w:rsidTr="00A107DB">
        <w:trPr>
          <w:trHeight w:val="17"/>
          <w:tblHeader/>
        </w:trPr>
        <w:tc>
          <w:tcPr>
            <w:tcW w:w="9639" w:type="dxa"/>
            <w:gridSpan w:val="7"/>
            <w:shd w:val="clear" w:color="auto" w:fill="auto"/>
            <w:noWrap/>
            <w:vAlign w:val="center"/>
          </w:tcPr>
          <w:p w:rsidR="005438A0" w:rsidRPr="002A30F7" w:rsidRDefault="005438A0" w:rsidP="006C7931">
            <w:pPr>
              <w:rPr>
                <w:rFonts w:eastAsia="Times New Roman"/>
                <w:iCs/>
                <w:sz w:val="18"/>
                <w:szCs w:val="18"/>
                <w:lang w:eastAsia="en-AU"/>
              </w:rPr>
            </w:pPr>
            <w:r w:rsidRPr="002A30F7">
              <w:rPr>
                <w:rFonts w:eastAsia="Times New Roman" w:cstheme="minorHAnsi"/>
                <w:b/>
                <w:bCs/>
                <w:sz w:val="18"/>
                <w:szCs w:val="18"/>
                <w:lang w:eastAsia="en-AU"/>
              </w:rPr>
              <w:t xml:space="preserve">Aid Objective </w:t>
            </w:r>
            <w:r w:rsidR="006C7931">
              <w:rPr>
                <w:rFonts w:eastAsia="Times New Roman" w:cstheme="minorHAnsi"/>
                <w:b/>
                <w:bCs/>
                <w:sz w:val="18"/>
                <w:szCs w:val="18"/>
                <w:lang w:eastAsia="en-AU"/>
              </w:rPr>
              <w:t>3</w:t>
            </w:r>
            <w:r w:rsidRPr="002A30F7">
              <w:rPr>
                <w:rFonts w:eastAsia="Times New Roman" w:cstheme="minorHAnsi"/>
                <w:b/>
                <w:bCs/>
                <w:sz w:val="18"/>
                <w:szCs w:val="18"/>
                <w:lang w:eastAsia="en-AU"/>
              </w:rPr>
              <w:t xml:space="preserve">: </w:t>
            </w:r>
            <w:r w:rsidR="006C7931" w:rsidRPr="006C7931">
              <w:rPr>
                <w:rFonts w:eastAsia="Times New Roman" w:cstheme="minorHAnsi"/>
                <w:b/>
                <w:bCs/>
                <w:sz w:val="18"/>
                <w:szCs w:val="18"/>
                <w:lang w:eastAsia="en-AU"/>
              </w:rPr>
              <w:t xml:space="preserve">Improving Conditions for Peace </w:t>
            </w:r>
            <w:r w:rsidRPr="002A30F7">
              <w:rPr>
                <w:rFonts w:eastAsia="Times New Roman" w:cstheme="minorHAnsi"/>
                <w:b/>
                <w:bCs/>
                <w:sz w:val="18"/>
                <w:szCs w:val="18"/>
                <w:lang w:eastAsia="en-AU"/>
              </w:rPr>
              <w:t>and Stability</w:t>
            </w:r>
          </w:p>
        </w:tc>
      </w:tr>
      <w:tr w:rsidR="005438A0" w:rsidRPr="002A30F7" w:rsidTr="00A107DB">
        <w:trPr>
          <w:trHeight w:val="17"/>
        </w:trPr>
        <w:tc>
          <w:tcPr>
            <w:tcW w:w="2470" w:type="dxa"/>
            <w:gridSpan w:val="2"/>
            <w:shd w:val="clear" w:color="auto" w:fill="auto"/>
            <w:hideMark/>
          </w:tcPr>
          <w:p w:rsidR="005438A0" w:rsidRPr="002A30F7" w:rsidRDefault="005438A0" w:rsidP="00021FAA">
            <w:pPr>
              <w:rPr>
                <w:rFonts w:eastAsia="Times New Roman" w:cstheme="minorHAnsi"/>
                <w:sz w:val="18"/>
                <w:szCs w:val="18"/>
                <w:lang w:eastAsia="en-AU"/>
              </w:rPr>
            </w:pPr>
            <w:r w:rsidRPr="002A30F7">
              <w:rPr>
                <w:rFonts w:eastAsia="Times New Roman" w:cstheme="minorHAnsi"/>
                <w:sz w:val="18"/>
                <w:szCs w:val="18"/>
                <w:lang w:eastAsia="en-AU"/>
              </w:rPr>
              <w:t>Support political transition towards inclusive and responsive governance in the Bangsamoro</w:t>
            </w:r>
          </w:p>
        </w:tc>
        <w:tc>
          <w:tcPr>
            <w:tcW w:w="2905" w:type="dxa"/>
            <w:shd w:val="clear" w:color="auto" w:fill="auto"/>
            <w:hideMark/>
          </w:tcPr>
          <w:p w:rsidR="005438A0" w:rsidRPr="002A30F7" w:rsidRDefault="005438A0" w:rsidP="00021FAA">
            <w:pPr>
              <w:rPr>
                <w:rFonts w:eastAsia="Times New Roman" w:cstheme="minorHAnsi"/>
                <w:sz w:val="18"/>
                <w:szCs w:val="18"/>
                <w:lang w:eastAsia="en-AU"/>
              </w:rPr>
            </w:pPr>
            <w:r w:rsidRPr="002A30F7">
              <w:rPr>
                <w:rFonts w:eastAsia="Times New Roman" w:cstheme="minorHAnsi"/>
                <w:sz w:val="18"/>
                <w:szCs w:val="18"/>
                <w:lang w:eastAsia="en-AU"/>
              </w:rPr>
              <w:t>BARMM Regional Government ministries and agencies are established and strengthened</w:t>
            </w:r>
          </w:p>
        </w:tc>
        <w:tc>
          <w:tcPr>
            <w:tcW w:w="2689" w:type="dxa"/>
            <w:gridSpan w:val="3"/>
            <w:shd w:val="clear" w:color="auto" w:fill="auto"/>
            <w:hideMark/>
          </w:tcPr>
          <w:p w:rsidR="005438A0" w:rsidRPr="002A30F7" w:rsidRDefault="00676AC6" w:rsidP="00021FAA">
            <w:pPr>
              <w:rPr>
                <w:rFonts w:eastAsia="Times New Roman" w:cstheme="minorHAnsi"/>
                <w:sz w:val="18"/>
                <w:szCs w:val="18"/>
                <w:lang w:eastAsia="en-AU"/>
              </w:rPr>
            </w:pPr>
            <w:r w:rsidRPr="00676AC6">
              <w:rPr>
                <w:rFonts w:eastAsia="Times New Roman" w:cstheme="minorHAnsi"/>
                <w:sz w:val="18"/>
                <w:szCs w:val="18"/>
                <w:lang w:eastAsia="en-AU"/>
              </w:rPr>
              <w:t>Passage of Bangsamoro Organic Law supported</w:t>
            </w:r>
          </w:p>
        </w:tc>
        <w:tc>
          <w:tcPr>
            <w:tcW w:w="1575" w:type="dxa"/>
            <w:shd w:val="clear" w:color="auto" w:fill="auto"/>
            <w:hideMark/>
          </w:tcPr>
          <w:p w:rsidR="005438A0" w:rsidRPr="002A30F7" w:rsidRDefault="005438A0" w:rsidP="006C7931">
            <w:pPr>
              <w:jc w:val="center"/>
              <w:rPr>
                <w:rFonts w:eastAsia="Times New Roman" w:cstheme="minorHAnsi"/>
                <w:sz w:val="18"/>
                <w:szCs w:val="18"/>
                <w:lang w:eastAsia="en-AU"/>
              </w:rPr>
            </w:pPr>
            <w:r w:rsidRPr="002A30F7">
              <w:rPr>
                <w:rFonts w:eastAsia="Times New Roman" w:cstheme="minorHAnsi"/>
                <w:sz w:val="18"/>
                <w:szCs w:val="18"/>
                <w:lang w:eastAsia="en-AU"/>
              </w:rPr>
              <w:t>PCAM</w:t>
            </w:r>
          </w:p>
        </w:tc>
      </w:tr>
      <w:tr w:rsidR="005438A0" w:rsidRPr="002A30F7" w:rsidTr="00A107DB">
        <w:trPr>
          <w:trHeight w:val="17"/>
        </w:trPr>
        <w:tc>
          <w:tcPr>
            <w:tcW w:w="2470" w:type="dxa"/>
            <w:gridSpan w:val="2"/>
            <w:shd w:val="clear" w:color="auto" w:fill="auto"/>
          </w:tcPr>
          <w:p w:rsidR="005438A0" w:rsidRPr="002A30F7" w:rsidRDefault="005438A0" w:rsidP="004B6ADB">
            <w:pPr>
              <w:rPr>
                <w:rFonts w:eastAsia="Times New Roman" w:cstheme="minorHAnsi"/>
                <w:sz w:val="18"/>
                <w:szCs w:val="18"/>
                <w:lang w:eastAsia="en-AU"/>
              </w:rPr>
            </w:pPr>
            <w:r w:rsidRPr="002A30F7">
              <w:rPr>
                <w:rFonts w:eastAsia="Times New Roman" w:cstheme="minorHAnsi"/>
                <w:sz w:val="18"/>
                <w:szCs w:val="18"/>
                <w:lang w:eastAsia="en-AU"/>
              </w:rPr>
              <w:t>Improve access to basic services in the Bangsamoro and vulnerable communities</w:t>
            </w:r>
          </w:p>
        </w:tc>
        <w:tc>
          <w:tcPr>
            <w:tcW w:w="2905" w:type="dxa"/>
            <w:shd w:val="clear" w:color="auto" w:fill="auto"/>
          </w:tcPr>
          <w:p w:rsidR="005438A0" w:rsidRPr="002A30F7" w:rsidRDefault="005438A0" w:rsidP="00021FAA">
            <w:pPr>
              <w:rPr>
                <w:rFonts w:eastAsia="Times New Roman" w:cstheme="minorHAnsi"/>
                <w:sz w:val="18"/>
                <w:szCs w:val="18"/>
                <w:lang w:eastAsia="en-AU"/>
              </w:rPr>
            </w:pPr>
            <w:r w:rsidRPr="002A30F7">
              <w:rPr>
                <w:rFonts w:eastAsia="Times New Roman" w:cstheme="minorHAnsi"/>
                <w:sz w:val="18"/>
                <w:szCs w:val="18"/>
                <w:lang w:eastAsia="en-AU"/>
              </w:rPr>
              <w:t>Participation rates of boys and girls in Kindergarten to Grade 3 in target areas in BARMM increase</w:t>
            </w:r>
          </w:p>
        </w:tc>
        <w:tc>
          <w:tcPr>
            <w:tcW w:w="2689" w:type="dxa"/>
            <w:gridSpan w:val="3"/>
            <w:shd w:val="clear" w:color="auto" w:fill="auto"/>
          </w:tcPr>
          <w:p w:rsidR="005438A0" w:rsidRPr="002A30F7" w:rsidRDefault="00676AC6" w:rsidP="00021FAA">
            <w:pPr>
              <w:rPr>
                <w:rFonts w:eastAsia="Times New Roman" w:cstheme="minorHAnsi"/>
                <w:sz w:val="18"/>
                <w:szCs w:val="18"/>
                <w:lang w:eastAsia="en-AU"/>
              </w:rPr>
            </w:pPr>
            <w:r w:rsidRPr="00676AC6">
              <w:rPr>
                <w:rFonts w:eastAsia="Times New Roman" w:cstheme="minorHAnsi"/>
                <w:sz w:val="18"/>
                <w:szCs w:val="18"/>
                <w:lang w:eastAsia="en-AU"/>
              </w:rPr>
              <w:t>Bangsamoro Government issues a policy enabling third party delivery of education services in remote and conflict-affected areas</w:t>
            </w:r>
          </w:p>
        </w:tc>
        <w:tc>
          <w:tcPr>
            <w:tcW w:w="1575" w:type="dxa"/>
            <w:shd w:val="clear" w:color="auto" w:fill="auto"/>
          </w:tcPr>
          <w:p w:rsidR="005438A0" w:rsidRPr="002A30F7" w:rsidRDefault="005438A0" w:rsidP="006C7931">
            <w:pPr>
              <w:jc w:val="center"/>
              <w:rPr>
                <w:rFonts w:eastAsia="Times New Roman" w:cstheme="minorHAnsi"/>
                <w:sz w:val="18"/>
                <w:szCs w:val="18"/>
                <w:lang w:eastAsia="en-AU"/>
              </w:rPr>
            </w:pPr>
            <w:r w:rsidRPr="002A30F7">
              <w:rPr>
                <w:rFonts w:eastAsia="Times New Roman" w:cstheme="minorHAnsi"/>
                <w:sz w:val="18"/>
                <w:szCs w:val="18"/>
                <w:lang w:eastAsia="en-AU"/>
              </w:rPr>
              <w:t>PATHWAYS</w:t>
            </w:r>
          </w:p>
        </w:tc>
      </w:tr>
      <w:tr w:rsidR="005438A0" w:rsidRPr="002A30F7" w:rsidTr="00A107DB">
        <w:trPr>
          <w:trHeight w:val="17"/>
        </w:trPr>
        <w:tc>
          <w:tcPr>
            <w:tcW w:w="2470" w:type="dxa"/>
            <w:gridSpan w:val="2"/>
            <w:shd w:val="clear" w:color="auto" w:fill="auto"/>
            <w:hideMark/>
          </w:tcPr>
          <w:p w:rsidR="005438A0" w:rsidRPr="002A30F7" w:rsidRDefault="005438A0" w:rsidP="00021FAA">
            <w:pPr>
              <w:rPr>
                <w:rFonts w:eastAsia="Times New Roman" w:cstheme="minorHAnsi"/>
                <w:sz w:val="18"/>
                <w:szCs w:val="18"/>
                <w:lang w:eastAsia="en-AU"/>
              </w:rPr>
            </w:pPr>
            <w:r w:rsidRPr="002A30F7">
              <w:rPr>
                <w:rFonts w:eastAsia="Times New Roman" w:cstheme="minorHAnsi"/>
                <w:sz w:val="18"/>
                <w:szCs w:val="18"/>
                <w:lang w:eastAsia="en-AU"/>
              </w:rPr>
              <w:t>Enhance capacity of communities and institutions to promote peace, security and resilience</w:t>
            </w:r>
          </w:p>
        </w:tc>
        <w:tc>
          <w:tcPr>
            <w:tcW w:w="2905" w:type="dxa"/>
            <w:shd w:val="clear" w:color="auto" w:fill="auto"/>
            <w:hideMark/>
          </w:tcPr>
          <w:p w:rsidR="005438A0" w:rsidRPr="002A30F7" w:rsidRDefault="005438A0" w:rsidP="00021FAA">
            <w:pPr>
              <w:rPr>
                <w:rFonts w:eastAsia="Times New Roman" w:cstheme="minorHAnsi"/>
                <w:sz w:val="18"/>
                <w:szCs w:val="18"/>
                <w:lang w:eastAsia="en-AU"/>
              </w:rPr>
            </w:pPr>
            <w:r w:rsidRPr="002A30F7">
              <w:rPr>
                <w:rFonts w:eastAsia="Times New Roman" w:cstheme="minorHAnsi"/>
                <w:sz w:val="18"/>
                <w:szCs w:val="18"/>
                <w:lang w:eastAsia="en-AU"/>
              </w:rPr>
              <w:t>Local community and non-government mechanisms for conflict resolution and countering violent extremism are established and/or strengthened</w:t>
            </w:r>
          </w:p>
        </w:tc>
        <w:tc>
          <w:tcPr>
            <w:tcW w:w="2689" w:type="dxa"/>
            <w:gridSpan w:val="3"/>
            <w:shd w:val="clear" w:color="auto" w:fill="auto"/>
            <w:hideMark/>
          </w:tcPr>
          <w:p w:rsidR="005438A0" w:rsidRPr="002A30F7" w:rsidRDefault="005438A0" w:rsidP="006C7931">
            <w:pPr>
              <w:rPr>
                <w:rFonts w:eastAsia="Times New Roman" w:cstheme="minorHAnsi"/>
                <w:sz w:val="18"/>
                <w:szCs w:val="18"/>
                <w:lang w:eastAsia="en-AU"/>
              </w:rPr>
            </w:pPr>
            <w:r w:rsidRPr="002A30F7">
              <w:rPr>
                <w:rFonts w:eastAsia="Times New Roman" w:cstheme="minorHAnsi"/>
                <w:sz w:val="18"/>
                <w:szCs w:val="18"/>
                <w:lang w:eastAsia="en-AU"/>
              </w:rPr>
              <w:t>Number of local conflicts resolved</w:t>
            </w:r>
          </w:p>
        </w:tc>
        <w:tc>
          <w:tcPr>
            <w:tcW w:w="1575" w:type="dxa"/>
            <w:shd w:val="clear" w:color="auto" w:fill="auto"/>
            <w:hideMark/>
          </w:tcPr>
          <w:p w:rsidR="005438A0" w:rsidRPr="002A30F7" w:rsidRDefault="005438A0" w:rsidP="006C7931">
            <w:pPr>
              <w:jc w:val="center"/>
              <w:rPr>
                <w:rFonts w:eastAsia="Times New Roman" w:cstheme="minorHAnsi"/>
                <w:sz w:val="18"/>
                <w:szCs w:val="18"/>
                <w:lang w:eastAsia="en-AU"/>
              </w:rPr>
            </w:pPr>
            <w:r w:rsidRPr="002A30F7">
              <w:rPr>
                <w:rFonts w:eastAsia="Times New Roman" w:cstheme="minorHAnsi"/>
                <w:sz w:val="18"/>
                <w:szCs w:val="18"/>
                <w:lang w:eastAsia="en-AU"/>
              </w:rPr>
              <w:t>PCAM</w:t>
            </w:r>
          </w:p>
        </w:tc>
      </w:tr>
      <w:tr w:rsidR="005438A0" w:rsidRPr="002A30F7" w:rsidTr="00A107DB">
        <w:trPr>
          <w:trHeight w:val="17"/>
        </w:trPr>
        <w:tc>
          <w:tcPr>
            <w:tcW w:w="2470" w:type="dxa"/>
            <w:gridSpan w:val="2"/>
            <w:shd w:val="clear" w:color="auto" w:fill="auto"/>
            <w:hideMark/>
          </w:tcPr>
          <w:p w:rsidR="005438A0" w:rsidRPr="002A30F7" w:rsidRDefault="005438A0" w:rsidP="00021FAA">
            <w:pPr>
              <w:rPr>
                <w:rFonts w:eastAsia="Times New Roman" w:cstheme="minorHAnsi"/>
                <w:sz w:val="18"/>
                <w:szCs w:val="18"/>
                <w:lang w:eastAsia="en-AU"/>
              </w:rPr>
            </w:pPr>
          </w:p>
        </w:tc>
        <w:tc>
          <w:tcPr>
            <w:tcW w:w="2905" w:type="dxa"/>
            <w:shd w:val="clear" w:color="auto" w:fill="auto"/>
            <w:hideMark/>
          </w:tcPr>
          <w:p w:rsidR="005438A0" w:rsidRPr="002A30F7" w:rsidRDefault="005438A0" w:rsidP="00021FAA">
            <w:pPr>
              <w:rPr>
                <w:rFonts w:eastAsia="Times New Roman" w:cstheme="minorHAnsi"/>
                <w:sz w:val="18"/>
                <w:szCs w:val="18"/>
                <w:lang w:eastAsia="en-AU"/>
              </w:rPr>
            </w:pPr>
            <w:r w:rsidRPr="002A30F7">
              <w:rPr>
                <w:rFonts w:eastAsia="Times New Roman" w:cstheme="minorHAnsi"/>
                <w:sz w:val="18"/>
                <w:szCs w:val="18"/>
                <w:lang w:eastAsia="en-AU"/>
              </w:rPr>
              <w:t>Vulnerable women, men, girls and boys in conflict and crisis situations are provided assistance</w:t>
            </w:r>
          </w:p>
        </w:tc>
        <w:tc>
          <w:tcPr>
            <w:tcW w:w="2689" w:type="dxa"/>
            <w:gridSpan w:val="3"/>
            <w:shd w:val="clear" w:color="auto" w:fill="auto"/>
            <w:hideMark/>
          </w:tcPr>
          <w:p w:rsidR="005438A0" w:rsidRPr="002A30F7" w:rsidRDefault="005438A0" w:rsidP="006C7931">
            <w:pPr>
              <w:rPr>
                <w:rFonts w:eastAsia="Times New Roman" w:cstheme="minorHAnsi"/>
                <w:sz w:val="18"/>
                <w:szCs w:val="18"/>
                <w:lang w:eastAsia="en-AU"/>
              </w:rPr>
            </w:pPr>
            <w:r w:rsidRPr="002A30F7">
              <w:rPr>
                <w:rFonts w:eastAsia="Times New Roman" w:cstheme="minorHAnsi"/>
                <w:sz w:val="18"/>
                <w:szCs w:val="18"/>
                <w:lang w:eastAsia="en-AU"/>
              </w:rPr>
              <w:t>Number of women, men, girls and boys who receive Australian-supported assistance</w:t>
            </w:r>
          </w:p>
        </w:tc>
        <w:tc>
          <w:tcPr>
            <w:tcW w:w="1575" w:type="dxa"/>
            <w:shd w:val="clear" w:color="auto" w:fill="auto"/>
            <w:hideMark/>
          </w:tcPr>
          <w:p w:rsidR="005438A0" w:rsidRPr="002A30F7" w:rsidRDefault="005438A0" w:rsidP="006C7931">
            <w:pPr>
              <w:jc w:val="center"/>
              <w:rPr>
                <w:rFonts w:eastAsia="Times New Roman" w:cstheme="minorHAnsi"/>
                <w:sz w:val="18"/>
                <w:szCs w:val="18"/>
                <w:lang w:eastAsia="en-AU"/>
              </w:rPr>
            </w:pPr>
            <w:r w:rsidRPr="002A30F7">
              <w:rPr>
                <w:rFonts w:eastAsia="Times New Roman" w:cstheme="minorHAnsi"/>
                <w:sz w:val="18"/>
                <w:szCs w:val="18"/>
                <w:lang w:eastAsia="en-AU"/>
              </w:rPr>
              <w:t>RRAP / MRP</w:t>
            </w:r>
          </w:p>
        </w:tc>
      </w:tr>
    </w:tbl>
    <w:p w:rsidR="005438A0" w:rsidRDefault="005438A0"/>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p w:rsidR="00CA7DD8" w:rsidRDefault="00CA7DD8" w:rsidP="00784031"/>
    <w:sectPr w:rsidR="00CA7DD8" w:rsidSect="007D669D">
      <w:headerReference w:type="default" r:id="rId32"/>
      <w:footerReference w:type="default" r:id="rId33"/>
      <w:pgSz w:w="11906" w:h="16838" w:code="9"/>
      <w:pgMar w:top="1418" w:right="1134" w:bottom="1418" w:left="1134" w:header="1418" w:footer="14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BA" w:rsidRDefault="00A33BBA" w:rsidP="00EF4574">
      <w:pPr>
        <w:spacing w:before="0" w:after="0" w:line="240" w:lineRule="auto"/>
      </w:pPr>
      <w:r>
        <w:separator/>
      </w:r>
    </w:p>
  </w:endnote>
  <w:endnote w:type="continuationSeparator" w:id="0">
    <w:p w:rsidR="00A33BBA" w:rsidRDefault="00A33BBA" w:rsidP="00EF4574">
      <w:pPr>
        <w:spacing w:before="0" w:after="0" w:line="240" w:lineRule="auto"/>
      </w:pPr>
      <w:r>
        <w:continuationSeparator/>
      </w:r>
    </w:p>
  </w:endnote>
  <w:endnote w:type="continuationNotice" w:id="1">
    <w:p w:rsidR="00A33BBA" w:rsidRDefault="00A33B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989" w:rsidRDefault="00591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989" w:rsidRDefault="00591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AA" w:rsidRPr="00CD0E4B" w:rsidRDefault="00021FAA" w:rsidP="005D3EC4">
    <w:pPr>
      <w:pStyle w:val="Footer"/>
    </w:pPr>
    <w:r w:rsidRPr="00CD0E4B">
      <w:rPr>
        <w:noProof/>
        <w:lang w:val="en-AU" w:eastAsia="en-AU"/>
      </w:rPr>
      <w:drawing>
        <wp:inline distT="0" distB="0" distL="0" distR="0" wp14:anchorId="6EA6C48E" wp14:editId="0ECF61A4">
          <wp:extent cx="90000" cy="74520"/>
          <wp:effectExtent l="0" t="0" r="571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021FAA" w:rsidRPr="00CD0E4B" w:rsidRDefault="00021FAA" w:rsidP="00784031">
    <w:pPr>
      <w:pStyle w:val="Footer"/>
      <w:rPr>
        <w:color w:val="ACD08C" w:themeColor="accent3"/>
      </w:rPr>
    </w:pPr>
    <w:r w:rsidRPr="00CD0E4B">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AA" w:rsidRPr="001D7FC1" w:rsidRDefault="00021FAA" w:rsidP="00F93637">
    <w:pPr>
      <w:pStyle w:val="Footer"/>
      <w:tabs>
        <w:tab w:val="left" w:pos="8430"/>
        <w:tab w:val="right" w:pos="9354"/>
      </w:tabs>
    </w:pPr>
    <w:r>
      <w:tab/>
    </w:r>
    <w:r w:rsidRPr="00CD0E4B">
      <w:rPr>
        <w:noProof/>
        <w:lang w:val="en-AU" w:eastAsia="en-AU"/>
      </w:rPr>
      <w:drawing>
        <wp:inline distT="0" distB="0" distL="0" distR="0" wp14:anchorId="28A9A9EB" wp14:editId="0FE85B64">
          <wp:extent cx="90000" cy="74520"/>
          <wp:effectExtent l="0" t="0" r="571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021FAA" w:rsidRDefault="00021FAA" w:rsidP="00F93637">
    <w:pPr>
      <w:pStyle w:val="Footer"/>
      <w:rPr>
        <w:color w:val="ACD08C" w:themeColor="accent3"/>
      </w:rPr>
    </w:pPr>
    <w:r w:rsidRPr="00CD0E4B">
      <w:rPr>
        <w:color w:val="ACD08C" w:themeColor="accent3"/>
      </w:rPr>
      <w:t>DFAT.GOV.AU</w:t>
    </w:r>
  </w:p>
  <w:p w:rsidR="00021FAA" w:rsidRDefault="00021FAA" w:rsidP="00F93637">
    <w:pPr>
      <w:pStyle w:val="Footer"/>
      <w:jc w:val="center"/>
    </w:pPr>
    <w:r>
      <w:fldChar w:fldCharType="begin"/>
    </w:r>
    <w:r>
      <w:instrText xml:space="preserve"> PAGE   \* MERGEFORMAT </w:instrText>
    </w:r>
    <w:r>
      <w:fldChar w:fldCharType="separate"/>
    </w:r>
    <w:r w:rsidR="00591989">
      <w:rPr>
        <w:noProof/>
      </w:rPr>
      <w:t>3</w:t>
    </w:r>
    <w:r>
      <w:rPr>
        <w:noProof/>
      </w:rPr>
      <w:fldChar w:fldCharType="end"/>
    </w:r>
  </w:p>
  <w:p w:rsidR="00021FAA" w:rsidRDefault="00021F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AA" w:rsidRPr="001D7FC1" w:rsidRDefault="00021FAA" w:rsidP="00F93637">
    <w:pPr>
      <w:pStyle w:val="Footer"/>
      <w:tabs>
        <w:tab w:val="left" w:pos="8430"/>
        <w:tab w:val="right" w:pos="9354"/>
      </w:tabs>
    </w:pPr>
    <w:r>
      <w:tab/>
    </w:r>
  </w:p>
  <w:p w:rsidR="00021FAA" w:rsidRPr="001D7FC1" w:rsidRDefault="00021FAA" w:rsidP="00F93637">
    <w:pPr>
      <w:pStyle w:val="Footer"/>
      <w:tabs>
        <w:tab w:val="left" w:pos="8430"/>
        <w:tab w:val="right" w:pos="9354"/>
      </w:tabs>
    </w:pPr>
    <w:r w:rsidRPr="00CD0E4B">
      <w:rPr>
        <w:noProof/>
        <w:lang w:val="en-AU" w:eastAsia="en-AU"/>
      </w:rPr>
      <w:drawing>
        <wp:inline distT="0" distB="0" distL="0" distR="0" wp14:anchorId="7CB528CF" wp14:editId="4CEB8F80">
          <wp:extent cx="90000" cy="74520"/>
          <wp:effectExtent l="0" t="0" r="5715"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021FAA" w:rsidRDefault="00021FAA" w:rsidP="00F93637">
    <w:pPr>
      <w:pStyle w:val="Footer"/>
      <w:ind w:left="6480" w:firstLine="720"/>
      <w:jc w:val="left"/>
    </w:pPr>
    <w:r>
      <w:fldChar w:fldCharType="begin"/>
    </w:r>
    <w:r>
      <w:instrText xml:space="preserve"> PAGE   \* MERGEFORMAT </w:instrText>
    </w:r>
    <w:r>
      <w:fldChar w:fldCharType="separate"/>
    </w:r>
    <w:r w:rsidR="00591989">
      <w:rPr>
        <w:noProof/>
      </w:rPr>
      <w:t>19</w:t>
    </w:r>
    <w:r>
      <w:rPr>
        <w:noProof/>
      </w:rPr>
      <w:fldChar w:fldCharType="end"/>
    </w:r>
    <w:r>
      <w:rPr>
        <w:noProof/>
      </w:rPr>
      <w:tab/>
    </w:r>
    <w:r>
      <w:rPr>
        <w:noProof/>
      </w:rPr>
      <w:tab/>
    </w:r>
    <w:r>
      <w:rPr>
        <w:noProof/>
      </w:rPr>
      <w:tab/>
    </w:r>
    <w:r>
      <w:rPr>
        <w:noProof/>
      </w:rPr>
      <w:tab/>
    </w:r>
    <w:r>
      <w:rPr>
        <w:noProof/>
      </w:rPr>
      <w:tab/>
    </w:r>
    <w:r>
      <w:rPr>
        <w:noProof/>
      </w:rPr>
      <w:tab/>
    </w:r>
    <w:r>
      <w:rPr>
        <w:noProof/>
      </w:rPr>
      <w:tab/>
      <w:t xml:space="preserve">    </w:t>
    </w:r>
    <w:r w:rsidRPr="00CD0E4B">
      <w:rPr>
        <w:color w:val="ACD08C" w:themeColor="accent3"/>
      </w:rPr>
      <w:t>DFAT.GOV.AU</w:t>
    </w:r>
  </w:p>
  <w:p w:rsidR="00021FAA" w:rsidRDefault="00021F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AA" w:rsidRPr="001D7FC1" w:rsidRDefault="00021FAA" w:rsidP="00F93637">
    <w:pPr>
      <w:pStyle w:val="Footer"/>
      <w:tabs>
        <w:tab w:val="left" w:pos="8430"/>
        <w:tab w:val="right" w:pos="9354"/>
      </w:tabs>
    </w:pPr>
    <w:r>
      <w:tab/>
    </w:r>
    <w:r w:rsidRPr="00CD0E4B">
      <w:rPr>
        <w:noProof/>
        <w:lang w:val="en-AU" w:eastAsia="en-AU"/>
      </w:rPr>
      <w:drawing>
        <wp:inline distT="0" distB="0" distL="0" distR="0" wp14:anchorId="22E9D58C" wp14:editId="7FB228E2">
          <wp:extent cx="90000" cy="74520"/>
          <wp:effectExtent l="0" t="0" r="571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021FAA" w:rsidRDefault="00021FAA" w:rsidP="00F93637">
    <w:pPr>
      <w:pStyle w:val="Footer"/>
      <w:rPr>
        <w:color w:val="ACD08C" w:themeColor="accent3"/>
      </w:rPr>
    </w:pPr>
    <w:r w:rsidRPr="00CD0E4B">
      <w:rPr>
        <w:color w:val="ACD08C" w:themeColor="accent3"/>
      </w:rPr>
      <w:t>DFAT.GOV.AU</w:t>
    </w:r>
  </w:p>
  <w:p w:rsidR="00021FAA" w:rsidRDefault="00021FAA" w:rsidP="00F93637">
    <w:pPr>
      <w:pStyle w:val="Footer"/>
      <w:jc w:val="center"/>
    </w:pPr>
    <w:r>
      <w:fldChar w:fldCharType="begin"/>
    </w:r>
    <w:r>
      <w:instrText xml:space="preserve"> PAGE   \* MERGEFORMAT </w:instrText>
    </w:r>
    <w:r>
      <w:fldChar w:fldCharType="separate"/>
    </w:r>
    <w:r w:rsidR="00591989">
      <w:rPr>
        <w:noProof/>
      </w:rPr>
      <w:t>21</w:t>
    </w:r>
    <w:r>
      <w:rPr>
        <w:noProof/>
      </w:rPr>
      <w:fldChar w:fldCharType="end"/>
    </w:r>
  </w:p>
  <w:p w:rsidR="00021FAA" w:rsidRDefault="0002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BA" w:rsidRPr="008C5A0E" w:rsidRDefault="00A33BBA" w:rsidP="001D663E">
      <w:pPr>
        <w:pStyle w:val="Footer"/>
        <w:pBdr>
          <w:top w:val="single" w:sz="4" w:space="1" w:color="495965" w:themeColor="text2"/>
        </w:pBdr>
      </w:pPr>
    </w:p>
  </w:footnote>
  <w:footnote w:type="continuationSeparator" w:id="0">
    <w:p w:rsidR="00A33BBA" w:rsidRDefault="00A33BBA" w:rsidP="00EF4574">
      <w:pPr>
        <w:spacing w:before="0" w:after="0" w:line="240" w:lineRule="auto"/>
      </w:pPr>
      <w:r>
        <w:continuationSeparator/>
      </w:r>
    </w:p>
  </w:footnote>
  <w:footnote w:type="continuationNotice" w:id="1">
    <w:p w:rsidR="00A33BBA" w:rsidRDefault="00A33BBA">
      <w:pPr>
        <w:spacing w:before="0" w:after="0" w:line="240" w:lineRule="auto"/>
      </w:pPr>
    </w:p>
  </w:footnote>
  <w:footnote w:id="2">
    <w:p w:rsidR="00021FAA" w:rsidRPr="009635B1" w:rsidRDefault="00021FAA" w:rsidP="001D7FC1">
      <w:pPr>
        <w:pStyle w:val="FootnoteText"/>
        <w:spacing w:before="0"/>
        <w:rPr>
          <w:lang w:val="en-AU"/>
        </w:rPr>
      </w:pPr>
      <w:r w:rsidRPr="001D7FC1">
        <w:rPr>
          <w:rStyle w:val="FootnoteReference"/>
          <w:sz w:val="16"/>
        </w:rPr>
        <w:footnoteRef/>
      </w:r>
      <w:r w:rsidRPr="001D7FC1">
        <w:rPr>
          <w:sz w:val="16"/>
        </w:rPr>
        <w:t xml:space="preserve"> The WEF ranked 144 counties based on 4 categories: labour force participation, educational attainment, health and survival, and political empowerment</w:t>
      </w:r>
    </w:p>
  </w:footnote>
  <w:footnote w:id="3">
    <w:p w:rsidR="00021FAA" w:rsidRPr="004D53B0" w:rsidRDefault="00021FAA" w:rsidP="00DC204E">
      <w:pPr>
        <w:pStyle w:val="FootnoteText"/>
        <w:spacing w:before="0"/>
        <w:rPr>
          <w:lang w:val="en-AU"/>
        </w:rPr>
      </w:pPr>
      <w:r w:rsidRPr="001D7FC1">
        <w:rPr>
          <w:rStyle w:val="FootnoteReference"/>
          <w:sz w:val="16"/>
        </w:rPr>
        <w:footnoteRef/>
      </w:r>
      <w:r w:rsidRPr="001D7FC1">
        <w:rPr>
          <w:sz w:val="16"/>
        </w:rPr>
        <w:t xml:space="preserve"> ‘</w:t>
      </w:r>
      <w:r w:rsidRPr="001D7FC1">
        <w:rPr>
          <w:sz w:val="16"/>
          <w:lang w:val="en-AU"/>
        </w:rPr>
        <w:t xml:space="preserve">PH marks start of war vs fuel smugglers’, </w:t>
      </w:r>
      <w:r w:rsidRPr="001D7FC1">
        <w:rPr>
          <w:i/>
          <w:sz w:val="16"/>
          <w:lang w:val="en-AU"/>
        </w:rPr>
        <w:t>Philippine Daily Inquirer</w:t>
      </w:r>
      <w:r w:rsidRPr="001D7FC1">
        <w:rPr>
          <w:sz w:val="16"/>
          <w:lang w:val="en-AU"/>
        </w:rPr>
        <w:t>, 28 February 2019 &lt;</w:t>
      </w:r>
      <w:r w:rsidRPr="001D7FC1">
        <w:rPr>
          <w:sz w:val="16"/>
        </w:rPr>
        <w:t xml:space="preserve"> </w:t>
      </w:r>
      <w:hyperlink r:id="rId1" w:history="1">
        <w:r w:rsidRPr="001D7FC1">
          <w:rPr>
            <w:rStyle w:val="Hyperlink"/>
            <w:rFonts w:cstheme="minorBidi"/>
            <w:color w:val="495965" w:themeColor="text2"/>
            <w:sz w:val="16"/>
            <w:lang w:val="en-AU"/>
          </w:rPr>
          <w:t>https://business.inquirer.net/265791/ph-marks-start-of-war-vs-fuel-smugglers</w:t>
        </w:r>
      </w:hyperlink>
      <w:r w:rsidRPr="001D7FC1">
        <w:rPr>
          <w:sz w:val="16"/>
          <w:lang w:val="en-AU"/>
        </w:rPr>
        <w:t>&gt;, (accessed 21 August 2019)</w:t>
      </w:r>
    </w:p>
  </w:footnote>
  <w:footnote w:id="4">
    <w:p w:rsidR="00021FAA" w:rsidRPr="00671D80" w:rsidRDefault="00021FAA" w:rsidP="001D7FC1">
      <w:pPr>
        <w:pStyle w:val="FootnoteText"/>
        <w:spacing w:before="0"/>
        <w:rPr>
          <w:lang w:val="en-AU"/>
        </w:rPr>
      </w:pPr>
      <w:r w:rsidRPr="001D7FC1">
        <w:rPr>
          <w:rStyle w:val="FootnoteReference"/>
          <w:sz w:val="16"/>
        </w:rPr>
        <w:footnoteRef/>
      </w:r>
      <w:r w:rsidRPr="001D7FC1">
        <w:rPr>
          <w:sz w:val="16"/>
        </w:rPr>
        <w:t xml:space="preserve"> </w:t>
      </w:r>
      <w:r w:rsidRPr="001D7FC1">
        <w:rPr>
          <w:sz w:val="16"/>
          <w:lang w:val="en-AU"/>
        </w:rPr>
        <w:t xml:space="preserve">List of live sites as of July 31, 2019, </w:t>
      </w:r>
      <w:r w:rsidRPr="001D7FC1">
        <w:rPr>
          <w:i/>
          <w:sz w:val="16"/>
          <w:lang w:val="en-AU"/>
        </w:rPr>
        <w:t>Free WiFi for All</w:t>
      </w:r>
      <w:r w:rsidRPr="001D7FC1">
        <w:rPr>
          <w:sz w:val="16"/>
          <w:lang w:val="en-AU"/>
        </w:rPr>
        <w:t xml:space="preserve"> [website], &lt;http://freepublicwifi.gov.ph/livehotspots/&gt;, (accessed 21 August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989" w:rsidRDefault="00591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AA" w:rsidRPr="00333501" w:rsidRDefault="00021FAA" w:rsidP="008F56A8">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AA" w:rsidRPr="003D352D" w:rsidRDefault="00021FAA" w:rsidP="003D352D">
    <w:pPr>
      <w:pStyle w:val="Header"/>
      <w:jc w:val="left"/>
    </w:pPr>
    <w:r>
      <w:rPr>
        <w:noProof/>
        <w:lang w:val="en-AU" w:eastAsia="en-AU"/>
      </w:rPr>
      <w:drawing>
        <wp:anchor distT="0" distB="0" distL="114300" distR="114300" simplePos="0" relativeHeight="251695104" behindDoc="1" locked="1" layoutInCell="1" allowOverlap="1" wp14:anchorId="71A1916B" wp14:editId="5E549A0D">
          <wp:simplePos x="0" y="0"/>
          <wp:positionH relativeFrom="page">
            <wp:posOffset>7620</wp:posOffset>
          </wp:positionH>
          <wp:positionV relativeFrom="page">
            <wp:posOffset>7620</wp:posOffset>
          </wp:positionV>
          <wp:extent cx="10662285" cy="7545705"/>
          <wp:effectExtent l="0" t="0" r="5715" b="0"/>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AA" w:rsidRPr="00333501" w:rsidRDefault="00021FAA" w:rsidP="008F56A8">
    <w:pPr>
      <w:pStyle w:val="Header"/>
      <w:jc w:val="left"/>
    </w:pPr>
    <w:r>
      <w:rPr>
        <w:noProof/>
        <w:lang w:val="en-AU" w:eastAsia="en-AU"/>
      </w:rPr>
      <w:drawing>
        <wp:anchor distT="0" distB="0" distL="114300" distR="114300" simplePos="0" relativeHeight="251697152" behindDoc="1" locked="1" layoutInCell="1" allowOverlap="1" wp14:anchorId="398757ED" wp14:editId="1844F259">
          <wp:simplePos x="0" y="0"/>
          <wp:positionH relativeFrom="page">
            <wp:posOffset>-11430</wp:posOffset>
          </wp:positionH>
          <wp:positionV relativeFrom="page">
            <wp:posOffset>11430</wp:posOffset>
          </wp:positionV>
          <wp:extent cx="7545705" cy="1065974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659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AA" w:rsidRPr="00333501" w:rsidRDefault="00021FAA" w:rsidP="008F56A8">
    <w:pPr>
      <w:pStyle w:val="Header"/>
      <w:jc w:val="left"/>
    </w:pPr>
    <w:r>
      <w:rPr>
        <w:noProof/>
        <w:lang w:val="en-AU" w:eastAsia="en-AU"/>
      </w:rPr>
      <w:drawing>
        <wp:anchor distT="0" distB="0" distL="114300" distR="114300" simplePos="0" relativeHeight="251699200" behindDoc="1" locked="1" layoutInCell="1" allowOverlap="1" wp14:anchorId="52A0CAEF" wp14:editId="7D960671">
          <wp:simplePos x="0" y="0"/>
          <wp:positionH relativeFrom="page">
            <wp:posOffset>0</wp:posOffset>
          </wp:positionH>
          <wp:positionV relativeFrom="page">
            <wp:posOffset>11430</wp:posOffset>
          </wp:positionV>
          <wp:extent cx="10687685" cy="7536180"/>
          <wp:effectExtent l="0" t="0" r="0" b="76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687685" cy="7536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AA" w:rsidRPr="00333501" w:rsidRDefault="00021FAA" w:rsidP="008F56A8">
    <w:pPr>
      <w:pStyle w:val="Header"/>
      <w:jc w:val="left"/>
    </w:pPr>
    <w:r>
      <w:rPr>
        <w:noProof/>
        <w:lang w:val="en-AU" w:eastAsia="en-AU"/>
      </w:rPr>
      <w:drawing>
        <wp:anchor distT="0" distB="0" distL="114300" distR="114300" simplePos="0" relativeHeight="251701248" behindDoc="1" locked="1" layoutInCell="1" allowOverlap="1" wp14:anchorId="3BFFAB80" wp14:editId="5A632A09">
          <wp:simplePos x="0" y="0"/>
          <wp:positionH relativeFrom="page">
            <wp:posOffset>-3810</wp:posOffset>
          </wp:positionH>
          <wp:positionV relativeFrom="page">
            <wp:posOffset>-14605</wp:posOffset>
          </wp:positionV>
          <wp:extent cx="7545705" cy="10777855"/>
          <wp:effectExtent l="0" t="0" r="0"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77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23D359E"/>
    <w:multiLevelType w:val="hybridMultilevel"/>
    <w:tmpl w:val="4FB42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02E15"/>
    <w:multiLevelType w:val="hybridMultilevel"/>
    <w:tmpl w:val="43905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80E3F99"/>
    <w:multiLevelType w:val="hybridMultilevel"/>
    <w:tmpl w:val="099AC6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0745B"/>
    <w:multiLevelType w:val="hybridMultilevel"/>
    <w:tmpl w:val="4F969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C53E78"/>
    <w:multiLevelType w:val="hybridMultilevel"/>
    <w:tmpl w:val="9F005344"/>
    <w:lvl w:ilvl="0" w:tplc="D636863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3C1EA7"/>
    <w:multiLevelType w:val="multilevel"/>
    <w:tmpl w:val="43428892"/>
    <w:numStyleLink w:val="BulletsList"/>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05A21B6"/>
    <w:multiLevelType w:val="hybridMultilevel"/>
    <w:tmpl w:val="0D84E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167784"/>
    <w:multiLevelType w:val="hybridMultilevel"/>
    <w:tmpl w:val="CD92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C224C0"/>
    <w:multiLevelType w:val="hybridMultilevel"/>
    <w:tmpl w:val="16401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0"/>
  </w:num>
  <w:num w:numId="3">
    <w:abstractNumId w:val="4"/>
  </w:num>
  <w:num w:numId="4">
    <w:abstractNumId w:val="9"/>
  </w:num>
  <w:num w:numId="5">
    <w:abstractNumId w:val="11"/>
  </w:num>
  <w:num w:numId="6">
    <w:abstractNumId w:val="10"/>
  </w:num>
  <w:num w:numId="7">
    <w:abstractNumId w:val="4"/>
  </w:num>
  <w:num w:numId="8">
    <w:abstractNumId w:val="10"/>
  </w:num>
  <w:num w:numId="9">
    <w:abstractNumId w:val="0"/>
  </w:num>
  <w:num w:numId="10">
    <w:abstractNumId w:val="6"/>
  </w:num>
  <w:num w:numId="11">
    <w:abstractNumId w:val="1"/>
  </w:num>
  <w:num w:numId="12">
    <w:abstractNumId w:val="7"/>
  </w:num>
  <w:num w:numId="13">
    <w:abstractNumId w:val="13"/>
  </w:num>
  <w:num w:numId="14">
    <w:abstractNumId w:val="14"/>
  </w:num>
  <w:num w:numId="15">
    <w:abstractNumId w:val="8"/>
  </w:num>
  <w:num w:numId="16">
    <w:abstractNumId w:val="3"/>
  </w:num>
  <w:num w:numId="17">
    <w:abstractNumId w:val="2"/>
  </w:num>
  <w:num w:numId="18">
    <w:abstractNumId w:val="5"/>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92F"/>
    <w:rsid w:val="00001DA8"/>
    <w:rsid w:val="00005BB8"/>
    <w:rsid w:val="00011796"/>
    <w:rsid w:val="00015316"/>
    <w:rsid w:val="0002080A"/>
    <w:rsid w:val="00021FAA"/>
    <w:rsid w:val="0002782F"/>
    <w:rsid w:val="00027F29"/>
    <w:rsid w:val="00031512"/>
    <w:rsid w:val="0003278E"/>
    <w:rsid w:val="000332D7"/>
    <w:rsid w:val="00033AB7"/>
    <w:rsid w:val="00047FFB"/>
    <w:rsid w:val="000548AF"/>
    <w:rsid w:val="00054E4D"/>
    <w:rsid w:val="00055688"/>
    <w:rsid w:val="00060073"/>
    <w:rsid w:val="00060268"/>
    <w:rsid w:val="00063AEA"/>
    <w:rsid w:val="0007164C"/>
    <w:rsid w:val="00076146"/>
    <w:rsid w:val="00083E5B"/>
    <w:rsid w:val="00084483"/>
    <w:rsid w:val="00091476"/>
    <w:rsid w:val="000A2AE9"/>
    <w:rsid w:val="000A53A5"/>
    <w:rsid w:val="000D66D6"/>
    <w:rsid w:val="000E314A"/>
    <w:rsid w:val="000F1E5B"/>
    <w:rsid w:val="001103E6"/>
    <w:rsid w:val="00130665"/>
    <w:rsid w:val="00136054"/>
    <w:rsid w:val="0013672F"/>
    <w:rsid w:val="001502C9"/>
    <w:rsid w:val="001541EA"/>
    <w:rsid w:val="00162218"/>
    <w:rsid w:val="00166962"/>
    <w:rsid w:val="00166989"/>
    <w:rsid w:val="00167D94"/>
    <w:rsid w:val="001704B2"/>
    <w:rsid w:val="00174B8C"/>
    <w:rsid w:val="00180EB7"/>
    <w:rsid w:val="00184818"/>
    <w:rsid w:val="00186EA3"/>
    <w:rsid w:val="00192D95"/>
    <w:rsid w:val="00193EB1"/>
    <w:rsid w:val="001955A8"/>
    <w:rsid w:val="001A17D9"/>
    <w:rsid w:val="001B2AAD"/>
    <w:rsid w:val="001B3C09"/>
    <w:rsid w:val="001B5019"/>
    <w:rsid w:val="001B6B12"/>
    <w:rsid w:val="001C636C"/>
    <w:rsid w:val="001C6A16"/>
    <w:rsid w:val="001D5CCA"/>
    <w:rsid w:val="001D663E"/>
    <w:rsid w:val="001D7FC1"/>
    <w:rsid w:val="001E04A1"/>
    <w:rsid w:val="001E1DC0"/>
    <w:rsid w:val="001E347E"/>
    <w:rsid w:val="001E7A4D"/>
    <w:rsid w:val="001F0399"/>
    <w:rsid w:val="001F3160"/>
    <w:rsid w:val="001F6B1A"/>
    <w:rsid w:val="0020363F"/>
    <w:rsid w:val="002070CA"/>
    <w:rsid w:val="00215539"/>
    <w:rsid w:val="002309D8"/>
    <w:rsid w:val="002333EE"/>
    <w:rsid w:val="00236A53"/>
    <w:rsid w:val="00257BB4"/>
    <w:rsid w:val="00272117"/>
    <w:rsid w:val="00275B32"/>
    <w:rsid w:val="00275DB7"/>
    <w:rsid w:val="0027602A"/>
    <w:rsid w:val="002775CB"/>
    <w:rsid w:val="00284957"/>
    <w:rsid w:val="0028602A"/>
    <w:rsid w:val="002A30F7"/>
    <w:rsid w:val="002A51CA"/>
    <w:rsid w:val="002A6AC8"/>
    <w:rsid w:val="002A7E0B"/>
    <w:rsid w:val="002B26EA"/>
    <w:rsid w:val="002B3E95"/>
    <w:rsid w:val="002B5E10"/>
    <w:rsid w:val="002C2FA8"/>
    <w:rsid w:val="002C4B65"/>
    <w:rsid w:val="002D2B16"/>
    <w:rsid w:val="002D37BC"/>
    <w:rsid w:val="002D6009"/>
    <w:rsid w:val="002F43F6"/>
    <w:rsid w:val="003002C0"/>
    <w:rsid w:val="00301144"/>
    <w:rsid w:val="003018C8"/>
    <w:rsid w:val="003148B7"/>
    <w:rsid w:val="003158C3"/>
    <w:rsid w:val="00320251"/>
    <w:rsid w:val="00324651"/>
    <w:rsid w:val="003274CD"/>
    <w:rsid w:val="00332EC9"/>
    <w:rsid w:val="00333501"/>
    <w:rsid w:val="003350DD"/>
    <w:rsid w:val="003363FF"/>
    <w:rsid w:val="00336B19"/>
    <w:rsid w:val="00342074"/>
    <w:rsid w:val="003457C4"/>
    <w:rsid w:val="0035119D"/>
    <w:rsid w:val="00355959"/>
    <w:rsid w:val="00355D5B"/>
    <w:rsid w:val="00362511"/>
    <w:rsid w:val="0038507B"/>
    <w:rsid w:val="00385481"/>
    <w:rsid w:val="00385DFD"/>
    <w:rsid w:val="003A389C"/>
    <w:rsid w:val="003A44F8"/>
    <w:rsid w:val="003A4B00"/>
    <w:rsid w:val="003B4F12"/>
    <w:rsid w:val="003C3F97"/>
    <w:rsid w:val="003C7F6D"/>
    <w:rsid w:val="003D352D"/>
    <w:rsid w:val="003D7DCE"/>
    <w:rsid w:val="003E221A"/>
    <w:rsid w:val="003E2BE7"/>
    <w:rsid w:val="003F3C82"/>
    <w:rsid w:val="00400B0F"/>
    <w:rsid w:val="00402852"/>
    <w:rsid w:val="00402ACC"/>
    <w:rsid w:val="00402C0B"/>
    <w:rsid w:val="004120EC"/>
    <w:rsid w:val="004140FD"/>
    <w:rsid w:val="00423F31"/>
    <w:rsid w:val="00431899"/>
    <w:rsid w:val="00431E2C"/>
    <w:rsid w:val="0043564E"/>
    <w:rsid w:val="00444CF3"/>
    <w:rsid w:val="00454120"/>
    <w:rsid w:val="00456633"/>
    <w:rsid w:val="00460F1E"/>
    <w:rsid w:val="00463BB8"/>
    <w:rsid w:val="00470ACB"/>
    <w:rsid w:val="00481988"/>
    <w:rsid w:val="00483381"/>
    <w:rsid w:val="0048467E"/>
    <w:rsid w:val="00486804"/>
    <w:rsid w:val="004977A1"/>
    <w:rsid w:val="00497D18"/>
    <w:rsid w:val="004B31B8"/>
    <w:rsid w:val="004B3775"/>
    <w:rsid w:val="004B57E6"/>
    <w:rsid w:val="004B6ADB"/>
    <w:rsid w:val="004D0BA0"/>
    <w:rsid w:val="004D1FB4"/>
    <w:rsid w:val="004D43F3"/>
    <w:rsid w:val="004E0264"/>
    <w:rsid w:val="004E058F"/>
    <w:rsid w:val="004E3B87"/>
    <w:rsid w:val="004E4C52"/>
    <w:rsid w:val="004F437F"/>
    <w:rsid w:val="004F7208"/>
    <w:rsid w:val="00510921"/>
    <w:rsid w:val="00510AD3"/>
    <w:rsid w:val="00510FAB"/>
    <w:rsid w:val="00513348"/>
    <w:rsid w:val="00513A08"/>
    <w:rsid w:val="00516DFE"/>
    <w:rsid w:val="00517C6C"/>
    <w:rsid w:val="005228AC"/>
    <w:rsid w:val="00525DC0"/>
    <w:rsid w:val="00527DDE"/>
    <w:rsid w:val="00532D30"/>
    <w:rsid w:val="00533B5D"/>
    <w:rsid w:val="00534CCE"/>
    <w:rsid w:val="00537E9B"/>
    <w:rsid w:val="00537F20"/>
    <w:rsid w:val="00542BA4"/>
    <w:rsid w:val="005438A0"/>
    <w:rsid w:val="005470CA"/>
    <w:rsid w:val="005511BF"/>
    <w:rsid w:val="00556307"/>
    <w:rsid w:val="0059146A"/>
    <w:rsid w:val="0059150F"/>
    <w:rsid w:val="00591989"/>
    <w:rsid w:val="00592A37"/>
    <w:rsid w:val="00593221"/>
    <w:rsid w:val="0059483D"/>
    <w:rsid w:val="005966C6"/>
    <w:rsid w:val="005B128B"/>
    <w:rsid w:val="005B5769"/>
    <w:rsid w:val="005C1319"/>
    <w:rsid w:val="005C48F4"/>
    <w:rsid w:val="005D3655"/>
    <w:rsid w:val="005D3EC4"/>
    <w:rsid w:val="005D7DCF"/>
    <w:rsid w:val="005E0A54"/>
    <w:rsid w:val="005E606B"/>
    <w:rsid w:val="00600479"/>
    <w:rsid w:val="0060133A"/>
    <w:rsid w:val="00615669"/>
    <w:rsid w:val="00615AD4"/>
    <w:rsid w:val="0061777B"/>
    <w:rsid w:val="00622D55"/>
    <w:rsid w:val="00623283"/>
    <w:rsid w:val="00623BA1"/>
    <w:rsid w:val="006333B5"/>
    <w:rsid w:val="006346BC"/>
    <w:rsid w:val="006457D4"/>
    <w:rsid w:val="00657AEE"/>
    <w:rsid w:val="006602A7"/>
    <w:rsid w:val="0066652A"/>
    <w:rsid w:val="00670871"/>
    <w:rsid w:val="00670D59"/>
    <w:rsid w:val="0067397B"/>
    <w:rsid w:val="006766C2"/>
    <w:rsid w:val="00676AC6"/>
    <w:rsid w:val="006804A5"/>
    <w:rsid w:val="00680522"/>
    <w:rsid w:val="00681F08"/>
    <w:rsid w:val="00682167"/>
    <w:rsid w:val="00686F51"/>
    <w:rsid w:val="006926A1"/>
    <w:rsid w:val="00693DF5"/>
    <w:rsid w:val="006A4F9A"/>
    <w:rsid w:val="006A5F02"/>
    <w:rsid w:val="006B78A3"/>
    <w:rsid w:val="006C42AF"/>
    <w:rsid w:val="006C4F09"/>
    <w:rsid w:val="006C7931"/>
    <w:rsid w:val="006F1011"/>
    <w:rsid w:val="006F27B1"/>
    <w:rsid w:val="007047EA"/>
    <w:rsid w:val="007074F2"/>
    <w:rsid w:val="00711D8E"/>
    <w:rsid w:val="00712672"/>
    <w:rsid w:val="0072170F"/>
    <w:rsid w:val="00734E3F"/>
    <w:rsid w:val="00736985"/>
    <w:rsid w:val="0073786E"/>
    <w:rsid w:val="007417DF"/>
    <w:rsid w:val="007424F4"/>
    <w:rsid w:val="007434A1"/>
    <w:rsid w:val="00745DF5"/>
    <w:rsid w:val="00746542"/>
    <w:rsid w:val="00760C59"/>
    <w:rsid w:val="0076250F"/>
    <w:rsid w:val="0076573F"/>
    <w:rsid w:val="00766241"/>
    <w:rsid w:val="00771B53"/>
    <w:rsid w:val="00783BC1"/>
    <w:rsid w:val="00784031"/>
    <w:rsid w:val="007A0566"/>
    <w:rsid w:val="007A2E31"/>
    <w:rsid w:val="007B3C60"/>
    <w:rsid w:val="007B4865"/>
    <w:rsid w:val="007B6200"/>
    <w:rsid w:val="007C2540"/>
    <w:rsid w:val="007C7418"/>
    <w:rsid w:val="007C75A5"/>
    <w:rsid w:val="007D0299"/>
    <w:rsid w:val="007D2109"/>
    <w:rsid w:val="007D2E25"/>
    <w:rsid w:val="007D669D"/>
    <w:rsid w:val="007F3395"/>
    <w:rsid w:val="007F442E"/>
    <w:rsid w:val="00801B9F"/>
    <w:rsid w:val="00802E22"/>
    <w:rsid w:val="008057FD"/>
    <w:rsid w:val="00810127"/>
    <w:rsid w:val="00823E89"/>
    <w:rsid w:val="00830D7D"/>
    <w:rsid w:val="008339EC"/>
    <w:rsid w:val="00834CC3"/>
    <w:rsid w:val="00843274"/>
    <w:rsid w:val="008475F0"/>
    <w:rsid w:val="008518C3"/>
    <w:rsid w:val="00864210"/>
    <w:rsid w:val="00866D4F"/>
    <w:rsid w:val="00877EDB"/>
    <w:rsid w:val="00880004"/>
    <w:rsid w:val="008821C2"/>
    <w:rsid w:val="0088413E"/>
    <w:rsid w:val="00884EC8"/>
    <w:rsid w:val="00891631"/>
    <w:rsid w:val="008A2345"/>
    <w:rsid w:val="008A5AFE"/>
    <w:rsid w:val="008B1919"/>
    <w:rsid w:val="008B68D7"/>
    <w:rsid w:val="008B701D"/>
    <w:rsid w:val="008B7D42"/>
    <w:rsid w:val="008C2F58"/>
    <w:rsid w:val="008C59FF"/>
    <w:rsid w:val="008C5A0E"/>
    <w:rsid w:val="008D3999"/>
    <w:rsid w:val="008E05D0"/>
    <w:rsid w:val="008E4DDA"/>
    <w:rsid w:val="008E55E3"/>
    <w:rsid w:val="008F0C31"/>
    <w:rsid w:val="008F5121"/>
    <w:rsid w:val="008F56A8"/>
    <w:rsid w:val="00901172"/>
    <w:rsid w:val="00901B73"/>
    <w:rsid w:val="0091707C"/>
    <w:rsid w:val="009170C4"/>
    <w:rsid w:val="00935B52"/>
    <w:rsid w:val="00943CF4"/>
    <w:rsid w:val="0094613A"/>
    <w:rsid w:val="00970924"/>
    <w:rsid w:val="009762E8"/>
    <w:rsid w:val="00980563"/>
    <w:rsid w:val="009903F3"/>
    <w:rsid w:val="00992C76"/>
    <w:rsid w:val="009954EA"/>
    <w:rsid w:val="00997395"/>
    <w:rsid w:val="009A3A0C"/>
    <w:rsid w:val="009B4D3B"/>
    <w:rsid w:val="009C12F9"/>
    <w:rsid w:val="009C27B3"/>
    <w:rsid w:val="009D7407"/>
    <w:rsid w:val="009D7A9E"/>
    <w:rsid w:val="009D7FCA"/>
    <w:rsid w:val="009E0866"/>
    <w:rsid w:val="009E3DDE"/>
    <w:rsid w:val="009E4550"/>
    <w:rsid w:val="009E7BB8"/>
    <w:rsid w:val="009F519D"/>
    <w:rsid w:val="009F5488"/>
    <w:rsid w:val="009F6423"/>
    <w:rsid w:val="00A04DB8"/>
    <w:rsid w:val="00A0609B"/>
    <w:rsid w:val="00A107DB"/>
    <w:rsid w:val="00A202B8"/>
    <w:rsid w:val="00A2156A"/>
    <w:rsid w:val="00A24A62"/>
    <w:rsid w:val="00A26D9C"/>
    <w:rsid w:val="00A3154C"/>
    <w:rsid w:val="00A31C9F"/>
    <w:rsid w:val="00A32F88"/>
    <w:rsid w:val="00A33BBA"/>
    <w:rsid w:val="00A3734A"/>
    <w:rsid w:val="00A40609"/>
    <w:rsid w:val="00A4144F"/>
    <w:rsid w:val="00A53FE0"/>
    <w:rsid w:val="00A54034"/>
    <w:rsid w:val="00A56F14"/>
    <w:rsid w:val="00A633FD"/>
    <w:rsid w:val="00A63711"/>
    <w:rsid w:val="00A63FB4"/>
    <w:rsid w:val="00A65216"/>
    <w:rsid w:val="00A70464"/>
    <w:rsid w:val="00A80F95"/>
    <w:rsid w:val="00A8197B"/>
    <w:rsid w:val="00A82097"/>
    <w:rsid w:val="00A848CB"/>
    <w:rsid w:val="00A90F28"/>
    <w:rsid w:val="00AA3DFC"/>
    <w:rsid w:val="00AA7BE3"/>
    <w:rsid w:val="00AB3DD9"/>
    <w:rsid w:val="00AB5E7F"/>
    <w:rsid w:val="00AC027A"/>
    <w:rsid w:val="00AC164A"/>
    <w:rsid w:val="00AC302F"/>
    <w:rsid w:val="00AE5EA8"/>
    <w:rsid w:val="00AF118E"/>
    <w:rsid w:val="00AF1B85"/>
    <w:rsid w:val="00AF2050"/>
    <w:rsid w:val="00B03CA8"/>
    <w:rsid w:val="00B07F47"/>
    <w:rsid w:val="00B14298"/>
    <w:rsid w:val="00B25916"/>
    <w:rsid w:val="00B331DC"/>
    <w:rsid w:val="00B37C19"/>
    <w:rsid w:val="00B40687"/>
    <w:rsid w:val="00B438D3"/>
    <w:rsid w:val="00B55E19"/>
    <w:rsid w:val="00B623A2"/>
    <w:rsid w:val="00B62561"/>
    <w:rsid w:val="00B649E7"/>
    <w:rsid w:val="00B71370"/>
    <w:rsid w:val="00B7150E"/>
    <w:rsid w:val="00B821A0"/>
    <w:rsid w:val="00B87A7F"/>
    <w:rsid w:val="00B920AB"/>
    <w:rsid w:val="00B93DB8"/>
    <w:rsid w:val="00B95E0B"/>
    <w:rsid w:val="00BA4B6D"/>
    <w:rsid w:val="00BA64A2"/>
    <w:rsid w:val="00BB254C"/>
    <w:rsid w:val="00BB26C5"/>
    <w:rsid w:val="00BB6911"/>
    <w:rsid w:val="00BC337C"/>
    <w:rsid w:val="00BE0E8A"/>
    <w:rsid w:val="00BE6C6D"/>
    <w:rsid w:val="00BE737D"/>
    <w:rsid w:val="00BF4DE6"/>
    <w:rsid w:val="00BF5E6A"/>
    <w:rsid w:val="00C0197D"/>
    <w:rsid w:val="00C05D5C"/>
    <w:rsid w:val="00C100CC"/>
    <w:rsid w:val="00C17924"/>
    <w:rsid w:val="00C25408"/>
    <w:rsid w:val="00C37399"/>
    <w:rsid w:val="00C377CA"/>
    <w:rsid w:val="00C406F0"/>
    <w:rsid w:val="00C41DBF"/>
    <w:rsid w:val="00C42CDE"/>
    <w:rsid w:val="00C500D7"/>
    <w:rsid w:val="00C5182A"/>
    <w:rsid w:val="00C57D9D"/>
    <w:rsid w:val="00C63EE9"/>
    <w:rsid w:val="00C6626C"/>
    <w:rsid w:val="00C6664B"/>
    <w:rsid w:val="00C7297E"/>
    <w:rsid w:val="00C82D62"/>
    <w:rsid w:val="00C8425C"/>
    <w:rsid w:val="00C90AA1"/>
    <w:rsid w:val="00C9654A"/>
    <w:rsid w:val="00CA23C0"/>
    <w:rsid w:val="00CA37B1"/>
    <w:rsid w:val="00CA7187"/>
    <w:rsid w:val="00CA7DD8"/>
    <w:rsid w:val="00CB0496"/>
    <w:rsid w:val="00CB1959"/>
    <w:rsid w:val="00CC3A04"/>
    <w:rsid w:val="00CD0E4B"/>
    <w:rsid w:val="00CE0155"/>
    <w:rsid w:val="00CE5DF0"/>
    <w:rsid w:val="00CF62AE"/>
    <w:rsid w:val="00D00802"/>
    <w:rsid w:val="00D0296C"/>
    <w:rsid w:val="00D02E2F"/>
    <w:rsid w:val="00D05246"/>
    <w:rsid w:val="00D11D1C"/>
    <w:rsid w:val="00D13225"/>
    <w:rsid w:val="00D146A2"/>
    <w:rsid w:val="00D15A00"/>
    <w:rsid w:val="00D2135C"/>
    <w:rsid w:val="00D3315E"/>
    <w:rsid w:val="00D33BF8"/>
    <w:rsid w:val="00D40AEB"/>
    <w:rsid w:val="00D460DC"/>
    <w:rsid w:val="00D60C0C"/>
    <w:rsid w:val="00D64BD1"/>
    <w:rsid w:val="00D67CEF"/>
    <w:rsid w:val="00D7242F"/>
    <w:rsid w:val="00D72760"/>
    <w:rsid w:val="00D73914"/>
    <w:rsid w:val="00D73EFE"/>
    <w:rsid w:val="00D7713F"/>
    <w:rsid w:val="00D86954"/>
    <w:rsid w:val="00D87B44"/>
    <w:rsid w:val="00DA040F"/>
    <w:rsid w:val="00DA3B2E"/>
    <w:rsid w:val="00DC204E"/>
    <w:rsid w:val="00DC223F"/>
    <w:rsid w:val="00DC2DB7"/>
    <w:rsid w:val="00DC4A93"/>
    <w:rsid w:val="00DC5F62"/>
    <w:rsid w:val="00DD1986"/>
    <w:rsid w:val="00DE084C"/>
    <w:rsid w:val="00DE3219"/>
    <w:rsid w:val="00DF3E60"/>
    <w:rsid w:val="00E0719C"/>
    <w:rsid w:val="00E14B1C"/>
    <w:rsid w:val="00E245D7"/>
    <w:rsid w:val="00E35503"/>
    <w:rsid w:val="00E357B7"/>
    <w:rsid w:val="00E36F91"/>
    <w:rsid w:val="00E41B60"/>
    <w:rsid w:val="00E46E65"/>
    <w:rsid w:val="00E47C81"/>
    <w:rsid w:val="00E47CE3"/>
    <w:rsid w:val="00E53800"/>
    <w:rsid w:val="00E601C5"/>
    <w:rsid w:val="00E6081F"/>
    <w:rsid w:val="00E662BC"/>
    <w:rsid w:val="00E71A17"/>
    <w:rsid w:val="00E73DCD"/>
    <w:rsid w:val="00E741E1"/>
    <w:rsid w:val="00E74736"/>
    <w:rsid w:val="00E91D35"/>
    <w:rsid w:val="00E9681B"/>
    <w:rsid w:val="00E96F55"/>
    <w:rsid w:val="00E97955"/>
    <w:rsid w:val="00EA04B2"/>
    <w:rsid w:val="00EA20F3"/>
    <w:rsid w:val="00EA5969"/>
    <w:rsid w:val="00EA7EC7"/>
    <w:rsid w:val="00EB2D0F"/>
    <w:rsid w:val="00EC6084"/>
    <w:rsid w:val="00ED2831"/>
    <w:rsid w:val="00ED43D1"/>
    <w:rsid w:val="00EE43C9"/>
    <w:rsid w:val="00EE4EE1"/>
    <w:rsid w:val="00EE555C"/>
    <w:rsid w:val="00EF0BF7"/>
    <w:rsid w:val="00EF4574"/>
    <w:rsid w:val="00EF6543"/>
    <w:rsid w:val="00F0042B"/>
    <w:rsid w:val="00F00851"/>
    <w:rsid w:val="00F03CF2"/>
    <w:rsid w:val="00F20161"/>
    <w:rsid w:val="00F24185"/>
    <w:rsid w:val="00F251AC"/>
    <w:rsid w:val="00F26475"/>
    <w:rsid w:val="00F2684E"/>
    <w:rsid w:val="00F42343"/>
    <w:rsid w:val="00F42470"/>
    <w:rsid w:val="00F442C5"/>
    <w:rsid w:val="00F46D79"/>
    <w:rsid w:val="00F476B8"/>
    <w:rsid w:val="00F50452"/>
    <w:rsid w:val="00F5404C"/>
    <w:rsid w:val="00F6778A"/>
    <w:rsid w:val="00F729EF"/>
    <w:rsid w:val="00F77CAE"/>
    <w:rsid w:val="00F77ECA"/>
    <w:rsid w:val="00F82271"/>
    <w:rsid w:val="00F83428"/>
    <w:rsid w:val="00F85021"/>
    <w:rsid w:val="00F92C1E"/>
    <w:rsid w:val="00F93637"/>
    <w:rsid w:val="00F96BB9"/>
    <w:rsid w:val="00FA238A"/>
    <w:rsid w:val="00FB1B92"/>
    <w:rsid w:val="00FB38A2"/>
    <w:rsid w:val="00FC1F6E"/>
    <w:rsid w:val="00FE6D51"/>
    <w:rsid w:val="00FF09F3"/>
    <w:rsid w:val="00FF6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uiPriority w:val="99"/>
    <w:qFormat/>
    <w:rsid w:val="001D663E"/>
    <w:pPr>
      <w:numPr>
        <w:numId w:val="8"/>
      </w:numPr>
      <w:spacing w:before="0"/>
    </w:pPr>
  </w:style>
  <w:style w:type="paragraph" w:customStyle="1" w:styleId="Bullet2">
    <w:name w:val="Bullet 2"/>
    <w:basedOn w:val="Bullet1"/>
    <w:uiPriority w:val="99"/>
    <w:qFormat/>
    <w:rsid w:val="00F2684E"/>
    <w:pPr>
      <w:numPr>
        <w:ilvl w:val="1"/>
      </w:numPr>
    </w:pPr>
  </w:style>
  <w:style w:type="paragraph" w:customStyle="1" w:styleId="Bullet3">
    <w:name w:val="Bullet 3"/>
    <w:basedOn w:val="Bullet2"/>
    <w:uiPriority w:val="99"/>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17C6C"/>
    <w:pPr>
      <w:keepLines/>
      <w:suppressAutoHyphens w:val="0"/>
      <w:spacing w:before="80" w:after="80" w:line="200" w:lineRule="atLeast"/>
      <w:jc w:val="center"/>
    </w:pPr>
    <w:rPr>
      <w:rFonts w:ascii="Franklin Gothic Medium" w:eastAsia="Times New Roman" w:hAnsi="Franklin Gothic Medium" w:cs="Times New Roman"/>
      <w:iCs/>
      <w:color w:val="auto"/>
      <w:sz w:val="17"/>
      <w:szCs w:val="17"/>
      <w:lang w:val="en-AU" w:eastAsia="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10"/>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1"/>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List Paragraph1,List Paragraph11,List Paragraph2,Bulit List -  Paragraph,Numbered List Paragraph,List Paragraph111,Medium Grid 1 - Accent 21,MAIN CONTENT,Recommendation,L"/>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List Paragraph1 Char,List Paragraph11 Char,List Paragraph2 Char,Bulit List -  Paragraph Char,Numbered List Paragraph Char,List Paragraph111 Char,L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table" w:customStyle="1" w:styleId="TableGrid1">
    <w:name w:val="Table Grid1"/>
    <w:basedOn w:val="TableNormal"/>
    <w:next w:val="TableGrid"/>
    <w:uiPriority w:val="39"/>
    <w:rsid w:val="0072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11D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rsid w:val="00A633FD"/>
    <w:pPr>
      <w:suppressAutoHyphens w:val="0"/>
      <w:spacing w:line="240" w:lineRule="auto"/>
    </w:pPr>
    <w:rPr>
      <w:rFonts w:ascii="Calibri" w:hAnsi="Calibri" w:cs="Calibri"/>
      <w:color w:val="44546A"/>
      <w:sz w:val="20"/>
      <w:szCs w:val="20"/>
      <w:lang w:val="en-AU"/>
    </w:rPr>
  </w:style>
  <w:style w:type="character" w:customStyle="1" w:styleId="CommentTextChar">
    <w:name w:val="Comment Text Char"/>
    <w:basedOn w:val="DefaultParagraphFont"/>
    <w:link w:val="CommentText"/>
    <w:uiPriority w:val="99"/>
    <w:semiHidden/>
    <w:rsid w:val="00A633FD"/>
    <w:rPr>
      <w:rFonts w:ascii="Calibri" w:hAnsi="Calibri" w:cs="Calibri"/>
      <w:color w:val="44546A"/>
      <w:sz w:val="20"/>
      <w:szCs w:val="20"/>
    </w:rPr>
  </w:style>
  <w:style w:type="character" w:styleId="CommentReference">
    <w:name w:val="annotation reference"/>
    <w:basedOn w:val="DefaultParagraphFont"/>
    <w:uiPriority w:val="99"/>
    <w:semiHidden/>
    <w:unhideWhenUsed/>
    <w:rsid w:val="00A633FD"/>
    <w:rPr>
      <w:sz w:val="16"/>
      <w:szCs w:val="16"/>
    </w:rPr>
  </w:style>
  <w:style w:type="paragraph" w:styleId="CommentSubject">
    <w:name w:val="annotation subject"/>
    <w:basedOn w:val="CommentText"/>
    <w:next w:val="CommentText"/>
    <w:link w:val="CommentSubjectChar"/>
    <w:uiPriority w:val="99"/>
    <w:semiHidden/>
    <w:unhideWhenUsed/>
    <w:rsid w:val="00592A37"/>
    <w:pPr>
      <w:suppressAutoHyphens/>
    </w:pPr>
    <w:rPr>
      <w:rFonts w:ascii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592A37"/>
    <w:rPr>
      <w:rFonts w:ascii="Calibri" w:hAnsi="Calibri" w:cs="Calibri"/>
      <w:b/>
      <w:bCs/>
      <w:color w:val="495965" w:themeColor="text2"/>
      <w:sz w:val="20"/>
      <w:szCs w:val="20"/>
      <w:lang w:val="en-GB"/>
    </w:rPr>
  </w:style>
  <w:style w:type="paragraph" w:styleId="Revision">
    <w:name w:val="Revision"/>
    <w:hidden/>
    <w:uiPriority w:val="99"/>
    <w:semiHidden/>
    <w:rsid w:val="001E04A1"/>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91460">
      <w:bodyDiv w:val="1"/>
      <w:marLeft w:val="0"/>
      <w:marRight w:val="0"/>
      <w:marTop w:val="0"/>
      <w:marBottom w:val="0"/>
      <w:divBdr>
        <w:top w:val="none" w:sz="0" w:space="0" w:color="auto"/>
        <w:left w:val="none" w:sz="0" w:space="0" w:color="auto"/>
        <w:bottom w:val="none" w:sz="0" w:space="0" w:color="auto"/>
        <w:right w:val="none" w:sz="0" w:space="0" w:color="auto"/>
      </w:divBdr>
    </w:div>
    <w:div w:id="1520967308">
      <w:bodyDiv w:val="1"/>
      <w:marLeft w:val="0"/>
      <w:marRight w:val="0"/>
      <w:marTop w:val="0"/>
      <w:marBottom w:val="0"/>
      <w:divBdr>
        <w:top w:val="none" w:sz="0" w:space="0" w:color="auto"/>
        <w:left w:val="none" w:sz="0" w:space="0" w:color="auto"/>
        <w:bottom w:val="none" w:sz="0" w:space="0" w:color="auto"/>
        <w:right w:val="none" w:sz="0" w:space="0" w:color="auto"/>
      </w:divBdr>
    </w:div>
    <w:div w:id="18048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image" Target="media/image15.png"/><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4.png"/><Relationship Id="rId33" Type="http://schemas.openxmlformats.org/officeDocument/2006/relationships/footer" Target="footer6.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header" Target="header6.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jpeg"/><Relationship Id="rId28" Type="http://schemas.openxmlformats.org/officeDocument/2006/relationships/header" Target="header4.xm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business.inquirer.net/265791/ph-marks-start-of-war-vs-fuel-smuggle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51D3FE-453F-4AE6-AA70-9B94658532AB}"/>
</file>

<file path=customXml/itemProps2.xml><?xml version="1.0" encoding="utf-8"?>
<ds:datastoreItem xmlns:ds="http://schemas.openxmlformats.org/officeDocument/2006/customXml" ds:itemID="{C27885A2-ED66-4D53-96EE-1DC96340B27D}"/>
</file>

<file path=customXml/itemProps3.xml><?xml version="1.0" encoding="utf-8"?>
<ds:datastoreItem xmlns:ds="http://schemas.openxmlformats.org/officeDocument/2006/customXml" ds:itemID="{E21F8AD9-4982-4EBB-9529-2CCB11F4CD3F}"/>
</file>

<file path=customXml/itemProps4.xml><?xml version="1.0" encoding="utf-8"?>
<ds:datastoreItem xmlns:ds="http://schemas.openxmlformats.org/officeDocument/2006/customXml" ds:itemID="{91B37057-41BA-4EF1-BF15-0197DAF2044C}"/>
</file>

<file path=docProps/app.xml><?xml version="1.0" encoding="utf-8"?>
<Properties xmlns="http://schemas.openxmlformats.org/officeDocument/2006/extended-properties" xmlns:vt="http://schemas.openxmlformats.org/officeDocument/2006/docPropsVTypes">
  <Template>Normal.dotm</Template>
  <TotalTime>0</TotalTime>
  <Pages>24</Pages>
  <Words>9750</Words>
  <Characters>55576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2019-10-23T05:12:00Z</dcterms:created>
  <dcterms:modified xsi:type="dcterms:W3CDTF">2019-10-23T05:12:00Z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bccfa335-a24b-4628-b866-139c5d7792e7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1272600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