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1B88A" w14:textId="77777777" w:rsidR="00944BC2" w:rsidRPr="0072064D" w:rsidRDefault="00944BC2" w:rsidP="00944BC2">
      <w:pPr>
        <w:tabs>
          <w:tab w:val="left" w:pos="170"/>
        </w:tabs>
        <w:rPr>
          <w:color w:val="666699"/>
          <w:sz w:val="18"/>
          <w:szCs w:val="18"/>
        </w:rPr>
      </w:pPr>
    </w:p>
    <w:p w14:paraId="14EC2677" w14:textId="77777777" w:rsidR="006127E6" w:rsidRDefault="00970C8D"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Review of the </w:t>
      </w:r>
      <w:r w:rsidR="006127E6">
        <w:rPr>
          <w:sz w:val="24"/>
          <w:lang w:eastAsia="en-AU"/>
        </w:rPr>
        <w:t xml:space="preserve">Philippine Australia Human Resource and </w:t>
      </w:r>
    </w:p>
    <w:p w14:paraId="4A01B88B" w14:textId="39F8B2B2" w:rsidR="00C657FB" w:rsidRDefault="006127E6"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Organisational Development Facility</w:t>
      </w:r>
    </w:p>
    <w:p w14:paraId="4A01B88C"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18487F8B" w14:textId="373A8CCC" w:rsidR="009B70B1" w:rsidRPr="006820A4" w:rsidRDefault="009B70B1" w:rsidP="00683EB4">
      <w:pPr>
        <w:pStyle w:val="Heading2"/>
        <w:rPr>
          <w:b w:val="0"/>
          <w:sz w:val="20"/>
          <w:szCs w:val="20"/>
        </w:rPr>
      </w:pPr>
      <w:r w:rsidRPr="006820A4">
        <w:rPr>
          <w:b w:val="0"/>
          <w:sz w:val="20"/>
          <w:szCs w:val="20"/>
        </w:rPr>
        <w:t>Prepared by: Pablo Renato Lucero, Jr.</w:t>
      </w:r>
    </w:p>
    <w:p w14:paraId="50445033" w14:textId="79B487C8" w:rsidR="009B70B1" w:rsidRPr="006820A4" w:rsidRDefault="006127E6" w:rsidP="009B70B1">
      <w:pPr>
        <w:rPr>
          <w:szCs w:val="20"/>
          <w:lang w:eastAsia="en-AU"/>
        </w:rPr>
      </w:pPr>
      <w:r>
        <w:rPr>
          <w:szCs w:val="20"/>
          <w:lang w:eastAsia="en-AU"/>
        </w:rPr>
        <w:t>Approved by:  Nardia Simpson</w:t>
      </w:r>
    </w:p>
    <w:p w14:paraId="1F9D6D36" w14:textId="34A5F9A7" w:rsidR="009B70B1" w:rsidRPr="006820A4" w:rsidRDefault="009B70B1" w:rsidP="009B70B1">
      <w:pPr>
        <w:rPr>
          <w:szCs w:val="20"/>
          <w:lang w:eastAsia="en-AU"/>
        </w:rPr>
      </w:pPr>
      <w:r w:rsidRPr="006820A4">
        <w:rPr>
          <w:szCs w:val="20"/>
          <w:lang w:eastAsia="en-AU"/>
        </w:rPr>
        <w:t>Date prepared:</w:t>
      </w:r>
      <w:r w:rsidR="00E9009B">
        <w:rPr>
          <w:szCs w:val="20"/>
          <w:lang w:eastAsia="en-AU"/>
        </w:rPr>
        <w:t xml:space="preserve">   25</w:t>
      </w:r>
      <w:r w:rsidR="006127E6">
        <w:rPr>
          <w:szCs w:val="20"/>
          <w:lang w:eastAsia="en-AU"/>
        </w:rPr>
        <w:t xml:space="preserve"> November 2016</w:t>
      </w:r>
    </w:p>
    <w:p w14:paraId="4A01B88D"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4A01B890" w14:textId="77777777" w:rsidTr="00175FFC">
        <w:trPr>
          <w:cantSplit/>
          <w:tblHeader/>
        </w:trPr>
        <w:tc>
          <w:tcPr>
            <w:tcW w:w="2660" w:type="dxa"/>
            <w:shd w:val="clear" w:color="auto" w:fill="E0E0E0"/>
            <w:vAlign w:val="center"/>
          </w:tcPr>
          <w:p w14:paraId="4A01B88E"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4A01B88F" w14:textId="77777777" w:rsidR="00C657FB" w:rsidRPr="00F43CEC" w:rsidRDefault="00C657FB" w:rsidP="00175FFC">
            <w:pPr>
              <w:pStyle w:val="Table-normal-text"/>
              <w:spacing w:before="120" w:after="120"/>
              <w:rPr>
                <w:b/>
              </w:rPr>
            </w:pPr>
          </w:p>
        </w:tc>
      </w:tr>
      <w:tr w:rsidR="00C657FB" w:rsidRPr="00F43CEC" w14:paraId="4A01B893" w14:textId="77777777" w:rsidTr="00175FFC">
        <w:trPr>
          <w:cantSplit/>
        </w:trPr>
        <w:tc>
          <w:tcPr>
            <w:tcW w:w="2660" w:type="dxa"/>
            <w:shd w:val="clear" w:color="auto" w:fill="auto"/>
          </w:tcPr>
          <w:p w14:paraId="4A01B891"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4A01B892" w14:textId="38A84991" w:rsidR="00C657FB" w:rsidRPr="00F2320B" w:rsidRDefault="006127E6" w:rsidP="006127E6">
            <w:pPr>
              <w:pStyle w:val="Table-normal-text"/>
            </w:pPr>
            <w:r>
              <w:t>INI294</w:t>
            </w:r>
          </w:p>
        </w:tc>
      </w:tr>
      <w:tr w:rsidR="00C657FB" w:rsidRPr="00F43CEC" w14:paraId="4A01B898" w14:textId="77777777" w:rsidTr="00175FFC">
        <w:trPr>
          <w:cantSplit/>
        </w:trPr>
        <w:tc>
          <w:tcPr>
            <w:tcW w:w="2660" w:type="dxa"/>
            <w:shd w:val="clear" w:color="auto" w:fill="auto"/>
          </w:tcPr>
          <w:p w14:paraId="4A01B894" w14:textId="77777777"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14:paraId="4A01B895" w14:textId="7DB8A5BA" w:rsidR="00C657FB" w:rsidRPr="00F2320B" w:rsidRDefault="006127E6" w:rsidP="00175FFC">
            <w:pPr>
              <w:pStyle w:val="Table-normal-text"/>
            </w:pPr>
            <w:r>
              <w:t>23 March 2009</w:t>
            </w:r>
          </w:p>
        </w:tc>
        <w:tc>
          <w:tcPr>
            <w:tcW w:w="1843" w:type="dxa"/>
            <w:shd w:val="clear" w:color="auto" w:fill="auto"/>
          </w:tcPr>
          <w:p w14:paraId="4A01B896" w14:textId="77777777"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14:paraId="4A01B897" w14:textId="538C4495" w:rsidR="00C657FB" w:rsidRPr="00F2320B" w:rsidRDefault="006127E6" w:rsidP="00175FFC">
            <w:pPr>
              <w:pStyle w:val="Table-normal-text"/>
            </w:pPr>
            <w:r>
              <w:t>30 June 2019</w:t>
            </w:r>
          </w:p>
        </w:tc>
      </w:tr>
      <w:tr w:rsidR="00C657FB" w:rsidRPr="00F43CEC" w14:paraId="4A01B89B" w14:textId="77777777" w:rsidTr="00175FFC">
        <w:trPr>
          <w:cantSplit/>
        </w:trPr>
        <w:tc>
          <w:tcPr>
            <w:tcW w:w="2660" w:type="dxa"/>
            <w:shd w:val="clear" w:color="auto" w:fill="auto"/>
          </w:tcPr>
          <w:p w14:paraId="4A01B899" w14:textId="77777777" w:rsidR="00C657FB" w:rsidRPr="00F2320B" w:rsidRDefault="00C657FB" w:rsidP="00175FFC">
            <w:pPr>
              <w:pStyle w:val="Table-normal-text"/>
            </w:pPr>
            <w:r>
              <w:t>Total Australian $</w:t>
            </w:r>
          </w:p>
        </w:tc>
        <w:tc>
          <w:tcPr>
            <w:tcW w:w="7229" w:type="dxa"/>
            <w:gridSpan w:val="3"/>
            <w:shd w:val="clear" w:color="auto" w:fill="auto"/>
          </w:tcPr>
          <w:p w14:paraId="4A01B89A" w14:textId="722C8682" w:rsidR="00C657FB" w:rsidRPr="00F2320B" w:rsidRDefault="006127E6" w:rsidP="00175FFC">
            <w:pPr>
              <w:pStyle w:val="Table-normal-text"/>
            </w:pPr>
            <w:r>
              <w:rPr>
                <w:lang w:val="en"/>
              </w:rPr>
              <w:t>45,670,139.74</w:t>
            </w:r>
          </w:p>
        </w:tc>
      </w:tr>
      <w:tr w:rsidR="00C657FB" w:rsidRPr="00F43CEC" w14:paraId="4A01B89E" w14:textId="77777777" w:rsidTr="00175FFC">
        <w:trPr>
          <w:cantSplit/>
        </w:trPr>
        <w:tc>
          <w:tcPr>
            <w:tcW w:w="2660" w:type="dxa"/>
            <w:shd w:val="clear" w:color="auto" w:fill="auto"/>
          </w:tcPr>
          <w:p w14:paraId="4A01B89C" w14:textId="77777777" w:rsidR="00C657FB" w:rsidRPr="00F2320B" w:rsidRDefault="00C657FB" w:rsidP="00175FFC">
            <w:pPr>
              <w:pStyle w:val="Table-normal-text"/>
            </w:pPr>
            <w:r>
              <w:t>Total other $</w:t>
            </w:r>
          </w:p>
        </w:tc>
        <w:tc>
          <w:tcPr>
            <w:tcW w:w="7229" w:type="dxa"/>
            <w:gridSpan w:val="3"/>
            <w:shd w:val="clear" w:color="auto" w:fill="auto"/>
          </w:tcPr>
          <w:p w14:paraId="4A01B89D" w14:textId="77777777" w:rsidR="00C657FB" w:rsidRPr="00F2320B" w:rsidRDefault="00C657FB" w:rsidP="00175FFC">
            <w:pPr>
              <w:pStyle w:val="Table-normal-text"/>
            </w:pPr>
          </w:p>
        </w:tc>
      </w:tr>
      <w:tr w:rsidR="00C657FB" w:rsidRPr="00F43CEC" w14:paraId="4A01B8A1" w14:textId="77777777" w:rsidTr="00175FFC">
        <w:trPr>
          <w:cantSplit/>
        </w:trPr>
        <w:tc>
          <w:tcPr>
            <w:tcW w:w="2660" w:type="dxa"/>
            <w:shd w:val="clear" w:color="auto" w:fill="auto"/>
          </w:tcPr>
          <w:p w14:paraId="4A01B89F" w14:textId="77777777" w:rsidR="00C657FB" w:rsidRPr="00F2320B" w:rsidRDefault="00C657FB" w:rsidP="00175FFC">
            <w:pPr>
              <w:pStyle w:val="Table-normal-text"/>
            </w:pPr>
            <w:r w:rsidRPr="00F2320B">
              <w:t>Delivery organisation(s)</w:t>
            </w:r>
          </w:p>
        </w:tc>
        <w:tc>
          <w:tcPr>
            <w:tcW w:w="7229" w:type="dxa"/>
            <w:gridSpan w:val="3"/>
            <w:shd w:val="clear" w:color="auto" w:fill="auto"/>
          </w:tcPr>
          <w:p w14:paraId="4A01B8A0" w14:textId="5DCE9121" w:rsidR="00C657FB" w:rsidRPr="00F2320B" w:rsidRDefault="006127E6" w:rsidP="00175FFC">
            <w:pPr>
              <w:pStyle w:val="Table-normal-text"/>
            </w:pPr>
            <w:r>
              <w:t>Coffey International Development Pty Ltd</w:t>
            </w:r>
          </w:p>
        </w:tc>
      </w:tr>
      <w:tr w:rsidR="00C657FB" w:rsidRPr="00F43CEC" w14:paraId="4A01B8A4" w14:textId="77777777" w:rsidTr="00175FFC">
        <w:trPr>
          <w:cantSplit/>
        </w:trPr>
        <w:tc>
          <w:tcPr>
            <w:tcW w:w="2660" w:type="dxa"/>
            <w:shd w:val="clear" w:color="auto" w:fill="auto"/>
          </w:tcPr>
          <w:p w14:paraId="4A01B8A2" w14:textId="77777777"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14:paraId="4A01B8A3" w14:textId="54239739" w:rsidR="00C657FB" w:rsidRPr="00F2320B" w:rsidRDefault="006127E6" w:rsidP="00175FFC">
            <w:pPr>
              <w:pStyle w:val="Table-normal-text"/>
            </w:pPr>
            <w:r>
              <w:t>Coffey International Development Pty Ltd</w:t>
            </w:r>
          </w:p>
        </w:tc>
      </w:tr>
      <w:tr w:rsidR="00C657FB" w:rsidRPr="00F43CEC" w14:paraId="4A01B8A7" w14:textId="77777777" w:rsidTr="00175FFC">
        <w:trPr>
          <w:cantSplit/>
        </w:trPr>
        <w:tc>
          <w:tcPr>
            <w:tcW w:w="2660" w:type="dxa"/>
            <w:shd w:val="clear" w:color="auto" w:fill="auto"/>
          </w:tcPr>
          <w:p w14:paraId="4A01B8A5" w14:textId="77777777" w:rsidR="00C657FB" w:rsidRPr="00F2320B" w:rsidRDefault="00C657FB" w:rsidP="00175FFC">
            <w:pPr>
              <w:pStyle w:val="Table-normal-text"/>
            </w:pPr>
            <w:r w:rsidRPr="00F2320B">
              <w:t>Country/Region</w:t>
            </w:r>
          </w:p>
        </w:tc>
        <w:tc>
          <w:tcPr>
            <w:tcW w:w="7229" w:type="dxa"/>
            <w:gridSpan w:val="3"/>
            <w:shd w:val="clear" w:color="auto" w:fill="auto"/>
          </w:tcPr>
          <w:p w14:paraId="4A01B8A6" w14:textId="4805AE11" w:rsidR="00C657FB" w:rsidRPr="00F2320B" w:rsidRDefault="00970C8D" w:rsidP="00175FFC">
            <w:pPr>
              <w:pStyle w:val="Table-normal-text"/>
            </w:pPr>
            <w:r>
              <w:t>Philippines</w:t>
            </w:r>
          </w:p>
        </w:tc>
      </w:tr>
      <w:tr w:rsidR="00C657FB" w:rsidRPr="00F43CEC" w14:paraId="4A01B8AA" w14:textId="77777777" w:rsidTr="00175FFC">
        <w:trPr>
          <w:cantSplit/>
        </w:trPr>
        <w:tc>
          <w:tcPr>
            <w:tcW w:w="2660" w:type="dxa"/>
            <w:shd w:val="clear" w:color="auto" w:fill="auto"/>
          </w:tcPr>
          <w:p w14:paraId="4A01B8A8"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4A01B8A9" w14:textId="28D451D0" w:rsidR="00C657FB" w:rsidRPr="00F2320B" w:rsidRDefault="001A2E13" w:rsidP="00175FFC">
            <w:pPr>
              <w:pStyle w:val="Table-normal-text"/>
            </w:pPr>
            <w:r>
              <w:t>Human Resource and Organisational Development; Scholarships</w:t>
            </w:r>
          </w:p>
        </w:tc>
      </w:tr>
      <w:tr w:rsidR="00C657FB" w:rsidRPr="00F43CEC" w14:paraId="4A01B8AD" w14:textId="77777777" w:rsidTr="00175FFC">
        <w:trPr>
          <w:cantSplit/>
        </w:trPr>
        <w:tc>
          <w:tcPr>
            <w:tcW w:w="2660" w:type="dxa"/>
            <w:shd w:val="clear" w:color="auto" w:fill="auto"/>
          </w:tcPr>
          <w:p w14:paraId="4A01B8AB" w14:textId="77777777"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14:paraId="4A01B8AC" w14:textId="22216660" w:rsidR="00970C8D" w:rsidRPr="00F2320B" w:rsidRDefault="002310A4" w:rsidP="002310A4">
            <w:pPr>
              <w:tabs>
                <w:tab w:val="left" w:pos="227"/>
              </w:tabs>
              <w:spacing w:before="60"/>
            </w:pPr>
            <w:r>
              <w:t>Help</w:t>
            </w:r>
            <w:r w:rsidRPr="002310A4">
              <w:t xml:space="preserve"> build foundations for good governance by addressing public sector partner organisations’ human resource and organisational development needs, thereby contributing to a more competent public service.</w:t>
            </w:r>
          </w:p>
        </w:tc>
      </w:tr>
    </w:tbl>
    <w:p w14:paraId="4A01B8AE" w14:textId="1CD22419" w:rsidR="00C657FB" w:rsidRDefault="00C657FB" w:rsidP="00C657FB">
      <w:pPr>
        <w:pStyle w:val="Heading2"/>
        <w:rPr>
          <w:sz w:val="22"/>
        </w:rPr>
      </w:pPr>
      <w:r w:rsidRPr="00310BC9">
        <w:rPr>
          <w:sz w:val="22"/>
        </w:rPr>
        <w:t>Evaluation Summary</w:t>
      </w:r>
    </w:p>
    <w:p w14:paraId="44BFA295" w14:textId="77777777" w:rsidR="00310BC9" w:rsidRPr="00310BC9" w:rsidRDefault="00310BC9" w:rsidP="00310BC9">
      <w:pPr>
        <w:rPr>
          <w:lang w:eastAsia="en-AU"/>
        </w:rPr>
      </w:pPr>
    </w:p>
    <w:p w14:paraId="4A01B8B0" w14:textId="2C12149F" w:rsidR="00C657FB" w:rsidRPr="00123C3E" w:rsidRDefault="00C657FB" w:rsidP="00C657FB">
      <w:pPr>
        <w:rPr>
          <w:b/>
        </w:rPr>
      </w:pPr>
      <w:r w:rsidRPr="00123C3E">
        <w:rPr>
          <w:b/>
        </w:rPr>
        <w:t>Evaluation Objective:</w:t>
      </w:r>
      <w:r>
        <w:rPr>
          <w:b/>
        </w:rPr>
        <w:t xml:space="preserve"> </w:t>
      </w:r>
      <w:r w:rsidR="000E7AAF" w:rsidRPr="000E7AAF">
        <w:t xml:space="preserve">Assess </w:t>
      </w:r>
      <w:r w:rsidR="002310A4">
        <w:t>the effectiveness and efficiency of the delivery of the scholarships, alumni and technical assistance delivered under the Philippine Australia Human Resource and Organisational Development Facility (PAHRODF), with a view to inform future DFAT investment in this area.</w:t>
      </w:r>
      <w:r w:rsidR="008B2A6F">
        <w:t xml:space="preserve"> </w:t>
      </w:r>
    </w:p>
    <w:p w14:paraId="4A01B8B1" w14:textId="19CC21A1" w:rsidR="00C657FB" w:rsidRPr="00394FD3" w:rsidRDefault="00C657FB" w:rsidP="00C657FB">
      <w:r w:rsidRPr="00123C3E">
        <w:rPr>
          <w:b/>
        </w:rPr>
        <w:t>Evaluation Completion Date:</w:t>
      </w:r>
      <w:r>
        <w:rPr>
          <w:b/>
        </w:rPr>
        <w:t xml:space="preserve"> </w:t>
      </w:r>
      <w:r w:rsidR="002310A4">
        <w:t>9 November 2016</w:t>
      </w:r>
    </w:p>
    <w:p w14:paraId="4A01B8B2" w14:textId="4C9811EC" w:rsidR="00C657FB" w:rsidRPr="00394FD3" w:rsidRDefault="008B2A6F" w:rsidP="00C657FB">
      <w:r>
        <w:rPr>
          <w:b/>
        </w:rPr>
        <w:t>Evaluator</w:t>
      </w:r>
      <w:r w:rsidR="00C657FB" w:rsidRPr="00123C3E">
        <w:rPr>
          <w:b/>
        </w:rPr>
        <w:t>:</w:t>
      </w:r>
      <w:r w:rsidR="00C657FB">
        <w:rPr>
          <w:b/>
        </w:rPr>
        <w:t xml:space="preserve"> </w:t>
      </w:r>
      <w:r w:rsidR="002310A4">
        <w:t>Laurent de Schoutheete</w:t>
      </w:r>
    </w:p>
    <w:p w14:paraId="12A37CC3" w14:textId="77777777" w:rsidR="00310BC9" w:rsidRDefault="00310BC9" w:rsidP="000D316D">
      <w:pPr>
        <w:rPr>
          <w:b/>
          <w:sz w:val="22"/>
          <w:szCs w:val="22"/>
          <w:lang w:eastAsia="en-AU"/>
        </w:rPr>
      </w:pPr>
    </w:p>
    <w:p w14:paraId="4A01B8B5" w14:textId="565D0F7D" w:rsidR="005E3939" w:rsidRDefault="00367DA3" w:rsidP="000D316D">
      <w:pPr>
        <w:rPr>
          <w:b/>
          <w:sz w:val="22"/>
          <w:szCs w:val="22"/>
          <w:lang w:eastAsia="en-AU"/>
        </w:rPr>
      </w:pPr>
      <w:r w:rsidRPr="008B3156">
        <w:rPr>
          <w:b/>
          <w:sz w:val="22"/>
          <w:szCs w:val="22"/>
          <w:lang w:eastAsia="en-AU"/>
        </w:rPr>
        <w:t>D</w:t>
      </w:r>
      <w:r w:rsidR="00E414F7">
        <w:rPr>
          <w:b/>
          <w:sz w:val="22"/>
          <w:szCs w:val="22"/>
          <w:lang w:eastAsia="en-AU"/>
        </w:rPr>
        <w:t>FAT</w:t>
      </w:r>
      <w:r w:rsidRPr="008B3156">
        <w:rPr>
          <w:b/>
          <w:sz w:val="22"/>
          <w:szCs w:val="22"/>
          <w:lang w:eastAsia="en-AU"/>
        </w:rPr>
        <w:t>’s response to the evaluation report</w:t>
      </w:r>
    </w:p>
    <w:p w14:paraId="4B280FF7" w14:textId="77777777" w:rsidR="00310BC9" w:rsidRDefault="00310BC9" w:rsidP="000D316D">
      <w:pPr>
        <w:rPr>
          <w:b/>
          <w:sz w:val="22"/>
          <w:szCs w:val="22"/>
          <w:lang w:eastAsia="en-AU"/>
        </w:rPr>
      </w:pPr>
    </w:p>
    <w:p w14:paraId="371B5379" w14:textId="42512FD8" w:rsidR="00A53836" w:rsidRPr="00A53836" w:rsidRDefault="008B084C" w:rsidP="00A53836">
      <w:pPr>
        <w:rPr>
          <w:i/>
          <w:szCs w:val="20"/>
          <w:u w:val="single"/>
          <w:lang w:eastAsia="en-AU"/>
        </w:rPr>
      </w:pPr>
      <w:r>
        <w:rPr>
          <w:i/>
          <w:szCs w:val="20"/>
          <w:u w:val="single"/>
          <w:lang w:eastAsia="en-AU"/>
        </w:rPr>
        <w:t>Br</w:t>
      </w:r>
      <w:r w:rsidR="00A53836">
        <w:rPr>
          <w:i/>
          <w:szCs w:val="20"/>
          <w:u w:val="single"/>
          <w:lang w:eastAsia="en-AU"/>
        </w:rPr>
        <w:t>i</w:t>
      </w:r>
      <w:r>
        <w:rPr>
          <w:i/>
          <w:szCs w:val="20"/>
          <w:u w:val="single"/>
          <w:lang w:eastAsia="en-AU"/>
        </w:rPr>
        <w:t>e</w:t>
      </w:r>
      <w:r w:rsidR="00A53836">
        <w:rPr>
          <w:i/>
          <w:szCs w:val="20"/>
          <w:u w:val="single"/>
          <w:lang w:eastAsia="en-AU"/>
        </w:rPr>
        <w:t xml:space="preserve">f overview of </w:t>
      </w:r>
      <w:r w:rsidR="008B2A6F">
        <w:rPr>
          <w:i/>
          <w:szCs w:val="20"/>
          <w:u w:val="single"/>
          <w:lang w:eastAsia="en-AU"/>
        </w:rPr>
        <w:t>DFAT</w:t>
      </w:r>
      <w:r w:rsidR="00A53836">
        <w:rPr>
          <w:i/>
          <w:szCs w:val="20"/>
          <w:u w:val="single"/>
          <w:lang w:eastAsia="en-AU"/>
        </w:rPr>
        <w:t>’s assessment of the quality of the report (including any issues with evidence, findings, etc.)</w:t>
      </w:r>
    </w:p>
    <w:p w14:paraId="2E5E13D0" w14:textId="5C37251C" w:rsidR="00A53836" w:rsidRPr="002A089D" w:rsidRDefault="006B6C62" w:rsidP="00A53836">
      <w:pPr>
        <w:rPr>
          <w:szCs w:val="20"/>
          <w:lang w:eastAsia="en-AU"/>
        </w:rPr>
      </w:pPr>
      <w:r w:rsidRPr="006B6C62">
        <w:rPr>
          <w:szCs w:val="20"/>
          <w:lang w:eastAsia="en-AU"/>
        </w:rPr>
        <w:t xml:space="preserve">DFAT </w:t>
      </w:r>
      <w:r w:rsidR="006032AC">
        <w:rPr>
          <w:szCs w:val="20"/>
          <w:lang w:eastAsia="en-AU"/>
        </w:rPr>
        <w:t>assess</w:t>
      </w:r>
      <w:r w:rsidR="00E350C3">
        <w:rPr>
          <w:szCs w:val="20"/>
          <w:lang w:eastAsia="en-AU"/>
        </w:rPr>
        <w:t>ed</w:t>
      </w:r>
      <w:r w:rsidR="006032AC">
        <w:rPr>
          <w:szCs w:val="20"/>
          <w:lang w:eastAsia="en-AU"/>
        </w:rPr>
        <w:t xml:space="preserve"> that t</w:t>
      </w:r>
      <w:r>
        <w:rPr>
          <w:szCs w:val="20"/>
          <w:lang w:eastAsia="en-AU"/>
        </w:rPr>
        <w:t xml:space="preserve">he </w:t>
      </w:r>
      <w:r w:rsidR="000E131E">
        <w:rPr>
          <w:szCs w:val="20"/>
          <w:lang w:eastAsia="en-AU"/>
        </w:rPr>
        <w:t>Review</w:t>
      </w:r>
      <w:r>
        <w:rPr>
          <w:szCs w:val="20"/>
          <w:lang w:eastAsia="en-AU"/>
        </w:rPr>
        <w:t xml:space="preserve"> final</w:t>
      </w:r>
      <w:r w:rsidR="000E131E">
        <w:rPr>
          <w:szCs w:val="20"/>
          <w:lang w:eastAsia="en-AU"/>
        </w:rPr>
        <w:t xml:space="preserve"> </w:t>
      </w:r>
      <w:r w:rsidR="008B2A6F">
        <w:rPr>
          <w:szCs w:val="20"/>
          <w:lang w:eastAsia="en-AU"/>
        </w:rPr>
        <w:t xml:space="preserve">report is </w:t>
      </w:r>
      <w:r w:rsidR="002354FE">
        <w:rPr>
          <w:szCs w:val="20"/>
          <w:lang w:eastAsia="en-AU"/>
        </w:rPr>
        <w:t xml:space="preserve">of </w:t>
      </w:r>
      <w:r w:rsidR="007B043C">
        <w:rPr>
          <w:szCs w:val="20"/>
          <w:lang w:eastAsia="en-AU"/>
        </w:rPr>
        <w:t>good</w:t>
      </w:r>
      <w:r w:rsidR="002354FE">
        <w:rPr>
          <w:szCs w:val="20"/>
          <w:lang w:eastAsia="en-AU"/>
        </w:rPr>
        <w:t xml:space="preserve"> quality and deliver</w:t>
      </w:r>
      <w:r w:rsidR="00C94FAE">
        <w:rPr>
          <w:szCs w:val="20"/>
          <w:lang w:eastAsia="en-AU"/>
        </w:rPr>
        <w:t>ed</w:t>
      </w:r>
      <w:r w:rsidR="002354FE">
        <w:rPr>
          <w:szCs w:val="20"/>
          <w:lang w:eastAsia="en-AU"/>
        </w:rPr>
        <w:t xml:space="preserve"> on its objective</w:t>
      </w:r>
      <w:r>
        <w:rPr>
          <w:szCs w:val="20"/>
          <w:lang w:eastAsia="en-AU"/>
        </w:rPr>
        <w:t>.</w:t>
      </w:r>
      <w:r w:rsidR="002354FE" w:rsidRPr="002354FE">
        <w:rPr>
          <w:szCs w:val="20"/>
          <w:lang w:eastAsia="en-AU"/>
        </w:rPr>
        <w:t xml:space="preserve"> </w:t>
      </w:r>
      <w:r w:rsidR="000E131E">
        <w:rPr>
          <w:szCs w:val="20"/>
          <w:lang w:eastAsia="en-AU"/>
        </w:rPr>
        <w:t xml:space="preserve">The </w:t>
      </w:r>
      <w:r w:rsidR="00C94FAE">
        <w:rPr>
          <w:szCs w:val="20"/>
          <w:lang w:eastAsia="en-AU"/>
        </w:rPr>
        <w:t xml:space="preserve">review identifies the </w:t>
      </w:r>
      <w:r w:rsidR="000E131E">
        <w:rPr>
          <w:szCs w:val="20"/>
          <w:lang w:eastAsia="en-AU"/>
        </w:rPr>
        <w:t xml:space="preserve">strengths and weaknesses of </w:t>
      </w:r>
      <w:r>
        <w:rPr>
          <w:szCs w:val="20"/>
          <w:lang w:eastAsia="en-AU"/>
        </w:rPr>
        <w:t>the current investments</w:t>
      </w:r>
      <w:r w:rsidR="00C94FAE">
        <w:rPr>
          <w:szCs w:val="20"/>
          <w:lang w:eastAsia="en-AU"/>
        </w:rPr>
        <w:t>. It also identifies</w:t>
      </w:r>
      <w:r w:rsidR="0020136D">
        <w:rPr>
          <w:szCs w:val="20"/>
          <w:lang w:eastAsia="en-AU"/>
        </w:rPr>
        <w:t xml:space="preserve"> </w:t>
      </w:r>
      <w:r w:rsidR="00C94FAE">
        <w:rPr>
          <w:szCs w:val="20"/>
          <w:lang w:eastAsia="en-AU"/>
        </w:rPr>
        <w:t>the major areas to focus on in the design</w:t>
      </w:r>
      <w:r w:rsidR="00A20786">
        <w:rPr>
          <w:szCs w:val="20"/>
          <w:lang w:eastAsia="en-AU"/>
        </w:rPr>
        <w:t xml:space="preserve"> </w:t>
      </w:r>
      <w:r w:rsidR="00A20786" w:rsidRPr="00CD3266">
        <w:rPr>
          <w:szCs w:val="20"/>
          <w:lang w:eastAsia="en-AU"/>
        </w:rPr>
        <w:t>of the next investment in Australia Awards</w:t>
      </w:r>
      <w:r w:rsidR="0020136D" w:rsidRPr="00CD3266">
        <w:rPr>
          <w:szCs w:val="20"/>
          <w:lang w:eastAsia="en-AU"/>
        </w:rPr>
        <w:t>.</w:t>
      </w:r>
    </w:p>
    <w:p w14:paraId="25BDC908" w14:textId="462071EF" w:rsidR="006032AC" w:rsidRDefault="00BA19E0" w:rsidP="00D11574">
      <w:pPr>
        <w:rPr>
          <w:rFonts w:ascii="Times New Roman" w:hAnsi="Times New Roman"/>
          <w:sz w:val="24"/>
          <w:lang w:eastAsia="en-AU"/>
        </w:rPr>
      </w:pPr>
      <w:r>
        <w:rPr>
          <w:szCs w:val="20"/>
          <w:lang w:eastAsia="en-AU"/>
        </w:rPr>
        <w:t xml:space="preserve">The report </w:t>
      </w:r>
      <w:r w:rsidR="0020136D">
        <w:rPr>
          <w:szCs w:val="20"/>
          <w:lang w:eastAsia="en-AU"/>
        </w:rPr>
        <w:t>noted</w:t>
      </w:r>
      <w:r>
        <w:rPr>
          <w:szCs w:val="20"/>
          <w:lang w:eastAsia="en-AU"/>
        </w:rPr>
        <w:t xml:space="preserve"> that Australia’s engagement </w:t>
      </w:r>
      <w:r w:rsidR="00C65BF6">
        <w:rPr>
          <w:szCs w:val="20"/>
          <w:lang w:eastAsia="en-AU"/>
        </w:rPr>
        <w:t>in scholarships, alumni and providing technical assistance on human resource and organisational development is</w:t>
      </w:r>
      <w:r>
        <w:rPr>
          <w:szCs w:val="20"/>
          <w:lang w:eastAsia="en-AU"/>
        </w:rPr>
        <w:t xml:space="preserve"> highly relevant</w:t>
      </w:r>
      <w:r w:rsidR="00066C64" w:rsidRPr="002A089D">
        <w:rPr>
          <w:szCs w:val="20"/>
          <w:lang w:eastAsia="en-AU"/>
        </w:rPr>
        <w:t xml:space="preserve">. It rated the program </w:t>
      </w:r>
      <w:r>
        <w:rPr>
          <w:szCs w:val="20"/>
          <w:lang w:eastAsia="en-AU"/>
        </w:rPr>
        <w:t>satisfactorily</w:t>
      </w:r>
      <w:r w:rsidR="00E92FD0">
        <w:rPr>
          <w:szCs w:val="20"/>
          <w:lang w:eastAsia="en-AU"/>
        </w:rPr>
        <w:t xml:space="preserve"> </w:t>
      </w:r>
      <w:r w:rsidR="00C65BF6">
        <w:rPr>
          <w:szCs w:val="20"/>
          <w:lang w:eastAsia="en-AU"/>
        </w:rPr>
        <w:t>across the four review indicators (</w:t>
      </w:r>
      <w:r w:rsidR="00877550">
        <w:rPr>
          <w:szCs w:val="20"/>
          <w:lang w:eastAsia="en-AU"/>
        </w:rPr>
        <w:t>e</w:t>
      </w:r>
      <w:r w:rsidR="00C65BF6">
        <w:rPr>
          <w:szCs w:val="20"/>
          <w:lang w:eastAsia="en-AU"/>
        </w:rPr>
        <w:t xml:space="preserve">ffectiveness, </w:t>
      </w:r>
      <w:r w:rsidR="00877550">
        <w:rPr>
          <w:szCs w:val="20"/>
          <w:lang w:eastAsia="en-AU"/>
        </w:rPr>
        <w:t>e</w:t>
      </w:r>
      <w:r w:rsidR="00C65BF6">
        <w:rPr>
          <w:szCs w:val="20"/>
          <w:lang w:eastAsia="en-AU"/>
        </w:rPr>
        <w:t xml:space="preserve">fficiency, </w:t>
      </w:r>
      <w:r w:rsidR="00877550">
        <w:rPr>
          <w:szCs w:val="20"/>
          <w:lang w:eastAsia="en-AU"/>
        </w:rPr>
        <w:t>m</w:t>
      </w:r>
      <w:r w:rsidR="00C65BF6">
        <w:rPr>
          <w:szCs w:val="20"/>
          <w:lang w:eastAsia="en-AU"/>
        </w:rPr>
        <w:t xml:space="preserve">onitoring and </w:t>
      </w:r>
      <w:r w:rsidR="00877550">
        <w:rPr>
          <w:szCs w:val="20"/>
          <w:lang w:eastAsia="en-AU"/>
        </w:rPr>
        <w:t>e</w:t>
      </w:r>
      <w:r w:rsidR="00C65BF6">
        <w:rPr>
          <w:szCs w:val="20"/>
          <w:lang w:eastAsia="en-AU"/>
        </w:rPr>
        <w:t xml:space="preserve">valuation and </w:t>
      </w:r>
      <w:r w:rsidR="00877550">
        <w:rPr>
          <w:szCs w:val="20"/>
          <w:lang w:eastAsia="en-AU"/>
        </w:rPr>
        <w:t>g</w:t>
      </w:r>
      <w:r w:rsidR="00C65BF6">
        <w:rPr>
          <w:szCs w:val="20"/>
          <w:lang w:eastAsia="en-AU"/>
        </w:rPr>
        <w:t xml:space="preserve">ender and </w:t>
      </w:r>
      <w:r w:rsidR="00877550">
        <w:rPr>
          <w:szCs w:val="20"/>
          <w:lang w:eastAsia="en-AU"/>
        </w:rPr>
        <w:t>d</w:t>
      </w:r>
      <w:r w:rsidR="00C65BF6">
        <w:rPr>
          <w:szCs w:val="20"/>
          <w:lang w:eastAsia="en-AU"/>
        </w:rPr>
        <w:t xml:space="preserve">isability </w:t>
      </w:r>
      <w:r w:rsidR="00877550">
        <w:rPr>
          <w:szCs w:val="20"/>
          <w:lang w:eastAsia="en-AU"/>
        </w:rPr>
        <w:t>i</w:t>
      </w:r>
      <w:r w:rsidR="00C65BF6">
        <w:rPr>
          <w:szCs w:val="20"/>
          <w:lang w:eastAsia="en-AU"/>
        </w:rPr>
        <w:t>nclusion)</w:t>
      </w:r>
      <w:r w:rsidR="00CD5AE4">
        <w:rPr>
          <w:szCs w:val="20"/>
          <w:lang w:eastAsia="en-AU"/>
        </w:rPr>
        <w:t>.</w:t>
      </w:r>
      <w:r w:rsidR="00C65BF6">
        <w:rPr>
          <w:szCs w:val="20"/>
          <w:lang w:eastAsia="en-AU"/>
        </w:rPr>
        <w:t xml:space="preserve"> </w:t>
      </w:r>
      <w:r w:rsidR="006032AC">
        <w:rPr>
          <w:szCs w:val="20"/>
          <w:lang w:eastAsia="en-AU"/>
        </w:rPr>
        <w:t xml:space="preserve"> As set out in </w:t>
      </w:r>
      <w:r w:rsidR="006032AC" w:rsidRPr="00CD3266">
        <w:rPr>
          <w:szCs w:val="20"/>
          <w:lang w:eastAsia="en-AU"/>
        </w:rPr>
        <w:t>the A</w:t>
      </w:r>
      <w:r w:rsidR="00A20786" w:rsidRPr="00CD3266">
        <w:rPr>
          <w:szCs w:val="20"/>
          <w:lang w:eastAsia="en-AU"/>
        </w:rPr>
        <w:t>id Investment Plan</w:t>
      </w:r>
      <w:r w:rsidR="00A20786">
        <w:rPr>
          <w:szCs w:val="20"/>
          <w:lang w:eastAsia="en-AU"/>
        </w:rPr>
        <w:t xml:space="preserve"> (A</w:t>
      </w:r>
      <w:r w:rsidR="006032AC">
        <w:rPr>
          <w:szCs w:val="20"/>
          <w:lang w:eastAsia="en-AU"/>
        </w:rPr>
        <w:t>IP</w:t>
      </w:r>
      <w:r w:rsidR="00A20786">
        <w:rPr>
          <w:szCs w:val="20"/>
          <w:lang w:eastAsia="en-AU"/>
        </w:rPr>
        <w:t>)</w:t>
      </w:r>
      <w:r w:rsidR="006032AC">
        <w:rPr>
          <w:szCs w:val="20"/>
          <w:lang w:eastAsia="en-AU"/>
        </w:rPr>
        <w:t xml:space="preserve">, the report also notes that </w:t>
      </w:r>
      <w:r w:rsidR="006032AC">
        <w:t xml:space="preserve">it is important that a </w:t>
      </w:r>
      <w:r w:rsidR="006032AC">
        <w:lastRenderedPageBreak/>
        <w:t xml:space="preserve">capacity building program such as is this is able to leverage change to produces catalytic effect both on reform efforts and capacity of the Philippines government. </w:t>
      </w:r>
      <w:r w:rsidR="006032AC">
        <w:rPr>
          <w:szCs w:val="20"/>
          <w:lang w:eastAsia="en-AU"/>
        </w:rPr>
        <w:t xml:space="preserve"> The report also identified that HRODF model of support,</w:t>
      </w:r>
      <w:r w:rsidR="006032AC">
        <w:t xml:space="preserve"> i.e. the provision of customised HR/OD interventions, including technical assistance (TA)</w:t>
      </w:r>
      <w:r w:rsidR="006032AC">
        <w:rPr>
          <w:rStyle w:val="FootnoteReference"/>
        </w:rPr>
        <w:t xml:space="preserve"> </w:t>
      </w:r>
      <w:r w:rsidR="006032AC">
        <w:rPr>
          <w:rStyle w:val="FootnoteReference"/>
        </w:rPr>
        <w:footnoteReference w:id="1"/>
      </w:r>
      <w:r w:rsidR="006032AC">
        <w:t xml:space="preserve">  and scholarships to oversight government agencies</w:t>
      </w:r>
      <w:r w:rsidR="00F76D3C">
        <w:t>, is appropriate in this regard</w:t>
      </w:r>
      <w:r w:rsidR="006032AC">
        <w:t xml:space="preserve">. </w:t>
      </w:r>
    </w:p>
    <w:p w14:paraId="089FC0EB" w14:textId="6C9D3E13" w:rsidR="00A53836" w:rsidRPr="00A53836" w:rsidRDefault="008B2A6F" w:rsidP="00A53836">
      <w:pPr>
        <w:rPr>
          <w:i/>
          <w:szCs w:val="20"/>
          <w:u w:val="single"/>
          <w:lang w:eastAsia="en-AU"/>
        </w:rPr>
      </w:pPr>
      <w:r>
        <w:rPr>
          <w:i/>
          <w:szCs w:val="20"/>
          <w:u w:val="single"/>
          <w:lang w:eastAsia="en-AU"/>
        </w:rPr>
        <w:t>DFAT</w:t>
      </w:r>
      <w:r w:rsidR="008B084C">
        <w:rPr>
          <w:i/>
          <w:szCs w:val="20"/>
          <w:u w:val="single"/>
          <w:lang w:eastAsia="en-AU"/>
        </w:rPr>
        <w:t>’s overall response to the findings and recommendations</w:t>
      </w:r>
    </w:p>
    <w:p w14:paraId="40FFBE0D" w14:textId="29FA600D" w:rsidR="00CD5AE4" w:rsidRDefault="00036209" w:rsidP="00A53836">
      <w:pPr>
        <w:rPr>
          <w:szCs w:val="20"/>
          <w:lang w:eastAsia="en-AU"/>
        </w:rPr>
      </w:pPr>
      <w:r w:rsidRPr="00045812">
        <w:rPr>
          <w:szCs w:val="20"/>
          <w:lang w:eastAsia="en-AU"/>
        </w:rPr>
        <w:t xml:space="preserve">DFAT </w:t>
      </w:r>
      <w:r w:rsidR="00684D0B" w:rsidRPr="00045812">
        <w:rPr>
          <w:szCs w:val="20"/>
          <w:lang w:eastAsia="en-AU"/>
        </w:rPr>
        <w:t>notes the review</w:t>
      </w:r>
      <w:r w:rsidR="00A043BE" w:rsidRPr="00045812">
        <w:rPr>
          <w:szCs w:val="20"/>
          <w:lang w:eastAsia="en-AU"/>
        </w:rPr>
        <w:t xml:space="preserve"> findings and </w:t>
      </w:r>
      <w:r w:rsidR="002A089D" w:rsidRPr="00045812">
        <w:rPr>
          <w:szCs w:val="20"/>
          <w:lang w:eastAsia="en-AU"/>
        </w:rPr>
        <w:t xml:space="preserve">agrees with the recommendations put forward by the </w:t>
      </w:r>
      <w:r w:rsidR="00877550">
        <w:rPr>
          <w:szCs w:val="20"/>
          <w:lang w:eastAsia="en-AU"/>
        </w:rPr>
        <w:t>e</w:t>
      </w:r>
      <w:r w:rsidR="008B2A6F" w:rsidRPr="00045812">
        <w:rPr>
          <w:szCs w:val="20"/>
          <w:lang w:eastAsia="en-AU"/>
        </w:rPr>
        <w:t>valuator</w:t>
      </w:r>
      <w:r w:rsidR="002A089D" w:rsidRPr="00045812">
        <w:rPr>
          <w:szCs w:val="20"/>
          <w:lang w:eastAsia="en-AU"/>
        </w:rPr>
        <w:t>.</w:t>
      </w:r>
      <w:r w:rsidR="00045812">
        <w:rPr>
          <w:szCs w:val="20"/>
          <w:lang w:eastAsia="en-AU"/>
        </w:rPr>
        <w:t xml:space="preserve"> The </w:t>
      </w:r>
      <w:r w:rsidR="006B6C62">
        <w:rPr>
          <w:szCs w:val="20"/>
          <w:lang w:eastAsia="en-AU"/>
        </w:rPr>
        <w:t>preparation and iterations</w:t>
      </w:r>
      <w:r w:rsidR="00045812">
        <w:rPr>
          <w:szCs w:val="20"/>
          <w:lang w:eastAsia="en-AU"/>
        </w:rPr>
        <w:t xml:space="preserve"> </w:t>
      </w:r>
      <w:r w:rsidR="006B6C62">
        <w:rPr>
          <w:szCs w:val="20"/>
          <w:lang w:eastAsia="en-AU"/>
        </w:rPr>
        <w:t>of</w:t>
      </w:r>
      <w:r w:rsidR="00045812">
        <w:rPr>
          <w:szCs w:val="20"/>
          <w:lang w:eastAsia="en-AU"/>
        </w:rPr>
        <w:t xml:space="preserve"> t</w:t>
      </w:r>
      <w:r w:rsidR="00B03D16">
        <w:rPr>
          <w:szCs w:val="20"/>
          <w:lang w:eastAsia="en-AU"/>
        </w:rPr>
        <w:t xml:space="preserve">he new </w:t>
      </w:r>
      <w:r w:rsidR="00877550">
        <w:rPr>
          <w:szCs w:val="20"/>
          <w:lang w:eastAsia="en-AU"/>
        </w:rPr>
        <w:t>s</w:t>
      </w:r>
      <w:r w:rsidR="00B03D16">
        <w:rPr>
          <w:szCs w:val="20"/>
          <w:lang w:eastAsia="en-AU"/>
        </w:rPr>
        <w:t xml:space="preserve">cholarships </w:t>
      </w:r>
      <w:r w:rsidR="00CD5AE4">
        <w:rPr>
          <w:szCs w:val="20"/>
          <w:lang w:eastAsia="en-AU"/>
        </w:rPr>
        <w:t xml:space="preserve">and </w:t>
      </w:r>
      <w:r w:rsidR="00877550">
        <w:rPr>
          <w:szCs w:val="20"/>
          <w:lang w:eastAsia="en-AU"/>
        </w:rPr>
        <w:t>a</w:t>
      </w:r>
      <w:r w:rsidR="00CD5AE4">
        <w:rPr>
          <w:szCs w:val="20"/>
          <w:lang w:eastAsia="en-AU"/>
        </w:rPr>
        <w:t xml:space="preserve">lumni program </w:t>
      </w:r>
      <w:r w:rsidR="006B6C62">
        <w:rPr>
          <w:szCs w:val="20"/>
          <w:lang w:eastAsia="en-AU"/>
        </w:rPr>
        <w:t>concept note</w:t>
      </w:r>
      <w:r w:rsidR="00B03D16">
        <w:rPr>
          <w:szCs w:val="20"/>
          <w:lang w:eastAsia="en-AU"/>
        </w:rPr>
        <w:t xml:space="preserve"> </w:t>
      </w:r>
      <w:r w:rsidR="006B6C62">
        <w:rPr>
          <w:szCs w:val="20"/>
          <w:lang w:eastAsia="en-AU"/>
        </w:rPr>
        <w:t>benefited from the</w:t>
      </w:r>
      <w:r w:rsidR="00045812">
        <w:rPr>
          <w:szCs w:val="20"/>
          <w:lang w:eastAsia="en-AU"/>
        </w:rPr>
        <w:t xml:space="preserve"> findings and recommendations of the review. </w:t>
      </w:r>
    </w:p>
    <w:p w14:paraId="6C953D69" w14:textId="08D95AC0" w:rsidR="00310BC9" w:rsidRPr="006B6C62" w:rsidRDefault="00CD5AE4" w:rsidP="00A53836">
      <w:pPr>
        <w:rPr>
          <w:szCs w:val="20"/>
          <w:lang w:eastAsia="en-AU"/>
        </w:rPr>
      </w:pPr>
      <w:r>
        <w:rPr>
          <w:szCs w:val="20"/>
          <w:lang w:eastAsia="en-AU"/>
        </w:rPr>
        <w:t>The</w:t>
      </w:r>
      <w:r w:rsidR="00045812">
        <w:rPr>
          <w:szCs w:val="20"/>
          <w:lang w:eastAsia="en-AU"/>
        </w:rPr>
        <w:t xml:space="preserve"> report will </w:t>
      </w:r>
      <w:r>
        <w:rPr>
          <w:szCs w:val="20"/>
          <w:lang w:eastAsia="en-AU"/>
        </w:rPr>
        <w:t>provide guidance to the market on best practice when</w:t>
      </w:r>
      <w:r w:rsidR="006B6C62">
        <w:rPr>
          <w:szCs w:val="20"/>
          <w:lang w:eastAsia="en-AU"/>
        </w:rPr>
        <w:t xml:space="preserve"> developing</w:t>
      </w:r>
      <w:r w:rsidR="00045812">
        <w:rPr>
          <w:szCs w:val="20"/>
          <w:lang w:eastAsia="en-AU"/>
        </w:rPr>
        <w:t xml:space="preserve"> </w:t>
      </w:r>
      <w:r>
        <w:rPr>
          <w:szCs w:val="20"/>
          <w:lang w:eastAsia="en-AU"/>
        </w:rPr>
        <w:t xml:space="preserve">bids for the new scholarships and alumni program. It will also provide guidance to implementing partners on </w:t>
      </w:r>
      <w:r w:rsidR="00045812">
        <w:rPr>
          <w:szCs w:val="20"/>
          <w:lang w:eastAsia="en-AU"/>
        </w:rPr>
        <w:t>the design</w:t>
      </w:r>
      <w:r>
        <w:rPr>
          <w:szCs w:val="20"/>
          <w:lang w:eastAsia="en-AU"/>
        </w:rPr>
        <w:t xml:space="preserve"> of </w:t>
      </w:r>
      <w:r w:rsidR="00045812">
        <w:rPr>
          <w:szCs w:val="20"/>
          <w:lang w:eastAsia="en-AU"/>
        </w:rPr>
        <w:t>the implementation toolkit</w:t>
      </w:r>
      <w:r>
        <w:rPr>
          <w:szCs w:val="20"/>
          <w:lang w:eastAsia="en-AU"/>
        </w:rPr>
        <w:t xml:space="preserve">, </w:t>
      </w:r>
      <w:r w:rsidR="00045812">
        <w:rPr>
          <w:szCs w:val="20"/>
          <w:lang w:eastAsia="en-AU"/>
        </w:rPr>
        <w:t xml:space="preserve">governance arrangements, alumni engagement, public diplomacy, and gender equality. </w:t>
      </w:r>
    </w:p>
    <w:p w14:paraId="0D068973" w14:textId="0EE46F79" w:rsidR="00A53836" w:rsidRPr="00A53836" w:rsidRDefault="008B084C" w:rsidP="00A53836">
      <w:pPr>
        <w:rPr>
          <w:i/>
          <w:szCs w:val="20"/>
          <w:u w:val="single"/>
          <w:lang w:eastAsia="en-AU"/>
        </w:rPr>
      </w:pPr>
      <w:r>
        <w:rPr>
          <w:i/>
          <w:szCs w:val="20"/>
          <w:u w:val="single"/>
          <w:lang w:eastAsia="en-AU"/>
        </w:rPr>
        <w:t>Brief comments on future direct</w:t>
      </w:r>
      <w:r w:rsidR="00B366B9">
        <w:rPr>
          <w:i/>
          <w:szCs w:val="20"/>
          <w:u w:val="single"/>
          <w:lang w:eastAsia="en-AU"/>
        </w:rPr>
        <w:t>ion</w:t>
      </w:r>
      <w:r>
        <w:rPr>
          <w:i/>
          <w:szCs w:val="20"/>
          <w:u w:val="single"/>
          <w:lang w:eastAsia="en-AU"/>
        </w:rPr>
        <w:t xml:space="preserve"> of sector/program/initiative</w:t>
      </w:r>
    </w:p>
    <w:p w14:paraId="647D47AA" w14:textId="27D2885C" w:rsidR="00BF07A5" w:rsidRDefault="00B03D16" w:rsidP="00C657FB">
      <w:pPr>
        <w:rPr>
          <w:szCs w:val="20"/>
          <w:lang w:eastAsia="en-AU"/>
        </w:rPr>
      </w:pPr>
      <w:r>
        <w:rPr>
          <w:szCs w:val="20"/>
          <w:lang w:eastAsia="en-AU"/>
        </w:rPr>
        <w:t>Australia</w:t>
      </w:r>
      <w:r w:rsidR="00B854F9" w:rsidRPr="00B03D16">
        <w:rPr>
          <w:szCs w:val="20"/>
          <w:lang w:eastAsia="en-AU"/>
        </w:rPr>
        <w:t xml:space="preserve"> will </w:t>
      </w:r>
      <w:r w:rsidR="00596AF0" w:rsidRPr="00B03D16">
        <w:rPr>
          <w:szCs w:val="20"/>
          <w:lang w:eastAsia="en-AU"/>
        </w:rPr>
        <w:t xml:space="preserve">continue to </w:t>
      </w:r>
      <w:r>
        <w:rPr>
          <w:szCs w:val="20"/>
          <w:lang w:eastAsia="en-AU"/>
        </w:rPr>
        <w:t>provide scholarships and engage</w:t>
      </w:r>
      <w:r w:rsidR="00310BC9">
        <w:rPr>
          <w:szCs w:val="20"/>
          <w:lang w:eastAsia="en-AU"/>
        </w:rPr>
        <w:t xml:space="preserve"> </w:t>
      </w:r>
      <w:r>
        <w:rPr>
          <w:szCs w:val="20"/>
          <w:lang w:eastAsia="en-AU"/>
        </w:rPr>
        <w:t>alumni</w:t>
      </w:r>
      <w:r w:rsidR="00310BC9">
        <w:rPr>
          <w:szCs w:val="20"/>
          <w:lang w:eastAsia="en-AU"/>
        </w:rPr>
        <w:t>. The long</w:t>
      </w:r>
      <w:r w:rsidR="00310BC9" w:rsidRPr="00CD3266">
        <w:rPr>
          <w:szCs w:val="20"/>
          <w:lang w:eastAsia="en-AU"/>
        </w:rPr>
        <w:t xml:space="preserve">-term goal of the </w:t>
      </w:r>
      <w:r w:rsidR="00A20786" w:rsidRPr="00CD3266">
        <w:rPr>
          <w:szCs w:val="20"/>
          <w:lang w:eastAsia="en-AU"/>
        </w:rPr>
        <w:t>next</w:t>
      </w:r>
      <w:r w:rsidR="00310BC9" w:rsidRPr="00CD3266">
        <w:rPr>
          <w:szCs w:val="20"/>
          <w:lang w:eastAsia="en-AU"/>
        </w:rPr>
        <w:t xml:space="preserve"> investment is to support</w:t>
      </w:r>
      <w:r w:rsidRPr="00CD3266">
        <w:rPr>
          <w:szCs w:val="20"/>
          <w:lang w:eastAsia="en-AU"/>
        </w:rPr>
        <w:t xml:space="preserve"> the Philippines progress its development goals and have positive relationship </w:t>
      </w:r>
      <w:r w:rsidR="006B6C62" w:rsidRPr="00CD3266">
        <w:rPr>
          <w:szCs w:val="20"/>
          <w:lang w:eastAsia="en-AU"/>
        </w:rPr>
        <w:t xml:space="preserve">with Australia </w:t>
      </w:r>
      <w:r w:rsidRPr="00CD3266">
        <w:rPr>
          <w:szCs w:val="20"/>
          <w:lang w:eastAsia="en-AU"/>
        </w:rPr>
        <w:t xml:space="preserve">that </w:t>
      </w:r>
      <w:r w:rsidR="006B6C62" w:rsidRPr="00CD3266">
        <w:rPr>
          <w:szCs w:val="20"/>
          <w:lang w:eastAsia="en-AU"/>
        </w:rPr>
        <w:t>advance</w:t>
      </w:r>
      <w:r w:rsidR="00877550" w:rsidRPr="00CD3266">
        <w:rPr>
          <w:szCs w:val="20"/>
          <w:lang w:eastAsia="en-AU"/>
        </w:rPr>
        <w:t>s</w:t>
      </w:r>
      <w:r w:rsidR="006B6C62" w:rsidRPr="00CD3266">
        <w:rPr>
          <w:szCs w:val="20"/>
          <w:lang w:eastAsia="en-AU"/>
        </w:rPr>
        <w:t xml:space="preserve"> </w:t>
      </w:r>
      <w:r w:rsidRPr="00CD3266">
        <w:rPr>
          <w:szCs w:val="20"/>
          <w:lang w:eastAsia="en-AU"/>
        </w:rPr>
        <w:t xml:space="preserve">mutual interests. </w:t>
      </w:r>
      <w:r w:rsidR="00036209" w:rsidRPr="00CD3266">
        <w:rPr>
          <w:szCs w:val="20"/>
          <w:lang w:eastAsia="en-AU"/>
        </w:rPr>
        <w:t xml:space="preserve">DFAT </w:t>
      </w:r>
      <w:r w:rsidR="00310BC9" w:rsidRPr="00CD3266">
        <w:rPr>
          <w:szCs w:val="20"/>
          <w:lang w:eastAsia="en-AU"/>
        </w:rPr>
        <w:t xml:space="preserve">will </w:t>
      </w:r>
      <w:r w:rsidR="006B6C62" w:rsidRPr="00CD3266">
        <w:rPr>
          <w:szCs w:val="20"/>
          <w:lang w:eastAsia="en-AU"/>
        </w:rPr>
        <w:t xml:space="preserve">indicatively </w:t>
      </w:r>
      <w:r w:rsidR="00877550" w:rsidRPr="00CD3266">
        <w:rPr>
          <w:szCs w:val="20"/>
          <w:lang w:eastAsia="en-AU"/>
        </w:rPr>
        <w:t>consider</w:t>
      </w:r>
      <w:r w:rsidR="00310BC9" w:rsidRPr="00CD3266">
        <w:rPr>
          <w:szCs w:val="20"/>
          <w:lang w:eastAsia="en-AU"/>
        </w:rPr>
        <w:t xml:space="preserve"> </w:t>
      </w:r>
      <w:r w:rsidR="00A20786" w:rsidRPr="00CD3266">
        <w:rPr>
          <w:szCs w:val="20"/>
          <w:lang w:eastAsia="en-AU"/>
        </w:rPr>
        <w:t xml:space="preserve">up to </w:t>
      </w:r>
      <w:r w:rsidR="00310BC9" w:rsidRPr="00CD3266">
        <w:rPr>
          <w:szCs w:val="20"/>
          <w:lang w:eastAsia="en-AU"/>
        </w:rPr>
        <w:t>AUD3</w:t>
      </w:r>
      <w:r w:rsidR="00A20786" w:rsidRPr="00CD3266">
        <w:rPr>
          <w:szCs w:val="20"/>
          <w:lang w:eastAsia="en-AU"/>
        </w:rPr>
        <w:t>2</w:t>
      </w:r>
      <w:r w:rsidRPr="00CD3266">
        <w:rPr>
          <w:szCs w:val="20"/>
          <w:lang w:eastAsia="en-AU"/>
        </w:rPr>
        <w:t xml:space="preserve"> million</w:t>
      </w:r>
      <w:r>
        <w:rPr>
          <w:szCs w:val="20"/>
          <w:lang w:eastAsia="en-AU"/>
        </w:rPr>
        <w:t xml:space="preserve"> for an 8-year program</w:t>
      </w:r>
      <w:r w:rsidR="006B6C62">
        <w:rPr>
          <w:szCs w:val="20"/>
          <w:lang w:eastAsia="en-AU"/>
        </w:rPr>
        <w:t>, b</w:t>
      </w:r>
      <w:r w:rsidR="006B6C62" w:rsidRPr="006B6C62">
        <w:rPr>
          <w:szCs w:val="20"/>
          <w:lang w:eastAsia="en-AU"/>
        </w:rPr>
        <w:t>ased on availability of budget and approval of appropriate delegates from bot</w:t>
      </w:r>
      <w:r w:rsidR="00D07FB1">
        <w:rPr>
          <w:szCs w:val="20"/>
          <w:lang w:eastAsia="en-AU"/>
        </w:rPr>
        <w:t>h Australia and the Philippines.</w:t>
      </w:r>
      <w:r w:rsidR="006B6C62" w:rsidRPr="006B6C62">
        <w:rPr>
          <w:szCs w:val="20"/>
          <w:lang w:eastAsia="en-AU"/>
        </w:rPr>
        <w:t xml:space="preserve"> </w:t>
      </w:r>
      <w:r w:rsidR="00D07FB1">
        <w:rPr>
          <w:szCs w:val="20"/>
          <w:lang w:eastAsia="en-AU"/>
        </w:rPr>
        <w:t>The new scholarship program</w:t>
      </w:r>
      <w:r>
        <w:rPr>
          <w:szCs w:val="20"/>
          <w:lang w:eastAsia="en-AU"/>
        </w:rPr>
        <w:t xml:space="preserve"> will deliver a flexible suite of activities </w:t>
      </w:r>
      <w:r w:rsidR="006B6C62">
        <w:rPr>
          <w:szCs w:val="20"/>
          <w:lang w:eastAsia="en-AU"/>
        </w:rPr>
        <w:t>including</w:t>
      </w:r>
      <w:r>
        <w:rPr>
          <w:szCs w:val="20"/>
          <w:lang w:eastAsia="en-AU"/>
        </w:rPr>
        <w:t xml:space="preserve"> long-term scholarships, short courses, </w:t>
      </w:r>
      <w:r w:rsidR="00877550">
        <w:rPr>
          <w:szCs w:val="20"/>
          <w:lang w:eastAsia="en-AU"/>
        </w:rPr>
        <w:t>f</w:t>
      </w:r>
      <w:r>
        <w:rPr>
          <w:szCs w:val="20"/>
          <w:lang w:eastAsia="en-AU"/>
        </w:rPr>
        <w:t>ellowships and alumni engagement.</w:t>
      </w:r>
      <w:r w:rsidR="00310BC9">
        <w:rPr>
          <w:szCs w:val="20"/>
          <w:lang w:eastAsia="en-AU"/>
        </w:rPr>
        <w:t xml:space="preserve"> These activities will contribute to achieving the below end-of-program ob</w:t>
      </w:r>
      <w:r w:rsidR="00324491">
        <w:rPr>
          <w:szCs w:val="20"/>
          <w:lang w:eastAsia="en-AU"/>
        </w:rPr>
        <w:t>j</w:t>
      </w:r>
      <w:r w:rsidR="00310BC9">
        <w:rPr>
          <w:szCs w:val="20"/>
          <w:lang w:eastAsia="en-AU"/>
        </w:rPr>
        <w:t>ectives:</w:t>
      </w:r>
    </w:p>
    <w:p w14:paraId="24D30B05" w14:textId="243A988B" w:rsidR="00310BC9" w:rsidRDefault="00310BC9" w:rsidP="00405D48">
      <w:pPr>
        <w:pStyle w:val="ListParagraph"/>
        <w:numPr>
          <w:ilvl w:val="0"/>
          <w:numId w:val="8"/>
        </w:numPr>
        <w:rPr>
          <w:szCs w:val="20"/>
          <w:lang w:eastAsia="en-AU"/>
        </w:rPr>
      </w:pPr>
      <w:r>
        <w:rPr>
          <w:szCs w:val="20"/>
          <w:lang w:eastAsia="en-AU"/>
        </w:rPr>
        <w:t>Alumni have and use skills, knowledge and networks to contribute to sustainable development</w:t>
      </w:r>
    </w:p>
    <w:p w14:paraId="04C6BD46" w14:textId="4F0ED597" w:rsidR="00310BC9" w:rsidRDefault="00324491" w:rsidP="00405D48">
      <w:pPr>
        <w:pStyle w:val="ListParagraph"/>
        <w:numPr>
          <w:ilvl w:val="0"/>
          <w:numId w:val="8"/>
        </w:numPr>
        <w:rPr>
          <w:szCs w:val="20"/>
          <w:lang w:eastAsia="en-AU"/>
        </w:rPr>
      </w:pPr>
      <w:r>
        <w:rPr>
          <w:szCs w:val="20"/>
          <w:lang w:eastAsia="en-AU"/>
        </w:rPr>
        <w:t>Built a leadership cadre in key positions and sectors</w:t>
      </w:r>
      <w:r w:rsidR="00CD5AE4">
        <w:rPr>
          <w:szCs w:val="20"/>
          <w:lang w:eastAsia="en-AU"/>
        </w:rPr>
        <w:t xml:space="preserve"> that contributes to mutual goals of the Australian and Philippines governments, including gender equality</w:t>
      </w:r>
    </w:p>
    <w:p w14:paraId="6589C62D" w14:textId="338658F4" w:rsidR="00324491" w:rsidRDefault="00324491" w:rsidP="00405D48">
      <w:pPr>
        <w:pStyle w:val="ListParagraph"/>
        <w:numPr>
          <w:ilvl w:val="0"/>
          <w:numId w:val="8"/>
        </w:numPr>
        <w:rPr>
          <w:szCs w:val="20"/>
          <w:lang w:eastAsia="en-AU"/>
        </w:rPr>
      </w:pPr>
      <w:r>
        <w:rPr>
          <w:szCs w:val="20"/>
          <w:lang w:eastAsia="en-AU"/>
        </w:rPr>
        <w:t>Partnerships exist between institutions and business in Australia and the Philippines</w:t>
      </w:r>
    </w:p>
    <w:p w14:paraId="440F5AB0" w14:textId="53B3F5FF" w:rsidR="00324491" w:rsidRPr="00310BC9" w:rsidRDefault="00324491" w:rsidP="00405D48">
      <w:pPr>
        <w:pStyle w:val="ListParagraph"/>
        <w:numPr>
          <w:ilvl w:val="0"/>
          <w:numId w:val="8"/>
        </w:numPr>
        <w:rPr>
          <w:szCs w:val="20"/>
          <w:lang w:eastAsia="en-AU"/>
        </w:rPr>
      </w:pPr>
      <w:r>
        <w:rPr>
          <w:szCs w:val="20"/>
          <w:lang w:eastAsia="en-AU"/>
        </w:rPr>
        <w:t>Australia, Australians and Australian expertise are viewed positively.</w:t>
      </w:r>
    </w:p>
    <w:p w14:paraId="64088445" w14:textId="77777777" w:rsidR="00310BC9" w:rsidRPr="00310BC9" w:rsidRDefault="00310BC9" w:rsidP="00C657FB">
      <w:pPr>
        <w:rPr>
          <w:szCs w:val="20"/>
          <w:lang w:eastAsia="en-AU"/>
        </w:rPr>
      </w:pPr>
    </w:p>
    <w:p w14:paraId="6A3DF63D" w14:textId="77777777" w:rsidR="0037054B" w:rsidRDefault="0037054B">
      <w:pPr>
        <w:spacing w:before="0"/>
        <w:rPr>
          <w:b/>
          <w:sz w:val="22"/>
          <w:szCs w:val="22"/>
          <w:lang w:eastAsia="en-AU"/>
        </w:rPr>
      </w:pPr>
      <w:r>
        <w:rPr>
          <w:b/>
          <w:sz w:val="22"/>
          <w:szCs w:val="22"/>
          <w:lang w:eastAsia="en-AU"/>
        </w:rPr>
        <w:br w:type="page"/>
      </w:r>
    </w:p>
    <w:p w14:paraId="4A01B8BD" w14:textId="123083D3" w:rsidR="00C657FB" w:rsidRDefault="006837EA" w:rsidP="00C657FB">
      <w:pPr>
        <w:rPr>
          <w:b/>
          <w:sz w:val="22"/>
          <w:szCs w:val="22"/>
          <w:lang w:eastAsia="en-AU"/>
        </w:rPr>
      </w:pPr>
      <w:r>
        <w:rPr>
          <w:b/>
          <w:sz w:val="22"/>
          <w:szCs w:val="22"/>
          <w:lang w:eastAsia="en-AU"/>
        </w:rPr>
        <w:lastRenderedPageBreak/>
        <w:t>DFAT</w:t>
      </w:r>
      <w:r w:rsidR="00F63B43" w:rsidRPr="008B3156">
        <w:rPr>
          <w:b/>
          <w:sz w:val="22"/>
          <w:szCs w:val="22"/>
          <w:lang w:eastAsia="en-AU"/>
        </w:rPr>
        <w:t>’s r</w:t>
      </w:r>
      <w:r w:rsidR="00C657FB" w:rsidRPr="008B3156">
        <w:rPr>
          <w:b/>
          <w:sz w:val="22"/>
          <w:szCs w:val="22"/>
          <w:lang w:eastAsia="en-AU"/>
        </w:rPr>
        <w:t>esponse to specific rec</w:t>
      </w:r>
      <w:r w:rsidR="00367DA3" w:rsidRPr="008B3156">
        <w:rPr>
          <w:b/>
          <w:sz w:val="22"/>
          <w:szCs w:val="22"/>
          <w:lang w:eastAsia="en-AU"/>
        </w:rPr>
        <w:t>ommendations made in the report</w:t>
      </w:r>
    </w:p>
    <w:p w14:paraId="49FCE8EE" w14:textId="77777777" w:rsidR="00310BC9" w:rsidRPr="00B45A12" w:rsidRDefault="00310BC9" w:rsidP="00C657FB">
      <w:pPr>
        <w:rPr>
          <w:b/>
          <w:sz w:val="22"/>
          <w:szCs w:val="22"/>
          <w:lang w:eastAsia="en-AU"/>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2609"/>
        <w:gridCol w:w="2754"/>
        <w:gridCol w:w="2682"/>
        <w:gridCol w:w="1583"/>
      </w:tblGrid>
      <w:tr w:rsidR="00E6298A" w:rsidRPr="00E6298A" w14:paraId="4A01B8C2" w14:textId="77777777" w:rsidTr="005F1909">
        <w:trPr>
          <w:cantSplit/>
          <w:tblHeader/>
        </w:trPr>
        <w:tc>
          <w:tcPr>
            <w:tcW w:w="2609" w:type="dxa"/>
            <w:shd w:val="clear" w:color="auto" w:fill="FFEC9B"/>
            <w:vAlign w:val="center"/>
          </w:tcPr>
          <w:p w14:paraId="4A01B8BE" w14:textId="77777777" w:rsidR="00E6298A" w:rsidRPr="00E6298A" w:rsidRDefault="00E6298A" w:rsidP="00FD403E">
            <w:pPr>
              <w:pStyle w:val="Heading2"/>
              <w:spacing w:before="120" w:after="120"/>
              <w:rPr>
                <w:sz w:val="20"/>
                <w:szCs w:val="20"/>
              </w:rPr>
            </w:pPr>
            <w:r w:rsidRPr="00E6298A">
              <w:rPr>
                <w:sz w:val="20"/>
                <w:szCs w:val="20"/>
              </w:rPr>
              <w:t>Recommendation</w:t>
            </w:r>
          </w:p>
        </w:tc>
        <w:tc>
          <w:tcPr>
            <w:tcW w:w="2754" w:type="dxa"/>
            <w:tcBorders>
              <w:right w:val="single" w:sz="4" w:space="0" w:color="auto"/>
            </w:tcBorders>
            <w:shd w:val="clear" w:color="auto" w:fill="FFEC9B"/>
            <w:vAlign w:val="center"/>
          </w:tcPr>
          <w:p w14:paraId="4A01B8BF" w14:textId="77777777" w:rsidR="00E6298A" w:rsidRPr="00E6298A" w:rsidRDefault="00E6298A" w:rsidP="001467C6">
            <w:pPr>
              <w:spacing w:after="120"/>
              <w:jc w:val="center"/>
              <w:rPr>
                <w:rFonts w:cs="Arial"/>
                <w:b/>
                <w:szCs w:val="20"/>
              </w:rPr>
            </w:pPr>
            <w:r w:rsidRPr="00E6298A">
              <w:rPr>
                <w:rFonts w:cs="Arial"/>
                <w:b/>
                <w:szCs w:val="20"/>
              </w:rPr>
              <w:t>Response</w:t>
            </w:r>
          </w:p>
        </w:tc>
        <w:tc>
          <w:tcPr>
            <w:tcW w:w="2682" w:type="dxa"/>
            <w:tcBorders>
              <w:left w:val="single" w:sz="4" w:space="0" w:color="auto"/>
            </w:tcBorders>
            <w:shd w:val="clear" w:color="auto" w:fill="FFEC9B"/>
            <w:vAlign w:val="center"/>
          </w:tcPr>
          <w:p w14:paraId="4A01B8C0" w14:textId="77777777" w:rsidR="00E6298A" w:rsidRPr="00E6298A" w:rsidRDefault="00E6298A" w:rsidP="001467C6">
            <w:pPr>
              <w:spacing w:after="120"/>
              <w:jc w:val="center"/>
              <w:rPr>
                <w:rFonts w:cs="Arial"/>
                <w:b/>
                <w:szCs w:val="20"/>
              </w:rPr>
            </w:pPr>
            <w:r w:rsidRPr="00E6298A">
              <w:rPr>
                <w:rFonts w:cs="Arial"/>
                <w:b/>
                <w:szCs w:val="20"/>
              </w:rPr>
              <w:t>Actions</w:t>
            </w:r>
          </w:p>
        </w:tc>
        <w:tc>
          <w:tcPr>
            <w:tcW w:w="1583" w:type="dxa"/>
            <w:tcBorders>
              <w:left w:val="single" w:sz="4" w:space="0" w:color="auto"/>
            </w:tcBorders>
            <w:shd w:val="clear" w:color="auto" w:fill="FFEC9B"/>
            <w:vAlign w:val="center"/>
          </w:tcPr>
          <w:p w14:paraId="4A01B8C1" w14:textId="77777777" w:rsidR="00E6298A" w:rsidRPr="00E6298A" w:rsidRDefault="00E6298A" w:rsidP="001467C6">
            <w:pPr>
              <w:spacing w:after="120"/>
              <w:jc w:val="center"/>
              <w:rPr>
                <w:rFonts w:cs="Arial"/>
                <w:szCs w:val="20"/>
              </w:rPr>
            </w:pPr>
            <w:r w:rsidRPr="00E6298A">
              <w:rPr>
                <w:b/>
                <w:szCs w:val="20"/>
              </w:rPr>
              <w:t>Responsibility</w:t>
            </w:r>
          </w:p>
        </w:tc>
      </w:tr>
      <w:tr w:rsidR="007B043C" w:rsidRPr="00F43CEC" w14:paraId="4A01B8C8" w14:textId="77777777" w:rsidTr="007B043C">
        <w:trPr>
          <w:cantSplit/>
          <w:trHeight w:val="387"/>
        </w:trPr>
        <w:tc>
          <w:tcPr>
            <w:tcW w:w="9628" w:type="dxa"/>
            <w:gridSpan w:val="4"/>
            <w:shd w:val="clear" w:color="auto" w:fill="auto"/>
          </w:tcPr>
          <w:p w14:paraId="4A01B8C7" w14:textId="18AA3BE7" w:rsidR="007B043C" w:rsidRPr="00F43CEC" w:rsidRDefault="007B043C" w:rsidP="007B043C">
            <w:pPr>
              <w:spacing w:after="120"/>
              <w:jc w:val="center"/>
              <w:rPr>
                <w:rFonts w:cs="Arial"/>
              </w:rPr>
            </w:pPr>
            <w:r>
              <w:rPr>
                <w:rFonts w:cs="Arial"/>
              </w:rPr>
              <w:t>On the Future Awards Component</w:t>
            </w:r>
          </w:p>
        </w:tc>
      </w:tr>
      <w:tr w:rsidR="00563021" w:rsidRPr="00F43CEC" w14:paraId="629466B5" w14:textId="77777777" w:rsidTr="007B043C">
        <w:trPr>
          <w:cantSplit/>
          <w:trHeight w:val="885"/>
        </w:trPr>
        <w:tc>
          <w:tcPr>
            <w:tcW w:w="2609" w:type="dxa"/>
            <w:shd w:val="clear" w:color="auto" w:fill="auto"/>
          </w:tcPr>
          <w:p w14:paraId="7AE2155F" w14:textId="04032D4A" w:rsidR="00563021" w:rsidRPr="004F1E70" w:rsidRDefault="00563021" w:rsidP="00CD5AE4">
            <w:pPr>
              <w:pStyle w:val="ListParagraph"/>
              <w:numPr>
                <w:ilvl w:val="0"/>
                <w:numId w:val="11"/>
              </w:numPr>
              <w:spacing w:after="120"/>
              <w:ind w:left="306" w:hanging="284"/>
              <w:rPr>
                <w:lang w:val="en-GB"/>
              </w:rPr>
            </w:pPr>
            <w:r w:rsidRPr="004F1E70">
              <w:rPr>
                <w:lang w:val="en-GB"/>
              </w:rPr>
              <w:t>Clarify the objectives of the Awards program.</w:t>
            </w:r>
          </w:p>
        </w:tc>
        <w:tc>
          <w:tcPr>
            <w:tcW w:w="2754" w:type="dxa"/>
            <w:tcBorders>
              <w:right w:val="single" w:sz="4" w:space="0" w:color="auto"/>
            </w:tcBorders>
            <w:shd w:val="clear" w:color="auto" w:fill="auto"/>
          </w:tcPr>
          <w:p w14:paraId="3EE47026" w14:textId="77777777" w:rsidR="00563021" w:rsidRDefault="00563021" w:rsidP="007B043C">
            <w:pPr>
              <w:spacing w:after="120"/>
              <w:rPr>
                <w:rFonts w:cs="Arial"/>
              </w:rPr>
            </w:pPr>
            <w:r w:rsidRPr="00F43CEC">
              <w:rPr>
                <w:rFonts w:cs="Arial"/>
              </w:rPr>
              <w:t>Agree</w:t>
            </w:r>
            <w:r>
              <w:rPr>
                <w:rFonts w:cs="Arial"/>
              </w:rPr>
              <w:t>.</w:t>
            </w:r>
            <w:r w:rsidRPr="00F43CEC">
              <w:rPr>
                <w:rFonts w:cs="Arial"/>
              </w:rPr>
              <w:t xml:space="preserve"> </w:t>
            </w:r>
          </w:p>
          <w:p w14:paraId="4E5AD984" w14:textId="5DA9D3D3" w:rsidR="00563021" w:rsidRPr="00F43CEC" w:rsidRDefault="00563021" w:rsidP="004F1E70">
            <w:pPr>
              <w:spacing w:after="120"/>
              <w:rPr>
                <w:rFonts w:cs="Arial"/>
              </w:rPr>
            </w:pPr>
            <w:r>
              <w:rPr>
                <w:rFonts w:cs="Arial"/>
              </w:rPr>
              <w:t>The concept note articulated the objectives of the new Awards program and how it links/complements with the priorities of Post and the Global AAS objectives.</w:t>
            </w:r>
          </w:p>
        </w:tc>
        <w:tc>
          <w:tcPr>
            <w:tcW w:w="2682" w:type="dxa"/>
            <w:vMerge w:val="restart"/>
            <w:tcBorders>
              <w:left w:val="single" w:sz="4" w:space="0" w:color="auto"/>
            </w:tcBorders>
            <w:shd w:val="clear" w:color="auto" w:fill="auto"/>
          </w:tcPr>
          <w:p w14:paraId="2CA89F5F" w14:textId="6388C21E" w:rsidR="00E043D0" w:rsidRPr="00CD3266" w:rsidRDefault="00E043D0" w:rsidP="007B043C">
            <w:pPr>
              <w:spacing w:after="120"/>
              <w:rPr>
                <w:rFonts w:cs="Arial"/>
              </w:rPr>
            </w:pPr>
            <w:r w:rsidRPr="00CD3266">
              <w:rPr>
                <w:rFonts w:cs="Arial"/>
              </w:rPr>
              <w:t>The concept note for the new scholarships and alumni function has been drafted to take into account these recommendations</w:t>
            </w:r>
            <w:r w:rsidR="00563021" w:rsidRPr="00CD3266">
              <w:rPr>
                <w:rFonts w:cs="Arial"/>
              </w:rPr>
              <w:t xml:space="preserve">. </w:t>
            </w:r>
          </w:p>
          <w:p w14:paraId="45B08D3D" w14:textId="77777777" w:rsidR="00E043D0" w:rsidRPr="00CD3266" w:rsidRDefault="00E043D0" w:rsidP="007B043C">
            <w:pPr>
              <w:spacing w:after="120"/>
              <w:rPr>
                <w:rFonts w:cs="Arial"/>
              </w:rPr>
            </w:pPr>
            <w:r w:rsidRPr="00CD3266">
              <w:rPr>
                <w:rFonts w:cs="Arial"/>
              </w:rPr>
              <w:t xml:space="preserve">In particular, DFAT has already developed clear objectives for the new program. </w:t>
            </w:r>
          </w:p>
          <w:p w14:paraId="46C71AB0" w14:textId="5427E883" w:rsidR="00563021" w:rsidRPr="00CD3266" w:rsidRDefault="00E043D0" w:rsidP="007B043C">
            <w:pPr>
              <w:spacing w:after="120"/>
              <w:rPr>
                <w:rFonts w:cs="Arial"/>
              </w:rPr>
            </w:pPr>
            <w:r w:rsidRPr="00CD3266">
              <w:rPr>
                <w:rFonts w:cs="Arial"/>
              </w:rPr>
              <w:t xml:space="preserve">The concept note also makes clear that our selection of a delivery partner will in part be based on its ability to develop a process for better identifying target beneficiary populations, a flexible tool kit of support. </w:t>
            </w:r>
          </w:p>
          <w:p w14:paraId="5443E2C9" w14:textId="70B4DFA0" w:rsidR="00A40ACB" w:rsidRPr="00CD3266" w:rsidRDefault="00A40ACB" w:rsidP="007B043C">
            <w:pPr>
              <w:spacing w:after="120"/>
              <w:rPr>
                <w:rFonts w:cs="Arial"/>
              </w:rPr>
            </w:pPr>
            <w:r w:rsidRPr="00CD3266">
              <w:rPr>
                <w:rFonts w:cs="Arial"/>
              </w:rPr>
              <w:t>The new</w:t>
            </w:r>
            <w:r w:rsidR="00E043D0" w:rsidRPr="00CD3266">
              <w:rPr>
                <w:rFonts w:cs="Arial"/>
              </w:rPr>
              <w:t xml:space="preserve"> program</w:t>
            </w:r>
            <w:r w:rsidRPr="00CD3266">
              <w:rPr>
                <w:rFonts w:cs="Arial"/>
              </w:rPr>
              <w:t xml:space="preserve"> is targeted to start in </w:t>
            </w:r>
            <w:r w:rsidR="001429BB">
              <w:rPr>
                <w:rFonts w:cs="Arial"/>
              </w:rPr>
              <w:t>mid-late 2017</w:t>
            </w:r>
            <w:r w:rsidRPr="00CD3266">
              <w:rPr>
                <w:rFonts w:cs="Arial"/>
              </w:rPr>
              <w:t>.</w:t>
            </w:r>
          </w:p>
          <w:p w14:paraId="23B1354E" w14:textId="77777777" w:rsidR="00563021" w:rsidRPr="00CD3266" w:rsidRDefault="00563021" w:rsidP="007B043C">
            <w:pPr>
              <w:spacing w:after="120"/>
              <w:rPr>
                <w:rFonts w:cs="Arial"/>
              </w:rPr>
            </w:pPr>
          </w:p>
          <w:p w14:paraId="7C363518" w14:textId="77777777" w:rsidR="005F1909" w:rsidRPr="00CD3266" w:rsidRDefault="005F1909" w:rsidP="007B043C">
            <w:pPr>
              <w:spacing w:after="120"/>
              <w:rPr>
                <w:rFonts w:cs="Arial"/>
              </w:rPr>
            </w:pPr>
          </w:p>
          <w:p w14:paraId="7DAEA218" w14:textId="77777777" w:rsidR="005F1909" w:rsidRPr="00CD3266" w:rsidRDefault="005F1909" w:rsidP="007B043C">
            <w:pPr>
              <w:spacing w:after="120"/>
              <w:rPr>
                <w:rFonts w:cs="Arial"/>
              </w:rPr>
            </w:pPr>
          </w:p>
          <w:p w14:paraId="6247A4FE" w14:textId="77777777" w:rsidR="005F1909" w:rsidRPr="00CD3266" w:rsidRDefault="005F1909" w:rsidP="007B043C">
            <w:pPr>
              <w:spacing w:after="120"/>
              <w:rPr>
                <w:rFonts w:cs="Arial"/>
              </w:rPr>
            </w:pPr>
          </w:p>
          <w:p w14:paraId="772F7E3A" w14:textId="77777777" w:rsidR="005F1909" w:rsidRPr="00CD3266" w:rsidRDefault="005F1909" w:rsidP="007B043C">
            <w:pPr>
              <w:spacing w:after="120"/>
              <w:rPr>
                <w:rFonts w:cs="Arial"/>
              </w:rPr>
            </w:pPr>
          </w:p>
          <w:p w14:paraId="0E578E79" w14:textId="71918886" w:rsidR="005F1909" w:rsidRPr="00CD3266" w:rsidRDefault="005F1909" w:rsidP="007B043C">
            <w:pPr>
              <w:spacing w:after="120"/>
              <w:rPr>
                <w:rFonts w:cs="Arial"/>
              </w:rPr>
            </w:pPr>
          </w:p>
        </w:tc>
        <w:tc>
          <w:tcPr>
            <w:tcW w:w="1583" w:type="dxa"/>
            <w:vMerge w:val="restart"/>
            <w:tcBorders>
              <w:left w:val="single" w:sz="4" w:space="0" w:color="auto"/>
            </w:tcBorders>
            <w:shd w:val="clear" w:color="auto" w:fill="auto"/>
          </w:tcPr>
          <w:p w14:paraId="052F3A28" w14:textId="77777777" w:rsidR="00563021" w:rsidRPr="00CD3266" w:rsidRDefault="00563021" w:rsidP="007B043C">
            <w:pPr>
              <w:spacing w:after="120"/>
              <w:rPr>
                <w:rFonts w:cs="Arial"/>
              </w:rPr>
            </w:pPr>
          </w:p>
          <w:p w14:paraId="6AF6EBBE" w14:textId="77777777" w:rsidR="00563021" w:rsidRPr="00CD3266" w:rsidRDefault="00563021" w:rsidP="007B043C">
            <w:pPr>
              <w:spacing w:after="120"/>
              <w:rPr>
                <w:rFonts w:cs="Arial"/>
              </w:rPr>
            </w:pPr>
          </w:p>
          <w:p w14:paraId="3DBEF7B7" w14:textId="77777777" w:rsidR="00563021" w:rsidRPr="00CD3266" w:rsidRDefault="00563021" w:rsidP="007B043C">
            <w:pPr>
              <w:spacing w:after="120"/>
              <w:rPr>
                <w:rFonts w:cs="Arial"/>
              </w:rPr>
            </w:pPr>
          </w:p>
          <w:p w14:paraId="3110B37E" w14:textId="77777777" w:rsidR="00563021" w:rsidRPr="00CD3266" w:rsidRDefault="00563021" w:rsidP="007B043C">
            <w:pPr>
              <w:spacing w:after="120"/>
              <w:rPr>
                <w:rFonts w:cs="Arial"/>
              </w:rPr>
            </w:pPr>
          </w:p>
          <w:p w14:paraId="0F77D7D4" w14:textId="77777777" w:rsidR="00563021" w:rsidRPr="00CD3266" w:rsidRDefault="00563021" w:rsidP="007B043C">
            <w:pPr>
              <w:spacing w:after="120"/>
              <w:rPr>
                <w:rFonts w:cs="Arial"/>
              </w:rPr>
            </w:pPr>
          </w:p>
          <w:p w14:paraId="1ADEC67A" w14:textId="77777777" w:rsidR="00563021" w:rsidRPr="00CD3266" w:rsidRDefault="00563021" w:rsidP="007B043C">
            <w:pPr>
              <w:spacing w:after="120"/>
              <w:rPr>
                <w:rFonts w:cs="Arial"/>
              </w:rPr>
            </w:pPr>
          </w:p>
          <w:p w14:paraId="4884DCFC" w14:textId="52C5FCB9" w:rsidR="00563021" w:rsidRPr="00CD3266" w:rsidRDefault="00563021" w:rsidP="007B043C">
            <w:pPr>
              <w:spacing w:after="120"/>
              <w:rPr>
                <w:rFonts w:cs="Arial"/>
              </w:rPr>
            </w:pPr>
            <w:r w:rsidRPr="00CD3266">
              <w:rPr>
                <w:rFonts w:cs="Arial"/>
              </w:rPr>
              <w:t>DFAT Scholarships Team</w:t>
            </w:r>
            <w:r w:rsidR="00877550" w:rsidRPr="00CD3266">
              <w:rPr>
                <w:rFonts w:cs="Arial"/>
              </w:rPr>
              <w:t xml:space="preserve"> in Manila</w:t>
            </w:r>
            <w:r w:rsidRPr="00CD3266">
              <w:rPr>
                <w:rFonts w:cs="Arial"/>
              </w:rPr>
              <w:t xml:space="preserve"> and Philippine</w:t>
            </w:r>
            <w:r w:rsidR="00A20786" w:rsidRPr="00CD3266">
              <w:rPr>
                <w:rFonts w:cs="Arial"/>
              </w:rPr>
              <w:t>s</w:t>
            </w:r>
            <w:r w:rsidRPr="00CD3266">
              <w:rPr>
                <w:rFonts w:cs="Arial"/>
              </w:rPr>
              <w:t xml:space="preserve"> Section in Canberra</w:t>
            </w:r>
          </w:p>
          <w:p w14:paraId="5001728D" w14:textId="24E4EE42" w:rsidR="00563021" w:rsidRPr="00CD3266" w:rsidRDefault="00563021" w:rsidP="007B043C">
            <w:pPr>
              <w:spacing w:after="120"/>
              <w:rPr>
                <w:rFonts w:cs="Arial"/>
              </w:rPr>
            </w:pPr>
          </w:p>
        </w:tc>
      </w:tr>
      <w:tr w:rsidR="00563021" w:rsidRPr="00F43CEC" w14:paraId="4A01B8CE" w14:textId="77777777" w:rsidTr="007B043C">
        <w:trPr>
          <w:cantSplit/>
          <w:trHeight w:val="885"/>
        </w:trPr>
        <w:tc>
          <w:tcPr>
            <w:tcW w:w="2609" w:type="dxa"/>
            <w:shd w:val="clear" w:color="auto" w:fill="auto"/>
          </w:tcPr>
          <w:p w14:paraId="4A01B8C9" w14:textId="1B839A36" w:rsidR="00563021" w:rsidRPr="0055277B" w:rsidRDefault="00563021" w:rsidP="00CD5AE4">
            <w:pPr>
              <w:pStyle w:val="ListParagraph"/>
              <w:numPr>
                <w:ilvl w:val="0"/>
                <w:numId w:val="11"/>
              </w:numPr>
              <w:spacing w:after="120"/>
              <w:ind w:left="306" w:hanging="284"/>
            </w:pPr>
            <w:r w:rsidRPr="00CD5AE4">
              <w:rPr>
                <w:lang w:val="en-GB"/>
              </w:rPr>
              <w:t>Identify targeted beneficiary populations and develop a flexible toolkit of support.</w:t>
            </w:r>
          </w:p>
        </w:tc>
        <w:tc>
          <w:tcPr>
            <w:tcW w:w="2754" w:type="dxa"/>
            <w:vMerge w:val="restart"/>
            <w:tcBorders>
              <w:right w:val="single" w:sz="4" w:space="0" w:color="auto"/>
            </w:tcBorders>
            <w:shd w:val="clear" w:color="auto" w:fill="auto"/>
          </w:tcPr>
          <w:p w14:paraId="46F3AC39" w14:textId="2D2E1E82" w:rsidR="00563021" w:rsidRDefault="00563021" w:rsidP="007B043C">
            <w:pPr>
              <w:spacing w:after="120"/>
              <w:rPr>
                <w:rFonts w:cs="Arial"/>
              </w:rPr>
            </w:pPr>
            <w:r w:rsidRPr="00F43CEC">
              <w:rPr>
                <w:rFonts w:cs="Arial"/>
              </w:rPr>
              <w:t>Agree</w:t>
            </w:r>
            <w:r>
              <w:rPr>
                <w:rFonts w:cs="Arial"/>
              </w:rPr>
              <w:t>.</w:t>
            </w:r>
            <w:r w:rsidRPr="00F43CEC">
              <w:rPr>
                <w:rFonts w:cs="Arial"/>
              </w:rPr>
              <w:t xml:space="preserve"> </w:t>
            </w:r>
          </w:p>
          <w:p w14:paraId="74197F36" w14:textId="3AD33869" w:rsidR="00563021" w:rsidRDefault="00563021" w:rsidP="006E4222">
            <w:pPr>
              <w:spacing w:after="120"/>
              <w:rPr>
                <w:rFonts w:cs="Arial"/>
              </w:rPr>
            </w:pPr>
            <w:r>
              <w:rPr>
                <w:rFonts w:cs="Arial"/>
              </w:rPr>
              <w:t xml:space="preserve">The concept note identified </w:t>
            </w:r>
            <w:r w:rsidR="00E043D0">
              <w:rPr>
                <w:rFonts w:cs="Arial"/>
              </w:rPr>
              <w:t xml:space="preserve">broad </w:t>
            </w:r>
            <w:r>
              <w:rPr>
                <w:rFonts w:cs="Arial"/>
              </w:rPr>
              <w:t xml:space="preserve">sectors, institutions and individuals </w:t>
            </w:r>
            <w:r w:rsidR="00E043D0">
              <w:rPr>
                <w:rFonts w:cs="Arial"/>
              </w:rPr>
              <w:t xml:space="preserve">that </w:t>
            </w:r>
            <w:r>
              <w:rPr>
                <w:rFonts w:cs="Arial"/>
              </w:rPr>
              <w:t>will be targeted based on program objectives</w:t>
            </w:r>
            <w:r w:rsidR="00E043D0">
              <w:rPr>
                <w:rFonts w:cs="Arial"/>
              </w:rPr>
              <w:t xml:space="preserve"> in the initial years of the program</w:t>
            </w:r>
            <w:r>
              <w:rPr>
                <w:rFonts w:cs="Arial"/>
              </w:rPr>
              <w:t>.</w:t>
            </w:r>
            <w:r w:rsidR="00E043D0">
              <w:rPr>
                <w:rFonts w:cs="Arial"/>
              </w:rPr>
              <w:t xml:space="preserve"> Developing a process for updating sectors, institutions and individuals to target will be a core part of the design process. </w:t>
            </w:r>
          </w:p>
          <w:p w14:paraId="4A01B8CB" w14:textId="1C9F2826" w:rsidR="00563021" w:rsidRPr="00F43CEC" w:rsidRDefault="00563021" w:rsidP="006E4222">
            <w:pPr>
              <w:spacing w:after="120"/>
              <w:rPr>
                <w:rFonts w:cs="Arial"/>
              </w:rPr>
            </w:pPr>
            <w:r>
              <w:rPr>
                <w:rFonts w:cs="Arial"/>
              </w:rPr>
              <w:t xml:space="preserve">Upon engagement of a </w:t>
            </w:r>
            <w:r w:rsidR="00877550">
              <w:rPr>
                <w:rFonts w:cs="Arial"/>
              </w:rPr>
              <w:t>m</w:t>
            </w:r>
            <w:r>
              <w:rPr>
                <w:rFonts w:cs="Arial"/>
              </w:rPr>
              <w:t xml:space="preserve">anaging </w:t>
            </w:r>
            <w:r w:rsidR="00877550">
              <w:rPr>
                <w:rFonts w:cs="Arial"/>
              </w:rPr>
              <w:t>c</w:t>
            </w:r>
            <w:r>
              <w:rPr>
                <w:rFonts w:cs="Arial"/>
              </w:rPr>
              <w:t>ontractor, a flexible toolkit will be developed and implemented, subject to regular review, to ensure it continues to be adaptive to changing circumstances.</w:t>
            </w:r>
          </w:p>
        </w:tc>
        <w:tc>
          <w:tcPr>
            <w:tcW w:w="2682" w:type="dxa"/>
            <w:vMerge/>
            <w:tcBorders>
              <w:left w:val="single" w:sz="4" w:space="0" w:color="auto"/>
            </w:tcBorders>
            <w:shd w:val="clear" w:color="auto" w:fill="auto"/>
          </w:tcPr>
          <w:p w14:paraId="4A01B8CC" w14:textId="6EDCF0AF" w:rsidR="00563021" w:rsidRPr="00EE2FDC" w:rsidRDefault="00563021" w:rsidP="007B043C">
            <w:pPr>
              <w:spacing w:after="120"/>
              <w:rPr>
                <w:rFonts w:cs="Arial"/>
                <w:highlight w:val="yellow"/>
              </w:rPr>
            </w:pPr>
          </w:p>
        </w:tc>
        <w:tc>
          <w:tcPr>
            <w:tcW w:w="1583" w:type="dxa"/>
            <w:vMerge/>
            <w:tcBorders>
              <w:left w:val="single" w:sz="4" w:space="0" w:color="auto"/>
            </w:tcBorders>
            <w:shd w:val="clear" w:color="auto" w:fill="auto"/>
          </w:tcPr>
          <w:p w14:paraId="4A01B8CD" w14:textId="1D906BD0" w:rsidR="00563021" w:rsidRPr="00F43CEC" w:rsidRDefault="00563021" w:rsidP="007B043C">
            <w:pPr>
              <w:spacing w:after="120"/>
              <w:rPr>
                <w:rFonts w:cs="Arial"/>
              </w:rPr>
            </w:pPr>
          </w:p>
        </w:tc>
      </w:tr>
      <w:tr w:rsidR="00563021" w:rsidRPr="00F43CEC" w14:paraId="58DB849E" w14:textId="77777777" w:rsidTr="007B043C">
        <w:trPr>
          <w:cantSplit/>
          <w:trHeight w:val="885"/>
        </w:trPr>
        <w:tc>
          <w:tcPr>
            <w:tcW w:w="2609" w:type="dxa"/>
            <w:shd w:val="clear" w:color="auto" w:fill="auto"/>
          </w:tcPr>
          <w:p w14:paraId="5D397F8F" w14:textId="3432CBF2" w:rsidR="00563021" w:rsidRPr="007A35FF" w:rsidRDefault="00563021" w:rsidP="005F1909">
            <w:pPr>
              <w:pStyle w:val="ListParagraph"/>
              <w:numPr>
                <w:ilvl w:val="0"/>
                <w:numId w:val="11"/>
              </w:numPr>
              <w:spacing w:after="120"/>
              <w:ind w:left="306" w:hanging="284"/>
            </w:pPr>
            <w:r w:rsidRPr="005F1909">
              <w:rPr>
                <w:lang w:val="en-GB"/>
              </w:rPr>
              <w:t>Re-balance and re-prioritise the support on candidates and alumni.</w:t>
            </w:r>
          </w:p>
        </w:tc>
        <w:tc>
          <w:tcPr>
            <w:tcW w:w="2754" w:type="dxa"/>
            <w:vMerge/>
            <w:tcBorders>
              <w:right w:val="single" w:sz="4" w:space="0" w:color="auto"/>
            </w:tcBorders>
            <w:shd w:val="clear" w:color="auto" w:fill="auto"/>
          </w:tcPr>
          <w:p w14:paraId="01DF764B" w14:textId="58A4F25C" w:rsidR="00563021" w:rsidRPr="00F43CEC" w:rsidRDefault="00563021" w:rsidP="006E4222">
            <w:pPr>
              <w:spacing w:after="120"/>
              <w:rPr>
                <w:rFonts w:cs="Arial"/>
              </w:rPr>
            </w:pPr>
          </w:p>
        </w:tc>
        <w:tc>
          <w:tcPr>
            <w:tcW w:w="2682" w:type="dxa"/>
            <w:vMerge/>
            <w:tcBorders>
              <w:left w:val="single" w:sz="4" w:space="0" w:color="auto"/>
            </w:tcBorders>
            <w:shd w:val="clear" w:color="auto" w:fill="auto"/>
          </w:tcPr>
          <w:p w14:paraId="74C9D53D" w14:textId="310B363E" w:rsidR="00563021" w:rsidRPr="00EE2FDC" w:rsidRDefault="00563021" w:rsidP="007B043C">
            <w:pPr>
              <w:spacing w:after="120"/>
              <w:rPr>
                <w:rFonts w:cs="Arial"/>
                <w:highlight w:val="yellow"/>
              </w:rPr>
            </w:pPr>
          </w:p>
        </w:tc>
        <w:tc>
          <w:tcPr>
            <w:tcW w:w="1583" w:type="dxa"/>
            <w:vMerge/>
            <w:tcBorders>
              <w:left w:val="single" w:sz="4" w:space="0" w:color="auto"/>
            </w:tcBorders>
            <w:shd w:val="clear" w:color="auto" w:fill="auto"/>
          </w:tcPr>
          <w:p w14:paraId="7E0675A0" w14:textId="0734BE90" w:rsidR="00563021" w:rsidRDefault="00563021" w:rsidP="007B043C">
            <w:pPr>
              <w:spacing w:after="120"/>
              <w:rPr>
                <w:rFonts w:cs="Arial"/>
              </w:rPr>
            </w:pPr>
          </w:p>
        </w:tc>
      </w:tr>
      <w:tr w:rsidR="007B043C" w:rsidRPr="00F43CEC" w14:paraId="56D725C3" w14:textId="77777777" w:rsidTr="007B043C">
        <w:trPr>
          <w:cantSplit/>
          <w:trHeight w:val="230"/>
        </w:trPr>
        <w:tc>
          <w:tcPr>
            <w:tcW w:w="9628" w:type="dxa"/>
            <w:gridSpan w:val="4"/>
            <w:shd w:val="clear" w:color="auto" w:fill="auto"/>
          </w:tcPr>
          <w:p w14:paraId="6087DA86" w14:textId="40171B64" w:rsidR="007B043C" w:rsidRPr="00684D0B" w:rsidRDefault="007B043C" w:rsidP="007B043C">
            <w:pPr>
              <w:spacing w:after="120"/>
              <w:jc w:val="center"/>
              <w:rPr>
                <w:rFonts w:cs="Arial"/>
              </w:rPr>
            </w:pPr>
            <w:r>
              <w:rPr>
                <w:rFonts w:cs="Arial"/>
              </w:rPr>
              <w:t>On the Future Alumni Component</w:t>
            </w:r>
          </w:p>
        </w:tc>
      </w:tr>
      <w:tr w:rsidR="00563021" w:rsidRPr="00F43CEC" w14:paraId="2C61C5E2" w14:textId="77777777" w:rsidTr="007B043C">
        <w:trPr>
          <w:cantSplit/>
          <w:trHeight w:val="885"/>
        </w:trPr>
        <w:tc>
          <w:tcPr>
            <w:tcW w:w="2609" w:type="dxa"/>
            <w:shd w:val="clear" w:color="auto" w:fill="auto"/>
          </w:tcPr>
          <w:p w14:paraId="3531B5EC" w14:textId="1BC6E55F" w:rsidR="00563021" w:rsidRPr="007A35FF" w:rsidRDefault="00563021" w:rsidP="005F1909">
            <w:pPr>
              <w:pStyle w:val="ListParagraph"/>
              <w:numPr>
                <w:ilvl w:val="0"/>
                <w:numId w:val="11"/>
              </w:numPr>
              <w:spacing w:after="120"/>
              <w:ind w:left="306" w:hanging="284"/>
            </w:pPr>
            <w:r>
              <w:rPr>
                <w:lang w:val="en-GB"/>
              </w:rPr>
              <w:t>Clarify the objectives and membership of the alumni network.</w:t>
            </w:r>
          </w:p>
        </w:tc>
        <w:tc>
          <w:tcPr>
            <w:tcW w:w="2754" w:type="dxa"/>
            <w:tcBorders>
              <w:right w:val="single" w:sz="4" w:space="0" w:color="auto"/>
            </w:tcBorders>
            <w:shd w:val="clear" w:color="auto" w:fill="auto"/>
          </w:tcPr>
          <w:p w14:paraId="754DAE56" w14:textId="5C310B68" w:rsidR="00563021" w:rsidRDefault="00563021" w:rsidP="007B043C">
            <w:pPr>
              <w:spacing w:after="120"/>
              <w:rPr>
                <w:rFonts w:cs="Arial"/>
              </w:rPr>
            </w:pPr>
            <w:r>
              <w:rPr>
                <w:rFonts w:cs="Arial"/>
              </w:rPr>
              <w:t>Agree.</w:t>
            </w:r>
          </w:p>
          <w:p w14:paraId="608F6F85" w14:textId="5CC8CB92" w:rsidR="00563021" w:rsidRDefault="00563021" w:rsidP="007B043C">
            <w:pPr>
              <w:spacing w:after="120"/>
              <w:rPr>
                <w:rFonts w:cs="Arial"/>
              </w:rPr>
            </w:pPr>
            <w:r>
              <w:rPr>
                <w:rFonts w:cs="Arial"/>
              </w:rPr>
              <w:t>The objective of alumni engagement in the new investment is to maintain links and collaboration with Australia in order to strengthen networks of influence to help deliver diplomatic, trade, investment, international education and development outcomes.</w:t>
            </w:r>
          </w:p>
          <w:p w14:paraId="4F1CDDC0" w14:textId="7892EED5" w:rsidR="00563021" w:rsidRPr="00F43CEC" w:rsidRDefault="00563021" w:rsidP="007B043C">
            <w:pPr>
              <w:spacing w:after="120"/>
              <w:rPr>
                <w:rFonts w:cs="Arial"/>
              </w:rPr>
            </w:pPr>
            <w:r>
              <w:rPr>
                <w:rFonts w:cs="Arial"/>
              </w:rPr>
              <w:t xml:space="preserve">The concept note </w:t>
            </w:r>
            <w:r w:rsidR="0037054B">
              <w:rPr>
                <w:rFonts w:cs="Arial"/>
              </w:rPr>
              <w:t xml:space="preserve">for the new program </w:t>
            </w:r>
            <w:r>
              <w:rPr>
                <w:rFonts w:cs="Arial"/>
              </w:rPr>
              <w:t>also specifie</w:t>
            </w:r>
            <w:r w:rsidR="0037054B">
              <w:rPr>
                <w:rFonts w:cs="Arial"/>
              </w:rPr>
              <w:t>s</w:t>
            </w:r>
            <w:r>
              <w:rPr>
                <w:rFonts w:cs="Arial"/>
              </w:rPr>
              <w:t xml:space="preserve"> the composition of </w:t>
            </w:r>
            <w:r w:rsidR="0037054B">
              <w:rPr>
                <w:rFonts w:cs="Arial"/>
              </w:rPr>
              <w:t xml:space="preserve">the </w:t>
            </w:r>
            <w:r>
              <w:rPr>
                <w:rFonts w:cs="Arial"/>
              </w:rPr>
              <w:t>alumni</w:t>
            </w:r>
            <w:r w:rsidR="0037054B">
              <w:rPr>
                <w:rFonts w:cs="Arial"/>
              </w:rPr>
              <w:t xml:space="preserve"> network</w:t>
            </w:r>
            <w:r>
              <w:rPr>
                <w:rFonts w:cs="Arial"/>
              </w:rPr>
              <w:t>.</w:t>
            </w:r>
          </w:p>
        </w:tc>
        <w:tc>
          <w:tcPr>
            <w:tcW w:w="2682" w:type="dxa"/>
            <w:tcBorders>
              <w:left w:val="single" w:sz="4" w:space="0" w:color="auto"/>
            </w:tcBorders>
            <w:shd w:val="clear" w:color="auto" w:fill="auto"/>
          </w:tcPr>
          <w:p w14:paraId="54D4764E" w14:textId="37E15AB0" w:rsidR="0037054B" w:rsidRDefault="0037054B" w:rsidP="007B043C">
            <w:pPr>
              <w:spacing w:after="120"/>
              <w:rPr>
                <w:rFonts w:cs="Arial"/>
              </w:rPr>
            </w:pPr>
            <w:r>
              <w:rPr>
                <w:rFonts w:cs="Arial"/>
              </w:rPr>
              <w:t xml:space="preserve">The core objectives of alumni engagement have been provided in the concept note for the new scholarships and alumni program. </w:t>
            </w:r>
          </w:p>
          <w:p w14:paraId="2173DF60" w14:textId="7B6B155E" w:rsidR="00A40ACB" w:rsidRPr="00EE2FDC" w:rsidRDefault="00A40ACB" w:rsidP="001429BB">
            <w:pPr>
              <w:spacing w:after="120"/>
              <w:rPr>
                <w:rFonts w:cs="Arial"/>
                <w:highlight w:val="yellow"/>
              </w:rPr>
            </w:pPr>
          </w:p>
        </w:tc>
        <w:tc>
          <w:tcPr>
            <w:tcW w:w="1583" w:type="dxa"/>
            <w:vMerge w:val="restart"/>
            <w:tcBorders>
              <w:left w:val="single" w:sz="4" w:space="0" w:color="auto"/>
            </w:tcBorders>
            <w:shd w:val="clear" w:color="auto" w:fill="auto"/>
          </w:tcPr>
          <w:p w14:paraId="59A66A34" w14:textId="77777777" w:rsidR="00563021" w:rsidRDefault="00563021" w:rsidP="007B043C">
            <w:pPr>
              <w:spacing w:after="120"/>
              <w:rPr>
                <w:rFonts w:cs="Arial"/>
              </w:rPr>
            </w:pPr>
          </w:p>
          <w:p w14:paraId="58E89A39" w14:textId="77777777" w:rsidR="00563021" w:rsidRDefault="00563021" w:rsidP="007B043C">
            <w:pPr>
              <w:spacing w:after="120"/>
              <w:rPr>
                <w:rFonts w:cs="Arial"/>
              </w:rPr>
            </w:pPr>
          </w:p>
          <w:p w14:paraId="1025A719" w14:textId="77777777" w:rsidR="00563021" w:rsidRDefault="00563021" w:rsidP="007B043C">
            <w:pPr>
              <w:spacing w:after="120"/>
              <w:rPr>
                <w:rFonts w:cs="Arial"/>
              </w:rPr>
            </w:pPr>
          </w:p>
          <w:p w14:paraId="771323E4" w14:textId="77777777" w:rsidR="00563021" w:rsidRDefault="00563021" w:rsidP="007B043C">
            <w:pPr>
              <w:spacing w:after="120"/>
              <w:rPr>
                <w:rFonts w:cs="Arial"/>
              </w:rPr>
            </w:pPr>
          </w:p>
          <w:p w14:paraId="3473810E" w14:textId="77777777" w:rsidR="00563021" w:rsidRDefault="00563021" w:rsidP="007B043C">
            <w:pPr>
              <w:spacing w:after="120"/>
              <w:rPr>
                <w:rFonts w:cs="Arial"/>
              </w:rPr>
            </w:pPr>
          </w:p>
          <w:p w14:paraId="59FEF9B6" w14:textId="77777777" w:rsidR="00563021" w:rsidRDefault="00563021" w:rsidP="007B043C">
            <w:pPr>
              <w:spacing w:after="120"/>
              <w:rPr>
                <w:rFonts w:cs="Arial"/>
              </w:rPr>
            </w:pPr>
          </w:p>
          <w:p w14:paraId="754D2A6E" w14:textId="107D341B" w:rsidR="00563021" w:rsidRDefault="00563021" w:rsidP="00877550">
            <w:pPr>
              <w:spacing w:after="120"/>
              <w:rPr>
                <w:rFonts w:cs="Arial"/>
              </w:rPr>
            </w:pPr>
            <w:r w:rsidRPr="00324491">
              <w:rPr>
                <w:rFonts w:cs="Arial"/>
              </w:rPr>
              <w:t>DFAT Scholarships Team</w:t>
            </w:r>
            <w:r w:rsidR="00877550">
              <w:rPr>
                <w:rFonts w:cs="Arial"/>
              </w:rPr>
              <w:t xml:space="preserve"> in Manila</w:t>
            </w:r>
            <w:r w:rsidRPr="00324491">
              <w:rPr>
                <w:rFonts w:cs="Arial"/>
              </w:rPr>
              <w:t xml:space="preserve"> and Philippine</w:t>
            </w:r>
            <w:r w:rsidR="00A20786" w:rsidRPr="00CD3266">
              <w:rPr>
                <w:rFonts w:cs="Arial"/>
              </w:rPr>
              <w:t>s</w:t>
            </w:r>
            <w:r w:rsidRPr="00CD3266">
              <w:rPr>
                <w:rFonts w:cs="Arial"/>
              </w:rPr>
              <w:t xml:space="preserve"> Section in</w:t>
            </w:r>
            <w:r w:rsidRPr="00324491">
              <w:rPr>
                <w:rFonts w:cs="Arial"/>
              </w:rPr>
              <w:t xml:space="preserve"> Canberra</w:t>
            </w:r>
          </w:p>
        </w:tc>
      </w:tr>
      <w:tr w:rsidR="00563021" w:rsidRPr="00F43CEC" w14:paraId="6D5C5E06" w14:textId="77777777" w:rsidTr="007B043C">
        <w:trPr>
          <w:cantSplit/>
          <w:trHeight w:val="885"/>
        </w:trPr>
        <w:tc>
          <w:tcPr>
            <w:tcW w:w="2609" w:type="dxa"/>
            <w:shd w:val="clear" w:color="auto" w:fill="auto"/>
          </w:tcPr>
          <w:p w14:paraId="08C7B1D0" w14:textId="3B78D47E" w:rsidR="00563021" w:rsidRDefault="0037054B" w:rsidP="005F1909">
            <w:pPr>
              <w:pStyle w:val="ListParagraph"/>
              <w:numPr>
                <w:ilvl w:val="0"/>
                <w:numId w:val="11"/>
              </w:numPr>
              <w:spacing w:after="120"/>
              <w:ind w:left="306" w:hanging="284"/>
              <w:rPr>
                <w:lang w:val="en-GB"/>
              </w:rPr>
            </w:pPr>
            <w:r>
              <w:rPr>
                <w:lang w:val="en-GB"/>
              </w:rPr>
              <w:lastRenderedPageBreak/>
              <w:t xml:space="preserve">Devise </w:t>
            </w:r>
            <w:r w:rsidR="00563021">
              <w:rPr>
                <w:lang w:val="en-GB"/>
              </w:rPr>
              <w:t>a strategy of engagement with clear roles and responsibilities.</w:t>
            </w:r>
          </w:p>
        </w:tc>
        <w:tc>
          <w:tcPr>
            <w:tcW w:w="2754" w:type="dxa"/>
            <w:tcBorders>
              <w:right w:val="single" w:sz="4" w:space="0" w:color="auto"/>
            </w:tcBorders>
            <w:shd w:val="clear" w:color="auto" w:fill="auto"/>
          </w:tcPr>
          <w:p w14:paraId="233C5DE2" w14:textId="77777777" w:rsidR="00563021" w:rsidRDefault="00563021" w:rsidP="007B043C">
            <w:pPr>
              <w:spacing w:after="120"/>
              <w:rPr>
                <w:rFonts w:cs="Arial"/>
              </w:rPr>
            </w:pPr>
            <w:r w:rsidRPr="009363B6">
              <w:rPr>
                <w:rFonts w:cs="Arial"/>
              </w:rPr>
              <w:t xml:space="preserve">Agree. </w:t>
            </w:r>
          </w:p>
          <w:p w14:paraId="6FFD1C9A" w14:textId="6108BC14" w:rsidR="00563021" w:rsidRDefault="00563021" w:rsidP="007B043C">
            <w:pPr>
              <w:spacing w:after="120"/>
              <w:rPr>
                <w:rFonts w:cs="Arial"/>
              </w:rPr>
            </w:pPr>
          </w:p>
        </w:tc>
        <w:tc>
          <w:tcPr>
            <w:tcW w:w="2682" w:type="dxa"/>
            <w:tcBorders>
              <w:left w:val="single" w:sz="4" w:space="0" w:color="auto"/>
            </w:tcBorders>
            <w:shd w:val="clear" w:color="auto" w:fill="auto"/>
          </w:tcPr>
          <w:p w14:paraId="561FB3C1" w14:textId="77777777" w:rsidR="001429BB" w:rsidRDefault="001429BB" w:rsidP="001429BB">
            <w:pPr>
              <w:spacing w:after="120"/>
              <w:rPr>
                <w:rFonts w:cs="Arial"/>
              </w:rPr>
            </w:pPr>
            <w:r>
              <w:rPr>
                <w:rFonts w:cs="Arial"/>
              </w:rPr>
              <w:t>The concept note clearly identifies the roles and responsibilities of DFAT and the managing contractor in engaging alumni.</w:t>
            </w:r>
          </w:p>
          <w:p w14:paraId="5C3F27F2" w14:textId="193FCFA7" w:rsidR="00563021" w:rsidRPr="00EE2FDC" w:rsidRDefault="001429BB" w:rsidP="001429BB">
            <w:pPr>
              <w:spacing w:after="120"/>
              <w:rPr>
                <w:rFonts w:cs="Arial"/>
                <w:highlight w:val="yellow"/>
              </w:rPr>
            </w:pPr>
            <w:r>
              <w:rPr>
                <w:rFonts w:cs="Arial"/>
              </w:rPr>
              <w:t>The managing contractor of the new program will be specifically tasked to build on and operationalise the initial engagement strategy stated in the concept note (i.e. segmentation of alumni population, strategic partnerships with the private sector, civil society and academic sector)</w:t>
            </w:r>
          </w:p>
        </w:tc>
        <w:tc>
          <w:tcPr>
            <w:tcW w:w="1583" w:type="dxa"/>
            <w:vMerge/>
            <w:tcBorders>
              <w:left w:val="single" w:sz="4" w:space="0" w:color="auto"/>
            </w:tcBorders>
            <w:shd w:val="clear" w:color="auto" w:fill="auto"/>
          </w:tcPr>
          <w:p w14:paraId="7DEC4D3F" w14:textId="7D952C9E" w:rsidR="00563021" w:rsidRDefault="00563021" w:rsidP="007B043C">
            <w:pPr>
              <w:spacing w:after="120"/>
              <w:rPr>
                <w:rFonts w:cs="Arial"/>
              </w:rPr>
            </w:pPr>
          </w:p>
        </w:tc>
      </w:tr>
      <w:tr w:rsidR="00563021" w:rsidRPr="00F43CEC" w14:paraId="1928E164" w14:textId="77777777" w:rsidTr="007B043C">
        <w:trPr>
          <w:cantSplit/>
          <w:trHeight w:val="885"/>
        </w:trPr>
        <w:tc>
          <w:tcPr>
            <w:tcW w:w="2609" w:type="dxa"/>
            <w:shd w:val="clear" w:color="auto" w:fill="auto"/>
          </w:tcPr>
          <w:p w14:paraId="362700FA" w14:textId="38948FDC" w:rsidR="00563021" w:rsidRDefault="00563021" w:rsidP="005F1909">
            <w:pPr>
              <w:pStyle w:val="ListParagraph"/>
              <w:numPr>
                <w:ilvl w:val="0"/>
                <w:numId w:val="11"/>
              </w:numPr>
              <w:spacing w:after="120"/>
              <w:ind w:left="306" w:hanging="284"/>
              <w:rPr>
                <w:lang w:val="en-GB"/>
              </w:rPr>
            </w:pPr>
            <w:r>
              <w:rPr>
                <w:lang w:val="en-GB"/>
              </w:rPr>
              <w:t>Develop creative activities and initiatives tailored to specific groups of alumni.</w:t>
            </w:r>
          </w:p>
        </w:tc>
        <w:tc>
          <w:tcPr>
            <w:tcW w:w="2754" w:type="dxa"/>
            <w:tcBorders>
              <w:right w:val="single" w:sz="4" w:space="0" w:color="auto"/>
            </w:tcBorders>
            <w:shd w:val="clear" w:color="auto" w:fill="auto"/>
          </w:tcPr>
          <w:p w14:paraId="373089B3" w14:textId="77777777" w:rsidR="00563021" w:rsidRDefault="00563021" w:rsidP="007B043C">
            <w:pPr>
              <w:spacing w:after="120"/>
              <w:rPr>
                <w:rFonts w:cs="Arial"/>
              </w:rPr>
            </w:pPr>
            <w:r>
              <w:rPr>
                <w:rFonts w:cs="Arial"/>
              </w:rPr>
              <w:t>Agree.</w:t>
            </w:r>
          </w:p>
          <w:p w14:paraId="678887C3" w14:textId="77777777" w:rsidR="005F1909" w:rsidRDefault="005F1909" w:rsidP="007B043C">
            <w:pPr>
              <w:spacing w:after="120"/>
              <w:rPr>
                <w:rFonts w:cs="Arial"/>
              </w:rPr>
            </w:pPr>
          </w:p>
          <w:p w14:paraId="0AF4DFFA" w14:textId="77777777" w:rsidR="005F1909" w:rsidRDefault="005F1909" w:rsidP="007B043C">
            <w:pPr>
              <w:spacing w:after="120"/>
              <w:rPr>
                <w:rFonts w:cs="Arial"/>
              </w:rPr>
            </w:pPr>
          </w:p>
          <w:p w14:paraId="319ED7DA" w14:textId="77777777" w:rsidR="005F1909" w:rsidRDefault="005F1909" w:rsidP="007B043C">
            <w:pPr>
              <w:spacing w:after="120"/>
              <w:rPr>
                <w:rFonts w:cs="Arial"/>
              </w:rPr>
            </w:pPr>
          </w:p>
          <w:p w14:paraId="5F6B4F14" w14:textId="77777777" w:rsidR="005F1909" w:rsidRDefault="005F1909" w:rsidP="007B043C">
            <w:pPr>
              <w:spacing w:after="120"/>
              <w:rPr>
                <w:rFonts w:cs="Arial"/>
              </w:rPr>
            </w:pPr>
          </w:p>
          <w:p w14:paraId="115D42CD" w14:textId="35CB9DA3" w:rsidR="005F1909" w:rsidRDefault="005F1909" w:rsidP="007B043C">
            <w:pPr>
              <w:spacing w:after="120"/>
              <w:rPr>
                <w:rFonts w:cs="Arial"/>
              </w:rPr>
            </w:pPr>
          </w:p>
        </w:tc>
        <w:tc>
          <w:tcPr>
            <w:tcW w:w="2682" w:type="dxa"/>
            <w:tcBorders>
              <w:left w:val="single" w:sz="4" w:space="0" w:color="auto"/>
            </w:tcBorders>
            <w:shd w:val="clear" w:color="auto" w:fill="auto"/>
          </w:tcPr>
          <w:p w14:paraId="006223AB" w14:textId="77777777" w:rsidR="001429BB" w:rsidRDefault="001429BB" w:rsidP="001429BB">
            <w:pPr>
              <w:spacing w:after="120"/>
              <w:rPr>
                <w:rFonts w:cs="Arial"/>
              </w:rPr>
            </w:pPr>
            <w:r>
              <w:rPr>
                <w:rFonts w:cs="Arial"/>
              </w:rPr>
              <w:t>The segmentation of alumni will be complemented with a suite of activities and initiatives tailored to each segment.</w:t>
            </w:r>
          </w:p>
          <w:p w14:paraId="41D86CFE" w14:textId="77777777" w:rsidR="00563021" w:rsidRDefault="00563021" w:rsidP="007B043C">
            <w:pPr>
              <w:spacing w:after="120"/>
              <w:rPr>
                <w:rFonts w:cs="Arial"/>
              </w:rPr>
            </w:pPr>
          </w:p>
        </w:tc>
        <w:tc>
          <w:tcPr>
            <w:tcW w:w="1583" w:type="dxa"/>
            <w:vMerge/>
            <w:tcBorders>
              <w:left w:val="single" w:sz="4" w:space="0" w:color="auto"/>
            </w:tcBorders>
            <w:shd w:val="clear" w:color="auto" w:fill="auto"/>
          </w:tcPr>
          <w:p w14:paraId="26DA20CB" w14:textId="5EDDB703" w:rsidR="00563021" w:rsidRPr="00D50E57" w:rsidRDefault="00563021" w:rsidP="007B043C">
            <w:pPr>
              <w:spacing w:after="120"/>
              <w:rPr>
                <w:rFonts w:cs="Arial"/>
              </w:rPr>
            </w:pPr>
          </w:p>
        </w:tc>
      </w:tr>
      <w:tr w:rsidR="007B043C" w:rsidRPr="00F43CEC" w14:paraId="52EC0723" w14:textId="77777777" w:rsidTr="007B043C">
        <w:trPr>
          <w:cantSplit/>
          <w:trHeight w:val="358"/>
        </w:trPr>
        <w:tc>
          <w:tcPr>
            <w:tcW w:w="9628" w:type="dxa"/>
            <w:gridSpan w:val="4"/>
            <w:shd w:val="clear" w:color="auto" w:fill="auto"/>
          </w:tcPr>
          <w:p w14:paraId="5A037D55" w14:textId="16E17DB6" w:rsidR="007B043C" w:rsidRPr="00684D0B" w:rsidRDefault="007B043C" w:rsidP="007B043C">
            <w:pPr>
              <w:spacing w:after="120"/>
              <w:jc w:val="center"/>
              <w:rPr>
                <w:rFonts w:cs="Arial"/>
              </w:rPr>
            </w:pPr>
            <w:r>
              <w:rPr>
                <w:rFonts w:cs="Arial"/>
              </w:rPr>
              <w:t>On the Future T</w:t>
            </w:r>
            <w:r w:rsidR="00877550">
              <w:rPr>
                <w:rFonts w:cs="Arial"/>
              </w:rPr>
              <w:t xml:space="preserve">echnical </w:t>
            </w:r>
            <w:r>
              <w:rPr>
                <w:rFonts w:cs="Arial"/>
              </w:rPr>
              <w:t>A</w:t>
            </w:r>
            <w:r w:rsidR="00877550">
              <w:rPr>
                <w:rFonts w:cs="Arial"/>
              </w:rPr>
              <w:t>ssistance</w:t>
            </w:r>
            <w:r>
              <w:rPr>
                <w:rFonts w:cs="Arial"/>
              </w:rPr>
              <w:t xml:space="preserve"> Component</w:t>
            </w:r>
          </w:p>
        </w:tc>
      </w:tr>
      <w:tr w:rsidR="00563021" w:rsidRPr="00F43CEC" w14:paraId="2626CD45" w14:textId="77777777" w:rsidTr="007B043C">
        <w:trPr>
          <w:cantSplit/>
          <w:trHeight w:val="885"/>
        </w:trPr>
        <w:tc>
          <w:tcPr>
            <w:tcW w:w="2609" w:type="dxa"/>
            <w:shd w:val="clear" w:color="auto" w:fill="auto"/>
          </w:tcPr>
          <w:p w14:paraId="7DED051C" w14:textId="365FCCB4" w:rsidR="00563021" w:rsidRDefault="00563021" w:rsidP="005F1909">
            <w:pPr>
              <w:pStyle w:val="ListParagraph"/>
              <w:numPr>
                <w:ilvl w:val="0"/>
                <w:numId w:val="11"/>
              </w:numPr>
              <w:spacing w:after="120"/>
              <w:ind w:left="306" w:hanging="284"/>
              <w:rPr>
                <w:lang w:val="en-GB"/>
              </w:rPr>
            </w:pPr>
            <w:r w:rsidRPr="005F1909">
              <w:rPr>
                <w:lang w:val="en-GB"/>
              </w:rPr>
              <w:t>Ensure clarity and coherence of objectives of ad-hoc TA proper management and visibility of TA.</w:t>
            </w:r>
          </w:p>
        </w:tc>
        <w:tc>
          <w:tcPr>
            <w:tcW w:w="2754" w:type="dxa"/>
            <w:vMerge w:val="restart"/>
            <w:tcBorders>
              <w:right w:val="single" w:sz="4" w:space="0" w:color="auto"/>
            </w:tcBorders>
            <w:shd w:val="clear" w:color="auto" w:fill="auto"/>
          </w:tcPr>
          <w:p w14:paraId="34B05A51" w14:textId="77777777" w:rsidR="006D32F9" w:rsidRDefault="006D32F9" w:rsidP="007B043C">
            <w:pPr>
              <w:spacing w:after="120"/>
              <w:rPr>
                <w:rFonts w:cs="Arial"/>
              </w:rPr>
            </w:pPr>
            <w:r w:rsidRPr="006D32F9">
              <w:rPr>
                <w:rFonts w:cs="Arial"/>
              </w:rPr>
              <w:t xml:space="preserve">Agree. </w:t>
            </w:r>
          </w:p>
          <w:p w14:paraId="08E9FDC2" w14:textId="50D15914" w:rsidR="00563021" w:rsidRDefault="00563021" w:rsidP="001429BB">
            <w:pPr>
              <w:spacing w:after="120"/>
              <w:rPr>
                <w:rFonts w:cs="Arial"/>
              </w:rPr>
            </w:pPr>
            <w:bookmarkStart w:id="0" w:name="_GoBack"/>
            <w:bookmarkEnd w:id="0"/>
          </w:p>
        </w:tc>
        <w:tc>
          <w:tcPr>
            <w:tcW w:w="2682" w:type="dxa"/>
            <w:vMerge w:val="restart"/>
            <w:tcBorders>
              <w:left w:val="single" w:sz="4" w:space="0" w:color="auto"/>
            </w:tcBorders>
            <w:shd w:val="clear" w:color="auto" w:fill="auto"/>
          </w:tcPr>
          <w:p w14:paraId="13B8B540" w14:textId="7B7ABA64" w:rsidR="00563021" w:rsidRDefault="006D32F9" w:rsidP="001429BB">
            <w:pPr>
              <w:spacing w:after="120"/>
              <w:rPr>
                <w:rFonts w:cs="Arial"/>
              </w:rPr>
            </w:pPr>
            <w:r w:rsidRPr="006D32F9">
              <w:rPr>
                <w:rFonts w:cs="Arial"/>
              </w:rPr>
              <w:t>These recommendations will be considered in the proposed Trade and Inclusive Economic Growth Facility</w:t>
            </w:r>
            <w:r w:rsidR="001429BB">
              <w:rPr>
                <w:rFonts w:cs="Arial"/>
              </w:rPr>
              <w:t xml:space="preserve"> (forthcoming)</w:t>
            </w:r>
            <w:r w:rsidRPr="006D32F9">
              <w:rPr>
                <w:rFonts w:cs="Arial"/>
              </w:rPr>
              <w:t>.</w:t>
            </w:r>
          </w:p>
        </w:tc>
        <w:tc>
          <w:tcPr>
            <w:tcW w:w="1583" w:type="dxa"/>
            <w:vMerge w:val="restart"/>
            <w:tcBorders>
              <w:left w:val="single" w:sz="4" w:space="0" w:color="auto"/>
            </w:tcBorders>
            <w:shd w:val="clear" w:color="auto" w:fill="auto"/>
          </w:tcPr>
          <w:p w14:paraId="395894E4" w14:textId="0FAD2361" w:rsidR="00563021" w:rsidRDefault="00563021" w:rsidP="007B043C">
            <w:pPr>
              <w:spacing w:after="120"/>
              <w:rPr>
                <w:rFonts w:cs="Arial"/>
              </w:rPr>
            </w:pPr>
            <w:r>
              <w:rPr>
                <w:rFonts w:cs="Arial"/>
              </w:rPr>
              <w:t>DFAT Inclusive Economic Growth Team</w:t>
            </w:r>
            <w:r w:rsidR="00877550">
              <w:rPr>
                <w:rFonts w:cs="Arial"/>
              </w:rPr>
              <w:t xml:space="preserve"> in Manila</w:t>
            </w:r>
          </w:p>
          <w:p w14:paraId="4A7E3E01" w14:textId="77777777" w:rsidR="001F119F" w:rsidRDefault="001F119F" w:rsidP="007B043C">
            <w:pPr>
              <w:spacing w:after="120"/>
              <w:rPr>
                <w:rFonts w:cs="Arial"/>
              </w:rPr>
            </w:pPr>
          </w:p>
          <w:p w14:paraId="300E0D73" w14:textId="1E39D5B2" w:rsidR="001F119F" w:rsidRPr="00D50E57" w:rsidRDefault="001F119F" w:rsidP="007B043C">
            <w:pPr>
              <w:spacing w:after="120"/>
              <w:rPr>
                <w:rFonts w:cs="Arial"/>
              </w:rPr>
            </w:pPr>
          </w:p>
        </w:tc>
      </w:tr>
      <w:tr w:rsidR="00563021" w:rsidRPr="00F43CEC" w14:paraId="502C7C33" w14:textId="77777777" w:rsidTr="007B043C">
        <w:trPr>
          <w:cantSplit/>
          <w:trHeight w:val="885"/>
        </w:trPr>
        <w:tc>
          <w:tcPr>
            <w:tcW w:w="2609" w:type="dxa"/>
            <w:shd w:val="clear" w:color="auto" w:fill="auto"/>
          </w:tcPr>
          <w:p w14:paraId="3EFA6055" w14:textId="4ADEAEE6" w:rsidR="00563021" w:rsidRDefault="00563021" w:rsidP="005F1909">
            <w:pPr>
              <w:pStyle w:val="ListParagraph"/>
              <w:numPr>
                <w:ilvl w:val="0"/>
                <w:numId w:val="11"/>
              </w:numPr>
              <w:spacing w:after="120"/>
              <w:ind w:left="306" w:hanging="284"/>
              <w:rPr>
                <w:lang w:val="en-GB"/>
              </w:rPr>
            </w:pPr>
            <w:r w:rsidRPr="00684D0B">
              <w:rPr>
                <w:lang w:val="en-GB"/>
              </w:rPr>
              <w:t>Ensure proper management and visibility of TA.</w:t>
            </w:r>
          </w:p>
        </w:tc>
        <w:tc>
          <w:tcPr>
            <w:tcW w:w="2754" w:type="dxa"/>
            <w:vMerge/>
            <w:tcBorders>
              <w:right w:val="single" w:sz="4" w:space="0" w:color="auto"/>
            </w:tcBorders>
            <w:shd w:val="clear" w:color="auto" w:fill="auto"/>
          </w:tcPr>
          <w:p w14:paraId="264E7C44" w14:textId="1AA10292" w:rsidR="00563021" w:rsidRDefault="00563021" w:rsidP="007B043C">
            <w:pPr>
              <w:spacing w:after="120"/>
              <w:rPr>
                <w:rFonts w:cs="Arial"/>
              </w:rPr>
            </w:pPr>
          </w:p>
        </w:tc>
        <w:tc>
          <w:tcPr>
            <w:tcW w:w="2682" w:type="dxa"/>
            <w:vMerge/>
            <w:tcBorders>
              <w:left w:val="single" w:sz="4" w:space="0" w:color="auto"/>
            </w:tcBorders>
            <w:shd w:val="clear" w:color="auto" w:fill="auto"/>
          </w:tcPr>
          <w:p w14:paraId="2C01F8F2" w14:textId="77777777" w:rsidR="00563021" w:rsidRDefault="00563021" w:rsidP="007B043C">
            <w:pPr>
              <w:spacing w:after="120"/>
              <w:rPr>
                <w:rFonts w:cs="Arial"/>
              </w:rPr>
            </w:pPr>
          </w:p>
        </w:tc>
        <w:tc>
          <w:tcPr>
            <w:tcW w:w="1583" w:type="dxa"/>
            <w:vMerge/>
            <w:tcBorders>
              <w:left w:val="single" w:sz="4" w:space="0" w:color="auto"/>
            </w:tcBorders>
            <w:shd w:val="clear" w:color="auto" w:fill="auto"/>
          </w:tcPr>
          <w:p w14:paraId="62B83740" w14:textId="14420124" w:rsidR="00563021" w:rsidRPr="00D50E57" w:rsidRDefault="00563021" w:rsidP="007B043C">
            <w:pPr>
              <w:spacing w:after="120"/>
              <w:rPr>
                <w:rFonts w:cs="Arial"/>
              </w:rPr>
            </w:pPr>
          </w:p>
        </w:tc>
      </w:tr>
      <w:tr w:rsidR="00563021" w:rsidRPr="00F43CEC" w14:paraId="750D448F" w14:textId="1801A556" w:rsidTr="007B043C">
        <w:trPr>
          <w:cantSplit/>
          <w:trHeight w:val="885"/>
        </w:trPr>
        <w:tc>
          <w:tcPr>
            <w:tcW w:w="2609" w:type="dxa"/>
            <w:shd w:val="clear" w:color="auto" w:fill="auto"/>
          </w:tcPr>
          <w:p w14:paraId="5FCD0991" w14:textId="1642DD8B" w:rsidR="00563021" w:rsidRPr="001F119F" w:rsidRDefault="001F119F" w:rsidP="001F119F">
            <w:pPr>
              <w:pStyle w:val="ListParagraph"/>
              <w:numPr>
                <w:ilvl w:val="0"/>
                <w:numId w:val="11"/>
              </w:numPr>
              <w:spacing w:after="120"/>
              <w:ind w:left="313" w:hanging="284"/>
              <w:rPr>
                <w:lang w:val="en-GB"/>
              </w:rPr>
            </w:pPr>
            <w:r w:rsidRPr="001F119F">
              <w:rPr>
                <w:lang w:val="en-GB"/>
              </w:rPr>
              <w:t xml:space="preserve">Ensure </w:t>
            </w:r>
            <w:r>
              <w:rPr>
                <w:lang w:val="en-GB"/>
              </w:rPr>
              <w:t>an understanding of the impact of TA</w:t>
            </w:r>
            <w:r w:rsidRPr="001F119F">
              <w:rPr>
                <w:lang w:val="en-GB"/>
              </w:rPr>
              <w:t>.</w:t>
            </w:r>
          </w:p>
        </w:tc>
        <w:tc>
          <w:tcPr>
            <w:tcW w:w="2754" w:type="dxa"/>
            <w:vMerge/>
            <w:tcBorders>
              <w:right w:val="single" w:sz="4" w:space="0" w:color="auto"/>
            </w:tcBorders>
            <w:shd w:val="clear" w:color="auto" w:fill="auto"/>
          </w:tcPr>
          <w:p w14:paraId="57F4EEB8" w14:textId="005E3659" w:rsidR="00563021" w:rsidRDefault="00563021" w:rsidP="007B043C">
            <w:pPr>
              <w:spacing w:after="120"/>
              <w:rPr>
                <w:rFonts w:cs="Arial"/>
              </w:rPr>
            </w:pPr>
          </w:p>
        </w:tc>
        <w:tc>
          <w:tcPr>
            <w:tcW w:w="2682" w:type="dxa"/>
            <w:vMerge/>
            <w:tcBorders>
              <w:left w:val="single" w:sz="4" w:space="0" w:color="auto"/>
            </w:tcBorders>
            <w:shd w:val="clear" w:color="auto" w:fill="auto"/>
          </w:tcPr>
          <w:p w14:paraId="6A76EA06" w14:textId="3957A2A3" w:rsidR="00563021" w:rsidRDefault="00563021" w:rsidP="007B043C">
            <w:pPr>
              <w:spacing w:after="120"/>
              <w:rPr>
                <w:rFonts w:cs="Arial"/>
              </w:rPr>
            </w:pPr>
          </w:p>
        </w:tc>
        <w:tc>
          <w:tcPr>
            <w:tcW w:w="1583" w:type="dxa"/>
            <w:vMerge/>
            <w:tcBorders>
              <w:left w:val="single" w:sz="4" w:space="0" w:color="auto"/>
            </w:tcBorders>
            <w:shd w:val="clear" w:color="auto" w:fill="auto"/>
          </w:tcPr>
          <w:p w14:paraId="6EFCD892" w14:textId="72072ACB" w:rsidR="00563021" w:rsidRPr="00D50E57" w:rsidRDefault="00563021" w:rsidP="007B043C">
            <w:pPr>
              <w:spacing w:after="120"/>
              <w:rPr>
                <w:rFonts w:cs="Arial"/>
              </w:rPr>
            </w:pPr>
          </w:p>
        </w:tc>
      </w:tr>
    </w:tbl>
    <w:p w14:paraId="4A01B8D3" w14:textId="595C674F" w:rsidR="00913F5E" w:rsidRPr="00913F5E" w:rsidRDefault="00913F5E" w:rsidP="005F1909">
      <w:pPr>
        <w:pStyle w:val="Heading2"/>
      </w:pPr>
    </w:p>
    <w:sectPr w:rsidR="00913F5E" w:rsidRPr="00913F5E" w:rsidSect="00054700">
      <w:headerReference w:type="default" r:id="rId11"/>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1B8DA" w14:textId="77777777" w:rsidR="009363B6" w:rsidRDefault="009363B6">
      <w:pPr>
        <w:pStyle w:val="Table-list-number"/>
      </w:pPr>
      <w:r>
        <w:separator/>
      </w:r>
    </w:p>
  </w:endnote>
  <w:endnote w:type="continuationSeparator" w:id="0">
    <w:p w14:paraId="4A01B8DB" w14:textId="77777777" w:rsidR="009363B6" w:rsidRDefault="009363B6">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1B8D8" w14:textId="77777777" w:rsidR="009363B6" w:rsidRDefault="009363B6">
      <w:pPr>
        <w:pStyle w:val="Table-list-number"/>
      </w:pPr>
      <w:r>
        <w:separator/>
      </w:r>
    </w:p>
  </w:footnote>
  <w:footnote w:type="continuationSeparator" w:id="0">
    <w:p w14:paraId="4A01B8D9" w14:textId="77777777" w:rsidR="009363B6" w:rsidRDefault="009363B6">
      <w:pPr>
        <w:pStyle w:val="Table-list-number"/>
      </w:pPr>
      <w:r>
        <w:continuationSeparator/>
      </w:r>
    </w:p>
  </w:footnote>
  <w:footnote w:id="1">
    <w:p w14:paraId="5B1B438E" w14:textId="77777777" w:rsidR="006032AC" w:rsidRDefault="006032AC" w:rsidP="006032AC">
      <w:pPr>
        <w:pStyle w:val="FootnoteText"/>
        <w:rPr>
          <w:lang w:val="en-AU"/>
        </w:rPr>
      </w:pPr>
      <w:r>
        <w:rPr>
          <w:rStyle w:val="FootnoteReference"/>
        </w:rPr>
        <w:footnoteRef/>
      </w:r>
      <w:r>
        <w:t xml:space="preserve"> </w:t>
      </w:r>
      <w:r>
        <w:rPr>
          <w:i/>
          <w:sz w:val="16"/>
          <w:szCs w:val="16"/>
        </w:rPr>
        <w:t>For this report, TA refers to the all customized HR/OD interventions provided by the Facility excluding the Australia Awards Scholarships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1B8DC" w14:textId="77777777" w:rsidR="009363B6" w:rsidRPr="00077243" w:rsidRDefault="009363B6" w:rsidP="00077243">
    <w:pPr>
      <w:pStyle w:val="Header"/>
      <w:jc w:val="center"/>
      <w:rPr>
        <w:caps/>
      </w:rPr>
    </w:pPr>
    <w:r w:rsidRPr="00077243">
      <w:rPr>
        <w:caps/>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D01"/>
    <w:multiLevelType w:val="hybridMultilevel"/>
    <w:tmpl w:val="E11CACB8"/>
    <w:lvl w:ilvl="0" w:tplc="B0229EBA">
      <w:start w:val="1"/>
      <w:numFmt w:val="decimal"/>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1" w15:restartNumberingAfterBreak="0">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B0732"/>
    <w:multiLevelType w:val="hybridMultilevel"/>
    <w:tmpl w:val="41F251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D1740E"/>
    <w:multiLevelType w:val="hybridMultilevel"/>
    <w:tmpl w:val="999EB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B5D7E37"/>
    <w:multiLevelType w:val="hybridMultilevel"/>
    <w:tmpl w:val="EEA491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F93E7E"/>
    <w:multiLevelType w:val="hybridMultilevel"/>
    <w:tmpl w:val="22A8E4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10" w15:restartNumberingAfterBreak="0">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9"/>
  </w:num>
  <w:num w:numId="5">
    <w:abstractNumId w:val="10"/>
  </w:num>
  <w:num w:numId="6">
    <w:abstractNumId w:val="1"/>
  </w:num>
  <w:num w:numId="7">
    <w:abstractNumId w:val="8"/>
  </w:num>
  <w:num w:numId="8">
    <w:abstractNumId w:val="2"/>
  </w:num>
  <w:num w:numId="9">
    <w:abstractNumId w:val="7"/>
  </w:num>
  <w:num w:numId="10">
    <w:abstractNumId w:val="3"/>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35"/>
    <w:rsid w:val="00012070"/>
    <w:rsid w:val="00012E96"/>
    <w:rsid w:val="000135D5"/>
    <w:rsid w:val="00015371"/>
    <w:rsid w:val="000163BD"/>
    <w:rsid w:val="000272E0"/>
    <w:rsid w:val="00031779"/>
    <w:rsid w:val="00036209"/>
    <w:rsid w:val="000412DD"/>
    <w:rsid w:val="00045812"/>
    <w:rsid w:val="00051292"/>
    <w:rsid w:val="00052316"/>
    <w:rsid w:val="00054700"/>
    <w:rsid w:val="00062D8B"/>
    <w:rsid w:val="00063CEC"/>
    <w:rsid w:val="00066C64"/>
    <w:rsid w:val="00067C95"/>
    <w:rsid w:val="0007162A"/>
    <w:rsid w:val="00071CEC"/>
    <w:rsid w:val="000728D3"/>
    <w:rsid w:val="000733A7"/>
    <w:rsid w:val="000765F5"/>
    <w:rsid w:val="00077243"/>
    <w:rsid w:val="00080365"/>
    <w:rsid w:val="000815FC"/>
    <w:rsid w:val="00085062"/>
    <w:rsid w:val="000869CE"/>
    <w:rsid w:val="000947EC"/>
    <w:rsid w:val="00094CE2"/>
    <w:rsid w:val="000A77DB"/>
    <w:rsid w:val="000B520A"/>
    <w:rsid w:val="000B7AFD"/>
    <w:rsid w:val="000C4574"/>
    <w:rsid w:val="000D316D"/>
    <w:rsid w:val="000D38AE"/>
    <w:rsid w:val="000E131E"/>
    <w:rsid w:val="000E1475"/>
    <w:rsid w:val="000E1958"/>
    <w:rsid w:val="000E4F17"/>
    <w:rsid w:val="000E7AAF"/>
    <w:rsid w:val="000F51D5"/>
    <w:rsid w:val="000F5FF5"/>
    <w:rsid w:val="0010006D"/>
    <w:rsid w:val="0010051B"/>
    <w:rsid w:val="00102362"/>
    <w:rsid w:val="00104963"/>
    <w:rsid w:val="001077BF"/>
    <w:rsid w:val="001078E5"/>
    <w:rsid w:val="00110597"/>
    <w:rsid w:val="00113C84"/>
    <w:rsid w:val="00116D39"/>
    <w:rsid w:val="00121F43"/>
    <w:rsid w:val="001236CF"/>
    <w:rsid w:val="00123C3E"/>
    <w:rsid w:val="0012582F"/>
    <w:rsid w:val="001270FC"/>
    <w:rsid w:val="00134B6C"/>
    <w:rsid w:val="001378B7"/>
    <w:rsid w:val="00140289"/>
    <w:rsid w:val="001429BB"/>
    <w:rsid w:val="00144AF1"/>
    <w:rsid w:val="001461C8"/>
    <w:rsid w:val="001467C6"/>
    <w:rsid w:val="00151891"/>
    <w:rsid w:val="00153831"/>
    <w:rsid w:val="00153F2A"/>
    <w:rsid w:val="001614B0"/>
    <w:rsid w:val="0016457C"/>
    <w:rsid w:val="00173632"/>
    <w:rsid w:val="00175FFC"/>
    <w:rsid w:val="00177345"/>
    <w:rsid w:val="00177AC0"/>
    <w:rsid w:val="00184728"/>
    <w:rsid w:val="001874BC"/>
    <w:rsid w:val="001917F6"/>
    <w:rsid w:val="001A2E13"/>
    <w:rsid w:val="001B1EE4"/>
    <w:rsid w:val="001B57E3"/>
    <w:rsid w:val="001B5DEE"/>
    <w:rsid w:val="001D7353"/>
    <w:rsid w:val="001E3D24"/>
    <w:rsid w:val="001E4372"/>
    <w:rsid w:val="001E4FCC"/>
    <w:rsid w:val="001F119F"/>
    <w:rsid w:val="001F548E"/>
    <w:rsid w:val="0020136D"/>
    <w:rsid w:val="00201759"/>
    <w:rsid w:val="00206132"/>
    <w:rsid w:val="00210188"/>
    <w:rsid w:val="0021325A"/>
    <w:rsid w:val="00214F7F"/>
    <w:rsid w:val="00221D53"/>
    <w:rsid w:val="00223581"/>
    <w:rsid w:val="002310A4"/>
    <w:rsid w:val="00232239"/>
    <w:rsid w:val="002354FE"/>
    <w:rsid w:val="0024131B"/>
    <w:rsid w:val="002425E0"/>
    <w:rsid w:val="00245265"/>
    <w:rsid w:val="00250414"/>
    <w:rsid w:val="002509B0"/>
    <w:rsid w:val="00250CB9"/>
    <w:rsid w:val="002524DA"/>
    <w:rsid w:val="002546B7"/>
    <w:rsid w:val="00255DF0"/>
    <w:rsid w:val="00264366"/>
    <w:rsid w:val="00276F45"/>
    <w:rsid w:val="002824B7"/>
    <w:rsid w:val="002839B9"/>
    <w:rsid w:val="0029717D"/>
    <w:rsid w:val="002A089D"/>
    <w:rsid w:val="002B2279"/>
    <w:rsid w:val="002B2BA6"/>
    <w:rsid w:val="002B5216"/>
    <w:rsid w:val="002C07B8"/>
    <w:rsid w:val="002C16EF"/>
    <w:rsid w:val="002D1173"/>
    <w:rsid w:val="002D4C96"/>
    <w:rsid w:val="002E0EA2"/>
    <w:rsid w:val="002E7065"/>
    <w:rsid w:val="002E7A09"/>
    <w:rsid w:val="002F001E"/>
    <w:rsid w:val="002F13CD"/>
    <w:rsid w:val="002F3803"/>
    <w:rsid w:val="002F4C91"/>
    <w:rsid w:val="0030264B"/>
    <w:rsid w:val="00310523"/>
    <w:rsid w:val="00310BC9"/>
    <w:rsid w:val="00310FA6"/>
    <w:rsid w:val="00315833"/>
    <w:rsid w:val="00324491"/>
    <w:rsid w:val="00325C94"/>
    <w:rsid w:val="00326D2A"/>
    <w:rsid w:val="00330AFF"/>
    <w:rsid w:val="00334E51"/>
    <w:rsid w:val="00342870"/>
    <w:rsid w:val="00345F77"/>
    <w:rsid w:val="00350917"/>
    <w:rsid w:val="0035724B"/>
    <w:rsid w:val="00367391"/>
    <w:rsid w:val="00367DA3"/>
    <w:rsid w:val="0037054B"/>
    <w:rsid w:val="003719DB"/>
    <w:rsid w:val="00371B8D"/>
    <w:rsid w:val="0037366B"/>
    <w:rsid w:val="00373EB2"/>
    <w:rsid w:val="0037535E"/>
    <w:rsid w:val="0039002F"/>
    <w:rsid w:val="00390A59"/>
    <w:rsid w:val="00394C72"/>
    <w:rsid w:val="0039792A"/>
    <w:rsid w:val="00397F85"/>
    <w:rsid w:val="003A09AD"/>
    <w:rsid w:val="003A273C"/>
    <w:rsid w:val="003A36D5"/>
    <w:rsid w:val="003A4D26"/>
    <w:rsid w:val="003B07A6"/>
    <w:rsid w:val="003B518A"/>
    <w:rsid w:val="003C0A67"/>
    <w:rsid w:val="003C24EC"/>
    <w:rsid w:val="003C25ED"/>
    <w:rsid w:val="003D0C24"/>
    <w:rsid w:val="003D236A"/>
    <w:rsid w:val="003D4CAC"/>
    <w:rsid w:val="003D548A"/>
    <w:rsid w:val="003D5CFC"/>
    <w:rsid w:val="003D6E0A"/>
    <w:rsid w:val="003D7317"/>
    <w:rsid w:val="003E0DFE"/>
    <w:rsid w:val="003E1382"/>
    <w:rsid w:val="003E2603"/>
    <w:rsid w:val="003E3E3E"/>
    <w:rsid w:val="003E6561"/>
    <w:rsid w:val="003E7BC4"/>
    <w:rsid w:val="003F0F7E"/>
    <w:rsid w:val="003F2997"/>
    <w:rsid w:val="003F39FD"/>
    <w:rsid w:val="003F43CF"/>
    <w:rsid w:val="003F43F9"/>
    <w:rsid w:val="003F5112"/>
    <w:rsid w:val="003F7C64"/>
    <w:rsid w:val="00400C8B"/>
    <w:rsid w:val="004032D0"/>
    <w:rsid w:val="00405D48"/>
    <w:rsid w:val="00406563"/>
    <w:rsid w:val="00406867"/>
    <w:rsid w:val="00406CD2"/>
    <w:rsid w:val="00406D4E"/>
    <w:rsid w:val="00411862"/>
    <w:rsid w:val="00411F10"/>
    <w:rsid w:val="00416565"/>
    <w:rsid w:val="004221A5"/>
    <w:rsid w:val="00434134"/>
    <w:rsid w:val="00444D45"/>
    <w:rsid w:val="00454766"/>
    <w:rsid w:val="004555E2"/>
    <w:rsid w:val="00455F94"/>
    <w:rsid w:val="00456E9B"/>
    <w:rsid w:val="00461D80"/>
    <w:rsid w:val="00466CDA"/>
    <w:rsid w:val="004678BE"/>
    <w:rsid w:val="004707CB"/>
    <w:rsid w:val="00473AA7"/>
    <w:rsid w:val="00476FDC"/>
    <w:rsid w:val="0047719C"/>
    <w:rsid w:val="00491068"/>
    <w:rsid w:val="004921E3"/>
    <w:rsid w:val="00492AD5"/>
    <w:rsid w:val="00496DB3"/>
    <w:rsid w:val="004A100E"/>
    <w:rsid w:val="004A56A0"/>
    <w:rsid w:val="004C00C0"/>
    <w:rsid w:val="004C429D"/>
    <w:rsid w:val="004C675F"/>
    <w:rsid w:val="004D3454"/>
    <w:rsid w:val="004E0A16"/>
    <w:rsid w:val="004E150A"/>
    <w:rsid w:val="004E37BD"/>
    <w:rsid w:val="004F1E70"/>
    <w:rsid w:val="004F5F17"/>
    <w:rsid w:val="00504689"/>
    <w:rsid w:val="005077AB"/>
    <w:rsid w:val="00512427"/>
    <w:rsid w:val="005149FE"/>
    <w:rsid w:val="005154F9"/>
    <w:rsid w:val="0052010E"/>
    <w:rsid w:val="00522766"/>
    <w:rsid w:val="00523BBF"/>
    <w:rsid w:val="00530283"/>
    <w:rsid w:val="0054250A"/>
    <w:rsid w:val="00543DB6"/>
    <w:rsid w:val="00545D23"/>
    <w:rsid w:val="005477B9"/>
    <w:rsid w:val="00550825"/>
    <w:rsid w:val="00550E26"/>
    <w:rsid w:val="0055277B"/>
    <w:rsid w:val="00563021"/>
    <w:rsid w:val="005672CB"/>
    <w:rsid w:val="00576EED"/>
    <w:rsid w:val="005829CA"/>
    <w:rsid w:val="00586B72"/>
    <w:rsid w:val="0059065C"/>
    <w:rsid w:val="005928E6"/>
    <w:rsid w:val="00593DB7"/>
    <w:rsid w:val="0059519C"/>
    <w:rsid w:val="00596949"/>
    <w:rsid w:val="00596AF0"/>
    <w:rsid w:val="005A4455"/>
    <w:rsid w:val="005A47C3"/>
    <w:rsid w:val="005A6B4A"/>
    <w:rsid w:val="005A7156"/>
    <w:rsid w:val="005A7776"/>
    <w:rsid w:val="005D008B"/>
    <w:rsid w:val="005D3F4B"/>
    <w:rsid w:val="005E0F91"/>
    <w:rsid w:val="005E3939"/>
    <w:rsid w:val="005E508C"/>
    <w:rsid w:val="005F1777"/>
    <w:rsid w:val="005F1909"/>
    <w:rsid w:val="006032AC"/>
    <w:rsid w:val="00603B13"/>
    <w:rsid w:val="00611E1D"/>
    <w:rsid w:val="0061231E"/>
    <w:rsid w:val="006127E6"/>
    <w:rsid w:val="0061491C"/>
    <w:rsid w:val="00614E79"/>
    <w:rsid w:val="00614EC8"/>
    <w:rsid w:val="006153BC"/>
    <w:rsid w:val="00615F87"/>
    <w:rsid w:val="006175CE"/>
    <w:rsid w:val="00630522"/>
    <w:rsid w:val="00632714"/>
    <w:rsid w:val="00636F15"/>
    <w:rsid w:val="00637B48"/>
    <w:rsid w:val="00642F53"/>
    <w:rsid w:val="00643E64"/>
    <w:rsid w:val="00651A6C"/>
    <w:rsid w:val="00654BC0"/>
    <w:rsid w:val="00656E2F"/>
    <w:rsid w:val="00670D9D"/>
    <w:rsid w:val="00674A73"/>
    <w:rsid w:val="00677BF8"/>
    <w:rsid w:val="00681953"/>
    <w:rsid w:val="00681FC6"/>
    <w:rsid w:val="006820A4"/>
    <w:rsid w:val="006837EA"/>
    <w:rsid w:val="00683EB4"/>
    <w:rsid w:val="00684D0B"/>
    <w:rsid w:val="00691182"/>
    <w:rsid w:val="00692A4C"/>
    <w:rsid w:val="00696A03"/>
    <w:rsid w:val="006A069A"/>
    <w:rsid w:val="006A33F8"/>
    <w:rsid w:val="006A6864"/>
    <w:rsid w:val="006B0754"/>
    <w:rsid w:val="006B0F3C"/>
    <w:rsid w:val="006B1170"/>
    <w:rsid w:val="006B204D"/>
    <w:rsid w:val="006B4A7A"/>
    <w:rsid w:val="006B5E30"/>
    <w:rsid w:val="006B6C62"/>
    <w:rsid w:val="006B74F9"/>
    <w:rsid w:val="006B7BFE"/>
    <w:rsid w:val="006C2142"/>
    <w:rsid w:val="006D31BA"/>
    <w:rsid w:val="006D32F9"/>
    <w:rsid w:val="006D39AC"/>
    <w:rsid w:val="006D7297"/>
    <w:rsid w:val="006E0843"/>
    <w:rsid w:val="006E08F6"/>
    <w:rsid w:val="006E1925"/>
    <w:rsid w:val="006E317D"/>
    <w:rsid w:val="006E4222"/>
    <w:rsid w:val="006F08E8"/>
    <w:rsid w:val="006F403E"/>
    <w:rsid w:val="00705B62"/>
    <w:rsid w:val="007104C5"/>
    <w:rsid w:val="0072064D"/>
    <w:rsid w:val="00724F8B"/>
    <w:rsid w:val="007336DD"/>
    <w:rsid w:val="00740689"/>
    <w:rsid w:val="00742DC6"/>
    <w:rsid w:val="00743FDA"/>
    <w:rsid w:val="00744139"/>
    <w:rsid w:val="007478C2"/>
    <w:rsid w:val="00747B90"/>
    <w:rsid w:val="00750A67"/>
    <w:rsid w:val="00755ECE"/>
    <w:rsid w:val="007617BD"/>
    <w:rsid w:val="00762F7B"/>
    <w:rsid w:val="00767EB4"/>
    <w:rsid w:val="007717B2"/>
    <w:rsid w:val="0077265D"/>
    <w:rsid w:val="0077790F"/>
    <w:rsid w:val="007801A9"/>
    <w:rsid w:val="007820D0"/>
    <w:rsid w:val="007831EF"/>
    <w:rsid w:val="00783EFE"/>
    <w:rsid w:val="00783F58"/>
    <w:rsid w:val="007A35FF"/>
    <w:rsid w:val="007B042E"/>
    <w:rsid w:val="007B043C"/>
    <w:rsid w:val="007B2772"/>
    <w:rsid w:val="007C0E48"/>
    <w:rsid w:val="007C5FAB"/>
    <w:rsid w:val="007D2631"/>
    <w:rsid w:val="007E37A6"/>
    <w:rsid w:val="007E3C0F"/>
    <w:rsid w:val="007E4E22"/>
    <w:rsid w:val="007E4FE8"/>
    <w:rsid w:val="007E58A9"/>
    <w:rsid w:val="007E60A1"/>
    <w:rsid w:val="007E694D"/>
    <w:rsid w:val="007F3EE5"/>
    <w:rsid w:val="00800236"/>
    <w:rsid w:val="00800650"/>
    <w:rsid w:val="008010C1"/>
    <w:rsid w:val="00802A54"/>
    <w:rsid w:val="00804AEF"/>
    <w:rsid w:val="00804D49"/>
    <w:rsid w:val="00806888"/>
    <w:rsid w:val="00814D47"/>
    <w:rsid w:val="0081654C"/>
    <w:rsid w:val="00816584"/>
    <w:rsid w:val="00817570"/>
    <w:rsid w:val="008275E0"/>
    <w:rsid w:val="00831FE2"/>
    <w:rsid w:val="00843412"/>
    <w:rsid w:val="00843D42"/>
    <w:rsid w:val="00845B17"/>
    <w:rsid w:val="00847FA2"/>
    <w:rsid w:val="00864A76"/>
    <w:rsid w:val="0087604D"/>
    <w:rsid w:val="00877550"/>
    <w:rsid w:val="00882584"/>
    <w:rsid w:val="00886689"/>
    <w:rsid w:val="00887304"/>
    <w:rsid w:val="00894472"/>
    <w:rsid w:val="00896128"/>
    <w:rsid w:val="008B084C"/>
    <w:rsid w:val="008B2A6F"/>
    <w:rsid w:val="008B3156"/>
    <w:rsid w:val="008B3DD0"/>
    <w:rsid w:val="008B7666"/>
    <w:rsid w:val="008D105C"/>
    <w:rsid w:val="008D6B75"/>
    <w:rsid w:val="008D716B"/>
    <w:rsid w:val="008D7666"/>
    <w:rsid w:val="008E0C4C"/>
    <w:rsid w:val="008F36C7"/>
    <w:rsid w:val="008F3DAA"/>
    <w:rsid w:val="0091135C"/>
    <w:rsid w:val="00913F5E"/>
    <w:rsid w:val="00921CBF"/>
    <w:rsid w:val="00923B0C"/>
    <w:rsid w:val="009247FD"/>
    <w:rsid w:val="009328B1"/>
    <w:rsid w:val="00933765"/>
    <w:rsid w:val="009363B6"/>
    <w:rsid w:val="00936948"/>
    <w:rsid w:val="00944BC2"/>
    <w:rsid w:val="00950A91"/>
    <w:rsid w:val="009526A3"/>
    <w:rsid w:val="00953FAD"/>
    <w:rsid w:val="0095688C"/>
    <w:rsid w:val="00963C76"/>
    <w:rsid w:val="00963FE5"/>
    <w:rsid w:val="00970C8D"/>
    <w:rsid w:val="00975EFF"/>
    <w:rsid w:val="00982318"/>
    <w:rsid w:val="00983442"/>
    <w:rsid w:val="00993D41"/>
    <w:rsid w:val="009A4B0D"/>
    <w:rsid w:val="009B1EDE"/>
    <w:rsid w:val="009B2334"/>
    <w:rsid w:val="009B4B2D"/>
    <w:rsid w:val="009B564C"/>
    <w:rsid w:val="009B6244"/>
    <w:rsid w:val="009B6A20"/>
    <w:rsid w:val="009B70B1"/>
    <w:rsid w:val="009C235A"/>
    <w:rsid w:val="009C34DA"/>
    <w:rsid w:val="009C73C2"/>
    <w:rsid w:val="009D0A88"/>
    <w:rsid w:val="009D2708"/>
    <w:rsid w:val="009D62FF"/>
    <w:rsid w:val="009D6DE1"/>
    <w:rsid w:val="009D7187"/>
    <w:rsid w:val="009E74C0"/>
    <w:rsid w:val="00A02130"/>
    <w:rsid w:val="00A032B2"/>
    <w:rsid w:val="00A043BE"/>
    <w:rsid w:val="00A04888"/>
    <w:rsid w:val="00A111F1"/>
    <w:rsid w:val="00A1709A"/>
    <w:rsid w:val="00A20786"/>
    <w:rsid w:val="00A236A7"/>
    <w:rsid w:val="00A243DF"/>
    <w:rsid w:val="00A2540E"/>
    <w:rsid w:val="00A268C7"/>
    <w:rsid w:val="00A32596"/>
    <w:rsid w:val="00A33696"/>
    <w:rsid w:val="00A36EBD"/>
    <w:rsid w:val="00A40ACB"/>
    <w:rsid w:val="00A435F6"/>
    <w:rsid w:val="00A44E49"/>
    <w:rsid w:val="00A5059C"/>
    <w:rsid w:val="00A519CC"/>
    <w:rsid w:val="00A5273A"/>
    <w:rsid w:val="00A53647"/>
    <w:rsid w:val="00A53836"/>
    <w:rsid w:val="00A558C5"/>
    <w:rsid w:val="00A55C90"/>
    <w:rsid w:val="00A63D5B"/>
    <w:rsid w:val="00A66BE5"/>
    <w:rsid w:val="00A71362"/>
    <w:rsid w:val="00A75B48"/>
    <w:rsid w:val="00A85757"/>
    <w:rsid w:val="00A91D3A"/>
    <w:rsid w:val="00A94B71"/>
    <w:rsid w:val="00AA4991"/>
    <w:rsid w:val="00AB6960"/>
    <w:rsid w:val="00AC3332"/>
    <w:rsid w:val="00AD1B8A"/>
    <w:rsid w:val="00AD5FFB"/>
    <w:rsid w:val="00AE250D"/>
    <w:rsid w:val="00AE52D5"/>
    <w:rsid w:val="00AE5F85"/>
    <w:rsid w:val="00AE7561"/>
    <w:rsid w:val="00AF1433"/>
    <w:rsid w:val="00AF367C"/>
    <w:rsid w:val="00AF4FCA"/>
    <w:rsid w:val="00B008B4"/>
    <w:rsid w:val="00B03D16"/>
    <w:rsid w:val="00B04101"/>
    <w:rsid w:val="00B045C1"/>
    <w:rsid w:val="00B06A1E"/>
    <w:rsid w:val="00B07AD5"/>
    <w:rsid w:val="00B11A4D"/>
    <w:rsid w:val="00B20827"/>
    <w:rsid w:val="00B2593F"/>
    <w:rsid w:val="00B30672"/>
    <w:rsid w:val="00B35F23"/>
    <w:rsid w:val="00B362C7"/>
    <w:rsid w:val="00B366B9"/>
    <w:rsid w:val="00B369D1"/>
    <w:rsid w:val="00B41A17"/>
    <w:rsid w:val="00B432DE"/>
    <w:rsid w:val="00B4437C"/>
    <w:rsid w:val="00B45A12"/>
    <w:rsid w:val="00B67F3E"/>
    <w:rsid w:val="00B75863"/>
    <w:rsid w:val="00B766F4"/>
    <w:rsid w:val="00B8200C"/>
    <w:rsid w:val="00B84249"/>
    <w:rsid w:val="00B854F9"/>
    <w:rsid w:val="00B86E2F"/>
    <w:rsid w:val="00B91940"/>
    <w:rsid w:val="00B93E67"/>
    <w:rsid w:val="00B9551F"/>
    <w:rsid w:val="00BA19E0"/>
    <w:rsid w:val="00BA3C47"/>
    <w:rsid w:val="00BB53D4"/>
    <w:rsid w:val="00BC0190"/>
    <w:rsid w:val="00BC2C84"/>
    <w:rsid w:val="00BC5D5C"/>
    <w:rsid w:val="00BE0D7D"/>
    <w:rsid w:val="00BF07A5"/>
    <w:rsid w:val="00BF3562"/>
    <w:rsid w:val="00BF3735"/>
    <w:rsid w:val="00C00100"/>
    <w:rsid w:val="00C01019"/>
    <w:rsid w:val="00C0509D"/>
    <w:rsid w:val="00C050A5"/>
    <w:rsid w:val="00C0520A"/>
    <w:rsid w:val="00C13229"/>
    <w:rsid w:val="00C16B9D"/>
    <w:rsid w:val="00C20446"/>
    <w:rsid w:val="00C263B2"/>
    <w:rsid w:val="00C32487"/>
    <w:rsid w:val="00C3517A"/>
    <w:rsid w:val="00C42279"/>
    <w:rsid w:val="00C4363D"/>
    <w:rsid w:val="00C441FE"/>
    <w:rsid w:val="00C4776D"/>
    <w:rsid w:val="00C51434"/>
    <w:rsid w:val="00C53398"/>
    <w:rsid w:val="00C55591"/>
    <w:rsid w:val="00C6299D"/>
    <w:rsid w:val="00C64683"/>
    <w:rsid w:val="00C64B11"/>
    <w:rsid w:val="00C65145"/>
    <w:rsid w:val="00C657FB"/>
    <w:rsid w:val="00C65A25"/>
    <w:rsid w:val="00C65BF6"/>
    <w:rsid w:val="00C65DDC"/>
    <w:rsid w:val="00C66DAE"/>
    <w:rsid w:val="00C679C9"/>
    <w:rsid w:val="00C700FD"/>
    <w:rsid w:val="00C76381"/>
    <w:rsid w:val="00C77C7A"/>
    <w:rsid w:val="00C8100B"/>
    <w:rsid w:val="00C8709B"/>
    <w:rsid w:val="00C94FAE"/>
    <w:rsid w:val="00CA2397"/>
    <w:rsid w:val="00CA3980"/>
    <w:rsid w:val="00CA5F98"/>
    <w:rsid w:val="00CB0D9F"/>
    <w:rsid w:val="00CB13C6"/>
    <w:rsid w:val="00CB24A3"/>
    <w:rsid w:val="00CB46BA"/>
    <w:rsid w:val="00CC30D7"/>
    <w:rsid w:val="00CC5199"/>
    <w:rsid w:val="00CC7AE9"/>
    <w:rsid w:val="00CD0227"/>
    <w:rsid w:val="00CD18A5"/>
    <w:rsid w:val="00CD3266"/>
    <w:rsid w:val="00CD5AE4"/>
    <w:rsid w:val="00CE0C47"/>
    <w:rsid w:val="00CF08F0"/>
    <w:rsid w:val="00D02F70"/>
    <w:rsid w:val="00D065A5"/>
    <w:rsid w:val="00D07FB1"/>
    <w:rsid w:val="00D11574"/>
    <w:rsid w:val="00D17961"/>
    <w:rsid w:val="00D273CD"/>
    <w:rsid w:val="00D34B08"/>
    <w:rsid w:val="00D35C20"/>
    <w:rsid w:val="00D37836"/>
    <w:rsid w:val="00D4711F"/>
    <w:rsid w:val="00D50E57"/>
    <w:rsid w:val="00D60DCD"/>
    <w:rsid w:val="00D66ACD"/>
    <w:rsid w:val="00D709F8"/>
    <w:rsid w:val="00D721A2"/>
    <w:rsid w:val="00D72611"/>
    <w:rsid w:val="00D81AE0"/>
    <w:rsid w:val="00D82FCE"/>
    <w:rsid w:val="00D85E14"/>
    <w:rsid w:val="00D91610"/>
    <w:rsid w:val="00D9527A"/>
    <w:rsid w:val="00D95EB1"/>
    <w:rsid w:val="00D97C41"/>
    <w:rsid w:val="00DB1297"/>
    <w:rsid w:val="00DB20B2"/>
    <w:rsid w:val="00DC06C0"/>
    <w:rsid w:val="00DC4205"/>
    <w:rsid w:val="00DC5878"/>
    <w:rsid w:val="00DC6210"/>
    <w:rsid w:val="00DC73A5"/>
    <w:rsid w:val="00DC7D35"/>
    <w:rsid w:val="00DE11AB"/>
    <w:rsid w:val="00DE2470"/>
    <w:rsid w:val="00DE473C"/>
    <w:rsid w:val="00DE589D"/>
    <w:rsid w:val="00DF0CC0"/>
    <w:rsid w:val="00DF62D0"/>
    <w:rsid w:val="00E043D0"/>
    <w:rsid w:val="00E10870"/>
    <w:rsid w:val="00E12A1C"/>
    <w:rsid w:val="00E12F7B"/>
    <w:rsid w:val="00E20030"/>
    <w:rsid w:val="00E244B4"/>
    <w:rsid w:val="00E245E4"/>
    <w:rsid w:val="00E27F4A"/>
    <w:rsid w:val="00E30F79"/>
    <w:rsid w:val="00E33E4E"/>
    <w:rsid w:val="00E350C3"/>
    <w:rsid w:val="00E36400"/>
    <w:rsid w:val="00E414F7"/>
    <w:rsid w:val="00E44075"/>
    <w:rsid w:val="00E50AA1"/>
    <w:rsid w:val="00E511AE"/>
    <w:rsid w:val="00E5268B"/>
    <w:rsid w:val="00E57B1B"/>
    <w:rsid w:val="00E605EE"/>
    <w:rsid w:val="00E6298A"/>
    <w:rsid w:val="00E67963"/>
    <w:rsid w:val="00E77EAF"/>
    <w:rsid w:val="00E854B4"/>
    <w:rsid w:val="00E86F3D"/>
    <w:rsid w:val="00E879FB"/>
    <w:rsid w:val="00E9009B"/>
    <w:rsid w:val="00E9095B"/>
    <w:rsid w:val="00E9260F"/>
    <w:rsid w:val="00E92FD0"/>
    <w:rsid w:val="00E93466"/>
    <w:rsid w:val="00E9448D"/>
    <w:rsid w:val="00EA1AA0"/>
    <w:rsid w:val="00EA5124"/>
    <w:rsid w:val="00EA6987"/>
    <w:rsid w:val="00EA6FCD"/>
    <w:rsid w:val="00EB3E0E"/>
    <w:rsid w:val="00EB3F2D"/>
    <w:rsid w:val="00EB74F2"/>
    <w:rsid w:val="00EC262F"/>
    <w:rsid w:val="00EC54C2"/>
    <w:rsid w:val="00EC6A26"/>
    <w:rsid w:val="00EE2FDC"/>
    <w:rsid w:val="00EF02B3"/>
    <w:rsid w:val="00EF116F"/>
    <w:rsid w:val="00EF4E0F"/>
    <w:rsid w:val="00EF51DB"/>
    <w:rsid w:val="00F00F21"/>
    <w:rsid w:val="00F01177"/>
    <w:rsid w:val="00F0610B"/>
    <w:rsid w:val="00F13AF9"/>
    <w:rsid w:val="00F22FFA"/>
    <w:rsid w:val="00F31F3B"/>
    <w:rsid w:val="00F36188"/>
    <w:rsid w:val="00F3700D"/>
    <w:rsid w:val="00F37AD0"/>
    <w:rsid w:val="00F37B61"/>
    <w:rsid w:val="00F37DD4"/>
    <w:rsid w:val="00F4330F"/>
    <w:rsid w:val="00F4512D"/>
    <w:rsid w:val="00F52AAB"/>
    <w:rsid w:val="00F52EA1"/>
    <w:rsid w:val="00F570DB"/>
    <w:rsid w:val="00F63B43"/>
    <w:rsid w:val="00F67830"/>
    <w:rsid w:val="00F76D3C"/>
    <w:rsid w:val="00F77C97"/>
    <w:rsid w:val="00F931EC"/>
    <w:rsid w:val="00FA03DC"/>
    <w:rsid w:val="00FA2BD3"/>
    <w:rsid w:val="00FA5AC3"/>
    <w:rsid w:val="00FB4715"/>
    <w:rsid w:val="00FC2E73"/>
    <w:rsid w:val="00FC32FD"/>
    <w:rsid w:val="00FD403E"/>
    <w:rsid w:val="00FE16B3"/>
    <w:rsid w:val="00FE1DDE"/>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4A01B86A"/>
  <w15:docId w15:val="{66F1D2E1-C160-4336-8BBF-8F0805A4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eastAsia="en-US"/>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DE589D"/>
    <w:pPr>
      <w:ind w:left="720"/>
      <w:contextualSpacing/>
    </w:pPr>
  </w:style>
  <w:style w:type="paragraph" w:styleId="FootnoteText">
    <w:name w:val="footnote text"/>
    <w:basedOn w:val="Normal"/>
    <w:link w:val="FootnoteTextChar"/>
    <w:uiPriority w:val="99"/>
    <w:semiHidden/>
    <w:unhideWhenUsed/>
    <w:rsid w:val="006032AC"/>
    <w:pPr>
      <w:spacing w:before="0"/>
    </w:pPr>
    <w:rPr>
      <w:rFonts w:asciiTheme="minorHAnsi" w:eastAsiaTheme="minorHAnsi" w:hAnsiTheme="minorHAnsi" w:cstheme="minorBidi"/>
      <w:sz w:val="24"/>
      <w:lang w:val="en-US"/>
    </w:rPr>
  </w:style>
  <w:style w:type="character" w:customStyle="1" w:styleId="FootnoteTextChar">
    <w:name w:val="Footnote Text Char"/>
    <w:basedOn w:val="DefaultParagraphFont"/>
    <w:link w:val="FootnoteText"/>
    <w:uiPriority w:val="99"/>
    <w:semiHidden/>
    <w:rsid w:val="006032AC"/>
    <w:rPr>
      <w:rFonts w:asciiTheme="minorHAnsi" w:eastAsiaTheme="minorHAnsi" w:hAnsiTheme="minorHAnsi" w:cstheme="minorBidi"/>
      <w:sz w:val="24"/>
      <w:szCs w:val="24"/>
      <w:lang w:val="en-US" w:eastAsia="en-US"/>
    </w:rPr>
  </w:style>
  <w:style w:type="paragraph" w:customStyle="1" w:styleId="Reference">
    <w:name w:val="Reference"/>
    <w:basedOn w:val="Normal"/>
    <w:uiPriority w:val="14"/>
    <w:qFormat/>
    <w:rsid w:val="006032AC"/>
    <w:pPr>
      <w:spacing w:before="60" w:after="200"/>
    </w:pPr>
    <w:rPr>
      <w:i/>
      <w:sz w:val="16"/>
      <w:szCs w:val="22"/>
      <w:lang w:eastAsia="en-AU"/>
    </w:rPr>
  </w:style>
  <w:style w:type="character" w:styleId="FootnoteReference">
    <w:name w:val="footnote reference"/>
    <w:basedOn w:val="DefaultParagraphFont"/>
    <w:uiPriority w:val="99"/>
    <w:semiHidden/>
    <w:unhideWhenUsed/>
    <w:rsid w:val="00603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29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9AE70-AB94-49D1-B63F-E858F7D837EC}"/>
</file>

<file path=customXml/itemProps2.xml><?xml version="1.0" encoding="utf-8"?>
<ds:datastoreItem xmlns:ds="http://schemas.openxmlformats.org/officeDocument/2006/customXml" ds:itemID="{285AEE76-1192-4206-9050-2B5ECF03859F}"/>
</file>

<file path=customXml/itemProps3.xml><?xml version="1.0" encoding="utf-8"?>
<ds:datastoreItem xmlns:ds="http://schemas.openxmlformats.org/officeDocument/2006/customXml" ds:itemID="{B704AB32-C515-4A14-90EC-5BE9E82027D3}"/>
</file>

<file path=customXml/itemProps4.xml><?xml version="1.0" encoding="utf-8"?>
<ds:datastoreItem xmlns:ds="http://schemas.openxmlformats.org/officeDocument/2006/customXml" ds:itemID="{92DF3CD3-CB6B-4458-887F-9B4C95173790}"/>
</file>

<file path=docProps/app.xml><?xml version="1.0" encoding="utf-8"?>
<Properties xmlns="http://schemas.openxmlformats.org/officeDocument/2006/extended-properties" xmlns:vt="http://schemas.openxmlformats.org/officeDocument/2006/docPropsVTypes">
  <Template>Normal.dotm</Template>
  <TotalTime>18</TotalTime>
  <Pages>4</Pages>
  <Words>1089</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TOOL</vt:lpstr>
    </vt:vector>
  </TitlesOfParts>
  <Company>Indigo Spark</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dc:title>
  <dc:subject/>
  <dc:creator>Ann Phillis</dc:creator>
  <cp:keywords/>
  <dc:description/>
  <cp:lastModifiedBy>Cruise, Fiona</cp:lastModifiedBy>
  <cp:revision>5</cp:revision>
  <cp:lastPrinted>2017-01-09T05:21:00Z</cp:lastPrinted>
  <dcterms:created xsi:type="dcterms:W3CDTF">2016-12-15T03:59:00Z</dcterms:created>
  <dcterms:modified xsi:type="dcterms:W3CDTF">2017-01-12T02:09:00Z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Salvatore Carluccio</vt:lpwstr>
  </property>
  <property fmtid="{D5CDD505-2E9C-101B-9397-08002B2CF9AE}" pid="3" name="display_urn:schemas-microsoft-com:office:office#Author">
    <vt:lpwstr>Alex Knox</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0x01010050F19AC2165D2E47A5E6B7F563E4CF00</vt:lpwstr>
  </property>
  <property fmtid="{D5CDD505-2E9C-101B-9397-08002B2CF9AE}" pid="8" name="ContentType">
    <vt:lpwstr>Document</vt:lpwstr>
  </property>
  <property fmtid="{D5CDD505-2E9C-101B-9397-08002B2CF9AE}" pid="9" name="Subject">
    <vt:lpwstr/>
  </property>
  <property fmtid="{D5CDD505-2E9C-101B-9397-08002B2CF9AE}" pid="10" name="Keywords">
    <vt:lpwstr/>
  </property>
  <property fmtid="{D5CDD505-2E9C-101B-9397-08002B2CF9AE}" pid="11" name="_Author">
    <vt:lpwstr>Ann Phillis</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TempID">
    <vt:lpwstr>48</vt:lpwstr>
  </property>
  <property fmtid="{D5CDD505-2E9C-101B-9397-08002B2CF9AE}" pid="18" name="Order">
    <vt:r8>2900</vt:r8>
  </property>
  <property fmtid="{D5CDD505-2E9C-101B-9397-08002B2CF9AE}" pid="19" name="TitusGUID">
    <vt:lpwstr>65337432-5c2f-4661-b6f6-cbc1c89b7c15</vt:lpwstr>
  </property>
  <property fmtid="{D5CDD505-2E9C-101B-9397-08002B2CF9AE}" pid="20" name="SEC">
    <vt:lpwstr>UNCLASSIFIED</vt:lpwstr>
  </property>
  <property fmtid="{D5CDD505-2E9C-101B-9397-08002B2CF9AE}" pid="21" name="DLM">
    <vt:lpwstr>No DLM</vt:lpwstr>
  </property>
  <property fmtid="{D5CDD505-2E9C-101B-9397-08002B2CF9AE}" pid="22" name="display_urn">
    <vt:lpwstr>Alex Knox</vt:lpwstr>
  </property>
  <property fmtid="{D5CDD505-2E9C-101B-9397-08002B2CF9AE}" pid="23" name="_SourceUrl">
    <vt:lpwstr/>
  </property>
  <property fmtid="{D5CDD505-2E9C-101B-9397-08002B2CF9AE}" pid="24" name="_SharedFileIndex">
    <vt:lpwstr/>
  </property>
</Properties>
</file>