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1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0F4AC" w14:textId="728A35A4" w:rsidR="0050529F" w:rsidRPr="00D17249" w:rsidRDefault="0053331F" w:rsidP="002F2617">
      <w:pPr>
        <w:pStyle w:val="Title"/>
        <w:spacing w:line="23" w:lineRule="atLeast"/>
      </w:pPr>
      <w:bookmarkStart w:id="0" w:name="_GoBack"/>
      <w:bookmarkEnd w:id="0"/>
      <w:r w:rsidRPr="00CA6DB6">
        <w:t>Aid Program Performance Report 2012</w:t>
      </w:r>
      <w:r w:rsidRPr="00052BF3">
        <w:t>−</w:t>
      </w:r>
      <w:r w:rsidRPr="00CA6DB6">
        <w:t xml:space="preserve">13 </w:t>
      </w:r>
      <w:r w:rsidR="00A064D1">
        <w:t>Papua New Guinea</w:t>
      </w:r>
    </w:p>
    <w:p w14:paraId="0B70F4AE" w14:textId="77777777" w:rsidR="00BB301C" w:rsidRDefault="00180B19" w:rsidP="002F2617">
      <w:pPr>
        <w:pStyle w:val="Heading1"/>
        <w:spacing w:line="23" w:lineRule="atLeast"/>
      </w:pPr>
      <w:r w:rsidRPr="00180B19">
        <w:t xml:space="preserve">Key </w:t>
      </w:r>
      <w:r w:rsidR="0041638B">
        <w:t>m</w:t>
      </w:r>
      <w:r w:rsidRPr="00180B19">
        <w:t>essages</w:t>
      </w:r>
    </w:p>
    <w:p w14:paraId="0B70F4AF" w14:textId="0D1E650B" w:rsidR="0041638B" w:rsidRPr="00E049AD" w:rsidRDefault="0041638B" w:rsidP="008E0AE1">
      <w:pPr>
        <w:pStyle w:val="BodyText"/>
      </w:pPr>
      <w:r w:rsidRPr="00E049AD">
        <w:t xml:space="preserve">This </w:t>
      </w:r>
      <w:r w:rsidR="00F4256E">
        <w:t xml:space="preserve">Aid </w:t>
      </w:r>
      <w:r w:rsidRPr="00E049AD">
        <w:t xml:space="preserve">Program Performance Report </w:t>
      </w:r>
      <w:r w:rsidR="009166A8" w:rsidRPr="00E049AD">
        <w:t>(</w:t>
      </w:r>
      <w:r w:rsidR="00F4256E">
        <w:t>A</w:t>
      </w:r>
      <w:r w:rsidR="009166A8" w:rsidRPr="00E049AD">
        <w:t xml:space="preserve">PPR) </w:t>
      </w:r>
      <w:r w:rsidRPr="00E049AD">
        <w:t>summarises the Australian aid program’s progress in Papua New Guinea</w:t>
      </w:r>
      <w:r w:rsidR="00534449" w:rsidRPr="00E049AD">
        <w:t xml:space="preserve"> (PNG)</w:t>
      </w:r>
      <w:r w:rsidRPr="00E049AD">
        <w:t xml:space="preserve"> from January 2012 to June 2013. </w:t>
      </w:r>
    </w:p>
    <w:p w14:paraId="0B70F4B0" w14:textId="77777777" w:rsidR="009166A8" w:rsidRDefault="008934B0" w:rsidP="008E0AE1">
      <w:pPr>
        <w:pStyle w:val="BodyText"/>
        <w:rPr>
          <w:rFonts w:eastAsiaTheme="minorHAnsi"/>
          <w:lang w:eastAsia="en-US"/>
        </w:rPr>
      </w:pPr>
      <w:r w:rsidRPr="00333CC7">
        <w:rPr>
          <w:rFonts w:eastAsiaTheme="minorHAnsi"/>
          <w:color w:val="262626" w:themeColor="text1" w:themeTint="D9"/>
          <w:lang w:eastAsia="en-US"/>
        </w:rPr>
        <w:t xml:space="preserve">The </w:t>
      </w:r>
      <w:r w:rsidR="00984875" w:rsidRPr="00333CC7">
        <w:rPr>
          <w:rFonts w:eastAsiaTheme="minorHAnsi"/>
          <w:color w:val="262626" w:themeColor="text1" w:themeTint="D9"/>
          <w:lang w:eastAsia="en-US"/>
        </w:rPr>
        <w:t xml:space="preserve">goal </w:t>
      </w:r>
      <w:r w:rsidRPr="00333CC7">
        <w:rPr>
          <w:rFonts w:eastAsiaTheme="minorHAnsi"/>
          <w:color w:val="262626" w:themeColor="text1" w:themeTint="D9"/>
          <w:lang w:eastAsia="en-US"/>
        </w:rPr>
        <w:t xml:space="preserve">of Australia’s aid program in </w:t>
      </w:r>
      <w:r w:rsidR="009166A8">
        <w:rPr>
          <w:rFonts w:eastAsiaTheme="minorHAnsi"/>
          <w:color w:val="262626" w:themeColor="text1" w:themeTint="D9"/>
          <w:lang w:eastAsia="en-US"/>
        </w:rPr>
        <w:t>P</w:t>
      </w:r>
      <w:r w:rsidRPr="00333CC7">
        <w:rPr>
          <w:rFonts w:eastAsiaTheme="minorHAnsi"/>
          <w:color w:val="262626" w:themeColor="text1" w:themeTint="D9"/>
          <w:lang w:eastAsia="en-US"/>
        </w:rPr>
        <w:t xml:space="preserve">NG, espoused in the </w:t>
      </w:r>
      <w:hyperlink r:id="rId14" w:history="1">
        <w:r w:rsidRPr="00333CC7">
          <w:rPr>
            <w:rStyle w:val="Hyperlink"/>
            <w:rFonts w:eastAsiaTheme="minorHAnsi"/>
            <w:color w:val="262626" w:themeColor="text1" w:themeTint="D9"/>
            <w:sz w:val="22"/>
            <w:szCs w:val="22"/>
            <w:lang w:eastAsia="en-US"/>
          </w:rPr>
          <w:t>PNG</w:t>
        </w:r>
        <w:r w:rsidR="00681B6B">
          <w:rPr>
            <w:rStyle w:val="Hyperlink"/>
            <w:rFonts w:eastAsiaTheme="minorHAnsi"/>
            <w:color w:val="262626" w:themeColor="text1" w:themeTint="D9"/>
            <w:sz w:val="22"/>
            <w:szCs w:val="22"/>
            <w:lang w:eastAsia="en-US"/>
          </w:rPr>
          <w:t xml:space="preserve"> – </w:t>
        </w:r>
        <w:r w:rsidRPr="00333CC7">
          <w:rPr>
            <w:rStyle w:val="Hyperlink"/>
            <w:rFonts w:eastAsiaTheme="minorHAnsi"/>
            <w:color w:val="262626" w:themeColor="text1" w:themeTint="D9"/>
            <w:sz w:val="22"/>
            <w:szCs w:val="22"/>
            <w:lang w:eastAsia="en-US"/>
          </w:rPr>
          <w:t>Australia Partnership for Development</w:t>
        </w:r>
      </w:hyperlink>
      <w:r w:rsidR="00681B6B">
        <w:rPr>
          <w:rStyle w:val="Hyperlink"/>
          <w:rFonts w:eastAsiaTheme="minorHAnsi"/>
          <w:color w:val="262626" w:themeColor="text1" w:themeTint="D9"/>
          <w:sz w:val="22"/>
          <w:szCs w:val="22"/>
          <w:lang w:eastAsia="en-US"/>
        </w:rPr>
        <w:t xml:space="preserve">, </w:t>
      </w:r>
      <w:r w:rsidRPr="00333CC7">
        <w:rPr>
          <w:rFonts w:eastAsiaTheme="minorHAnsi"/>
          <w:color w:val="262626" w:themeColor="text1" w:themeTint="D9"/>
          <w:lang w:eastAsia="en-US"/>
        </w:rPr>
        <w:t xml:space="preserve">is </w:t>
      </w:r>
      <w:r w:rsidR="00681B6B">
        <w:rPr>
          <w:rFonts w:eastAsiaTheme="minorHAnsi"/>
          <w:color w:val="262626" w:themeColor="text1" w:themeTint="D9"/>
          <w:lang w:eastAsia="en-US"/>
        </w:rPr>
        <w:t xml:space="preserve">for both countries </w:t>
      </w:r>
      <w:r w:rsidRPr="00333CC7">
        <w:rPr>
          <w:rFonts w:eastAsiaTheme="minorHAnsi"/>
          <w:color w:val="262626" w:themeColor="text1" w:themeTint="D9"/>
          <w:lang w:eastAsia="en-US"/>
        </w:rPr>
        <w:t xml:space="preserve">to work together </w:t>
      </w:r>
      <w:r w:rsidR="00984875" w:rsidRPr="00333CC7">
        <w:rPr>
          <w:rFonts w:eastAsiaTheme="minorHAnsi"/>
          <w:color w:val="262626" w:themeColor="text1" w:themeTint="D9"/>
          <w:lang w:eastAsia="en-US"/>
        </w:rPr>
        <w:t xml:space="preserve">to </w:t>
      </w:r>
      <w:r w:rsidRPr="00333CC7">
        <w:rPr>
          <w:rFonts w:eastAsiaTheme="minorHAnsi"/>
          <w:color w:val="262626" w:themeColor="text1" w:themeTint="D9"/>
          <w:lang w:eastAsia="en-US"/>
        </w:rPr>
        <w:t>improve the quality of life of all Papua New Guineans</w:t>
      </w:r>
      <w:r w:rsidR="0041638B">
        <w:rPr>
          <w:rFonts w:eastAsiaTheme="minorHAnsi"/>
          <w:color w:val="262626" w:themeColor="text1" w:themeTint="D9"/>
          <w:lang w:eastAsia="en-US"/>
        </w:rPr>
        <w:t xml:space="preserve">. </w:t>
      </w:r>
      <w:r w:rsidR="00984875" w:rsidRPr="00333CC7">
        <w:rPr>
          <w:rFonts w:eastAsiaTheme="minorHAnsi"/>
          <w:color w:val="262626" w:themeColor="text1" w:themeTint="D9"/>
          <w:lang w:eastAsia="en-US"/>
        </w:rPr>
        <w:t xml:space="preserve">This is consistent with the fundamental </w:t>
      </w:r>
      <w:r w:rsidR="00984875">
        <w:rPr>
          <w:rFonts w:eastAsiaTheme="minorHAnsi"/>
          <w:lang w:eastAsia="en-US"/>
        </w:rPr>
        <w:t>purpose of Australia’s aid program</w:t>
      </w:r>
      <w:r w:rsidR="001E3844">
        <w:rPr>
          <w:rFonts w:eastAsiaTheme="minorHAnsi"/>
          <w:lang w:eastAsia="en-US"/>
        </w:rPr>
        <w:t>:</w:t>
      </w:r>
      <w:r w:rsidR="00984875">
        <w:rPr>
          <w:rFonts w:eastAsiaTheme="minorHAnsi"/>
          <w:lang w:eastAsia="en-US"/>
        </w:rPr>
        <w:t xml:space="preserve"> to reduce poverty</w:t>
      </w:r>
      <w:r w:rsidR="0041638B">
        <w:rPr>
          <w:rFonts w:eastAsiaTheme="minorHAnsi"/>
          <w:lang w:eastAsia="en-US"/>
        </w:rPr>
        <w:t xml:space="preserve">. </w:t>
      </w:r>
    </w:p>
    <w:p w14:paraId="0B70F4B1" w14:textId="2AD9A008" w:rsidR="008934B0" w:rsidRPr="00ED59DE" w:rsidRDefault="008934B0" w:rsidP="008E0AE1">
      <w:pPr>
        <w:pStyle w:val="BodyText"/>
        <w:rPr>
          <w:rFonts w:eastAsiaTheme="minorHAnsi"/>
          <w:lang w:eastAsia="en-US"/>
        </w:rPr>
      </w:pPr>
      <w:r w:rsidRPr="00B85948">
        <w:rPr>
          <w:rFonts w:eastAsiaTheme="minorHAnsi"/>
          <w:lang w:eastAsia="en-US"/>
        </w:rPr>
        <w:t>PNG</w:t>
      </w:r>
      <w:r w:rsidRPr="00ED59DE">
        <w:rPr>
          <w:rFonts w:eastAsiaTheme="minorHAnsi"/>
          <w:lang w:eastAsia="en-US"/>
        </w:rPr>
        <w:t xml:space="preserve"> is a close regional partner and our closest neighbour, so it is in Australia’s national interest </w:t>
      </w:r>
      <w:r w:rsidR="00333CC7">
        <w:rPr>
          <w:rFonts w:eastAsiaTheme="minorHAnsi"/>
          <w:lang w:eastAsia="en-US"/>
        </w:rPr>
        <w:t xml:space="preserve">to </w:t>
      </w:r>
      <w:r w:rsidRPr="00ED59DE">
        <w:rPr>
          <w:rFonts w:eastAsiaTheme="minorHAnsi"/>
          <w:lang w:eastAsia="en-US"/>
        </w:rPr>
        <w:t>promote its stability and prosperity. Australia</w:t>
      </w:r>
      <w:r w:rsidR="00984875">
        <w:rPr>
          <w:rFonts w:eastAsiaTheme="minorHAnsi"/>
          <w:lang w:eastAsia="en-US"/>
        </w:rPr>
        <w:t xml:space="preserve">’s assistance to PNG focuses </w:t>
      </w:r>
      <w:r>
        <w:rPr>
          <w:rFonts w:eastAsiaTheme="minorHAnsi"/>
          <w:lang w:eastAsia="en-US"/>
        </w:rPr>
        <w:t>on</w:t>
      </w:r>
      <w:r w:rsidRPr="00ED59DE">
        <w:rPr>
          <w:rFonts w:eastAsiaTheme="minorHAnsi"/>
          <w:lang w:eastAsia="en-US"/>
        </w:rPr>
        <w:t xml:space="preserve"> four </w:t>
      </w:r>
      <w:r w:rsidR="00B5629D">
        <w:rPr>
          <w:rFonts w:eastAsiaTheme="minorHAnsi"/>
          <w:lang w:eastAsia="en-US"/>
        </w:rPr>
        <w:t xml:space="preserve">jointly agreed </w:t>
      </w:r>
      <w:r w:rsidRPr="00ED59DE">
        <w:rPr>
          <w:rFonts w:eastAsiaTheme="minorHAnsi"/>
          <w:lang w:eastAsia="en-US"/>
        </w:rPr>
        <w:t>priority areas reflected in the</w:t>
      </w:r>
      <w:r w:rsidR="00984875">
        <w:rPr>
          <w:rFonts w:eastAsiaTheme="minorHAnsi"/>
          <w:lang w:eastAsia="en-US"/>
        </w:rPr>
        <w:t xml:space="preserve"> </w:t>
      </w:r>
      <w:hyperlink r:id="rId15" w:history="1">
        <w:r w:rsidR="00984875" w:rsidRPr="004400A6">
          <w:rPr>
            <w:rStyle w:val="Hyperlink"/>
            <w:rFonts w:eastAsiaTheme="minorHAnsi"/>
            <w:color w:val="000000" w:themeColor="text1"/>
            <w:sz w:val="22"/>
            <w:szCs w:val="22"/>
            <w:lang w:eastAsia="en-US"/>
          </w:rPr>
          <w:t>P</w:t>
        </w:r>
        <w:r w:rsidR="00333CC7" w:rsidRPr="004400A6">
          <w:rPr>
            <w:rStyle w:val="Hyperlink"/>
            <w:rFonts w:eastAsiaTheme="minorHAnsi"/>
            <w:color w:val="000000" w:themeColor="text1"/>
            <w:sz w:val="22"/>
            <w:szCs w:val="22"/>
            <w:lang w:eastAsia="en-US"/>
          </w:rPr>
          <w:t>artnership</w:t>
        </w:r>
        <w:r w:rsidR="00736433" w:rsidRPr="004400A6">
          <w:rPr>
            <w:rStyle w:val="Hyperlink"/>
            <w:rFonts w:eastAsiaTheme="minorHAnsi"/>
            <w:color w:val="000000" w:themeColor="text1"/>
            <w:sz w:val="22"/>
            <w:szCs w:val="22"/>
            <w:lang w:eastAsia="en-US"/>
          </w:rPr>
          <w:t xml:space="preserve"> for Development</w:t>
        </w:r>
      </w:hyperlink>
      <w:r w:rsidR="0041638B">
        <w:rPr>
          <w:rStyle w:val="Hyperlink"/>
          <w:rFonts w:eastAsiaTheme="minorHAnsi"/>
          <w:sz w:val="22"/>
          <w:szCs w:val="22"/>
          <w:lang w:eastAsia="en-US"/>
        </w:rPr>
        <w:t>—</w:t>
      </w:r>
      <w:r w:rsidRPr="00ED59DE">
        <w:rPr>
          <w:rFonts w:eastAsiaTheme="minorHAnsi"/>
          <w:lang w:eastAsia="en-US"/>
        </w:rPr>
        <w:t>education, health and HIV/AIDS</w:t>
      </w:r>
      <w:r w:rsidR="00F47983">
        <w:rPr>
          <w:rFonts w:eastAsiaTheme="minorHAnsi"/>
          <w:lang w:eastAsia="en-US"/>
        </w:rPr>
        <w:t xml:space="preserve">, </w:t>
      </w:r>
      <w:r w:rsidRPr="00ED59DE">
        <w:rPr>
          <w:rFonts w:eastAsiaTheme="minorHAnsi"/>
          <w:lang w:eastAsia="en-US"/>
        </w:rPr>
        <w:t>law and justice, and transport infrastructure.</w:t>
      </w:r>
      <w:r>
        <w:rPr>
          <w:rStyle w:val="FootnoteReference"/>
          <w:rFonts w:eastAsiaTheme="minorHAnsi"/>
          <w:lang w:eastAsia="en-US"/>
        </w:rPr>
        <w:footnoteReference w:id="2"/>
      </w:r>
      <w:r w:rsidRPr="00ED59DE">
        <w:rPr>
          <w:rFonts w:eastAsiaTheme="minorHAnsi"/>
          <w:lang w:eastAsia="en-US"/>
        </w:rPr>
        <w:t xml:space="preserve"> Australia supports initiatives to strengthen democratic systems and economic and public sector reform at national and sub-national levels. This support is essential to improved service delivery in the agreed priority sectors. Australia </w:t>
      </w:r>
      <w:r w:rsidR="00FA3F30">
        <w:rPr>
          <w:rFonts w:eastAsiaTheme="minorHAnsi"/>
          <w:lang w:eastAsia="en-US"/>
        </w:rPr>
        <w:t xml:space="preserve">also </w:t>
      </w:r>
      <w:r w:rsidRPr="00ED59DE">
        <w:rPr>
          <w:rFonts w:eastAsiaTheme="minorHAnsi"/>
          <w:lang w:eastAsia="en-US"/>
        </w:rPr>
        <w:t>promote</w:t>
      </w:r>
      <w:r w:rsidR="00280E6A">
        <w:rPr>
          <w:rFonts w:eastAsiaTheme="minorHAnsi"/>
          <w:lang w:eastAsia="en-US"/>
        </w:rPr>
        <w:t>s</w:t>
      </w:r>
      <w:r w:rsidRPr="00ED59DE">
        <w:rPr>
          <w:rFonts w:eastAsiaTheme="minorHAnsi"/>
          <w:lang w:eastAsia="en-US"/>
        </w:rPr>
        <w:t xml:space="preserve"> gender equality and disability inclusiveness across all programs in PNG.</w:t>
      </w:r>
      <w:r w:rsidR="009C1620">
        <w:rPr>
          <w:rFonts w:eastAsiaTheme="minorHAnsi"/>
          <w:lang w:eastAsia="en-US"/>
        </w:rPr>
        <w:t xml:space="preserve"> This </w:t>
      </w:r>
      <w:r w:rsidR="00EC7FC8">
        <w:rPr>
          <w:rFonts w:eastAsiaTheme="minorHAnsi"/>
          <w:lang w:eastAsia="en-US"/>
        </w:rPr>
        <w:t>APPR</w:t>
      </w:r>
      <w:r w:rsidR="009C1620">
        <w:rPr>
          <w:rFonts w:eastAsiaTheme="minorHAnsi"/>
          <w:lang w:eastAsia="en-US"/>
        </w:rPr>
        <w:t xml:space="preserve"> assesses program performance against </w:t>
      </w:r>
      <w:r w:rsidR="00681B6B">
        <w:rPr>
          <w:rFonts w:eastAsiaTheme="minorHAnsi"/>
          <w:lang w:eastAsia="en-US"/>
        </w:rPr>
        <w:t xml:space="preserve">the </w:t>
      </w:r>
      <w:r w:rsidR="009C1620">
        <w:rPr>
          <w:rFonts w:eastAsiaTheme="minorHAnsi"/>
          <w:lang w:eastAsia="en-US"/>
        </w:rPr>
        <w:t xml:space="preserve">Partnership for Development objectives. </w:t>
      </w:r>
    </w:p>
    <w:p w14:paraId="0B70F4B2" w14:textId="77777777" w:rsidR="00B35F80" w:rsidRDefault="00C57C6F" w:rsidP="008E0AE1">
      <w:pPr>
        <w:pStyle w:val="BodyText"/>
        <w:rPr>
          <w:rFonts w:eastAsiaTheme="minorHAnsi"/>
          <w:lang w:eastAsia="en-US"/>
        </w:rPr>
      </w:pPr>
      <w:r>
        <w:rPr>
          <w:rFonts w:eastAsiaTheme="minorHAnsi"/>
          <w:lang w:eastAsia="en-US"/>
        </w:rPr>
        <w:t xml:space="preserve">The Partnership for Development </w:t>
      </w:r>
      <w:r w:rsidR="00940993">
        <w:rPr>
          <w:rFonts w:eastAsiaTheme="minorHAnsi"/>
          <w:lang w:eastAsia="en-US"/>
        </w:rPr>
        <w:t>forms part of</w:t>
      </w:r>
      <w:r>
        <w:rPr>
          <w:rFonts w:eastAsiaTheme="minorHAnsi"/>
          <w:lang w:eastAsia="en-US"/>
        </w:rPr>
        <w:t xml:space="preserve"> </w:t>
      </w:r>
      <w:r w:rsidR="00940993">
        <w:rPr>
          <w:rFonts w:eastAsiaTheme="minorHAnsi"/>
          <w:lang w:eastAsia="en-US"/>
        </w:rPr>
        <w:t xml:space="preserve">a </w:t>
      </w:r>
      <w:r>
        <w:rPr>
          <w:rFonts w:eastAsiaTheme="minorHAnsi"/>
          <w:lang w:eastAsia="en-US"/>
        </w:rPr>
        <w:t xml:space="preserve">broader bilateral </w:t>
      </w:r>
      <w:r w:rsidR="00940993">
        <w:rPr>
          <w:rFonts w:eastAsiaTheme="minorHAnsi"/>
          <w:lang w:eastAsia="en-US"/>
        </w:rPr>
        <w:t>relationship</w:t>
      </w:r>
      <w:r>
        <w:rPr>
          <w:rFonts w:eastAsiaTheme="minorHAnsi"/>
          <w:lang w:eastAsia="en-US"/>
        </w:rPr>
        <w:t xml:space="preserve"> between PNG </w:t>
      </w:r>
      <w:r w:rsidRPr="00447D0E">
        <w:rPr>
          <w:rFonts w:eastAsiaTheme="minorHAnsi"/>
          <w:lang w:eastAsia="en-US"/>
        </w:rPr>
        <w:t xml:space="preserve">and Australia, </w:t>
      </w:r>
      <w:r w:rsidR="00940993" w:rsidRPr="00447D0E">
        <w:rPr>
          <w:rFonts w:eastAsiaTheme="minorHAnsi"/>
          <w:lang w:eastAsia="en-US"/>
        </w:rPr>
        <w:t xml:space="preserve">which includes cooperation on </w:t>
      </w:r>
      <w:r w:rsidRPr="00447D0E">
        <w:rPr>
          <w:rFonts w:eastAsiaTheme="minorHAnsi"/>
          <w:lang w:eastAsia="en-US"/>
        </w:rPr>
        <w:t>trade</w:t>
      </w:r>
      <w:r w:rsidR="00A86562" w:rsidRPr="00447D0E">
        <w:rPr>
          <w:rFonts w:eastAsiaTheme="minorHAnsi"/>
          <w:lang w:eastAsia="en-US"/>
        </w:rPr>
        <w:t>, immigration</w:t>
      </w:r>
      <w:r w:rsidRPr="00447D0E">
        <w:rPr>
          <w:rFonts w:eastAsiaTheme="minorHAnsi"/>
          <w:lang w:eastAsia="en-US"/>
        </w:rPr>
        <w:t xml:space="preserve"> and regional security. </w:t>
      </w:r>
      <w:r w:rsidR="00681B6B">
        <w:rPr>
          <w:rFonts w:eastAsiaTheme="minorHAnsi"/>
          <w:lang w:eastAsia="en-US"/>
        </w:rPr>
        <w:t>Australia</w:t>
      </w:r>
      <w:r w:rsidR="004400A6">
        <w:rPr>
          <w:rFonts w:eastAsiaTheme="minorHAnsi"/>
          <w:lang w:eastAsia="en-US"/>
        </w:rPr>
        <w:t xml:space="preserve"> </w:t>
      </w:r>
      <w:r w:rsidR="00817542" w:rsidRPr="00447D0E">
        <w:rPr>
          <w:rFonts w:eastAsiaTheme="minorHAnsi"/>
          <w:lang w:eastAsia="en-US"/>
        </w:rPr>
        <w:t xml:space="preserve">attaches </w:t>
      </w:r>
      <w:r w:rsidR="004400A6">
        <w:rPr>
          <w:rFonts w:eastAsiaTheme="minorHAnsi"/>
          <w:lang w:eastAsia="en-US"/>
        </w:rPr>
        <w:t xml:space="preserve">great importance </w:t>
      </w:r>
      <w:r w:rsidR="00817542" w:rsidRPr="00447D0E">
        <w:rPr>
          <w:rFonts w:eastAsiaTheme="minorHAnsi"/>
          <w:lang w:eastAsia="en-US"/>
        </w:rPr>
        <w:t xml:space="preserve">to </w:t>
      </w:r>
      <w:r w:rsidR="004400A6">
        <w:rPr>
          <w:rFonts w:eastAsiaTheme="minorHAnsi"/>
          <w:lang w:eastAsia="en-US"/>
        </w:rPr>
        <w:t>the</w:t>
      </w:r>
      <w:r w:rsidR="00681B6B" w:rsidRPr="00447D0E">
        <w:rPr>
          <w:rFonts w:eastAsiaTheme="minorHAnsi"/>
          <w:lang w:eastAsia="en-US"/>
        </w:rPr>
        <w:t xml:space="preserve"> </w:t>
      </w:r>
      <w:r w:rsidR="00817542" w:rsidRPr="00447D0E">
        <w:rPr>
          <w:rFonts w:eastAsiaTheme="minorHAnsi"/>
          <w:lang w:eastAsia="en-US"/>
        </w:rPr>
        <w:t xml:space="preserve">economic, trade and investment relationship with PNG. </w:t>
      </w:r>
      <w:r w:rsidR="00867C09" w:rsidRPr="00447D0E">
        <w:rPr>
          <w:rFonts w:eastAsiaTheme="minorHAnsi"/>
          <w:lang w:eastAsia="en-US"/>
        </w:rPr>
        <w:t xml:space="preserve">Reflecting Australian and PNG </w:t>
      </w:r>
      <w:r w:rsidR="009166A8" w:rsidRPr="00447D0E">
        <w:rPr>
          <w:rFonts w:eastAsiaTheme="minorHAnsi"/>
          <w:lang w:eastAsia="en-US"/>
        </w:rPr>
        <w:t>g</w:t>
      </w:r>
      <w:r w:rsidR="00867C09" w:rsidRPr="00447D0E">
        <w:rPr>
          <w:rFonts w:eastAsiaTheme="minorHAnsi"/>
          <w:lang w:eastAsia="en-US"/>
        </w:rPr>
        <w:t xml:space="preserve">overnment commitments to closer cooperation, </w:t>
      </w:r>
      <w:r w:rsidR="009166A8" w:rsidRPr="00447D0E">
        <w:rPr>
          <w:rFonts w:eastAsiaTheme="minorHAnsi"/>
          <w:lang w:eastAsia="en-US"/>
        </w:rPr>
        <w:t>the prime ministers of both countries</w:t>
      </w:r>
      <w:r w:rsidR="003D6B5E">
        <w:rPr>
          <w:rFonts w:eastAsiaTheme="minorHAnsi"/>
          <w:lang w:eastAsia="en-US"/>
        </w:rPr>
        <w:t xml:space="preserve"> </w:t>
      </w:r>
      <w:r>
        <w:rPr>
          <w:rFonts w:eastAsiaTheme="minorHAnsi"/>
          <w:lang w:eastAsia="en-US"/>
        </w:rPr>
        <w:t>signed a Joint Partnership Declaration</w:t>
      </w:r>
      <w:r w:rsidR="00867C09" w:rsidRPr="00867C09">
        <w:rPr>
          <w:rFonts w:eastAsiaTheme="minorHAnsi"/>
          <w:lang w:eastAsia="en-US"/>
        </w:rPr>
        <w:t xml:space="preserve"> </w:t>
      </w:r>
      <w:r w:rsidR="00867C09">
        <w:rPr>
          <w:rFonts w:eastAsiaTheme="minorHAnsi"/>
          <w:lang w:eastAsia="en-US"/>
        </w:rPr>
        <w:t>in May 2013</w:t>
      </w:r>
      <w:r>
        <w:rPr>
          <w:rFonts w:eastAsiaTheme="minorHAnsi"/>
          <w:lang w:eastAsia="en-US"/>
        </w:rPr>
        <w:t>, affirming commitment to deepening ties and working together in the region to benefit from the opportunities presented by the Asian Century</w:t>
      </w:r>
      <w:r w:rsidR="00681B6B">
        <w:rPr>
          <w:rFonts w:eastAsiaTheme="minorHAnsi"/>
          <w:lang w:eastAsia="en-US"/>
        </w:rPr>
        <w:t>.</w:t>
      </w:r>
      <w:r w:rsidR="00D37F32">
        <w:rPr>
          <w:rStyle w:val="FootnoteReference"/>
          <w:rFonts w:eastAsiaTheme="minorHAnsi"/>
          <w:lang w:eastAsia="en-US"/>
        </w:rPr>
        <w:footnoteReference w:id="3"/>
      </w:r>
      <w:r w:rsidR="00940993">
        <w:rPr>
          <w:rFonts w:eastAsiaTheme="minorHAnsi"/>
          <w:lang w:eastAsia="en-US"/>
        </w:rPr>
        <w:t xml:space="preserve"> </w:t>
      </w:r>
      <w:r w:rsidR="00E65484">
        <w:rPr>
          <w:rFonts w:eastAsiaTheme="minorHAnsi"/>
          <w:lang w:eastAsia="en-US"/>
        </w:rPr>
        <w:t>The prime ministers</w:t>
      </w:r>
      <w:r w:rsidR="00940993">
        <w:rPr>
          <w:rFonts w:eastAsiaTheme="minorHAnsi"/>
          <w:lang w:eastAsia="en-US"/>
        </w:rPr>
        <w:t xml:space="preserve"> </w:t>
      </w:r>
      <w:r w:rsidR="00867C09">
        <w:rPr>
          <w:rFonts w:eastAsiaTheme="minorHAnsi"/>
          <w:lang w:eastAsia="en-US"/>
        </w:rPr>
        <w:t xml:space="preserve">also </w:t>
      </w:r>
      <w:r w:rsidR="00940993">
        <w:rPr>
          <w:rFonts w:eastAsiaTheme="minorHAnsi"/>
          <w:lang w:eastAsia="en-US"/>
        </w:rPr>
        <w:t xml:space="preserve">announced </w:t>
      </w:r>
      <w:r w:rsidR="00A86562">
        <w:rPr>
          <w:rFonts w:eastAsiaTheme="minorHAnsi"/>
          <w:lang w:eastAsia="en-US"/>
        </w:rPr>
        <w:t>the enhancement of bilateral defence links through a new Defence Cooperation Arrangement</w:t>
      </w:r>
      <w:r w:rsidR="00B35F80">
        <w:rPr>
          <w:rFonts w:eastAsiaTheme="minorHAnsi"/>
          <w:lang w:eastAsia="en-US"/>
        </w:rPr>
        <w:t xml:space="preserve"> </w:t>
      </w:r>
      <w:r w:rsidR="003D6B5E">
        <w:rPr>
          <w:rFonts w:eastAsiaTheme="minorHAnsi"/>
          <w:lang w:eastAsia="en-US"/>
        </w:rPr>
        <w:t>and</w:t>
      </w:r>
      <w:r w:rsidR="00B35F80">
        <w:rPr>
          <w:rFonts w:eastAsiaTheme="minorHAnsi"/>
          <w:lang w:eastAsia="en-US"/>
        </w:rPr>
        <w:t xml:space="preserve"> future cooperation on several development</w:t>
      </w:r>
      <w:r w:rsidR="00681B6B">
        <w:rPr>
          <w:rFonts w:eastAsiaTheme="minorHAnsi"/>
          <w:lang w:eastAsia="en-US"/>
        </w:rPr>
        <w:t>-</w:t>
      </w:r>
      <w:r w:rsidR="00B35F80">
        <w:rPr>
          <w:rFonts w:eastAsiaTheme="minorHAnsi"/>
          <w:lang w:eastAsia="en-US"/>
        </w:rPr>
        <w:t>related activities, including</w:t>
      </w:r>
      <w:r w:rsidR="00E65484">
        <w:rPr>
          <w:rFonts w:eastAsiaTheme="minorHAnsi"/>
          <w:lang w:eastAsia="en-US"/>
        </w:rPr>
        <w:t>:</w:t>
      </w:r>
    </w:p>
    <w:p w14:paraId="0B70F4B3" w14:textId="77777777" w:rsidR="00715B79" w:rsidRPr="00AE2465" w:rsidRDefault="00376AAE" w:rsidP="008E0AE1">
      <w:pPr>
        <w:pStyle w:val="ListBullet"/>
        <w:rPr>
          <w:b/>
        </w:rPr>
      </w:pPr>
      <w:r>
        <w:rPr>
          <w:rFonts w:eastAsiaTheme="minorHAnsi"/>
          <w:lang w:eastAsia="en-US"/>
        </w:rPr>
        <w:t>starting</w:t>
      </w:r>
      <w:r w:rsidR="00E65484">
        <w:rPr>
          <w:rFonts w:eastAsiaTheme="minorHAnsi"/>
          <w:lang w:eastAsia="en-US"/>
        </w:rPr>
        <w:t xml:space="preserve"> </w:t>
      </w:r>
      <w:r w:rsidR="00A86562">
        <w:rPr>
          <w:rFonts w:eastAsiaTheme="minorHAnsi"/>
          <w:lang w:eastAsia="en-US"/>
        </w:rPr>
        <w:t>Phase III of the PNG</w:t>
      </w:r>
      <w:r w:rsidR="00B304D5">
        <w:rPr>
          <w:rFonts w:eastAsiaTheme="minorHAnsi"/>
          <w:lang w:eastAsia="en-US"/>
        </w:rPr>
        <w:t xml:space="preserve"> – </w:t>
      </w:r>
      <w:r w:rsidR="00A86562">
        <w:rPr>
          <w:rFonts w:eastAsiaTheme="minorHAnsi"/>
          <w:lang w:eastAsia="en-US"/>
        </w:rPr>
        <w:t>Australia Policing Par</w:t>
      </w:r>
      <w:r w:rsidR="00B35F80">
        <w:rPr>
          <w:rFonts w:eastAsiaTheme="minorHAnsi"/>
          <w:lang w:eastAsia="en-US"/>
        </w:rPr>
        <w:t>t</w:t>
      </w:r>
      <w:r w:rsidR="00A86562">
        <w:rPr>
          <w:rFonts w:eastAsiaTheme="minorHAnsi"/>
          <w:lang w:eastAsia="en-US"/>
        </w:rPr>
        <w:t>nership</w:t>
      </w:r>
      <w:r w:rsidR="00B35F80">
        <w:rPr>
          <w:rFonts w:eastAsiaTheme="minorHAnsi"/>
          <w:lang w:eastAsia="en-US"/>
        </w:rPr>
        <w:t>, which will see enhanced Australian support for the modernisation and reform of the Royal PNG Constabulary (RPNGC)</w:t>
      </w:r>
    </w:p>
    <w:p w14:paraId="0B70F4B4" w14:textId="77777777" w:rsidR="00940993" w:rsidRPr="00770DA3" w:rsidRDefault="00FA3F30" w:rsidP="008E0AE1">
      <w:pPr>
        <w:pStyle w:val="ListBullet"/>
        <w:rPr>
          <w:rFonts w:eastAsiaTheme="minorHAnsi"/>
          <w:lang w:eastAsia="en-US"/>
        </w:rPr>
      </w:pPr>
      <w:r>
        <w:rPr>
          <w:rFonts w:eastAsiaTheme="minorHAnsi"/>
          <w:lang w:eastAsia="en-US"/>
        </w:rPr>
        <w:t xml:space="preserve">launching the </w:t>
      </w:r>
      <w:r w:rsidR="00715B79" w:rsidRPr="004161A9">
        <w:rPr>
          <w:rFonts w:eastAsiaTheme="minorHAnsi"/>
          <w:lang w:eastAsia="en-US"/>
        </w:rPr>
        <w:t>PNG Women in Business Initiative</w:t>
      </w:r>
      <w:r w:rsidR="00421943" w:rsidRPr="004161A9">
        <w:rPr>
          <w:rFonts w:eastAsiaTheme="minorHAnsi"/>
          <w:lang w:eastAsia="en-US"/>
        </w:rPr>
        <w:t>, which</w:t>
      </w:r>
      <w:r w:rsidR="00715B79" w:rsidRPr="004161A9">
        <w:rPr>
          <w:rFonts w:eastAsiaTheme="minorHAnsi"/>
          <w:lang w:eastAsia="en-US"/>
        </w:rPr>
        <w:t xml:space="preserve"> will support PNG businesses to enhance the status of women in workplaces and improve economic opportunities for women</w:t>
      </w:r>
      <w:r w:rsidR="00421943" w:rsidRPr="004161A9">
        <w:rPr>
          <w:rFonts w:eastAsiaTheme="minorHAnsi"/>
          <w:lang w:eastAsia="en-US"/>
        </w:rPr>
        <w:t xml:space="preserve"> (</w:t>
      </w:r>
      <w:r w:rsidR="00E65484">
        <w:rPr>
          <w:rFonts w:eastAsiaTheme="minorHAnsi"/>
          <w:lang w:eastAsia="en-US"/>
        </w:rPr>
        <w:t>an</w:t>
      </w:r>
      <w:r w:rsidR="00715B79" w:rsidRPr="004161A9">
        <w:rPr>
          <w:rFonts w:eastAsiaTheme="minorHAnsi"/>
          <w:lang w:eastAsia="en-US"/>
        </w:rPr>
        <w:t xml:space="preserve"> initial program under the Pacific Women Shaping Pacific Development initiative announced by </w:t>
      </w:r>
      <w:r w:rsidR="00E65484">
        <w:rPr>
          <w:rFonts w:eastAsiaTheme="minorHAnsi"/>
          <w:lang w:eastAsia="en-US"/>
        </w:rPr>
        <w:t>Australia’s Prime Minister</w:t>
      </w:r>
      <w:r w:rsidR="00715B79" w:rsidRPr="004161A9">
        <w:rPr>
          <w:rFonts w:eastAsiaTheme="minorHAnsi"/>
          <w:lang w:eastAsia="en-US"/>
        </w:rPr>
        <w:t xml:space="preserve"> at the Pacific Island </w:t>
      </w:r>
      <w:r w:rsidR="008700C0">
        <w:rPr>
          <w:rFonts w:eastAsiaTheme="minorHAnsi"/>
          <w:lang w:eastAsia="en-US"/>
        </w:rPr>
        <w:t xml:space="preserve">Forum </w:t>
      </w:r>
      <w:r w:rsidR="00715B79" w:rsidRPr="004161A9">
        <w:rPr>
          <w:rFonts w:eastAsiaTheme="minorHAnsi"/>
          <w:lang w:eastAsia="en-US"/>
        </w:rPr>
        <w:t>Leaders</w:t>
      </w:r>
      <w:r w:rsidR="008700C0">
        <w:rPr>
          <w:rFonts w:eastAsiaTheme="minorHAnsi"/>
          <w:lang w:eastAsia="en-US"/>
        </w:rPr>
        <w:t>’</w:t>
      </w:r>
      <w:r w:rsidR="00715B79" w:rsidRPr="004161A9">
        <w:rPr>
          <w:rFonts w:eastAsiaTheme="minorHAnsi"/>
          <w:lang w:eastAsia="en-US"/>
        </w:rPr>
        <w:t xml:space="preserve"> meeting in 2012</w:t>
      </w:r>
      <w:r w:rsidR="00421943" w:rsidRPr="004161A9">
        <w:rPr>
          <w:rFonts w:eastAsiaTheme="minorHAnsi"/>
          <w:lang w:eastAsia="en-US"/>
        </w:rPr>
        <w:t>)</w:t>
      </w:r>
    </w:p>
    <w:p w14:paraId="0B70F4B5" w14:textId="77777777" w:rsidR="00E85337" w:rsidRPr="004161A9" w:rsidRDefault="00E85337" w:rsidP="008E0AE1">
      <w:pPr>
        <w:pStyle w:val="ListBullet"/>
        <w:rPr>
          <w:rFonts w:eastAsiaTheme="minorHAnsi"/>
          <w:lang w:eastAsia="en-US"/>
        </w:rPr>
      </w:pPr>
      <w:r w:rsidRPr="004161A9">
        <w:rPr>
          <w:rFonts w:eastAsiaTheme="minorHAnsi"/>
          <w:lang w:eastAsia="en-US"/>
        </w:rPr>
        <w:lastRenderedPageBreak/>
        <w:t>assist</w:t>
      </w:r>
      <w:r w:rsidR="00E65484">
        <w:rPr>
          <w:rFonts w:eastAsiaTheme="minorHAnsi"/>
          <w:lang w:eastAsia="en-US"/>
        </w:rPr>
        <w:t>ing</w:t>
      </w:r>
      <w:r w:rsidRPr="004161A9">
        <w:rPr>
          <w:rFonts w:eastAsiaTheme="minorHAnsi"/>
          <w:lang w:eastAsia="en-US"/>
        </w:rPr>
        <w:t xml:space="preserve"> PNG to cost and plan for future infrastructure management and procurement</w:t>
      </w:r>
      <w:r w:rsidR="00FF6C66" w:rsidRPr="004161A9">
        <w:rPr>
          <w:rFonts w:eastAsiaTheme="minorHAnsi"/>
          <w:lang w:eastAsia="en-US"/>
        </w:rPr>
        <w:t>, as well as</w:t>
      </w:r>
      <w:r w:rsidRPr="004161A9">
        <w:rPr>
          <w:rFonts w:eastAsiaTheme="minorHAnsi"/>
          <w:lang w:eastAsia="en-US"/>
        </w:rPr>
        <w:t xml:space="preserve"> support</w:t>
      </w:r>
      <w:r w:rsidR="00681B6B">
        <w:rPr>
          <w:rFonts w:eastAsiaTheme="minorHAnsi"/>
          <w:lang w:eastAsia="en-US"/>
        </w:rPr>
        <w:t>ing</w:t>
      </w:r>
      <w:r w:rsidRPr="004161A9">
        <w:rPr>
          <w:rFonts w:eastAsiaTheme="minorHAnsi"/>
          <w:lang w:eastAsia="en-US"/>
        </w:rPr>
        <w:t xml:space="preserve"> PNG to establish an Infrastructure Development Authority by 2015</w:t>
      </w:r>
    </w:p>
    <w:p w14:paraId="0B70F4B6" w14:textId="77777777" w:rsidR="00E85337" w:rsidRPr="004161A9" w:rsidRDefault="00E65484" w:rsidP="008E0AE1">
      <w:pPr>
        <w:pStyle w:val="ListBullet"/>
        <w:rPr>
          <w:rFonts w:eastAsiaTheme="minorHAnsi"/>
          <w:lang w:eastAsia="en-US"/>
        </w:rPr>
      </w:pPr>
      <w:r>
        <w:rPr>
          <w:rFonts w:eastAsiaTheme="minorHAnsi"/>
          <w:lang w:eastAsia="en-US"/>
        </w:rPr>
        <w:t xml:space="preserve">having </w:t>
      </w:r>
      <w:r w:rsidR="00E85337" w:rsidRPr="004161A9">
        <w:rPr>
          <w:rFonts w:eastAsiaTheme="minorHAnsi"/>
          <w:lang w:eastAsia="en-US"/>
        </w:rPr>
        <w:t>PNG delegate health procurement to Aus</w:t>
      </w:r>
      <w:r w:rsidR="00FF6C66" w:rsidRPr="004161A9">
        <w:rPr>
          <w:rFonts w:eastAsiaTheme="minorHAnsi"/>
          <w:lang w:eastAsia="en-US"/>
        </w:rPr>
        <w:t>tralia</w:t>
      </w:r>
      <w:r w:rsidR="00E85337" w:rsidRPr="004161A9">
        <w:rPr>
          <w:rFonts w:eastAsiaTheme="minorHAnsi"/>
          <w:lang w:eastAsia="en-US"/>
        </w:rPr>
        <w:t xml:space="preserve"> as a precursor to establishing an Independent Health Procurement Authority by 2015.</w:t>
      </w:r>
    </w:p>
    <w:p w14:paraId="0B70F4B7" w14:textId="77777777" w:rsidR="00E65484" w:rsidRDefault="008934B0" w:rsidP="008E0AE1">
      <w:pPr>
        <w:pStyle w:val="BodyText"/>
        <w:rPr>
          <w:rFonts w:eastAsiaTheme="minorHAnsi"/>
          <w:lang w:eastAsia="en-US"/>
        </w:rPr>
      </w:pPr>
      <w:r w:rsidRPr="00ED59DE">
        <w:rPr>
          <w:rFonts w:eastAsiaTheme="minorHAnsi"/>
          <w:lang w:eastAsia="en-US"/>
        </w:rPr>
        <w:t xml:space="preserve">Australia’s </w:t>
      </w:r>
      <w:r w:rsidR="00940993">
        <w:rPr>
          <w:rFonts w:eastAsiaTheme="minorHAnsi"/>
          <w:lang w:eastAsia="en-US"/>
        </w:rPr>
        <w:t>development</w:t>
      </w:r>
      <w:r w:rsidRPr="00ED59DE">
        <w:rPr>
          <w:rFonts w:eastAsiaTheme="minorHAnsi"/>
          <w:lang w:eastAsia="en-US"/>
        </w:rPr>
        <w:t xml:space="preserve"> partnership approach with PNG invo</w:t>
      </w:r>
      <w:r>
        <w:rPr>
          <w:rFonts w:eastAsiaTheme="minorHAnsi"/>
          <w:lang w:eastAsia="en-US"/>
        </w:rPr>
        <w:t>lves a three-pronged strategy</w:t>
      </w:r>
      <w:r w:rsidR="00E65484">
        <w:rPr>
          <w:rFonts w:eastAsiaTheme="minorHAnsi"/>
          <w:lang w:eastAsia="en-US"/>
        </w:rPr>
        <w:t>. This strategy sees Australia:</w:t>
      </w:r>
    </w:p>
    <w:p w14:paraId="0B70F4B8" w14:textId="77777777" w:rsidR="00E65484" w:rsidRPr="00817542" w:rsidRDefault="008934B0" w:rsidP="008E0AE1">
      <w:pPr>
        <w:pStyle w:val="ListNumber"/>
        <w:rPr>
          <w:rFonts w:eastAsiaTheme="minorHAnsi"/>
        </w:rPr>
      </w:pPr>
      <w:r w:rsidRPr="00ED59DE">
        <w:rPr>
          <w:lang w:val="en"/>
        </w:rPr>
        <w:t>supporting direct service delivery to the poorest and most vulnerable population groups in the short term</w:t>
      </w:r>
    </w:p>
    <w:p w14:paraId="0B70F4B9" w14:textId="77777777" w:rsidR="00E65484" w:rsidRPr="00817542" w:rsidRDefault="008934B0" w:rsidP="008E0AE1">
      <w:pPr>
        <w:pStyle w:val="ListNumber"/>
        <w:rPr>
          <w:rFonts w:eastAsiaTheme="minorHAnsi"/>
        </w:rPr>
      </w:pPr>
      <w:r w:rsidRPr="00ED59DE">
        <w:rPr>
          <w:lang w:val="en"/>
        </w:rPr>
        <w:t>helping PNG to undertake key public sector reforms to strengthen its governance and service delivery systems over the long term</w:t>
      </w:r>
    </w:p>
    <w:p w14:paraId="0B70F4BA" w14:textId="77777777" w:rsidR="00E65484" w:rsidRPr="00817542" w:rsidRDefault="008934B0" w:rsidP="008E0AE1">
      <w:pPr>
        <w:pStyle w:val="ListNumber"/>
        <w:rPr>
          <w:rFonts w:eastAsiaTheme="minorHAnsi"/>
        </w:rPr>
      </w:pPr>
      <w:r w:rsidRPr="00ED59DE">
        <w:rPr>
          <w:lang w:val="en"/>
        </w:rPr>
        <w:t>helping to generate greater public demand for accountabilit</w:t>
      </w:r>
      <w:r w:rsidR="00736433">
        <w:rPr>
          <w:lang w:val="en"/>
        </w:rPr>
        <w:t>y and services</w:t>
      </w:r>
      <w:r w:rsidRPr="00ED59DE">
        <w:rPr>
          <w:lang w:val="en"/>
        </w:rPr>
        <w:t xml:space="preserve"> in recognition that only PNG can bring about</w:t>
      </w:r>
      <w:r w:rsidR="00736433">
        <w:rPr>
          <w:lang w:val="en"/>
        </w:rPr>
        <w:t xml:space="preserve"> its own transformation through </w:t>
      </w:r>
      <w:r w:rsidRPr="00ED59DE">
        <w:rPr>
          <w:lang w:val="en"/>
        </w:rPr>
        <w:t xml:space="preserve">democratic processes. </w:t>
      </w:r>
    </w:p>
    <w:p w14:paraId="0B70F4BB" w14:textId="77777777" w:rsidR="008934B0" w:rsidRPr="00095C97" w:rsidRDefault="008934B0" w:rsidP="008E0AE1">
      <w:pPr>
        <w:pStyle w:val="BodyText"/>
        <w:rPr>
          <w:rFonts w:eastAsiaTheme="minorHAnsi"/>
          <w:lang w:eastAsia="en-US"/>
        </w:rPr>
      </w:pPr>
      <w:r w:rsidRPr="00095C97">
        <w:rPr>
          <w:rFonts w:eastAsiaTheme="minorHAnsi"/>
          <w:lang w:eastAsia="en-US"/>
        </w:rPr>
        <w:t xml:space="preserve">Australia is also improving its research and analysis to inform program decisions and support the PNG Government to improve the effectiveness of its own development expenditure. </w:t>
      </w:r>
    </w:p>
    <w:p w14:paraId="0B70F4BC" w14:textId="77777777" w:rsidR="008934B0" w:rsidRDefault="00681B6B" w:rsidP="008E0AE1">
      <w:pPr>
        <w:pStyle w:val="BodyText"/>
      </w:pPr>
      <w:r>
        <w:t xml:space="preserve">PNG’s </w:t>
      </w:r>
      <w:r w:rsidR="008934B0">
        <w:t xml:space="preserve">political </w:t>
      </w:r>
      <w:r w:rsidR="00333CC7">
        <w:t>disorder</w:t>
      </w:r>
      <w:r w:rsidR="008934B0">
        <w:t xml:space="preserve"> of late 2011, including uncertainty over </w:t>
      </w:r>
      <w:r>
        <w:t xml:space="preserve">its </w:t>
      </w:r>
      <w:r w:rsidR="008934B0">
        <w:t>leaders</w:t>
      </w:r>
      <w:r w:rsidR="00C7152C">
        <w:t>hip, flowed into</w:t>
      </w:r>
      <w:r w:rsidR="008934B0">
        <w:t xml:space="preserve"> early 2012</w:t>
      </w:r>
      <w:r w:rsidR="0041638B">
        <w:t xml:space="preserve">. </w:t>
      </w:r>
      <w:r w:rsidR="008934B0">
        <w:t>This negatively impacted on the functioning of government up to and during the elections</w:t>
      </w:r>
      <w:r w:rsidR="00947B07">
        <w:t xml:space="preserve"> held</w:t>
      </w:r>
      <w:r w:rsidR="008934B0">
        <w:t xml:space="preserve"> in June</w:t>
      </w:r>
      <w:r w:rsidR="00947B07">
        <w:t xml:space="preserve"> and </w:t>
      </w:r>
      <w:r w:rsidR="008934B0">
        <w:t>July 2012</w:t>
      </w:r>
      <w:r w:rsidR="0041638B">
        <w:t xml:space="preserve">. </w:t>
      </w:r>
      <w:r w:rsidR="008934B0">
        <w:t>Following the elections, the</w:t>
      </w:r>
      <w:r w:rsidR="008934B0" w:rsidRPr="00ED59DE">
        <w:t xml:space="preserve"> new coalition government, led by Prime Minister Peter O’Neill</w:t>
      </w:r>
      <w:r w:rsidR="008934B0">
        <w:t xml:space="preserve">, </w:t>
      </w:r>
      <w:r w:rsidR="008934B0" w:rsidRPr="00ED59DE">
        <w:t xml:space="preserve">quickly </w:t>
      </w:r>
      <w:r w:rsidR="00333CC7">
        <w:t>outlined PNG’s priorities for the coming</w:t>
      </w:r>
      <w:r w:rsidR="008934B0" w:rsidRPr="00ED59DE">
        <w:t xml:space="preserve"> five years</w:t>
      </w:r>
      <w:r w:rsidR="00984875">
        <w:t xml:space="preserve"> by announcing</w:t>
      </w:r>
      <w:r w:rsidR="00333CC7">
        <w:t xml:space="preserve"> the Alatou Accord, which highlight</w:t>
      </w:r>
      <w:r w:rsidR="00947B07">
        <w:t>s</w:t>
      </w:r>
      <w:r w:rsidR="00333CC7">
        <w:t xml:space="preserve"> the importance of</w:t>
      </w:r>
      <w:r>
        <w:t>: enhancing</w:t>
      </w:r>
      <w:r w:rsidR="00984875">
        <w:t xml:space="preserve"> </w:t>
      </w:r>
      <w:r w:rsidR="008934B0" w:rsidRPr="00ED59DE">
        <w:t>economic growth and service delivery</w:t>
      </w:r>
      <w:r w:rsidR="00817542">
        <w:t>;</w:t>
      </w:r>
      <w:r w:rsidR="008934B0" w:rsidRPr="00ED59DE">
        <w:t xml:space="preserve"> </w:t>
      </w:r>
      <w:r w:rsidR="00333CC7">
        <w:t>prioritising</w:t>
      </w:r>
      <w:r w:rsidR="008934B0" w:rsidRPr="00ED59DE">
        <w:t xml:space="preserve"> legislative reform,</w:t>
      </w:r>
      <w:r>
        <w:t xml:space="preserve"> providing</w:t>
      </w:r>
      <w:r w:rsidR="008934B0" w:rsidRPr="00ED59DE">
        <w:t xml:space="preserve"> free basic education and healthcare, </w:t>
      </w:r>
      <w:r w:rsidR="004400A6">
        <w:t>building</w:t>
      </w:r>
      <w:r>
        <w:t xml:space="preserve"> </w:t>
      </w:r>
      <w:r w:rsidR="00984875">
        <w:t xml:space="preserve">new </w:t>
      </w:r>
      <w:r w:rsidR="00333CC7">
        <w:t>infrastructure</w:t>
      </w:r>
      <w:r w:rsidR="00947B07">
        <w:t>,</w:t>
      </w:r>
      <w:r w:rsidR="00333CC7">
        <w:t xml:space="preserve"> and improv</w:t>
      </w:r>
      <w:r>
        <w:t>ing</w:t>
      </w:r>
      <w:r w:rsidR="008934B0" w:rsidRPr="00ED59DE">
        <w:t xml:space="preserve"> law and order. </w:t>
      </w:r>
    </w:p>
    <w:p w14:paraId="0B70F4BD" w14:textId="77777777" w:rsidR="008934B0" w:rsidRPr="00ED59DE" w:rsidRDefault="00F76037" w:rsidP="008E0AE1">
      <w:pPr>
        <w:pStyle w:val="BodyText"/>
      </w:pPr>
      <w:r>
        <w:t xml:space="preserve">The new government </w:t>
      </w:r>
      <w:r w:rsidR="00947B07">
        <w:t xml:space="preserve">is </w:t>
      </w:r>
      <w:r>
        <w:t>contend</w:t>
      </w:r>
      <w:r w:rsidR="00947B07">
        <w:t>ing</w:t>
      </w:r>
      <w:r>
        <w:t xml:space="preserve"> with real challenges. Despite </w:t>
      </w:r>
      <w:r w:rsidR="00947B07">
        <w:t>11</w:t>
      </w:r>
      <w:r w:rsidR="00947B07" w:rsidRPr="00ED59DE">
        <w:t xml:space="preserve"> </w:t>
      </w:r>
      <w:r w:rsidR="008934B0" w:rsidRPr="00ED59DE">
        <w:t>conse</w:t>
      </w:r>
      <w:r>
        <w:t>cutive years of economic growth, PNG</w:t>
      </w:r>
      <w:r w:rsidR="008934B0" w:rsidRPr="00ED59DE">
        <w:t xml:space="preserve"> still has the Pacific’s highest child </w:t>
      </w:r>
      <w:r>
        <w:t>and maternal mortality rates</w:t>
      </w:r>
      <w:r w:rsidR="00873C3C">
        <w:t>,</w:t>
      </w:r>
      <w:r w:rsidR="008934B0" w:rsidRPr="00ED59DE">
        <w:t xml:space="preserve"> and life expectancy is among the lowest in the world</w:t>
      </w:r>
      <w:r w:rsidR="0041638B">
        <w:t xml:space="preserve">. </w:t>
      </w:r>
      <w:r w:rsidR="00947B07">
        <w:t>Public sector</w:t>
      </w:r>
      <w:r w:rsidR="00947B07" w:rsidRPr="00ED59DE">
        <w:t xml:space="preserve"> </w:t>
      </w:r>
      <w:r w:rsidR="008934B0">
        <w:t>capacity</w:t>
      </w:r>
      <w:r>
        <w:t xml:space="preserve"> remains weak </w:t>
      </w:r>
      <w:r w:rsidR="008934B0" w:rsidRPr="00ED59DE">
        <w:t xml:space="preserve">and government revenues </w:t>
      </w:r>
      <w:r w:rsidR="00947B07">
        <w:t>are</w:t>
      </w:r>
      <w:r w:rsidR="00947B07" w:rsidRPr="00ED59DE">
        <w:t xml:space="preserve"> </w:t>
      </w:r>
      <w:r w:rsidR="008934B0" w:rsidRPr="00ED59DE">
        <w:t>not translat</w:t>
      </w:r>
      <w:r w:rsidR="00947B07">
        <w:t>ing</w:t>
      </w:r>
      <w:r>
        <w:t xml:space="preserve"> to better services or </w:t>
      </w:r>
      <w:r w:rsidR="008934B0" w:rsidRPr="00ED59DE">
        <w:t xml:space="preserve">a better quality of life for </w:t>
      </w:r>
      <w:r w:rsidR="00947B07">
        <w:t>most</w:t>
      </w:r>
      <w:r w:rsidR="008934B0">
        <w:t xml:space="preserve"> </w:t>
      </w:r>
      <w:r w:rsidR="008934B0" w:rsidRPr="00ED59DE">
        <w:t xml:space="preserve">Papua New Guineans. </w:t>
      </w:r>
      <w:r w:rsidR="00732031">
        <w:t xml:space="preserve">Prime Minister O’Neill has made </w:t>
      </w:r>
      <w:r w:rsidR="008934B0" w:rsidRPr="00ED59DE">
        <w:t xml:space="preserve">strong </w:t>
      </w:r>
      <w:r w:rsidR="001B05F2">
        <w:t>public</w:t>
      </w:r>
      <w:r w:rsidR="00873C3C">
        <w:t xml:space="preserve"> statements</w:t>
      </w:r>
      <w:r w:rsidR="00873C3C" w:rsidRPr="00ED59DE">
        <w:t xml:space="preserve"> </w:t>
      </w:r>
      <w:r w:rsidR="008934B0" w:rsidRPr="00ED59DE">
        <w:t>on anti-corruption reforms</w:t>
      </w:r>
      <w:r w:rsidR="00947B07">
        <w:t xml:space="preserve">, which </w:t>
      </w:r>
      <w:r w:rsidR="00732031">
        <w:t xml:space="preserve">will require sustained government commitment to ensure </w:t>
      </w:r>
      <w:r w:rsidR="00947B07">
        <w:t>corruption levels are reduced</w:t>
      </w:r>
      <w:r w:rsidR="00732031">
        <w:t xml:space="preserve">. </w:t>
      </w:r>
      <w:r w:rsidR="008934B0" w:rsidRPr="005002B6">
        <w:t xml:space="preserve">PNG’s 2013 National Budget increased allocation to Partnership for Development priorities and </w:t>
      </w:r>
      <w:r w:rsidR="007C22D7">
        <w:t xml:space="preserve">significantly </w:t>
      </w:r>
      <w:r w:rsidR="008934B0" w:rsidRPr="005002B6">
        <w:t>increase</w:t>
      </w:r>
      <w:r w:rsidR="00947B07">
        <w:t>d</w:t>
      </w:r>
      <w:r w:rsidR="008934B0" w:rsidRPr="005002B6">
        <w:t xml:space="preserve"> the budget</w:t>
      </w:r>
      <w:r w:rsidR="00947B07">
        <w:t xml:space="preserve"> (</w:t>
      </w:r>
      <w:r w:rsidR="008700C0">
        <w:t xml:space="preserve">from </w:t>
      </w:r>
      <w:r w:rsidR="00947B07">
        <w:t>2 per cent to 13 per cent)</w:t>
      </w:r>
      <w:r w:rsidR="008934B0" w:rsidRPr="005002B6">
        <w:t xml:space="preserve"> directed to sub-national governments </w:t>
      </w:r>
      <w:r w:rsidR="00947B07">
        <w:t>to</w:t>
      </w:r>
      <w:r w:rsidR="00947B07" w:rsidRPr="005002B6">
        <w:t xml:space="preserve"> </w:t>
      </w:r>
      <w:r w:rsidR="008934B0" w:rsidRPr="005002B6">
        <w:t>improve service delivery. However, weak sub-national capacity and bottlenecks in PNG’s</w:t>
      </w:r>
      <w:r w:rsidR="008934B0" w:rsidRPr="00ED59DE">
        <w:t xml:space="preserve"> financ</w:t>
      </w:r>
      <w:r w:rsidR="00C7152C">
        <w:t xml:space="preserve">ial and procurement systems </w:t>
      </w:r>
      <w:r w:rsidR="00947B07">
        <w:t xml:space="preserve">remain </w:t>
      </w:r>
      <w:r w:rsidR="008934B0">
        <w:t>major impediment</w:t>
      </w:r>
      <w:r w:rsidR="00C7152C">
        <w:t xml:space="preserve">s </w:t>
      </w:r>
      <w:r w:rsidR="008934B0">
        <w:t xml:space="preserve">to </w:t>
      </w:r>
      <w:r w:rsidR="008934B0" w:rsidRPr="00ED59DE">
        <w:t>services</w:t>
      </w:r>
      <w:r w:rsidR="008934B0">
        <w:t xml:space="preserve"> reaching Papua New Guineans</w:t>
      </w:r>
      <w:r w:rsidR="008934B0" w:rsidRPr="00ED59DE">
        <w:t xml:space="preserve">. </w:t>
      </w:r>
    </w:p>
    <w:p w14:paraId="0B70F4BE" w14:textId="77777777" w:rsidR="00947B07" w:rsidRDefault="008934B0" w:rsidP="008E0AE1">
      <w:pPr>
        <w:pStyle w:val="BodyText"/>
      </w:pPr>
      <w:r>
        <w:t>Th</w:t>
      </w:r>
      <w:r w:rsidR="00947B07">
        <w:t>is</w:t>
      </w:r>
      <w:r>
        <w:t xml:space="preserve"> challenging operating environment continu</w:t>
      </w:r>
      <w:r w:rsidR="00C7152C">
        <w:t xml:space="preserve">es to </w:t>
      </w:r>
      <w:r w:rsidR="00CE42F5">
        <w:t>affect</w:t>
      </w:r>
      <w:r w:rsidR="00C7152C">
        <w:t xml:space="preserve"> the delivery of Australia’s</w:t>
      </w:r>
      <w:r>
        <w:t xml:space="preserve"> aid program, particularly </w:t>
      </w:r>
      <w:r w:rsidR="00947B07">
        <w:t xml:space="preserve">where </w:t>
      </w:r>
      <w:r w:rsidR="007C22D7">
        <w:t>Australia</w:t>
      </w:r>
      <w:r w:rsidR="00947B07">
        <w:t xml:space="preserve"> rel</w:t>
      </w:r>
      <w:r w:rsidR="007C22D7">
        <w:t>ies</w:t>
      </w:r>
      <w:r>
        <w:t xml:space="preserve"> on </w:t>
      </w:r>
      <w:r w:rsidR="008700C0">
        <w:t xml:space="preserve">PNG </w:t>
      </w:r>
      <w:r>
        <w:t>gove</w:t>
      </w:r>
      <w:r w:rsidR="00C7152C">
        <w:t>rnment commitment, including</w:t>
      </w:r>
      <w:r>
        <w:t xml:space="preserve"> procurement reform. </w:t>
      </w:r>
      <w:r w:rsidR="009C5893">
        <w:t>With aid equivalent to 7 per cent of the PNG Budget, expectations about the impact of Australian aid must be more realistic and objectives set accordingly. Successes and failures in th</w:t>
      </w:r>
      <w:r w:rsidR="009C1620">
        <w:t>e Aid Program are only contributing factors in</w:t>
      </w:r>
      <w:r w:rsidR="009C5893">
        <w:t xml:space="preserve"> PNG’s</w:t>
      </w:r>
      <w:r w:rsidR="009C1620">
        <w:t xml:space="preserve"> own</w:t>
      </w:r>
      <w:r w:rsidR="009C5893">
        <w:t xml:space="preserve"> development.</w:t>
      </w:r>
      <w:r w:rsidR="00732031">
        <w:t xml:space="preserve"> </w:t>
      </w:r>
    </w:p>
    <w:p w14:paraId="0B70F4BF" w14:textId="77777777" w:rsidR="008934B0" w:rsidRPr="00ED59DE" w:rsidRDefault="00947B07" w:rsidP="008E0AE1">
      <w:pPr>
        <w:pStyle w:val="BodyText"/>
      </w:pPr>
      <w:r>
        <w:t>P</w:t>
      </w:r>
      <w:r w:rsidR="008934B0" w:rsidRPr="00ED59DE">
        <w:t>rogress against the Partnership for Development targets in 2012</w:t>
      </w:r>
      <w:r w:rsidR="00B304D5">
        <w:t>–</w:t>
      </w:r>
      <w:r w:rsidR="008934B0" w:rsidRPr="00ED59DE">
        <w:t>13</w:t>
      </w:r>
      <w:r>
        <w:t xml:space="preserve"> was mi</w:t>
      </w:r>
      <w:r w:rsidR="007C22D7">
        <w:t>x</w:t>
      </w:r>
      <w:r>
        <w:t>ed</w:t>
      </w:r>
      <w:r w:rsidR="008934B0" w:rsidRPr="00ED59DE">
        <w:t>:</w:t>
      </w:r>
    </w:p>
    <w:p w14:paraId="0B70F4C0" w14:textId="77777777" w:rsidR="008934B0" w:rsidRPr="004161A9" w:rsidRDefault="008934B0" w:rsidP="008E0AE1">
      <w:pPr>
        <w:pStyle w:val="ListBullet"/>
        <w:rPr>
          <w:rFonts w:ascii="Book Antiqua" w:hAnsi="Book Antiqua"/>
          <w:color w:val="000000"/>
          <w:sz w:val="24"/>
        </w:rPr>
      </w:pPr>
      <w:r>
        <w:t xml:space="preserve">The </w:t>
      </w:r>
      <w:r w:rsidRPr="00ED59DE">
        <w:t>Health and HIV</w:t>
      </w:r>
      <w:r w:rsidR="007C22D7">
        <w:t>/AIDs</w:t>
      </w:r>
      <w:r w:rsidRPr="00ED59DE">
        <w:t xml:space="preserve"> </w:t>
      </w:r>
      <w:r w:rsidR="00984875">
        <w:t>Program</w:t>
      </w:r>
      <w:r>
        <w:t xml:space="preserve"> made significant progress towards </w:t>
      </w:r>
      <w:r w:rsidR="00947B07">
        <w:t>p</w:t>
      </w:r>
      <w:r>
        <w:t xml:space="preserve">artnership targets, including </w:t>
      </w:r>
      <w:r w:rsidR="00CE42F5">
        <w:t>delivering</w:t>
      </w:r>
      <w:r w:rsidR="00FD6933">
        <w:t xml:space="preserve"> </w:t>
      </w:r>
      <w:r>
        <w:t xml:space="preserve">essential medicines </w:t>
      </w:r>
      <w:r w:rsidRPr="00417959">
        <w:t>to approximately 2000 health facilities</w:t>
      </w:r>
      <w:r>
        <w:t xml:space="preserve">, </w:t>
      </w:r>
      <w:r w:rsidR="00947B07">
        <w:t xml:space="preserve">delivering </w:t>
      </w:r>
      <w:r>
        <w:t>almost 20</w:t>
      </w:r>
      <w:r w:rsidR="00B304D5">
        <w:t xml:space="preserve"> </w:t>
      </w:r>
      <w:r>
        <w:t xml:space="preserve">000 </w:t>
      </w:r>
      <w:r w:rsidRPr="00417959">
        <w:t xml:space="preserve">supervised </w:t>
      </w:r>
      <w:r>
        <w:t>births</w:t>
      </w:r>
      <w:r w:rsidRPr="006B2A7F">
        <w:t xml:space="preserve">, </w:t>
      </w:r>
      <w:r w:rsidR="00FD6933">
        <w:t>increas</w:t>
      </w:r>
      <w:r w:rsidR="00947B07">
        <w:t>ing</w:t>
      </w:r>
      <w:r w:rsidR="00FD6933">
        <w:t xml:space="preserve"> levels of child immunisations</w:t>
      </w:r>
      <w:r w:rsidRPr="006B2A7F">
        <w:t xml:space="preserve">, </w:t>
      </w:r>
      <w:r w:rsidR="00FD6933">
        <w:t>and reduc</w:t>
      </w:r>
      <w:r w:rsidR="00947B07">
        <w:t xml:space="preserve">ing </w:t>
      </w:r>
      <w:r w:rsidR="00FD6933">
        <w:t>the</w:t>
      </w:r>
      <w:r w:rsidRPr="006B2A7F">
        <w:t xml:space="preserve"> spread of communicable diseases such as </w:t>
      </w:r>
      <w:r w:rsidR="00FD6933">
        <w:t>t</w:t>
      </w:r>
      <w:r w:rsidR="00984875">
        <w:t>uberculosis (TB)</w:t>
      </w:r>
      <w:r w:rsidRPr="006B2A7F">
        <w:t>, malaria and HIV</w:t>
      </w:r>
      <w:r w:rsidR="00A03F65">
        <w:t xml:space="preserve">. </w:t>
      </w:r>
      <w:r w:rsidR="00926627">
        <w:t>While t</w:t>
      </w:r>
      <w:r w:rsidR="00A03F65">
        <w:t xml:space="preserve">he PNG Government increased </w:t>
      </w:r>
      <w:r w:rsidRPr="00ED59DE">
        <w:t>funding to the health sector</w:t>
      </w:r>
      <w:r>
        <w:t xml:space="preserve">, </w:t>
      </w:r>
      <w:r w:rsidR="00A03F65">
        <w:t>some important areas remain</w:t>
      </w:r>
      <w:r w:rsidRPr="00ED59DE">
        <w:t xml:space="preserve"> underfunded, such as the health workforce and </w:t>
      </w:r>
      <w:r w:rsidR="00984875">
        <w:t>TB</w:t>
      </w:r>
      <w:r w:rsidRPr="00ED59DE">
        <w:t xml:space="preserve">. </w:t>
      </w:r>
      <w:r w:rsidR="00E85337" w:rsidRPr="004161A9">
        <w:t xml:space="preserve">The </w:t>
      </w:r>
      <w:bookmarkStart w:id="1" w:name="OLE_LINK1"/>
      <w:bookmarkStart w:id="2" w:name="OLE_LINK2"/>
      <w:r w:rsidR="00E85337" w:rsidRPr="004161A9">
        <w:t>World Health Organi</w:t>
      </w:r>
      <w:r w:rsidR="004400A6">
        <w:t>z</w:t>
      </w:r>
      <w:r w:rsidR="00E85337" w:rsidRPr="004161A9">
        <w:t>ation (WHO)</w:t>
      </w:r>
      <w:bookmarkEnd w:id="1"/>
      <w:bookmarkEnd w:id="2"/>
      <w:r w:rsidR="00E85337" w:rsidRPr="004161A9">
        <w:t xml:space="preserve"> says the best approach to combat</w:t>
      </w:r>
      <w:r w:rsidR="00926627">
        <w:t>ting</w:t>
      </w:r>
      <w:r w:rsidR="00E85337" w:rsidRPr="004161A9">
        <w:t xml:space="preserve"> TB is to detect cases early and treat people daily in their own communities</w:t>
      </w:r>
      <w:r w:rsidR="00A6598C" w:rsidRPr="004161A9">
        <w:t>.</w:t>
      </w:r>
      <w:r w:rsidR="00E85337" w:rsidRPr="004161A9">
        <w:t xml:space="preserve"> Aus</w:t>
      </w:r>
      <w:r w:rsidR="00A6598C" w:rsidRPr="004161A9">
        <w:t>tralia</w:t>
      </w:r>
      <w:r w:rsidR="00E85337" w:rsidRPr="004161A9">
        <w:t>’s strategy has been endorsed by TB experts including the WHO, Australia’s Chief Medical Officer</w:t>
      </w:r>
      <w:r w:rsidR="007F51C5">
        <w:t>,</w:t>
      </w:r>
      <w:r w:rsidR="00E85337" w:rsidRPr="004161A9">
        <w:t xml:space="preserve"> Queensland’s Chief Health Officer and an independent expert.</w:t>
      </w:r>
      <w:r w:rsidR="00A6598C" w:rsidRPr="004161A9">
        <w:t xml:space="preserve"> The program has demonstrated some good results</w:t>
      </w:r>
      <w:r w:rsidR="007F51C5">
        <w:t>, including</w:t>
      </w:r>
      <w:r w:rsidR="00926627">
        <w:t xml:space="preserve"> </w:t>
      </w:r>
      <w:r w:rsidR="00926627">
        <w:lastRenderedPageBreak/>
        <w:t>reducing</w:t>
      </w:r>
      <w:r w:rsidR="00E85337" w:rsidRPr="004161A9">
        <w:t xml:space="preserve"> deaths of patients at Daru Hospital as a consequence of drug</w:t>
      </w:r>
      <w:r w:rsidR="00AD26CA">
        <w:t>-</w:t>
      </w:r>
      <w:r w:rsidR="00E85337" w:rsidRPr="004161A9">
        <w:t>resistant TB by 75 per cent in 2012.</w:t>
      </w:r>
      <w:r w:rsidR="00770DA3">
        <w:t xml:space="preserve"> </w:t>
      </w:r>
      <w:r w:rsidR="00770DA3" w:rsidRPr="00A6598C">
        <w:t>The PNG Government has committed to</w:t>
      </w:r>
      <w:r w:rsidR="00770DA3" w:rsidRPr="00C303C0">
        <w:t xml:space="preserve">, but not yet fully implemented, medical supplies </w:t>
      </w:r>
      <w:r w:rsidR="00770DA3" w:rsidRPr="00770DA3">
        <w:t>procurement reform</w:t>
      </w:r>
      <w:r w:rsidR="00770DA3" w:rsidRPr="00232839">
        <w:t>s which are vital to the effective functioning of health services.</w:t>
      </w:r>
    </w:p>
    <w:p w14:paraId="0B70F4C1" w14:textId="77777777" w:rsidR="008934B0" w:rsidRPr="00ED59DE" w:rsidRDefault="008934B0" w:rsidP="008E0AE1">
      <w:pPr>
        <w:pStyle w:val="ListBullet"/>
      </w:pPr>
      <w:r>
        <w:t xml:space="preserve">The </w:t>
      </w:r>
      <w:r w:rsidRPr="00E53464">
        <w:t>Education Program has</w:t>
      </w:r>
      <w:r>
        <w:t xml:space="preserve"> made some progress, including</w:t>
      </w:r>
      <w:r w:rsidR="00ED3936">
        <w:t xml:space="preserve"> contributing</w:t>
      </w:r>
      <w:r>
        <w:t xml:space="preserve"> support</w:t>
      </w:r>
      <w:r w:rsidR="00ED3936">
        <w:t xml:space="preserve"> funds to</w:t>
      </w:r>
      <w:r>
        <w:t xml:space="preserve"> the PNG Government’s c</w:t>
      </w:r>
      <w:r w:rsidR="00984875">
        <w:t>ommitment t</w:t>
      </w:r>
      <w:r w:rsidR="00A03F65">
        <w:t>o fee-free education, and</w:t>
      </w:r>
      <w:r w:rsidR="00984875">
        <w:t xml:space="preserve"> </w:t>
      </w:r>
      <w:r>
        <w:t>building</w:t>
      </w:r>
      <w:r w:rsidR="00984875">
        <w:t xml:space="preserve"> infrastructure that has resulted in 6400 children attending </w:t>
      </w:r>
      <w:r w:rsidR="00890BC4">
        <w:t xml:space="preserve">school in </w:t>
      </w:r>
      <w:r w:rsidR="00984875">
        <w:t>new classrooms</w:t>
      </w:r>
      <w:r w:rsidR="0041638B">
        <w:t xml:space="preserve">. </w:t>
      </w:r>
      <w:r w:rsidRPr="00ED59DE">
        <w:t>The PNG Government has prioriti</w:t>
      </w:r>
      <w:r w:rsidR="00A03F65">
        <w:t xml:space="preserve">sed education reform, </w:t>
      </w:r>
      <w:r w:rsidRPr="00ED59DE">
        <w:t xml:space="preserve">demonstrated by its funding of free universal basic education. </w:t>
      </w:r>
      <w:r>
        <w:t>H</w:t>
      </w:r>
      <w:r w:rsidR="00A03F65">
        <w:t>owever, the sudden announcement</w:t>
      </w:r>
      <w:r>
        <w:t xml:space="preserve"> of the</w:t>
      </w:r>
      <w:r w:rsidR="006A6363">
        <w:t>se</w:t>
      </w:r>
      <w:r>
        <w:t xml:space="preserve"> reforms in 2011 </w:t>
      </w:r>
      <w:r w:rsidR="00A03F65">
        <w:t>was followed by</w:t>
      </w:r>
      <w:r>
        <w:t xml:space="preserve"> slow implementation, with schools unprepared for the large increase in school enrolments and a lag</w:t>
      </w:r>
      <w:r w:rsidR="00A03F65">
        <w:t xml:space="preserve"> </w:t>
      </w:r>
      <w:r>
        <w:t>between enrolments</w:t>
      </w:r>
      <w:r w:rsidR="00A03F65">
        <w:t xml:space="preserve"> increasing</w:t>
      </w:r>
      <w:r>
        <w:t xml:space="preserve"> and subsidies</w:t>
      </w:r>
      <w:r w:rsidR="00A03F65">
        <w:t xml:space="preserve"> flowing</w:t>
      </w:r>
      <w:r w:rsidR="0041638B">
        <w:t xml:space="preserve">. </w:t>
      </w:r>
      <w:r>
        <w:t xml:space="preserve">Schools remain constrained by </w:t>
      </w:r>
      <w:r w:rsidR="00A9457D">
        <w:t>ongoing</w:t>
      </w:r>
      <w:r>
        <w:t xml:space="preserve"> debate over</w:t>
      </w:r>
      <w:r w:rsidR="00A9457D">
        <w:t xml:space="preserve"> the national curriculum and a</w:t>
      </w:r>
      <w:r>
        <w:t xml:space="preserve"> critical lack of well</w:t>
      </w:r>
      <w:r w:rsidR="006A6363">
        <w:t>-</w:t>
      </w:r>
      <w:r>
        <w:t xml:space="preserve">trained teachers. </w:t>
      </w:r>
      <w:r w:rsidR="00732031">
        <w:t xml:space="preserve">This presents a significant challenge to raising </w:t>
      </w:r>
      <w:r w:rsidR="006A6363">
        <w:t xml:space="preserve">education </w:t>
      </w:r>
      <w:r>
        <w:t xml:space="preserve">quality. </w:t>
      </w:r>
      <w:r w:rsidR="00CF557D">
        <w:t>O</w:t>
      </w:r>
      <w:r w:rsidR="00770DA3">
        <w:t xml:space="preserve">nce decided, curriculum reform will </w:t>
      </w:r>
      <w:r w:rsidR="00873C3C">
        <w:t xml:space="preserve">be </w:t>
      </w:r>
      <w:r w:rsidR="00770DA3">
        <w:t>a long</w:t>
      </w:r>
      <w:r w:rsidR="006A6363">
        <w:t>-</w:t>
      </w:r>
      <w:r w:rsidR="00770DA3">
        <w:t>term undertaking.</w:t>
      </w:r>
      <w:r>
        <w:t xml:space="preserve"> With </w:t>
      </w:r>
      <w:r w:rsidR="00A9457D">
        <w:t xml:space="preserve">extremely </w:t>
      </w:r>
      <w:r>
        <w:t xml:space="preserve">low literacy levels across PNG, improving </w:t>
      </w:r>
      <w:r w:rsidR="00984875">
        <w:t xml:space="preserve">education </w:t>
      </w:r>
      <w:r>
        <w:t xml:space="preserve">quality </w:t>
      </w:r>
      <w:r w:rsidR="00A9457D">
        <w:t>remains a key partnership priority</w:t>
      </w:r>
      <w:r w:rsidR="0041638B">
        <w:t xml:space="preserve">. </w:t>
      </w:r>
      <w:r w:rsidRPr="00ED59DE">
        <w:t>PNG did not increase its investment in higher education, so Australian funding</w:t>
      </w:r>
      <w:r w:rsidR="005A061B">
        <w:t xml:space="preserve"> </w:t>
      </w:r>
      <w:r w:rsidRPr="00ED59DE">
        <w:t>for tertiary education under the kina-for-kina agreement was not activated.</w:t>
      </w:r>
    </w:p>
    <w:p w14:paraId="0B70F4C2" w14:textId="77777777" w:rsidR="008934B0" w:rsidRPr="00ED59DE" w:rsidRDefault="006A6363" w:rsidP="008E0AE1">
      <w:pPr>
        <w:pStyle w:val="ListBullet"/>
      </w:pPr>
      <w:r>
        <w:t xml:space="preserve">The </w:t>
      </w:r>
      <w:r w:rsidR="008A4C53">
        <w:t>Law and Justice Program</w:t>
      </w:r>
      <w:r w:rsidR="003B181B">
        <w:t xml:space="preserve"> </w:t>
      </w:r>
      <w:r w:rsidR="003B181B" w:rsidRPr="00376AAE">
        <w:t xml:space="preserve">saw </w:t>
      </w:r>
      <w:r w:rsidR="003B181B" w:rsidRPr="001B2B81">
        <w:t>progress on</w:t>
      </w:r>
      <w:r w:rsidR="003B181B" w:rsidRPr="00D3387F">
        <w:t xml:space="preserve"> strengthen</w:t>
      </w:r>
      <w:r w:rsidR="003B181B" w:rsidRPr="00956864">
        <w:t>ing th</w:t>
      </w:r>
      <w:r w:rsidR="00376AAE" w:rsidRPr="008A4C53">
        <w:t>e police</w:t>
      </w:r>
      <w:r w:rsidR="003B181B" w:rsidRPr="00376AAE">
        <w:t xml:space="preserve"> force</w:t>
      </w:r>
      <w:r w:rsidRPr="001B2B81">
        <w:t xml:space="preserve"> and servicing victims of family and sexual violence</w:t>
      </w:r>
      <w:r w:rsidR="00263C33" w:rsidRPr="00D3387F">
        <w:t xml:space="preserve"> (FSV)</w:t>
      </w:r>
      <w:r w:rsidR="00CE42F5" w:rsidRPr="00376AAE">
        <w:t xml:space="preserve">. </w:t>
      </w:r>
      <w:r w:rsidR="005A52E5" w:rsidRPr="00376AAE">
        <w:t xml:space="preserve">Law and justice agencies, supported by Australia, </w:t>
      </w:r>
      <w:r w:rsidR="004540C0">
        <w:t>have made</w:t>
      </w:r>
      <w:r w:rsidR="005A52E5" w:rsidRPr="00376AAE">
        <w:t xml:space="preserve"> improvements in processes, systems and skills</w:t>
      </w:r>
      <w:r w:rsidR="0041638B" w:rsidRPr="00376AAE">
        <w:t xml:space="preserve">. </w:t>
      </w:r>
      <w:r w:rsidR="002B3F58" w:rsidRPr="00376AAE">
        <w:t>The stability of the national</w:t>
      </w:r>
      <w:r w:rsidR="002B3F58">
        <w:t xml:space="preserve"> elections also demonstrated PNG’s ability to manage law and order. </w:t>
      </w:r>
      <w:r w:rsidR="005A52E5">
        <w:t>However, across the</w:t>
      </w:r>
      <w:r>
        <w:t xml:space="preserve"> law and justice</w:t>
      </w:r>
      <w:r w:rsidR="005A52E5">
        <w:t xml:space="preserve"> sector</w:t>
      </w:r>
      <w:r w:rsidR="00B4432B">
        <w:t>,</w:t>
      </w:r>
      <w:r w:rsidR="005A52E5">
        <w:t xml:space="preserve"> t</w:t>
      </w:r>
      <w:r w:rsidR="005A52E5" w:rsidRPr="00ED59DE">
        <w:t xml:space="preserve">here </w:t>
      </w:r>
      <w:r w:rsidR="00B4432B">
        <w:t>is</w:t>
      </w:r>
      <w:r w:rsidR="005A52E5">
        <w:t xml:space="preserve"> little </w:t>
      </w:r>
      <w:r w:rsidR="005A52E5" w:rsidRPr="00ED59DE">
        <w:t xml:space="preserve">evidence of </w:t>
      </w:r>
      <w:r w:rsidR="002B3F58">
        <w:t xml:space="preserve">significant and sustainable </w:t>
      </w:r>
      <w:r w:rsidR="005A52E5" w:rsidRPr="00ED59DE">
        <w:t xml:space="preserve">improvements </w:t>
      </w:r>
      <w:r w:rsidR="005A52E5">
        <w:t xml:space="preserve">in </w:t>
      </w:r>
      <w:r w:rsidR="005A52E5" w:rsidRPr="00ED59DE">
        <w:t xml:space="preserve">PNG’s ability to deal with </w:t>
      </w:r>
      <w:r w:rsidR="005A52E5">
        <w:t xml:space="preserve">generalised poor </w:t>
      </w:r>
      <w:r w:rsidR="005A52E5" w:rsidRPr="00ED59DE">
        <w:t xml:space="preserve">security, high crime levels, </w:t>
      </w:r>
      <w:r w:rsidR="002B3F58">
        <w:t xml:space="preserve">transnational crime, </w:t>
      </w:r>
      <w:r w:rsidR="005A52E5" w:rsidRPr="00ED59DE">
        <w:t>corruption</w:t>
      </w:r>
      <w:r w:rsidR="005A52E5">
        <w:t>,</w:t>
      </w:r>
      <w:r w:rsidR="005A52E5" w:rsidRPr="00ED59DE">
        <w:t xml:space="preserve"> and violence against women</w:t>
      </w:r>
      <w:r w:rsidR="005A52E5">
        <w:t>, tragically evidenced by ongoing high levels of violence, including sorcery-related violence</w:t>
      </w:r>
      <w:r w:rsidR="00E32D5F">
        <w:t>.</w:t>
      </w:r>
      <w:r w:rsidR="008934B0">
        <w:t xml:space="preserve"> </w:t>
      </w:r>
      <w:r w:rsidR="00E32D5F">
        <w:t>T</w:t>
      </w:r>
      <w:r w:rsidR="008934B0" w:rsidRPr="00ED59DE">
        <w:t xml:space="preserve">he PNG Government has </w:t>
      </w:r>
      <w:r w:rsidR="008934B0">
        <w:t>indicated</w:t>
      </w:r>
      <w:r w:rsidR="00E32D5F">
        <w:t xml:space="preserve"> ongoing</w:t>
      </w:r>
      <w:r w:rsidR="008934B0" w:rsidRPr="00ED59DE">
        <w:t xml:space="preserve"> commitment to law and justice priorities</w:t>
      </w:r>
      <w:r w:rsidR="008934B0">
        <w:t xml:space="preserve"> through </w:t>
      </w:r>
      <w:r w:rsidR="008934B0" w:rsidRPr="00CF244D">
        <w:t>additional funding for the RPNGC</w:t>
      </w:r>
      <w:r w:rsidR="002B3F58">
        <w:t xml:space="preserve"> announced in February 2012</w:t>
      </w:r>
      <w:r w:rsidR="00B304D5">
        <w:t>—</w:t>
      </w:r>
      <w:r w:rsidR="008934B0" w:rsidRPr="00CF244D">
        <w:t>a 78 per cent increase in funding for village courts in the 2013 Budget</w:t>
      </w:r>
      <w:r w:rsidR="00B304D5">
        <w:t>—</w:t>
      </w:r>
      <w:r w:rsidR="00E32D5F">
        <w:t>and anti-corruption reforms</w:t>
      </w:r>
      <w:r w:rsidR="008934B0">
        <w:t>.</w:t>
      </w:r>
      <w:r w:rsidR="008934B0" w:rsidRPr="00ED59DE">
        <w:rPr>
          <w:rStyle w:val="FootnoteReference"/>
        </w:rPr>
        <w:footnoteReference w:id="4"/>
      </w:r>
      <w:r w:rsidR="008934B0" w:rsidRPr="00ED59DE">
        <w:t xml:space="preserve"> </w:t>
      </w:r>
    </w:p>
    <w:p w14:paraId="0B70F4C3" w14:textId="77777777" w:rsidR="008934B0" w:rsidRPr="00ED59DE" w:rsidRDefault="00E32D5F" w:rsidP="008E0AE1">
      <w:pPr>
        <w:pStyle w:val="ListBullet"/>
      </w:pPr>
      <w:r>
        <w:t>The PNG Government</w:t>
      </w:r>
      <w:r w:rsidR="008934B0" w:rsidRPr="00ED59DE">
        <w:t xml:space="preserve"> significantly increased its </w:t>
      </w:r>
      <w:r w:rsidR="008934B0">
        <w:t xml:space="preserve">appropriations for </w:t>
      </w:r>
      <w:r w:rsidR="008934B0" w:rsidRPr="00ED59DE">
        <w:t>new infrastructure</w:t>
      </w:r>
      <w:r>
        <w:t>,</w:t>
      </w:r>
      <w:r w:rsidR="00CE42F5">
        <w:t xml:space="preserve"> but institutional capacity for</w:t>
      </w:r>
      <w:r w:rsidR="008934B0" w:rsidRPr="00ED59DE">
        <w:t xml:space="preserve"> </w:t>
      </w:r>
      <w:r w:rsidR="00682345" w:rsidRPr="00ED59DE">
        <w:t>implement</w:t>
      </w:r>
      <w:r w:rsidR="00682345">
        <w:t>ation</w:t>
      </w:r>
      <w:r w:rsidR="008934B0" w:rsidRPr="00ED59DE">
        <w:t xml:space="preserve"> is limited, and development budget increases have not been matched by recurrent budget increases for maintenance</w:t>
      </w:r>
      <w:r w:rsidR="0041638B">
        <w:t xml:space="preserve">. </w:t>
      </w:r>
      <w:r>
        <w:t xml:space="preserve">However, </w:t>
      </w:r>
      <w:r w:rsidR="008934B0">
        <w:t xml:space="preserve">PNG and </w:t>
      </w:r>
      <w:r w:rsidR="008934B0" w:rsidRPr="00602E52">
        <w:t xml:space="preserve">Australia </w:t>
      </w:r>
      <w:r w:rsidR="008934B0">
        <w:t>are on track to meet the</w:t>
      </w:r>
      <w:r w:rsidR="008934B0" w:rsidRPr="00602E52">
        <w:t xml:space="preserve"> Partnership for Development target of</w:t>
      </w:r>
      <w:r>
        <w:t xml:space="preserve"> ensuring</w:t>
      </w:r>
      <w:r w:rsidR="008934B0" w:rsidRPr="00602E52">
        <w:t xml:space="preserve"> 75</w:t>
      </w:r>
      <w:r w:rsidR="00B76E9D">
        <w:t xml:space="preserve"> per cent</w:t>
      </w:r>
      <w:r w:rsidR="008934B0" w:rsidRPr="00602E52">
        <w:t xml:space="preserve"> of 16 priority national roads</w:t>
      </w:r>
      <w:r>
        <w:t xml:space="preserve"> are</w:t>
      </w:r>
      <w:r w:rsidR="008934B0" w:rsidRPr="00602E52">
        <w:t xml:space="preserve"> in good condition by 2015.</w:t>
      </w:r>
    </w:p>
    <w:p w14:paraId="0B70F4C4" w14:textId="77777777" w:rsidR="008934B0" w:rsidRPr="00EE5A66" w:rsidRDefault="004E656C" w:rsidP="008E0AE1">
      <w:pPr>
        <w:pStyle w:val="ListBullet"/>
      </w:pPr>
      <w:r w:rsidRPr="00EE5A66">
        <w:t xml:space="preserve">Gender is </w:t>
      </w:r>
      <w:r w:rsidR="008934B0" w:rsidRPr="00EE5A66">
        <w:t xml:space="preserve">tracking poorly against </w:t>
      </w:r>
      <w:r w:rsidR="00783F3C" w:rsidRPr="00EE5A66">
        <w:t>most</w:t>
      </w:r>
      <w:r w:rsidR="008934B0" w:rsidRPr="00EE5A66">
        <w:t xml:space="preserve"> indicators</w:t>
      </w:r>
      <w:r w:rsidRPr="00EE5A66">
        <w:t>. While t</w:t>
      </w:r>
      <w:r w:rsidR="008934B0" w:rsidRPr="00EE5A66">
        <w:t xml:space="preserve">hree women </w:t>
      </w:r>
      <w:r w:rsidRPr="00EE5A66">
        <w:t xml:space="preserve">were elected </w:t>
      </w:r>
      <w:r w:rsidR="008934B0" w:rsidRPr="00EE5A66">
        <w:t>to Parliament</w:t>
      </w:r>
      <w:r w:rsidRPr="00EE5A66">
        <w:t xml:space="preserve"> in 2012</w:t>
      </w:r>
      <w:r w:rsidR="008934B0" w:rsidRPr="00EE5A66">
        <w:t xml:space="preserve">, the bid for 22 </w:t>
      </w:r>
      <w:r w:rsidR="00984875" w:rsidRPr="00EE5A66">
        <w:t>designated</w:t>
      </w:r>
      <w:r w:rsidR="008934B0" w:rsidRPr="00EE5A66">
        <w:t xml:space="preserve"> seats</w:t>
      </w:r>
      <w:r w:rsidR="00984875" w:rsidRPr="00EE5A66">
        <w:t xml:space="preserve"> for women</w:t>
      </w:r>
      <w:r w:rsidR="008934B0" w:rsidRPr="00EE5A66">
        <w:t xml:space="preserve"> stalled. Australia and PNG have made little progress on gender equality issues, except for some success increasing access to justice services for victims of FSV.</w:t>
      </w:r>
      <w:r w:rsidR="00783F3C" w:rsidRPr="00EE5A66">
        <w:t xml:space="preserve"> Elementary enrolment rates have met the target </w:t>
      </w:r>
      <w:r w:rsidR="00EE5A66">
        <w:t>g</w:t>
      </w:r>
      <w:r w:rsidR="00783F3C" w:rsidRPr="00EE5A66">
        <w:t xml:space="preserve">ender </w:t>
      </w:r>
      <w:r w:rsidR="00EE5A66">
        <w:t>p</w:t>
      </w:r>
      <w:r w:rsidR="00783F3C" w:rsidRPr="00EE5A66">
        <w:t xml:space="preserve">arity </w:t>
      </w:r>
      <w:r w:rsidR="00EE5A66">
        <w:t>i</w:t>
      </w:r>
      <w:r w:rsidR="00783F3C" w:rsidRPr="00EE5A66">
        <w:t xml:space="preserve">ndex of 0.97, while </w:t>
      </w:r>
      <w:r w:rsidR="00370A60">
        <w:t>p</w:t>
      </w:r>
      <w:r w:rsidR="00783F3C" w:rsidRPr="00EE5A66">
        <w:t>rimary education</w:t>
      </w:r>
      <w:r w:rsidR="00EE5A66">
        <w:t xml:space="preserve"> is</w:t>
      </w:r>
      <w:r w:rsidR="00783F3C" w:rsidRPr="00EE5A66">
        <w:t xml:space="preserve"> behind at 0.87, </w:t>
      </w:r>
      <w:r w:rsidR="00370A60">
        <w:t>s</w:t>
      </w:r>
      <w:r w:rsidR="00783F3C" w:rsidRPr="00EE5A66">
        <w:t xml:space="preserve">econdary level at 0.78 and </w:t>
      </w:r>
      <w:r w:rsidR="00370A60">
        <w:t>t</w:t>
      </w:r>
      <w:r w:rsidR="00783F3C" w:rsidRPr="00EE5A66">
        <w:t>ertiary at 0.70.</w:t>
      </w:r>
    </w:p>
    <w:p w14:paraId="0B70F4C5" w14:textId="77777777" w:rsidR="008934B0" w:rsidRPr="000312D6" w:rsidRDefault="00EE5A66" w:rsidP="008E0AE1">
      <w:pPr>
        <w:pStyle w:val="ListBullet"/>
      </w:pPr>
      <w:r>
        <w:t>The</w:t>
      </w:r>
      <w:r w:rsidR="008934B0" w:rsidRPr="007F7092">
        <w:t xml:space="preserve"> Framework for Australian Aid to the Autonomous Region of Bougainville 2013</w:t>
      </w:r>
      <w:r w:rsidR="00B304D5">
        <w:t>–</w:t>
      </w:r>
      <w:r w:rsidR="008934B0" w:rsidRPr="007F7092">
        <w:t>15 (Bougainville Aid Framework) was developed</w:t>
      </w:r>
      <w:r w:rsidR="003028E3">
        <w:t>, in consultation with the national and Bougainville governments,</w:t>
      </w:r>
      <w:r>
        <w:t xml:space="preserve"> </w:t>
      </w:r>
      <w:r w:rsidR="001A5981">
        <w:t>to improve program</w:t>
      </w:r>
      <w:r w:rsidR="008934B0" w:rsidRPr="000312D6">
        <w:t xml:space="preserve"> cohe</w:t>
      </w:r>
      <w:r w:rsidR="008934B0">
        <w:t xml:space="preserve">rence and </w:t>
      </w:r>
      <w:r w:rsidR="001A5981">
        <w:t>effectiveness</w:t>
      </w:r>
      <w:r w:rsidR="008934B0">
        <w:t>.</w:t>
      </w:r>
      <w:r w:rsidR="00F47983" w:rsidRPr="000312D6">
        <w:t xml:space="preserve"> </w:t>
      </w:r>
    </w:p>
    <w:p w14:paraId="0B70F4C6" w14:textId="77777777" w:rsidR="001319E8" w:rsidRDefault="008934B0" w:rsidP="008E0AE1">
      <w:pPr>
        <w:pStyle w:val="ListBullet"/>
      </w:pPr>
      <w:r w:rsidRPr="007F7092">
        <w:t>Governance programs struggle</w:t>
      </w:r>
      <w:r>
        <w:t>d</w:t>
      </w:r>
      <w:r w:rsidRPr="007F7092">
        <w:t xml:space="preserve"> to demonstrate evidence of progress at the macro level with continued low capacit</w:t>
      </w:r>
      <w:r w:rsidR="000A5FC6">
        <w:t>y within g</w:t>
      </w:r>
      <w:r w:rsidRPr="007F7092">
        <w:t xml:space="preserve">overnment </w:t>
      </w:r>
      <w:r w:rsidR="00984875">
        <w:t>institutions</w:t>
      </w:r>
      <w:r w:rsidR="000A5FC6">
        <w:t xml:space="preserve"> despite substantial </w:t>
      </w:r>
      <w:r w:rsidRPr="007F7092">
        <w:t xml:space="preserve">support. Australia will </w:t>
      </w:r>
      <w:r w:rsidR="00CE42F5">
        <w:t>modify</w:t>
      </w:r>
      <w:r w:rsidRPr="007F7092">
        <w:t xml:space="preserve"> its </w:t>
      </w:r>
      <w:r w:rsidR="00C44321">
        <w:t>strategy</w:t>
      </w:r>
      <w:r w:rsidR="00C44321" w:rsidRPr="007F7092">
        <w:t xml:space="preserve"> </w:t>
      </w:r>
      <w:r w:rsidR="00ED3936">
        <w:t>on</w:t>
      </w:r>
      <w:r w:rsidRPr="007F7092">
        <w:t xml:space="preserve"> </w:t>
      </w:r>
      <w:r w:rsidR="00C44321" w:rsidRPr="007F7092">
        <w:t>governance</w:t>
      </w:r>
      <w:r w:rsidR="00C44321">
        <w:t xml:space="preserve"> </w:t>
      </w:r>
      <w:r w:rsidRPr="007F7092">
        <w:t xml:space="preserve">to be more </w:t>
      </w:r>
      <w:r w:rsidR="00212E7D">
        <w:t>effective and targeted o</w:t>
      </w:r>
      <w:r w:rsidRPr="007F7092">
        <w:t xml:space="preserve">n </w:t>
      </w:r>
      <w:r w:rsidRPr="007F7092">
        <w:lastRenderedPageBreak/>
        <w:t>service delivery blockag</w:t>
      </w:r>
      <w:r w:rsidR="00212E7D">
        <w:t>es</w:t>
      </w:r>
      <w:r w:rsidRPr="007F7092">
        <w:t xml:space="preserve">. </w:t>
      </w:r>
      <w:r w:rsidR="001319E8">
        <w:t>Th</w:t>
      </w:r>
      <w:r w:rsidR="00C44321">
        <w:t xml:space="preserve">is </w:t>
      </w:r>
      <w:r w:rsidR="001319E8">
        <w:t xml:space="preserve">will </w:t>
      </w:r>
      <w:r w:rsidR="00873C3C">
        <w:t xml:space="preserve">include a </w:t>
      </w:r>
      <w:r w:rsidR="001319E8">
        <w:t xml:space="preserve">focus on working beyond </w:t>
      </w:r>
      <w:r w:rsidR="00867C09">
        <w:t xml:space="preserve">central </w:t>
      </w:r>
      <w:r w:rsidR="001319E8">
        <w:t>government, with civil society and other non-state actors.</w:t>
      </w:r>
    </w:p>
    <w:p w14:paraId="0B70F4C7" w14:textId="77777777" w:rsidR="008934B0" w:rsidRPr="007F7092" w:rsidRDefault="00EE5A66" w:rsidP="008E0AE1">
      <w:pPr>
        <w:pStyle w:val="ListBullet"/>
      </w:pPr>
      <w:r>
        <w:t>Data on development outcomes continued to be a significant challenge, d</w:t>
      </w:r>
      <w:r w:rsidR="0047183D">
        <w:t>espite recognition by Australia and PNG of the value of statistics to evidence-based policy</w:t>
      </w:r>
      <w:r w:rsidR="00477514">
        <w:t xml:space="preserve">. </w:t>
      </w:r>
      <w:r w:rsidR="008934B0" w:rsidRPr="007F7092">
        <w:t xml:space="preserve"> </w:t>
      </w:r>
    </w:p>
    <w:p w14:paraId="0B70F4C8" w14:textId="77777777" w:rsidR="00A0186E" w:rsidRPr="004161A9" w:rsidRDefault="00A0186E" w:rsidP="008E0AE1">
      <w:pPr>
        <w:pStyle w:val="BodyText"/>
      </w:pPr>
      <w:r w:rsidRPr="004161A9">
        <w:t xml:space="preserve">The ratings </w:t>
      </w:r>
      <w:r w:rsidR="00C44321">
        <w:t>in Table 1</w:t>
      </w:r>
      <w:r w:rsidR="00C44321" w:rsidRPr="004161A9">
        <w:t xml:space="preserve"> </w:t>
      </w:r>
      <w:r w:rsidR="00C44321">
        <w:t>indicate</w:t>
      </w:r>
      <w:r w:rsidRPr="004161A9">
        <w:t xml:space="preserve"> the</w:t>
      </w:r>
      <w:r w:rsidR="00C44321">
        <w:t xml:space="preserve"> Australia – PNG</w:t>
      </w:r>
      <w:r w:rsidRPr="004161A9">
        <w:t xml:space="preserve"> program’s </w:t>
      </w:r>
      <w:r w:rsidR="00ED3936">
        <w:t xml:space="preserve">overall </w:t>
      </w:r>
      <w:r w:rsidRPr="004161A9">
        <w:t xml:space="preserve">progress against joint objectives, not the progress of </w:t>
      </w:r>
      <w:r w:rsidR="00ED3936">
        <w:t xml:space="preserve">each </w:t>
      </w:r>
      <w:r w:rsidRPr="004161A9">
        <w:t xml:space="preserve">sector. </w:t>
      </w:r>
    </w:p>
    <w:p w14:paraId="0B70F4C9" w14:textId="6B7BD11D" w:rsidR="00A0186E" w:rsidRPr="004161A9" w:rsidRDefault="00A0186E" w:rsidP="001E7728">
      <w:pPr>
        <w:pStyle w:val="Caption"/>
      </w:pPr>
      <w:r w:rsidRPr="004161A9">
        <w:t xml:space="preserve">Table </w:t>
      </w:r>
      <w:r w:rsidR="00087412">
        <w:fldChar w:fldCharType="begin"/>
      </w:r>
      <w:r w:rsidR="00087412">
        <w:instrText xml:space="preserve"> S</w:instrText>
      </w:r>
      <w:r w:rsidR="00087412">
        <w:instrText xml:space="preserve">EQ Table \* ARABIC </w:instrText>
      </w:r>
      <w:r w:rsidR="00087412">
        <w:fldChar w:fldCharType="separate"/>
      </w:r>
      <w:r w:rsidR="00611E51">
        <w:rPr>
          <w:noProof/>
        </w:rPr>
        <w:t>1</w:t>
      </w:r>
      <w:r w:rsidR="00087412">
        <w:rPr>
          <w:noProof/>
        </w:rPr>
        <w:fldChar w:fldCharType="end"/>
      </w:r>
      <w:r w:rsidRPr="004161A9">
        <w:t xml:space="preserve"> Rating of the program's progress towards the objectives</w:t>
      </w:r>
    </w:p>
    <w:tbl>
      <w:tblPr>
        <w:tblStyle w:val="APPR"/>
        <w:tblW w:w="5000" w:type="pct"/>
        <w:tblLook w:val="0000" w:firstRow="0" w:lastRow="0" w:firstColumn="0" w:lastColumn="0" w:noHBand="0" w:noVBand="0"/>
      </w:tblPr>
      <w:tblGrid>
        <w:gridCol w:w="6426"/>
        <w:gridCol w:w="1057"/>
        <w:gridCol w:w="1123"/>
      </w:tblGrid>
      <w:tr w:rsidR="00352B18" w:rsidRPr="0019341B" w14:paraId="0B70F4CD" w14:textId="77777777" w:rsidTr="00352B18">
        <w:trPr>
          <w:trHeight w:val="651"/>
          <w:tblHeader w:val="0"/>
        </w:trPr>
        <w:tc>
          <w:tcPr>
            <w:tcW w:w="6029" w:type="dxa"/>
          </w:tcPr>
          <w:p w14:paraId="0B70F4CA" w14:textId="77777777" w:rsidR="00352B18" w:rsidRPr="0019341B" w:rsidRDefault="00352B18" w:rsidP="00B240D3">
            <w:pPr>
              <w:pStyle w:val="TableTextColumnHeading"/>
            </w:pPr>
            <w:r w:rsidRPr="0019341B">
              <w:rPr>
                <w:noProof/>
                <w:lang w:eastAsia="en-AU"/>
              </w:rPr>
              <w:drawing>
                <wp:anchor distT="0" distB="0" distL="114300" distR="114300" simplePos="0" relativeHeight="251699200" behindDoc="0" locked="0" layoutInCell="1" allowOverlap="1" wp14:anchorId="0B70FB7A" wp14:editId="0B70FB7B">
                  <wp:simplePos x="0" y="0"/>
                  <wp:positionH relativeFrom="column">
                    <wp:posOffset>0</wp:posOffset>
                  </wp:positionH>
                  <wp:positionV relativeFrom="paragraph">
                    <wp:posOffset>0</wp:posOffset>
                  </wp:positionV>
                  <wp:extent cx="1857375" cy="228600"/>
                  <wp:effectExtent l="0" t="0" r="9525" b="0"/>
                  <wp:wrapNone/>
                  <wp:docPr id="31" name="Picture 3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14:paraId="0B70F4CB" w14:textId="77777777" w:rsidR="00352B18" w:rsidRPr="0019341B" w:rsidRDefault="00352B18" w:rsidP="00B304D5">
            <w:pPr>
              <w:pStyle w:val="TableTextColumnHeading"/>
            </w:pPr>
            <w:r>
              <w:t>Current rating</w:t>
            </w:r>
          </w:p>
        </w:tc>
        <w:tc>
          <w:tcPr>
            <w:tcW w:w="1021" w:type="dxa"/>
          </w:tcPr>
          <w:p w14:paraId="0B70F4CC" w14:textId="77777777" w:rsidR="00352B18" w:rsidRPr="0019341B" w:rsidRDefault="00352B18" w:rsidP="00B304D5">
            <w:pPr>
              <w:pStyle w:val="TableTextColumnHeading"/>
            </w:pPr>
            <w:r>
              <w:t>Previous rating</w:t>
            </w:r>
          </w:p>
        </w:tc>
      </w:tr>
      <w:tr w:rsidR="00352B18" w:rsidRPr="009D53C4" w14:paraId="0B70F4D1" w14:textId="77777777" w:rsidTr="00352B18">
        <w:trPr>
          <w:cnfStyle w:val="000000010000" w:firstRow="0" w:lastRow="0" w:firstColumn="0" w:lastColumn="0" w:oddVBand="0" w:evenVBand="0" w:oddHBand="0" w:evenHBand="1" w:firstRowFirstColumn="0" w:firstRowLastColumn="0" w:lastRowFirstColumn="0" w:lastRowLastColumn="0"/>
          <w:tblHeader w:val="0"/>
        </w:trPr>
        <w:tc>
          <w:tcPr>
            <w:tcW w:w="6029" w:type="dxa"/>
          </w:tcPr>
          <w:p w14:paraId="0B70F4CE" w14:textId="77777777" w:rsidR="00352B18" w:rsidRPr="00352B18" w:rsidRDefault="00352B18" w:rsidP="00352B18">
            <w:pPr>
              <w:pStyle w:val="TableTextEntries"/>
            </w:pPr>
            <w:r w:rsidRPr="00352B18">
              <w:t>Improved health and HIV/AIDs outcomes</w:t>
            </w:r>
          </w:p>
        </w:tc>
        <w:tc>
          <w:tcPr>
            <w:tcW w:w="972" w:type="dxa"/>
            <w:shd w:val="clear" w:color="auto" w:fill="92D050"/>
            <w:noWrap/>
          </w:tcPr>
          <w:p w14:paraId="0B70F4CF" w14:textId="77777777" w:rsidR="00352B18" w:rsidRPr="00352B18" w:rsidRDefault="00352B18" w:rsidP="00352B18">
            <w:pPr>
              <w:pStyle w:val="TableTextEntries"/>
            </w:pPr>
            <w:r w:rsidRPr="00352B18">
              <w:t>Green</w:t>
            </w:r>
          </w:p>
        </w:tc>
        <w:tc>
          <w:tcPr>
            <w:tcW w:w="1021" w:type="dxa"/>
            <w:shd w:val="clear" w:color="auto" w:fill="F79646" w:themeFill="accent6"/>
            <w:noWrap/>
          </w:tcPr>
          <w:p w14:paraId="0B70F4D0" w14:textId="77777777" w:rsidR="00352B18" w:rsidRPr="00352B18" w:rsidRDefault="00352B18" w:rsidP="00352B18">
            <w:pPr>
              <w:pStyle w:val="TableTextEntries"/>
            </w:pPr>
            <w:r w:rsidRPr="00352B18">
              <w:t>Amber</w:t>
            </w:r>
          </w:p>
        </w:tc>
      </w:tr>
      <w:tr w:rsidR="00352B18" w:rsidRPr="009D53C4" w14:paraId="0B70F4D5" w14:textId="77777777" w:rsidTr="00352B18">
        <w:trPr>
          <w:trHeight w:val="285"/>
          <w:tblHeader w:val="0"/>
        </w:trPr>
        <w:tc>
          <w:tcPr>
            <w:tcW w:w="6029" w:type="dxa"/>
          </w:tcPr>
          <w:p w14:paraId="0B70F4D2" w14:textId="77777777" w:rsidR="00352B18" w:rsidRPr="00352B18" w:rsidRDefault="00352B18" w:rsidP="00352B18">
            <w:pPr>
              <w:pStyle w:val="TableTextEntries"/>
            </w:pPr>
            <w:r w:rsidRPr="00352B18">
              <w:t>Improved access to quality education</w:t>
            </w:r>
          </w:p>
        </w:tc>
        <w:tc>
          <w:tcPr>
            <w:tcW w:w="972" w:type="dxa"/>
            <w:shd w:val="clear" w:color="auto" w:fill="auto"/>
            <w:noWrap/>
          </w:tcPr>
          <w:p w14:paraId="0B70F4D3" w14:textId="77777777" w:rsidR="00352B18" w:rsidRPr="00352B18" w:rsidRDefault="00352B18" w:rsidP="00352B18">
            <w:pPr>
              <w:pStyle w:val="TableTextEntries"/>
            </w:pPr>
          </w:p>
        </w:tc>
        <w:tc>
          <w:tcPr>
            <w:tcW w:w="1021" w:type="dxa"/>
            <w:shd w:val="clear" w:color="auto" w:fill="auto"/>
            <w:noWrap/>
          </w:tcPr>
          <w:p w14:paraId="0B70F4D4" w14:textId="77777777" w:rsidR="00352B18" w:rsidRPr="00352B18" w:rsidRDefault="00352B18" w:rsidP="00352B18">
            <w:pPr>
              <w:pStyle w:val="TableTextEntries"/>
            </w:pPr>
          </w:p>
        </w:tc>
      </w:tr>
      <w:tr w:rsidR="00352B18" w:rsidRPr="009D53C4" w14:paraId="0B70F4D9" w14:textId="77777777" w:rsidTr="00352B18">
        <w:trPr>
          <w:cnfStyle w:val="000000010000" w:firstRow="0" w:lastRow="0" w:firstColumn="0" w:lastColumn="0" w:oddVBand="0" w:evenVBand="0" w:oddHBand="0" w:evenHBand="1" w:firstRowFirstColumn="0" w:firstRowLastColumn="0" w:lastRowFirstColumn="0" w:lastRowLastColumn="0"/>
          <w:trHeight w:val="228"/>
          <w:tblHeader w:val="0"/>
        </w:trPr>
        <w:tc>
          <w:tcPr>
            <w:tcW w:w="6029" w:type="dxa"/>
          </w:tcPr>
          <w:p w14:paraId="0B70F4D6" w14:textId="77777777" w:rsidR="00352B18" w:rsidRDefault="00352B18" w:rsidP="00352B18">
            <w:pPr>
              <w:pStyle w:val="TableListBullet"/>
            </w:pPr>
            <w:r>
              <w:t xml:space="preserve">improved access to </w:t>
            </w:r>
            <w:r w:rsidRPr="0022246F">
              <w:t xml:space="preserve">quality </w:t>
            </w:r>
            <w:r>
              <w:t>education at all levels</w:t>
            </w:r>
          </w:p>
        </w:tc>
        <w:tc>
          <w:tcPr>
            <w:tcW w:w="972" w:type="dxa"/>
            <w:shd w:val="clear" w:color="auto" w:fill="F79646" w:themeFill="accent6"/>
            <w:noWrap/>
          </w:tcPr>
          <w:p w14:paraId="0B70F4D7" w14:textId="77777777" w:rsidR="00352B18" w:rsidRPr="00352B18" w:rsidRDefault="00352B18" w:rsidP="00352B18">
            <w:pPr>
              <w:pStyle w:val="TableTextEntries"/>
            </w:pPr>
            <w:r w:rsidRPr="00352B18">
              <w:t>Amber</w:t>
            </w:r>
          </w:p>
        </w:tc>
        <w:tc>
          <w:tcPr>
            <w:tcW w:w="1021" w:type="dxa"/>
            <w:shd w:val="clear" w:color="auto" w:fill="92D050"/>
            <w:noWrap/>
          </w:tcPr>
          <w:p w14:paraId="0B70F4D8" w14:textId="77777777" w:rsidR="00352B18" w:rsidRPr="00352B18" w:rsidRDefault="00352B18" w:rsidP="00352B18">
            <w:pPr>
              <w:pStyle w:val="TableTextEntries"/>
            </w:pPr>
            <w:r w:rsidRPr="00352B18">
              <w:t>Green</w:t>
            </w:r>
          </w:p>
        </w:tc>
      </w:tr>
      <w:tr w:rsidR="00352B18" w:rsidRPr="009D53C4" w14:paraId="0B70F4DD" w14:textId="77777777" w:rsidTr="00352B18">
        <w:trPr>
          <w:trHeight w:val="270"/>
          <w:tblHeader w:val="0"/>
        </w:trPr>
        <w:tc>
          <w:tcPr>
            <w:tcW w:w="6029" w:type="dxa"/>
          </w:tcPr>
          <w:p w14:paraId="0B70F4DA" w14:textId="77777777" w:rsidR="00352B18" w:rsidRPr="0022246F" w:rsidRDefault="00352B18" w:rsidP="00352B18">
            <w:pPr>
              <w:pStyle w:val="TableListBullet"/>
            </w:pPr>
            <w:r>
              <w:t>Australia Awards and Australia-Pacific Technical College (APTC)</w:t>
            </w:r>
          </w:p>
        </w:tc>
        <w:tc>
          <w:tcPr>
            <w:tcW w:w="972" w:type="dxa"/>
            <w:shd w:val="clear" w:color="auto" w:fill="92D050"/>
            <w:noWrap/>
          </w:tcPr>
          <w:p w14:paraId="0B70F4DB" w14:textId="77777777" w:rsidR="00352B18" w:rsidRPr="00352B18" w:rsidRDefault="00352B18" w:rsidP="00352B18">
            <w:pPr>
              <w:pStyle w:val="TableTextEntries"/>
            </w:pPr>
            <w:r w:rsidRPr="00352B18">
              <w:t>Green</w:t>
            </w:r>
          </w:p>
        </w:tc>
        <w:tc>
          <w:tcPr>
            <w:tcW w:w="1021" w:type="dxa"/>
            <w:shd w:val="clear" w:color="auto" w:fill="92D050"/>
            <w:noWrap/>
          </w:tcPr>
          <w:p w14:paraId="0B70F4DC" w14:textId="77777777" w:rsidR="00352B18" w:rsidRPr="00352B18" w:rsidRDefault="00352B18" w:rsidP="00352B18">
            <w:pPr>
              <w:pStyle w:val="TableTextEntries"/>
            </w:pPr>
            <w:r w:rsidRPr="00352B18">
              <w:t>Green</w:t>
            </w:r>
          </w:p>
        </w:tc>
      </w:tr>
      <w:tr w:rsidR="00352B18" w:rsidRPr="009D53C4" w14:paraId="0B70F4E1" w14:textId="77777777" w:rsidTr="00352B18">
        <w:trPr>
          <w:cnfStyle w:val="000000010000" w:firstRow="0" w:lastRow="0" w:firstColumn="0" w:lastColumn="0" w:oddVBand="0" w:evenVBand="0" w:oddHBand="0" w:evenHBand="1" w:firstRowFirstColumn="0" w:firstRowLastColumn="0" w:lastRowFirstColumn="0" w:lastRowLastColumn="0"/>
          <w:tblHeader w:val="0"/>
        </w:trPr>
        <w:tc>
          <w:tcPr>
            <w:tcW w:w="6029" w:type="dxa"/>
          </w:tcPr>
          <w:p w14:paraId="0B70F4DE" w14:textId="77777777" w:rsidR="00352B18" w:rsidRPr="00352B18" w:rsidRDefault="00352B18" w:rsidP="00352B18">
            <w:pPr>
              <w:pStyle w:val="TableTextEntries"/>
            </w:pPr>
            <w:r w:rsidRPr="00352B18">
              <w:t xml:space="preserve">Improved law and justice  </w:t>
            </w:r>
          </w:p>
        </w:tc>
        <w:tc>
          <w:tcPr>
            <w:tcW w:w="972" w:type="dxa"/>
            <w:shd w:val="clear" w:color="auto" w:fill="F79646" w:themeFill="accent6"/>
            <w:noWrap/>
          </w:tcPr>
          <w:p w14:paraId="0B70F4DF" w14:textId="77777777" w:rsidR="00352B18" w:rsidRPr="00352B18" w:rsidRDefault="00352B18" w:rsidP="00352B18">
            <w:pPr>
              <w:pStyle w:val="TableTextEntries"/>
            </w:pPr>
            <w:r w:rsidRPr="00352B18">
              <w:t>Amber</w:t>
            </w:r>
          </w:p>
        </w:tc>
        <w:tc>
          <w:tcPr>
            <w:tcW w:w="1021" w:type="dxa"/>
            <w:shd w:val="clear" w:color="auto" w:fill="F79646" w:themeFill="accent6"/>
            <w:noWrap/>
          </w:tcPr>
          <w:p w14:paraId="0B70F4E0" w14:textId="77777777" w:rsidR="00352B18" w:rsidRPr="00352B18" w:rsidRDefault="00352B18" w:rsidP="00352B18">
            <w:pPr>
              <w:pStyle w:val="TableTextEntries"/>
            </w:pPr>
            <w:r w:rsidRPr="00352B18">
              <w:t>Amber</w:t>
            </w:r>
          </w:p>
        </w:tc>
      </w:tr>
      <w:tr w:rsidR="00352B18" w:rsidRPr="009D53C4" w14:paraId="0B70F4E5" w14:textId="77777777" w:rsidTr="00352B18">
        <w:trPr>
          <w:tblHeader w:val="0"/>
        </w:trPr>
        <w:tc>
          <w:tcPr>
            <w:tcW w:w="6029" w:type="dxa"/>
          </w:tcPr>
          <w:p w14:paraId="0B70F4E2" w14:textId="77777777" w:rsidR="00352B18" w:rsidRPr="00352B18" w:rsidRDefault="00352B18" w:rsidP="00352B18">
            <w:pPr>
              <w:pStyle w:val="TableTextEntries"/>
            </w:pPr>
            <w:r w:rsidRPr="00352B18">
              <w:t>Improved transport services to facilitate social development and economic growth.</w:t>
            </w:r>
          </w:p>
        </w:tc>
        <w:tc>
          <w:tcPr>
            <w:tcW w:w="972" w:type="dxa"/>
            <w:shd w:val="clear" w:color="auto" w:fill="92D050"/>
            <w:noWrap/>
          </w:tcPr>
          <w:p w14:paraId="0B70F4E3" w14:textId="77777777" w:rsidR="00352B18" w:rsidRPr="00352B18" w:rsidRDefault="00352B18" w:rsidP="00352B18">
            <w:pPr>
              <w:pStyle w:val="TableTextEntries"/>
            </w:pPr>
            <w:r w:rsidRPr="00352B18">
              <w:t>Green</w:t>
            </w:r>
          </w:p>
        </w:tc>
        <w:tc>
          <w:tcPr>
            <w:tcW w:w="1021" w:type="dxa"/>
            <w:shd w:val="clear" w:color="auto" w:fill="92D050"/>
            <w:noWrap/>
          </w:tcPr>
          <w:p w14:paraId="0B70F4E4" w14:textId="77777777" w:rsidR="00352B18" w:rsidRPr="00352B18" w:rsidRDefault="00352B18" w:rsidP="00352B18">
            <w:pPr>
              <w:pStyle w:val="TableTextEntries"/>
            </w:pPr>
            <w:r w:rsidRPr="00352B18">
              <w:t>Green</w:t>
            </w:r>
          </w:p>
        </w:tc>
      </w:tr>
      <w:tr w:rsidR="00352B18" w:rsidRPr="009D53C4" w14:paraId="0B70F4E9" w14:textId="77777777" w:rsidTr="00352B18">
        <w:trPr>
          <w:cnfStyle w:val="000000010000" w:firstRow="0" w:lastRow="0" w:firstColumn="0" w:lastColumn="0" w:oddVBand="0" w:evenVBand="0" w:oddHBand="0" w:evenHBand="1" w:firstRowFirstColumn="0" w:firstRowLastColumn="0" w:lastRowFirstColumn="0" w:lastRowLastColumn="0"/>
          <w:tblHeader w:val="0"/>
        </w:trPr>
        <w:tc>
          <w:tcPr>
            <w:tcW w:w="6029" w:type="dxa"/>
          </w:tcPr>
          <w:p w14:paraId="0B70F4E6" w14:textId="77777777" w:rsidR="00352B18" w:rsidRPr="00352B18" w:rsidRDefault="00352B18" w:rsidP="00352B18">
            <w:pPr>
              <w:pStyle w:val="TableTextEntries"/>
            </w:pPr>
            <w:r w:rsidRPr="00352B18">
              <w:t>Strengthened national and sub-national public sector</w:t>
            </w:r>
          </w:p>
        </w:tc>
        <w:tc>
          <w:tcPr>
            <w:tcW w:w="972" w:type="dxa"/>
            <w:shd w:val="clear" w:color="auto" w:fill="FF0000"/>
            <w:noWrap/>
          </w:tcPr>
          <w:p w14:paraId="0B70F4E7" w14:textId="77777777" w:rsidR="00352B18" w:rsidRPr="00352B18" w:rsidRDefault="00352B18" w:rsidP="00352B18">
            <w:pPr>
              <w:pStyle w:val="TableTextEntries"/>
            </w:pPr>
            <w:r w:rsidRPr="00352B18">
              <w:t>Red</w:t>
            </w:r>
          </w:p>
        </w:tc>
        <w:tc>
          <w:tcPr>
            <w:tcW w:w="1021" w:type="dxa"/>
            <w:shd w:val="clear" w:color="auto" w:fill="F79646" w:themeFill="accent6"/>
            <w:noWrap/>
          </w:tcPr>
          <w:p w14:paraId="0B70F4E8" w14:textId="77777777" w:rsidR="00352B18" w:rsidRPr="00352B18" w:rsidRDefault="00352B18" w:rsidP="00352B18">
            <w:pPr>
              <w:pStyle w:val="TableTextEntries"/>
            </w:pPr>
            <w:r w:rsidRPr="00352B18">
              <w:t>Amber</w:t>
            </w:r>
          </w:p>
        </w:tc>
      </w:tr>
      <w:tr w:rsidR="00352B18" w:rsidRPr="009D53C4" w14:paraId="0B70F4ED" w14:textId="77777777" w:rsidTr="00352B18">
        <w:trPr>
          <w:tblHeader w:val="0"/>
        </w:trPr>
        <w:tc>
          <w:tcPr>
            <w:tcW w:w="6029" w:type="dxa"/>
          </w:tcPr>
          <w:p w14:paraId="0B70F4EA" w14:textId="77777777" w:rsidR="00352B18" w:rsidRPr="00352B18" w:rsidRDefault="00352B18" w:rsidP="00352B18">
            <w:pPr>
              <w:pStyle w:val="TableTextEntries"/>
            </w:pPr>
            <w:r w:rsidRPr="00352B18">
              <w:t>Strengthened democracy</w:t>
            </w:r>
          </w:p>
        </w:tc>
        <w:tc>
          <w:tcPr>
            <w:tcW w:w="972" w:type="dxa"/>
            <w:shd w:val="clear" w:color="auto" w:fill="FF0000"/>
            <w:noWrap/>
          </w:tcPr>
          <w:p w14:paraId="0B70F4EB" w14:textId="77777777" w:rsidR="00352B18" w:rsidRPr="00352B18" w:rsidRDefault="00352B18" w:rsidP="00352B18">
            <w:pPr>
              <w:pStyle w:val="TableTextEntries"/>
            </w:pPr>
            <w:r w:rsidRPr="00352B18">
              <w:t>Red</w:t>
            </w:r>
          </w:p>
        </w:tc>
        <w:tc>
          <w:tcPr>
            <w:tcW w:w="1021" w:type="dxa"/>
            <w:shd w:val="clear" w:color="auto" w:fill="F79646" w:themeFill="accent6"/>
            <w:noWrap/>
          </w:tcPr>
          <w:p w14:paraId="0B70F4EC" w14:textId="77777777" w:rsidR="00352B18" w:rsidRPr="00352B18" w:rsidRDefault="00352B18" w:rsidP="00352B18">
            <w:pPr>
              <w:pStyle w:val="TableTextEntries"/>
            </w:pPr>
            <w:r w:rsidRPr="00352B18">
              <w:t>Amber</w:t>
            </w:r>
          </w:p>
        </w:tc>
      </w:tr>
      <w:tr w:rsidR="00352B18" w:rsidRPr="009D53C4" w14:paraId="0B70F4F1" w14:textId="77777777" w:rsidTr="00352B18">
        <w:trPr>
          <w:cnfStyle w:val="000000010000" w:firstRow="0" w:lastRow="0" w:firstColumn="0" w:lastColumn="0" w:oddVBand="0" w:evenVBand="0" w:oddHBand="0" w:evenHBand="1" w:firstRowFirstColumn="0" w:firstRowLastColumn="0" w:lastRowFirstColumn="0" w:lastRowLastColumn="0"/>
          <w:tblHeader w:val="0"/>
        </w:trPr>
        <w:tc>
          <w:tcPr>
            <w:tcW w:w="6029" w:type="dxa"/>
          </w:tcPr>
          <w:p w14:paraId="0B70F4EE" w14:textId="77777777" w:rsidR="00352B18" w:rsidRPr="00352B18" w:rsidRDefault="00352B18" w:rsidP="00352B18">
            <w:pPr>
              <w:pStyle w:val="TableTextEntries"/>
            </w:pPr>
            <w:r w:rsidRPr="00352B18">
              <w:t>Gender equality and women’s empowerment</w:t>
            </w:r>
          </w:p>
        </w:tc>
        <w:tc>
          <w:tcPr>
            <w:tcW w:w="972" w:type="dxa"/>
            <w:shd w:val="clear" w:color="auto" w:fill="FF0000"/>
            <w:noWrap/>
          </w:tcPr>
          <w:p w14:paraId="0B70F4EF" w14:textId="77777777" w:rsidR="00352B18" w:rsidRPr="00352B18" w:rsidRDefault="00352B18" w:rsidP="00352B18">
            <w:pPr>
              <w:pStyle w:val="TableTextEntries"/>
            </w:pPr>
            <w:r w:rsidRPr="00352B18">
              <w:t>Red</w:t>
            </w:r>
          </w:p>
        </w:tc>
        <w:tc>
          <w:tcPr>
            <w:tcW w:w="1021" w:type="dxa"/>
            <w:shd w:val="clear" w:color="auto" w:fill="FF0000"/>
            <w:noWrap/>
          </w:tcPr>
          <w:p w14:paraId="0B70F4F0" w14:textId="77777777" w:rsidR="00352B18" w:rsidRPr="00352B18" w:rsidRDefault="00352B18" w:rsidP="00352B18">
            <w:pPr>
              <w:pStyle w:val="TableTextEntries"/>
            </w:pPr>
            <w:r w:rsidRPr="00352B18">
              <w:t>Red</w:t>
            </w:r>
          </w:p>
        </w:tc>
      </w:tr>
      <w:tr w:rsidR="00352B18" w:rsidRPr="009D53C4" w14:paraId="0B70F4F5" w14:textId="77777777" w:rsidTr="00352B18">
        <w:trPr>
          <w:tblHeader w:val="0"/>
        </w:trPr>
        <w:tc>
          <w:tcPr>
            <w:tcW w:w="6029" w:type="dxa"/>
          </w:tcPr>
          <w:p w14:paraId="0B70F4F2" w14:textId="77777777" w:rsidR="00352B18" w:rsidRPr="00352B18" w:rsidRDefault="00352B18" w:rsidP="00352B18">
            <w:pPr>
              <w:pStyle w:val="TableTextEntries"/>
            </w:pPr>
            <w:r w:rsidRPr="00352B18">
              <w:t>Bougainville</w:t>
            </w:r>
          </w:p>
        </w:tc>
        <w:tc>
          <w:tcPr>
            <w:tcW w:w="972" w:type="dxa"/>
            <w:shd w:val="clear" w:color="auto" w:fill="F79646" w:themeFill="accent6"/>
            <w:noWrap/>
          </w:tcPr>
          <w:p w14:paraId="0B70F4F3" w14:textId="77777777" w:rsidR="00352B18" w:rsidRPr="00352B18" w:rsidRDefault="00352B18" w:rsidP="00352B18">
            <w:pPr>
              <w:pStyle w:val="TableTextEntries"/>
            </w:pPr>
            <w:r w:rsidRPr="00352B18">
              <w:t>Amber</w:t>
            </w:r>
          </w:p>
        </w:tc>
        <w:tc>
          <w:tcPr>
            <w:tcW w:w="1021" w:type="dxa"/>
            <w:shd w:val="clear" w:color="auto" w:fill="FFFFFF" w:themeFill="background1"/>
            <w:noWrap/>
          </w:tcPr>
          <w:p w14:paraId="0B70F4F4" w14:textId="77777777" w:rsidR="00352B18" w:rsidRPr="00352B18" w:rsidRDefault="00352B18" w:rsidP="00352B18">
            <w:pPr>
              <w:pStyle w:val="TableTextEntries"/>
            </w:pPr>
            <w:r w:rsidRPr="00352B18">
              <w:t>Not rated</w:t>
            </w:r>
          </w:p>
        </w:tc>
      </w:tr>
      <w:tr w:rsidR="00352B18" w:rsidRPr="009D53C4" w14:paraId="0B70F4F9" w14:textId="77777777" w:rsidTr="00352B18">
        <w:trPr>
          <w:cnfStyle w:val="000000010000" w:firstRow="0" w:lastRow="0" w:firstColumn="0" w:lastColumn="0" w:oddVBand="0" w:evenVBand="0" w:oddHBand="0" w:evenHBand="1" w:firstRowFirstColumn="0" w:firstRowLastColumn="0" w:lastRowFirstColumn="0" w:lastRowLastColumn="0"/>
          <w:trHeight w:val="270"/>
          <w:tblHeader w:val="0"/>
        </w:trPr>
        <w:tc>
          <w:tcPr>
            <w:tcW w:w="6029" w:type="dxa"/>
          </w:tcPr>
          <w:p w14:paraId="0B70F4F6" w14:textId="77777777" w:rsidR="00352B18" w:rsidRPr="00352B18" w:rsidRDefault="00352B18" w:rsidP="00352B18">
            <w:pPr>
              <w:pStyle w:val="TableTextEntries"/>
            </w:pPr>
            <w:r w:rsidRPr="00352B18">
              <w:t>Crosscutting:</w:t>
            </w:r>
          </w:p>
        </w:tc>
        <w:tc>
          <w:tcPr>
            <w:tcW w:w="972" w:type="dxa"/>
            <w:shd w:val="clear" w:color="auto" w:fill="auto"/>
            <w:noWrap/>
          </w:tcPr>
          <w:p w14:paraId="0B70F4F7" w14:textId="77777777" w:rsidR="00352B18" w:rsidRPr="00352B18" w:rsidRDefault="00352B18" w:rsidP="00352B18">
            <w:pPr>
              <w:pStyle w:val="TableTextEntries"/>
            </w:pPr>
          </w:p>
        </w:tc>
        <w:tc>
          <w:tcPr>
            <w:tcW w:w="1021" w:type="dxa"/>
            <w:shd w:val="clear" w:color="auto" w:fill="auto"/>
            <w:noWrap/>
          </w:tcPr>
          <w:p w14:paraId="0B70F4F8" w14:textId="77777777" w:rsidR="00352B18" w:rsidRPr="00352B18" w:rsidRDefault="00352B18" w:rsidP="00352B18">
            <w:pPr>
              <w:pStyle w:val="TableTextEntries"/>
            </w:pPr>
          </w:p>
        </w:tc>
      </w:tr>
      <w:tr w:rsidR="00352B18" w:rsidRPr="009D53C4" w14:paraId="0B70F4FD" w14:textId="77777777" w:rsidTr="00352B18">
        <w:trPr>
          <w:trHeight w:val="285"/>
          <w:tblHeader w:val="0"/>
        </w:trPr>
        <w:tc>
          <w:tcPr>
            <w:tcW w:w="6029" w:type="dxa"/>
          </w:tcPr>
          <w:p w14:paraId="0B70F4FA" w14:textId="77777777" w:rsidR="00352B18" w:rsidRDefault="00352B18" w:rsidP="00352B18">
            <w:pPr>
              <w:pStyle w:val="TableListBullet"/>
            </w:pPr>
            <w:r>
              <w:t>climate change, disaster risk reduction and disaster responsiveness</w:t>
            </w:r>
          </w:p>
        </w:tc>
        <w:tc>
          <w:tcPr>
            <w:tcW w:w="972" w:type="dxa"/>
            <w:shd w:val="clear" w:color="auto" w:fill="F79646" w:themeFill="accent6"/>
            <w:noWrap/>
          </w:tcPr>
          <w:p w14:paraId="0B70F4FB" w14:textId="77777777" w:rsidR="00352B18" w:rsidRPr="00352B18" w:rsidRDefault="00352B18" w:rsidP="00352B18">
            <w:pPr>
              <w:pStyle w:val="TableTextEntries"/>
            </w:pPr>
            <w:r w:rsidRPr="00352B18">
              <w:t>Amber</w:t>
            </w:r>
          </w:p>
        </w:tc>
        <w:tc>
          <w:tcPr>
            <w:tcW w:w="1021" w:type="dxa"/>
            <w:shd w:val="clear" w:color="auto" w:fill="F79646" w:themeFill="accent6"/>
            <w:noWrap/>
          </w:tcPr>
          <w:p w14:paraId="0B70F4FC" w14:textId="77777777" w:rsidR="00352B18" w:rsidRPr="00352B18" w:rsidRDefault="00352B18" w:rsidP="00352B18">
            <w:pPr>
              <w:pStyle w:val="TableTextEntries"/>
            </w:pPr>
            <w:r w:rsidRPr="00352B18">
              <w:t>Amber</w:t>
            </w:r>
          </w:p>
        </w:tc>
      </w:tr>
      <w:tr w:rsidR="00352B18" w:rsidRPr="009D53C4" w14:paraId="0B70F501" w14:textId="77777777" w:rsidTr="00352B18">
        <w:trPr>
          <w:cnfStyle w:val="000000010000" w:firstRow="0" w:lastRow="0" w:firstColumn="0" w:lastColumn="0" w:oddVBand="0" w:evenVBand="0" w:oddHBand="0" w:evenHBand="1" w:firstRowFirstColumn="0" w:firstRowLastColumn="0" w:lastRowFirstColumn="0" w:lastRowLastColumn="0"/>
          <w:tblHeader w:val="0"/>
        </w:trPr>
        <w:tc>
          <w:tcPr>
            <w:tcW w:w="6029" w:type="dxa"/>
          </w:tcPr>
          <w:p w14:paraId="0B70F4FE" w14:textId="77777777" w:rsidR="00352B18" w:rsidRDefault="00352B18" w:rsidP="00352B18">
            <w:pPr>
              <w:pStyle w:val="TableListBullet"/>
            </w:pPr>
            <w:r>
              <w:t>disability-inclusive development</w:t>
            </w:r>
          </w:p>
        </w:tc>
        <w:tc>
          <w:tcPr>
            <w:tcW w:w="972" w:type="dxa"/>
            <w:shd w:val="clear" w:color="auto" w:fill="F79646" w:themeFill="accent6"/>
            <w:noWrap/>
          </w:tcPr>
          <w:p w14:paraId="0B70F4FF" w14:textId="77777777" w:rsidR="00352B18" w:rsidRPr="00352B18" w:rsidRDefault="00352B18" w:rsidP="00352B18">
            <w:pPr>
              <w:pStyle w:val="TableTextEntries"/>
            </w:pPr>
            <w:r w:rsidRPr="00352B18">
              <w:t>Amber</w:t>
            </w:r>
          </w:p>
        </w:tc>
        <w:tc>
          <w:tcPr>
            <w:tcW w:w="1021" w:type="dxa"/>
            <w:shd w:val="clear" w:color="auto" w:fill="F79646" w:themeFill="accent6"/>
            <w:noWrap/>
          </w:tcPr>
          <w:p w14:paraId="0B70F500" w14:textId="77777777" w:rsidR="00352B18" w:rsidRPr="00352B18" w:rsidRDefault="00352B18" w:rsidP="00352B18">
            <w:pPr>
              <w:pStyle w:val="TableTextEntries"/>
            </w:pPr>
            <w:r w:rsidRPr="00352B18">
              <w:t>Amber</w:t>
            </w:r>
          </w:p>
        </w:tc>
      </w:tr>
    </w:tbl>
    <w:p w14:paraId="0B70F502" w14:textId="77777777" w:rsidR="00A0186E" w:rsidRPr="00180B19" w:rsidRDefault="00A0186E" w:rsidP="00A0186E">
      <w:pPr>
        <w:pStyle w:val="Note"/>
      </w:pPr>
      <w:r w:rsidRPr="00180B19">
        <w:t xml:space="preserve">Note: </w:t>
      </w:r>
    </w:p>
    <w:p w14:paraId="0B70F503" w14:textId="77777777" w:rsidR="00A0186E" w:rsidRPr="00180B19" w:rsidRDefault="00A0186E" w:rsidP="00A0186E">
      <w:pPr>
        <w:pStyle w:val="Note"/>
      </w:pPr>
      <w:r w:rsidRPr="004C4A3E">
        <w:rPr>
          <w:color w:val="92D050"/>
        </w:rPr>
        <w:sym w:font="Webdings" w:char="F067"/>
      </w:r>
      <w:r w:rsidRPr="00180B19">
        <w:t> </w:t>
      </w:r>
      <w:r w:rsidRPr="00180B19">
        <w:t xml:space="preserve"> </w:t>
      </w:r>
      <w:r w:rsidR="00ED3936">
        <w:t>Green:</w:t>
      </w:r>
      <w:r>
        <w:t xml:space="preserve"> </w:t>
      </w:r>
      <w:r w:rsidRPr="00180B19">
        <w:t>Progress is as expected for this point in time and it is likely that the objective will be achieved. Standard program management practices are sufficient.</w:t>
      </w:r>
    </w:p>
    <w:p w14:paraId="0B70F504" w14:textId="77777777" w:rsidR="00A0186E" w:rsidRPr="00180B19" w:rsidRDefault="00A0186E" w:rsidP="00A0186E">
      <w:pPr>
        <w:pStyle w:val="Note"/>
      </w:pPr>
      <w:r w:rsidRPr="004C4A3E">
        <w:rPr>
          <w:color w:val="F79646" w:themeColor="accent6"/>
        </w:rPr>
        <w:sym w:font="Webdings" w:char="F067"/>
      </w:r>
      <w:r w:rsidRPr="00180B19">
        <w:t> </w:t>
      </w:r>
      <w:r w:rsidRPr="00180B19">
        <w:t xml:space="preserve"> </w:t>
      </w:r>
      <w:r w:rsidR="00ED3936">
        <w:t>Amber:</w:t>
      </w:r>
      <w:r>
        <w:t xml:space="preserve"> </w:t>
      </w:r>
      <w:r w:rsidRPr="00180B19">
        <w:t>Progress is somewhat less than expected for this point in time and restorative action will be necessary if the objective is to be achieved. Close performance monitoring is recommended.</w:t>
      </w:r>
    </w:p>
    <w:p w14:paraId="0B70F505" w14:textId="77777777" w:rsidR="00AB1FE4" w:rsidRPr="00AB1FE4" w:rsidRDefault="00A0186E" w:rsidP="008E0AE1">
      <w:pPr>
        <w:pStyle w:val="Note"/>
      </w:pPr>
      <w:r w:rsidRPr="004C4A3E">
        <w:rPr>
          <w:color w:val="FF0000"/>
        </w:rPr>
        <w:sym w:font="Webdings" w:char="F067"/>
      </w:r>
      <w:r w:rsidRPr="00180B19">
        <w:t> </w:t>
      </w:r>
      <w:r w:rsidRPr="00180B19">
        <w:t xml:space="preserve"> </w:t>
      </w:r>
      <w:r w:rsidR="00ED3936">
        <w:t>Red:</w:t>
      </w:r>
      <w:r>
        <w:t xml:space="preserve"> </w:t>
      </w:r>
      <w:r w:rsidRPr="00180B19">
        <w:t xml:space="preserve">Progress is significantly less than expected for this point in time and the objective is not likely to be met given available resources and priorities. Recasting the objective may be required. </w:t>
      </w:r>
    </w:p>
    <w:p w14:paraId="0B70F506" w14:textId="77777777" w:rsidR="008934B0" w:rsidRPr="00180B19" w:rsidRDefault="008934B0" w:rsidP="008934B0">
      <w:pPr>
        <w:pStyle w:val="Heading1"/>
        <w:spacing w:line="23" w:lineRule="atLeast"/>
      </w:pPr>
      <w:r>
        <w:t>C</w:t>
      </w:r>
      <w:r w:rsidRPr="00180B19">
        <w:t xml:space="preserve">ontext </w:t>
      </w:r>
    </w:p>
    <w:p w14:paraId="0B70F507" w14:textId="77777777" w:rsidR="008934B0" w:rsidRPr="008E0AE1" w:rsidRDefault="008934B0" w:rsidP="008E0AE1">
      <w:pPr>
        <w:pStyle w:val="Heading2"/>
      </w:pPr>
      <w:r w:rsidRPr="008E0AE1">
        <w:t xml:space="preserve">Development </w:t>
      </w:r>
    </w:p>
    <w:p w14:paraId="0B70F508" w14:textId="77777777" w:rsidR="008934B0" w:rsidRDefault="008934B0" w:rsidP="008E0AE1">
      <w:pPr>
        <w:pStyle w:val="BodyText"/>
      </w:pPr>
      <w:r w:rsidRPr="00EC3B24">
        <w:t xml:space="preserve">PNG is a lower middle </w:t>
      </w:r>
      <w:r w:rsidR="0050724B">
        <w:t xml:space="preserve">income country </w:t>
      </w:r>
      <w:r w:rsidR="00C44321">
        <w:t>with an economy that has grown</w:t>
      </w:r>
      <w:r w:rsidR="0050724B">
        <w:t xml:space="preserve"> for </w:t>
      </w:r>
      <w:r w:rsidR="00C44321">
        <w:t xml:space="preserve">more than </w:t>
      </w:r>
      <w:r w:rsidR="0050724B">
        <w:t>a decade</w:t>
      </w:r>
      <w:r w:rsidR="0041638B">
        <w:t xml:space="preserve">. </w:t>
      </w:r>
      <w:r w:rsidR="00CE42F5">
        <w:t>H</w:t>
      </w:r>
      <w:r w:rsidR="0050724B">
        <w:t>o</w:t>
      </w:r>
      <w:r w:rsidRPr="00EC3B24">
        <w:t>wever</w:t>
      </w:r>
      <w:r w:rsidR="00CE42F5">
        <w:t xml:space="preserve">, growth has not </w:t>
      </w:r>
      <w:r w:rsidR="0050724B">
        <w:t xml:space="preserve">translated </w:t>
      </w:r>
      <w:r w:rsidRPr="00EC3B24">
        <w:t xml:space="preserve">into equitable service delivery and improved living standards for </w:t>
      </w:r>
      <w:r w:rsidR="0050724B">
        <w:t>all Papua New Guineans</w:t>
      </w:r>
      <w:r w:rsidR="0041638B">
        <w:t xml:space="preserve">. </w:t>
      </w:r>
      <w:r w:rsidRPr="00A079FF">
        <w:t xml:space="preserve">PNG </w:t>
      </w:r>
      <w:r>
        <w:t>is not on track to</w:t>
      </w:r>
      <w:r w:rsidRPr="00A079FF">
        <w:t xml:space="preserve"> reach any Millennium Development Goal targets by 2015.</w:t>
      </w:r>
      <w:r w:rsidRPr="004400A6">
        <w:rPr>
          <w:rStyle w:val="FootnoteReference"/>
          <w:szCs w:val="16"/>
        </w:rPr>
        <w:footnoteReference w:id="5"/>
      </w:r>
      <w:r w:rsidRPr="004400A6">
        <w:rPr>
          <w:sz w:val="16"/>
          <w:szCs w:val="16"/>
        </w:rPr>
        <w:t xml:space="preserve"> </w:t>
      </w:r>
      <w:r w:rsidR="0050724B" w:rsidRPr="00A079FF">
        <w:t>In 2012, PNG ranked 156 out of 187 on the Human Development Index.</w:t>
      </w:r>
      <w:r w:rsidR="0050724B" w:rsidRPr="004400A6">
        <w:rPr>
          <w:rStyle w:val="FootnoteReference"/>
          <w:szCs w:val="16"/>
        </w:rPr>
        <w:footnoteReference w:id="6"/>
      </w:r>
      <w:r w:rsidR="0050724B" w:rsidRPr="00A079FF">
        <w:t xml:space="preserve"> </w:t>
      </w:r>
      <w:r>
        <w:t>Based on the draft 2009</w:t>
      </w:r>
      <w:r w:rsidR="00B304D5">
        <w:t>–</w:t>
      </w:r>
      <w:r>
        <w:t>10 Household Income and Expenditure Survey, around 2.8</w:t>
      </w:r>
      <w:r w:rsidR="00A67C12">
        <w:t xml:space="preserve"> </w:t>
      </w:r>
      <w:r>
        <w:t>million Papua New Gu</w:t>
      </w:r>
      <w:r w:rsidR="00A67C12">
        <w:t>ineans are judged to be poor</w:t>
      </w:r>
      <w:r w:rsidR="00CE42F5">
        <w:t>, r</w:t>
      </w:r>
      <w:r>
        <w:t>epresent</w:t>
      </w:r>
      <w:r w:rsidR="00CE42F5">
        <w:t>ing</w:t>
      </w:r>
      <w:r>
        <w:t xml:space="preserve"> 39.9 per cent of the population.</w:t>
      </w:r>
      <w:r w:rsidRPr="004400A6">
        <w:rPr>
          <w:rStyle w:val="FootnoteReference"/>
          <w:szCs w:val="16"/>
        </w:rPr>
        <w:footnoteReference w:id="7"/>
      </w:r>
      <w:r>
        <w:t xml:space="preserve"> The rate of</w:t>
      </w:r>
      <w:r w:rsidR="00CE42F5">
        <w:t xml:space="preserve"> poverty </w:t>
      </w:r>
      <w:r w:rsidR="0050724B">
        <w:t>roughly equates to</w:t>
      </w:r>
      <w:r w:rsidRPr="003B20F4">
        <w:t xml:space="preserve"> </w:t>
      </w:r>
      <w:r w:rsidR="00DA2A63">
        <w:t xml:space="preserve">what it did </w:t>
      </w:r>
      <w:r w:rsidR="00A67C12">
        <w:t xml:space="preserve">in </w:t>
      </w:r>
      <w:r w:rsidRPr="003B20F4">
        <w:t>1996</w:t>
      </w:r>
      <w:r w:rsidR="0050724B">
        <w:t>.</w:t>
      </w:r>
      <w:r>
        <w:rPr>
          <w:rStyle w:val="FootnoteReference"/>
        </w:rPr>
        <w:footnoteReference w:id="8"/>
      </w:r>
      <w:r>
        <w:t xml:space="preserve"> </w:t>
      </w:r>
      <w:r w:rsidRPr="00A079FF">
        <w:t xml:space="preserve">Inadequate </w:t>
      </w:r>
      <w:r w:rsidRPr="00A079FF">
        <w:lastRenderedPageBreak/>
        <w:t>transport infrastructure, poor access to quality education</w:t>
      </w:r>
      <w:r w:rsidR="00A67C12">
        <w:t xml:space="preserve"> services</w:t>
      </w:r>
      <w:r w:rsidRPr="00A079FF">
        <w:t>, unsati</w:t>
      </w:r>
      <w:r w:rsidR="00A67C12">
        <w:t>sfactory health services and limited</w:t>
      </w:r>
      <w:r w:rsidRPr="00A079FF">
        <w:t xml:space="preserve"> employment opportunities are among the major constraints to PNG citizens climbing </w:t>
      </w:r>
      <w:r w:rsidR="00A67C12">
        <w:t xml:space="preserve">their way </w:t>
      </w:r>
      <w:r w:rsidRPr="00A079FF">
        <w:t xml:space="preserve">out of poverty. PNG also lacks a safe, secure </w:t>
      </w:r>
      <w:r w:rsidR="00A67C12">
        <w:t>and stable environment</w:t>
      </w:r>
      <w:r w:rsidR="00DA2A63">
        <w:t xml:space="preserve"> in which</w:t>
      </w:r>
      <w:r w:rsidRPr="00A079FF">
        <w:t xml:space="preserve"> citizens, communities and businesses </w:t>
      </w:r>
      <w:r w:rsidR="00DA2A63">
        <w:t>can</w:t>
      </w:r>
      <w:r w:rsidR="00DA2A63" w:rsidRPr="00A079FF">
        <w:t xml:space="preserve"> </w:t>
      </w:r>
      <w:r w:rsidRPr="00A079FF">
        <w:t xml:space="preserve">conduct affairs freely. These </w:t>
      </w:r>
      <w:r>
        <w:t>basic constraints underpin development and must be overcome if poverty is to be significantly reduced</w:t>
      </w:r>
      <w:r w:rsidRPr="00A079FF">
        <w:t>.</w:t>
      </w:r>
      <w:r>
        <w:t xml:space="preserve"> The</w:t>
      </w:r>
      <w:r w:rsidR="00DA2A63">
        <w:t>se issues</w:t>
      </w:r>
      <w:r>
        <w:t xml:space="preserve"> are the focus of PNG’s Medium Term Development Plan 2011</w:t>
      </w:r>
      <w:r w:rsidR="00615D69">
        <w:t>–</w:t>
      </w:r>
      <w:r>
        <w:t xml:space="preserve">15 and the </w:t>
      </w:r>
      <w:r w:rsidR="00A67C12">
        <w:t>Australia</w:t>
      </w:r>
      <w:r w:rsidR="00DA2A63">
        <w:t xml:space="preserve"> – </w:t>
      </w:r>
      <w:r w:rsidR="00A67C12">
        <w:t xml:space="preserve">PNG </w:t>
      </w:r>
      <w:r>
        <w:t>Partnership for Development.</w:t>
      </w:r>
    </w:p>
    <w:p w14:paraId="0B70F509" w14:textId="77777777" w:rsidR="008934B0" w:rsidRDefault="008934B0" w:rsidP="008E0AE1">
      <w:pPr>
        <w:pStyle w:val="BodyText"/>
      </w:pPr>
      <w:r>
        <w:t>PNG is in transition. It is undergoing economic growth and rapid population growth.</w:t>
      </w:r>
      <w:r>
        <w:rPr>
          <w:rStyle w:val="FootnoteReference"/>
        </w:rPr>
        <w:footnoteReference w:id="9"/>
      </w:r>
      <w:r>
        <w:t xml:space="preserve"> Approximately 40 per cent of its population is </w:t>
      </w:r>
      <w:r w:rsidR="00AC01BE">
        <w:t xml:space="preserve">estimated to be </w:t>
      </w:r>
      <w:r>
        <w:t xml:space="preserve">younger than 15 years </w:t>
      </w:r>
      <w:r w:rsidR="00DA2A63">
        <w:t>of age</w:t>
      </w:r>
      <w:r>
        <w:t xml:space="preserve">. </w:t>
      </w:r>
      <w:r w:rsidR="00CE42F5">
        <w:t>A</w:t>
      </w:r>
      <w:r>
        <w:t xml:space="preserve"> drift to urban centres over the last decade </w:t>
      </w:r>
      <w:r w:rsidR="00CE42F5">
        <w:t xml:space="preserve">has </w:t>
      </w:r>
      <w:r w:rsidR="00DA2A63">
        <w:t>gradually</w:t>
      </w:r>
      <w:r w:rsidR="00AC01BE">
        <w:t xml:space="preserve"> increase</w:t>
      </w:r>
      <w:r w:rsidR="00DA2A63">
        <w:t>d</w:t>
      </w:r>
      <w:r>
        <w:t xml:space="preserve"> informal settlements. </w:t>
      </w:r>
      <w:r w:rsidR="00CE42F5">
        <w:t xml:space="preserve">Despite this shift, </w:t>
      </w:r>
      <w:r>
        <w:t>around 85 per cent of the population still live in rural and remote settings.</w:t>
      </w:r>
      <w:r>
        <w:rPr>
          <w:rStyle w:val="FootnoteReference"/>
        </w:rPr>
        <w:footnoteReference w:id="10"/>
      </w:r>
      <w:r>
        <w:t xml:space="preserve"> </w:t>
      </w:r>
      <w:r w:rsidR="00AC01BE">
        <w:t>A</w:t>
      </w:r>
      <w:r>
        <w:t xml:space="preserve"> young and more mobile population, combined with h</w:t>
      </w:r>
      <w:r w:rsidR="00AC01BE">
        <w:t>igh underemployment, has</w:t>
      </w:r>
      <w:r>
        <w:t xml:space="preserve"> social impacts</w:t>
      </w:r>
      <w:r w:rsidR="00DA2A63">
        <w:t>. These include problems in</w:t>
      </w:r>
      <w:r>
        <w:t xml:space="preserve"> law</w:t>
      </w:r>
      <w:r w:rsidR="00DA2A63">
        <w:t>,</w:t>
      </w:r>
      <w:r>
        <w:t xml:space="preserve"> justice </w:t>
      </w:r>
      <w:r w:rsidR="005A52E5">
        <w:t>and security</w:t>
      </w:r>
      <w:r>
        <w:t>, pressures on infrastructure and schooling, and the spread o</w:t>
      </w:r>
      <w:r w:rsidR="00AC01BE">
        <w:t>f infectious diseases. Improvements to</w:t>
      </w:r>
      <w:r>
        <w:t xml:space="preserve"> roads, law and order, education</w:t>
      </w:r>
      <w:r w:rsidR="00DA2A63">
        <w:t>,</w:t>
      </w:r>
      <w:r>
        <w:t xml:space="preserve"> and health </w:t>
      </w:r>
      <w:r w:rsidR="00AC01BE">
        <w:t>services are</w:t>
      </w:r>
      <w:r>
        <w:t xml:space="preserve"> critical to improving </w:t>
      </w:r>
      <w:r w:rsidR="00DA2A63">
        <w:t>how</w:t>
      </w:r>
      <w:r>
        <w:t xml:space="preserve"> formal and informal employment sectors</w:t>
      </w:r>
      <w:r w:rsidR="00DA2A63">
        <w:t xml:space="preserve"> function</w:t>
      </w:r>
      <w:r w:rsidR="00AC01BE">
        <w:t>,</w:t>
      </w:r>
      <w:r>
        <w:t xml:space="preserve"> and assisting Papua New Guineans to earn </w:t>
      </w:r>
      <w:r w:rsidR="00DA2A63">
        <w:t xml:space="preserve">a </w:t>
      </w:r>
      <w:r w:rsidR="002E3366">
        <w:t>living</w:t>
      </w:r>
      <w:r>
        <w:t>.</w:t>
      </w:r>
    </w:p>
    <w:p w14:paraId="0B70F50A" w14:textId="77777777" w:rsidR="00715B79" w:rsidRPr="004161A9" w:rsidRDefault="0047183D" w:rsidP="008E0AE1">
      <w:pPr>
        <w:pStyle w:val="BodyText"/>
      </w:pPr>
      <w:r>
        <w:t xml:space="preserve">Security remains a major impediment to PNG’s ability to </w:t>
      </w:r>
      <w:r w:rsidR="00873C3C">
        <w:t xml:space="preserve">generate </w:t>
      </w:r>
      <w:r>
        <w:t>private sector development and economic opportunity in</w:t>
      </w:r>
      <w:r w:rsidR="004B4243">
        <w:t>-country</w:t>
      </w:r>
      <w:r>
        <w:t xml:space="preserve">. </w:t>
      </w:r>
      <w:r w:rsidR="004B4243">
        <w:t>C</w:t>
      </w:r>
      <w:r w:rsidR="00715B79" w:rsidRPr="004161A9">
        <w:t>rime rates are very high by international standards and characterised by serious levels of violence, including domestic and sexual violence. Sorcery-related violence is also increasingly prevalent and tribal conflicts are endemic. PNG has one of the highest rates of violence against women in the world.</w:t>
      </w:r>
      <w:r w:rsidR="00C740E6" w:rsidRPr="004161A9">
        <w:t xml:space="preserve"> </w:t>
      </w:r>
      <w:r w:rsidR="00715B79" w:rsidRPr="004161A9">
        <w:t>A large proportion of PNG’s young and growing population is increasingly marginalised through urbanisation and</w:t>
      </w:r>
      <w:r w:rsidR="00ED3936">
        <w:t xml:space="preserve"> a</w:t>
      </w:r>
      <w:r w:rsidR="00715B79" w:rsidRPr="004161A9">
        <w:t xml:space="preserve"> lack of formal job opportunities. Low levels of literacy, geographic and financial constraints mean it is difficult for many people to access formal justice services.</w:t>
      </w:r>
      <w:r w:rsidR="001319E8" w:rsidRPr="004161A9">
        <w:t xml:space="preserve"> </w:t>
      </w:r>
      <w:r>
        <w:t>D</w:t>
      </w:r>
      <w:r w:rsidR="001319E8" w:rsidRPr="004161A9">
        <w:t>ecades of under-resourcing has led, for example, to a police</w:t>
      </w:r>
      <w:r w:rsidR="00263C33">
        <w:t>-</w:t>
      </w:r>
      <w:r w:rsidR="001319E8" w:rsidRPr="004161A9">
        <w:t>to</w:t>
      </w:r>
      <w:r w:rsidR="00263C33">
        <w:t>-</w:t>
      </w:r>
      <w:r w:rsidR="001319E8" w:rsidRPr="004161A9">
        <w:t>population ratio that is three times higher than the U</w:t>
      </w:r>
      <w:r w:rsidR="00370A60">
        <w:t>nited Nation’s (U</w:t>
      </w:r>
      <w:r w:rsidR="001319E8" w:rsidRPr="004161A9">
        <w:t>N</w:t>
      </w:r>
      <w:r w:rsidR="00370A60">
        <w:t>)</w:t>
      </w:r>
      <w:r w:rsidR="001319E8" w:rsidRPr="004161A9">
        <w:t xml:space="preserve"> average recommended ratio (PNG is approximately 1:1350 while the UN’s recommendation is 1:450)</w:t>
      </w:r>
      <w:r>
        <w:t xml:space="preserve">. </w:t>
      </w:r>
    </w:p>
    <w:p w14:paraId="0B70F50B" w14:textId="0BD1527B" w:rsidR="008934B0" w:rsidRPr="000B1BF5" w:rsidRDefault="008934B0" w:rsidP="008E0AE1">
      <w:pPr>
        <w:pStyle w:val="BodyText"/>
      </w:pPr>
      <w:r w:rsidRPr="000B1BF5">
        <w:t xml:space="preserve">Gender remains a critical development issue in PNG. </w:t>
      </w:r>
      <w:r>
        <w:t>F</w:t>
      </w:r>
      <w:r w:rsidR="00AA1E6A">
        <w:t>amily and Sexual Violence (F</w:t>
      </w:r>
      <w:r w:rsidRPr="000B1BF5">
        <w:t>SV</w:t>
      </w:r>
      <w:r w:rsidR="00DD178D">
        <w:t>)</w:t>
      </w:r>
      <w:r w:rsidRPr="000B1BF5">
        <w:t xml:space="preserve">, limited employment opportunities, limited access to health and education services, and low levels of representation in political and decision-making roles are some of the </w:t>
      </w:r>
      <w:r w:rsidR="00AC01BE">
        <w:t xml:space="preserve">ongoing challenges faced by </w:t>
      </w:r>
      <w:r w:rsidRPr="000B1BF5">
        <w:t xml:space="preserve">women and girls. </w:t>
      </w:r>
      <w:r>
        <w:t xml:space="preserve">According to the </w:t>
      </w:r>
      <w:r w:rsidRPr="00F044AA">
        <w:t xml:space="preserve">2013 </w:t>
      </w:r>
      <w:r w:rsidR="00BD662B">
        <w:t>United Nations Development Program</w:t>
      </w:r>
      <w:r w:rsidR="004B4243">
        <w:t>me</w:t>
      </w:r>
      <w:r w:rsidR="00BD662B">
        <w:t xml:space="preserve"> (</w:t>
      </w:r>
      <w:r w:rsidRPr="00F044AA">
        <w:t>UNDP</w:t>
      </w:r>
      <w:r w:rsidR="00F47983">
        <w:t>)</w:t>
      </w:r>
      <w:r w:rsidRPr="00F044AA">
        <w:t xml:space="preserve"> Human Development Report Gender Inequality Index, gender inequality in PNG has led to a 61.7 per cent loss</w:t>
      </w:r>
      <w:r>
        <w:t xml:space="preserve"> in potential human development, ranking PNG</w:t>
      </w:r>
      <w:r w:rsidRPr="00F044AA">
        <w:t xml:space="preserve"> 134 of 148</w:t>
      </w:r>
      <w:r w:rsidR="00F6358F">
        <w:t> </w:t>
      </w:r>
      <w:r w:rsidRPr="00F044AA">
        <w:t>countries</w:t>
      </w:r>
      <w:r>
        <w:t>.</w:t>
      </w:r>
      <w:r w:rsidRPr="004400A6">
        <w:rPr>
          <w:rStyle w:val="FootnoteReference"/>
          <w:szCs w:val="16"/>
        </w:rPr>
        <w:footnoteReference w:id="11"/>
      </w:r>
      <w:r w:rsidRPr="00F044AA">
        <w:t xml:space="preserve"> </w:t>
      </w:r>
    </w:p>
    <w:p w14:paraId="0B70F50C" w14:textId="77777777" w:rsidR="008934B0" w:rsidRDefault="008934B0" w:rsidP="008E0AE1">
      <w:pPr>
        <w:pStyle w:val="BodyText"/>
      </w:pPr>
      <w:r w:rsidRPr="00A079FF">
        <w:t xml:space="preserve">PNG faces significant </w:t>
      </w:r>
      <w:r w:rsidR="00AC01BE">
        <w:t xml:space="preserve">geographic, </w:t>
      </w:r>
      <w:r w:rsidRPr="00A079FF">
        <w:t xml:space="preserve">social, economic and institutional challenges </w:t>
      </w:r>
      <w:r>
        <w:t xml:space="preserve">(including political commitment and technical capacity) </w:t>
      </w:r>
      <w:r w:rsidRPr="00A079FF">
        <w:t xml:space="preserve">to addressing poverty. </w:t>
      </w:r>
      <w:r>
        <w:t>T</w:t>
      </w:r>
      <w:r w:rsidRPr="00A079FF">
        <w:t xml:space="preserve">here are </w:t>
      </w:r>
      <w:r>
        <w:t xml:space="preserve">also </w:t>
      </w:r>
      <w:r w:rsidRPr="00A079FF">
        <w:t xml:space="preserve">some strong development opportunities on which PNG can capitalise. The </w:t>
      </w:r>
      <w:r>
        <w:t xml:space="preserve">construction </w:t>
      </w:r>
      <w:r w:rsidRPr="00A079FF">
        <w:t xml:space="preserve">boom associated with </w:t>
      </w:r>
      <w:r w:rsidR="00370A60">
        <w:t>l</w:t>
      </w:r>
      <w:r w:rsidRPr="00A079FF">
        <w:t xml:space="preserve">iquefied </w:t>
      </w:r>
      <w:r w:rsidR="00370A60">
        <w:t>n</w:t>
      </w:r>
      <w:r w:rsidRPr="00A079FF">
        <w:t xml:space="preserve">atural </w:t>
      </w:r>
      <w:r w:rsidR="00370A60">
        <w:t>g</w:t>
      </w:r>
      <w:r w:rsidRPr="00A079FF">
        <w:t xml:space="preserve">as (LNG) </w:t>
      </w:r>
      <w:r>
        <w:t>project construction</w:t>
      </w:r>
      <w:r w:rsidR="00AC01BE">
        <w:t>,</w:t>
      </w:r>
      <w:r w:rsidRPr="00A079FF">
        <w:t xml:space="preserve"> and </w:t>
      </w:r>
      <w:r>
        <w:t xml:space="preserve">revenues derived from </w:t>
      </w:r>
      <w:r w:rsidRPr="00A079FF">
        <w:t>high prices for minerals and agricultural products</w:t>
      </w:r>
      <w:r w:rsidR="00AC01BE">
        <w:t>,</w:t>
      </w:r>
      <w:r w:rsidRPr="00A079FF">
        <w:t xml:space="preserve"> </w:t>
      </w:r>
      <w:r>
        <w:t>have</w:t>
      </w:r>
      <w:r w:rsidRPr="00A079FF">
        <w:t xml:space="preserve"> deliver</w:t>
      </w:r>
      <w:r>
        <w:t xml:space="preserve">ed robust </w:t>
      </w:r>
      <w:r w:rsidRPr="00A079FF">
        <w:t xml:space="preserve">economic growth. </w:t>
      </w:r>
      <w:r>
        <w:t>However</w:t>
      </w:r>
      <w:r w:rsidR="00CE42F5">
        <w:t xml:space="preserve">, </w:t>
      </w:r>
      <w:r w:rsidR="003B181B">
        <w:t>the boom</w:t>
      </w:r>
      <w:r w:rsidR="00CE42F5">
        <w:t xml:space="preserve"> is </w:t>
      </w:r>
      <w:r>
        <w:t xml:space="preserve">expected to slow </w:t>
      </w:r>
      <w:r w:rsidR="0092558C">
        <w:t>over the next few years</w:t>
      </w:r>
      <w:r w:rsidRPr="00A079FF">
        <w:t xml:space="preserve">. PNG also </w:t>
      </w:r>
      <w:r>
        <w:t xml:space="preserve">has an opportunity </w:t>
      </w:r>
      <w:r w:rsidRPr="00A079FF">
        <w:t xml:space="preserve">to benefit from </w:t>
      </w:r>
      <w:r>
        <w:t xml:space="preserve">a </w:t>
      </w:r>
      <w:r w:rsidRPr="00A079FF">
        <w:t xml:space="preserve">stable government, with the </w:t>
      </w:r>
      <w:r w:rsidR="003B181B">
        <w:t>current g</w:t>
      </w:r>
      <w:r w:rsidRPr="00A079FF">
        <w:t xml:space="preserve">overnment </w:t>
      </w:r>
      <w:r w:rsidR="00E913BF">
        <w:t xml:space="preserve">potentially </w:t>
      </w:r>
      <w:r w:rsidRPr="00A079FF">
        <w:t xml:space="preserve">secure in office until at least February 2015. </w:t>
      </w:r>
      <w:r>
        <w:t xml:space="preserve">While the political environment remains complex, </w:t>
      </w:r>
      <w:r w:rsidRPr="00A079FF">
        <w:t>this</w:t>
      </w:r>
      <w:r w:rsidR="003B181B">
        <w:t xml:space="preserve"> stability</w:t>
      </w:r>
      <w:r w:rsidRPr="00A079FF">
        <w:t xml:space="preserve"> is </w:t>
      </w:r>
      <w:r w:rsidRPr="00A079FF">
        <w:lastRenderedPageBreak/>
        <w:t xml:space="preserve">an opportunity for the PNG Government to </w:t>
      </w:r>
      <w:r w:rsidR="00E913BF">
        <w:t>deliver without the constant distraction</w:t>
      </w:r>
      <w:r w:rsidRPr="00A079FF">
        <w:t xml:space="preserve"> </w:t>
      </w:r>
      <w:r w:rsidR="00E913BF">
        <w:t xml:space="preserve">of </w:t>
      </w:r>
      <w:r w:rsidR="009C5578">
        <w:t>internal instability</w:t>
      </w:r>
      <w:r w:rsidRPr="00A079FF">
        <w:t xml:space="preserve">. </w:t>
      </w:r>
      <w:r w:rsidR="003B181B">
        <w:t>I</w:t>
      </w:r>
      <w:r w:rsidR="00AC01BE">
        <w:t>n 2012</w:t>
      </w:r>
      <w:r w:rsidR="00EA2755">
        <w:t>,</w:t>
      </w:r>
      <w:r w:rsidRPr="00A079FF">
        <w:t xml:space="preserve"> civic demand for democracy </w:t>
      </w:r>
      <w:r w:rsidR="00AC01BE">
        <w:t xml:space="preserve">was evident, </w:t>
      </w:r>
      <w:r w:rsidR="0092558C">
        <w:t xml:space="preserve">illustrated by public pressure that </w:t>
      </w:r>
      <w:r w:rsidR="00AC01BE">
        <w:t>the</w:t>
      </w:r>
      <w:r w:rsidRPr="00A079FF">
        <w:t xml:space="preserve"> national elections be held on time</w:t>
      </w:r>
      <w:r>
        <w:t xml:space="preserve">. New technology is giving more people access to information and </w:t>
      </w:r>
      <w:r w:rsidR="00AC01BE">
        <w:t>in some instances</w:t>
      </w:r>
      <w:r w:rsidR="00E913BF">
        <w:t xml:space="preserve"> assist</w:t>
      </w:r>
      <w:r w:rsidR="00EA2755">
        <w:t>ing</w:t>
      </w:r>
      <w:r>
        <w:t xml:space="preserve"> them to </w:t>
      </w:r>
      <w:r w:rsidR="009C5578">
        <w:t>increase public pressure to hold timely elections</w:t>
      </w:r>
      <w:r>
        <w:t>.</w:t>
      </w:r>
      <w:r>
        <w:rPr>
          <w:rStyle w:val="FootnoteReference"/>
        </w:rPr>
        <w:footnoteReference w:id="12"/>
      </w:r>
      <w:r w:rsidRPr="00A079FF">
        <w:t xml:space="preserve"> </w:t>
      </w:r>
    </w:p>
    <w:p w14:paraId="0B70F50D" w14:textId="77777777" w:rsidR="008934B0" w:rsidRDefault="00732031" w:rsidP="008E0AE1">
      <w:pPr>
        <w:pStyle w:val="BodyText"/>
      </w:pPr>
      <w:r>
        <w:t>T</w:t>
      </w:r>
      <w:r w:rsidR="008934B0" w:rsidRPr="00A079FF">
        <w:t xml:space="preserve">he PNG Government </w:t>
      </w:r>
      <w:r w:rsidR="008934B0">
        <w:t xml:space="preserve">is expected to earn in excess of </w:t>
      </w:r>
      <w:r>
        <w:t>US</w:t>
      </w:r>
      <w:r w:rsidR="00615D69">
        <w:t>$</w:t>
      </w:r>
      <w:r>
        <w:t>22</w:t>
      </w:r>
      <w:r w:rsidR="008934B0">
        <w:t xml:space="preserve"> billion in revenue from the LNG </w:t>
      </w:r>
      <w:r w:rsidR="007A0E43">
        <w:t>p</w:t>
      </w:r>
      <w:r w:rsidR="008934B0">
        <w:t>roject.</w:t>
      </w:r>
      <w:r>
        <w:rPr>
          <w:rStyle w:val="FootnoteReference"/>
        </w:rPr>
        <w:footnoteReference w:id="13"/>
      </w:r>
      <w:r w:rsidR="008934B0">
        <w:t xml:space="preserve"> </w:t>
      </w:r>
      <w:r w:rsidR="008934B0" w:rsidRPr="00A079FF">
        <w:t>It will need to invest this revenue wisely to develop non-mining sectors of the economy and improve ser</w:t>
      </w:r>
      <w:r w:rsidR="00AC01BE">
        <w:t xml:space="preserve">vice delivery </w:t>
      </w:r>
      <w:r w:rsidR="008934B0" w:rsidRPr="00A079FF">
        <w:t xml:space="preserve">to more Papua New Guineans. Widespread, systemic corruption </w:t>
      </w:r>
      <w:r w:rsidR="008934B0">
        <w:t xml:space="preserve">and </w:t>
      </w:r>
      <w:r w:rsidR="00D73860">
        <w:t xml:space="preserve">administrative </w:t>
      </w:r>
      <w:r w:rsidR="008934B0">
        <w:t xml:space="preserve">inefficiency has led to PNG losing many </w:t>
      </w:r>
      <w:r w:rsidR="008934B0" w:rsidRPr="00A079FF">
        <w:t xml:space="preserve">benefits of </w:t>
      </w:r>
      <w:r w:rsidR="008934B0">
        <w:t xml:space="preserve">the </w:t>
      </w:r>
      <w:r w:rsidR="008934B0" w:rsidRPr="00A079FF">
        <w:t>mining boom</w:t>
      </w:r>
      <w:r w:rsidR="00AC01BE">
        <w:t xml:space="preserve"> over the p</w:t>
      </w:r>
      <w:r w:rsidR="008934B0">
        <w:t>ast decade</w:t>
      </w:r>
      <w:r w:rsidR="00AC01BE">
        <w:t>. Despite the efforts of</w:t>
      </w:r>
      <w:r w:rsidR="008934B0" w:rsidRPr="00A079FF">
        <w:t xml:space="preserve"> strong political and public service leaders, political and public sector institutions remain weak and are not held accountable</w:t>
      </w:r>
      <w:r w:rsidR="008934B0">
        <w:t xml:space="preserve"> when </w:t>
      </w:r>
      <w:r w:rsidR="00AC01BE">
        <w:t>public funds go</w:t>
      </w:r>
      <w:r w:rsidR="008934B0">
        <w:t xml:space="preserve"> missing</w:t>
      </w:r>
      <w:r w:rsidR="008934B0" w:rsidRPr="00A079FF">
        <w:t xml:space="preserve">. Improvements to transparency and accountability will be </w:t>
      </w:r>
      <w:r w:rsidR="008934B0">
        <w:t>instrumental</w:t>
      </w:r>
      <w:r w:rsidR="008934B0" w:rsidRPr="00A079FF">
        <w:t xml:space="preserve"> </w:t>
      </w:r>
      <w:r w:rsidR="008934B0">
        <w:t>in</w:t>
      </w:r>
      <w:r w:rsidR="008934B0" w:rsidRPr="00A079FF">
        <w:t xml:space="preserve"> reducing poverty in PNG</w:t>
      </w:r>
      <w:r w:rsidR="00477514">
        <w:t xml:space="preserve">. </w:t>
      </w:r>
      <w:r w:rsidR="008934B0" w:rsidRPr="00A079FF">
        <w:t xml:space="preserve"> </w:t>
      </w:r>
    </w:p>
    <w:p w14:paraId="0B70F50E" w14:textId="77777777" w:rsidR="008934B0" w:rsidRPr="008E0AE1" w:rsidRDefault="008934B0" w:rsidP="008E0AE1">
      <w:pPr>
        <w:pStyle w:val="Heading2"/>
      </w:pPr>
      <w:r w:rsidRPr="008E0AE1">
        <w:t>Politics</w:t>
      </w:r>
    </w:p>
    <w:p w14:paraId="0B70F50F" w14:textId="77777777" w:rsidR="008934B0" w:rsidRPr="00C8256A" w:rsidRDefault="00E832A9" w:rsidP="008E0AE1">
      <w:pPr>
        <w:pStyle w:val="BodyText"/>
      </w:pPr>
      <w:r>
        <w:t xml:space="preserve">PNG was politically </w:t>
      </w:r>
      <w:r w:rsidR="008934B0" w:rsidRPr="00ED59DE">
        <w:t xml:space="preserve">tumultuous in the lead up to its 2012 General Election. At one point, </w:t>
      </w:r>
      <w:r w:rsidR="00EA2755">
        <w:t>the country</w:t>
      </w:r>
      <w:r w:rsidR="00EA2755" w:rsidRPr="00ED59DE">
        <w:t xml:space="preserve"> </w:t>
      </w:r>
      <w:r w:rsidR="008934B0" w:rsidRPr="00ED59DE">
        <w:t xml:space="preserve">had two </w:t>
      </w:r>
      <w:r w:rsidR="00EA2755">
        <w:t>p</w:t>
      </w:r>
      <w:r w:rsidR="008934B0" w:rsidRPr="00ED59DE">
        <w:t xml:space="preserve">rime </w:t>
      </w:r>
      <w:r w:rsidR="00EA2755">
        <w:t>m</w:t>
      </w:r>
      <w:r w:rsidR="008934B0" w:rsidRPr="00ED59DE">
        <w:t>iniste</w:t>
      </w:r>
      <w:r w:rsidR="005A52E5">
        <w:t xml:space="preserve">rs, two </w:t>
      </w:r>
      <w:r w:rsidR="00EA2755">
        <w:t>g</w:t>
      </w:r>
      <w:r w:rsidR="005A52E5">
        <w:t xml:space="preserve">overnors </w:t>
      </w:r>
      <w:r w:rsidR="00EA2755">
        <w:t>g</w:t>
      </w:r>
      <w:r w:rsidR="005A52E5">
        <w:t xml:space="preserve">eneral, </w:t>
      </w:r>
      <w:r w:rsidR="008934B0" w:rsidRPr="00ED59DE">
        <w:t xml:space="preserve">two </w:t>
      </w:r>
      <w:r w:rsidR="00EA2755">
        <w:t>d</w:t>
      </w:r>
      <w:r w:rsidR="008934B0" w:rsidRPr="00ED59DE">
        <w:t xml:space="preserve">efence </w:t>
      </w:r>
      <w:r w:rsidR="00EA2755">
        <w:t>f</w:t>
      </w:r>
      <w:r w:rsidR="008934B0" w:rsidRPr="00ED59DE">
        <w:t xml:space="preserve">orce </w:t>
      </w:r>
      <w:r w:rsidR="00EA2755">
        <w:t>c</w:t>
      </w:r>
      <w:r w:rsidR="008934B0" w:rsidRPr="00ED59DE">
        <w:t>hiefs</w:t>
      </w:r>
      <w:r w:rsidR="005A52E5">
        <w:t xml:space="preserve">, and two </w:t>
      </w:r>
      <w:r w:rsidR="00EA2755">
        <w:t>p</w:t>
      </w:r>
      <w:r w:rsidR="005A52E5">
        <w:t xml:space="preserve">olice </w:t>
      </w:r>
      <w:r w:rsidR="00EA2755">
        <w:t>c</w:t>
      </w:r>
      <w:r w:rsidR="005A52E5">
        <w:t>ommissioners</w:t>
      </w:r>
      <w:r w:rsidR="008934B0" w:rsidRPr="00ED59DE">
        <w:t xml:space="preserve">. This </w:t>
      </w:r>
      <w:r w:rsidR="009C5578">
        <w:t>undermined</w:t>
      </w:r>
      <w:r w:rsidR="008934B0" w:rsidRPr="00ED59DE">
        <w:t xml:space="preserve"> core government functions. However, PNG’s instituti</w:t>
      </w:r>
      <w:r w:rsidR="009C5578">
        <w:t>ons did not collapse, even with</w:t>
      </w:r>
      <w:r w:rsidR="00EA2755" w:rsidRPr="00ED59DE">
        <w:t xml:space="preserve"> </w:t>
      </w:r>
      <w:r w:rsidR="008934B0" w:rsidRPr="00ED59DE">
        <w:t>leaders</w:t>
      </w:r>
      <w:r>
        <w:t xml:space="preserve"> experiencing great pressure,</w:t>
      </w:r>
      <w:r w:rsidR="008934B0" w:rsidRPr="00ED59DE">
        <w:t xml:space="preserve"> and </w:t>
      </w:r>
      <w:r w:rsidR="00EA2755">
        <w:t>the</w:t>
      </w:r>
      <w:r w:rsidR="00EA2755" w:rsidRPr="00ED59DE">
        <w:t xml:space="preserve"> </w:t>
      </w:r>
      <w:r w:rsidR="008934B0" w:rsidRPr="00ED59DE">
        <w:t>election occurred</w:t>
      </w:r>
      <w:r>
        <w:t xml:space="preserve"> without widespread violence.</w:t>
      </w:r>
      <w:r w:rsidR="008934B0" w:rsidRPr="00ED59DE">
        <w:rPr>
          <w:rStyle w:val="FootnoteReference"/>
        </w:rPr>
        <w:footnoteReference w:id="14"/>
      </w:r>
      <w:r w:rsidR="008934B0" w:rsidRPr="00ED59DE">
        <w:t xml:space="preserve"> </w:t>
      </w:r>
      <w:r w:rsidR="008934B0">
        <w:t xml:space="preserve">The </w:t>
      </w:r>
      <w:r w:rsidR="008934B0" w:rsidRPr="00C8256A">
        <w:t xml:space="preserve">eighth national </w:t>
      </w:r>
      <w:r w:rsidR="008934B0">
        <w:t xml:space="preserve">PNG elections held </w:t>
      </w:r>
      <w:r w:rsidR="008934B0" w:rsidRPr="00C8256A">
        <w:t>June</w:t>
      </w:r>
      <w:r w:rsidR="00EA2755">
        <w:t xml:space="preserve"> to </w:t>
      </w:r>
      <w:r w:rsidR="008934B0">
        <w:t>July 2012</w:t>
      </w:r>
      <w:r w:rsidR="008934B0" w:rsidRPr="00C8256A">
        <w:t xml:space="preserve"> result</w:t>
      </w:r>
      <w:r w:rsidR="008934B0">
        <w:t>ed</w:t>
      </w:r>
      <w:r w:rsidR="008934B0" w:rsidRPr="00C8256A">
        <w:t xml:space="preserve"> in the formation of the </w:t>
      </w:r>
      <w:r w:rsidR="00EA2755">
        <w:t>current</w:t>
      </w:r>
      <w:r w:rsidR="008934B0" w:rsidRPr="00C8256A">
        <w:t xml:space="preserve"> coalition government in August</w:t>
      </w:r>
      <w:r w:rsidR="00F6358F">
        <w:t> </w:t>
      </w:r>
      <w:r w:rsidR="008934B0" w:rsidRPr="00C8256A">
        <w:t xml:space="preserve">2012. </w:t>
      </w:r>
    </w:p>
    <w:p w14:paraId="0B70F510" w14:textId="77777777" w:rsidR="008934B0" w:rsidRPr="00C8256A" w:rsidRDefault="00EA2755" w:rsidP="008E0AE1">
      <w:pPr>
        <w:pStyle w:val="BodyText"/>
      </w:pPr>
      <w:r>
        <w:t>More than</w:t>
      </w:r>
      <w:r w:rsidRPr="00C8256A">
        <w:t xml:space="preserve"> </w:t>
      </w:r>
      <w:r w:rsidR="008934B0" w:rsidRPr="00C8256A">
        <w:t xml:space="preserve">3400 candidates nominated for the national election, the highest number ever. Efforts to pass legislation to reserve 22 seats in Parliament for women failed to garner sufficient support. However, three women were elected to the ninth Parliament. </w:t>
      </w:r>
      <w:r w:rsidR="0092558C">
        <w:t>T</w:t>
      </w:r>
      <w:r w:rsidR="008934B0">
        <w:t>he</w:t>
      </w:r>
      <w:r w:rsidR="008934B0" w:rsidRPr="00C8256A">
        <w:t xml:space="preserve"> People’s National Congress Party won the most seats</w:t>
      </w:r>
      <w:r w:rsidR="00E832A9">
        <w:t xml:space="preserve">, and Prime </w:t>
      </w:r>
      <w:r w:rsidR="00E832A9" w:rsidRPr="00395A95">
        <w:t>Minister O’Neill</w:t>
      </w:r>
      <w:r w:rsidR="008934B0" w:rsidRPr="00095C97">
        <w:t xml:space="preserve"> was invited to form government. Prime Minister O’Neill and former </w:t>
      </w:r>
      <w:r w:rsidR="004459BF">
        <w:t>p</w:t>
      </w:r>
      <w:r w:rsidR="008934B0" w:rsidRPr="00095C97">
        <w:t xml:space="preserve">rime </w:t>
      </w:r>
      <w:r w:rsidR="004459BF">
        <w:t>m</w:t>
      </w:r>
      <w:r w:rsidR="008934B0" w:rsidRPr="00095C97">
        <w:t xml:space="preserve">inister </w:t>
      </w:r>
      <w:r w:rsidR="008934B0" w:rsidRPr="00395A95">
        <w:t>Sir Michael Somare</w:t>
      </w:r>
      <w:r w:rsidR="008934B0" w:rsidRPr="00C8256A">
        <w:t xml:space="preserve"> overcame </w:t>
      </w:r>
      <w:r w:rsidR="008934B0">
        <w:t xml:space="preserve">a number of </w:t>
      </w:r>
      <w:r w:rsidR="008934B0" w:rsidRPr="00C8256A">
        <w:t xml:space="preserve">differences to form a coalition government with several minor parties. </w:t>
      </w:r>
    </w:p>
    <w:p w14:paraId="0B70F511" w14:textId="77777777" w:rsidR="008934B0" w:rsidRDefault="008934B0" w:rsidP="008E0AE1">
      <w:pPr>
        <w:pStyle w:val="BodyText"/>
      </w:pPr>
      <w:r w:rsidRPr="00C8256A">
        <w:t xml:space="preserve">The </w:t>
      </w:r>
      <w:r>
        <w:t>O’Neill</w:t>
      </w:r>
      <w:r w:rsidRPr="00C8256A">
        <w:t xml:space="preserve"> </w:t>
      </w:r>
      <w:r>
        <w:t>G</w:t>
      </w:r>
      <w:r w:rsidRPr="00C8256A">
        <w:t xml:space="preserve">overnment quickly outlined PNG’s priorities </w:t>
      </w:r>
      <w:r w:rsidR="009C5578">
        <w:t>to 2017</w:t>
      </w:r>
      <w:r w:rsidR="00E832A9">
        <w:t>, cent</w:t>
      </w:r>
      <w:r w:rsidR="009C5578">
        <w:t>e</w:t>
      </w:r>
      <w:r w:rsidR="00E832A9">
        <w:t>r</w:t>
      </w:r>
      <w:r w:rsidR="0027198D">
        <w:t>ing</w:t>
      </w:r>
      <w:r w:rsidRPr="00C8256A">
        <w:t xml:space="preserve"> on improved economic growth </w:t>
      </w:r>
      <w:r w:rsidR="00E832A9">
        <w:t>and service delivery, including priorities in</w:t>
      </w:r>
      <w:r w:rsidRPr="00C8256A">
        <w:t xml:space="preserve"> legislative reform, free </w:t>
      </w:r>
      <w:r>
        <w:t xml:space="preserve">basic </w:t>
      </w:r>
      <w:r w:rsidRPr="00C8256A">
        <w:t xml:space="preserve">education and healthcare, </w:t>
      </w:r>
      <w:r w:rsidR="00984875">
        <w:t xml:space="preserve">new </w:t>
      </w:r>
      <w:r w:rsidRPr="00C8256A">
        <w:t xml:space="preserve">infrastructure and improving law and </w:t>
      </w:r>
      <w:r w:rsidR="00E832A9">
        <w:t xml:space="preserve">order. Included in the </w:t>
      </w:r>
      <w:r w:rsidRPr="00C8256A">
        <w:t>reform</w:t>
      </w:r>
      <w:r w:rsidR="00E832A9">
        <w:t>s</w:t>
      </w:r>
      <w:r w:rsidRPr="00C8256A">
        <w:t xml:space="preserve"> was a </w:t>
      </w:r>
      <w:r w:rsidR="00E832A9">
        <w:t xml:space="preserve">proposed </w:t>
      </w:r>
      <w:r w:rsidR="00677DFE">
        <w:t>review of PNG’s</w:t>
      </w:r>
      <w:r w:rsidRPr="00C8256A">
        <w:t xml:space="preserve"> Constitution. </w:t>
      </w:r>
      <w:r w:rsidR="009C5578">
        <w:t>E</w:t>
      </w:r>
      <w:r w:rsidRPr="00C8256A">
        <w:t xml:space="preserve">stablishment of a National Anti-Corruption Strategy Task Force was announced and the government indicated it would strengthen </w:t>
      </w:r>
      <w:r w:rsidRPr="005A68E0">
        <w:t>police and defence</w:t>
      </w:r>
      <w:r w:rsidR="00984875">
        <w:t xml:space="preserve"> forces. Relations be</w:t>
      </w:r>
      <w:r w:rsidR="00677DFE">
        <w:t>tween the government and judiciary, tested during 2011</w:t>
      </w:r>
      <w:r w:rsidR="00615D69">
        <w:t>–</w:t>
      </w:r>
      <w:r w:rsidR="00677DFE">
        <w:t xml:space="preserve">12, </w:t>
      </w:r>
      <w:r w:rsidRPr="005A68E0">
        <w:t>improved. In November</w:t>
      </w:r>
      <w:r w:rsidR="00832B86">
        <w:t xml:space="preserve"> </w:t>
      </w:r>
      <w:r w:rsidRPr="005A68E0">
        <w:t>2012</w:t>
      </w:r>
      <w:r w:rsidR="004459BF">
        <w:t>,</w:t>
      </w:r>
      <w:r w:rsidR="0027198D" w:rsidRPr="005A68E0">
        <w:t xml:space="preserve"> </w:t>
      </w:r>
      <w:r w:rsidRPr="005A68E0">
        <w:t xml:space="preserve">the government passed </w:t>
      </w:r>
      <w:r w:rsidR="0092558C">
        <w:t xml:space="preserve">the </w:t>
      </w:r>
      <w:r w:rsidRPr="005A68E0">
        <w:t xml:space="preserve">2013 National Budget, </w:t>
      </w:r>
      <w:r w:rsidR="0092558C">
        <w:t xml:space="preserve">with planned expenditure of </w:t>
      </w:r>
      <w:r w:rsidR="00615D69">
        <w:t>$</w:t>
      </w:r>
      <w:r w:rsidRPr="005A68E0">
        <w:t>6 billion (K13 billion). It included significant increases in disbursement</w:t>
      </w:r>
      <w:r w:rsidR="00677DFE">
        <w:t>s</w:t>
      </w:r>
      <w:r w:rsidRPr="005A68E0">
        <w:t xml:space="preserve"> at provincial and district levels</w:t>
      </w:r>
      <w:r w:rsidR="004459BF">
        <w:t>,</w:t>
      </w:r>
      <w:r w:rsidRPr="005A68E0">
        <w:t xml:space="preserve"> </w:t>
      </w:r>
      <w:r w:rsidR="00677DFE">
        <w:t xml:space="preserve">including </w:t>
      </w:r>
      <w:r w:rsidRPr="005A68E0">
        <w:t>for free education, health services and infrastructure maintenance.</w:t>
      </w:r>
    </w:p>
    <w:p w14:paraId="0B70F512" w14:textId="77777777" w:rsidR="0027198D" w:rsidRDefault="008934B0" w:rsidP="008E0AE1">
      <w:pPr>
        <w:pStyle w:val="BodyText"/>
      </w:pPr>
      <w:r>
        <w:t xml:space="preserve">PNG is </w:t>
      </w:r>
      <w:r w:rsidR="0092558C">
        <w:t>now</w:t>
      </w:r>
      <w:r>
        <w:t xml:space="preserve"> led by a generation of politicians who think</w:t>
      </w:r>
      <w:r w:rsidR="00481B36">
        <w:t xml:space="preserve"> and operate</w:t>
      </w:r>
      <w:r>
        <w:t xml:space="preserve"> differently, referred to by some as the ‘post-Independence generation of politicians’. </w:t>
      </w:r>
      <w:r w:rsidR="00481B36">
        <w:t>N</w:t>
      </w:r>
      <w:r>
        <w:t>ew ideas about PNG’s future</w:t>
      </w:r>
      <w:r w:rsidR="00984875">
        <w:t xml:space="preserve"> and</w:t>
      </w:r>
      <w:r w:rsidR="00481B36">
        <w:t xml:space="preserve"> an increased </w:t>
      </w:r>
      <w:r w:rsidR="00984875">
        <w:t>recep</w:t>
      </w:r>
      <w:r w:rsidR="00481B36">
        <w:t xml:space="preserve">tiveness to policy reform </w:t>
      </w:r>
      <w:r w:rsidR="00615D69">
        <w:t>are</w:t>
      </w:r>
      <w:r w:rsidR="00095C97">
        <w:t xml:space="preserve"> </w:t>
      </w:r>
      <w:r w:rsidR="00481B36">
        <w:t>evident</w:t>
      </w:r>
      <w:r>
        <w:t xml:space="preserve">. </w:t>
      </w:r>
      <w:r w:rsidR="00481B36">
        <w:t>Education reform is a hallmark issue for the current leadership</w:t>
      </w:r>
      <w:r>
        <w:t xml:space="preserve">, </w:t>
      </w:r>
      <w:r w:rsidR="00481B36">
        <w:t>and there is a clear focus</w:t>
      </w:r>
      <w:r>
        <w:t xml:space="preserve"> on infrastructure development to enable economic growth. </w:t>
      </w:r>
      <w:r w:rsidRPr="000B1BF5">
        <w:t>The newly introduced</w:t>
      </w:r>
      <w:r w:rsidR="0027198D">
        <w:t>,</w:t>
      </w:r>
      <w:r w:rsidRPr="000B1BF5">
        <w:t xml:space="preserve"> 30-month grace period before a motion of no-</w:t>
      </w:r>
      <w:r w:rsidRPr="000B1BF5">
        <w:lastRenderedPageBreak/>
        <w:t>confidence can be passed provides the O’Neill Government with a window of opportunity to introduce</w:t>
      </w:r>
      <w:r w:rsidR="00481B36">
        <w:t xml:space="preserve"> significant, </w:t>
      </w:r>
      <w:r w:rsidR="00C66960">
        <w:t>long</w:t>
      </w:r>
      <w:r w:rsidR="0027198D">
        <w:t>-</w:t>
      </w:r>
      <w:r w:rsidR="00C66960">
        <w:t>term</w:t>
      </w:r>
      <w:r w:rsidR="00481B36">
        <w:t xml:space="preserve"> reforms.</w:t>
      </w:r>
      <w:r>
        <w:t xml:space="preserve"> </w:t>
      </w:r>
    </w:p>
    <w:p w14:paraId="0B70F513" w14:textId="77777777" w:rsidR="008934B0" w:rsidRPr="00C8256A" w:rsidRDefault="00481B36" w:rsidP="008E0AE1">
      <w:pPr>
        <w:pStyle w:val="BodyText"/>
      </w:pPr>
      <w:r>
        <w:t>With new policies</w:t>
      </w:r>
      <w:r w:rsidR="008934B0" w:rsidRPr="000B1BF5">
        <w:t xml:space="preserve"> come new opportunities fo</w:t>
      </w:r>
      <w:r w:rsidR="008934B0">
        <w:t xml:space="preserve">r Australia to engage. Notwithstanding this, the PNG Government </w:t>
      </w:r>
      <w:r>
        <w:t>comprise</w:t>
      </w:r>
      <w:r w:rsidR="0027198D">
        <w:t>s</w:t>
      </w:r>
      <w:r w:rsidR="008934B0">
        <w:t xml:space="preserve"> a broad coalitio</w:t>
      </w:r>
      <w:r>
        <w:t xml:space="preserve">n, the management of which will </w:t>
      </w:r>
      <w:r w:rsidR="004459BF">
        <w:t xml:space="preserve">require </w:t>
      </w:r>
      <w:r w:rsidR="008934B0">
        <w:t>compromise</w:t>
      </w:r>
      <w:r w:rsidR="0041638B">
        <w:t xml:space="preserve">. </w:t>
      </w:r>
      <w:r>
        <w:t xml:space="preserve">It </w:t>
      </w:r>
      <w:r w:rsidR="008934B0">
        <w:t xml:space="preserve">remains to be seen </w:t>
      </w:r>
      <w:r w:rsidR="0027198D">
        <w:t xml:space="preserve">if </w:t>
      </w:r>
      <w:r w:rsidR="008934B0">
        <w:t xml:space="preserve">the </w:t>
      </w:r>
      <w:r w:rsidR="0027198D">
        <w:t>g</w:t>
      </w:r>
      <w:r w:rsidR="008934B0">
        <w:t>overnment can move beyond the rhetoric to</w:t>
      </w:r>
      <w:r>
        <w:t xml:space="preserve"> implement</w:t>
      </w:r>
      <w:r w:rsidR="008934B0">
        <w:t xml:space="preserve"> concrete actions </w:t>
      </w:r>
      <w:r>
        <w:t>benefiting millions of poor and marginalised Papuan New Guineans</w:t>
      </w:r>
      <w:r w:rsidR="008934B0">
        <w:t>.</w:t>
      </w:r>
    </w:p>
    <w:p w14:paraId="0B70F514" w14:textId="77777777" w:rsidR="008934B0" w:rsidRPr="008E0AE1" w:rsidRDefault="008934B0" w:rsidP="008E0AE1">
      <w:pPr>
        <w:pStyle w:val="Heading2"/>
      </w:pPr>
      <w:r w:rsidRPr="008E0AE1">
        <w:t xml:space="preserve">Economy </w:t>
      </w:r>
    </w:p>
    <w:p w14:paraId="0B70F515" w14:textId="77777777" w:rsidR="008934B0" w:rsidRPr="00DA07FB" w:rsidRDefault="008934B0" w:rsidP="008934B0">
      <w:pPr>
        <w:pStyle w:val="BodyText"/>
        <w:spacing w:line="23" w:lineRule="atLeast"/>
        <w:rPr>
          <w:lang w:val="en"/>
        </w:rPr>
      </w:pPr>
      <w:r>
        <w:t>PNG’s economy grew by an estimated 9.2 per cent in 2012</w:t>
      </w:r>
      <w:r>
        <w:rPr>
          <w:rStyle w:val="FootnoteReference"/>
        </w:rPr>
        <w:footnoteReference w:id="15"/>
      </w:r>
      <w:r w:rsidR="00615D69">
        <w:t>,</w:t>
      </w:r>
      <w:r>
        <w:t xml:space="preserve"> the </w:t>
      </w:r>
      <w:r w:rsidR="009C5578">
        <w:t>11</w:t>
      </w:r>
      <w:r w:rsidR="009C5578" w:rsidRPr="009C5578">
        <w:rPr>
          <w:vertAlign w:val="superscript"/>
        </w:rPr>
        <w:t>th</w:t>
      </w:r>
      <w:r w:rsidR="009C5578">
        <w:t xml:space="preserve"> </w:t>
      </w:r>
      <w:r>
        <w:t>consec</w:t>
      </w:r>
      <w:r w:rsidR="00481B36">
        <w:t xml:space="preserve">utive year of positive </w:t>
      </w:r>
      <w:r>
        <w:t>growth. The key driver of str</w:t>
      </w:r>
      <w:r w:rsidR="000C1185">
        <w:t xml:space="preserve">ong growth continues to be LNG </w:t>
      </w:r>
      <w:r w:rsidR="004459BF">
        <w:t>p</w:t>
      </w:r>
      <w:r w:rsidR="00481B36">
        <w:t>roject-</w:t>
      </w:r>
      <w:r>
        <w:t>related construction activity. Strong demand has spilled over into related sectors, including transport, storage</w:t>
      </w:r>
      <w:r w:rsidR="0027198D">
        <w:t>,</w:t>
      </w:r>
      <w:r>
        <w:t xml:space="preserve"> communication</w:t>
      </w:r>
      <w:r w:rsidR="0027198D">
        <w:t>,</w:t>
      </w:r>
      <w:r>
        <w:t xml:space="preserve"> and wholesale and retail trade, resulting in continued growth of formal employment, particularly in the retail trade sector. </w:t>
      </w:r>
      <w:r w:rsidRPr="00DA07FB">
        <w:t>Since 2006</w:t>
      </w:r>
      <w:r w:rsidR="0027198D">
        <w:t>,</w:t>
      </w:r>
      <w:r w:rsidR="00832B86">
        <w:t xml:space="preserve"> </w:t>
      </w:r>
      <w:r w:rsidRPr="00DA07FB">
        <w:t xml:space="preserve">agricultural </w:t>
      </w:r>
      <w:r w:rsidR="00A70827" w:rsidRPr="00DA07FB">
        <w:t>exports</w:t>
      </w:r>
      <w:r w:rsidR="00A70827">
        <w:t xml:space="preserve"> have</w:t>
      </w:r>
      <w:r w:rsidR="0027198D">
        <w:t xml:space="preserve"> seen relatively good growth</w:t>
      </w:r>
      <w:r w:rsidRPr="00DA07FB">
        <w:t xml:space="preserve"> (also buoyed by high internati</w:t>
      </w:r>
      <w:r w:rsidR="00481B36">
        <w:t>onal prices)</w:t>
      </w:r>
      <w:r w:rsidR="004459BF">
        <w:t xml:space="preserve"> and are</w:t>
      </w:r>
      <w:r w:rsidR="00481B36">
        <w:t xml:space="preserve"> </w:t>
      </w:r>
      <w:r w:rsidRPr="00DA07FB">
        <w:t>contribut</w:t>
      </w:r>
      <w:r w:rsidR="00145CBA">
        <w:t>ing</w:t>
      </w:r>
      <w:r w:rsidRPr="00DA07FB">
        <w:t xml:space="preserve"> to improved cash incomes for </w:t>
      </w:r>
      <w:r w:rsidR="00481B36">
        <w:t>many</w:t>
      </w:r>
      <w:r w:rsidRPr="00DA07FB">
        <w:t xml:space="preserve"> rural Papua New Guineans</w:t>
      </w:r>
      <w:r w:rsidRPr="00DA07FB">
        <w:rPr>
          <w:lang w:val="en"/>
        </w:rPr>
        <w:t>.</w:t>
      </w:r>
    </w:p>
    <w:p w14:paraId="0B70F516" w14:textId="77777777" w:rsidR="008934B0" w:rsidRPr="00D60188" w:rsidRDefault="008934B0" w:rsidP="008934B0">
      <w:pPr>
        <w:pStyle w:val="BodyText"/>
        <w:spacing w:line="23" w:lineRule="atLeast"/>
        <w:rPr>
          <w:szCs w:val="22"/>
        </w:rPr>
      </w:pPr>
      <w:r w:rsidRPr="00D60188">
        <w:rPr>
          <w:szCs w:val="22"/>
        </w:rPr>
        <w:t>Strong global demand for PNG’s commodities</w:t>
      </w:r>
      <w:r w:rsidR="0027198D">
        <w:rPr>
          <w:szCs w:val="22"/>
        </w:rPr>
        <w:t>,</w:t>
      </w:r>
      <w:r w:rsidRPr="00D60188">
        <w:rPr>
          <w:szCs w:val="22"/>
        </w:rPr>
        <w:t xml:space="preserve"> combined with the </w:t>
      </w:r>
      <w:r w:rsidR="0027198D">
        <w:rPr>
          <w:szCs w:val="22"/>
        </w:rPr>
        <w:t>g</w:t>
      </w:r>
      <w:r w:rsidRPr="00D60188">
        <w:rPr>
          <w:szCs w:val="22"/>
        </w:rPr>
        <w:t>overnment’s prudent fiscal policies</w:t>
      </w:r>
      <w:r w:rsidR="0027198D">
        <w:rPr>
          <w:szCs w:val="22"/>
        </w:rPr>
        <w:t>,</w:t>
      </w:r>
      <w:r w:rsidRPr="00D60188">
        <w:rPr>
          <w:szCs w:val="22"/>
        </w:rPr>
        <w:t xml:space="preserve"> resulted in significant improvement in PNG’s macroeconomic fundamentals over t</w:t>
      </w:r>
      <w:r w:rsidR="000C1185">
        <w:rPr>
          <w:szCs w:val="22"/>
        </w:rPr>
        <w:t xml:space="preserve">he past decade. </w:t>
      </w:r>
      <w:r w:rsidRPr="00D60188">
        <w:rPr>
          <w:szCs w:val="22"/>
        </w:rPr>
        <w:t xml:space="preserve">Total public sector debt declined from 72 per cent of </w:t>
      </w:r>
      <w:r w:rsidR="0027198D">
        <w:rPr>
          <w:szCs w:val="22"/>
        </w:rPr>
        <w:t>gross domestic product</w:t>
      </w:r>
      <w:r w:rsidRPr="00D60188">
        <w:rPr>
          <w:szCs w:val="22"/>
        </w:rPr>
        <w:t xml:space="preserve"> in 2002 to 26 per cent in 2012, and external reserves increased from 6.9 </w:t>
      </w:r>
      <w:r w:rsidR="0027198D">
        <w:rPr>
          <w:szCs w:val="22"/>
        </w:rPr>
        <w:t xml:space="preserve">months </w:t>
      </w:r>
      <w:r w:rsidRPr="00D60188">
        <w:rPr>
          <w:szCs w:val="22"/>
        </w:rPr>
        <w:t>to 15.9 of non-mineral import</w:t>
      </w:r>
      <w:r w:rsidR="0019055F">
        <w:rPr>
          <w:szCs w:val="22"/>
        </w:rPr>
        <w:t>s</w:t>
      </w:r>
      <w:r w:rsidRPr="00D60188">
        <w:rPr>
          <w:szCs w:val="22"/>
        </w:rPr>
        <w:t xml:space="preserve"> over this period</w:t>
      </w:r>
      <w:r w:rsidR="0041638B">
        <w:rPr>
          <w:szCs w:val="22"/>
        </w:rPr>
        <w:t xml:space="preserve">. </w:t>
      </w:r>
      <w:r w:rsidR="0015385B">
        <w:rPr>
          <w:szCs w:val="22"/>
        </w:rPr>
        <w:t xml:space="preserve">The economy’s strength </w:t>
      </w:r>
      <w:r w:rsidRPr="00D60188">
        <w:rPr>
          <w:szCs w:val="22"/>
        </w:rPr>
        <w:t xml:space="preserve">has seemingly instilled </w:t>
      </w:r>
      <w:r>
        <w:rPr>
          <w:szCs w:val="22"/>
        </w:rPr>
        <w:t>a sense of confidence in the</w:t>
      </w:r>
      <w:r w:rsidR="0015385B">
        <w:rPr>
          <w:szCs w:val="22"/>
        </w:rPr>
        <w:t xml:space="preserve"> O’Neill Government</w:t>
      </w:r>
      <w:r>
        <w:rPr>
          <w:szCs w:val="22"/>
        </w:rPr>
        <w:t xml:space="preserve">, </w:t>
      </w:r>
      <w:r w:rsidRPr="00D60188">
        <w:rPr>
          <w:szCs w:val="22"/>
        </w:rPr>
        <w:t xml:space="preserve">demonstrated by </w:t>
      </w:r>
      <w:r w:rsidR="0027198D">
        <w:rPr>
          <w:szCs w:val="22"/>
        </w:rPr>
        <w:t>its</w:t>
      </w:r>
      <w:r w:rsidR="0027198D" w:rsidRPr="00D60188">
        <w:rPr>
          <w:szCs w:val="22"/>
        </w:rPr>
        <w:t xml:space="preserve"> </w:t>
      </w:r>
      <w:r w:rsidRPr="00D60188">
        <w:rPr>
          <w:szCs w:val="22"/>
        </w:rPr>
        <w:t xml:space="preserve">expansionary 2013 National Budget. </w:t>
      </w:r>
    </w:p>
    <w:p w14:paraId="0B70F517" w14:textId="77777777" w:rsidR="008934B0" w:rsidRDefault="008934B0" w:rsidP="008934B0">
      <w:pPr>
        <w:pStyle w:val="BodyText"/>
        <w:spacing w:line="23" w:lineRule="atLeast"/>
      </w:pPr>
      <w:r>
        <w:t xml:space="preserve">The </w:t>
      </w:r>
      <w:r w:rsidR="0027198D">
        <w:t xml:space="preserve">economy’s </w:t>
      </w:r>
      <w:r>
        <w:t>strong performance</w:t>
      </w:r>
      <w:r w:rsidR="0027198D">
        <w:t xml:space="preserve"> </w:t>
      </w:r>
      <w:r>
        <w:t xml:space="preserve">in 2012 </w:t>
      </w:r>
      <w:r w:rsidR="009C5578">
        <w:t>wa</w:t>
      </w:r>
      <w:r>
        <w:t xml:space="preserve">s moderated by </w:t>
      </w:r>
      <w:r w:rsidR="009C5578">
        <w:t>the following</w:t>
      </w:r>
      <w:r>
        <w:t xml:space="preserve"> factors:</w:t>
      </w:r>
    </w:p>
    <w:p w14:paraId="0B70F518" w14:textId="77777777" w:rsidR="008934B0" w:rsidRDefault="00AC4B80" w:rsidP="008E0AE1">
      <w:pPr>
        <w:pStyle w:val="ListBullet"/>
      </w:pPr>
      <w:r>
        <w:t>e</w:t>
      </w:r>
      <w:r w:rsidR="00682345">
        <w:t>merging</w:t>
      </w:r>
      <w:r w:rsidR="008934B0">
        <w:t xml:space="preserve"> weakness in agriculture, forestry and fisheries sectors with</w:t>
      </w:r>
      <w:r w:rsidR="0027198D">
        <w:t xml:space="preserve"> the</w:t>
      </w:r>
      <w:r w:rsidR="00682345">
        <w:t xml:space="preserve"> PNG</w:t>
      </w:r>
      <w:r w:rsidR="008934B0">
        <w:t xml:space="preserve"> Treasury estimating a deceleration to 0.2 per cent growth in 2012</w:t>
      </w:r>
      <w:r w:rsidR="008934B0">
        <w:rPr>
          <w:rStyle w:val="FootnoteReference"/>
        </w:rPr>
        <w:footnoteReference w:id="16"/>
      </w:r>
      <w:r w:rsidR="00BC3DAE">
        <w:t xml:space="preserve"> (</w:t>
      </w:r>
      <w:r w:rsidR="00145CBA">
        <w:t>following</w:t>
      </w:r>
      <w:r w:rsidR="008934B0">
        <w:t xml:space="preserve"> strong growth of 8.1 per cent in 2011</w:t>
      </w:r>
      <w:r w:rsidR="00BC3DAE">
        <w:t>)</w:t>
      </w:r>
      <w:r w:rsidR="0027198D">
        <w:t>,</w:t>
      </w:r>
      <w:r w:rsidR="00BC3DAE">
        <w:t xml:space="preserve"> </w:t>
      </w:r>
      <w:r w:rsidR="008934B0">
        <w:t>reflect</w:t>
      </w:r>
      <w:r w:rsidR="00BC3DAE">
        <w:t>ing</w:t>
      </w:r>
      <w:r w:rsidR="008934B0">
        <w:t xml:space="preserve"> lower agricultural commodity prices for </w:t>
      </w:r>
      <w:r w:rsidR="00682345">
        <w:t>Arabica</w:t>
      </w:r>
      <w:r w:rsidR="008934B0">
        <w:t xml:space="preserve"> coffee, co</w:t>
      </w:r>
      <w:r w:rsidR="00620021">
        <w:t>pra and palm oil prices in 2012</w:t>
      </w:r>
      <w:r w:rsidR="008934B0">
        <w:t xml:space="preserve"> </w:t>
      </w:r>
    </w:p>
    <w:p w14:paraId="0B70F519" w14:textId="77777777" w:rsidR="008934B0" w:rsidRDefault="00BC3DAE" w:rsidP="008E0AE1">
      <w:pPr>
        <w:pStyle w:val="ListBullet"/>
      </w:pPr>
      <w:r>
        <w:t xml:space="preserve">slowing </w:t>
      </w:r>
      <w:r w:rsidR="00620021">
        <w:t>e</w:t>
      </w:r>
      <w:r w:rsidR="008934B0">
        <w:t xml:space="preserve">xpansion in </w:t>
      </w:r>
      <w:r w:rsidR="008934B0" w:rsidRPr="00A34039">
        <w:t>the mining</w:t>
      </w:r>
      <w:r w:rsidR="008934B0">
        <w:t>, gas</w:t>
      </w:r>
      <w:r w:rsidR="008934B0" w:rsidRPr="00A34039">
        <w:t xml:space="preserve"> and petroleum sector</w:t>
      </w:r>
      <w:r w:rsidR="008934B0">
        <w:t xml:space="preserve"> with existing proje</w:t>
      </w:r>
      <w:r w:rsidR="00CA4988">
        <w:t>cts reaching maturity before</w:t>
      </w:r>
      <w:r w:rsidR="008934B0">
        <w:t xml:space="preserve"> production from new projects, including the Ramu Nickel mine and the LNG project, could come on</w:t>
      </w:r>
      <w:r w:rsidR="00F6358F">
        <w:t xml:space="preserve"> </w:t>
      </w:r>
      <w:r w:rsidR="00620021">
        <w:t>stream</w:t>
      </w:r>
      <w:r w:rsidR="008934B0">
        <w:t xml:space="preserve"> </w:t>
      </w:r>
    </w:p>
    <w:p w14:paraId="0B70F51A" w14:textId="77777777" w:rsidR="008934B0" w:rsidRDefault="00620021" w:rsidP="008E0AE1">
      <w:pPr>
        <w:pStyle w:val="ListBullet"/>
      </w:pPr>
      <w:r>
        <w:t>c</w:t>
      </w:r>
      <w:r w:rsidR="008934B0">
        <w:t>ontinu</w:t>
      </w:r>
      <w:r w:rsidR="000C1B1B">
        <w:t>ing</w:t>
      </w:r>
      <w:r w:rsidR="008934B0">
        <w:t xml:space="preserve"> economic uncertainty in Europe, as well as slowing demand from China for commodities</w:t>
      </w:r>
      <w:r w:rsidR="00AC4B80">
        <w:t xml:space="preserve"> (which</w:t>
      </w:r>
      <w:r w:rsidR="008934B0">
        <w:t xml:space="preserve"> could result in lower</w:t>
      </w:r>
      <w:r w:rsidR="000C1B1B">
        <w:t>-</w:t>
      </w:r>
      <w:r w:rsidR="008934B0">
        <w:t>than</w:t>
      </w:r>
      <w:r w:rsidR="000C1B1B">
        <w:t>-</w:t>
      </w:r>
      <w:r w:rsidR="008934B0">
        <w:t>ex</w:t>
      </w:r>
      <w:r>
        <w:t>pected commodity prices, lower g</w:t>
      </w:r>
      <w:r w:rsidR="008934B0">
        <w:t xml:space="preserve">overnment revenue and </w:t>
      </w:r>
      <w:r w:rsidR="00C67DF3">
        <w:t>reduced</w:t>
      </w:r>
      <w:r w:rsidR="008934B0">
        <w:t xml:space="preserve"> exploration and capital expenditure</w:t>
      </w:r>
      <w:r w:rsidR="00AC4B80">
        <w:t>)</w:t>
      </w:r>
      <w:r w:rsidR="008934B0">
        <w:t xml:space="preserve">. </w:t>
      </w:r>
    </w:p>
    <w:p w14:paraId="0B70F51B" w14:textId="77777777" w:rsidR="008934B0" w:rsidRPr="00620021" w:rsidRDefault="008934B0" w:rsidP="008934B0">
      <w:pPr>
        <w:pStyle w:val="BodyText"/>
        <w:spacing w:line="23" w:lineRule="atLeast"/>
        <w:rPr>
          <w:szCs w:val="22"/>
        </w:rPr>
      </w:pPr>
      <w:r>
        <w:rPr>
          <w:szCs w:val="22"/>
        </w:rPr>
        <w:t xml:space="preserve">Given the structure </w:t>
      </w:r>
      <w:r w:rsidR="00620021">
        <w:rPr>
          <w:szCs w:val="22"/>
        </w:rPr>
        <w:t>of PNG</w:t>
      </w:r>
      <w:r w:rsidR="007A0E43">
        <w:rPr>
          <w:szCs w:val="22"/>
        </w:rPr>
        <w:t>’s</w:t>
      </w:r>
      <w:r w:rsidR="00620021">
        <w:rPr>
          <w:szCs w:val="22"/>
        </w:rPr>
        <w:t xml:space="preserve"> economy, including its</w:t>
      </w:r>
      <w:r>
        <w:rPr>
          <w:szCs w:val="22"/>
        </w:rPr>
        <w:t xml:space="preserve"> large informal se</w:t>
      </w:r>
      <w:r w:rsidR="000C1185">
        <w:rPr>
          <w:szCs w:val="22"/>
        </w:rPr>
        <w:t xml:space="preserve">ctor, high underemployment is an </w:t>
      </w:r>
      <w:r>
        <w:rPr>
          <w:szCs w:val="22"/>
        </w:rPr>
        <w:t>appropriate description of employment levels in PNG</w:t>
      </w:r>
      <w:r w:rsidR="0041638B">
        <w:rPr>
          <w:szCs w:val="22"/>
        </w:rPr>
        <w:t xml:space="preserve">. </w:t>
      </w:r>
      <w:r>
        <w:t>Looking ahead, the I</w:t>
      </w:r>
      <w:r w:rsidR="007A0E43">
        <w:t>nternational Monetary Fund</w:t>
      </w:r>
      <w:r>
        <w:t xml:space="preserve"> predicts the PNG economy will expand by 4 per cent in 2013</w:t>
      </w:r>
      <w:r>
        <w:rPr>
          <w:rStyle w:val="FootnoteReference"/>
        </w:rPr>
        <w:footnoteReference w:id="17"/>
      </w:r>
      <w:r>
        <w:t xml:space="preserve">, with an expected slowdown of government revenues for 2013 and 2014. The </w:t>
      </w:r>
      <w:r w:rsidR="007A0E43">
        <w:t>g</w:t>
      </w:r>
      <w:r>
        <w:t>overnment inten</w:t>
      </w:r>
      <w:r w:rsidR="007A0E43">
        <w:t>ds</w:t>
      </w:r>
      <w:r>
        <w:t xml:space="preserve"> to return the budget to surplus by 2017</w:t>
      </w:r>
      <w:r>
        <w:rPr>
          <w:rStyle w:val="FootnoteReference"/>
        </w:rPr>
        <w:footnoteReference w:id="18"/>
      </w:r>
      <w:r w:rsidR="007A0E43">
        <w:t>, which</w:t>
      </w:r>
      <w:r w:rsidR="00095C97">
        <w:t xml:space="preserve"> </w:t>
      </w:r>
      <w:r>
        <w:t>would require</w:t>
      </w:r>
      <w:r w:rsidRPr="00C646AD">
        <w:t xml:space="preserve"> expenditure levels </w:t>
      </w:r>
      <w:r w:rsidR="007A0E43">
        <w:t xml:space="preserve">to </w:t>
      </w:r>
      <w:r>
        <w:t>be</w:t>
      </w:r>
      <w:r w:rsidRPr="00C646AD">
        <w:t xml:space="preserve"> more or less constant in real terms </w:t>
      </w:r>
      <w:r w:rsidR="007A0E43">
        <w:t>from</w:t>
      </w:r>
      <w:r w:rsidRPr="00C646AD">
        <w:t xml:space="preserve"> 2014 to 2017</w:t>
      </w:r>
      <w:r>
        <w:t xml:space="preserve">. </w:t>
      </w:r>
      <w:r w:rsidRPr="00A34039">
        <w:t xml:space="preserve">In this context, large increases in </w:t>
      </w:r>
      <w:r w:rsidR="00145CBA">
        <w:t>PNG</w:t>
      </w:r>
      <w:r w:rsidRPr="00A34039">
        <w:t xml:space="preserve"> government funding for the priority areas under the Australia</w:t>
      </w:r>
      <w:r w:rsidR="00E74AA3">
        <w:t xml:space="preserve"> </w:t>
      </w:r>
      <w:r w:rsidRPr="00A34039">
        <w:t>–</w:t>
      </w:r>
      <w:r w:rsidR="00E74AA3">
        <w:t xml:space="preserve"> </w:t>
      </w:r>
      <w:r w:rsidRPr="00A34039">
        <w:t xml:space="preserve">PNG Partnership for Development are not anticipated. </w:t>
      </w:r>
      <w:r>
        <w:t>Our</w:t>
      </w:r>
      <w:r w:rsidRPr="00A34039">
        <w:t xml:space="preserve"> focus will be on improving </w:t>
      </w:r>
      <w:r>
        <w:t xml:space="preserve">strategic </w:t>
      </w:r>
      <w:r>
        <w:lastRenderedPageBreak/>
        <w:t xml:space="preserve">prioritisation </w:t>
      </w:r>
      <w:r w:rsidRPr="00A34039">
        <w:t xml:space="preserve">within </w:t>
      </w:r>
      <w:r w:rsidR="007A0E43">
        <w:t>p</w:t>
      </w:r>
      <w:r>
        <w:t xml:space="preserve">artnership </w:t>
      </w:r>
      <w:r w:rsidRPr="00A34039">
        <w:t>sectors</w:t>
      </w:r>
      <w:r w:rsidR="00620021">
        <w:t xml:space="preserve"> </w:t>
      </w:r>
      <w:r w:rsidR="007A0E43">
        <w:t>to</w:t>
      </w:r>
      <w:r w:rsidR="00620021">
        <w:t xml:space="preserve"> enhanc</w:t>
      </w:r>
      <w:r w:rsidR="007A0E43">
        <w:t>e</w:t>
      </w:r>
      <w:r>
        <w:t xml:space="preserve"> the quality of spending and implementation</w:t>
      </w:r>
      <w:r w:rsidR="00620021">
        <w:t xml:space="preserve"> in priority areas</w:t>
      </w:r>
      <w:r>
        <w:t>.</w:t>
      </w:r>
    </w:p>
    <w:p w14:paraId="0B70F51C" w14:textId="77777777" w:rsidR="008934B0" w:rsidRPr="008E0AE1" w:rsidRDefault="008934B0" w:rsidP="008E0AE1">
      <w:pPr>
        <w:pStyle w:val="Heading2"/>
      </w:pPr>
      <w:r w:rsidRPr="008E0AE1">
        <w:t xml:space="preserve">PNG </w:t>
      </w:r>
      <w:r w:rsidR="00370A60" w:rsidRPr="008E0AE1">
        <w:t>National B</w:t>
      </w:r>
      <w:r w:rsidRPr="008E0AE1">
        <w:t>udget</w:t>
      </w:r>
    </w:p>
    <w:p w14:paraId="0B70F51D" w14:textId="77777777" w:rsidR="008934B0" w:rsidRPr="002F2617" w:rsidRDefault="007A0E43" w:rsidP="008E0AE1">
      <w:pPr>
        <w:pStyle w:val="BodyText"/>
      </w:pPr>
      <w:r>
        <w:t>T</w:t>
      </w:r>
      <w:r w:rsidR="008934B0" w:rsidRPr="002F2617">
        <w:t xml:space="preserve">he 2012 </w:t>
      </w:r>
      <w:r w:rsidR="008934B0">
        <w:t>National B</w:t>
      </w:r>
      <w:r w:rsidR="008934B0" w:rsidRPr="002F2617">
        <w:t>udget</w:t>
      </w:r>
      <w:r>
        <w:t>, as tabled,</w:t>
      </w:r>
      <w:r w:rsidR="008934B0" w:rsidRPr="002F2617">
        <w:t xml:space="preserve"> comprised a modest 6.4 per cent increase in expenditure and an overall </w:t>
      </w:r>
      <w:r w:rsidR="00CA4988">
        <w:t xml:space="preserve">balanced </w:t>
      </w:r>
      <w:r w:rsidR="008934B0" w:rsidRPr="002F2617">
        <w:t>budget (compared to a small deficit in 2011)</w:t>
      </w:r>
      <w:r w:rsidR="0041638B">
        <w:t xml:space="preserve">. </w:t>
      </w:r>
      <w:r w:rsidR="008934B0" w:rsidRPr="002F2617">
        <w:t xml:space="preserve">However, </w:t>
      </w:r>
      <w:r w:rsidR="00145CBA">
        <w:t>with lower</w:t>
      </w:r>
      <w:r>
        <w:t>-</w:t>
      </w:r>
      <w:r w:rsidR="00145CBA">
        <w:t>than</w:t>
      </w:r>
      <w:r>
        <w:t>-</w:t>
      </w:r>
      <w:r w:rsidR="00145CBA">
        <w:t xml:space="preserve">expected taxes from the mining and petroleum sector, a deficit of 1 per cent of </w:t>
      </w:r>
      <w:r>
        <w:t xml:space="preserve">gross domestic product </w:t>
      </w:r>
      <w:r w:rsidR="00145CBA">
        <w:t>was reported in the</w:t>
      </w:r>
      <w:r w:rsidR="008934B0" w:rsidRPr="002F2617">
        <w:t xml:space="preserve"> Treasury’s Final Budget Outc</w:t>
      </w:r>
      <w:r w:rsidR="000C1185">
        <w:t xml:space="preserve">ome </w:t>
      </w:r>
      <w:r w:rsidR="000C1B1B">
        <w:t>Report</w:t>
      </w:r>
      <w:r w:rsidR="008934B0" w:rsidRPr="002F2617">
        <w:t>. Total expenditure was also lower than budgeted due to shortfalls in expenditure on the development budget.</w:t>
      </w:r>
    </w:p>
    <w:p w14:paraId="0B70F51E" w14:textId="77777777" w:rsidR="008934B0" w:rsidRPr="002F2617" w:rsidRDefault="008934B0" w:rsidP="008E0AE1">
      <w:pPr>
        <w:pStyle w:val="BodyText"/>
      </w:pPr>
      <w:r>
        <w:t xml:space="preserve">Looking forward, </w:t>
      </w:r>
      <w:r w:rsidR="00145CBA">
        <w:t>the</w:t>
      </w:r>
      <w:r>
        <w:t xml:space="preserve"> 2013 National B</w:t>
      </w:r>
      <w:r w:rsidRPr="002F2617">
        <w:t>udget mark</w:t>
      </w:r>
      <w:r w:rsidR="00145CBA">
        <w:t>s a</w:t>
      </w:r>
      <w:r w:rsidRPr="002F2617">
        <w:t xml:space="preserve"> departure from</w:t>
      </w:r>
      <w:r w:rsidR="00145CBA">
        <w:t xml:space="preserve"> previous budget strategies, </w:t>
      </w:r>
      <w:r w:rsidRPr="002F2617">
        <w:t>encompass</w:t>
      </w:r>
      <w:r w:rsidR="00145CBA">
        <w:t xml:space="preserve">ing </w:t>
      </w:r>
      <w:r w:rsidRPr="002F2617">
        <w:t xml:space="preserve">a 23 per cent increase in total expenditures (to </w:t>
      </w:r>
      <w:r w:rsidR="003D6B5E">
        <w:t>K</w:t>
      </w:r>
      <w:r w:rsidRPr="002F2617">
        <w:t xml:space="preserve">13 billion) and an estimated budget deficit of K2.5 billion (equivalent to 7.2 per cent of </w:t>
      </w:r>
      <w:r w:rsidR="007A0E43">
        <w:t>gross domestic product</w:t>
      </w:r>
      <w:r w:rsidRPr="002F2617">
        <w:t>). The</w:t>
      </w:r>
      <w:r w:rsidR="007A0E43">
        <w:t xml:space="preserve"> 2013</w:t>
      </w:r>
      <w:r w:rsidRPr="002F2617">
        <w:t xml:space="preserve"> budget strategy is partly justified on the assumption that increased government expenditure is required to offset an expected decline in private sector activity (associated with a tapering-off of LNG </w:t>
      </w:r>
      <w:r>
        <w:t>project</w:t>
      </w:r>
      <w:r w:rsidR="007A0E43">
        <w:t>-</w:t>
      </w:r>
      <w:r w:rsidRPr="002F2617">
        <w:t>related construction)</w:t>
      </w:r>
      <w:r w:rsidR="0041638B">
        <w:t xml:space="preserve">. </w:t>
      </w:r>
      <w:r w:rsidRPr="002F2617">
        <w:t>However, to ensure ongoing macroeconomic stability</w:t>
      </w:r>
      <w:r w:rsidR="00CA4988">
        <w:t>,</w:t>
      </w:r>
      <w:r w:rsidRPr="002F2617">
        <w:t xml:space="preserve"> it is important that the </w:t>
      </w:r>
      <w:r w:rsidR="007A0E43">
        <w:t>g</w:t>
      </w:r>
      <w:r w:rsidRPr="002F2617">
        <w:t>overnment meets its commitment to return the budget to surplus by 2017.</w:t>
      </w:r>
    </w:p>
    <w:p w14:paraId="0B70F51F" w14:textId="77777777" w:rsidR="008934B0" w:rsidRPr="002F2617" w:rsidRDefault="00145CBA" w:rsidP="008E0AE1">
      <w:pPr>
        <w:pStyle w:val="BodyText"/>
      </w:pPr>
      <w:r>
        <w:t>A</w:t>
      </w:r>
      <w:r w:rsidR="008934B0" w:rsidRPr="005A68E0">
        <w:t xml:space="preserve">rguably the </w:t>
      </w:r>
      <w:r>
        <w:t xml:space="preserve">2013 National Budget’s </w:t>
      </w:r>
      <w:r w:rsidR="008934B0" w:rsidRPr="005A68E0">
        <w:t>most important initiative is the K1.5 billion for direct grants to sub-national governments</w:t>
      </w:r>
      <w:r>
        <w:t xml:space="preserve">, </w:t>
      </w:r>
      <w:r w:rsidR="008934B0" w:rsidRPr="005A68E0">
        <w:t>represent</w:t>
      </w:r>
      <w:r>
        <w:t>ing</w:t>
      </w:r>
      <w:r w:rsidR="008934B0" w:rsidRPr="002F2617">
        <w:t xml:space="preserve"> 13 per cent </w:t>
      </w:r>
      <w:r>
        <w:t>of total</w:t>
      </w:r>
      <w:r w:rsidR="008934B0" w:rsidRPr="002F2617">
        <w:t xml:space="preserve"> </w:t>
      </w:r>
      <w:r>
        <w:t xml:space="preserve">national budget </w:t>
      </w:r>
      <w:r w:rsidR="008934B0" w:rsidRPr="002F2617">
        <w:t>expenditure, up from 2 per cent in 2012.</w:t>
      </w:r>
      <w:r w:rsidR="00FD084B">
        <w:t xml:space="preserve"> Imp</w:t>
      </w:r>
      <w:r w:rsidR="00D768F3">
        <w:t>ortantly, p</w:t>
      </w:r>
      <w:r w:rsidR="00FD084B">
        <w:t xml:space="preserve">rovinces, districts and local governments will receive </w:t>
      </w:r>
      <w:r w:rsidR="0028473A">
        <w:t xml:space="preserve">increased </w:t>
      </w:r>
      <w:r w:rsidR="00FD084B">
        <w:t xml:space="preserve">direct </w:t>
      </w:r>
      <w:r w:rsidR="0028473A">
        <w:t>transfers</w:t>
      </w:r>
      <w:r w:rsidR="00C31965">
        <w:t>.</w:t>
      </w:r>
      <w:r w:rsidR="00E711D4">
        <w:rPr>
          <w:rStyle w:val="FootnoteReference"/>
        </w:rPr>
        <w:footnoteReference w:id="19"/>
      </w:r>
      <w:r w:rsidR="00C31965">
        <w:t xml:space="preserve"> H</w:t>
      </w:r>
      <w:r w:rsidR="00FD084B">
        <w:t>owever</w:t>
      </w:r>
      <w:r w:rsidR="00C31965">
        <w:t>,</w:t>
      </w:r>
      <w:r w:rsidR="00FD084B">
        <w:t xml:space="preserve"> it is no</w:t>
      </w:r>
      <w:r w:rsidR="00D768F3">
        <w:t>t</w:t>
      </w:r>
      <w:r w:rsidR="00FD084B">
        <w:t xml:space="preserve"> </w:t>
      </w:r>
      <w:r w:rsidR="00C31965">
        <w:t xml:space="preserve">yet </w:t>
      </w:r>
      <w:r w:rsidR="00FD084B">
        <w:t>clear how the</w:t>
      </w:r>
      <w:r w:rsidR="00D768F3">
        <w:t>se funds will be managed or implemented</w:t>
      </w:r>
      <w:r w:rsidR="005A68E0">
        <w:t xml:space="preserve"> across the different levels </w:t>
      </w:r>
      <w:r w:rsidR="0028473A">
        <w:t>of government</w:t>
      </w:r>
      <w:r w:rsidR="00C31965">
        <w:t xml:space="preserve"> and s</w:t>
      </w:r>
      <w:r w:rsidR="0028473A">
        <w:t>ignificant</w:t>
      </w:r>
      <w:r w:rsidR="00D768F3">
        <w:t xml:space="preserve"> </w:t>
      </w:r>
      <w:r w:rsidR="008934B0" w:rsidRPr="002F2617">
        <w:t>implementation risk</w:t>
      </w:r>
      <w:r w:rsidR="0028473A">
        <w:t>s</w:t>
      </w:r>
      <w:r w:rsidR="008934B0" w:rsidRPr="002F2617">
        <w:t xml:space="preserve"> </w:t>
      </w:r>
      <w:r w:rsidR="0028473A">
        <w:t xml:space="preserve">are </w:t>
      </w:r>
      <w:r w:rsidR="008934B0" w:rsidRPr="002F2617">
        <w:t>compounded by weak public financial management systems</w:t>
      </w:r>
      <w:r w:rsidR="0041638B">
        <w:t xml:space="preserve">. </w:t>
      </w:r>
      <w:r w:rsidR="0028473A">
        <w:t xml:space="preserve">Further analysis </w:t>
      </w:r>
      <w:r w:rsidR="007B02D6">
        <w:t>is</w:t>
      </w:r>
      <w:r w:rsidR="0028473A">
        <w:t xml:space="preserve"> required to ensure </w:t>
      </w:r>
      <w:r w:rsidR="00C31965">
        <w:t xml:space="preserve">these risks can be mitigated and that </w:t>
      </w:r>
      <w:r w:rsidR="0028473A">
        <w:t xml:space="preserve">Australia’s continued support for better governance </w:t>
      </w:r>
      <w:r w:rsidR="0028473A" w:rsidRPr="00E660ED">
        <w:t>for sub-national</w:t>
      </w:r>
      <w:r w:rsidR="0028473A" w:rsidRPr="00576CD9">
        <w:t xml:space="preserve"> governments</w:t>
      </w:r>
      <w:r w:rsidR="00C31965">
        <w:t xml:space="preserve"> will support improved service delivery outcomes</w:t>
      </w:r>
      <w:r w:rsidR="0041638B">
        <w:t xml:space="preserve">. </w:t>
      </w:r>
    </w:p>
    <w:p w14:paraId="0B70F520" w14:textId="77777777" w:rsidR="008934B0" w:rsidRPr="008E0AE1" w:rsidRDefault="008934B0" w:rsidP="008E0AE1">
      <w:pPr>
        <w:pStyle w:val="Heading2"/>
      </w:pPr>
      <w:r w:rsidRPr="008E0AE1">
        <w:t xml:space="preserve">Donor </w:t>
      </w:r>
      <w:r w:rsidR="00E74AA3" w:rsidRPr="008E0AE1">
        <w:t>c</w:t>
      </w:r>
      <w:r w:rsidRPr="008E0AE1">
        <w:t>ontext</w:t>
      </w:r>
    </w:p>
    <w:p w14:paraId="0B70F521" w14:textId="2238B989" w:rsidR="008934B0" w:rsidRPr="00A23C51" w:rsidRDefault="008934B0" w:rsidP="008E0AE1">
      <w:pPr>
        <w:pStyle w:val="BodyText"/>
      </w:pPr>
      <w:r w:rsidRPr="002F2617">
        <w:t xml:space="preserve">Australia remains </w:t>
      </w:r>
      <w:r w:rsidR="007B02D6">
        <w:t xml:space="preserve">the </w:t>
      </w:r>
      <w:r w:rsidR="00145CBA">
        <w:t>largest</w:t>
      </w:r>
      <w:r w:rsidRPr="002F2617">
        <w:t xml:space="preserve"> donor in PNG</w:t>
      </w:r>
      <w:r w:rsidR="007B02D6">
        <w:t xml:space="preserve">. </w:t>
      </w:r>
      <w:r w:rsidR="00C67DF3">
        <w:t>Australian</w:t>
      </w:r>
      <w:r w:rsidRPr="002F2617">
        <w:t xml:space="preserve"> aid compris</w:t>
      </w:r>
      <w:r w:rsidR="007B02D6">
        <w:t>es</w:t>
      </w:r>
      <w:r w:rsidRPr="002F2617">
        <w:t xml:space="preserve"> 66 per cent of all </w:t>
      </w:r>
      <w:r w:rsidR="007B02D6">
        <w:t>official development assistance</w:t>
      </w:r>
      <w:r w:rsidRPr="002F2617">
        <w:t xml:space="preserve"> a</w:t>
      </w:r>
      <w:r>
        <w:t>n</w:t>
      </w:r>
      <w:r w:rsidRPr="002F2617">
        <w:t xml:space="preserve">d 7 per cent of </w:t>
      </w:r>
      <w:r w:rsidR="007B02D6">
        <w:t>t</w:t>
      </w:r>
      <w:r w:rsidRPr="002F2617">
        <w:t xml:space="preserve">otal </w:t>
      </w:r>
      <w:r w:rsidR="007B02D6">
        <w:t>g</w:t>
      </w:r>
      <w:r w:rsidRPr="002F2617">
        <w:t xml:space="preserve">overnment </w:t>
      </w:r>
      <w:r w:rsidR="007B02D6">
        <w:t>e</w:t>
      </w:r>
      <w:r w:rsidRPr="002F2617">
        <w:t>xpenditure (2013 estimates)</w:t>
      </w:r>
      <w:r w:rsidR="0041638B">
        <w:t xml:space="preserve">. </w:t>
      </w:r>
      <w:r>
        <w:rPr>
          <w:rFonts w:cstheme="minorHAnsi"/>
        </w:rPr>
        <w:t xml:space="preserve">The World Bank invests </w:t>
      </w:r>
      <w:r w:rsidR="00732031">
        <w:rPr>
          <w:rFonts w:cstheme="minorHAnsi"/>
        </w:rPr>
        <w:t xml:space="preserve">in several sectors </w:t>
      </w:r>
      <w:r>
        <w:rPr>
          <w:rFonts w:cstheme="minorHAnsi"/>
        </w:rPr>
        <w:t>in PNG</w:t>
      </w:r>
      <w:r w:rsidR="007B02D6">
        <w:rPr>
          <w:rFonts w:cstheme="minorHAnsi"/>
        </w:rPr>
        <w:t xml:space="preserve">, </w:t>
      </w:r>
      <w:r w:rsidR="00095C97">
        <w:rPr>
          <w:rFonts w:cstheme="minorHAnsi"/>
        </w:rPr>
        <w:t>f</w:t>
      </w:r>
      <w:r w:rsidR="007B02D6">
        <w:rPr>
          <w:rFonts w:cstheme="minorHAnsi"/>
        </w:rPr>
        <w:t>ocusing</w:t>
      </w:r>
      <w:r>
        <w:rPr>
          <w:rFonts w:cstheme="minorHAnsi"/>
        </w:rPr>
        <w:t xml:space="preserve"> on infrastructure and </w:t>
      </w:r>
      <w:r w:rsidRPr="004E6556">
        <w:rPr>
          <w:rFonts w:cstheme="minorHAnsi"/>
        </w:rPr>
        <w:t xml:space="preserve">road access, agriculture, </w:t>
      </w:r>
      <w:r>
        <w:rPr>
          <w:rFonts w:cstheme="minorHAnsi"/>
        </w:rPr>
        <w:t xml:space="preserve">telecommunications </w:t>
      </w:r>
      <w:r w:rsidRPr="004E6556">
        <w:rPr>
          <w:rFonts w:cstheme="minorHAnsi"/>
        </w:rPr>
        <w:t>and renew</w:t>
      </w:r>
      <w:r>
        <w:rPr>
          <w:rFonts w:cstheme="minorHAnsi"/>
        </w:rPr>
        <w:t>able energy</w:t>
      </w:r>
      <w:r w:rsidR="007B02D6">
        <w:rPr>
          <w:rFonts w:cstheme="minorHAnsi"/>
        </w:rPr>
        <w:t>. The World Bank also</w:t>
      </w:r>
      <w:r>
        <w:rPr>
          <w:rFonts w:cstheme="minorHAnsi"/>
        </w:rPr>
        <w:t xml:space="preserve"> </w:t>
      </w:r>
      <w:r w:rsidRPr="004E6556">
        <w:rPr>
          <w:rFonts w:cstheme="minorHAnsi"/>
        </w:rPr>
        <w:t>plays a niche role in social sectors</w:t>
      </w:r>
      <w:r>
        <w:rPr>
          <w:rFonts w:cstheme="minorHAnsi"/>
        </w:rPr>
        <w:t xml:space="preserve"> </w:t>
      </w:r>
      <w:r w:rsidRPr="004E6556">
        <w:rPr>
          <w:rFonts w:cstheme="minorHAnsi"/>
        </w:rPr>
        <w:t>including education, health, and social protection</w:t>
      </w:r>
      <w:r>
        <w:rPr>
          <w:rFonts w:cstheme="minorHAnsi"/>
        </w:rPr>
        <w:t>. The Asian Development Bank</w:t>
      </w:r>
      <w:r w:rsidR="000C1185">
        <w:rPr>
          <w:rFonts w:cstheme="minorHAnsi"/>
        </w:rPr>
        <w:t xml:space="preserve"> (ADB)</w:t>
      </w:r>
      <w:r>
        <w:rPr>
          <w:rFonts w:cstheme="minorHAnsi"/>
        </w:rPr>
        <w:t xml:space="preserve"> focuses on infrastructure</w:t>
      </w:r>
      <w:r w:rsidRPr="00D661C6">
        <w:rPr>
          <w:rFonts w:cstheme="minorHAnsi"/>
        </w:rPr>
        <w:t>, stat</w:t>
      </w:r>
      <w:r>
        <w:rPr>
          <w:rFonts w:cstheme="minorHAnsi"/>
        </w:rPr>
        <w:t>e enterprise reform, trade and public financial management</w:t>
      </w:r>
      <w:r w:rsidRPr="00D661C6">
        <w:rPr>
          <w:rFonts w:cstheme="minorHAnsi"/>
        </w:rPr>
        <w:t>, microfinance and health</w:t>
      </w:r>
      <w:r>
        <w:rPr>
          <w:rFonts w:cstheme="minorHAnsi"/>
        </w:rPr>
        <w:t>.</w:t>
      </w:r>
      <w:r w:rsidRPr="00D661C6">
        <w:t xml:space="preserve"> </w:t>
      </w:r>
      <w:r w:rsidRPr="00D661C6">
        <w:rPr>
          <w:rFonts w:cstheme="minorHAnsi"/>
        </w:rPr>
        <w:t>The European Commission</w:t>
      </w:r>
      <w:r>
        <w:rPr>
          <w:rFonts w:cstheme="minorHAnsi"/>
        </w:rPr>
        <w:t xml:space="preserve"> </w:t>
      </w:r>
      <w:r w:rsidR="00145CBA">
        <w:rPr>
          <w:rFonts w:cstheme="minorHAnsi"/>
        </w:rPr>
        <w:t xml:space="preserve">concentrates </w:t>
      </w:r>
      <w:r w:rsidRPr="00D661C6">
        <w:rPr>
          <w:rFonts w:cstheme="minorHAnsi"/>
        </w:rPr>
        <w:t>on rural economic development</w:t>
      </w:r>
      <w:r>
        <w:rPr>
          <w:rFonts w:cstheme="minorHAnsi"/>
        </w:rPr>
        <w:t xml:space="preserve"> </w:t>
      </w:r>
      <w:r w:rsidRPr="00D661C6">
        <w:rPr>
          <w:rFonts w:cstheme="minorHAnsi"/>
        </w:rPr>
        <w:t>and human resources development (</w:t>
      </w:r>
      <w:r>
        <w:rPr>
          <w:rFonts w:cstheme="minorHAnsi"/>
        </w:rPr>
        <w:t xml:space="preserve">including </w:t>
      </w:r>
      <w:r w:rsidRPr="00D661C6">
        <w:rPr>
          <w:rFonts w:cstheme="minorHAnsi"/>
        </w:rPr>
        <w:t>basic education and vocational training)</w:t>
      </w:r>
      <w:r w:rsidR="0041638B">
        <w:rPr>
          <w:rFonts w:cstheme="minorHAnsi"/>
        </w:rPr>
        <w:t xml:space="preserve">. </w:t>
      </w:r>
      <w:r w:rsidR="007B02D6">
        <w:rPr>
          <w:rFonts w:cstheme="minorHAnsi"/>
        </w:rPr>
        <w:t>With</w:t>
      </w:r>
      <w:r w:rsidRPr="00A21FFF">
        <w:rPr>
          <w:rFonts w:cstheme="minorHAnsi"/>
        </w:rPr>
        <w:t xml:space="preserve"> donor coord</w:t>
      </w:r>
      <w:r w:rsidRPr="007B02D6">
        <w:rPr>
          <w:rFonts w:cstheme="minorHAnsi"/>
        </w:rPr>
        <w:t>ination</w:t>
      </w:r>
      <w:r w:rsidRPr="00C67DF3">
        <w:rPr>
          <w:rFonts w:cstheme="minorHAnsi"/>
        </w:rPr>
        <w:t xml:space="preserve">, </w:t>
      </w:r>
      <w:r w:rsidR="007B02D6" w:rsidRPr="00C67DF3">
        <w:rPr>
          <w:rFonts w:cstheme="minorHAnsi"/>
        </w:rPr>
        <w:t xml:space="preserve">the </w:t>
      </w:r>
      <w:r w:rsidR="005514BB">
        <w:rPr>
          <w:rFonts w:cstheme="minorHAnsi"/>
        </w:rPr>
        <w:t>Department of Foreign Affairs and Trade (DFAT</w:t>
      </w:r>
      <w:r w:rsidR="007B02D6" w:rsidRPr="007B02D6">
        <w:rPr>
          <w:rFonts w:cstheme="minorHAnsi"/>
        </w:rPr>
        <w:t>)</w:t>
      </w:r>
      <w:r w:rsidR="00664FEC">
        <w:rPr>
          <w:rStyle w:val="FootnoteReference"/>
          <w:rFonts w:cstheme="minorHAnsi"/>
        </w:rPr>
        <w:footnoteReference w:id="20"/>
      </w:r>
      <w:r w:rsidRPr="00A21FFF">
        <w:rPr>
          <w:rFonts w:cstheme="minorHAnsi"/>
        </w:rPr>
        <w:t xml:space="preserve"> and</w:t>
      </w:r>
      <w:r>
        <w:rPr>
          <w:rFonts w:cstheme="minorHAnsi"/>
        </w:rPr>
        <w:t xml:space="preserve"> the UN Resident Coordinator co-</w:t>
      </w:r>
      <w:r w:rsidRPr="00A21FFF">
        <w:rPr>
          <w:rFonts w:cstheme="minorHAnsi"/>
        </w:rPr>
        <w:t>chair monthly Development Partner Roundtable meetings, attended by heads of bilateral and multilateral</w:t>
      </w:r>
      <w:r w:rsidRPr="00A21FFF">
        <w:rPr>
          <w:rFonts w:cstheme="minorHAnsi"/>
          <w:b/>
        </w:rPr>
        <w:t xml:space="preserve"> </w:t>
      </w:r>
      <w:r w:rsidR="00664FEC">
        <w:rPr>
          <w:rFonts w:cstheme="minorHAnsi"/>
        </w:rPr>
        <w:t>organisations</w:t>
      </w:r>
      <w:r w:rsidRPr="00CA151E">
        <w:rPr>
          <w:rFonts w:cstheme="minorHAnsi"/>
        </w:rPr>
        <w:t xml:space="preserve">. </w:t>
      </w:r>
      <w:r w:rsidR="00A23C51" w:rsidRPr="00CA151E">
        <w:rPr>
          <w:rFonts w:cstheme="minorHAnsi"/>
        </w:rPr>
        <w:t xml:space="preserve">Australia also </w:t>
      </w:r>
      <w:r w:rsidR="007B02D6">
        <w:rPr>
          <w:rFonts w:cstheme="minorHAnsi"/>
        </w:rPr>
        <w:t>holds</w:t>
      </w:r>
      <w:r w:rsidR="007B02D6" w:rsidRPr="00CA151E">
        <w:rPr>
          <w:rFonts w:cstheme="minorHAnsi"/>
        </w:rPr>
        <w:t xml:space="preserve"> </w:t>
      </w:r>
      <w:r w:rsidR="00CA151E" w:rsidRPr="00CA151E">
        <w:rPr>
          <w:rFonts w:cstheme="minorHAnsi"/>
        </w:rPr>
        <w:t xml:space="preserve">regular </w:t>
      </w:r>
      <w:r w:rsidR="00B03F8D" w:rsidRPr="00CA151E">
        <w:rPr>
          <w:rFonts w:cstheme="minorHAnsi"/>
        </w:rPr>
        <w:t>coordination meetings with the World</w:t>
      </w:r>
      <w:r w:rsidR="002B25AA">
        <w:rPr>
          <w:rFonts w:cstheme="minorHAnsi"/>
        </w:rPr>
        <w:t xml:space="preserve"> </w:t>
      </w:r>
      <w:r w:rsidR="00B03F8D" w:rsidRPr="00CA151E">
        <w:rPr>
          <w:rFonts w:cstheme="minorHAnsi"/>
        </w:rPr>
        <w:t xml:space="preserve">Bank and </w:t>
      </w:r>
      <w:r w:rsidR="00664FEC">
        <w:rPr>
          <w:rFonts w:cstheme="minorHAnsi"/>
        </w:rPr>
        <w:t xml:space="preserve">the </w:t>
      </w:r>
      <w:r w:rsidR="00B03F8D" w:rsidRPr="00CA151E">
        <w:rPr>
          <w:rFonts w:cstheme="minorHAnsi"/>
        </w:rPr>
        <w:t>ADB on joint operations in PNG.</w:t>
      </w:r>
      <w:r w:rsidR="00A23C51">
        <w:rPr>
          <w:rFonts w:cstheme="minorHAnsi"/>
        </w:rPr>
        <w:t xml:space="preserve"> </w:t>
      </w:r>
      <w:r w:rsidR="00F47ADA">
        <w:rPr>
          <w:rFonts w:cstheme="minorHAnsi"/>
        </w:rPr>
        <w:t xml:space="preserve">However, Australia and other donors recognise there is room to improve coordination efforts, particularly at sector level. </w:t>
      </w:r>
    </w:p>
    <w:p w14:paraId="0B70F522" w14:textId="77777777" w:rsidR="008934B0" w:rsidRPr="00A26AFB" w:rsidRDefault="007B02D6" w:rsidP="008E0AE1">
      <w:pPr>
        <w:pStyle w:val="Heading1"/>
      </w:pPr>
      <w:r>
        <w:lastRenderedPageBreak/>
        <w:t>Partnership for Development s</w:t>
      </w:r>
      <w:r w:rsidR="008934B0" w:rsidRPr="00A26AFB">
        <w:t>trategy</w:t>
      </w:r>
    </w:p>
    <w:p w14:paraId="0B70F523" w14:textId="77777777" w:rsidR="008934B0" w:rsidRDefault="008934B0" w:rsidP="008E0AE1">
      <w:pPr>
        <w:pStyle w:val="BodyText"/>
        <w:rPr>
          <w:noProof/>
          <w:lang w:eastAsia="zh-CN"/>
        </w:rPr>
      </w:pPr>
      <w:r w:rsidRPr="006F7118">
        <w:rPr>
          <w:noProof/>
          <w:lang w:eastAsia="zh-CN"/>
        </w:rPr>
        <w:t>The PNG</w:t>
      </w:r>
      <w:r w:rsidR="00E74AA3">
        <w:rPr>
          <w:noProof/>
          <w:lang w:eastAsia="zh-CN"/>
        </w:rPr>
        <w:t xml:space="preserve"> – </w:t>
      </w:r>
      <w:r w:rsidRPr="006F7118">
        <w:rPr>
          <w:noProof/>
          <w:lang w:eastAsia="zh-CN"/>
        </w:rPr>
        <w:t xml:space="preserve">Australia Partnership for Development defines core principles of mutual cooperation between both governments and guides the implementation of Australia’s aid program in PNG. </w:t>
      </w:r>
      <w:r>
        <w:rPr>
          <w:noProof/>
          <w:lang w:eastAsia="zh-CN"/>
        </w:rPr>
        <w:t>Australian and P</w:t>
      </w:r>
      <w:r w:rsidR="00D6724F">
        <w:rPr>
          <w:noProof/>
          <w:lang w:eastAsia="zh-CN"/>
        </w:rPr>
        <w:t>NG g</w:t>
      </w:r>
      <w:r>
        <w:rPr>
          <w:noProof/>
          <w:lang w:eastAsia="zh-CN"/>
        </w:rPr>
        <w:t xml:space="preserve">overnment </w:t>
      </w:r>
      <w:r w:rsidR="00E74AA3">
        <w:rPr>
          <w:noProof/>
          <w:lang w:eastAsia="zh-CN"/>
        </w:rPr>
        <w:t>m</w:t>
      </w:r>
      <w:r>
        <w:rPr>
          <w:noProof/>
          <w:lang w:eastAsia="zh-CN"/>
        </w:rPr>
        <w:t xml:space="preserve">inisters meet annually to review </w:t>
      </w:r>
      <w:r w:rsidR="00D6724F">
        <w:rPr>
          <w:noProof/>
          <w:lang w:eastAsia="zh-CN"/>
        </w:rPr>
        <w:t>p</w:t>
      </w:r>
      <w:r>
        <w:rPr>
          <w:noProof/>
          <w:lang w:eastAsia="zh-CN"/>
        </w:rPr>
        <w:t xml:space="preserve">artnership </w:t>
      </w:r>
      <w:r w:rsidR="00D6724F">
        <w:rPr>
          <w:noProof/>
          <w:lang w:eastAsia="zh-CN"/>
        </w:rPr>
        <w:t>p</w:t>
      </w:r>
      <w:r>
        <w:rPr>
          <w:noProof/>
          <w:lang w:eastAsia="zh-CN"/>
        </w:rPr>
        <w:t>riorities. A</w:t>
      </w:r>
      <w:r w:rsidRPr="006F7118">
        <w:rPr>
          <w:noProof/>
          <w:lang w:eastAsia="zh-CN"/>
        </w:rPr>
        <w:t xml:space="preserve"> number of </w:t>
      </w:r>
      <w:r w:rsidR="00E91A1D">
        <w:rPr>
          <w:noProof/>
          <w:lang w:eastAsia="zh-CN"/>
        </w:rPr>
        <w:t xml:space="preserve">jointly commissioned </w:t>
      </w:r>
      <w:r w:rsidRPr="006F7118">
        <w:rPr>
          <w:noProof/>
          <w:lang w:eastAsia="zh-CN"/>
        </w:rPr>
        <w:t>independent reviews</w:t>
      </w:r>
      <w:r>
        <w:rPr>
          <w:rStyle w:val="FootnoteReference"/>
          <w:rFonts w:cstheme="minorHAnsi"/>
          <w:noProof/>
          <w:color w:val="000000"/>
          <w:lang w:eastAsia="zh-CN"/>
        </w:rPr>
        <w:footnoteReference w:id="21"/>
      </w:r>
      <w:r w:rsidRPr="006F7118">
        <w:rPr>
          <w:noProof/>
          <w:lang w:eastAsia="zh-CN"/>
        </w:rPr>
        <w:t xml:space="preserve"> provided direction in 2011 to both </w:t>
      </w:r>
      <w:r w:rsidR="00D6724F">
        <w:rPr>
          <w:noProof/>
          <w:lang w:eastAsia="zh-CN"/>
        </w:rPr>
        <w:t>governments. These reviews were used</w:t>
      </w:r>
      <w:r w:rsidR="00D6724F" w:rsidRPr="006F7118">
        <w:rPr>
          <w:noProof/>
          <w:lang w:eastAsia="zh-CN"/>
        </w:rPr>
        <w:t xml:space="preserve"> </w:t>
      </w:r>
      <w:r w:rsidRPr="006F7118">
        <w:rPr>
          <w:noProof/>
          <w:lang w:eastAsia="zh-CN"/>
        </w:rPr>
        <w:t xml:space="preserve">to map the future of the Partnership for Development. For Australia, this included: </w:t>
      </w:r>
    </w:p>
    <w:p w14:paraId="0B70F524" w14:textId="77777777" w:rsidR="00E74AA3" w:rsidRPr="006F7118" w:rsidRDefault="00E74AA3" w:rsidP="008934B0">
      <w:pPr>
        <w:widowControl w:val="0"/>
        <w:tabs>
          <w:tab w:val="num" w:pos="720"/>
          <w:tab w:val="num" w:pos="1077"/>
        </w:tabs>
        <w:autoSpaceDE w:val="0"/>
        <w:autoSpaceDN w:val="0"/>
        <w:adjustRightInd w:val="0"/>
        <w:spacing w:line="23" w:lineRule="atLeast"/>
        <w:rPr>
          <w:rFonts w:cstheme="minorHAnsi"/>
          <w:noProof/>
          <w:color w:val="000000"/>
          <w:sz w:val="22"/>
          <w:szCs w:val="22"/>
          <w:lang w:eastAsia="zh-CN"/>
        </w:rPr>
      </w:pPr>
    </w:p>
    <w:p w14:paraId="0B70F525" w14:textId="77777777" w:rsidR="008934B0" w:rsidRDefault="008934B0" w:rsidP="008E0AE1">
      <w:pPr>
        <w:pStyle w:val="ListBullet"/>
        <w:rPr>
          <w:noProof/>
          <w:lang w:eastAsia="zh-CN"/>
        </w:rPr>
      </w:pPr>
      <w:r w:rsidRPr="002B25AA">
        <w:rPr>
          <w:noProof/>
          <w:lang w:eastAsia="zh-CN"/>
        </w:rPr>
        <w:t>reducing the use of advisers and improving their effectiveness</w:t>
      </w:r>
      <w:r w:rsidR="00E74AA3">
        <w:rPr>
          <w:noProof/>
          <w:lang w:eastAsia="zh-CN"/>
        </w:rPr>
        <w:t>—</w:t>
      </w:r>
      <w:r w:rsidR="00145CBA">
        <w:rPr>
          <w:noProof/>
          <w:lang w:eastAsia="zh-CN"/>
        </w:rPr>
        <w:t xml:space="preserve">181 advisers were phased out by the end of 2012 in line with the recommendations of </w:t>
      </w:r>
      <w:r w:rsidR="002F31B2" w:rsidRPr="002B25AA">
        <w:rPr>
          <w:noProof/>
          <w:lang w:eastAsia="zh-CN"/>
        </w:rPr>
        <w:t xml:space="preserve">the </w:t>
      </w:r>
      <w:r w:rsidR="002F31B2" w:rsidRPr="00AB348B">
        <w:rPr>
          <w:i/>
          <w:noProof/>
          <w:lang w:eastAsia="zh-CN"/>
        </w:rPr>
        <w:t xml:space="preserve">Joint </w:t>
      </w:r>
      <w:r w:rsidR="00664FEC">
        <w:rPr>
          <w:i/>
          <w:noProof/>
          <w:lang w:eastAsia="zh-CN"/>
        </w:rPr>
        <w:t>Adviser Review Report</w:t>
      </w:r>
      <w:r w:rsidR="00664FEC">
        <w:rPr>
          <w:rStyle w:val="FootnoteReference"/>
          <w:i/>
          <w:noProof/>
          <w:color w:val="000000"/>
          <w:lang w:eastAsia="zh-CN"/>
        </w:rPr>
        <w:footnoteReference w:id="22"/>
      </w:r>
    </w:p>
    <w:p w14:paraId="0B70F526" w14:textId="77777777" w:rsidR="00D6724F" w:rsidRPr="002B25AA" w:rsidRDefault="00D6724F" w:rsidP="008E0AE1">
      <w:pPr>
        <w:pStyle w:val="ListBullet"/>
        <w:rPr>
          <w:noProof/>
          <w:lang w:eastAsia="zh-CN"/>
        </w:rPr>
      </w:pPr>
      <w:r>
        <w:rPr>
          <w:noProof/>
          <w:lang w:eastAsia="zh-CN"/>
        </w:rPr>
        <w:t xml:space="preserve">  improving the effectiveness of advisers</w:t>
      </w:r>
    </w:p>
    <w:p w14:paraId="0B70F527" w14:textId="77777777" w:rsidR="008934B0" w:rsidRPr="002B25AA" w:rsidRDefault="002B25AA" w:rsidP="008E0AE1">
      <w:pPr>
        <w:pStyle w:val="ListBullet"/>
        <w:rPr>
          <w:noProof/>
          <w:lang w:eastAsia="zh-CN"/>
        </w:rPr>
      </w:pPr>
      <w:r w:rsidRPr="002B25AA">
        <w:rPr>
          <w:noProof/>
          <w:lang w:eastAsia="zh-CN"/>
        </w:rPr>
        <w:t xml:space="preserve"> </w:t>
      </w:r>
      <w:r w:rsidR="008934B0" w:rsidRPr="002B25AA">
        <w:rPr>
          <w:noProof/>
          <w:lang w:eastAsia="zh-CN"/>
        </w:rPr>
        <w:t xml:space="preserve">narrowing the focus of Australian </w:t>
      </w:r>
      <w:r>
        <w:rPr>
          <w:noProof/>
          <w:lang w:eastAsia="zh-CN"/>
        </w:rPr>
        <w:t>assistance to a few key sectors</w:t>
      </w:r>
    </w:p>
    <w:p w14:paraId="0B70F528" w14:textId="77777777" w:rsidR="008934B0" w:rsidRPr="002B25AA" w:rsidRDefault="002B25AA" w:rsidP="008E0AE1">
      <w:pPr>
        <w:pStyle w:val="ListBullet"/>
        <w:rPr>
          <w:noProof/>
          <w:lang w:eastAsia="zh-CN"/>
        </w:rPr>
      </w:pPr>
      <w:r w:rsidRPr="002B25AA">
        <w:rPr>
          <w:noProof/>
          <w:lang w:eastAsia="zh-CN"/>
        </w:rPr>
        <w:t xml:space="preserve"> </w:t>
      </w:r>
      <w:r w:rsidR="008934B0" w:rsidRPr="002B25AA">
        <w:rPr>
          <w:noProof/>
          <w:lang w:eastAsia="zh-CN"/>
        </w:rPr>
        <w:t>adopting greater emphasis on direct service delivery</w:t>
      </w:r>
    </w:p>
    <w:p w14:paraId="0B70F529" w14:textId="77777777" w:rsidR="008934B0" w:rsidRPr="009E421B" w:rsidRDefault="002B25AA" w:rsidP="008E0AE1">
      <w:pPr>
        <w:pStyle w:val="ListBullet"/>
        <w:rPr>
          <w:rFonts w:cstheme="minorHAnsi"/>
          <w:noProof/>
          <w:lang w:eastAsia="zh-CN"/>
        </w:rPr>
      </w:pPr>
      <w:r w:rsidRPr="002B25AA">
        <w:rPr>
          <w:noProof/>
          <w:lang w:eastAsia="zh-CN"/>
        </w:rPr>
        <w:t xml:space="preserve"> </w:t>
      </w:r>
      <w:r w:rsidR="00C67DF3">
        <w:rPr>
          <w:noProof/>
          <w:lang w:eastAsia="zh-CN"/>
        </w:rPr>
        <w:t>e</w:t>
      </w:r>
      <w:r w:rsidR="00D6724F">
        <w:rPr>
          <w:noProof/>
          <w:lang w:eastAsia="zh-CN"/>
        </w:rPr>
        <w:t>nsuring</w:t>
      </w:r>
      <w:r w:rsidR="00C67DF3">
        <w:rPr>
          <w:noProof/>
          <w:lang w:eastAsia="zh-CN"/>
        </w:rPr>
        <w:t xml:space="preserve"> </w:t>
      </w:r>
      <w:r w:rsidR="008934B0" w:rsidRPr="002B25AA">
        <w:rPr>
          <w:noProof/>
          <w:lang w:eastAsia="zh-CN"/>
        </w:rPr>
        <w:t>clearer demonstration of results.</w:t>
      </w:r>
      <w:r w:rsidR="008E0AE1">
        <w:rPr>
          <w:rFonts w:cstheme="minorHAnsi"/>
          <w:noProof/>
          <w:lang w:eastAsia="zh-CN"/>
        </w:rPr>
        <w:t xml:space="preserve"> </w:t>
      </w:r>
    </w:p>
    <w:p w14:paraId="0B70F52A" w14:textId="77777777" w:rsidR="00E74AA3" w:rsidRPr="008E0AE1" w:rsidRDefault="008934B0" w:rsidP="008E0AE1">
      <w:pPr>
        <w:pStyle w:val="BodyText"/>
        <w:rPr>
          <w:noProof/>
          <w:lang w:eastAsia="zh-CN"/>
        </w:rPr>
      </w:pPr>
      <w:r w:rsidRPr="006F7118">
        <w:rPr>
          <w:noProof/>
          <w:lang w:eastAsia="zh-CN"/>
        </w:rPr>
        <w:t xml:space="preserve">New program directions were formalised in 2011 through revised Partnership for Development </w:t>
      </w:r>
      <w:r w:rsidR="00D6724F">
        <w:rPr>
          <w:noProof/>
          <w:lang w:eastAsia="zh-CN"/>
        </w:rPr>
        <w:t>s</w:t>
      </w:r>
      <w:r w:rsidRPr="006F7118">
        <w:rPr>
          <w:noProof/>
          <w:lang w:eastAsia="zh-CN"/>
        </w:rPr>
        <w:t>chedules</w:t>
      </w:r>
      <w:r w:rsidRPr="006F7118">
        <w:t xml:space="preserve"> </w:t>
      </w:r>
      <w:r w:rsidR="002B25AA">
        <w:rPr>
          <w:noProof/>
          <w:lang w:eastAsia="zh-CN"/>
        </w:rPr>
        <w:t>consolidating Australia’s</w:t>
      </w:r>
      <w:r w:rsidRPr="006F7118">
        <w:rPr>
          <w:noProof/>
          <w:lang w:eastAsia="zh-CN"/>
        </w:rPr>
        <w:t xml:space="preserve"> investment </w:t>
      </w:r>
      <w:r w:rsidR="00D6724F">
        <w:rPr>
          <w:noProof/>
          <w:lang w:eastAsia="zh-CN"/>
        </w:rPr>
        <w:t>in these</w:t>
      </w:r>
      <w:r w:rsidR="00145CBA">
        <w:rPr>
          <w:noProof/>
          <w:lang w:eastAsia="zh-CN"/>
        </w:rPr>
        <w:t xml:space="preserve"> </w:t>
      </w:r>
      <w:r w:rsidRPr="006F7118">
        <w:rPr>
          <w:noProof/>
          <w:lang w:eastAsia="zh-CN"/>
        </w:rPr>
        <w:t xml:space="preserve">core areas: </w:t>
      </w:r>
    </w:p>
    <w:p w14:paraId="0B70F52B" w14:textId="77777777" w:rsidR="008934B0" w:rsidRPr="009E421B" w:rsidRDefault="008934B0" w:rsidP="008E0AE1">
      <w:pPr>
        <w:pStyle w:val="ListBullet"/>
        <w:rPr>
          <w:noProof/>
          <w:lang w:eastAsia="zh-CN"/>
        </w:rPr>
      </w:pPr>
      <w:r w:rsidRPr="009E421B">
        <w:rPr>
          <w:noProof/>
          <w:lang w:eastAsia="zh-CN"/>
        </w:rPr>
        <w:t>educat</w:t>
      </w:r>
      <w:r w:rsidR="002B25AA">
        <w:rPr>
          <w:noProof/>
          <w:lang w:eastAsia="zh-CN"/>
        </w:rPr>
        <w:t>ion, including higher education</w:t>
      </w:r>
    </w:p>
    <w:p w14:paraId="0B70F52C" w14:textId="77777777" w:rsidR="008934B0" w:rsidRPr="009E421B" w:rsidRDefault="002B25AA" w:rsidP="008E0AE1">
      <w:pPr>
        <w:pStyle w:val="ListBullet"/>
        <w:rPr>
          <w:noProof/>
          <w:lang w:eastAsia="zh-CN"/>
        </w:rPr>
      </w:pPr>
      <w:r>
        <w:rPr>
          <w:noProof/>
          <w:lang w:eastAsia="zh-CN"/>
        </w:rPr>
        <w:t>health and HIV/AIDS</w:t>
      </w:r>
    </w:p>
    <w:p w14:paraId="0B70F52D" w14:textId="77777777" w:rsidR="008934B0" w:rsidRPr="009E421B" w:rsidRDefault="008934B0" w:rsidP="008E0AE1">
      <w:pPr>
        <w:pStyle w:val="ListBullet"/>
        <w:rPr>
          <w:noProof/>
          <w:lang w:eastAsia="zh-CN"/>
        </w:rPr>
      </w:pPr>
      <w:r w:rsidRPr="009E421B">
        <w:rPr>
          <w:noProof/>
          <w:lang w:eastAsia="zh-CN"/>
        </w:rPr>
        <w:t xml:space="preserve">transport infrastructure, particularly roads </w:t>
      </w:r>
    </w:p>
    <w:p w14:paraId="0B70F52E" w14:textId="77777777" w:rsidR="008934B0" w:rsidRDefault="008934B0" w:rsidP="008E0AE1">
      <w:pPr>
        <w:pStyle w:val="ListBullet"/>
        <w:rPr>
          <w:noProof/>
          <w:lang w:eastAsia="zh-CN"/>
        </w:rPr>
      </w:pPr>
      <w:r w:rsidRPr="009E421B">
        <w:rPr>
          <w:noProof/>
          <w:lang w:eastAsia="zh-CN"/>
        </w:rPr>
        <w:t>law and justice.</w:t>
      </w:r>
    </w:p>
    <w:p w14:paraId="0B70F52F" w14:textId="77777777" w:rsidR="008934B0" w:rsidRPr="008E0AE1" w:rsidRDefault="002B25AA" w:rsidP="008E0AE1">
      <w:pPr>
        <w:pStyle w:val="BodyText"/>
        <w:rPr>
          <w:rFonts w:ascii="Calibri" w:eastAsia="Calibri" w:hAnsi="Calibri"/>
          <w:lang w:eastAsia="en-US"/>
        </w:rPr>
      </w:pPr>
      <w:r>
        <w:rPr>
          <w:noProof/>
          <w:lang w:eastAsia="zh-CN"/>
        </w:rPr>
        <w:t>Both g</w:t>
      </w:r>
      <w:r w:rsidR="008934B0" w:rsidRPr="005002B6">
        <w:rPr>
          <w:noProof/>
          <w:lang w:eastAsia="zh-CN"/>
        </w:rPr>
        <w:t xml:space="preserve">overnments recommitted to these priorities during the 2012 Partnership </w:t>
      </w:r>
      <w:r w:rsidR="00AB348B">
        <w:rPr>
          <w:noProof/>
          <w:lang w:eastAsia="zh-CN"/>
        </w:rPr>
        <w:t>f</w:t>
      </w:r>
      <w:r w:rsidR="008934B0" w:rsidRPr="005002B6">
        <w:rPr>
          <w:noProof/>
          <w:lang w:eastAsia="zh-CN"/>
        </w:rPr>
        <w:t xml:space="preserve">or Development Dialogue and </w:t>
      </w:r>
      <w:r w:rsidR="00664FEC">
        <w:rPr>
          <w:noProof/>
          <w:lang w:eastAsia="zh-CN"/>
        </w:rPr>
        <w:t>2</w:t>
      </w:r>
      <w:r w:rsidR="00160CFB">
        <w:rPr>
          <w:noProof/>
          <w:lang w:eastAsia="zh-CN"/>
        </w:rPr>
        <w:t>1</w:t>
      </w:r>
      <w:r w:rsidR="00160CFB">
        <w:rPr>
          <w:noProof/>
          <w:vertAlign w:val="superscript"/>
          <w:lang w:eastAsia="zh-CN"/>
        </w:rPr>
        <w:t>st</w:t>
      </w:r>
      <w:r w:rsidR="00664FEC">
        <w:rPr>
          <w:noProof/>
          <w:lang w:eastAsia="zh-CN"/>
        </w:rPr>
        <w:t xml:space="preserve"> Australia – </w:t>
      </w:r>
      <w:r w:rsidR="008934B0" w:rsidRPr="005002B6">
        <w:rPr>
          <w:noProof/>
          <w:lang w:eastAsia="zh-CN"/>
        </w:rPr>
        <w:t>PNG</w:t>
      </w:r>
      <w:r w:rsidR="00E74AA3">
        <w:rPr>
          <w:noProof/>
          <w:lang w:eastAsia="zh-CN"/>
        </w:rPr>
        <w:t xml:space="preserve"> </w:t>
      </w:r>
      <w:r w:rsidR="008934B0" w:rsidRPr="005002B6">
        <w:rPr>
          <w:noProof/>
          <w:lang w:eastAsia="zh-CN"/>
        </w:rPr>
        <w:t>Ministerial Forum</w:t>
      </w:r>
      <w:r w:rsidR="0041638B">
        <w:rPr>
          <w:noProof/>
          <w:lang w:eastAsia="zh-CN"/>
        </w:rPr>
        <w:t xml:space="preserve">. </w:t>
      </w:r>
      <w:r w:rsidR="00665C7B" w:rsidRPr="00665C7B">
        <w:rPr>
          <w:noProof/>
          <w:lang w:eastAsia="zh-CN"/>
        </w:rPr>
        <w:t xml:space="preserve">PNG </w:t>
      </w:r>
      <w:r w:rsidR="00D6724F">
        <w:rPr>
          <w:noProof/>
          <w:lang w:eastAsia="zh-CN"/>
        </w:rPr>
        <w:t>m</w:t>
      </w:r>
      <w:r w:rsidR="00665C7B" w:rsidRPr="00665C7B">
        <w:rPr>
          <w:noProof/>
          <w:lang w:eastAsia="zh-CN"/>
        </w:rPr>
        <w:t xml:space="preserve">inisters </w:t>
      </w:r>
      <w:r w:rsidR="00145CBA">
        <w:rPr>
          <w:noProof/>
          <w:lang w:eastAsia="zh-CN"/>
        </w:rPr>
        <w:t>highlight</w:t>
      </w:r>
      <w:r w:rsidR="00D36361">
        <w:rPr>
          <w:noProof/>
          <w:lang w:eastAsia="zh-CN"/>
        </w:rPr>
        <w:t>ed</w:t>
      </w:r>
      <w:r w:rsidR="00145CBA">
        <w:rPr>
          <w:noProof/>
          <w:lang w:eastAsia="zh-CN"/>
        </w:rPr>
        <w:t xml:space="preserve"> </w:t>
      </w:r>
      <w:r w:rsidR="00665C7B" w:rsidRPr="00665C7B">
        <w:rPr>
          <w:noProof/>
          <w:lang w:eastAsia="zh-CN"/>
        </w:rPr>
        <w:t>the</w:t>
      </w:r>
      <w:r w:rsidR="00145CBA">
        <w:rPr>
          <w:noProof/>
          <w:lang w:eastAsia="zh-CN"/>
        </w:rPr>
        <w:t xml:space="preserve"> new government’s</w:t>
      </w:r>
      <w:r w:rsidR="00665C7B" w:rsidRPr="00665C7B">
        <w:rPr>
          <w:noProof/>
          <w:lang w:eastAsia="zh-CN"/>
        </w:rPr>
        <w:t xml:space="preserve"> priorities in infrastructure, tertiary education, referral hospitals, local and provincial governments and small business</w:t>
      </w:r>
      <w:r w:rsidR="00C13A9E">
        <w:rPr>
          <w:noProof/>
          <w:lang w:eastAsia="zh-CN"/>
        </w:rPr>
        <w:t>,</w:t>
      </w:r>
      <w:r w:rsidR="00A23C51">
        <w:rPr>
          <w:noProof/>
          <w:lang w:eastAsia="zh-CN"/>
        </w:rPr>
        <w:t xml:space="preserve"> and </w:t>
      </w:r>
      <w:r w:rsidR="00683ED1">
        <w:rPr>
          <w:noProof/>
          <w:lang w:eastAsia="zh-CN"/>
        </w:rPr>
        <w:t xml:space="preserve">expressed </w:t>
      </w:r>
      <w:r w:rsidR="005002B6" w:rsidRPr="005002B6">
        <w:rPr>
          <w:noProof/>
          <w:lang w:eastAsia="zh-CN"/>
        </w:rPr>
        <w:t xml:space="preserve">desire </w:t>
      </w:r>
      <w:r w:rsidR="00683ED1">
        <w:rPr>
          <w:noProof/>
          <w:lang w:eastAsia="zh-CN"/>
        </w:rPr>
        <w:t>that the aid program</w:t>
      </w:r>
      <w:r w:rsidR="005002B6" w:rsidRPr="005002B6">
        <w:rPr>
          <w:noProof/>
          <w:lang w:eastAsia="zh-CN"/>
        </w:rPr>
        <w:t xml:space="preserve"> </w:t>
      </w:r>
      <w:r w:rsidR="00B47782">
        <w:rPr>
          <w:noProof/>
          <w:lang w:eastAsia="zh-CN"/>
        </w:rPr>
        <w:t xml:space="preserve">increasingly </w:t>
      </w:r>
      <w:r w:rsidR="005002B6" w:rsidRPr="005002B6">
        <w:rPr>
          <w:noProof/>
          <w:lang w:eastAsia="zh-CN"/>
        </w:rPr>
        <w:t>reflect the</w:t>
      </w:r>
      <w:r w:rsidR="00D6724F">
        <w:rPr>
          <w:noProof/>
          <w:lang w:eastAsia="zh-CN"/>
        </w:rPr>
        <w:t xml:space="preserve">se </w:t>
      </w:r>
      <w:r w:rsidR="00FC5D80">
        <w:rPr>
          <w:noProof/>
          <w:lang w:eastAsia="zh-CN"/>
        </w:rPr>
        <w:t>themes</w:t>
      </w:r>
      <w:r w:rsidR="005002B6" w:rsidRPr="005002B6">
        <w:rPr>
          <w:noProof/>
          <w:lang w:eastAsia="zh-CN"/>
        </w:rPr>
        <w:t>, within the</w:t>
      </w:r>
      <w:r w:rsidR="00D6724F">
        <w:rPr>
          <w:noProof/>
          <w:lang w:eastAsia="zh-CN"/>
        </w:rPr>
        <w:t xml:space="preserve"> partnership’s</w:t>
      </w:r>
      <w:r w:rsidR="005002B6" w:rsidRPr="005002B6">
        <w:rPr>
          <w:noProof/>
          <w:lang w:eastAsia="zh-CN"/>
        </w:rPr>
        <w:t xml:space="preserve"> existing priorities</w:t>
      </w:r>
      <w:r w:rsidR="00B47782">
        <w:rPr>
          <w:noProof/>
          <w:lang w:eastAsia="zh-CN"/>
        </w:rPr>
        <w:t xml:space="preserve">. </w:t>
      </w:r>
      <w:r w:rsidR="00732031">
        <w:rPr>
          <w:noProof/>
          <w:lang w:eastAsia="zh-CN"/>
        </w:rPr>
        <w:t xml:space="preserve">In particular, Australia and PNG agreed to work together </w:t>
      </w:r>
      <w:r w:rsidR="00D6724F">
        <w:rPr>
          <w:noProof/>
          <w:lang w:eastAsia="zh-CN"/>
        </w:rPr>
        <w:t xml:space="preserve">on </w:t>
      </w:r>
      <w:r w:rsidR="00732031">
        <w:rPr>
          <w:noProof/>
          <w:lang w:eastAsia="zh-CN"/>
        </w:rPr>
        <w:t xml:space="preserve">a new delivery </w:t>
      </w:r>
      <w:r w:rsidR="00D6724F">
        <w:rPr>
          <w:noProof/>
          <w:lang w:eastAsia="zh-CN"/>
        </w:rPr>
        <w:t xml:space="preserve">method </w:t>
      </w:r>
      <w:r w:rsidR="00732031">
        <w:rPr>
          <w:noProof/>
          <w:lang w:eastAsia="zh-CN"/>
        </w:rPr>
        <w:t xml:space="preserve">for the </w:t>
      </w:r>
      <w:r w:rsidR="00732031" w:rsidRPr="00E5303B">
        <w:rPr>
          <w:i/>
          <w:noProof/>
          <w:lang w:eastAsia="zh-CN"/>
        </w:rPr>
        <w:t>Strongim Gavman</w:t>
      </w:r>
      <w:r w:rsidR="00732031" w:rsidRPr="009D0E38">
        <w:rPr>
          <w:noProof/>
          <w:lang w:eastAsia="zh-CN"/>
        </w:rPr>
        <w:t xml:space="preserve"> </w:t>
      </w:r>
      <w:r w:rsidR="00732031" w:rsidRPr="00160CFB">
        <w:rPr>
          <w:i/>
          <w:noProof/>
          <w:lang w:eastAsia="zh-CN"/>
        </w:rPr>
        <w:t>Program</w:t>
      </w:r>
      <w:r w:rsidR="009D0E38">
        <w:rPr>
          <w:rStyle w:val="FootnoteReference"/>
          <w:rFonts w:cstheme="minorHAnsi"/>
          <w:noProof/>
          <w:color w:val="000000"/>
          <w:lang w:eastAsia="zh-CN"/>
        </w:rPr>
        <w:footnoteReference w:id="23"/>
      </w:r>
      <w:r w:rsidR="00732031">
        <w:rPr>
          <w:noProof/>
          <w:lang w:eastAsia="zh-CN"/>
        </w:rPr>
        <w:t xml:space="preserve"> that is responsive to PNG needs and well aligned </w:t>
      </w:r>
      <w:r w:rsidR="009D0E38">
        <w:rPr>
          <w:noProof/>
          <w:lang w:eastAsia="zh-CN"/>
        </w:rPr>
        <w:t>with</w:t>
      </w:r>
      <w:r w:rsidR="00732031">
        <w:rPr>
          <w:noProof/>
          <w:lang w:eastAsia="zh-CN"/>
        </w:rPr>
        <w:t xml:space="preserve"> PNG </w:t>
      </w:r>
      <w:r w:rsidR="001C029F">
        <w:rPr>
          <w:noProof/>
          <w:lang w:eastAsia="zh-CN"/>
        </w:rPr>
        <w:t>g</w:t>
      </w:r>
      <w:r w:rsidR="00732031">
        <w:rPr>
          <w:noProof/>
          <w:lang w:eastAsia="zh-CN"/>
        </w:rPr>
        <w:t xml:space="preserve">overnment current priorities. </w:t>
      </w:r>
      <w:r w:rsidR="00CA151E" w:rsidRPr="00CA151E">
        <w:rPr>
          <w:noProof/>
          <w:lang w:eastAsia="zh-CN"/>
        </w:rPr>
        <w:t>Th</w:t>
      </w:r>
      <w:r w:rsidR="00732031">
        <w:rPr>
          <w:noProof/>
          <w:lang w:eastAsia="zh-CN"/>
        </w:rPr>
        <w:t>ese priorities</w:t>
      </w:r>
      <w:r w:rsidR="00CA151E" w:rsidRPr="00CA151E">
        <w:rPr>
          <w:noProof/>
          <w:lang w:eastAsia="zh-CN"/>
        </w:rPr>
        <w:t xml:space="preserve"> </w:t>
      </w:r>
      <w:r w:rsidR="00B4411D">
        <w:rPr>
          <w:noProof/>
          <w:lang w:eastAsia="zh-CN"/>
        </w:rPr>
        <w:t xml:space="preserve">will </w:t>
      </w:r>
      <w:r w:rsidR="00B47782">
        <w:rPr>
          <w:noProof/>
          <w:lang w:eastAsia="zh-CN"/>
        </w:rPr>
        <w:t>be deliberated at the</w:t>
      </w:r>
      <w:r w:rsidR="00CA151E" w:rsidRPr="00CA151E">
        <w:rPr>
          <w:noProof/>
          <w:lang w:eastAsia="zh-CN"/>
        </w:rPr>
        <w:t xml:space="preserve"> 2013 </w:t>
      </w:r>
      <w:r w:rsidR="008E709C">
        <w:rPr>
          <w:noProof/>
          <w:lang w:eastAsia="zh-CN"/>
        </w:rPr>
        <w:t>m</w:t>
      </w:r>
      <w:r w:rsidR="00CA151E" w:rsidRPr="00CA151E">
        <w:rPr>
          <w:noProof/>
          <w:lang w:eastAsia="zh-CN"/>
        </w:rPr>
        <w:t xml:space="preserve">inisterial </w:t>
      </w:r>
      <w:r w:rsidR="008E709C">
        <w:rPr>
          <w:noProof/>
          <w:lang w:eastAsia="zh-CN"/>
        </w:rPr>
        <w:t>f</w:t>
      </w:r>
      <w:r w:rsidR="00CA151E" w:rsidRPr="00CA151E">
        <w:rPr>
          <w:noProof/>
          <w:lang w:eastAsia="zh-CN"/>
        </w:rPr>
        <w:t>orum</w:t>
      </w:r>
      <w:r w:rsidR="008E709C">
        <w:rPr>
          <w:noProof/>
          <w:lang w:eastAsia="zh-CN"/>
        </w:rPr>
        <w:t>.</w:t>
      </w:r>
      <w:r w:rsidR="002D202C">
        <w:rPr>
          <w:rStyle w:val="FootnoteReference"/>
          <w:rFonts w:cstheme="minorHAnsi"/>
          <w:noProof/>
          <w:color w:val="000000"/>
          <w:lang w:eastAsia="zh-CN"/>
        </w:rPr>
        <w:footnoteReference w:id="24"/>
      </w:r>
      <w:r w:rsidR="00B47782">
        <w:rPr>
          <w:noProof/>
          <w:lang w:eastAsia="zh-CN"/>
        </w:rPr>
        <w:t xml:space="preserve"> </w:t>
      </w:r>
      <w:r w:rsidR="006628F2">
        <w:rPr>
          <w:noProof/>
          <w:lang w:eastAsia="zh-CN"/>
        </w:rPr>
        <w:t>I</w:t>
      </w:r>
      <w:r w:rsidR="00CA151E">
        <w:rPr>
          <w:noProof/>
          <w:lang w:eastAsia="zh-CN"/>
        </w:rPr>
        <w:t>n 2012</w:t>
      </w:r>
      <w:r w:rsidR="008E709C">
        <w:rPr>
          <w:noProof/>
          <w:lang w:eastAsia="zh-CN"/>
        </w:rPr>
        <w:t>–</w:t>
      </w:r>
      <w:r w:rsidR="00CA151E">
        <w:rPr>
          <w:noProof/>
          <w:lang w:eastAsia="zh-CN"/>
        </w:rPr>
        <w:t>13</w:t>
      </w:r>
      <w:r w:rsidR="008E709C">
        <w:rPr>
          <w:noProof/>
          <w:lang w:eastAsia="zh-CN"/>
        </w:rPr>
        <w:t>,</w:t>
      </w:r>
      <w:r w:rsidR="00CA151E">
        <w:rPr>
          <w:noProof/>
          <w:lang w:eastAsia="zh-CN"/>
        </w:rPr>
        <w:t xml:space="preserve"> </w:t>
      </w:r>
      <w:r w:rsidR="006628F2">
        <w:rPr>
          <w:noProof/>
          <w:lang w:eastAsia="zh-CN"/>
        </w:rPr>
        <w:t xml:space="preserve">Australia </w:t>
      </w:r>
      <w:r w:rsidR="00CA151E">
        <w:rPr>
          <w:noProof/>
          <w:lang w:eastAsia="zh-CN"/>
        </w:rPr>
        <w:t xml:space="preserve">will </w:t>
      </w:r>
      <w:r w:rsidR="00CA151E" w:rsidRPr="00CA151E">
        <w:rPr>
          <w:noProof/>
          <w:lang w:eastAsia="zh-CN"/>
        </w:rPr>
        <w:t>spend $180 million on infrastructure</w:t>
      </w:r>
      <w:r w:rsidR="006628F2">
        <w:rPr>
          <w:noProof/>
          <w:lang w:eastAsia="zh-CN"/>
        </w:rPr>
        <w:t xml:space="preserve"> (</w:t>
      </w:r>
      <w:r w:rsidR="00CA151E" w:rsidRPr="00CA151E">
        <w:rPr>
          <w:noProof/>
          <w:lang w:eastAsia="zh-CN"/>
        </w:rPr>
        <w:t xml:space="preserve">37 per cent of </w:t>
      </w:r>
      <w:r w:rsidR="00683ED1">
        <w:rPr>
          <w:noProof/>
          <w:lang w:eastAsia="zh-CN"/>
        </w:rPr>
        <w:t>the</w:t>
      </w:r>
      <w:r w:rsidR="00CA151E" w:rsidRPr="00CA151E">
        <w:rPr>
          <w:noProof/>
          <w:lang w:eastAsia="zh-CN"/>
        </w:rPr>
        <w:t xml:space="preserve"> aid program</w:t>
      </w:r>
      <w:r w:rsidR="006628F2">
        <w:rPr>
          <w:noProof/>
          <w:lang w:eastAsia="zh-CN"/>
        </w:rPr>
        <w:t>),</w:t>
      </w:r>
      <w:r w:rsidR="00CA151E">
        <w:rPr>
          <w:noProof/>
          <w:lang w:eastAsia="zh-CN"/>
        </w:rPr>
        <w:t xml:space="preserve"> </w:t>
      </w:r>
      <w:r w:rsidR="00CA151E" w:rsidRPr="00CA151E">
        <w:rPr>
          <w:noProof/>
          <w:lang w:eastAsia="zh-CN"/>
        </w:rPr>
        <w:t>not just for roads, but to build and maintain health centres, schools and law and justice facilities</w:t>
      </w:r>
      <w:r w:rsidR="0041638B">
        <w:rPr>
          <w:noProof/>
          <w:lang w:eastAsia="zh-CN"/>
        </w:rPr>
        <w:t xml:space="preserve">. </w:t>
      </w:r>
      <w:r w:rsidR="005731F4">
        <w:rPr>
          <w:noProof/>
          <w:lang w:eastAsia="zh-CN"/>
        </w:rPr>
        <w:t>The Australian Prime Ministe</w:t>
      </w:r>
      <w:r w:rsidR="00D36361">
        <w:rPr>
          <w:noProof/>
          <w:lang w:eastAsia="zh-CN"/>
        </w:rPr>
        <w:t>r</w:t>
      </w:r>
      <w:r w:rsidR="005731F4">
        <w:rPr>
          <w:noProof/>
          <w:lang w:eastAsia="zh-CN"/>
        </w:rPr>
        <w:t xml:space="preserve"> visited PNG in May 2013 </w:t>
      </w:r>
      <w:r w:rsidR="00515D1D">
        <w:rPr>
          <w:noProof/>
          <w:lang w:eastAsia="zh-CN"/>
        </w:rPr>
        <w:t xml:space="preserve">and </w:t>
      </w:r>
      <w:r w:rsidR="00515D1D" w:rsidRPr="00B5416A">
        <w:rPr>
          <w:rFonts w:eastAsia="Calibri"/>
          <w:lang w:eastAsia="en-US"/>
        </w:rPr>
        <w:t>signed a Joint Declaration for a New Papua New Guinea</w:t>
      </w:r>
      <w:r w:rsidR="00B4411D">
        <w:rPr>
          <w:rFonts w:eastAsia="Calibri"/>
          <w:lang w:eastAsia="en-US"/>
        </w:rPr>
        <w:t xml:space="preserve"> – </w:t>
      </w:r>
      <w:r w:rsidR="00515D1D" w:rsidRPr="00B5416A">
        <w:rPr>
          <w:rFonts w:eastAsia="Calibri"/>
          <w:lang w:eastAsia="en-US"/>
        </w:rPr>
        <w:t xml:space="preserve">Australia Partnership with </w:t>
      </w:r>
      <w:r w:rsidR="00B4411D">
        <w:rPr>
          <w:rFonts w:eastAsia="Calibri"/>
          <w:lang w:eastAsia="en-US"/>
        </w:rPr>
        <w:t xml:space="preserve">PNG’s </w:t>
      </w:r>
      <w:r w:rsidR="00515D1D" w:rsidRPr="00B5416A">
        <w:rPr>
          <w:rFonts w:eastAsia="Calibri"/>
          <w:lang w:eastAsia="en-US"/>
        </w:rPr>
        <w:t xml:space="preserve">Prime Minister, </w:t>
      </w:r>
      <w:r w:rsidR="00515D1D" w:rsidRPr="00B5416A">
        <w:rPr>
          <w:rFonts w:eastAsia="Calibri"/>
          <w:lang w:eastAsia="en-US"/>
        </w:rPr>
        <w:lastRenderedPageBreak/>
        <w:t>emphasising respect for democratic values and common interest in peace, stability and prosperity in the Asia Pacific region.</w:t>
      </w:r>
      <w:r w:rsidR="00515D1D" w:rsidRPr="00B5416A">
        <w:rPr>
          <w:rFonts w:eastAsia="Calibri"/>
          <w:vertAlign w:val="superscript"/>
          <w:lang w:eastAsia="en-US"/>
        </w:rPr>
        <w:footnoteReference w:id="25"/>
      </w:r>
      <w:r w:rsidR="00515D1D" w:rsidRPr="00515D1D">
        <w:rPr>
          <w:rFonts w:ascii="Calibri" w:eastAsia="Calibri" w:hAnsi="Calibri"/>
          <w:lang w:eastAsia="en-US"/>
        </w:rPr>
        <w:t xml:space="preserve"> </w:t>
      </w:r>
    </w:p>
    <w:p w14:paraId="0B70F530" w14:textId="77777777" w:rsidR="00F20CED" w:rsidRDefault="00F20CED" w:rsidP="008E0AE1">
      <w:pPr>
        <w:pStyle w:val="BodyText"/>
        <w:rPr>
          <w:rFonts w:eastAsia="Calibri"/>
          <w:lang w:eastAsia="en-US"/>
        </w:rPr>
      </w:pPr>
      <w:r>
        <w:rPr>
          <w:rFonts w:eastAsia="Calibri"/>
        </w:rPr>
        <w:t xml:space="preserve">Australia is designing aid </w:t>
      </w:r>
      <w:r w:rsidR="004421DE">
        <w:rPr>
          <w:rFonts w:eastAsia="Calibri"/>
        </w:rPr>
        <w:t>investments to</w:t>
      </w:r>
      <w:r>
        <w:rPr>
          <w:rFonts w:eastAsia="Calibri"/>
        </w:rPr>
        <w:t xml:space="preserve"> </w:t>
      </w:r>
      <w:r w:rsidR="00CF557D">
        <w:rPr>
          <w:rFonts w:eastAsia="Calibri"/>
        </w:rPr>
        <w:t xml:space="preserve">not only </w:t>
      </w:r>
      <w:r w:rsidR="008E709C">
        <w:rPr>
          <w:rFonts w:eastAsia="Calibri"/>
        </w:rPr>
        <w:t xml:space="preserve">have an </w:t>
      </w:r>
      <w:r w:rsidR="00CF557D">
        <w:rPr>
          <w:rFonts w:eastAsia="Calibri"/>
        </w:rPr>
        <w:t>impact</w:t>
      </w:r>
      <w:r>
        <w:rPr>
          <w:rFonts w:eastAsia="Calibri"/>
        </w:rPr>
        <w:t xml:space="preserve"> on the supply of services and accountability</w:t>
      </w:r>
      <w:r w:rsidR="00CF557D">
        <w:rPr>
          <w:rFonts w:eastAsia="Calibri"/>
        </w:rPr>
        <w:t xml:space="preserve"> but to support</w:t>
      </w:r>
      <w:r>
        <w:rPr>
          <w:rFonts w:eastAsia="Calibri"/>
        </w:rPr>
        <w:t xml:space="preserve"> local demand</w:t>
      </w:r>
      <w:r w:rsidR="00867C09">
        <w:rPr>
          <w:rFonts w:eastAsia="Calibri"/>
        </w:rPr>
        <w:t xml:space="preserve"> for these</w:t>
      </w:r>
      <w:r>
        <w:rPr>
          <w:rFonts w:eastAsia="Calibri"/>
        </w:rPr>
        <w:t xml:space="preserve">. Australia engages </w:t>
      </w:r>
      <w:r w:rsidRPr="00291086">
        <w:rPr>
          <w:rFonts w:eastAsia="Calibri"/>
        </w:rPr>
        <w:t>with</w:t>
      </w:r>
      <w:r w:rsidR="004421DE">
        <w:rPr>
          <w:rFonts w:eastAsia="Calibri"/>
        </w:rPr>
        <w:t xml:space="preserve"> a range of partners towards this goal.</w:t>
      </w:r>
      <w:r w:rsidRPr="00291086">
        <w:rPr>
          <w:rFonts w:eastAsia="Calibri"/>
        </w:rPr>
        <w:t xml:space="preserve"> </w:t>
      </w:r>
      <w:r w:rsidR="004421DE">
        <w:rPr>
          <w:rFonts w:eastAsia="Calibri"/>
        </w:rPr>
        <w:t>C</w:t>
      </w:r>
      <w:r w:rsidRPr="00291086">
        <w:rPr>
          <w:rFonts w:eastAsia="Calibri"/>
        </w:rPr>
        <w:t xml:space="preserve">ivil society </w:t>
      </w:r>
      <w:r w:rsidR="004421DE">
        <w:rPr>
          <w:rFonts w:eastAsia="Calibri"/>
        </w:rPr>
        <w:t xml:space="preserve">is an important partner </w:t>
      </w:r>
      <w:r w:rsidRPr="00291086">
        <w:rPr>
          <w:rFonts w:eastAsia="Calibri"/>
        </w:rPr>
        <w:t>in deliver</w:t>
      </w:r>
      <w:r w:rsidR="00B4411D">
        <w:rPr>
          <w:rFonts w:eastAsia="Calibri"/>
        </w:rPr>
        <w:t>ing</w:t>
      </w:r>
      <w:r w:rsidRPr="00291086">
        <w:rPr>
          <w:rFonts w:eastAsia="Calibri"/>
        </w:rPr>
        <w:t xml:space="preserve"> </w:t>
      </w:r>
      <w:r w:rsidR="00867C09">
        <w:rPr>
          <w:rFonts w:eastAsia="Calibri"/>
        </w:rPr>
        <w:t>many</w:t>
      </w:r>
      <w:r w:rsidRPr="00291086">
        <w:rPr>
          <w:rFonts w:eastAsia="Calibri"/>
        </w:rPr>
        <w:t xml:space="preserve"> of</w:t>
      </w:r>
      <w:r w:rsidR="004421DE">
        <w:rPr>
          <w:rFonts w:eastAsia="Calibri"/>
        </w:rPr>
        <w:t xml:space="preserve"> Australia’s programs in PNG.</w:t>
      </w:r>
      <w:r w:rsidRPr="00291086">
        <w:rPr>
          <w:rFonts w:eastAsia="Calibri"/>
        </w:rPr>
        <w:t xml:space="preserve"> </w:t>
      </w:r>
      <w:r>
        <w:rPr>
          <w:rFonts w:eastAsia="Calibri"/>
        </w:rPr>
        <w:t>C</w:t>
      </w:r>
      <w:r w:rsidRPr="00291086">
        <w:rPr>
          <w:rFonts w:eastAsia="Calibri"/>
        </w:rPr>
        <w:t>ivil society partners can</w:t>
      </w:r>
      <w:r>
        <w:rPr>
          <w:rFonts w:eastAsia="Calibri"/>
        </w:rPr>
        <w:t xml:space="preserve"> </w:t>
      </w:r>
      <w:r w:rsidRPr="00291086">
        <w:rPr>
          <w:rFonts w:eastAsia="Calibri"/>
        </w:rPr>
        <w:t>be powerful agents for change in PNG in deliver</w:t>
      </w:r>
      <w:r w:rsidR="00B4411D">
        <w:rPr>
          <w:rFonts w:eastAsia="Calibri"/>
        </w:rPr>
        <w:t>ing</w:t>
      </w:r>
      <w:r w:rsidRPr="00291086">
        <w:rPr>
          <w:rFonts w:eastAsia="Calibri"/>
        </w:rPr>
        <w:t xml:space="preserve"> better services, enab</w:t>
      </w:r>
      <w:r>
        <w:rPr>
          <w:rFonts w:eastAsia="Calibri"/>
        </w:rPr>
        <w:t>ling social inclusion and assisting</w:t>
      </w:r>
      <w:r w:rsidRPr="00291086">
        <w:rPr>
          <w:rFonts w:eastAsia="Calibri"/>
        </w:rPr>
        <w:t xml:space="preserve"> all levels of </w:t>
      </w:r>
      <w:r w:rsidR="00B4411D">
        <w:rPr>
          <w:rFonts w:eastAsia="Calibri"/>
        </w:rPr>
        <w:t>the</w:t>
      </w:r>
      <w:r w:rsidR="00B4411D" w:rsidRPr="00291086">
        <w:rPr>
          <w:rFonts w:eastAsia="Calibri"/>
        </w:rPr>
        <w:t xml:space="preserve"> </w:t>
      </w:r>
      <w:r w:rsidRPr="00291086">
        <w:rPr>
          <w:rFonts w:eastAsia="Calibri"/>
        </w:rPr>
        <w:t xml:space="preserve">government </w:t>
      </w:r>
      <w:r>
        <w:rPr>
          <w:rFonts w:eastAsia="Calibri"/>
        </w:rPr>
        <w:t xml:space="preserve">to enhance </w:t>
      </w:r>
      <w:r w:rsidRPr="00291086">
        <w:rPr>
          <w:rFonts w:eastAsia="Calibri"/>
        </w:rPr>
        <w:t>effective</w:t>
      </w:r>
      <w:r>
        <w:rPr>
          <w:rFonts w:eastAsia="Calibri"/>
        </w:rPr>
        <w:t xml:space="preserve">ness, accountability and transparency. </w:t>
      </w:r>
      <w:r w:rsidR="004421DE" w:rsidRPr="00291086">
        <w:rPr>
          <w:rFonts w:eastAsia="Calibri"/>
          <w:lang w:eastAsia="en-US"/>
        </w:rPr>
        <w:t>Australia</w:t>
      </w:r>
      <w:r w:rsidR="00867C09">
        <w:rPr>
          <w:rFonts w:eastAsia="Calibri"/>
          <w:lang w:eastAsia="en-US"/>
        </w:rPr>
        <w:t>’s aid program</w:t>
      </w:r>
      <w:r w:rsidR="004421DE" w:rsidRPr="00291086">
        <w:rPr>
          <w:rFonts w:eastAsia="Calibri"/>
          <w:lang w:eastAsia="en-US"/>
        </w:rPr>
        <w:t xml:space="preserve"> </w:t>
      </w:r>
      <w:r w:rsidR="004421DE">
        <w:rPr>
          <w:rFonts w:eastAsia="Calibri"/>
          <w:lang w:eastAsia="en-US"/>
        </w:rPr>
        <w:t xml:space="preserve">is also improving </w:t>
      </w:r>
      <w:r w:rsidR="00B4411D">
        <w:rPr>
          <w:rFonts w:eastAsia="Calibri"/>
          <w:lang w:eastAsia="en-US"/>
        </w:rPr>
        <w:t>the PNG government’s</w:t>
      </w:r>
      <w:r w:rsidR="00B4411D" w:rsidRPr="00291086">
        <w:rPr>
          <w:rFonts w:eastAsia="Calibri"/>
          <w:lang w:eastAsia="en-US"/>
        </w:rPr>
        <w:t xml:space="preserve"> </w:t>
      </w:r>
      <w:r w:rsidR="004421DE" w:rsidRPr="00291086">
        <w:rPr>
          <w:rFonts w:eastAsia="Calibri"/>
          <w:lang w:eastAsia="en-US"/>
        </w:rPr>
        <w:t xml:space="preserve">ability to work with Australian and PNG businesses to </w:t>
      </w:r>
      <w:r w:rsidR="00E54292">
        <w:rPr>
          <w:rFonts w:eastAsia="Calibri"/>
          <w:lang w:eastAsia="en-US"/>
        </w:rPr>
        <w:t>improve poverty reduction and service delivery</w:t>
      </w:r>
      <w:r w:rsidR="004421DE" w:rsidRPr="00291086">
        <w:rPr>
          <w:rFonts w:eastAsia="Calibri"/>
          <w:lang w:eastAsia="en-US"/>
        </w:rPr>
        <w:t xml:space="preserve"> outcomes. This engagement involve</w:t>
      </w:r>
      <w:r w:rsidR="00CF557D">
        <w:rPr>
          <w:rFonts w:eastAsia="Calibri"/>
          <w:lang w:eastAsia="en-US"/>
        </w:rPr>
        <w:t>s</w:t>
      </w:r>
      <w:r w:rsidR="004421DE" w:rsidRPr="00291086">
        <w:rPr>
          <w:rFonts w:eastAsia="Calibri"/>
          <w:lang w:eastAsia="en-US"/>
        </w:rPr>
        <w:t xml:space="preserve"> identifying areas of mutual interest, </w:t>
      </w:r>
      <w:r w:rsidR="00B4411D">
        <w:rPr>
          <w:rFonts w:eastAsia="Calibri"/>
          <w:lang w:eastAsia="en-US"/>
        </w:rPr>
        <w:t xml:space="preserve">holding discussions </w:t>
      </w:r>
      <w:r w:rsidR="00867C09">
        <w:rPr>
          <w:rFonts w:eastAsia="Calibri"/>
          <w:lang w:eastAsia="en-US"/>
        </w:rPr>
        <w:t xml:space="preserve">on development </w:t>
      </w:r>
      <w:r w:rsidR="005820DE">
        <w:rPr>
          <w:rFonts w:eastAsia="Calibri"/>
          <w:lang w:eastAsia="en-US"/>
        </w:rPr>
        <w:t>priorities</w:t>
      </w:r>
      <w:r w:rsidR="00867C09">
        <w:rPr>
          <w:rFonts w:eastAsia="Calibri"/>
          <w:lang w:eastAsia="en-US"/>
        </w:rPr>
        <w:t xml:space="preserve"> and</w:t>
      </w:r>
      <w:r w:rsidR="004421DE" w:rsidRPr="00291086">
        <w:rPr>
          <w:rFonts w:eastAsia="Calibri"/>
          <w:lang w:eastAsia="en-US"/>
        </w:rPr>
        <w:t xml:space="preserve"> work</w:t>
      </w:r>
      <w:r w:rsidR="00B4411D">
        <w:rPr>
          <w:rFonts w:eastAsia="Calibri"/>
          <w:lang w:eastAsia="en-US"/>
        </w:rPr>
        <w:t>ing</w:t>
      </w:r>
      <w:r w:rsidR="004421DE" w:rsidRPr="00291086">
        <w:rPr>
          <w:rFonts w:eastAsia="Calibri"/>
          <w:lang w:eastAsia="en-US"/>
        </w:rPr>
        <w:t xml:space="preserve"> to identify practical areas for </w:t>
      </w:r>
      <w:r w:rsidR="00E54292">
        <w:rPr>
          <w:rFonts w:eastAsia="Calibri"/>
          <w:lang w:eastAsia="en-US"/>
        </w:rPr>
        <w:t>cooperation</w:t>
      </w:r>
      <w:r w:rsidR="00867C09">
        <w:rPr>
          <w:rFonts w:eastAsia="Calibri"/>
          <w:lang w:eastAsia="en-US"/>
        </w:rPr>
        <w:t>, particularly in service delivery</w:t>
      </w:r>
      <w:r w:rsidR="004421DE" w:rsidRPr="00291086">
        <w:rPr>
          <w:rFonts w:eastAsia="Calibri"/>
          <w:lang w:eastAsia="en-US"/>
        </w:rPr>
        <w:t>.</w:t>
      </w:r>
      <w:r w:rsidR="003E4F34">
        <w:rPr>
          <w:rFonts w:eastAsia="Calibri"/>
          <w:lang w:eastAsia="en-US"/>
        </w:rPr>
        <w:t xml:space="preserve"> Australia’s increas</w:t>
      </w:r>
      <w:r w:rsidR="00CF557D">
        <w:rPr>
          <w:rFonts w:eastAsia="Calibri"/>
          <w:lang w:eastAsia="en-US"/>
        </w:rPr>
        <w:t>ing</w:t>
      </w:r>
      <w:r w:rsidR="003E4F34">
        <w:rPr>
          <w:rFonts w:eastAsia="Calibri"/>
          <w:lang w:eastAsia="en-US"/>
        </w:rPr>
        <w:t xml:space="preserve"> emphasis on business and civil society engagement necessitate</w:t>
      </w:r>
      <w:r w:rsidR="00B4411D">
        <w:rPr>
          <w:rFonts w:eastAsia="Calibri"/>
          <w:lang w:eastAsia="en-US"/>
        </w:rPr>
        <w:t>s</w:t>
      </w:r>
      <w:r w:rsidR="003E4F34">
        <w:rPr>
          <w:rFonts w:eastAsia="Calibri"/>
          <w:lang w:eastAsia="en-US"/>
        </w:rPr>
        <w:t xml:space="preserve"> </w:t>
      </w:r>
      <w:r w:rsidR="00CF557D">
        <w:rPr>
          <w:rFonts w:eastAsia="Calibri"/>
          <w:lang w:eastAsia="en-US"/>
        </w:rPr>
        <w:t xml:space="preserve">continued </w:t>
      </w:r>
      <w:r w:rsidR="003E4F34">
        <w:rPr>
          <w:rFonts w:eastAsia="Calibri"/>
          <w:lang w:eastAsia="en-US"/>
        </w:rPr>
        <w:t xml:space="preserve">strengthening of </w:t>
      </w:r>
      <w:r w:rsidR="00B4411D">
        <w:rPr>
          <w:rFonts w:eastAsia="Calibri"/>
          <w:lang w:eastAsia="en-US"/>
        </w:rPr>
        <w:t>our</w:t>
      </w:r>
      <w:r w:rsidR="003E4F34">
        <w:rPr>
          <w:rFonts w:eastAsia="Calibri"/>
          <w:lang w:eastAsia="en-US"/>
        </w:rPr>
        <w:t xml:space="preserve"> capacity to design sector programs which partner effectively with these actors</w:t>
      </w:r>
      <w:r w:rsidR="00477514">
        <w:rPr>
          <w:rFonts w:eastAsia="Calibri"/>
          <w:lang w:eastAsia="en-US"/>
        </w:rPr>
        <w:t xml:space="preserve">. </w:t>
      </w:r>
    </w:p>
    <w:p w14:paraId="0B70F531" w14:textId="77777777" w:rsidR="008934B0" w:rsidRDefault="005A4556" w:rsidP="008E0AE1">
      <w:pPr>
        <w:pStyle w:val="Heading2"/>
      </w:pPr>
      <w:r>
        <w:t>R</w:t>
      </w:r>
      <w:r w:rsidR="008E0AE1">
        <w:t xml:space="preserve">eform agendas </w:t>
      </w:r>
    </w:p>
    <w:p w14:paraId="0B70F532" w14:textId="77777777" w:rsidR="008934B0" w:rsidRPr="008E0AE1" w:rsidRDefault="008934B0" w:rsidP="008E0AE1">
      <w:pPr>
        <w:pStyle w:val="BodyText"/>
      </w:pPr>
      <w:r w:rsidRPr="008E0AE1">
        <w:t>In 2012</w:t>
      </w:r>
      <w:r w:rsidR="00E74AA3" w:rsidRPr="008E0AE1">
        <w:t>–</w:t>
      </w:r>
      <w:r w:rsidRPr="008E0AE1">
        <w:t xml:space="preserve">13, key </w:t>
      </w:r>
      <w:r w:rsidR="005A7111" w:rsidRPr="008E0AE1">
        <w:t xml:space="preserve">reform </w:t>
      </w:r>
      <w:r w:rsidR="000C1185" w:rsidRPr="008E0AE1">
        <w:t>areas</w:t>
      </w:r>
      <w:r w:rsidRPr="008E0AE1">
        <w:t xml:space="preserve"> emerged for future cooperation between PNG and Australia to support progress toward the </w:t>
      </w:r>
      <w:r w:rsidR="00B4411D" w:rsidRPr="008E0AE1">
        <w:t xml:space="preserve">partnership’s </w:t>
      </w:r>
      <w:r w:rsidRPr="008E0AE1">
        <w:t>overall objectives</w:t>
      </w:r>
      <w:r w:rsidR="0041638B" w:rsidRPr="008E0AE1">
        <w:t xml:space="preserve">. </w:t>
      </w:r>
      <w:r w:rsidR="005A7111" w:rsidRPr="008E0AE1">
        <w:t xml:space="preserve">Australia </w:t>
      </w:r>
      <w:r w:rsidR="00A43B6C" w:rsidRPr="008E0AE1">
        <w:t>is engaging</w:t>
      </w:r>
      <w:r w:rsidR="005A7111" w:rsidRPr="008E0AE1">
        <w:t xml:space="preserve"> with </w:t>
      </w:r>
      <w:r w:rsidR="00A43B6C" w:rsidRPr="008E0AE1">
        <w:t>PNG’s</w:t>
      </w:r>
      <w:r w:rsidR="00D3403C" w:rsidRPr="008E0AE1">
        <w:t xml:space="preserve"> new generation of political l</w:t>
      </w:r>
      <w:r w:rsidR="00683ED1" w:rsidRPr="008E0AE1">
        <w:t>eaders</w:t>
      </w:r>
      <w:r w:rsidR="005017A4" w:rsidRPr="008E0AE1">
        <w:t xml:space="preserve"> </w:t>
      </w:r>
      <w:r w:rsidR="005A7111" w:rsidRPr="008E0AE1">
        <w:t xml:space="preserve">on </w:t>
      </w:r>
      <w:r w:rsidR="00FC5D80" w:rsidRPr="008E0AE1">
        <w:t>reform areas, and responding to</w:t>
      </w:r>
      <w:r w:rsidR="00285D5D" w:rsidRPr="008E0AE1">
        <w:t xml:space="preserve"> demand for evidence-based advice to guide </w:t>
      </w:r>
      <w:r w:rsidR="005017A4" w:rsidRPr="008E0AE1">
        <w:t xml:space="preserve">policy </w:t>
      </w:r>
      <w:r w:rsidR="00285D5D" w:rsidRPr="008E0AE1">
        <w:t>decision</w:t>
      </w:r>
      <w:r w:rsidR="005017A4" w:rsidRPr="008E0AE1">
        <w:t>s</w:t>
      </w:r>
      <w:r w:rsidR="00285D5D" w:rsidRPr="008E0AE1">
        <w:t xml:space="preserve">. </w:t>
      </w:r>
      <w:r w:rsidR="006E2631" w:rsidRPr="008E0AE1">
        <w:t>While some progress was made on t</w:t>
      </w:r>
      <w:r w:rsidR="00A43B6C" w:rsidRPr="008E0AE1">
        <w:t>he following key areas of reform</w:t>
      </w:r>
      <w:r w:rsidR="006E2631" w:rsidRPr="008E0AE1">
        <w:t xml:space="preserve"> </w:t>
      </w:r>
      <w:r w:rsidR="00A43B6C" w:rsidRPr="008E0AE1">
        <w:t>in 2012-13</w:t>
      </w:r>
      <w:r w:rsidR="006E2631" w:rsidRPr="008E0AE1">
        <w:t xml:space="preserve">, </w:t>
      </w:r>
      <w:r w:rsidR="00FC5D80" w:rsidRPr="008E0AE1">
        <w:t xml:space="preserve">ongoing </w:t>
      </w:r>
      <w:r w:rsidR="00A2123F" w:rsidRPr="008E0AE1">
        <w:t>cooperation</w:t>
      </w:r>
      <w:r w:rsidR="006E2631" w:rsidRPr="008E0AE1">
        <w:t xml:space="preserve"> will be required to meet partnership objectives</w:t>
      </w:r>
      <w:r w:rsidR="00A43B6C" w:rsidRPr="008E0AE1">
        <w:t>:</w:t>
      </w:r>
    </w:p>
    <w:p w14:paraId="0B70F533" w14:textId="753291CF" w:rsidR="008934B0" w:rsidRDefault="00B4411D" w:rsidP="008E0AE1">
      <w:pPr>
        <w:pStyle w:val="ListBullet"/>
      </w:pPr>
      <w:r>
        <w:t>P</w:t>
      </w:r>
      <w:r w:rsidR="008934B0">
        <w:t>rocurement systems</w:t>
      </w:r>
      <w:r w:rsidR="00025F7A">
        <w:t>, which</w:t>
      </w:r>
      <w:r w:rsidR="008934B0">
        <w:t xml:space="preserve"> continue to undermine progress towa</w:t>
      </w:r>
      <w:r w:rsidR="00B37F96">
        <w:t>rd development outcomes in PNG.</w:t>
      </w:r>
      <w:r w:rsidR="008934B0">
        <w:t xml:space="preserve"> </w:t>
      </w:r>
      <w:r w:rsidR="002E3366">
        <w:t>Ongoing h</w:t>
      </w:r>
      <w:r w:rsidR="008934B0">
        <w:t xml:space="preserve">igh-level political commitment </w:t>
      </w:r>
      <w:r>
        <w:t>is</w:t>
      </w:r>
      <w:r w:rsidR="002E3366">
        <w:t xml:space="preserve"> necessary</w:t>
      </w:r>
      <w:r w:rsidR="00E74AA3">
        <w:t xml:space="preserve"> </w:t>
      </w:r>
      <w:r w:rsidR="008934B0">
        <w:t>for reforms to succeed</w:t>
      </w:r>
      <w:r w:rsidR="00025F7A">
        <w:t>,</w:t>
      </w:r>
      <w:r w:rsidR="00450090">
        <w:t xml:space="preserve"> despite entrenched obstacles</w:t>
      </w:r>
      <w:r w:rsidR="008934B0">
        <w:t xml:space="preserve">. </w:t>
      </w:r>
      <w:r w:rsidR="00CF557D">
        <w:t xml:space="preserve">Australia’s </w:t>
      </w:r>
      <w:r w:rsidR="002E3366">
        <w:t xml:space="preserve">approaches to support </w:t>
      </w:r>
      <w:r w:rsidR="00CF557D">
        <w:t>p</w:t>
      </w:r>
      <w:r w:rsidR="00B777A2">
        <w:t>rocurement reform will differ between sectors</w:t>
      </w:r>
      <w:r w:rsidR="00CF557D">
        <w:t xml:space="preserve"> </w:t>
      </w:r>
      <w:r w:rsidR="002E3366">
        <w:t xml:space="preserve">and </w:t>
      </w:r>
      <w:r w:rsidR="00CA7DA2">
        <w:t xml:space="preserve">are </w:t>
      </w:r>
      <w:r w:rsidR="00CF557D">
        <w:t xml:space="preserve">supported by </w:t>
      </w:r>
      <w:r w:rsidR="00160CFB">
        <w:t>the Aid Program’s</w:t>
      </w:r>
      <w:r w:rsidR="00CF557D">
        <w:t xml:space="preserve"> governance investments</w:t>
      </w:r>
      <w:r w:rsidR="00B777A2">
        <w:t xml:space="preserve">. </w:t>
      </w:r>
      <w:r>
        <w:t>PNG has already made g</w:t>
      </w:r>
      <w:r w:rsidR="00B777A2">
        <w:t>ood progress</w:t>
      </w:r>
      <w:r>
        <w:t>,</w:t>
      </w:r>
      <w:r w:rsidR="002E3366">
        <w:t xml:space="preserve"> with Australian support</w:t>
      </w:r>
      <w:r>
        <w:t>,</w:t>
      </w:r>
      <w:r w:rsidR="00B777A2">
        <w:t xml:space="preserve"> towards establish</w:t>
      </w:r>
      <w:r>
        <w:t>ing</w:t>
      </w:r>
      <w:r w:rsidR="00B777A2">
        <w:t xml:space="preserve"> </w:t>
      </w:r>
      <w:r w:rsidR="00E51E85">
        <w:t xml:space="preserve">more transparent and effective </w:t>
      </w:r>
      <w:r w:rsidR="00D92BA8">
        <w:t xml:space="preserve">procurement </w:t>
      </w:r>
      <w:r w:rsidR="00B777A2">
        <w:t xml:space="preserve">in some sectors, such as </w:t>
      </w:r>
      <w:r w:rsidR="00D92BA8">
        <w:t xml:space="preserve">through </w:t>
      </w:r>
      <w:r w:rsidR="00B777A2">
        <w:t xml:space="preserve">the </w:t>
      </w:r>
      <w:r w:rsidR="009F6ECF">
        <w:rPr>
          <w:noProof/>
        </w:rPr>
        <w:t>Independent Health Procurement Authority</w:t>
      </w:r>
      <w:r w:rsidR="009F6ECF">
        <w:t xml:space="preserve"> </w:t>
      </w:r>
      <w:r w:rsidR="00B777A2">
        <w:t xml:space="preserve">and </w:t>
      </w:r>
      <w:r w:rsidR="009F6ECF" w:rsidRPr="009F6ECF">
        <w:rPr>
          <w:rFonts w:cstheme="minorHAnsi"/>
          <w:szCs w:val="22"/>
        </w:rPr>
        <w:t>Infrastructure Development Authority</w:t>
      </w:r>
      <w:r w:rsidR="0041638B">
        <w:t>.</w:t>
      </w:r>
    </w:p>
    <w:p w14:paraId="0B70F534" w14:textId="77777777" w:rsidR="008934B0" w:rsidRDefault="008934B0" w:rsidP="008E0AE1">
      <w:pPr>
        <w:pStyle w:val="ListBullet"/>
      </w:pPr>
      <w:r>
        <w:t>C</w:t>
      </w:r>
      <w:r w:rsidRPr="004C0FFD">
        <w:t>orruption</w:t>
      </w:r>
      <w:r w:rsidR="00025F7A">
        <w:t>, which</w:t>
      </w:r>
      <w:r w:rsidRPr="004C0FFD">
        <w:t xml:space="preserve"> </w:t>
      </w:r>
      <w:r>
        <w:t xml:space="preserve">remains </w:t>
      </w:r>
      <w:r w:rsidR="005B150A">
        <w:t>an</w:t>
      </w:r>
      <w:r w:rsidRPr="00BA51BF">
        <w:t xml:space="preserve"> obstacle to service delivery</w:t>
      </w:r>
      <w:r w:rsidR="000F418B">
        <w:t xml:space="preserve">. </w:t>
      </w:r>
      <w:r>
        <w:t>In</w:t>
      </w:r>
      <w:r w:rsidRPr="00660741">
        <w:t xml:space="preserve"> 20</w:t>
      </w:r>
      <w:r w:rsidR="00B37F96">
        <w:t>12, PNG and Australia signed a j</w:t>
      </w:r>
      <w:r w:rsidRPr="00660741">
        <w:t>oint statement on zero tolerance to fraud</w:t>
      </w:r>
      <w:r w:rsidR="00B37F96">
        <w:t>,</w:t>
      </w:r>
      <w:r w:rsidRPr="00660741">
        <w:t xml:space="preserve"> </w:t>
      </w:r>
      <w:r>
        <w:t>which commit</w:t>
      </w:r>
      <w:r w:rsidR="00683ED1">
        <w:t>s</w:t>
      </w:r>
      <w:r w:rsidRPr="00660741">
        <w:t xml:space="preserve"> to improving PNG’s anti-corruption measures</w:t>
      </w:r>
      <w:r w:rsidR="009F6ECF">
        <w:t>. This includes</w:t>
      </w:r>
      <w:r w:rsidRPr="00660741">
        <w:t xml:space="preserve"> implementing the National Anti-Corruption Strategy and strengthening the capacity of PNG law enforcement a</w:t>
      </w:r>
      <w:r w:rsidR="004D2733">
        <w:t xml:space="preserve">gencies to tackle corruption. </w:t>
      </w:r>
      <w:r w:rsidR="000F418B">
        <w:t>S</w:t>
      </w:r>
      <w:r w:rsidR="00683ED1">
        <w:t>ubstanti</w:t>
      </w:r>
      <w:r w:rsidR="000F418B">
        <w:t xml:space="preserve">al action is required </w:t>
      </w:r>
      <w:r w:rsidR="009F6ECF">
        <w:t>for</w:t>
      </w:r>
      <w:r w:rsidR="000F418B">
        <w:t xml:space="preserve"> genuine</w:t>
      </w:r>
      <w:r w:rsidR="00683ED1">
        <w:t xml:space="preserve"> impact</w:t>
      </w:r>
      <w:r>
        <w:t>.</w:t>
      </w:r>
    </w:p>
    <w:p w14:paraId="0B70F535" w14:textId="77777777" w:rsidR="002845B1" w:rsidRPr="005A4556" w:rsidRDefault="009F482B" w:rsidP="008E0AE1">
      <w:pPr>
        <w:pStyle w:val="ListBullet"/>
      </w:pPr>
      <w:r>
        <w:t>P</w:t>
      </w:r>
      <w:r w:rsidR="00B4411D">
        <w:t xml:space="preserve">reparation </w:t>
      </w:r>
      <w:r>
        <w:t>of</w:t>
      </w:r>
      <w:r w:rsidR="00B4411D">
        <w:t xml:space="preserve"> the 2013 National Budget</w:t>
      </w:r>
      <w:r>
        <w:t xml:space="preserve">, which </w:t>
      </w:r>
      <w:r w:rsidR="00DA5293">
        <w:t>directly affects service delivery and</w:t>
      </w:r>
      <w:r>
        <w:t xml:space="preserve"> poverty in PNG</w:t>
      </w:r>
      <w:r w:rsidR="00B4411D">
        <w:t xml:space="preserve">. </w:t>
      </w:r>
      <w:r w:rsidR="00683ED1">
        <w:t xml:space="preserve">Throughout 2012, </w:t>
      </w:r>
      <w:r w:rsidR="005A4556" w:rsidRPr="005A4556">
        <w:t>Australia</w:t>
      </w:r>
      <w:r w:rsidR="00683ED1">
        <w:t xml:space="preserve"> engaged </w:t>
      </w:r>
      <w:r w:rsidR="005A4556" w:rsidRPr="005A4556">
        <w:t>with the PNG Government</w:t>
      </w:r>
      <w:r w:rsidR="00683ED1">
        <w:t xml:space="preserve"> on </w:t>
      </w:r>
      <w:r w:rsidR="005A4556" w:rsidRPr="005A4556">
        <w:t>preparation</w:t>
      </w:r>
      <w:r w:rsidR="00A2123F">
        <w:t>s</w:t>
      </w:r>
      <w:r w:rsidR="005A4556" w:rsidRPr="005A4556">
        <w:t xml:space="preserve"> for the 2013 National Budget</w:t>
      </w:r>
      <w:r w:rsidR="0041638B">
        <w:t xml:space="preserve">. </w:t>
      </w:r>
      <w:r w:rsidR="005A4556" w:rsidRPr="005A4556">
        <w:t xml:space="preserve">While the PNG Government </w:t>
      </w:r>
      <w:r w:rsidR="00683ED1">
        <w:t xml:space="preserve">has </w:t>
      </w:r>
      <w:r w:rsidR="005A4556" w:rsidRPr="005A4556">
        <w:t>broadly met its commitments under the Partnership for Deve</w:t>
      </w:r>
      <w:r w:rsidR="000F418B">
        <w:t xml:space="preserve">lopment at aggregate level, </w:t>
      </w:r>
      <w:r w:rsidR="005A4556" w:rsidRPr="005A4556">
        <w:t>specific budget allocations to some programs</w:t>
      </w:r>
      <w:r w:rsidR="000F418B">
        <w:t xml:space="preserve"> </w:t>
      </w:r>
      <w:r w:rsidR="002F2D0F">
        <w:t xml:space="preserve">are </w:t>
      </w:r>
      <w:r w:rsidR="000F418B">
        <w:t>insufficient from Australia’s perspective</w:t>
      </w:r>
      <w:r w:rsidR="005A4556" w:rsidRPr="005A4556">
        <w:t>, including</w:t>
      </w:r>
      <w:r w:rsidR="002F2D0F">
        <w:t xml:space="preserve"> those focusing on</w:t>
      </w:r>
      <w:r w:rsidR="005A4556" w:rsidRPr="005A4556">
        <w:t xml:space="preserve"> higher </w:t>
      </w:r>
      <w:r w:rsidR="00B37F96">
        <w:t>education and education quality,</w:t>
      </w:r>
      <w:r w:rsidR="005A4556" w:rsidRPr="005A4556">
        <w:t xml:space="preserve"> TB, health pr</w:t>
      </w:r>
      <w:r w:rsidR="000F418B">
        <w:t>ocurement</w:t>
      </w:r>
      <w:r w:rsidR="009F6ECF">
        <w:t>,</w:t>
      </w:r>
      <w:r w:rsidR="00B37F96">
        <w:t xml:space="preserve"> health workforce, </w:t>
      </w:r>
      <w:r w:rsidR="000F418B">
        <w:t xml:space="preserve">some law and justice bodies </w:t>
      </w:r>
      <w:r w:rsidR="005A4556" w:rsidRPr="005A4556">
        <w:t xml:space="preserve">and </w:t>
      </w:r>
      <w:r w:rsidR="00B37F96">
        <w:t>gender equality.</w:t>
      </w:r>
      <w:r w:rsidR="005A4556" w:rsidRPr="005A4556">
        <w:t xml:space="preserve"> Australia will seek to enhance high-level </w:t>
      </w:r>
      <w:r w:rsidR="009F6ECF">
        <w:t>b</w:t>
      </w:r>
      <w:r w:rsidR="005A4556" w:rsidRPr="005A4556">
        <w:t>udge</w:t>
      </w:r>
      <w:r w:rsidR="00B37F96">
        <w:t>t</w:t>
      </w:r>
      <w:r w:rsidR="005A4556" w:rsidRPr="005A4556">
        <w:t xml:space="preserve"> discussions with PNG in preparation for the 2014 PNG Budget. </w:t>
      </w:r>
    </w:p>
    <w:p w14:paraId="0B70F536" w14:textId="77777777" w:rsidR="00E51E85" w:rsidRPr="00E51E85" w:rsidRDefault="00DA5293" w:rsidP="008E0AE1">
      <w:pPr>
        <w:pStyle w:val="ListBullet"/>
      </w:pPr>
      <w:r>
        <w:rPr>
          <w:szCs w:val="22"/>
        </w:rPr>
        <w:lastRenderedPageBreak/>
        <w:t>T</w:t>
      </w:r>
      <w:r w:rsidR="00E51E85">
        <w:rPr>
          <w:szCs w:val="22"/>
        </w:rPr>
        <w:t>he PNG Government’s aim to increase transparency and accountability of government revenue collection and expenditure</w:t>
      </w:r>
      <w:r w:rsidR="00FC5D80">
        <w:rPr>
          <w:szCs w:val="22"/>
        </w:rPr>
        <w:t xml:space="preserve">. </w:t>
      </w:r>
      <w:r w:rsidR="00160CFB">
        <w:rPr>
          <w:szCs w:val="22"/>
        </w:rPr>
        <w:t>Australia</w:t>
      </w:r>
      <w:r w:rsidR="00845870">
        <w:rPr>
          <w:szCs w:val="22"/>
        </w:rPr>
        <w:t xml:space="preserve"> continue</w:t>
      </w:r>
      <w:r w:rsidR="00A2123F">
        <w:rPr>
          <w:szCs w:val="22"/>
        </w:rPr>
        <w:t>d</w:t>
      </w:r>
      <w:r w:rsidR="00845870">
        <w:rPr>
          <w:szCs w:val="22"/>
        </w:rPr>
        <w:t xml:space="preserve"> to support</w:t>
      </w:r>
      <w:r w:rsidR="00A2123F">
        <w:rPr>
          <w:szCs w:val="22"/>
        </w:rPr>
        <w:t xml:space="preserve"> the PNG Government’s aspirat</w:t>
      </w:r>
      <w:r w:rsidR="00FC5D80">
        <w:rPr>
          <w:szCs w:val="22"/>
        </w:rPr>
        <w:t>ions and,</w:t>
      </w:r>
      <w:r w:rsidR="00A2123F">
        <w:rPr>
          <w:szCs w:val="22"/>
        </w:rPr>
        <w:t xml:space="preserve"> i</w:t>
      </w:r>
      <w:r w:rsidR="00F47ADA" w:rsidRPr="002845B1">
        <w:rPr>
          <w:szCs w:val="22"/>
        </w:rPr>
        <w:t>n 2009</w:t>
      </w:r>
      <w:r w:rsidR="009F6ECF">
        <w:rPr>
          <w:szCs w:val="22"/>
        </w:rPr>
        <w:t xml:space="preserve"> for example, both countries </w:t>
      </w:r>
      <w:r w:rsidR="00F47ADA" w:rsidRPr="002845B1">
        <w:rPr>
          <w:szCs w:val="22"/>
        </w:rPr>
        <w:t xml:space="preserve">agreed on a </w:t>
      </w:r>
      <w:r w:rsidR="00F47ADA" w:rsidRPr="004161A9">
        <w:rPr>
          <w:szCs w:val="22"/>
        </w:rPr>
        <w:t>Joint Understanding</w:t>
      </w:r>
      <w:r w:rsidR="00F47ADA" w:rsidRPr="002845B1">
        <w:rPr>
          <w:szCs w:val="22"/>
        </w:rPr>
        <w:t xml:space="preserve"> to assist the Government of PNG to manage specific governance issues relat</w:t>
      </w:r>
      <w:r w:rsidR="00F47ADA" w:rsidRPr="004161A9">
        <w:rPr>
          <w:szCs w:val="22"/>
        </w:rPr>
        <w:t xml:space="preserve">ed to the LNG </w:t>
      </w:r>
      <w:r w:rsidR="004459BF">
        <w:rPr>
          <w:szCs w:val="22"/>
        </w:rPr>
        <w:t>p</w:t>
      </w:r>
      <w:r w:rsidR="00F47ADA" w:rsidRPr="004161A9">
        <w:rPr>
          <w:szCs w:val="22"/>
        </w:rPr>
        <w:t>roject</w:t>
      </w:r>
      <w:r w:rsidR="0062147E" w:rsidRPr="002845B1">
        <w:rPr>
          <w:szCs w:val="22"/>
        </w:rPr>
        <w:t>. Australia is</w:t>
      </w:r>
      <w:r w:rsidR="009F6ECF">
        <w:rPr>
          <w:szCs w:val="22"/>
        </w:rPr>
        <w:t xml:space="preserve"> </w:t>
      </w:r>
      <w:r w:rsidR="00F47ADA" w:rsidRPr="004161A9">
        <w:rPr>
          <w:szCs w:val="22"/>
        </w:rPr>
        <w:t>providing advice</w:t>
      </w:r>
      <w:r w:rsidR="00F47ADA" w:rsidRPr="002845B1">
        <w:rPr>
          <w:szCs w:val="22"/>
        </w:rPr>
        <w:t xml:space="preserve"> on implement</w:t>
      </w:r>
      <w:r w:rsidR="009F6ECF">
        <w:rPr>
          <w:szCs w:val="22"/>
        </w:rPr>
        <w:t>ing the</w:t>
      </w:r>
      <w:r w:rsidR="00F47ADA" w:rsidRPr="002845B1">
        <w:rPr>
          <w:szCs w:val="22"/>
        </w:rPr>
        <w:t xml:space="preserve"> S</w:t>
      </w:r>
      <w:r w:rsidR="0062147E" w:rsidRPr="002845B1">
        <w:rPr>
          <w:szCs w:val="22"/>
        </w:rPr>
        <w:t>overeign Wealth Fu</w:t>
      </w:r>
      <w:r w:rsidR="0062147E" w:rsidRPr="002A12F2">
        <w:rPr>
          <w:szCs w:val="22"/>
        </w:rPr>
        <w:t>nd</w:t>
      </w:r>
      <w:r w:rsidR="00F47ADA" w:rsidRPr="0048469A">
        <w:rPr>
          <w:szCs w:val="22"/>
        </w:rPr>
        <w:t xml:space="preserve"> to help PNG manage LNG and other mineral resource revenues in a transparent and effective way</w:t>
      </w:r>
      <w:r w:rsidR="002F2D0F">
        <w:rPr>
          <w:szCs w:val="22"/>
        </w:rPr>
        <w:t xml:space="preserve">. </w:t>
      </w:r>
      <w:r w:rsidR="00160CFB">
        <w:rPr>
          <w:szCs w:val="22"/>
        </w:rPr>
        <w:t>Australia has</w:t>
      </w:r>
      <w:r w:rsidR="002F2D0F">
        <w:rPr>
          <w:szCs w:val="22"/>
        </w:rPr>
        <w:t xml:space="preserve"> </w:t>
      </w:r>
      <w:r w:rsidR="00F47ADA" w:rsidRPr="00211D9D">
        <w:rPr>
          <w:szCs w:val="22"/>
        </w:rPr>
        <w:t>assisted with drafting the legislatio</w:t>
      </w:r>
      <w:r w:rsidR="0062147E" w:rsidRPr="00D44268">
        <w:rPr>
          <w:szCs w:val="22"/>
        </w:rPr>
        <w:t xml:space="preserve">n required to establish the </w:t>
      </w:r>
      <w:r w:rsidR="00BB7EEE" w:rsidRPr="002845B1">
        <w:rPr>
          <w:szCs w:val="22"/>
        </w:rPr>
        <w:t>Sovereign Wealth Fu</w:t>
      </w:r>
      <w:r w:rsidR="00BB7EEE" w:rsidRPr="002A12F2">
        <w:rPr>
          <w:szCs w:val="22"/>
        </w:rPr>
        <w:t>nd</w:t>
      </w:r>
      <w:r w:rsidR="0062147E" w:rsidRPr="00C52F13">
        <w:rPr>
          <w:szCs w:val="22"/>
        </w:rPr>
        <w:t xml:space="preserve"> and </w:t>
      </w:r>
      <w:r w:rsidR="00F47ADA" w:rsidRPr="00C52F13">
        <w:rPr>
          <w:szCs w:val="22"/>
        </w:rPr>
        <w:t>ha</w:t>
      </w:r>
      <w:r w:rsidR="00160CFB">
        <w:rPr>
          <w:szCs w:val="22"/>
        </w:rPr>
        <w:t>s</w:t>
      </w:r>
      <w:r w:rsidR="00F47ADA" w:rsidRPr="00C52F13">
        <w:rPr>
          <w:szCs w:val="22"/>
        </w:rPr>
        <w:t xml:space="preserve"> provided </w:t>
      </w:r>
      <w:r w:rsidR="0062147E" w:rsidRPr="00C52F13">
        <w:rPr>
          <w:szCs w:val="22"/>
        </w:rPr>
        <w:t xml:space="preserve">advice on the establishment of </w:t>
      </w:r>
      <w:r w:rsidR="0062147E" w:rsidRPr="00987CE1">
        <w:rPr>
          <w:szCs w:val="22"/>
        </w:rPr>
        <w:t>the</w:t>
      </w:r>
      <w:r w:rsidR="00F47ADA" w:rsidRPr="00987CE1">
        <w:rPr>
          <w:szCs w:val="22"/>
        </w:rPr>
        <w:t xml:space="preserve"> </w:t>
      </w:r>
      <w:r w:rsidR="00A2123F">
        <w:rPr>
          <w:szCs w:val="22"/>
        </w:rPr>
        <w:t>Infrastructure Development Authority</w:t>
      </w:r>
      <w:r w:rsidR="0062147E" w:rsidRPr="00987CE1">
        <w:rPr>
          <w:szCs w:val="22"/>
        </w:rPr>
        <w:t xml:space="preserve">. </w:t>
      </w:r>
      <w:r w:rsidR="0062147E" w:rsidRPr="00713952">
        <w:rPr>
          <w:szCs w:val="22"/>
        </w:rPr>
        <w:t xml:space="preserve">On 18 March 2013, PNG’s </w:t>
      </w:r>
      <w:r w:rsidR="0062147E" w:rsidRPr="00C56FA3">
        <w:rPr>
          <w:szCs w:val="22"/>
        </w:rPr>
        <w:t>National Executive Committee approved the proposal that PNG seek candidate status in the Extractive Industries Transparency Initiative</w:t>
      </w:r>
      <w:r w:rsidR="0062147E" w:rsidRPr="00FA259C">
        <w:rPr>
          <w:szCs w:val="22"/>
        </w:rPr>
        <w:t xml:space="preserve">. </w:t>
      </w:r>
      <w:r w:rsidR="002F2D0F">
        <w:rPr>
          <w:szCs w:val="22"/>
        </w:rPr>
        <w:t xml:space="preserve">The </w:t>
      </w:r>
      <w:r w:rsidR="0062147E" w:rsidRPr="00FA259C">
        <w:rPr>
          <w:szCs w:val="22"/>
        </w:rPr>
        <w:t xml:space="preserve">Treasurer </w:t>
      </w:r>
      <w:r w:rsidR="0062147E" w:rsidRPr="00E50494">
        <w:rPr>
          <w:szCs w:val="22"/>
        </w:rPr>
        <w:t>made a public statement of PNG’s commitment to</w:t>
      </w:r>
      <w:r w:rsidR="00BB7EEE">
        <w:rPr>
          <w:szCs w:val="22"/>
        </w:rPr>
        <w:t xml:space="preserve"> the </w:t>
      </w:r>
      <w:r w:rsidR="002F2D0F">
        <w:rPr>
          <w:szCs w:val="22"/>
        </w:rPr>
        <w:t>i</w:t>
      </w:r>
      <w:r w:rsidR="00BB7EEE">
        <w:rPr>
          <w:szCs w:val="22"/>
        </w:rPr>
        <w:t>nitiative</w:t>
      </w:r>
      <w:r w:rsidR="0062147E" w:rsidRPr="00E50494">
        <w:rPr>
          <w:szCs w:val="22"/>
        </w:rPr>
        <w:t xml:space="preserve">. </w:t>
      </w:r>
      <w:r w:rsidR="0062147E" w:rsidRPr="00A0186E">
        <w:rPr>
          <w:szCs w:val="22"/>
        </w:rPr>
        <w:t>Australian advisory support through the</w:t>
      </w:r>
      <w:r w:rsidR="00D6724F">
        <w:rPr>
          <w:szCs w:val="22"/>
        </w:rPr>
        <w:t xml:space="preserve"> </w:t>
      </w:r>
      <w:r w:rsidR="00D6724F" w:rsidRPr="00E5303B">
        <w:rPr>
          <w:rFonts w:cstheme="minorHAnsi"/>
          <w:i/>
          <w:noProof/>
          <w:color w:val="000000"/>
          <w:szCs w:val="22"/>
          <w:lang w:eastAsia="zh-CN"/>
        </w:rPr>
        <w:t>Strongim Gavman</w:t>
      </w:r>
      <w:r w:rsidR="00D6724F" w:rsidRPr="002F2D0F">
        <w:rPr>
          <w:rFonts w:cstheme="minorHAnsi"/>
          <w:noProof/>
          <w:color w:val="000000"/>
          <w:szCs w:val="22"/>
          <w:lang w:eastAsia="zh-CN"/>
        </w:rPr>
        <w:t xml:space="preserve"> </w:t>
      </w:r>
      <w:r w:rsidR="00D6724F" w:rsidRPr="00160CFB">
        <w:rPr>
          <w:rFonts w:cstheme="minorHAnsi"/>
          <w:i/>
          <w:noProof/>
          <w:color w:val="000000"/>
          <w:szCs w:val="22"/>
          <w:lang w:eastAsia="zh-CN"/>
        </w:rPr>
        <w:t>Program</w:t>
      </w:r>
      <w:r w:rsidR="0062147E" w:rsidRPr="00A0186E">
        <w:rPr>
          <w:szCs w:val="22"/>
        </w:rPr>
        <w:t xml:space="preserve"> </w:t>
      </w:r>
      <w:r w:rsidR="009F0DBE" w:rsidRPr="00A0186E">
        <w:rPr>
          <w:szCs w:val="22"/>
        </w:rPr>
        <w:t>is assisting</w:t>
      </w:r>
      <w:r w:rsidR="0062147E" w:rsidRPr="00A0186E">
        <w:rPr>
          <w:szCs w:val="22"/>
        </w:rPr>
        <w:t xml:space="preserve"> PNG </w:t>
      </w:r>
      <w:r w:rsidR="002F2D0F">
        <w:rPr>
          <w:szCs w:val="22"/>
        </w:rPr>
        <w:t>with</w:t>
      </w:r>
      <w:r w:rsidR="002F2D0F" w:rsidRPr="00A0186E">
        <w:rPr>
          <w:szCs w:val="22"/>
        </w:rPr>
        <w:t xml:space="preserve"> </w:t>
      </w:r>
      <w:r w:rsidR="0062147E" w:rsidRPr="00A0186E">
        <w:rPr>
          <w:szCs w:val="22"/>
        </w:rPr>
        <w:t>this</w:t>
      </w:r>
      <w:r w:rsidR="0041638B">
        <w:rPr>
          <w:szCs w:val="22"/>
        </w:rPr>
        <w:t xml:space="preserve">. </w:t>
      </w:r>
    </w:p>
    <w:p w14:paraId="0B70F537" w14:textId="77777777" w:rsidR="008934B0" w:rsidRPr="003555F6" w:rsidRDefault="00DA5293" w:rsidP="008E0AE1">
      <w:pPr>
        <w:pStyle w:val="ListBullet"/>
      </w:pPr>
      <w:r>
        <w:rPr>
          <w:szCs w:val="22"/>
        </w:rPr>
        <w:t>The s</w:t>
      </w:r>
      <w:r w:rsidR="00683ED1">
        <w:rPr>
          <w:szCs w:val="22"/>
        </w:rPr>
        <w:t>ubstantial</w:t>
      </w:r>
      <w:r w:rsidR="00D43086">
        <w:rPr>
          <w:szCs w:val="22"/>
        </w:rPr>
        <w:t xml:space="preserve"> </w:t>
      </w:r>
      <w:r w:rsidR="008934B0" w:rsidRPr="003555F6">
        <w:rPr>
          <w:szCs w:val="22"/>
        </w:rPr>
        <w:t>redistri</w:t>
      </w:r>
      <w:r w:rsidR="00D43086">
        <w:rPr>
          <w:szCs w:val="22"/>
        </w:rPr>
        <w:t xml:space="preserve">bution of funds to </w:t>
      </w:r>
      <w:r w:rsidR="00845870">
        <w:rPr>
          <w:szCs w:val="22"/>
        </w:rPr>
        <w:t>d</w:t>
      </w:r>
      <w:r w:rsidR="00257217">
        <w:rPr>
          <w:szCs w:val="22"/>
        </w:rPr>
        <w:t xml:space="preserve">istrict </w:t>
      </w:r>
      <w:r w:rsidR="00845870">
        <w:rPr>
          <w:szCs w:val="22"/>
        </w:rPr>
        <w:t>members of parliament</w:t>
      </w:r>
      <w:r w:rsidR="002F2D0F">
        <w:rPr>
          <w:szCs w:val="22"/>
        </w:rPr>
        <w:t>, which</w:t>
      </w:r>
      <w:r w:rsidR="00257217">
        <w:rPr>
          <w:szCs w:val="22"/>
        </w:rPr>
        <w:t xml:space="preserve"> </w:t>
      </w:r>
      <w:r w:rsidR="00845870">
        <w:rPr>
          <w:szCs w:val="22"/>
        </w:rPr>
        <w:t>continue</w:t>
      </w:r>
      <w:r w:rsidR="002F2D0F">
        <w:rPr>
          <w:szCs w:val="22"/>
        </w:rPr>
        <w:t>s</w:t>
      </w:r>
      <w:r w:rsidR="00845870">
        <w:rPr>
          <w:szCs w:val="22"/>
        </w:rPr>
        <w:t xml:space="preserve"> to </w:t>
      </w:r>
      <w:r w:rsidR="00257217">
        <w:rPr>
          <w:szCs w:val="22"/>
        </w:rPr>
        <w:t>present challenges</w:t>
      </w:r>
      <w:r w:rsidR="00845870">
        <w:rPr>
          <w:szCs w:val="22"/>
        </w:rPr>
        <w:t xml:space="preserve"> at sub-national level</w:t>
      </w:r>
      <w:r w:rsidR="00257217">
        <w:rPr>
          <w:szCs w:val="22"/>
        </w:rPr>
        <w:t>.</w:t>
      </w:r>
      <w:r w:rsidR="00D43086">
        <w:rPr>
          <w:szCs w:val="22"/>
        </w:rPr>
        <w:t xml:space="preserve"> </w:t>
      </w:r>
      <w:r w:rsidR="00845870">
        <w:rPr>
          <w:szCs w:val="22"/>
        </w:rPr>
        <w:t>R</w:t>
      </w:r>
      <w:r w:rsidR="008934B0" w:rsidRPr="003555F6">
        <w:rPr>
          <w:szCs w:val="22"/>
        </w:rPr>
        <w:t xml:space="preserve">isks </w:t>
      </w:r>
      <w:r w:rsidR="00845870">
        <w:rPr>
          <w:szCs w:val="22"/>
        </w:rPr>
        <w:t xml:space="preserve">are </w:t>
      </w:r>
      <w:r w:rsidR="008934B0" w:rsidRPr="003555F6">
        <w:rPr>
          <w:szCs w:val="22"/>
        </w:rPr>
        <w:t xml:space="preserve">associated with increasing direct transfers to sub-national government authorities, including </w:t>
      </w:r>
      <w:r w:rsidR="00257217" w:rsidRPr="003555F6">
        <w:rPr>
          <w:szCs w:val="22"/>
        </w:rPr>
        <w:t>likely delays in funding approval</w:t>
      </w:r>
      <w:r w:rsidR="001B6DBA">
        <w:rPr>
          <w:szCs w:val="22"/>
        </w:rPr>
        <w:t>s</w:t>
      </w:r>
      <w:r w:rsidR="00257217" w:rsidRPr="003555F6">
        <w:rPr>
          <w:szCs w:val="22"/>
        </w:rPr>
        <w:t xml:space="preserve"> and releas</w:t>
      </w:r>
      <w:r w:rsidR="00FC5D80">
        <w:rPr>
          <w:szCs w:val="22"/>
        </w:rPr>
        <w:t>es of</w:t>
      </w:r>
      <w:r w:rsidR="00257217" w:rsidRPr="003555F6">
        <w:rPr>
          <w:szCs w:val="22"/>
        </w:rPr>
        <w:t xml:space="preserve"> funds</w:t>
      </w:r>
      <w:r w:rsidR="00257217">
        <w:rPr>
          <w:szCs w:val="22"/>
        </w:rPr>
        <w:t>;</w:t>
      </w:r>
      <w:r w:rsidR="00257217" w:rsidRPr="003555F6">
        <w:rPr>
          <w:szCs w:val="22"/>
        </w:rPr>
        <w:t xml:space="preserve"> </w:t>
      </w:r>
      <w:r w:rsidR="001B6DBA">
        <w:rPr>
          <w:szCs w:val="22"/>
        </w:rPr>
        <w:t>developing</w:t>
      </w:r>
      <w:r w:rsidR="008934B0" w:rsidRPr="003555F6">
        <w:rPr>
          <w:szCs w:val="22"/>
        </w:rPr>
        <w:t xml:space="preserve"> capacity to manage and administer increased funds; </w:t>
      </w:r>
      <w:r w:rsidR="001B6DBA">
        <w:rPr>
          <w:szCs w:val="22"/>
        </w:rPr>
        <w:t xml:space="preserve">and potentially </w:t>
      </w:r>
      <w:r w:rsidR="00845870">
        <w:rPr>
          <w:szCs w:val="22"/>
        </w:rPr>
        <w:t>greatly limit</w:t>
      </w:r>
      <w:r w:rsidR="00FC5D80">
        <w:rPr>
          <w:szCs w:val="22"/>
        </w:rPr>
        <w:t>ed</w:t>
      </w:r>
      <w:r w:rsidR="00257217">
        <w:rPr>
          <w:szCs w:val="22"/>
        </w:rPr>
        <w:t xml:space="preserve"> accountability and transparency</w:t>
      </w:r>
      <w:r w:rsidR="001B6DBA">
        <w:rPr>
          <w:szCs w:val="22"/>
        </w:rPr>
        <w:t>. Significant a</w:t>
      </w:r>
      <w:r w:rsidR="00683ED1">
        <w:rPr>
          <w:szCs w:val="22"/>
        </w:rPr>
        <w:t>dditional w</w:t>
      </w:r>
      <w:r w:rsidR="00257217">
        <w:rPr>
          <w:szCs w:val="22"/>
        </w:rPr>
        <w:t>ork</w:t>
      </w:r>
      <w:r w:rsidR="00683ED1">
        <w:rPr>
          <w:szCs w:val="22"/>
        </w:rPr>
        <w:t xml:space="preserve"> is required</w:t>
      </w:r>
      <w:r w:rsidR="00257217">
        <w:rPr>
          <w:szCs w:val="22"/>
        </w:rPr>
        <w:t xml:space="preserve"> to mitigate these risks. </w:t>
      </w:r>
    </w:p>
    <w:p w14:paraId="0B70F538" w14:textId="77777777" w:rsidR="008934B0" w:rsidRPr="00867C09" w:rsidRDefault="00845870" w:rsidP="008E0AE1">
      <w:pPr>
        <w:pStyle w:val="ListBullet"/>
      </w:pPr>
      <w:r>
        <w:rPr>
          <w:szCs w:val="22"/>
        </w:rPr>
        <w:t>P</w:t>
      </w:r>
      <w:r w:rsidR="008934B0" w:rsidRPr="003555F6">
        <w:rPr>
          <w:szCs w:val="22"/>
        </w:rPr>
        <w:t>rogress against PNG’s own development targets</w:t>
      </w:r>
      <w:r w:rsidR="002F2D0F">
        <w:rPr>
          <w:szCs w:val="22"/>
        </w:rPr>
        <w:t>, which</w:t>
      </w:r>
      <w:r>
        <w:rPr>
          <w:szCs w:val="22"/>
        </w:rPr>
        <w:t xml:space="preserve"> continues to be</w:t>
      </w:r>
      <w:r w:rsidR="008934B0" w:rsidRPr="003555F6">
        <w:rPr>
          <w:szCs w:val="22"/>
        </w:rPr>
        <w:t xml:space="preserve"> </w:t>
      </w:r>
      <w:r w:rsidR="00BD19C1">
        <w:rPr>
          <w:szCs w:val="22"/>
        </w:rPr>
        <w:t xml:space="preserve">almost </w:t>
      </w:r>
      <w:r w:rsidR="008934B0" w:rsidRPr="003555F6">
        <w:rPr>
          <w:szCs w:val="22"/>
        </w:rPr>
        <w:t>impossible</w:t>
      </w:r>
      <w:r w:rsidR="00FC5D80">
        <w:rPr>
          <w:szCs w:val="22"/>
        </w:rPr>
        <w:t xml:space="preserve"> to measure</w:t>
      </w:r>
      <w:r w:rsidR="008934B0" w:rsidRPr="003555F6">
        <w:rPr>
          <w:szCs w:val="22"/>
        </w:rPr>
        <w:t xml:space="preserve"> without</w:t>
      </w:r>
      <w:r w:rsidR="002F2D0F">
        <w:rPr>
          <w:szCs w:val="22"/>
        </w:rPr>
        <w:t xml:space="preserve"> </w:t>
      </w:r>
      <w:r w:rsidR="008934B0" w:rsidRPr="003555F6">
        <w:rPr>
          <w:szCs w:val="22"/>
        </w:rPr>
        <w:t>credible data. The lack of systems to</w:t>
      </w:r>
      <w:r w:rsidR="00245612">
        <w:rPr>
          <w:szCs w:val="22"/>
        </w:rPr>
        <w:t xml:space="preserve"> produce,</w:t>
      </w:r>
      <w:r w:rsidR="008934B0" w:rsidRPr="003555F6">
        <w:rPr>
          <w:szCs w:val="22"/>
        </w:rPr>
        <w:t xml:space="preserve"> monitor and analyse </w:t>
      </w:r>
      <w:r w:rsidR="00BD19C1">
        <w:rPr>
          <w:szCs w:val="22"/>
        </w:rPr>
        <w:t>credible</w:t>
      </w:r>
      <w:r w:rsidR="008934B0" w:rsidRPr="003555F6">
        <w:rPr>
          <w:szCs w:val="22"/>
        </w:rPr>
        <w:t xml:space="preserve"> data </w:t>
      </w:r>
      <w:r w:rsidR="00683ED1">
        <w:rPr>
          <w:szCs w:val="22"/>
        </w:rPr>
        <w:t xml:space="preserve">inhibits </w:t>
      </w:r>
      <w:r>
        <w:rPr>
          <w:szCs w:val="22"/>
        </w:rPr>
        <w:t>the development of</w:t>
      </w:r>
      <w:r w:rsidR="002F2D0F">
        <w:rPr>
          <w:szCs w:val="22"/>
        </w:rPr>
        <w:t xml:space="preserve"> the</w:t>
      </w:r>
      <w:r>
        <w:rPr>
          <w:szCs w:val="22"/>
        </w:rPr>
        <w:t xml:space="preserve"> </w:t>
      </w:r>
      <w:r w:rsidR="008934B0" w:rsidRPr="003555F6">
        <w:rPr>
          <w:szCs w:val="22"/>
        </w:rPr>
        <w:t>evidence-based policy</w:t>
      </w:r>
      <w:r>
        <w:rPr>
          <w:szCs w:val="22"/>
        </w:rPr>
        <w:t xml:space="preserve"> required</w:t>
      </w:r>
      <w:r w:rsidR="008934B0" w:rsidRPr="003555F6">
        <w:rPr>
          <w:szCs w:val="22"/>
        </w:rPr>
        <w:t xml:space="preserve"> to reduce poverty in PNG. Improving </w:t>
      </w:r>
      <w:r w:rsidR="00683ED1">
        <w:rPr>
          <w:szCs w:val="22"/>
        </w:rPr>
        <w:t>the</w:t>
      </w:r>
      <w:r w:rsidR="008934B0" w:rsidRPr="003555F6">
        <w:rPr>
          <w:szCs w:val="22"/>
        </w:rPr>
        <w:t xml:space="preserve"> ability to monitor progress against development goals requires strong commitment from PNG and Australia </w:t>
      </w:r>
      <w:r w:rsidR="002F2D0F">
        <w:rPr>
          <w:szCs w:val="22"/>
        </w:rPr>
        <w:t>so</w:t>
      </w:r>
      <w:r w:rsidR="008934B0" w:rsidRPr="003555F6">
        <w:rPr>
          <w:szCs w:val="22"/>
        </w:rPr>
        <w:t xml:space="preserve"> </w:t>
      </w:r>
      <w:r w:rsidR="00683ED1">
        <w:rPr>
          <w:szCs w:val="22"/>
        </w:rPr>
        <w:t>both</w:t>
      </w:r>
      <w:r w:rsidR="008934B0" w:rsidRPr="003555F6">
        <w:rPr>
          <w:szCs w:val="22"/>
        </w:rPr>
        <w:t xml:space="preserve"> countries </w:t>
      </w:r>
      <w:r w:rsidR="00683ED1">
        <w:rPr>
          <w:szCs w:val="22"/>
        </w:rPr>
        <w:t xml:space="preserve">can </w:t>
      </w:r>
      <w:r w:rsidR="008934B0" w:rsidRPr="003555F6">
        <w:rPr>
          <w:szCs w:val="22"/>
        </w:rPr>
        <w:t>make the best decisi</w:t>
      </w:r>
      <w:r w:rsidR="00245612">
        <w:rPr>
          <w:szCs w:val="22"/>
        </w:rPr>
        <w:t>ons to</w:t>
      </w:r>
      <w:r w:rsidR="00683ED1">
        <w:rPr>
          <w:szCs w:val="22"/>
        </w:rPr>
        <w:t>wards</w:t>
      </w:r>
      <w:r w:rsidR="00245612">
        <w:rPr>
          <w:szCs w:val="22"/>
        </w:rPr>
        <w:t xml:space="preserve"> poverty reduction</w:t>
      </w:r>
      <w:r w:rsidR="008934B0">
        <w:rPr>
          <w:szCs w:val="22"/>
        </w:rPr>
        <w:t>.</w:t>
      </w:r>
    </w:p>
    <w:p w14:paraId="0B70F539" w14:textId="77777777" w:rsidR="00867C09" w:rsidRPr="00867C09" w:rsidRDefault="002F2D0F" w:rsidP="008E0AE1">
      <w:pPr>
        <w:pStyle w:val="ListBullet"/>
        <w:rPr>
          <w:rFonts w:eastAsia="Calibri"/>
          <w:szCs w:val="22"/>
        </w:rPr>
      </w:pPr>
      <w:r>
        <w:rPr>
          <w:rFonts w:eastAsia="Calibri"/>
          <w:szCs w:val="22"/>
        </w:rPr>
        <w:t>Ensur</w:t>
      </w:r>
      <w:r w:rsidR="00DA5293">
        <w:rPr>
          <w:rFonts w:eastAsia="Calibri"/>
          <w:szCs w:val="22"/>
        </w:rPr>
        <w:t>ing</w:t>
      </w:r>
      <w:r>
        <w:rPr>
          <w:rFonts w:eastAsia="Calibri"/>
          <w:szCs w:val="22"/>
        </w:rPr>
        <w:t xml:space="preserve"> </w:t>
      </w:r>
      <w:r w:rsidR="00867C09" w:rsidRPr="00867C09">
        <w:rPr>
          <w:rFonts w:eastAsia="Calibri"/>
          <w:szCs w:val="22"/>
        </w:rPr>
        <w:t>Australia</w:t>
      </w:r>
      <w:r>
        <w:rPr>
          <w:rFonts w:eastAsia="Calibri"/>
          <w:szCs w:val="22"/>
        </w:rPr>
        <w:t>n</w:t>
      </w:r>
      <w:r w:rsidR="00867C09" w:rsidRPr="00867C09">
        <w:rPr>
          <w:rFonts w:eastAsia="Calibri"/>
          <w:szCs w:val="22"/>
        </w:rPr>
        <w:t xml:space="preserve"> investments benefi</w:t>
      </w:r>
      <w:r w:rsidR="008562E2">
        <w:rPr>
          <w:rFonts w:eastAsia="Calibri"/>
          <w:szCs w:val="22"/>
        </w:rPr>
        <w:t>t</w:t>
      </w:r>
      <w:r w:rsidR="00867C09" w:rsidRPr="00867C09">
        <w:rPr>
          <w:rFonts w:eastAsia="Calibri"/>
          <w:szCs w:val="22"/>
        </w:rPr>
        <w:t xml:space="preserve"> the poorest and most marginalised. One way the Aid Program is </w:t>
      </w:r>
      <w:r w:rsidR="00845870">
        <w:rPr>
          <w:rFonts w:eastAsia="Calibri"/>
          <w:szCs w:val="22"/>
        </w:rPr>
        <w:t>achieving</w:t>
      </w:r>
      <w:r w:rsidR="00845870" w:rsidRPr="00867C09">
        <w:rPr>
          <w:rFonts w:eastAsia="Calibri"/>
          <w:szCs w:val="22"/>
        </w:rPr>
        <w:t xml:space="preserve"> </w:t>
      </w:r>
      <w:r w:rsidR="00867C09" w:rsidRPr="00867C09">
        <w:rPr>
          <w:rFonts w:eastAsia="Calibri"/>
          <w:szCs w:val="22"/>
        </w:rPr>
        <w:t>this is through the implementation of impact studies</w:t>
      </w:r>
      <w:r w:rsidR="00E04DC3">
        <w:rPr>
          <w:rFonts w:eastAsia="Calibri"/>
          <w:szCs w:val="22"/>
        </w:rPr>
        <w:t xml:space="preserve"> (</w:t>
      </w:r>
      <w:r w:rsidR="00867C09" w:rsidRPr="00867C09">
        <w:rPr>
          <w:rFonts w:eastAsia="Calibri"/>
          <w:szCs w:val="22"/>
        </w:rPr>
        <w:t>at various stages of implementation</w:t>
      </w:r>
      <w:r w:rsidR="00E04DC3">
        <w:rPr>
          <w:rFonts w:eastAsia="Calibri"/>
          <w:szCs w:val="22"/>
        </w:rPr>
        <w:t>)</w:t>
      </w:r>
      <w:r w:rsidR="00867C09" w:rsidRPr="00867C09">
        <w:rPr>
          <w:rFonts w:eastAsia="Calibri"/>
          <w:szCs w:val="22"/>
        </w:rPr>
        <w:t>. The information yielded will assist programs to work in an increasingly complementary and integrated way towards pro-poor outcomes, particularly for the rural poor</w:t>
      </w:r>
      <w:r w:rsidR="00477514">
        <w:rPr>
          <w:rFonts w:eastAsia="Calibri"/>
          <w:szCs w:val="22"/>
        </w:rPr>
        <w:t xml:space="preserve">. </w:t>
      </w:r>
    </w:p>
    <w:p w14:paraId="0B70F53A" w14:textId="77777777" w:rsidR="008934B0" w:rsidRPr="00A806E5" w:rsidRDefault="00683ED1" w:rsidP="008E0AE1">
      <w:pPr>
        <w:pStyle w:val="ListBullet"/>
      </w:pPr>
      <w:r>
        <w:rPr>
          <w:szCs w:val="22"/>
        </w:rPr>
        <w:t>G</w:t>
      </w:r>
      <w:r w:rsidR="008934B0" w:rsidRPr="00C26E28">
        <w:rPr>
          <w:szCs w:val="22"/>
        </w:rPr>
        <w:t>ender equality and disability services</w:t>
      </w:r>
      <w:r w:rsidR="00E04DC3">
        <w:rPr>
          <w:szCs w:val="22"/>
        </w:rPr>
        <w:t>, which</w:t>
      </w:r>
      <w:r w:rsidR="008934B0" w:rsidRPr="00C26E28">
        <w:rPr>
          <w:szCs w:val="22"/>
        </w:rPr>
        <w:t xml:space="preserve"> </w:t>
      </w:r>
      <w:r w:rsidR="00845870">
        <w:rPr>
          <w:szCs w:val="22"/>
        </w:rPr>
        <w:t>continue to be</w:t>
      </w:r>
      <w:r w:rsidR="00845870" w:rsidRPr="00C26E28">
        <w:rPr>
          <w:szCs w:val="22"/>
        </w:rPr>
        <w:t xml:space="preserve"> </w:t>
      </w:r>
      <w:r w:rsidR="008934B0" w:rsidRPr="00C26E28">
        <w:rPr>
          <w:szCs w:val="22"/>
        </w:rPr>
        <w:t xml:space="preserve">key areas of policy engagement for </w:t>
      </w:r>
      <w:r w:rsidR="004D2733">
        <w:rPr>
          <w:szCs w:val="22"/>
        </w:rPr>
        <w:t>Australia</w:t>
      </w:r>
      <w:r w:rsidR="008934B0" w:rsidRPr="00C26E28">
        <w:rPr>
          <w:szCs w:val="22"/>
        </w:rPr>
        <w:t xml:space="preserve">. Despite positive public messages from the PNG Government on gender equality, Australia </w:t>
      </w:r>
      <w:r w:rsidR="00BB4A6E">
        <w:rPr>
          <w:szCs w:val="22"/>
        </w:rPr>
        <w:t>must</w:t>
      </w:r>
      <w:r w:rsidR="008934B0" w:rsidRPr="00C26E28">
        <w:rPr>
          <w:szCs w:val="22"/>
        </w:rPr>
        <w:t xml:space="preserve"> continue to work with the PNG Gov</w:t>
      </w:r>
      <w:r w:rsidR="00C10A17">
        <w:rPr>
          <w:szCs w:val="22"/>
        </w:rPr>
        <w:t xml:space="preserve">ernment </w:t>
      </w:r>
      <w:r w:rsidR="00845870">
        <w:rPr>
          <w:szCs w:val="22"/>
        </w:rPr>
        <w:t xml:space="preserve">to </w:t>
      </w:r>
      <w:r>
        <w:rPr>
          <w:szCs w:val="22"/>
        </w:rPr>
        <w:t>implement</w:t>
      </w:r>
      <w:r w:rsidR="00845870">
        <w:rPr>
          <w:szCs w:val="22"/>
        </w:rPr>
        <w:t xml:space="preserve"> </w:t>
      </w:r>
      <w:r w:rsidR="00BB4A6E">
        <w:rPr>
          <w:szCs w:val="22"/>
        </w:rPr>
        <w:t>commitments</w:t>
      </w:r>
      <w:r w:rsidR="008934B0" w:rsidRPr="00C26E28">
        <w:rPr>
          <w:szCs w:val="22"/>
        </w:rPr>
        <w:t xml:space="preserve">. The </w:t>
      </w:r>
      <w:r w:rsidR="00BB4A6E">
        <w:rPr>
          <w:szCs w:val="22"/>
        </w:rPr>
        <w:t xml:space="preserve">widespread </w:t>
      </w:r>
      <w:r w:rsidR="008934B0" w:rsidRPr="00C26E28">
        <w:rPr>
          <w:szCs w:val="22"/>
        </w:rPr>
        <w:t>change</w:t>
      </w:r>
      <w:r w:rsidR="00BB4A6E">
        <w:rPr>
          <w:szCs w:val="22"/>
        </w:rPr>
        <w:t xml:space="preserve">s </w:t>
      </w:r>
      <w:r w:rsidR="00845870">
        <w:rPr>
          <w:szCs w:val="22"/>
        </w:rPr>
        <w:t xml:space="preserve">needed </w:t>
      </w:r>
      <w:r w:rsidR="00BB4A6E">
        <w:rPr>
          <w:szCs w:val="22"/>
        </w:rPr>
        <w:t>require</w:t>
      </w:r>
      <w:r w:rsidR="008934B0" w:rsidRPr="00C26E28">
        <w:rPr>
          <w:szCs w:val="22"/>
        </w:rPr>
        <w:t xml:space="preserve"> strong PNG leadership and action.</w:t>
      </w:r>
      <w:r w:rsidR="008934B0">
        <w:rPr>
          <w:szCs w:val="22"/>
        </w:rPr>
        <w:t xml:space="preserve"> </w:t>
      </w:r>
      <w:r w:rsidR="009F0DBE">
        <w:rPr>
          <w:szCs w:val="22"/>
        </w:rPr>
        <w:t>Australia will continue to strongly advocate for</w:t>
      </w:r>
      <w:r w:rsidR="00B777A2">
        <w:rPr>
          <w:szCs w:val="22"/>
        </w:rPr>
        <w:t xml:space="preserve"> action in these areas. </w:t>
      </w:r>
    </w:p>
    <w:p w14:paraId="0B70F53B" w14:textId="77777777" w:rsidR="005C7A4D" w:rsidRPr="002D202C" w:rsidRDefault="004D7082" w:rsidP="008E0AE1">
      <w:pPr>
        <w:pStyle w:val="ListBullet"/>
      </w:pPr>
      <w:r w:rsidRPr="004D7082">
        <w:rPr>
          <w:szCs w:val="22"/>
        </w:rPr>
        <w:t xml:space="preserve">PNG </w:t>
      </w:r>
      <w:r w:rsidR="001C029F">
        <w:rPr>
          <w:szCs w:val="22"/>
        </w:rPr>
        <w:t>g</w:t>
      </w:r>
      <w:r>
        <w:rPr>
          <w:szCs w:val="22"/>
        </w:rPr>
        <w:t>overnment</w:t>
      </w:r>
      <w:r w:rsidRPr="004D7082">
        <w:rPr>
          <w:szCs w:val="22"/>
        </w:rPr>
        <w:t xml:space="preserve"> </w:t>
      </w:r>
      <w:r>
        <w:rPr>
          <w:szCs w:val="22"/>
        </w:rPr>
        <w:t xml:space="preserve">commitment </w:t>
      </w:r>
      <w:r w:rsidRPr="004D7082">
        <w:rPr>
          <w:szCs w:val="22"/>
        </w:rPr>
        <w:t xml:space="preserve">to </w:t>
      </w:r>
      <w:r w:rsidR="00AE337E">
        <w:rPr>
          <w:szCs w:val="22"/>
        </w:rPr>
        <w:t>greater transparency of resource revenues</w:t>
      </w:r>
      <w:r w:rsidR="00AE337E">
        <w:rPr>
          <w:rStyle w:val="FootnoteReference"/>
        </w:rPr>
        <w:footnoteReference w:id="26"/>
      </w:r>
      <w:r w:rsidR="00E04DC3">
        <w:rPr>
          <w:szCs w:val="22"/>
        </w:rPr>
        <w:t>, which</w:t>
      </w:r>
      <w:r w:rsidR="00DA5293">
        <w:rPr>
          <w:szCs w:val="22"/>
        </w:rPr>
        <w:t xml:space="preserve"> </w:t>
      </w:r>
      <w:r w:rsidR="00BD19C1">
        <w:rPr>
          <w:szCs w:val="22"/>
        </w:rPr>
        <w:t>is</w:t>
      </w:r>
      <w:r w:rsidRPr="004D7082">
        <w:rPr>
          <w:szCs w:val="22"/>
        </w:rPr>
        <w:t xml:space="preserve"> positive </w:t>
      </w:r>
      <w:r w:rsidR="00BD19C1">
        <w:rPr>
          <w:szCs w:val="22"/>
        </w:rPr>
        <w:t xml:space="preserve">and </w:t>
      </w:r>
      <w:r w:rsidR="00AE337E">
        <w:rPr>
          <w:szCs w:val="22"/>
        </w:rPr>
        <w:t>crea</w:t>
      </w:r>
      <w:r w:rsidR="00E04DC3">
        <w:rPr>
          <w:szCs w:val="22"/>
        </w:rPr>
        <w:t>t</w:t>
      </w:r>
      <w:r w:rsidR="00BD19C1">
        <w:rPr>
          <w:szCs w:val="22"/>
        </w:rPr>
        <w:t>es</w:t>
      </w:r>
      <w:r w:rsidR="00AE337E">
        <w:rPr>
          <w:szCs w:val="22"/>
        </w:rPr>
        <w:t xml:space="preserve"> potential for greater cooperation with</w:t>
      </w:r>
      <w:r>
        <w:rPr>
          <w:szCs w:val="22"/>
        </w:rPr>
        <w:t xml:space="preserve"> Australia’s Mining for Development initiative</w:t>
      </w:r>
      <w:r w:rsidR="00845870">
        <w:rPr>
          <w:szCs w:val="22"/>
        </w:rPr>
        <w:t>. This initiative</w:t>
      </w:r>
      <w:r w:rsidR="00AE337E">
        <w:rPr>
          <w:szCs w:val="22"/>
        </w:rPr>
        <w:t xml:space="preserve"> </w:t>
      </w:r>
      <w:r w:rsidRPr="004D7082">
        <w:rPr>
          <w:szCs w:val="22"/>
        </w:rPr>
        <w:t>support</w:t>
      </w:r>
      <w:r w:rsidR="00AE337E">
        <w:rPr>
          <w:szCs w:val="22"/>
        </w:rPr>
        <w:t>s</w:t>
      </w:r>
      <w:r w:rsidRPr="004D7082">
        <w:rPr>
          <w:szCs w:val="22"/>
        </w:rPr>
        <w:t xml:space="preserve"> developing countries to transform their resource endowment</w:t>
      </w:r>
      <w:r w:rsidR="00450090">
        <w:rPr>
          <w:szCs w:val="22"/>
        </w:rPr>
        <w:t>s</w:t>
      </w:r>
      <w:r w:rsidRPr="004D7082">
        <w:rPr>
          <w:szCs w:val="22"/>
        </w:rPr>
        <w:t xml:space="preserve"> into inclusive and sustainable economic growth</w:t>
      </w:r>
      <w:r w:rsidR="0041638B">
        <w:rPr>
          <w:szCs w:val="22"/>
        </w:rPr>
        <w:t xml:space="preserve">. </w:t>
      </w:r>
    </w:p>
    <w:p w14:paraId="0B70F53C" w14:textId="0C878082" w:rsidR="008934B0" w:rsidRPr="008E0AE1" w:rsidRDefault="00D55D14" w:rsidP="008E0AE1">
      <w:pPr>
        <w:pStyle w:val="Heading2"/>
      </w:pPr>
      <w:r>
        <w:t>B</w:t>
      </w:r>
      <w:r w:rsidR="00A761F2" w:rsidRPr="008E0AE1">
        <w:t xml:space="preserve">ilateral </w:t>
      </w:r>
      <w:r w:rsidR="00E74AA3" w:rsidRPr="008E0AE1">
        <w:t>e</w:t>
      </w:r>
      <w:r w:rsidR="008934B0" w:rsidRPr="008E0AE1">
        <w:t>xpenditure</w:t>
      </w:r>
    </w:p>
    <w:p w14:paraId="0B70F53D" w14:textId="2A580846" w:rsidR="002D202C" w:rsidRPr="008E0AE1" w:rsidRDefault="002D202C" w:rsidP="008E0AE1">
      <w:pPr>
        <w:pStyle w:val="BodyText"/>
      </w:pPr>
      <w:r w:rsidRPr="008E0AE1">
        <w:t xml:space="preserve">A summary of financial expenditure of Australia’s aid program to PNG for this </w:t>
      </w:r>
      <w:r w:rsidR="00EC7FC8">
        <w:t>APPR</w:t>
      </w:r>
      <w:r w:rsidRPr="008E0AE1">
        <w:t xml:space="preserve"> is provided in two periods—one for January 2012 to June 2012</w:t>
      </w:r>
      <w:r w:rsidR="00E04DC3" w:rsidRPr="008E0AE1">
        <w:t xml:space="preserve"> (Table</w:t>
      </w:r>
      <w:r w:rsidR="00F6358F" w:rsidRPr="008E0AE1">
        <w:t> </w:t>
      </w:r>
      <w:r w:rsidR="00E04DC3" w:rsidRPr="008E0AE1">
        <w:t>2A)</w:t>
      </w:r>
      <w:r w:rsidRPr="008E0AE1">
        <w:t xml:space="preserve"> and one for 2012–13 </w:t>
      </w:r>
      <w:r w:rsidR="00E04DC3" w:rsidRPr="008E0AE1">
        <w:t>(</w:t>
      </w:r>
      <w:r w:rsidRPr="008E0AE1">
        <w:t xml:space="preserve">Table 2B). Information on both reporting periods is included because </w:t>
      </w:r>
      <w:r w:rsidR="00EC7FC8">
        <w:t>APPR</w:t>
      </w:r>
      <w:r w:rsidRPr="008E0AE1">
        <w:t xml:space="preserve"> reporting requirements have changed from calendar-year reporting to financial-year reporting. Note:</w:t>
      </w:r>
      <w:r w:rsidR="00272B30" w:rsidRPr="00272B30">
        <w:t xml:space="preserve"> </w:t>
      </w:r>
      <w:r w:rsidR="00272B30">
        <w:lastRenderedPageBreak/>
        <w:t>Funds reported here relate</w:t>
      </w:r>
      <w:r w:rsidR="00272B30" w:rsidRPr="00272B30">
        <w:t xml:space="preserve"> to the budge</w:t>
      </w:r>
      <w:r w:rsidR="00272B30">
        <w:t>t appropriation for the area of</w:t>
      </w:r>
      <w:r w:rsidR="00272B30" w:rsidRPr="00272B30">
        <w:t xml:space="preserve"> DFAT formerly known as AusAID</w:t>
      </w:r>
      <w:r w:rsidRPr="008E0AE1">
        <w:t xml:space="preserve"> </w:t>
      </w:r>
      <w:r w:rsidR="00272B30">
        <w:t xml:space="preserve">and </w:t>
      </w:r>
      <w:r w:rsidRPr="008E0AE1">
        <w:t>do not reflect expenditure by any global or regional program or other government department.</w:t>
      </w:r>
    </w:p>
    <w:p w14:paraId="0B70F53E" w14:textId="77777777" w:rsidR="008934B0" w:rsidRDefault="008934B0" w:rsidP="001E7728">
      <w:pPr>
        <w:pStyle w:val="Caption"/>
      </w:pPr>
      <w:r>
        <w:t xml:space="preserve">Table </w:t>
      </w:r>
      <w:r w:rsidR="00087412">
        <w:fldChar w:fldCharType="begin"/>
      </w:r>
      <w:r w:rsidR="00087412">
        <w:instrText xml:space="preserve"> SEQ Table \* ARABIC </w:instrText>
      </w:r>
      <w:r w:rsidR="00087412">
        <w:fldChar w:fldCharType="separate"/>
      </w:r>
      <w:r w:rsidR="00611E51">
        <w:rPr>
          <w:noProof/>
        </w:rPr>
        <w:t>2</w:t>
      </w:r>
      <w:r w:rsidR="00087412">
        <w:rPr>
          <w:noProof/>
        </w:rPr>
        <w:fldChar w:fldCharType="end"/>
      </w:r>
      <w:r>
        <w:t xml:space="preserve">A </w:t>
      </w:r>
      <w:r w:rsidR="00FB0BD6">
        <w:t>e</w:t>
      </w:r>
      <w:r>
        <w:t>xpenditure 01 Jan 2012</w:t>
      </w:r>
      <w:r w:rsidR="00FB0BD6">
        <w:t>–</w:t>
      </w:r>
      <w:r>
        <w:t>30 Jun 2012</w:t>
      </w:r>
    </w:p>
    <w:tbl>
      <w:tblPr>
        <w:tblStyle w:val="APPR"/>
        <w:tblW w:w="5000" w:type="pct"/>
        <w:tblBorders>
          <w:bottom w:val="none" w:sz="0" w:space="0" w:color="auto"/>
        </w:tblBorders>
        <w:tblLayout w:type="fixed"/>
        <w:tblLook w:val="0000" w:firstRow="0" w:lastRow="0" w:firstColumn="0" w:lastColumn="0" w:noHBand="0" w:noVBand="0"/>
      </w:tblPr>
      <w:tblGrid>
        <w:gridCol w:w="5703"/>
        <w:gridCol w:w="1141"/>
        <w:gridCol w:w="1762"/>
      </w:tblGrid>
      <w:tr w:rsidR="008934B0" w:rsidRPr="00180B19" w14:paraId="0B70F542" w14:textId="77777777" w:rsidTr="002960A4">
        <w:trPr>
          <w:tblHeader w:val="0"/>
        </w:trPr>
        <w:tc>
          <w:tcPr>
            <w:tcW w:w="5623" w:type="dxa"/>
          </w:tcPr>
          <w:p w14:paraId="0B70F53F" w14:textId="77777777" w:rsidR="008934B0" w:rsidRPr="002960A4" w:rsidRDefault="008934B0" w:rsidP="002960A4">
            <w:pPr>
              <w:pStyle w:val="TableTextColumnHeading"/>
            </w:pPr>
            <w:r w:rsidRPr="002960A4">
              <w:t>Objective</w:t>
            </w:r>
          </w:p>
        </w:tc>
        <w:tc>
          <w:tcPr>
            <w:tcW w:w="1106" w:type="dxa"/>
          </w:tcPr>
          <w:p w14:paraId="0B70F540" w14:textId="77777777" w:rsidR="008934B0" w:rsidRPr="002960A4" w:rsidRDefault="008934B0" w:rsidP="002960A4">
            <w:pPr>
              <w:pStyle w:val="TableTextColumnHeading"/>
            </w:pPr>
            <w:r w:rsidRPr="002960A4">
              <w:t>A$ million</w:t>
            </w:r>
          </w:p>
        </w:tc>
        <w:tc>
          <w:tcPr>
            <w:tcW w:w="1709" w:type="dxa"/>
          </w:tcPr>
          <w:p w14:paraId="0B70F541" w14:textId="77777777" w:rsidR="008934B0" w:rsidRPr="002960A4" w:rsidRDefault="00FE4904" w:rsidP="002960A4">
            <w:pPr>
              <w:pStyle w:val="TableTextColumnHeading"/>
            </w:pPr>
            <w:r w:rsidRPr="002960A4">
              <w:t>P</w:t>
            </w:r>
            <w:r w:rsidR="00B76E9D" w:rsidRPr="002960A4">
              <w:t>er cent</w:t>
            </w:r>
            <w:r w:rsidR="008934B0" w:rsidRPr="002960A4">
              <w:t xml:space="preserve"> of bilateral program</w:t>
            </w:r>
          </w:p>
        </w:tc>
      </w:tr>
      <w:tr w:rsidR="008934B0" w:rsidRPr="00180B19" w14:paraId="0B70F546" w14:textId="77777777" w:rsidTr="002960A4">
        <w:trPr>
          <w:cnfStyle w:val="000000010000" w:firstRow="0" w:lastRow="0" w:firstColumn="0" w:lastColumn="0" w:oddVBand="0" w:evenVBand="0" w:oddHBand="0" w:evenHBand="1" w:firstRowFirstColumn="0" w:firstRowLastColumn="0" w:lastRowFirstColumn="0" w:lastRowLastColumn="0"/>
          <w:tblHeader w:val="0"/>
        </w:trPr>
        <w:tc>
          <w:tcPr>
            <w:tcW w:w="56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43" w14:textId="77777777" w:rsidR="008934B0" w:rsidRPr="002960A4" w:rsidRDefault="008934B0" w:rsidP="002960A4">
            <w:pPr>
              <w:pStyle w:val="TableTextEntries"/>
            </w:pPr>
            <w:r w:rsidRPr="002960A4">
              <w:t xml:space="preserve">Improved </w:t>
            </w:r>
            <w:r w:rsidR="00FB0BD6" w:rsidRPr="002960A4">
              <w:t>h</w:t>
            </w:r>
            <w:r w:rsidRPr="002960A4">
              <w:t>ealth and HIV/AIDs outcomes</w:t>
            </w:r>
            <w:r w:rsidR="002960A4" w:rsidRPr="002960A4">
              <w:tab/>
            </w:r>
          </w:p>
        </w:tc>
        <w:tc>
          <w:tcPr>
            <w:tcW w:w="11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44" w14:textId="77777777" w:rsidR="008934B0" w:rsidRPr="002960A4" w:rsidRDefault="008934B0" w:rsidP="002960A4">
            <w:pPr>
              <w:pStyle w:val="TableTextEntries"/>
            </w:pPr>
            <w:r w:rsidRPr="002960A4">
              <w:t>57.9</w:t>
            </w:r>
          </w:p>
        </w:tc>
        <w:tc>
          <w:tcPr>
            <w:tcW w:w="17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45" w14:textId="77777777" w:rsidR="008934B0" w:rsidRPr="002960A4" w:rsidRDefault="008934B0" w:rsidP="002960A4">
            <w:pPr>
              <w:pStyle w:val="TableTextEntries"/>
            </w:pPr>
            <w:r w:rsidRPr="002960A4">
              <w:t>25</w:t>
            </w:r>
          </w:p>
        </w:tc>
      </w:tr>
      <w:tr w:rsidR="008934B0" w:rsidRPr="00180B19" w14:paraId="0B70F550" w14:textId="77777777" w:rsidTr="002960A4">
        <w:trPr>
          <w:trHeight w:val="90"/>
          <w:tblHeader w:val="0"/>
        </w:trPr>
        <w:tc>
          <w:tcPr>
            <w:tcW w:w="5623" w:type="dxa"/>
          </w:tcPr>
          <w:p w14:paraId="0B70F547" w14:textId="77777777" w:rsidR="009A3C1C" w:rsidRDefault="008934B0" w:rsidP="002960A4">
            <w:pPr>
              <w:pStyle w:val="TableTextEntries"/>
            </w:pPr>
            <w:r w:rsidRPr="0022246F">
              <w:t xml:space="preserve">Improved access to quality </w:t>
            </w:r>
            <w:r w:rsidR="009A3C1C">
              <w:t>education</w:t>
            </w:r>
          </w:p>
          <w:p w14:paraId="0B70F548" w14:textId="77777777" w:rsidR="008934B0" w:rsidRDefault="008934B0" w:rsidP="002960A4">
            <w:pPr>
              <w:pStyle w:val="TableListBullet"/>
            </w:pPr>
            <w:r w:rsidRPr="0022246F">
              <w:t>basic, secondary, technical and tertiary education</w:t>
            </w:r>
          </w:p>
          <w:p w14:paraId="0B70F549" w14:textId="77777777" w:rsidR="009A3C1C" w:rsidRPr="00100AA2" w:rsidRDefault="001C510F" w:rsidP="002960A4">
            <w:pPr>
              <w:pStyle w:val="TableListBullet"/>
            </w:pPr>
            <w:r>
              <w:t>Australia Awards and A</w:t>
            </w:r>
            <w:r w:rsidR="006B279B">
              <w:t>ustralia</w:t>
            </w:r>
            <w:r w:rsidR="00E04DC3">
              <w:t>-</w:t>
            </w:r>
            <w:r w:rsidR="006B279B">
              <w:t>Pacific Technical College</w:t>
            </w:r>
          </w:p>
        </w:tc>
        <w:tc>
          <w:tcPr>
            <w:tcW w:w="1106" w:type="dxa"/>
          </w:tcPr>
          <w:p w14:paraId="0B70F54A" w14:textId="77777777" w:rsidR="009A3C1C" w:rsidRDefault="009A3C1C" w:rsidP="002960A4">
            <w:pPr>
              <w:pStyle w:val="TableTextEntries"/>
            </w:pPr>
          </w:p>
          <w:p w14:paraId="0B70F54B" w14:textId="77777777" w:rsidR="008934B0" w:rsidRDefault="008934B0" w:rsidP="002960A4">
            <w:pPr>
              <w:pStyle w:val="TableTextEntries"/>
            </w:pPr>
            <w:r>
              <w:t>41.6</w:t>
            </w:r>
          </w:p>
          <w:p w14:paraId="0B70F54C" w14:textId="77777777" w:rsidR="009A3C1C" w:rsidRPr="007C7518" w:rsidRDefault="009A3C1C" w:rsidP="002960A4">
            <w:pPr>
              <w:pStyle w:val="TableTextEntries"/>
            </w:pPr>
            <w:r>
              <w:t>11.2</w:t>
            </w:r>
          </w:p>
        </w:tc>
        <w:tc>
          <w:tcPr>
            <w:tcW w:w="1709" w:type="dxa"/>
          </w:tcPr>
          <w:p w14:paraId="0B70F54D" w14:textId="77777777" w:rsidR="009A3C1C" w:rsidRDefault="009A3C1C" w:rsidP="002960A4">
            <w:pPr>
              <w:pStyle w:val="TableTextEntries"/>
            </w:pPr>
          </w:p>
          <w:p w14:paraId="0B70F54E" w14:textId="77777777" w:rsidR="008934B0" w:rsidRDefault="008934B0" w:rsidP="002960A4">
            <w:pPr>
              <w:pStyle w:val="TableTextEntries"/>
            </w:pPr>
            <w:r>
              <w:t>18</w:t>
            </w:r>
          </w:p>
          <w:p w14:paraId="0B70F54F" w14:textId="77777777" w:rsidR="009A3C1C" w:rsidRPr="007C7518" w:rsidRDefault="009A3C1C" w:rsidP="002960A4">
            <w:pPr>
              <w:pStyle w:val="TableTextEntries"/>
            </w:pPr>
            <w:r>
              <w:t>5</w:t>
            </w:r>
          </w:p>
        </w:tc>
      </w:tr>
      <w:tr w:rsidR="008934B0" w:rsidRPr="00180B19" w14:paraId="0B70F554" w14:textId="77777777" w:rsidTr="002960A4">
        <w:trPr>
          <w:cnfStyle w:val="000000010000" w:firstRow="0" w:lastRow="0" w:firstColumn="0" w:lastColumn="0" w:oddVBand="0" w:evenVBand="0" w:oddHBand="0" w:evenHBand="1" w:firstRowFirstColumn="0" w:firstRowLastColumn="0" w:lastRowFirstColumn="0" w:lastRowLastColumn="0"/>
          <w:tblHeader w:val="0"/>
        </w:trPr>
        <w:tc>
          <w:tcPr>
            <w:tcW w:w="56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51" w14:textId="77777777" w:rsidR="008934B0" w:rsidRPr="002960A4" w:rsidRDefault="008934B0" w:rsidP="002960A4">
            <w:pPr>
              <w:pStyle w:val="TableTextEntries"/>
            </w:pPr>
            <w:r w:rsidRPr="002960A4">
              <w:t xml:space="preserve">Improved law and justice  </w:t>
            </w:r>
          </w:p>
        </w:tc>
        <w:tc>
          <w:tcPr>
            <w:tcW w:w="11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52" w14:textId="77777777" w:rsidR="008934B0" w:rsidRPr="002960A4" w:rsidRDefault="008934B0" w:rsidP="002960A4">
            <w:pPr>
              <w:pStyle w:val="TableTextEntries"/>
            </w:pPr>
            <w:r w:rsidRPr="002960A4">
              <w:t>13.5</w:t>
            </w:r>
          </w:p>
        </w:tc>
        <w:tc>
          <w:tcPr>
            <w:tcW w:w="17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53" w14:textId="77777777" w:rsidR="008934B0" w:rsidRPr="002960A4" w:rsidRDefault="008934B0" w:rsidP="002960A4">
            <w:pPr>
              <w:pStyle w:val="TableTextEntries"/>
            </w:pPr>
            <w:r w:rsidRPr="002960A4">
              <w:t>6</w:t>
            </w:r>
          </w:p>
        </w:tc>
      </w:tr>
      <w:tr w:rsidR="008934B0" w:rsidRPr="00180B19" w14:paraId="0B70F558" w14:textId="77777777" w:rsidTr="002960A4">
        <w:trPr>
          <w:tblHeader w:val="0"/>
        </w:trPr>
        <w:tc>
          <w:tcPr>
            <w:tcW w:w="5623" w:type="dxa"/>
          </w:tcPr>
          <w:p w14:paraId="0B70F555" w14:textId="77777777" w:rsidR="008934B0" w:rsidRPr="002960A4" w:rsidRDefault="008934B0" w:rsidP="002960A4">
            <w:pPr>
              <w:pStyle w:val="TableTextEntries"/>
            </w:pPr>
            <w:r w:rsidRPr="002960A4">
              <w:t>Improved transport services to facilitate social development and economic growth</w:t>
            </w:r>
          </w:p>
        </w:tc>
        <w:tc>
          <w:tcPr>
            <w:tcW w:w="1106" w:type="dxa"/>
          </w:tcPr>
          <w:p w14:paraId="0B70F556" w14:textId="77777777" w:rsidR="008934B0" w:rsidRPr="002960A4" w:rsidRDefault="008934B0" w:rsidP="002960A4">
            <w:pPr>
              <w:pStyle w:val="TableTextEntries"/>
            </w:pPr>
            <w:r w:rsidRPr="002960A4">
              <w:t>24.6</w:t>
            </w:r>
          </w:p>
        </w:tc>
        <w:tc>
          <w:tcPr>
            <w:tcW w:w="1709" w:type="dxa"/>
          </w:tcPr>
          <w:p w14:paraId="0B70F557" w14:textId="77777777" w:rsidR="008934B0" w:rsidRPr="002960A4" w:rsidRDefault="008934B0" w:rsidP="002960A4">
            <w:pPr>
              <w:pStyle w:val="TableTextEntries"/>
            </w:pPr>
            <w:r w:rsidRPr="002960A4">
              <w:t>11</w:t>
            </w:r>
          </w:p>
        </w:tc>
      </w:tr>
      <w:tr w:rsidR="008934B0" w:rsidRPr="00180B19" w14:paraId="0B70F55C" w14:textId="77777777" w:rsidTr="002960A4">
        <w:trPr>
          <w:cnfStyle w:val="000000010000" w:firstRow="0" w:lastRow="0" w:firstColumn="0" w:lastColumn="0" w:oddVBand="0" w:evenVBand="0" w:oddHBand="0" w:evenHBand="1" w:firstRowFirstColumn="0" w:firstRowLastColumn="0" w:lastRowFirstColumn="0" w:lastRowLastColumn="0"/>
          <w:tblHeader w:val="0"/>
        </w:trPr>
        <w:tc>
          <w:tcPr>
            <w:tcW w:w="56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59" w14:textId="77777777" w:rsidR="008934B0" w:rsidRPr="002960A4" w:rsidRDefault="008934B0" w:rsidP="002960A4">
            <w:pPr>
              <w:pStyle w:val="TableTextEntries"/>
            </w:pPr>
            <w:r w:rsidRPr="002960A4">
              <w:t>Strengthened national and sub-national public sector</w:t>
            </w:r>
          </w:p>
        </w:tc>
        <w:tc>
          <w:tcPr>
            <w:tcW w:w="11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5A" w14:textId="77777777" w:rsidR="008934B0" w:rsidRPr="002960A4" w:rsidRDefault="008934B0" w:rsidP="002960A4">
            <w:pPr>
              <w:pStyle w:val="TableTextEntries"/>
            </w:pPr>
            <w:r w:rsidRPr="002960A4">
              <w:t>42.9</w:t>
            </w:r>
          </w:p>
        </w:tc>
        <w:tc>
          <w:tcPr>
            <w:tcW w:w="17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5B" w14:textId="77777777" w:rsidR="008934B0" w:rsidRPr="002960A4" w:rsidRDefault="008934B0" w:rsidP="002960A4">
            <w:pPr>
              <w:pStyle w:val="TableTextEntries"/>
            </w:pPr>
            <w:r w:rsidRPr="002960A4">
              <w:t>18</w:t>
            </w:r>
          </w:p>
        </w:tc>
      </w:tr>
      <w:tr w:rsidR="008934B0" w:rsidRPr="00180B19" w14:paraId="0B70F560" w14:textId="77777777" w:rsidTr="002960A4">
        <w:trPr>
          <w:tblHeader w:val="0"/>
        </w:trPr>
        <w:tc>
          <w:tcPr>
            <w:tcW w:w="5623" w:type="dxa"/>
          </w:tcPr>
          <w:p w14:paraId="0B70F55D" w14:textId="77777777" w:rsidR="008934B0" w:rsidRPr="002960A4" w:rsidRDefault="008934B0" w:rsidP="002960A4">
            <w:pPr>
              <w:pStyle w:val="TableTextEntries"/>
            </w:pPr>
            <w:r w:rsidRPr="002960A4">
              <w:t xml:space="preserve">Strengthened </w:t>
            </w:r>
            <w:r w:rsidR="00FB0BD6" w:rsidRPr="002960A4">
              <w:t>d</w:t>
            </w:r>
            <w:r w:rsidRPr="002960A4">
              <w:t>emocracy</w:t>
            </w:r>
          </w:p>
        </w:tc>
        <w:tc>
          <w:tcPr>
            <w:tcW w:w="1106" w:type="dxa"/>
          </w:tcPr>
          <w:p w14:paraId="0B70F55E" w14:textId="77777777" w:rsidR="008934B0" w:rsidRPr="002960A4" w:rsidRDefault="008934B0" w:rsidP="002960A4">
            <w:pPr>
              <w:pStyle w:val="TableTextEntries"/>
            </w:pPr>
            <w:r w:rsidRPr="002960A4">
              <w:t>20.3</w:t>
            </w:r>
          </w:p>
        </w:tc>
        <w:tc>
          <w:tcPr>
            <w:tcW w:w="1709" w:type="dxa"/>
          </w:tcPr>
          <w:p w14:paraId="0B70F55F" w14:textId="77777777" w:rsidR="008934B0" w:rsidRPr="002960A4" w:rsidRDefault="008934B0" w:rsidP="002960A4">
            <w:pPr>
              <w:pStyle w:val="TableTextEntries"/>
            </w:pPr>
            <w:r w:rsidRPr="002960A4">
              <w:t>9</w:t>
            </w:r>
          </w:p>
        </w:tc>
      </w:tr>
      <w:tr w:rsidR="008934B0" w:rsidRPr="00180B19" w14:paraId="0B70F564" w14:textId="77777777" w:rsidTr="002960A4">
        <w:trPr>
          <w:cnfStyle w:val="000000010000" w:firstRow="0" w:lastRow="0" w:firstColumn="0" w:lastColumn="0" w:oddVBand="0" w:evenVBand="0" w:oddHBand="0" w:evenHBand="1" w:firstRowFirstColumn="0" w:firstRowLastColumn="0" w:lastRowFirstColumn="0" w:lastRowLastColumn="0"/>
          <w:tblHeader w:val="0"/>
        </w:trPr>
        <w:tc>
          <w:tcPr>
            <w:tcW w:w="56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61" w14:textId="77777777" w:rsidR="008934B0" w:rsidRPr="002960A4" w:rsidRDefault="008934B0" w:rsidP="002960A4">
            <w:pPr>
              <w:pStyle w:val="TableTextEntries"/>
            </w:pPr>
            <w:r w:rsidRPr="002960A4">
              <w:t>Gender equality and women’s empowerment</w:t>
            </w:r>
          </w:p>
        </w:tc>
        <w:tc>
          <w:tcPr>
            <w:tcW w:w="11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62" w14:textId="77777777" w:rsidR="008934B0" w:rsidRPr="002960A4" w:rsidRDefault="008934B0" w:rsidP="002960A4">
            <w:pPr>
              <w:pStyle w:val="TableTextEntries"/>
            </w:pPr>
            <w:r w:rsidRPr="002960A4">
              <w:t>3.1</w:t>
            </w:r>
          </w:p>
        </w:tc>
        <w:tc>
          <w:tcPr>
            <w:tcW w:w="17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63" w14:textId="77777777" w:rsidR="008934B0" w:rsidRPr="002960A4" w:rsidRDefault="008934B0" w:rsidP="002960A4">
            <w:pPr>
              <w:pStyle w:val="TableTextEntries"/>
            </w:pPr>
            <w:r w:rsidRPr="002960A4">
              <w:t>1</w:t>
            </w:r>
          </w:p>
        </w:tc>
      </w:tr>
      <w:tr w:rsidR="00B5416A" w:rsidRPr="00180B19" w14:paraId="0B70F568" w14:textId="77777777" w:rsidTr="002960A4">
        <w:trPr>
          <w:tblHeader w:val="0"/>
        </w:trPr>
        <w:tc>
          <w:tcPr>
            <w:tcW w:w="5623" w:type="dxa"/>
          </w:tcPr>
          <w:p w14:paraId="0B70F565" w14:textId="77777777" w:rsidR="00B5416A" w:rsidRPr="002960A4" w:rsidRDefault="00B5416A" w:rsidP="002960A4">
            <w:pPr>
              <w:pStyle w:val="TableTextEntries"/>
            </w:pPr>
            <w:r w:rsidRPr="002960A4">
              <w:t>Bougainville*</w:t>
            </w:r>
          </w:p>
        </w:tc>
        <w:tc>
          <w:tcPr>
            <w:tcW w:w="1106" w:type="dxa"/>
          </w:tcPr>
          <w:p w14:paraId="0B70F566" w14:textId="77777777" w:rsidR="00B5416A" w:rsidRPr="002960A4" w:rsidRDefault="00B5416A" w:rsidP="002960A4">
            <w:pPr>
              <w:pStyle w:val="TableTextEntries"/>
            </w:pPr>
            <w:r w:rsidRPr="002960A4">
              <w:t>0</w:t>
            </w:r>
          </w:p>
        </w:tc>
        <w:tc>
          <w:tcPr>
            <w:tcW w:w="1709" w:type="dxa"/>
          </w:tcPr>
          <w:p w14:paraId="0B70F567" w14:textId="77777777" w:rsidR="00B5416A" w:rsidRPr="002960A4" w:rsidRDefault="00B5416A" w:rsidP="002960A4">
            <w:pPr>
              <w:pStyle w:val="TableTextEntries"/>
            </w:pPr>
            <w:r w:rsidRPr="002960A4">
              <w:t>0</w:t>
            </w:r>
          </w:p>
        </w:tc>
      </w:tr>
      <w:tr w:rsidR="008934B0" w:rsidRPr="00180B19" w14:paraId="0B70F56F" w14:textId="77777777" w:rsidTr="002960A4">
        <w:trPr>
          <w:cnfStyle w:val="000000010000" w:firstRow="0" w:lastRow="0" w:firstColumn="0" w:lastColumn="0" w:oddVBand="0" w:evenVBand="0" w:oddHBand="0" w:evenHBand="1" w:firstRowFirstColumn="0" w:firstRowLastColumn="0" w:lastRowFirstColumn="0" w:lastRowLastColumn="0"/>
          <w:tblHeader w:val="0"/>
        </w:trPr>
        <w:tc>
          <w:tcPr>
            <w:tcW w:w="56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69" w14:textId="77777777" w:rsidR="00B5416A" w:rsidRDefault="00B5416A" w:rsidP="002960A4">
            <w:pPr>
              <w:pStyle w:val="TableTextEntries"/>
              <w:rPr>
                <w:rFonts w:cstheme="minorHAnsi"/>
              </w:rPr>
            </w:pPr>
            <w:r>
              <w:rPr>
                <w:rFonts w:cstheme="minorHAnsi"/>
              </w:rPr>
              <w:t>Crosscutting</w:t>
            </w:r>
          </w:p>
          <w:p w14:paraId="0B70F56A" w14:textId="77777777" w:rsidR="008934B0" w:rsidRDefault="00E04DC3" w:rsidP="002960A4">
            <w:pPr>
              <w:pStyle w:val="TableListBullet"/>
            </w:pPr>
            <w:r>
              <w:t>c</w:t>
            </w:r>
            <w:r w:rsidR="008934B0">
              <w:t xml:space="preserve">limate </w:t>
            </w:r>
            <w:r w:rsidR="00FB0BD6">
              <w:t>c</w:t>
            </w:r>
            <w:r w:rsidR="008934B0">
              <w:t xml:space="preserve">hange, </w:t>
            </w:r>
            <w:r w:rsidR="00FB0BD6">
              <w:t>d</w:t>
            </w:r>
            <w:r w:rsidR="008934B0">
              <w:t xml:space="preserve">isaster </w:t>
            </w:r>
            <w:r w:rsidR="00FB0BD6">
              <w:t>r</w:t>
            </w:r>
            <w:r w:rsidR="008934B0">
              <w:t xml:space="preserve">isk </w:t>
            </w:r>
            <w:r w:rsidR="00FB0BD6">
              <w:t>r</w:t>
            </w:r>
            <w:r w:rsidR="008934B0">
              <w:t xml:space="preserve">eduction and </w:t>
            </w:r>
            <w:r w:rsidR="00FB0BD6">
              <w:t>d</w:t>
            </w:r>
            <w:r w:rsidR="008934B0">
              <w:t xml:space="preserve">isaster </w:t>
            </w:r>
            <w:r w:rsidR="00FB0BD6">
              <w:t>r</w:t>
            </w:r>
            <w:r w:rsidR="008934B0">
              <w:t>esponsiveness</w:t>
            </w:r>
          </w:p>
        </w:tc>
        <w:tc>
          <w:tcPr>
            <w:tcW w:w="11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6B" w14:textId="77777777" w:rsidR="00B5416A" w:rsidRDefault="00B5416A" w:rsidP="002960A4">
            <w:pPr>
              <w:pStyle w:val="TableTextEntries"/>
            </w:pPr>
          </w:p>
          <w:p w14:paraId="0B70F56C" w14:textId="77777777" w:rsidR="008934B0" w:rsidRPr="007C7518" w:rsidRDefault="008934B0" w:rsidP="002960A4">
            <w:pPr>
              <w:pStyle w:val="TableTextEntries"/>
            </w:pPr>
            <w:r>
              <w:t>2.5</w:t>
            </w:r>
          </w:p>
        </w:tc>
        <w:tc>
          <w:tcPr>
            <w:tcW w:w="17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6D" w14:textId="77777777" w:rsidR="00B5416A" w:rsidRDefault="00B5416A" w:rsidP="002960A4">
            <w:pPr>
              <w:pStyle w:val="TableTextEntries"/>
            </w:pPr>
          </w:p>
          <w:p w14:paraId="0B70F56E" w14:textId="77777777" w:rsidR="008934B0" w:rsidRPr="007C7518" w:rsidRDefault="008934B0" w:rsidP="002960A4">
            <w:pPr>
              <w:pStyle w:val="TableTextEntries"/>
            </w:pPr>
            <w:r>
              <w:t>1</w:t>
            </w:r>
          </w:p>
        </w:tc>
      </w:tr>
      <w:tr w:rsidR="008934B0" w:rsidRPr="00180B19" w14:paraId="0B70F573" w14:textId="77777777" w:rsidTr="002960A4">
        <w:trPr>
          <w:tblHeader w:val="0"/>
        </w:trPr>
        <w:tc>
          <w:tcPr>
            <w:tcW w:w="5623" w:type="dxa"/>
          </w:tcPr>
          <w:p w14:paraId="0B70F570" w14:textId="77777777" w:rsidR="008934B0" w:rsidRDefault="00F6358F" w:rsidP="002960A4">
            <w:pPr>
              <w:pStyle w:val="TableListBullet"/>
            </w:pPr>
            <w:r>
              <w:t>dis</w:t>
            </w:r>
            <w:r w:rsidR="008934B0">
              <w:t>ability</w:t>
            </w:r>
            <w:r w:rsidR="00034B21">
              <w:t>-</w:t>
            </w:r>
            <w:r w:rsidR="008934B0">
              <w:t>inclusive development</w:t>
            </w:r>
          </w:p>
        </w:tc>
        <w:tc>
          <w:tcPr>
            <w:tcW w:w="1106" w:type="dxa"/>
          </w:tcPr>
          <w:p w14:paraId="0B70F571" w14:textId="77777777" w:rsidR="008934B0" w:rsidRPr="007C7518" w:rsidRDefault="008934B0" w:rsidP="002960A4">
            <w:pPr>
              <w:pStyle w:val="TableTextEntries"/>
            </w:pPr>
            <w:r>
              <w:t>0.5</w:t>
            </w:r>
          </w:p>
        </w:tc>
        <w:tc>
          <w:tcPr>
            <w:tcW w:w="1709" w:type="dxa"/>
          </w:tcPr>
          <w:p w14:paraId="0B70F572" w14:textId="77777777" w:rsidR="008934B0" w:rsidRPr="007C7518" w:rsidRDefault="008934B0" w:rsidP="002960A4">
            <w:pPr>
              <w:pStyle w:val="TableTextEntries"/>
            </w:pPr>
            <w:r>
              <w:t>&lt;1</w:t>
            </w:r>
          </w:p>
        </w:tc>
      </w:tr>
      <w:tr w:rsidR="008934B0" w:rsidRPr="00180B19" w14:paraId="0B70F577" w14:textId="77777777" w:rsidTr="002960A4">
        <w:trPr>
          <w:cnfStyle w:val="000000010000" w:firstRow="0" w:lastRow="0" w:firstColumn="0" w:lastColumn="0" w:oddVBand="0" w:evenVBand="0" w:oddHBand="0" w:evenHBand="1" w:firstRowFirstColumn="0" w:firstRowLastColumn="0" w:lastRowFirstColumn="0" w:lastRowLastColumn="0"/>
          <w:tblHeader w:val="0"/>
        </w:trPr>
        <w:tc>
          <w:tcPr>
            <w:tcW w:w="562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74" w14:textId="77777777" w:rsidR="008934B0" w:rsidRDefault="008934B0" w:rsidP="002960A4">
            <w:pPr>
              <w:pStyle w:val="TableTextEntries"/>
              <w:rPr>
                <w:rFonts w:cstheme="minorHAnsi"/>
              </w:rPr>
            </w:pPr>
            <w:r>
              <w:rPr>
                <w:rFonts w:cstheme="minorHAnsi"/>
              </w:rPr>
              <w:t>Other**</w:t>
            </w:r>
          </w:p>
        </w:tc>
        <w:tc>
          <w:tcPr>
            <w:tcW w:w="11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75" w14:textId="77777777" w:rsidR="008934B0" w:rsidRPr="007C7518" w:rsidRDefault="008934B0" w:rsidP="002960A4">
            <w:pPr>
              <w:pStyle w:val="TableTextEntries"/>
            </w:pPr>
            <w:r>
              <w:t>15.1</w:t>
            </w:r>
          </w:p>
        </w:tc>
        <w:tc>
          <w:tcPr>
            <w:tcW w:w="17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70F576" w14:textId="77777777" w:rsidR="008934B0" w:rsidRPr="007C7518" w:rsidRDefault="008934B0" w:rsidP="002960A4">
            <w:pPr>
              <w:pStyle w:val="TableTextEntries"/>
            </w:pPr>
            <w:r>
              <w:t>6</w:t>
            </w:r>
          </w:p>
        </w:tc>
      </w:tr>
      <w:tr w:rsidR="008934B0" w:rsidRPr="00180B19" w14:paraId="0B70F57B" w14:textId="77777777" w:rsidTr="002960A4">
        <w:trPr>
          <w:tblHeader w:val="0"/>
        </w:trPr>
        <w:tc>
          <w:tcPr>
            <w:tcW w:w="5623" w:type="dxa"/>
            <w:tcBorders>
              <w:top w:val="single" w:sz="12" w:space="0" w:color="000000" w:themeColor="text1"/>
            </w:tcBorders>
          </w:tcPr>
          <w:p w14:paraId="0B70F578" w14:textId="77777777" w:rsidR="008934B0" w:rsidRDefault="008934B0" w:rsidP="002960A4">
            <w:pPr>
              <w:pStyle w:val="TableTextColumnHeading"/>
            </w:pPr>
            <w:r>
              <w:t xml:space="preserve">Total </w:t>
            </w:r>
          </w:p>
        </w:tc>
        <w:tc>
          <w:tcPr>
            <w:tcW w:w="1106" w:type="dxa"/>
            <w:tcBorders>
              <w:top w:val="single" w:sz="12" w:space="0" w:color="000000" w:themeColor="text1"/>
            </w:tcBorders>
          </w:tcPr>
          <w:p w14:paraId="0B70F579" w14:textId="77777777" w:rsidR="008934B0" w:rsidRDefault="008934B0" w:rsidP="002960A4">
            <w:pPr>
              <w:pStyle w:val="TableTextColumnHeading"/>
            </w:pPr>
            <w:r>
              <w:t>233.2</w:t>
            </w:r>
          </w:p>
        </w:tc>
        <w:tc>
          <w:tcPr>
            <w:tcW w:w="1709" w:type="dxa"/>
            <w:tcBorders>
              <w:top w:val="single" w:sz="12" w:space="0" w:color="000000" w:themeColor="text1"/>
            </w:tcBorders>
          </w:tcPr>
          <w:p w14:paraId="0B70F57A" w14:textId="77777777" w:rsidR="008934B0" w:rsidRDefault="008934B0" w:rsidP="002960A4">
            <w:pPr>
              <w:pStyle w:val="TableTextColumnHeading"/>
            </w:pPr>
          </w:p>
        </w:tc>
      </w:tr>
    </w:tbl>
    <w:p w14:paraId="0B70F57C" w14:textId="77777777" w:rsidR="008934B0" w:rsidRPr="002960A4" w:rsidRDefault="008934B0" w:rsidP="002960A4">
      <w:pPr>
        <w:pStyle w:val="Note"/>
      </w:pPr>
      <w:r w:rsidRPr="002960A4">
        <w:t xml:space="preserve">*    Other estimated expenditure on Bougainville through national programs was </w:t>
      </w:r>
      <w:r w:rsidR="00041973" w:rsidRPr="002960A4">
        <w:t>$</w:t>
      </w:r>
      <w:r w:rsidRPr="002960A4">
        <w:t>12.8 million</w:t>
      </w:r>
      <w:r w:rsidR="00FE4904" w:rsidRPr="002960A4">
        <w:t>.</w:t>
      </w:r>
    </w:p>
    <w:p w14:paraId="0B70F57D" w14:textId="77777777" w:rsidR="008934B0" w:rsidRPr="002960A4" w:rsidRDefault="008934B0" w:rsidP="002960A4">
      <w:pPr>
        <w:pStyle w:val="Note"/>
      </w:pPr>
      <w:r w:rsidRPr="002960A4">
        <w:t>**  Includes departmental and other program costs</w:t>
      </w:r>
      <w:r w:rsidR="00FE4904" w:rsidRPr="002960A4">
        <w:t>.</w:t>
      </w:r>
    </w:p>
    <w:p w14:paraId="0B70F57F" w14:textId="59D7493C" w:rsidR="00B01CCC" w:rsidRPr="00B01CCC" w:rsidRDefault="00B01CCC">
      <w:pPr>
        <w:pStyle w:val="Note"/>
      </w:pPr>
    </w:p>
    <w:p w14:paraId="69337B4D" w14:textId="77777777" w:rsidR="001E7728" w:rsidRDefault="001E7728">
      <w:pPr>
        <w:spacing w:after="200" w:line="276" w:lineRule="auto"/>
        <w:rPr>
          <w:rFonts w:ascii="Arial" w:eastAsia="Times New Roman" w:hAnsi="Arial" w:cs="Arial"/>
          <w:color w:val="7E6D5F"/>
          <w:szCs w:val="19"/>
        </w:rPr>
      </w:pPr>
      <w:r>
        <w:br w:type="page"/>
      </w:r>
    </w:p>
    <w:p w14:paraId="0B70F580" w14:textId="2339530A" w:rsidR="008934B0" w:rsidRPr="00180B19" w:rsidRDefault="008934B0" w:rsidP="001E7728">
      <w:pPr>
        <w:pStyle w:val="Caption"/>
      </w:pPr>
      <w:r w:rsidRPr="00180B19">
        <w:lastRenderedPageBreak/>
        <w:t xml:space="preserve">Table </w:t>
      </w:r>
      <w:r w:rsidR="002D202C">
        <w:t>2</w:t>
      </w:r>
      <w:r w:rsidRPr="00180B19">
        <w:t xml:space="preserve">B </w:t>
      </w:r>
      <w:r w:rsidR="00FB0BD6">
        <w:t>e</w:t>
      </w:r>
      <w:r w:rsidRPr="00180B19">
        <w:t>stimated expenditure in FY 2012</w:t>
      </w:r>
      <w:r w:rsidR="00FB0BD6">
        <w:t>–</w:t>
      </w:r>
      <w:r w:rsidRPr="00180B19">
        <w:t>13</w:t>
      </w:r>
    </w:p>
    <w:tbl>
      <w:tblPr>
        <w:tblStyle w:val="APPR"/>
        <w:tblW w:w="5000" w:type="pct"/>
        <w:tblLayout w:type="fixed"/>
        <w:tblLook w:val="0000" w:firstRow="0" w:lastRow="0" w:firstColumn="0" w:lastColumn="0" w:noHBand="0" w:noVBand="0"/>
      </w:tblPr>
      <w:tblGrid>
        <w:gridCol w:w="5560"/>
        <w:gridCol w:w="1141"/>
        <w:gridCol w:w="1905"/>
      </w:tblGrid>
      <w:tr w:rsidR="008934B0" w:rsidRPr="00180B19" w14:paraId="0B70F584" w14:textId="77777777" w:rsidTr="00BC0005">
        <w:trPr>
          <w:cnfStyle w:val="000000010000" w:firstRow="0" w:lastRow="0" w:firstColumn="0" w:lastColumn="0" w:oddVBand="0" w:evenVBand="0" w:oddHBand="0" w:evenHBand="1" w:firstRowFirstColumn="0" w:firstRowLastColumn="0" w:lastRowFirstColumn="0" w:lastRowLastColumn="0"/>
        </w:trPr>
        <w:tc>
          <w:tcPr>
            <w:tcW w:w="5518" w:type="dxa"/>
          </w:tcPr>
          <w:p w14:paraId="0B70F581" w14:textId="77777777" w:rsidR="008934B0" w:rsidRPr="00180B19" w:rsidRDefault="008934B0" w:rsidP="006264ED">
            <w:pPr>
              <w:pStyle w:val="TableTextColumnHeading"/>
            </w:pPr>
            <w:r w:rsidRPr="00180B19">
              <w:t>Objective</w:t>
            </w:r>
          </w:p>
        </w:tc>
        <w:tc>
          <w:tcPr>
            <w:tcW w:w="1113" w:type="dxa"/>
          </w:tcPr>
          <w:p w14:paraId="0B70F582" w14:textId="77777777" w:rsidR="008934B0" w:rsidRPr="00180B19" w:rsidRDefault="008934B0" w:rsidP="006264ED">
            <w:pPr>
              <w:pStyle w:val="TableTextColumnHeading"/>
            </w:pPr>
            <w:r w:rsidRPr="00180B19">
              <w:t>A$ million</w:t>
            </w:r>
          </w:p>
        </w:tc>
        <w:tc>
          <w:tcPr>
            <w:tcW w:w="1863" w:type="dxa"/>
          </w:tcPr>
          <w:p w14:paraId="0B70F583" w14:textId="77777777" w:rsidR="008934B0" w:rsidRPr="00180B19" w:rsidRDefault="00FE4904" w:rsidP="006264ED">
            <w:pPr>
              <w:pStyle w:val="TableTextColumnHeading"/>
            </w:pPr>
            <w:r>
              <w:t>P</w:t>
            </w:r>
            <w:r w:rsidR="00B76E9D">
              <w:t>er cent</w:t>
            </w:r>
            <w:r w:rsidR="008934B0" w:rsidRPr="00180B19">
              <w:t xml:space="preserve"> of bilateral program</w:t>
            </w:r>
          </w:p>
        </w:tc>
      </w:tr>
      <w:tr w:rsidR="008934B0" w:rsidRPr="00180B19" w14:paraId="0B70F588" w14:textId="77777777" w:rsidTr="00BC0005">
        <w:trPr>
          <w:cnfStyle w:val="000000010000" w:firstRow="0" w:lastRow="0" w:firstColumn="0" w:lastColumn="0" w:oddVBand="0" w:evenVBand="0" w:oddHBand="0" w:evenHBand="1" w:firstRowFirstColumn="0" w:firstRowLastColumn="0" w:lastRowFirstColumn="0" w:lastRowLastColumn="0"/>
        </w:trPr>
        <w:tc>
          <w:tcPr>
            <w:tcW w:w="5518" w:type="dxa"/>
          </w:tcPr>
          <w:p w14:paraId="0B70F585" w14:textId="1C6997F6" w:rsidR="008934B0" w:rsidRPr="00100AA2" w:rsidRDefault="008934B0" w:rsidP="006264ED">
            <w:pPr>
              <w:pStyle w:val="TableTextEntries"/>
            </w:pPr>
            <w:r w:rsidRPr="0022246F">
              <w:t xml:space="preserve">Improved </w:t>
            </w:r>
            <w:r w:rsidR="00FB0BD6">
              <w:t>h</w:t>
            </w:r>
            <w:r w:rsidRPr="0022246F">
              <w:t>ealth and HIV/AIDs outcomes</w:t>
            </w:r>
            <w:r w:rsidR="00BD0FF0">
              <w:t>*</w:t>
            </w:r>
          </w:p>
        </w:tc>
        <w:tc>
          <w:tcPr>
            <w:tcW w:w="1113" w:type="dxa"/>
          </w:tcPr>
          <w:p w14:paraId="0B70F586" w14:textId="33215957" w:rsidR="008934B0" w:rsidRPr="00100AA2" w:rsidRDefault="00FB2BF7" w:rsidP="00645C95">
            <w:pPr>
              <w:pStyle w:val="TableTextEntries"/>
            </w:pPr>
            <w:r w:rsidRPr="00FB2BF7">
              <w:t>126</w:t>
            </w:r>
            <w:r>
              <w:t>.</w:t>
            </w:r>
            <w:r w:rsidR="00645C95">
              <w:t>3</w:t>
            </w:r>
          </w:p>
        </w:tc>
        <w:tc>
          <w:tcPr>
            <w:tcW w:w="1863" w:type="dxa"/>
          </w:tcPr>
          <w:p w14:paraId="0B70F587" w14:textId="216D3094" w:rsidR="008934B0" w:rsidRPr="00100AA2" w:rsidRDefault="00645C95" w:rsidP="006264ED">
            <w:pPr>
              <w:pStyle w:val="TableTextEntries"/>
            </w:pPr>
            <w:r>
              <w:t>28</w:t>
            </w:r>
          </w:p>
        </w:tc>
      </w:tr>
      <w:tr w:rsidR="008934B0" w:rsidRPr="00180B19" w14:paraId="0B70F590" w14:textId="77777777" w:rsidTr="00BC0005">
        <w:trPr>
          <w:cnfStyle w:val="000000010000" w:firstRow="0" w:lastRow="0" w:firstColumn="0" w:lastColumn="0" w:oddVBand="0" w:evenVBand="0" w:oddHBand="0" w:evenHBand="1" w:firstRowFirstColumn="0" w:firstRowLastColumn="0" w:lastRowFirstColumn="0" w:lastRowLastColumn="0"/>
        </w:trPr>
        <w:tc>
          <w:tcPr>
            <w:tcW w:w="5518" w:type="dxa"/>
          </w:tcPr>
          <w:p w14:paraId="0B70F589" w14:textId="78DCB946" w:rsidR="00AB09D8" w:rsidRDefault="008934B0" w:rsidP="006264ED">
            <w:pPr>
              <w:pStyle w:val="TableTextEntries"/>
            </w:pPr>
            <w:r w:rsidRPr="0022246F">
              <w:t xml:space="preserve">Improved access to quality </w:t>
            </w:r>
            <w:r w:rsidR="00AB09D8">
              <w:t>education</w:t>
            </w:r>
            <w:r w:rsidR="00C16873">
              <w:t>**</w:t>
            </w:r>
          </w:p>
          <w:p w14:paraId="0B70F58A" w14:textId="77777777" w:rsidR="008934B0" w:rsidRDefault="008934B0" w:rsidP="006264ED">
            <w:pPr>
              <w:pStyle w:val="TableListBullet"/>
            </w:pPr>
            <w:r w:rsidRPr="0022246F">
              <w:t>basic, secondary, technical and tertiary education</w:t>
            </w:r>
          </w:p>
          <w:p w14:paraId="0B70F58B" w14:textId="77777777" w:rsidR="00AB09D8" w:rsidRPr="00100AA2" w:rsidRDefault="00B5416A" w:rsidP="006264ED">
            <w:pPr>
              <w:pStyle w:val="TableListBullet"/>
            </w:pPr>
            <w:r>
              <w:t>Australia Awards and A</w:t>
            </w:r>
            <w:r w:rsidR="006B279B">
              <w:t>ustralia</w:t>
            </w:r>
            <w:r w:rsidR="00E04DC3">
              <w:t>-</w:t>
            </w:r>
            <w:r w:rsidR="006B279B">
              <w:t>Pacific Technical College</w:t>
            </w:r>
          </w:p>
        </w:tc>
        <w:tc>
          <w:tcPr>
            <w:tcW w:w="1113" w:type="dxa"/>
          </w:tcPr>
          <w:p w14:paraId="0B70F58C" w14:textId="77777777" w:rsidR="00B5416A" w:rsidRDefault="00B5416A" w:rsidP="006264ED">
            <w:pPr>
              <w:pStyle w:val="TableTextEntries"/>
            </w:pPr>
          </w:p>
          <w:p w14:paraId="67ED7B99" w14:textId="74ED6CAA" w:rsidR="008934B0" w:rsidRDefault="00645C95" w:rsidP="006264ED">
            <w:pPr>
              <w:pStyle w:val="TableTextEntries"/>
            </w:pPr>
            <w:r>
              <w:t>96.5</w:t>
            </w:r>
          </w:p>
          <w:p w14:paraId="0B70F58D" w14:textId="4DB3BC69" w:rsidR="00BC0005" w:rsidRPr="00100AA2" w:rsidRDefault="00645C95" w:rsidP="006264ED">
            <w:pPr>
              <w:pStyle w:val="TableTextEntries"/>
            </w:pPr>
            <w:r>
              <w:t>15</w:t>
            </w:r>
            <w:r w:rsidR="00BC0005" w:rsidRPr="00BC0005">
              <w:t>.</w:t>
            </w:r>
            <w:r>
              <w:t>4</w:t>
            </w:r>
          </w:p>
        </w:tc>
        <w:tc>
          <w:tcPr>
            <w:tcW w:w="1863" w:type="dxa"/>
          </w:tcPr>
          <w:p w14:paraId="0B70F58E" w14:textId="77777777" w:rsidR="00B5416A" w:rsidRDefault="00B5416A" w:rsidP="006264ED">
            <w:pPr>
              <w:pStyle w:val="TableTextEntries"/>
            </w:pPr>
          </w:p>
          <w:p w14:paraId="02896F3C" w14:textId="536E99DC" w:rsidR="008934B0" w:rsidRDefault="00645C95" w:rsidP="006264ED">
            <w:pPr>
              <w:pStyle w:val="TableTextEntries"/>
            </w:pPr>
            <w:r>
              <w:t>22</w:t>
            </w:r>
          </w:p>
          <w:p w14:paraId="0B70F58F" w14:textId="0301C38F" w:rsidR="00BC0005" w:rsidRPr="00100AA2" w:rsidRDefault="00475E80" w:rsidP="006264ED">
            <w:pPr>
              <w:pStyle w:val="TableTextEntries"/>
            </w:pPr>
            <w:r>
              <w:t>3</w:t>
            </w:r>
          </w:p>
        </w:tc>
      </w:tr>
      <w:tr w:rsidR="008934B0" w:rsidRPr="00180B19" w14:paraId="0B70F594" w14:textId="77777777" w:rsidTr="00BC0005">
        <w:trPr>
          <w:cnfStyle w:val="000000010000" w:firstRow="0" w:lastRow="0" w:firstColumn="0" w:lastColumn="0" w:oddVBand="0" w:evenVBand="0" w:oddHBand="0" w:evenHBand="1" w:firstRowFirstColumn="0" w:firstRowLastColumn="0" w:lastRowFirstColumn="0" w:lastRowLastColumn="0"/>
        </w:trPr>
        <w:tc>
          <w:tcPr>
            <w:tcW w:w="5518" w:type="dxa"/>
          </w:tcPr>
          <w:p w14:paraId="0B70F591" w14:textId="77777777" w:rsidR="008934B0" w:rsidRPr="00100AA2" w:rsidRDefault="008934B0" w:rsidP="006264ED">
            <w:pPr>
              <w:pStyle w:val="TableTextEntries"/>
            </w:pPr>
            <w:r>
              <w:rPr>
                <w:rFonts w:cstheme="minorHAnsi"/>
              </w:rPr>
              <w:t xml:space="preserve">Improved law and justice  </w:t>
            </w:r>
          </w:p>
        </w:tc>
        <w:tc>
          <w:tcPr>
            <w:tcW w:w="1113" w:type="dxa"/>
          </w:tcPr>
          <w:p w14:paraId="0B70F592" w14:textId="77777777" w:rsidR="008934B0" w:rsidRPr="00100AA2" w:rsidRDefault="008934B0" w:rsidP="006264ED">
            <w:pPr>
              <w:pStyle w:val="TableTextEntries"/>
            </w:pPr>
            <w:r>
              <w:t>29</w:t>
            </w:r>
          </w:p>
        </w:tc>
        <w:tc>
          <w:tcPr>
            <w:tcW w:w="1863" w:type="dxa"/>
          </w:tcPr>
          <w:p w14:paraId="0B70F593" w14:textId="77777777" w:rsidR="008934B0" w:rsidRPr="00100AA2" w:rsidRDefault="008934B0" w:rsidP="006264ED">
            <w:pPr>
              <w:pStyle w:val="TableTextEntries"/>
            </w:pPr>
            <w:r>
              <w:t>6</w:t>
            </w:r>
          </w:p>
        </w:tc>
      </w:tr>
      <w:tr w:rsidR="008934B0" w:rsidRPr="00180B19" w14:paraId="0B70F598" w14:textId="77777777" w:rsidTr="00BC0005">
        <w:trPr>
          <w:cnfStyle w:val="000000010000" w:firstRow="0" w:lastRow="0" w:firstColumn="0" w:lastColumn="0" w:oddVBand="0" w:evenVBand="0" w:oddHBand="0" w:evenHBand="1" w:firstRowFirstColumn="0" w:firstRowLastColumn="0" w:lastRowFirstColumn="0" w:lastRowLastColumn="0"/>
        </w:trPr>
        <w:tc>
          <w:tcPr>
            <w:tcW w:w="5518" w:type="dxa"/>
          </w:tcPr>
          <w:p w14:paraId="0B70F595" w14:textId="77777777" w:rsidR="008934B0" w:rsidRDefault="008934B0" w:rsidP="006264ED">
            <w:pPr>
              <w:pStyle w:val="TableTextEntries"/>
              <w:rPr>
                <w:rFonts w:cstheme="minorHAnsi"/>
              </w:rPr>
            </w:pPr>
            <w:r>
              <w:rPr>
                <w:rFonts w:cstheme="minorHAnsi"/>
              </w:rPr>
              <w:t>Improved transport services to facilitate social development and economic growth</w:t>
            </w:r>
          </w:p>
        </w:tc>
        <w:tc>
          <w:tcPr>
            <w:tcW w:w="1113" w:type="dxa"/>
          </w:tcPr>
          <w:p w14:paraId="0B70F596" w14:textId="55118089" w:rsidR="008934B0" w:rsidRPr="00100AA2" w:rsidRDefault="008934B0" w:rsidP="006264ED">
            <w:pPr>
              <w:pStyle w:val="TableTextEntries"/>
            </w:pPr>
            <w:r>
              <w:t>5</w:t>
            </w:r>
            <w:r w:rsidR="00645C95">
              <w:t>2.1</w:t>
            </w:r>
          </w:p>
        </w:tc>
        <w:tc>
          <w:tcPr>
            <w:tcW w:w="1863" w:type="dxa"/>
          </w:tcPr>
          <w:p w14:paraId="0B70F597" w14:textId="1B7CEC07" w:rsidR="008934B0" w:rsidRPr="00100AA2" w:rsidRDefault="008934B0" w:rsidP="006264ED">
            <w:pPr>
              <w:pStyle w:val="TableTextEntries"/>
            </w:pPr>
            <w:r>
              <w:t>1</w:t>
            </w:r>
            <w:r w:rsidR="00645C95">
              <w:t>2</w:t>
            </w:r>
          </w:p>
        </w:tc>
      </w:tr>
      <w:tr w:rsidR="008934B0" w:rsidRPr="00180B19" w14:paraId="0B70F59C" w14:textId="77777777" w:rsidTr="00BC0005">
        <w:trPr>
          <w:cnfStyle w:val="000000010000" w:firstRow="0" w:lastRow="0" w:firstColumn="0" w:lastColumn="0" w:oddVBand="0" w:evenVBand="0" w:oddHBand="0" w:evenHBand="1" w:firstRowFirstColumn="0" w:firstRowLastColumn="0" w:lastRowFirstColumn="0" w:lastRowLastColumn="0"/>
        </w:trPr>
        <w:tc>
          <w:tcPr>
            <w:tcW w:w="5518" w:type="dxa"/>
          </w:tcPr>
          <w:p w14:paraId="0B70F599" w14:textId="77777777" w:rsidR="008934B0" w:rsidRDefault="008934B0" w:rsidP="006264ED">
            <w:pPr>
              <w:pStyle w:val="TableTextEntries"/>
              <w:rPr>
                <w:rFonts w:cstheme="minorHAnsi"/>
              </w:rPr>
            </w:pPr>
            <w:r>
              <w:rPr>
                <w:rFonts w:cstheme="minorHAnsi"/>
              </w:rPr>
              <w:t>Strengthened national and sub-national public sector</w:t>
            </w:r>
          </w:p>
        </w:tc>
        <w:tc>
          <w:tcPr>
            <w:tcW w:w="1113" w:type="dxa"/>
          </w:tcPr>
          <w:p w14:paraId="0B70F59A" w14:textId="4E0606D2" w:rsidR="008934B0" w:rsidRPr="00100AA2" w:rsidRDefault="008934B0" w:rsidP="006264ED">
            <w:pPr>
              <w:pStyle w:val="TableTextEntries"/>
            </w:pPr>
            <w:r>
              <w:t>65</w:t>
            </w:r>
            <w:r w:rsidR="00645C95">
              <w:t>.3</w:t>
            </w:r>
          </w:p>
        </w:tc>
        <w:tc>
          <w:tcPr>
            <w:tcW w:w="1863" w:type="dxa"/>
          </w:tcPr>
          <w:p w14:paraId="0B70F59B" w14:textId="22777D5F" w:rsidR="008934B0" w:rsidRPr="00100AA2" w:rsidRDefault="008934B0" w:rsidP="006264ED">
            <w:pPr>
              <w:pStyle w:val="TableTextEntries"/>
            </w:pPr>
            <w:r>
              <w:t>1</w:t>
            </w:r>
            <w:r w:rsidR="00645C95">
              <w:t>5</w:t>
            </w:r>
          </w:p>
        </w:tc>
      </w:tr>
      <w:tr w:rsidR="008934B0" w:rsidRPr="00180B19" w14:paraId="0B70F5A0" w14:textId="77777777" w:rsidTr="00BC0005">
        <w:trPr>
          <w:cnfStyle w:val="000000010000" w:firstRow="0" w:lastRow="0" w:firstColumn="0" w:lastColumn="0" w:oddVBand="0" w:evenVBand="0" w:oddHBand="0" w:evenHBand="1" w:firstRowFirstColumn="0" w:firstRowLastColumn="0" w:lastRowFirstColumn="0" w:lastRowLastColumn="0"/>
        </w:trPr>
        <w:tc>
          <w:tcPr>
            <w:tcW w:w="5518" w:type="dxa"/>
          </w:tcPr>
          <w:p w14:paraId="0B70F59D" w14:textId="77777777" w:rsidR="008934B0" w:rsidRDefault="008934B0" w:rsidP="006264ED">
            <w:pPr>
              <w:pStyle w:val="TableTextEntries"/>
              <w:rPr>
                <w:rFonts w:cstheme="minorHAnsi"/>
              </w:rPr>
            </w:pPr>
            <w:r>
              <w:rPr>
                <w:rFonts w:cstheme="minorHAnsi"/>
              </w:rPr>
              <w:t xml:space="preserve">Strengthened </w:t>
            </w:r>
            <w:r w:rsidR="00FB0BD6">
              <w:rPr>
                <w:rFonts w:cstheme="minorHAnsi"/>
              </w:rPr>
              <w:t>d</w:t>
            </w:r>
            <w:r>
              <w:rPr>
                <w:rFonts w:cstheme="minorHAnsi"/>
              </w:rPr>
              <w:t>emocracy</w:t>
            </w:r>
          </w:p>
        </w:tc>
        <w:tc>
          <w:tcPr>
            <w:tcW w:w="1113" w:type="dxa"/>
          </w:tcPr>
          <w:p w14:paraId="0B70F59E" w14:textId="7DE30FD4" w:rsidR="008934B0" w:rsidRPr="00100AA2" w:rsidRDefault="008934B0" w:rsidP="006264ED">
            <w:pPr>
              <w:pStyle w:val="TableTextEntries"/>
            </w:pPr>
            <w:r>
              <w:t>3</w:t>
            </w:r>
            <w:r w:rsidR="00C16873">
              <w:t>6</w:t>
            </w:r>
            <w:r>
              <w:t>.</w:t>
            </w:r>
            <w:r w:rsidR="00C16873">
              <w:t>9</w:t>
            </w:r>
          </w:p>
        </w:tc>
        <w:tc>
          <w:tcPr>
            <w:tcW w:w="1863" w:type="dxa"/>
          </w:tcPr>
          <w:p w14:paraId="0B70F59F" w14:textId="0AE3335A" w:rsidR="008934B0" w:rsidRPr="00100AA2" w:rsidRDefault="00C16873" w:rsidP="006264ED">
            <w:pPr>
              <w:pStyle w:val="TableTextEntries"/>
            </w:pPr>
            <w:r>
              <w:t>8</w:t>
            </w:r>
          </w:p>
        </w:tc>
      </w:tr>
      <w:tr w:rsidR="008934B0" w:rsidRPr="00180B19" w14:paraId="0B70F5A8" w14:textId="77777777" w:rsidTr="00BC0005">
        <w:trPr>
          <w:cnfStyle w:val="000000010000" w:firstRow="0" w:lastRow="0" w:firstColumn="0" w:lastColumn="0" w:oddVBand="0" w:evenVBand="0" w:oddHBand="0" w:evenHBand="1" w:firstRowFirstColumn="0" w:firstRowLastColumn="0" w:lastRowFirstColumn="0" w:lastRowLastColumn="0"/>
        </w:trPr>
        <w:tc>
          <w:tcPr>
            <w:tcW w:w="5518" w:type="dxa"/>
          </w:tcPr>
          <w:p w14:paraId="0B70F5A5" w14:textId="77777777" w:rsidR="008934B0" w:rsidRDefault="008934B0" w:rsidP="006264ED">
            <w:pPr>
              <w:pStyle w:val="TableTextEntries"/>
              <w:rPr>
                <w:rFonts w:cstheme="minorHAnsi"/>
              </w:rPr>
            </w:pPr>
            <w:r>
              <w:rPr>
                <w:rFonts w:cstheme="minorHAnsi"/>
              </w:rPr>
              <w:t>Gender equality and women’s empowerment</w:t>
            </w:r>
          </w:p>
        </w:tc>
        <w:tc>
          <w:tcPr>
            <w:tcW w:w="1113" w:type="dxa"/>
          </w:tcPr>
          <w:p w14:paraId="0B70F5A6" w14:textId="77777777" w:rsidR="008934B0" w:rsidRPr="00100AA2" w:rsidRDefault="008934B0" w:rsidP="006264ED">
            <w:pPr>
              <w:pStyle w:val="TableTextEntries"/>
            </w:pPr>
            <w:r>
              <w:t>2.9</w:t>
            </w:r>
          </w:p>
        </w:tc>
        <w:tc>
          <w:tcPr>
            <w:tcW w:w="1863" w:type="dxa"/>
          </w:tcPr>
          <w:p w14:paraId="0B70F5A7" w14:textId="77777777" w:rsidR="008934B0" w:rsidRPr="00100AA2" w:rsidRDefault="008934B0" w:rsidP="006264ED">
            <w:pPr>
              <w:pStyle w:val="TableTextEntries"/>
            </w:pPr>
            <w:r>
              <w:t>1</w:t>
            </w:r>
          </w:p>
        </w:tc>
      </w:tr>
      <w:tr w:rsidR="006658DB" w:rsidRPr="00180B19" w14:paraId="0B70F5AC" w14:textId="77777777" w:rsidTr="00BC0005">
        <w:trPr>
          <w:cnfStyle w:val="000000010000" w:firstRow="0" w:lastRow="0" w:firstColumn="0" w:lastColumn="0" w:oddVBand="0" w:evenVBand="0" w:oddHBand="0" w:evenHBand="1" w:firstRowFirstColumn="0" w:firstRowLastColumn="0" w:lastRowFirstColumn="0" w:lastRowLastColumn="0"/>
        </w:trPr>
        <w:tc>
          <w:tcPr>
            <w:tcW w:w="5518" w:type="dxa"/>
          </w:tcPr>
          <w:p w14:paraId="0B70F5A9" w14:textId="2547BEB6" w:rsidR="006658DB" w:rsidRDefault="006658DB" w:rsidP="006264ED">
            <w:pPr>
              <w:pStyle w:val="TableTextEntries"/>
              <w:rPr>
                <w:rFonts w:cstheme="minorHAnsi"/>
              </w:rPr>
            </w:pPr>
            <w:r>
              <w:rPr>
                <w:rFonts w:cstheme="minorHAnsi"/>
              </w:rPr>
              <w:t>Bougainville*</w:t>
            </w:r>
            <w:r w:rsidR="00BD0FF0">
              <w:rPr>
                <w:rFonts w:cstheme="minorHAnsi"/>
              </w:rPr>
              <w:t>*</w:t>
            </w:r>
            <w:r w:rsidR="00C16873">
              <w:rPr>
                <w:rFonts w:cstheme="minorHAnsi"/>
              </w:rPr>
              <w:t>*</w:t>
            </w:r>
          </w:p>
        </w:tc>
        <w:tc>
          <w:tcPr>
            <w:tcW w:w="1113" w:type="dxa"/>
          </w:tcPr>
          <w:p w14:paraId="0B70F5AA" w14:textId="77777777" w:rsidR="006658DB" w:rsidRPr="00100AA2" w:rsidRDefault="006658DB" w:rsidP="006264ED">
            <w:pPr>
              <w:pStyle w:val="TableTextEntries"/>
            </w:pPr>
            <w:r>
              <w:t>2.9*</w:t>
            </w:r>
          </w:p>
        </w:tc>
        <w:tc>
          <w:tcPr>
            <w:tcW w:w="1863" w:type="dxa"/>
          </w:tcPr>
          <w:p w14:paraId="0B70F5AB" w14:textId="77777777" w:rsidR="006658DB" w:rsidRPr="00100AA2" w:rsidRDefault="006658DB" w:rsidP="006264ED">
            <w:pPr>
              <w:pStyle w:val="TableTextEntries"/>
            </w:pPr>
            <w:r>
              <w:t>1</w:t>
            </w:r>
          </w:p>
        </w:tc>
      </w:tr>
      <w:tr w:rsidR="008934B0" w:rsidRPr="00180B19" w14:paraId="0B70F5B3" w14:textId="77777777" w:rsidTr="00BC0005">
        <w:trPr>
          <w:cnfStyle w:val="000000010000" w:firstRow="0" w:lastRow="0" w:firstColumn="0" w:lastColumn="0" w:oddVBand="0" w:evenVBand="0" w:oddHBand="0" w:evenHBand="1" w:firstRowFirstColumn="0" w:firstRowLastColumn="0" w:lastRowFirstColumn="0" w:lastRowLastColumn="0"/>
        </w:trPr>
        <w:tc>
          <w:tcPr>
            <w:tcW w:w="5518" w:type="dxa"/>
          </w:tcPr>
          <w:p w14:paraId="0B70F5AD" w14:textId="77777777" w:rsidR="006658DB" w:rsidRDefault="006658DB" w:rsidP="006264ED">
            <w:pPr>
              <w:pStyle w:val="TableTextEntries"/>
              <w:rPr>
                <w:rFonts w:cstheme="minorHAnsi"/>
              </w:rPr>
            </w:pPr>
            <w:r>
              <w:rPr>
                <w:rFonts w:cstheme="minorHAnsi"/>
              </w:rPr>
              <w:t>Cross</w:t>
            </w:r>
            <w:r w:rsidR="00034B21">
              <w:rPr>
                <w:rFonts w:cstheme="minorHAnsi"/>
              </w:rPr>
              <w:t>c</w:t>
            </w:r>
            <w:r>
              <w:rPr>
                <w:rFonts w:cstheme="minorHAnsi"/>
              </w:rPr>
              <w:t>utting:</w:t>
            </w:r>
          </w:p>
          <w:p w14:paraId="0B70F5AE" w14:textId="77777777" w:rsidR="008934B0" w:rsidRDefault="00F6358F" w:rsidP="006264ED">
            <w:pPr>
              <w:pStyle w:val="TableListBullet"/>
            </w:pPr>
            <w:r>
              <w:t>c</w:t>
            </w:r>
            <w:r w:rsidR="008934B0">
              <w:t xml:space="preserve">limate </w:t>
            </w:r>
            <w:r w:rsidR="00FB0BD6">
              <w:t>c</w:t>
            </w:r>
            <w:r w:rsidR="008934B0">
              <w:t xml:space="preserve">hange, </w:t>
            </w:r>
            <w:r w:rsidR="00FB0BD6">
              <w:t>d</w:t>
            </w:r>
            <w:r w:rsidR="008934B0">
              <w:t xml:space="preserve">isaster </w:t>
            </w:r>
            <w:r w:rsidR="00FB0BD6">
              <w:t>r</w:t>
            </w:r>
            <w:r w:rsidR="008934B0">
              <w:t xml:space="preserve">isk </w:t>
            </w:r>
            <w:r w:rsidR="00FB0BD6">
              <w:t>r</w:t>
            </w:r>
            <w:r w:rsidR="008934B0">
              <w:t xml:space="preserve">eduction and </w:t>
            </w:r>
            <w:r w:rsidR="00FB0BD6">
              <w:t>d</w:t>
            </w:r>
            <w:r w:rsidR="008934B0">
              <w:t xml:space="preserve">isaster </w:t>
            </w:r>
            <w:r w:rsidR="00FB0BD6">
              <w:t>r</w:t>
            </w:r>
            <w:r w:rsidR="008934B0">
              <w:t>esponsiveness</w:t>
            </w:r>
          </w:p>
        </w:tc>
        <w:tc>
          <w:tcPr>
            <w:tcW w:w="1113" w:type="dxa"/>
          </w:tcPr>
          <w:p w14:paraId="0B70F5AF" w14:textId="77777777" w:rsidR="006658DB" w:rsidRDefault="006658DB" w:rsidP="006264ED">
            <w:pPr>
              <w:pStyle w:val="TableTextEntries"/>
            </w:pPr>
          </w:p>
          <w:p w14:paraId="0B70F5B0" w14:textId="77777777" w:rsidR="008934B0" w:rsidRPr="00100AA2" w:rsidRDefault="008934B0" w:rsidP="006264ED">
            <w:pPr>
              <w:pStyle w:val="TableTextEntries"/>
            </w:pPr>
            <w:r>
              <w:t>5.7</w:t>
            </w:r>
          </w:p>
        </w:tc>
        <w:tc>
          <w:tcPr>
            <w:tcW w:w="1863" w:type="dxa"/>
          </w:tcPr>
          <w:p w14:paraId="0B70F5B1" w14:textId="77777777" w:rsidR="006658DB" w:rsidRDefault="006658DB" w:rsidP="006264ED">
            <w:pPr>
              <w:pStyle w:val="TableTextEntries"/>
            </w:pPr>
          </w:p>
          <w:p w14:paraId="0B70F5B2" w14:textId="77777777" w:rsidR="008934B0" w:rsidRPr="00100AA2" w:rsidRDefault="008934B0" w:rsidP="006264ED">
            <w:pPr>
              <w:pStyle w:val="TableTextEntries"/>
            </w:pPr>
            <w:r>
              <w:t>1</w:t>
            </w:r>
          </w:p>
        </w:tc>
      </w:tr>
      <w:tr w:rsidR="008934B0" w:rsidRPr="00180B19" w14:paraId="0B70F5B7" w14:textId="77777777" w:rsidTr="00BC0005">
        <w:trPr>
          <w:cnfStyle w:val="000000010000" w:firstRow="0" w:lastRow="0" w:firstColumn="0" w:lastColumn="0" w:oddVBand="0" w:evenVBand="0" w:oddHBand="0" w:evenHBand="1" w:firstRowFirstColumn="0" w:firstRowLastColumn="0" w:lastRowFirstColumn="0" w:lastRowLastColumn="0"/>
        </w:trPr>
        <w:tc>
          <w:tcPr>
            <w:tcW w:w="5518" w:type="dxa"/>
          </w:tcPr>
          <w:p w14:paraId="0B70F5B4" w14:textId="77777777" w:rsidR="008934B0" w:rsidRDefault="00F6358F" w:rsidP="006264ED">
            <w:pPr>
              <w:pStyle w:val="TableListBullet"/>
            </w:pPr>
            <w:r>
              <w:t>d</w:t>
            </w:r>
            <w:r w:rsidR="008934B0">
              <w:t>isability</w:t>
            </w:r>
            <w:r w:rsidR="00034B21">
              <w:t>-</w:t>
            </w:r>
            <w:r w:rsidR="008934B0">
              <w:t>inclusive development</w:t>
            </w:r>
          </w:p>
        </w:tc>
        <w:tc>
          <w:tcPr>
            <w:tcW w:w="1113" w:type="dxa"/>
          </w:tcPr>
          <w:p w14:paraId="0B70F5B5" w14:textId="77777777" w:rsidR="008934B0" w:rsidRPr="00100AA2" w:rsidRDefault="008934B0" w:rsidP="006264ED">
            <w:pPr>
              <w:pStyle w:val="TableTextEntries"/>
            </w:pPr>
            <w:r>
              <w:t>1.5</w:t>
            </w:r>
          </w:p>
        </w:tc>
        <w:tc>
          <w:tcPr>
            <w:tcW w:w="1863" w:type="dxa"/>
          </w:tcPr>
          <w:p w14:paraId="0B70F5B6" w14:textId="77777777" w:rsidR="008934B0" w:rsidRPr="00100AA2" w:rsidRDefault="008934B0" w:rsidP="006264ED">
            <w:pPr>
              <w:pStyle w:val="TableTextEntries"/>
            </w:pPr>
            <w:r>
              <w:t>&lt;1</w:t>
            </w:r>
          </w:p>
        </w:tc>
      </w:tr>
      <w:tr w:rsidR="008934B0" w:rsidRPr="00180B19" w14:paraId="0B70F5BB" w14:textId="77777777" w:rsidTr="00BC0005">
        <w:trPr>
          <w:cnfStyle w:val="000000010000" w:firstRow="0" w:lastRow="0" w:firstColumn="0" w:lastColumn="0" w:oddVBand="0" w:evenVBand="0" w:oddHBand="0" w:evenHBand="1" w:firstRowFirstColumn="0" w:firstRowLastColumn="0" w:lastRowFirstColumn="0" w:lastRowLastColumn="0"/>
        </w:trPr>
        <w:tc>
          <w:tcPr>
            <w:tcW w:w="5518" w:type="dxa"/>
          </w:tcPr>
          <w:p w14:paraId="0B70F5B8" w14:textId="10F2081B" w:rsidR="008934B0" w:rsidRDefault="008934B0" w:rsidP="006264ED">
            <w:pPr>
              <w:pStyle w:val="TableTextEntries"/>
              <w:rPr>
                <w:rFonts w:cstheme="minorHAnsi"/>
              </w:rPr>
            </w:pPr>
            <w:r>
              <w:rPr>
                <w:rFonts w:cstheme="minorHAnsi"/>
              </w:rPr>
              <w:t>Other**</w:t>
            </w:r>
            <w:r w:rsidR="00BD0FF0">
              <w:rPr>
                <w:rFonts w:cstheme="minorHAnsi"/>
              </w:rPr>
              <w:t>*</w:t>
            </w:r>
            <w:r w:rsidR="00C16873">
              <w:rPr>
                <w:rFonts w:cstheme="minorHAnsi"/>
              </w:rPr>
              <w:t>*</w:t>
            </w:r>
          </w:p>
        </w:tc>
        <w:tc>
          <w:tcPr>
            <w:tcW w:w="1113" w:type="dxa"/>
          </w:tcPr>
          <w:p w14:paraId="0B70F5B9" w14:textId="2CA9E5B1" w:rsidR="008934B0" w:rsidRDefault="008934B0" w:rsidP="006264ED">
            <w:pPr>
              <w:pStyle w:val="TableTextEntries"/>
            </w:pPr>
            <w:r>
              <w:t>1</w:t>
            </w:r>
            <w:r w:rsidR="00475E80">
              <w:t>4</w:t>
            </w:r>
          </w:p>
        </w:tc>
        <w:tc>
          <w:tcPr>
            <w:tcW w:w="1863" w:type="dxa"/>
          </w:tcPr>
          <w:p w14:paraId="0B70F5BA" w14:textId="77777777" w:rsidR="008934B0" w:rsidRDefault="008934B0" w:rsidP="006264ED">
            <w:pPr>
              <w:pStyle w:val="TableTextEntries"/>
            </w:pPr>
            <w:r>
              <w:t>3</w:t>
            </w:r>
          </w:p>
        </w:tc>
      </w:tr>
      <w:tr w:rsidR="008934B0" w:rsidRPr="00180B19" w14:paraId="0B70F5BF" w14:textId="77777777" w:rsidTr="00BC0005">
        <w:tblPrEx>
          <w:tblBorders>
            <w:bottom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5518" w:type="dxa"/>
            <w:tcBorders>
              <w:top w:val="single" w:sz="12" w:space="0" w:color="000000" w:themeColor="text1"/>
              <w:left w:val="none" w:sz="0" w:space="0" w:color="auto"/>
              <w:bottom w:val="none" w:sz="0" w:space="0" w:color="auto"/>
              <w:right w:val="none" w:sz="0" w:space="0" w:color="auto"/>
              <w:tl2br w:val="none" w:sz="0" w:space="0" w:color="auto"/>
              <w:tr2bl w:val="none" w:sz="0" w:space="0" w:color="auto"/>
            </w:tcBorders>
          </w:tcPr>
          <w:p w14:paraId="0B70F5BC" w14:textId="77777777" w:rsidR="008934B0" w:rsidRDefault="008934B0" w:rsidP="006264ED">
            <w:pPr>
              <w:pStyle w:val="TableTextColumnHeading"/>
            </w:pPr>
            <w:r>
              <w:t xml:space="preserve">Total </w:t>
            </w:r>
          </w:p>
        </w:tc>
        <w:tc>
          <w:tcPr>
            <w:tcW w:w="1113" w:type="dxa"/>
            <w:tcBorders>
              <w:top w:val="single" w:sz="12" w:space="0" w:color="000000" w:themeColor="text1"/>
              <w:left w:val="none" w:sz="0" w:space="0" w:color="auto"/>
              <w:bottom w:val="none" w:sz="0" w:space="0" w:color="auto"/>
              <w:right w:val="none" w:sz="0" w:space="0" w:color="auto"/>
              <w:tl2br w:val="none" w:sz="0" w:space="0" w:color="auto"/>
              <w:tr2bl w:val="none" w:sz="0" w:space="0" w:color="auto"/>
            </w:tcBorders>
          </w:tcPr>
          <w:p w14:paraId="0B70F5BD" w14:textId="0CDD8B4D" w:rsidR="008934B0" w:rsidRDefault="008934B0" w:rsidP="006264ED">
            <w:pPr>
              <w:pStyle w:val="TableTextColumnHeading"/>
            </w:pPr>
            <w:r>
              <w:t>448.</w:t>
            </w:r>
            <w:r w:rsidR="00C16873">
              <w:t>5</w:t>
            </w:r>
          </w:p>
        </w:tc>
        <w:tc>
          <w:tcPr>
            <w:tcW w:w="1863" w:type="dxa"/>
            <w:tcBorders>
              <w:top w:val="single" w:sz="12" w:space="0" w:color="000000" w:themeColor="text1"/>
              <w:left w:val="none" w:sz="0" w:space="0" w:color="auto"/>
              <w:bottom w:val="none" w:sz="0" w:space="0" w:color="auto"/>
              <w:right w:val="none" w:sz="0" w:space="0" w:color="auto"/>
              <w:tl2br w:val="none" w:sz="0" w:space="0" w:color="auto"/>
              <w:tr2bl w:val="none" w:sz="0" w:space="0" w:color="auto"/>
            </w:tcBorders>
          </w:tcPr>
          <w:p w14:paraId="0B70F5BE" w14:textId="77777777" w:rsidR="008934B0" w:rsidRDefault="008934B0" w:rsidP="006264ED">
            <w:pPr>
              <w:pStyle w:val="TableTextColumnHeading"/>
            </w:pPr>
          </w:p>
        </w:tc>
      </w:tr>
    </w:tbl>
    <w:p w14:paraId="2708B863" w14:textId="2A35ADD7" w:rsidR="00BD0FF0" w:rsidRDefault="008934B0" w:rsidP="00230E3F">
      <w:pPr>
        <w:pStyle w:val="Note"/>
      </w:pPr>
      <w:r>
        <w:t xml:space="preserve">*   </w:t>
      </w:r>
      <w:r w:rsidR="00BD0FF0">
        <w:t>This includes heath infrastructure</w:t>
      </w:r>
      <w:r w:rsidR="00C16873">
        <w:t xml:space="preserve"> expenditure</w:t>
      </w:r>
      <w:r w:rsidR="00BD0FF0">
        <w:t xml:space="preserve"> t</w:t>
      </w:r>
      <w:r w:rsidR="00C16873">
        <w:t>h</w:t>
      </w:r>
      <w:r w:rsidR="00BD0FF0">
        <w:t>rough the Incentive Fund</w:t>
      </w:r>
      <w:r w:rsidR="00C16873">
        <w:t xml:space="preserve"> </w:t>
      </w:r>
      <w:r w:rsidR="00BD0FF0">
        <w:t xml:space="preserve">in addition </w:t>
      </w:r>
      <w:r w:rsidR="00C16873">
        <w:t xml:space="preserve">to </w:t>
      </w:r>
      <w:r w:rsidR="00BD0FF0">
        <w:t xml:space="preserve">the </w:t>
      </w:r>
      <w:r w:rsidR="00C16873">
        <w:t>broader heath p</w:t>
      </w:r>
      <w:r w:rsidR="00BD0FF0">
        <w:t>rogram’s $113</w:t>
      </w:r>
      <w:r w:rsidR="00C16873">
        <w:t>.8</w:t>
      </w:r>
      <w:r w:rsidR="00BD0FF0">
        <w:t>m</w:t>
      </w:r>
    </w:p>
    <w:p w14:paraId="46BC9ACE" w14:textId="6D0C98AF" w:rsidR="00C16873" w:rsidRDefault="00BD0FF0" w:rsidP="00230E3F">
      <w:pPr>
        <w:pStyle w:val="Note"/>
      </w:pPr>
      <w:r>
        <w:t xml:space="preserve">** </w:t>
      </w:r>
      <w:r w:rsidR="00C16873">
        <w:t>This includes education infrastructure expenditure through the Incentive Fund in addition to the broader education program’s $78.7m</w:t>
      </w:r>
    </w:p>
    <w:p w14:paraId="0B70F5C0" w14:textId="4C6C122D" w:rsidR="001061D7" w:rsidRDefault="00C16873" w:rsidP="00230E3F">
      <w:pPr>
        <w:pStyle w:val="Note"/>
      </w:pPr>
      <w:r>
        <w:t>***</w:t>
      </w:r>
      <w:r w:rsidR="008934B0">
        <w:t xml:space="preserve">Other estimated expenditure on Bougainville through national programs was </w:t>
      </w:r>
      <w:r w:rsidR="00FB0BD6">
        <w:t>$</w:t>
      </w:r>
      <w:r w:rsidR="008934B0">
        <w:t>27.7 million</w:t>
      </w:r>
      <w:r w:rsidR="00496DF4">
        <w:t xml:space="preserve"> (the $30.6 million in expenditure is broken down as: transport infrastructure</w:t>
      </w:r>
      <w:r w:rsidR="00FB0BD6">
        <w:t xml:space="preserve">: </w:t>
      </w:r>
      <w:r w:rsidR="00496DF4">
        <w:t xml:space="preserve">$11 million; </w:t>
      </w:r>
      <w:r w:rsidR="00FB0BD6">
        <w:t>l</w:t>
      </w:r>
      <w:r w:rsidR="00496DF4">
        <w:t>aw and justice</w:t>
      </w:r>
      <w:r w:rsidR="00FB0BD6">
        <w:t>:</w:t>
      </w:r>
      <w:r w:rsidR="00496DF4">
        <w:t xml:space="preserve"> </w:t>
      </w:r>
      <w:r w:rsidR="00496DF4" w:rsidRPr="00041973">
        <w:t xml:space="preserve">$7 million; </w:t>
      </w:r>
      <w:r w:rsidR="001625FF" w:rsidRPr="00041973">
        <w:t>Provincial and Local-Level Governments Program</w:t>
      </w:r>
      <w:r w:rsidR="00FB0BD6" w:rsidRPr="00041973">
        <w:t xml:space="preserve">: </w:t>
      </w:r>
      <w:r w:rsidR="00496DF4" w:rsidRPr="00041973">
        <w:t xml:space="preserve">$5 million; </w:t>
      </w:r>
      <w:r w:rsidR="00FB0BD6" w:rsidRPr="00041973">
        <w:t>h</w:t>
      </w:r>
      <w:r w:rsidR="00496DF4" w:rsidRPr="00041973">
        <w:t>ealth and HIV</w:t>
      </w:r>
      <w:r w:rsidR="00FB0BD6" w:rsidRPr="00041973">
        <w:t xml:space="preserve">: </w:t>
      </w:r>
      <w:r w:rsidR="00496DF4" w:rsidRPr="00041973">
        <w:t xml:space="preserve">$4 million; </w:t>
      </w:r>
      <w:r w:rsidR="00FB0BD6" w:rsidRPr="00041973">
        <w:t>e</w:t>
      </w:r>
      <w:r w:rsidR="00496DF4" w:rsidRPr="00041973">
        <w:t>ducation</w:t>
      </w:r>
      <w:r w:rsidR="00FB0BD6" w:rsidRPr="00041973">
        <w:t xml:space="preserve">: </w:t>
      </w:r>
      <w:r w:rsidR="00496DF4" w:rsidRPr="00041973">
        <w:t xml:space="preserve">$3 million; </w:t>
      </w:r>
      <w:r w:rsidR="00FB0BD6" w:rsidRPr="00041973">
        <w:t>c</w:t>
      </w:r>
      <w:r w:rsidR="00496DF4" w:rsidRPr="00041973">
        <w:t xml:space="preserve">ivil </w:t>
      </w:r>
      <w:r w:rsidR="00FB0BD6" w:rsidRPr="00041973">
        <w:t>s</w:t>
      </w:r>
      <w:r w:rsidR="00496DF4" w:rsidRPr="00041973">
        <w:t>ociety</w:t>
      </w:r>
      <w:r w:rsidR="00FB0BD6" w:rsidRPr="00041973">
        <w:t xml:space="preserve">: </w:t>
      </w:r>
      <w:r w:rsidR="00496DF4" w:rsidRPr="00041973">
        <w:t>$0.6 million)</w:t>
      </w:r>
      <w:r w:rsidR="00477514" w:rsidRPr="00160CFB">
        <w:t xml:space="preserve">. </w:t>
      </w:r>
      <w:r w:rsidR="001625FF">
        <w:t xml:space="preserve"> </w:t>
      </w:r>
    </w:p>
    <w:p w14:paraId="0B70F5C1" w14:textId="69021BD1" w:rsidR="008934B0" w:rsidRDefault="00C16873" w:rsidP="00230E3F">
      <w:pPr>
        <w:pStyle w:val="Note"/>
      </w:pPr>
      <w:r>
        <w:t>*</w:t>
      </w:r>
      <w:r w:rsidR="00BD0FF0">
        <w:t>*</w:t>
      </w:r>
      <w:r w:rsidR="008934B0">
        <w:t>**  Includes departmental and other program costs</w:t>
      </w:r>
      <w:r w:rsidR="00FE4904">
        <w:t>.</w:t>
      </w:r>
    </w:p>
    <w:p w14:paraId="0B70F5C3" w14:textId="3A9733E4" w:rsidR="00BD19C1" w:rsidRPr="00BD19C1" w:rsidRDefault="00BD19C1" w:rsidP="008E0AE1">
      <w:pPr>
        <w:pStyle w:val="Note"/>
      </w:pPr>
    </w:p>
    <w:p w14:paraId="0B70F5C4" w14:textId="77777777" w:rsidR="009677CE" w:rsidRDefault="008934B0" w:rsidP="008E0AE1">
      <w:pPr>
        <w:pStyle w:val="Heading1"/>
      </w:pPr>
      <w:r w:rsidRPr="00180B19">
        <w:t>Progress towards objectives</w:t>
      </w:r>
    </w:p>
    <w:p w14:paraId="0B70F5C5" w14:textId="77777777" w:rsidR="008934B0" w:rsidRPr="008E0AE1" w:rsidRDefault="008934B0" w:rsidP="008E0AE1">
      <w:pPr>
        <w:pStyle w:val="Heading2"/>
      </w:pPr>
      <w:r w:rsidRPr="008E0AE1">
        <w:t>Objective 1: Health and HIV</w:t>
      </w:r>
      <w:r w:rsidR="00D93771" w:rsidRPr="008E0AE1">
        <w:t>/AIDs</w:t>
      </w:r>
    </w:p>
    <w:tbl>
      <w:tblPr>
        <w:tblStyle w:val="APPR"/>
        <w:tblW w:w="5000" w:type="pct"/>
        <w:tblLook w:val="0000" w:firstRow="0" w:lastRow="0" w:firstColumn="0" w:lastColumn="0" w:noHBand="0" w:noVBand="0"/>
      </w:tblPr>
      <w:tblGrid>
        <w:gridCol w:w="7389"/>
        <w:gridCol w:w="1217"/>
      </w:tblGrid>
      <w:tr w:rsidR="006378F6" w:rsidRPr="009D53C4" w14:paraId="0B70F5C8" w14:textId="77777777" w:rsidTr="006264ED">
        <w:trPr>
          <w:cnfStyle w:val="000000010000" w:firstRow="0" w:lastRow="0" w:firstColumn="0" w:lastColumn="0" w:oddVBand="0" w:evenVBand="0" w:oddHBand="0" w:evenHBand="1" w:firstRowFirstColumn="0" w:firstRowLastColumn="0" w:lastRowFirstColumn="0" w:lastRowLastColumn="0"/>
        </w:trPr>
        <w:tc>
          <w:tcPr>
            <w:tcW w:w="7259" w:type="dxa"/>
          </w:tcPr>
          <w:p w14:paraId="0B70F5C6" w14:textId="77777777" w:rsidR="006378F6" w:rsidRPr="002960A4" w:rsidRDefault="006378F6" w:rsidP="002960A4">
            <w:pPr>
              <w:pStyle w:val="TableTextEntries"/>
            </w:pPr>
            <w:r w:rsidRPr="002960A4">
              <w:t xml:space="preserve">Improved </w:t>
            </w:r>
            <w:r w:rsidR="00FB0BD6" w:rsidRPr="002960A4">
              <w:t>h</w:t>
            </w:r>
            <w:r w:rsidRPr="002960A4">
              <w:t>ealth and HIV/AIDs outcomes</w:t>
            </w:r>
          </w:p>
        </w:tc>
        <w:tc>
          <w:tcPr>
            <w:tcW w:w="1161" w:type="dxa"/>
            <w:shd w:val="clear" w:color="auto" w:fill="92D050"/>
            <w:noWrap/>
          </w:tcPr>
          <w:p w14:paraId="0B70F5C7" w14:textId="77777777" w:rsidR="006378F6" w:rsidRPr="002960A4" w:rsidRDefault="006378F6" w:rsidP="002960A4">
            <w:pPr>
              <w:pStyle w:val="TableTextEntries"/>
            </w:pPr>
            <w:r w:rsidRPr="002960A4">
              <w:t>Green</w:t>
            </w:r>
          </w:p>
        </w:tc>
      </w:tr>
    </w:tbl>
    <w:p w14:paraId="0B70F5C9" w14:textId="77777777" w:rsidR="002960A4" w:rsidRDefault="002960A4" w:rsidP="008E0AE1">
      <w:pPr>
        <w:pStyle w:val="BodyText"/>
        <w:rPr>
          <w:rFonts w:eastAsia="Calibri"/>
          <w:lang w:val="en" w:eastAsia="en-US"/>
        </w:rPr>
      </w:pPr>
    </w:p>
    <w:p w14:paraId="0B70F5CA" w14:textId="77777777" w:rsidR="00D93771" w:rsidRDefault="00DC5CDD" w:rsidP="008E0AE1">
      <w:pPr>
        <w:pStyle w:val="BodyText"/>
        <w:rPr>
          <w:rFonts w:eastAsia="Calibri"/>
          <w:lang w:val="en" w:eastAsia="en-US"/>
        </w:rPr>
      </w:pPr>
      <w:r>
        <w:rPr>
          <w:rFonts w:eastAsia="Calibri"/>
          <w:lang w:val="en" w:eastAsia="en-US"/>
        </w:rPr>
        <w:t xml:space="preserve">Australia rated progress against </w:t>
      </w:r>
      <w:r w:rsidR="00D93771">
        <w:rPr>
          <w:rFonts w:eastAsia="Calibri"/>
          <w:lang w:val="en" w:eastAsia="en-US"/>
        </w:rPr>
        <w:t>h</w:t>
      </w:r>
      <w:r>
        <w:rPr>
          <w:rFonts w:eastAsia="Calibri"/>
          <w:lang w:val="en" w:eastAsia="en-US"/>
        </w:rPr>
        <w:t>ealth and HIV</w:t>
      </w:r>
      <w:r w:rsidR="00D93771">
        <w:rPr>
          <w:rFonts w:eastAsia="Calibri"/>
          <w:lang w:val="en" w:eastAsia="en-US"/>
        </w:rPr>
        <w:t>/AIDS</w:t>
      </w:r>
      <w:r>
        <w:rPr>
          <w:rFonts w:eastAsia="Calibri"/>
          <w:lang w:val="en" w:eastAsia="en-US"/>
        </w:rPr>
        <w:t xml:space="preserve"> objectives under the Partnership for Development as green</w:t>
      </w:r>
      <w:r w:rsidR="001B2B81">
        <w:rPr>
          <w:rFonts w:eastAsia="Calibri"/>
          <w:lang w:val="en" w:eastAsia="en-US"/>
        </w:rPr>
        <w:t xml:space="preserve"> in 2012–13</w:t>
      </w:r>
      <w:r w:rsidR="00AE7F9A">
        <w:rPr>
          <w:rFonts w:eastAsia="Calibri"/>
          <w:lang w:val="en" w:eastAsia="en-US"/>
        </w:rPr>
        <w:t>. Th</w:t>
      </w:r>
      <w:r w:rsidR="00D93771">
        <w:rPr>
          <w:rFonts w:eastAsia="Calibri"/>
          <w:lang w:val="en" w:eastAsia="en-US"/>
        </w:rPr>
        <w:t>e rating</w:t>
      </w:r>
      <w:r w:rsidR="00AE7F9A">
        <w:rPr>
          <w:rFonts w:eastAsia="Calibri"/>
          <w:lang w:val="en" w:eastAsia="en-US"/>
        </w:rPr>
        <w:t xml:space="preserve"> </w:t>
      </w:r>
      <w:r w:rsidR="009711A9">
        <w:rPr>
          <w:rFonts w:eastAsia="Calibri"/>
          <w:lang w:val="en" w:eastAsia="en-US"/>
        </w:rPr>
        <w:t>improv</w:t>
      </w:r>
      <w:r w:rsidR="00AE7F9A">
        <w:rPr>
          <w:rFonts w:eastAsia="Calibri"/>
          <w:lang w:val="en" w:eastAsia="en-US"/>
        </w:rPr>
        <w:t xml:space="preserve">ed </w:t>
      </w:r>
      <w:r w:rsidR="00656C8A">
        <w:rPr>
          <w:rFonts w:eastAsia="Calibri"/>
          <w:lang w:val="en" w:eastAsia="en-US"/>
        </w:rPr>
        <w:t>from the</w:t>
      </w:r>
      <w:r w:rsidR="009711A9">
        <w:rPr>
          <w:rFonts w:eastAsia="Calibri"/>
          <w:lang w:val="en" w:eastAsia="en-US"/>
        </w:rPr>
        <w:t xml:space="preserve"> amber</w:t>
      </w:r>
      <w:r w:rsidR="00656C8A">
        <w:rPr>
          <w:rFonts w:eastAsia="Calibri"/>
          <w:lang w:val="en" w:eastAsia="en-US"/>
        </w:rPr>
        <w:t xml:space="preserve"> </w:t>
      </w:r>
      <w:r w:rsidR="009711A9">
        <w:rPr>
          <w:rFonts w:eastAsia="Calibri"/>
          <w:lang w:val="en" w:eastAsia="en-US"/>
        </w:rPr>
        <w:t xml:space="preserve">rating in 2011 </w:t>
      </w:r>
      <w:r w:rsidR="00816C06" w:rsidRPr="00816C06">
        <w:rPr>
          <w:rFonts w:eastAsia="Calibri"/>
          <w:lang w:val="en" w:eastAsia="en-US"/>
        </w:rPr>
        <w:t xml:space="preserve">as </w:t>
      </w:r>
      <w:r w:rsidR="00816C06">
        <w:rPr>
          <w:rFonts w:eastAsia="Calibri"/>
          <w:lang w:val="en" w:eastAsia="en-US"/>
        </w:rPr>
        <w:t xml:space="preserve">progress is as </w:t>
      </w:r>
      <w:r w:rsidR="00816C06" w:rsidRPr="00816C06">
        <w:rPr>
          <w:rFonts w:eastAsia="Calibri"/>
          <w:lang w:val="en" w:eastAsia="en-US"/>
        </w:rPr>
        <w:t xml:space="preserve">expected </w:t>
      </w:r>
      <w:r w:rsidR="009711A9">
        <w:rPr>
          <w:rFonts w:eastAsia="Calibri"/>
          <w:lang w:val="en" w:eastAsia="en-US"/>
        </w:rPr>
        <w:t>for most</w:t>
      </w:r>
      <w:r w:rsidR="00816C06" w:rsidRPr="00816C06">
        <w:rPr>
          <w:rFonts w:eastAsia="Calibri"/>
          <w:lang w:val="en" w:eastAsia="en-US"/>
        </w:rPr>
        <w:t xml:space="preserve"> </w:t>
      </w:r>
      <w:r w:rsidR="007D32A1">
        <w:rPr>
          <w:rFonts w:eastAsia="Calibri"/>
          <w:lang w:val="en" w:eastAsia="en-US"/>
        </w:rPr>
        <w:t xml:space="preserve">program </w:t>
      </w:r>
      <w:r w:rsidR="009711A9">
        <w:rPr>
          <w:rFonts w:eastAsia="Calibri"/>
          <w:lang w:val="en" w:eastAsia="en-US"/>
        </w:rPr>
        <w:t xml:space="preserve">objectives </w:t>
      </w:r>
      <w:r w:rsidR="00816C06" w:rsidRPr="00816C06">
        <w:rPr>
          <w:rFonts w:eastAsia="Calibri"/>
          <w:lang w:val="en" w:eastAsia="en-US"/>
        </w:rPr>
        <w:t xml:space="preserve">and </w:t>
      </w:r>
      <w:r w:rsidR="00816C06">
        <w:rPr>
          <w:rFonts w:eastAsia="Calibri"/>
          <w:lang w:val="en" w:eastAsia="en-US"/>
        </w:rPr>
        <w:t xml:space="preserve">most </w:t>
      </w:r>
      <w:r w:rsidR="00816C06" w:rsidRPr="00816C06">
        <w:rPr>
          <w:rFonts w:eastAsia="Calibri"/>
          <w:lang w:val="en" w:eastAsia="en-US"/>
        </w:rPr>
        <w:t>objective</w:t>
      </w:r>
      <w:r w:rsidR="00816C06">
        <w:rPr>
          <w:rFonts w:eastAsia="Calibri"/>
          <w:lang w:val="en" w:eastAsia="en-US"/>
        </w:rPr>
        <w:t>s</w:t>
      </w:r>
      <w:r w:rsidR="00816C06" w:rsidRPr="00816C06">
        <w:rPr>
          <w:rFonts w:eastAsia="Calibri"/>
          <w:lang w:val="en" w:eastAsia="en-US"/>
        </w:rPr>
        <w:t xml:space="preserve"> will</w:t>
      </w:r>
      <w:r w:rsidR="00D93771">
        <w:rPr>
          <w:rFonts w:eastAsia="Calibri"/>
          <w:lang w:val="en" w:eastAsia="en-US"/>
        </w:rPr>
        <w:t xml:space="preserve"> likely</w:t>
      </w:r>
      <w:r w:rsidR="00816C06" w:rsidRPr="00816C06">
        <w:rPr>
          <w:rFonts w:eastAsia="Calibri"/>
          <w:lang w:val="en" w:eastAsia="en-US"/>
        </w:rPr>
        <w:t xml:space="preserve"> be achieved</w:t>
      </w:r>
      <w:r w:rsidR="009711A9">
        <w:rPr>
          <w:rFonts w:eastAsia="Calibri"/>
          <w:lang w:val="en" w:eastAsia="en-US"/>
        </w:rPr>
        <w:t xml:space="preserve"> by 2015</w:t>
      </w:r>
      <w:r w:rsidR="00816C06">
        <w:rPr>
          <w:rFonts w:eastAsia="Calibri"/>
          <w:lang w:val="en" w:eastAsia="en-US"/>
        </w:rPr>
        <w:t xml:space="preserve">. </w:t>
      </w:r>
    </w:p>
    <w:p w14:paraId="0B70F5CB" w14:textId="55AE7231" w:rsidR="001D26BA" w:rsidRDefault="008934B0" w:rsidP="008E0AE1">
      <w:pPr>
        <w:pStyle w:val="BodyText"/>
        <w:rPr>
          <w:rFonts w:eastAsia="Calibri"/>
          <w:lang w:val="en" w:eastAsia="en-US"/>
        </w:rPr>
      </w:pPr>
      <w:r w:rsidRPr="007A5EE9">
        <w:rPr>
          <w:rFonts w:eastAsia="Calibri"/>
          <w:lang w:val="en" w:eastAsia="en-US"/>
        </w:rPr>
        <w:t xml:space="preserve">Australia’s Health and HIV Program aims to save lives </w:t>
      </w:r>
      <w:r w:rsidR="00683ED1">
        <w:rPr>
          <w:rFonts w:eastAsia="Calibri"/>
          <w:lang w:val="en" w:eastAsia="en-US"/>
        </w:rPr>
        <w:t>by</w:t>
      </w:r>
      <w:r w:rsidRPr="007A5EE9">
        <w:rPr>
          <w:rFonts w:eastAsia="Calibri"/>
          <w:lang w:val="en" w:eastAsia="en-US"/>
        </w:rPr>
        <w:t xml:space="preserve"> supporting </w:t>
      </w:r>
      <w:r w:rsidR="00012241">
        <w:rPr>
          <w:rFonts w:eastAsia="Calibri"/>
          <w:lang w:val="en" w:eastAsia="en-US"/>
        </w:rPr>
        <w:t xml:space="preserve">the </w:t>
      </w:r>
      <w:r w:rsidRPr="007A5EE9">
        <w:rPr>
          <w:rFonts w:eastAsia="Calibri"/>
          <w:lang w:val="en" w:eastAsia="en-US"/>
        </w:rPr>
        <w:t>PNG</w:t>
      </w:r>
      <w:r w:rsidR="00012241">
        <w:rPr>
          <w:rFonts w:eastAsia="Calibri"/>
          <w:lang w:val="en" w:eastAsia="en-US"/>
        </w:rPr>
        <w:t xml:space="preserve"> Government </w:t>
      </w:r>
      <w:r w:rsidRPr="007A5EE9">
        <w:rPr>
          <w:rFonts w:eastAsia="Calibri"/>
          <w:lang w:val="en" w:eastAsia="en-US"/>
        </w:rPr>
        <w:t xml:space="preserve">to reform its health system and deliver better quality health services. The </w:t>
      </w:r>
      <w:r w:rsidR="001061D7">
        <w:rPr>
          <w:rFonts w:eastAsia="Calibri"/>
          <w:lang w:val="en" w:eastAsia="en-US"/>
        </w:rPr>
        <w:t xml:space="preserve">program </w:t>
      </w:r>
      <w:r w:rsidRPr="007A5EE9">
        <w:rPr>
          <w:rFonts w:eastAsia="Calibri"/>
          <w:lang w:val="en" w:eastAsia="en-US"/>
        </w:rPr>
        <w:t>focuse</w:t>
      </w:r>
      <w:r w:rsidR="00D93771">
        <w:rPr>
          <w:rFonts w:eastAsia="Calibri"/>
          <w:lang w:val="en" w:eastAsia="en-US"/>
        </w:rPr>
        <w:t>s</w:t>
      </w:r>
      <w:r w:rsidRPr="007A5EE9">
        <w:rPr>
          <w:rFonts w:eastAsia="Calibri"/>
          <w:lang w:val="en" w:eastAsia="en-US"/>
        </w:rPr>
        <w:t xml:space="preserve"> on increasing skilled birth attendance, immunising more children and reducing the spread of communicable diseases such as TB, malaria and HIV. This is underpinned by a health systems approach focus</w:t>
      </w:r>
      <w:r w:rsidR="000F5E9F">
        <w:rPr>
          <w:rFonts w:eastAsia="Calibri"/>
          <w:lang w:val="en" w:eastAsia="en-US"/>
        </w:rPr>
        <w:t>ing</w:t>
      </w:r>
      <w:r w:rsidRPr="007A5EE9">
        <w:rPr>
          <w:rFonts w:eastAsia="Calibri"/>
          <w:lang w:val="en" w:eastAsia="en-US"/>
        </w:rPr>
        <w:t xml:space="preserve"> on</w:t>
      </w:r>
      <w:r w:rsidR="000F5E9F">
        <w:rPr>
          <w:rFonts w:eastAsia="Calibri"/>
          <w:lang w:val="en" w:eastAsia="en-US"/>
        </w:rPr>
        <w:t xml:space="preserve"> these key functions:</w:t>
      </w:r>
      <w:r w:rsidRPr="007A5EE9">
        <w:rPr>
          <w:rFonts w:eastAsia="Calibri"/>
          <w:lang w:val="en" w:eastAsia="en-US"/>
        </w:rPr>
        <w:t xml:space="preserve"> financing, medical supplies, health workforce, infrastructure, public health and community mobilisation. </w:t>
      </w:r>
      <w:r>
        <w:rPr>
          <w:rFonts w:eastAsia="Calibri"/>
          <w:lang w:val="en" w:eastAsia="en-US"/>
        </w:rPr>
        <w:t xml:space="preserve">From January </w:t>
      </w:r>
      <w:r w:rsidRPr="007A5EE9">
        <w:rPr>
          <w:rFonts w:eastAsia="Calibri"/>
          <w:lang w:val="en" w:eastAsia="en-US"/>
        </w:rPr>
        <w:t>2012</w:t>
      </w:r>
      <w:r>
        <w:rPr>
          <w:rFonts w:eastAsia="Calibri"/>
          <w:lang w:val="en" w:eastAsia="en-US"/>
        </w:rPr>
        <w:t xml:space="preserve"> to June 2013</w:t>
      </w:r>
      <w:r w:rsidRPr="007A5EE9">
        <w:rPr>
          <w:rFonts w:eastAsia="Calibri"/>
          <w:lang w:val="en" w:eastAsia="en-US"/>
        </w:rPr>
        <w:t xml:space="preserve">, Australia’s investment of </w:t>
      </w:r>
      <w:r w:rsidR="004D2733">
        <w:rPr>
          <w:rFonts w:eastAsia="Calibri"/>
          <w:lang w:val="en" w:eastAsia="en-US"/>
        </w:rPr>
        <w:t xml:space="preserve">approximately </w:t>
      </w:r>
      <w:r w:rsidR="000F5E9F">
        <w:rPr>
          <w:rFonts w:eastAsia="Calibri"/>
          <w:lang w:val="en" w:eastAsia="en-US"/>
        </w:rPr>
        <w:t>$</w:t>
      </w:r>
      <w:r w:rsidR="004D2733">
        <w:rPr>
          <w:rFonts w:eastAsia="Calibri"/>
          <w:lang w:val="en" w:eastAsia="en-US"/>
        </w:rPr>
        <w:t>18</w:t>
      </w:r>
      <w:r w:rsidR="002E5946">
        <w:rPr>
          <w:rFonts w:eastAsia="Calibri"/>
          <w:lang w:val="en" w:eastAsia="en-US"/>
        </w:rPr>
        <w:t>4.2</w:t>
      </w:r>
      <w:r w:rsidRPr="007A5EE9">
        <w:rPr>
          <w:rFonts w:eastAsia="Calibri"/>
          <w:lang w:val="en" w:eastAsia="en-US"/>
        </w:rPr>
        <w:t xml:space="preserve"> million </w:t>
      </w:r>
      <w:r w:rsidR="00012241">
        <w:rPr>
          <w:rFonts w:eastAsia="Calibri"/>
          <w:lang w:val="en" w:eastAsia="en-US"/>
        </w:rPr>
        <w:t>resulted in moderate success in each of these key functions</w:t>
      </w:r>
      <w:r w:rsidRPr="007A5EE9">
        <w:rPr>
          <w:rFonts w:eastAsia="Calibri"/>
          <w:lang w:val="en" w:eastAsia="en-US"/>
        </w:rPr>
        <w:t>.</w:t>
      </w:r>
      <w:r>
        <w:rPr>
          <w:rFonts w:eastAsia="Calibri"/>
          <w:lang w:val="en" w:eastAsia="en-US"/>
        </w:rPr>
        <w:t xml:space="preserve"> </w:t>
      </w:r>
    </w:p>
    <w:p w14:paraId="0B70F5CC" w14:textId="77777777" w:rsidR="001D26BA" w:rsidRPr="007A5EE9" w:rsidRDefault="001D26BA" w:rsidP="008E0AE1">
      <w:pPr>
        <w:pStyle w:val="BodyText"/>
        <w:rPr>
          <w:rFonts w:eastAsia="Calibri"/>
          <w:lang w:val="en" w:eastAsia="en-US"/>
        </w:rPr>
      </w:pPr>
      <w:r>
        <w:rPr>
          <w:rFonts w:eastAsia="Calibri"/>
          <w:lang w:val="en" w:eastAsia="en-US"/>
        </w:rPr>
        <w:lastRenderedPageBreak/>
        <w:t>C</w:t>
      </w:r>
      <w:r w:rsidRPr="007A5EE9">
        <w:rPr>
          <w:rFonts w:eastAsia="Calibri"/>
          <w:lang w:val="en" w:eastAsia="en-US"/>
        </w:rPr>
        <w:t xml:space="preserve">orruption </w:t>
      </w:r>
      <w:r>
        <w:rPr>
          <w:rFonts w:eastAsia="Calibri"/>
          <w:lang w:val="en" w:eastAsia="en-US"/>
        </w:rPr>
        <w:t>remains</w:t>
      </w:r>
      <w:r w:rsidRPr="007A5EE9">
        <w:rPr>
          <w:rFonts w:eastAsia="Calibri"/>
          <w:lang w:val="en" w:eastAsia="en-US"/>
        </w:rPr>
        <w:t xml:space="preserve"> </w:t>
      </w:r>
      <w:r w:rsidR="00C10A17">
        <w:rPr>
          <w:rFonts w:eastAsia="Calibri"/>
          <w:lang w:val="en" w:eastAsia="en-US"/>
        </w:rPr>
        <w:t>an</w:t>
      </w:r>
      <w:r w:rsidRPr="007A5EE9">
        <w:rPr>
          <w:rFonts w:eastAsia="Calibri"/>
          <w:lang w:val="en" w:eastAsia="en-US"/>
        </w:rPr>
        <w:t xml:space="preserve"> obst</w:t>
      </w:r>
      <w:r>
        <w:rPr>
          <w:rFonts w:eastAsia="Calibri"/>
          <w:lang w:val="en" w:eastAsia="en-US"/>
        </w:rPr>
        <w:t>acle to health service delivery and</w:t>
      </w:r>
      <w:r w:rsidRPr="007A5EE9">
        <w:rPr>
          <w:rFonts w:eastAsia="Calibri"/>
          <w:lang w:val="en" w:eastAsia="en-US"/>
        </w:rPr>
        <w:t xml:space="preserve"> </w:t>
      </w:r>
      <w:r>
        <w:rPr>
          <w:rFonts w:eastAsia="Calibri"/>
          <w:lang w:val="en" w:eastAsia="en-US"/>
        </w:rPr>
        <w:t xml:space="preserve">PNG </w:t>
      </w:r>
      <w:r w:rsidR="001C029F">
        <w:rPr>
          <w:rFonts w:eastAsia="Calibri"/>
          <w:lang w:val="en" w:eastAsia="en-US"/>
        </w:rPr>
        <w:t>g</w:t>
      </w:r>
      <w:r>
        <w:rPr>
          <w:rFonts w:eastAsia="Calibri"/>
          <w:lang w:val="en" w:eastAsia="en-US"/>
        </w:rPr>
        <w:t>overnment</w:t>
      </w:r>
      <w:r w:rsidR="00C10A17">
        <w:rPr>
          <w:rFonts w:eastAsia="Calibri"/>
          <w:lang w:val="en" w:eastAsia="en-US"/>
        </w:rPr>
        <w:t xml:space="preserve"> efforts in this area </w:t>
      </w:r>
      <w:r>
        <w:rPr>
          <w:rFonts w:eastAsia="Calibri"/>
          <w:lang w:val="en" w:eastAsia="en-US"/>
        </w:rPr>
        <w:t xml:space="preserve">will be compromised </w:t>
      </w:r>
      <w:r w:rsidR="000F5E9F">
        <w:rPr>
          <w:rFonts w:eastAsia="Calibri"/>
          <w:lang w:val="en" w:eastAsia="en-US"/>
        </w:rPr>
        <w:t>without</w:t>
      </w:r>
      <w:r>
        <w:rPr>
          <w:rFonts w:eastAsia="Calibri"/>
          <w:lang w:val="en" w:eastAsia="en-US"/>
        </w:rPr>
        <w:t xml:space="preserve"> consistent</w:t>
      </w:r>
      <w:r w:rsidR="000F5E9F">
        <w:rPr>
          <w:rFonts w:eastAsia="Calibri"/>
          <w:lang w:val="en" w:eastAsia="en-US"/>
        </w:rPr>
        <w:t>,</w:t>
      </w:r>
      <w:r w:rsidR="001D3F15">
        <w:rPr>
          <w:rFonts w:eastAsia="Calibri"/>
          <w:lang w:val="en" w:eastAsia="en-US"/>
        </w:rPr>
        <w:t xml:space="preserve"> demonstrated </w:t>
      </w:r>
      <w:r>
        <w:rPr>
          <w:rFonts w:eastAsia="Calibri"/>
          <w:lang w:val="en" w:eastAsia="en-US"/>
        </w:rPr>
        <w:t>commitment to reform</w:t>
      </w:r>
      <w:r w:rsidR="001D3F15">
        <w:rPr>
          <w:rFonts w:eastAsia="Calibri"/>
          <w:lang w:val="en" w:eastAsia="en-US"/>
        </w:rPr>
        <w:t>, systems to reduce leakage</w:t>
      </w:r>
      <w:r>
        <w:rPr>
          <w:rFonts w:eastAsia="Calibri"/>
          <w:lang w:val="en" w:eastAsia="en-US"/>
        </w:rPr>
        <w:t xml:space="preserve"> and</w:t>
      </w:r>
      <w:r w:rsidR="000F5E9F">
        <w:rPr>
          <w:rFonts w:eastAsia="Calibri"/>
          <w:lang w:val="en" w:eastAsia="en-US"/>
        </w:rPr>
        <w:t xml:space="preserve"> commitment to</w:t>
      </w:r>
      <w:r>
        <w:rPr>
          <w:rFonts w:eastAsia="Calibri"/>
          <w:lang w:val="en" w:eastAsia="en-US"/>
        </w:rPr>
        <w:t xml:space="preserve"> prosecution.</w:t>
      </w:r>
      <w:r>
        <w:rPr>
          <w:rStyle w:val="FootnoteReference"/>
          <w:rFonts w:eastAsia="Calibri"/>
          <w:lang w:val="en" w:eastAsia="en-US"/>
        </w:rPr>
        <w:footnoteReference w:id="27"/>
      </w:r>
      <w:r w:rsidRPr="007A5EE9">
        <w:rPr>
          <w:rFonts w:eastAsia="Calibri"/>
          <w:lang w:val="en" w:eastAsia="en-US"/>
        </w:rPr>
        <w:t xml:space="preserve"> </w:t>
      </w:r>
    </w:p>
    <w:p w14:paraId="0B70F5CD" w14:textId="77777777" w:rsidR="008934B0" w:rsidRPr="007A5EE9" w:rsidRDefault="009711A9" w:rsidP="008E0AE1">
      <w:pPr>
        <w:pStyle w:val="BodyText"/>
        <w:rPr>
          <w:rFonts w:eastAsia="Calibri"/>
          <w:lang w:eastAsia="en-US"/>
        </w:rPr>
      </w:pPr>
      <w:r>
        <w:rPr>
          <w:rFonts w:eastAsia="Calibri"/>
          <w:lang w:val="en" w:eastAsia="en-US"/>
        </w:rPr>
        <w:t>While PNG and Australia have made progress</w:t>
      </w:r>
      <w:r w:rsidR="000F5E9F">
        <w:rPr>
          <w:rFonts w:eastAsia="Calibri"/>
          <w:lang w:val="en" w:eastAsia="en-US"/>
        </w:rPr>
        <w:t xml:space="preserve"> against </w:t>
      </w:r>
      <w:r w:rsidR="001061D7">
        <w:rPr>
          <w:rFonts w:eastAsia="Calibri"/>
          <w:lang w:val="en" w:eastAsia="en-US"/>
        </w:rPr>
        <w:t>this o</w:t>
      </w:r>
      <w:r w:rsidR="000F5E9F">
        <w:rPr>
          <w:rFonts w:eastAsia="Calibri"/>
          <w:lang w:val="en" w:eastAsia="en-US"/>
        </w:rPr>
        <w:t>bjective</w:t>
      </w:r>
      <w:r w:rsidR="001061D7">
        <w:rPr>
          <w:rFonts w:eastAsia="Calibri"/>
          <w:lang w:val="en" w:eastAsia="en-US"/>
        </w:rPr>
        <w:t>,</w:t>
      </w:r>
      <w:r w:rsidR="000F5E9F">
        <w:rPr>
          <w:rFonts w:eastAsia="Calibri"/>
          <w:lang w:val="en" w:eastAsia="en-US"/>
        </w:rPr>
        <w:t xml:space="preserve"> </w:t>
      </w:r>
      <w:r>
        <w:rPr>
          <w:rFonts w:eastAsia="Calibri"/>
          <w:lang w:val="en" w:eastAsia="en-US"/>
        </w:rPr>
        <w:t>h</w:t>
      </w:r>
      <w:r w:rsidR="00C10A17">
        <w:rPr>
          <w:rFonts w:eastAsia="Calibri"/>
          <w:lang w:val="en" w:eastAsia="en-US"/>
        </w:rPr>
        <w:t>ea</w:t>
      </w:r>
      <w:r w:rsidR="008934B0">
        <w:rPr>
          <w:rFonts w:eastAsia="Calibri"/>
          <w:lang w:val="en" w:eastAsia="en-US"/>
        </w:rPr>
        <w:t>lt</w:t>
      </w:r>
      <w:r w:rsidR="008A5D86">
        <w:rPr>
          <w:rFonts w:eastAsia="Calibri"/>
          <w:lang w:val="en" w:eastAsia="en-US"/>
        </w:rPr>
        <w:t xml:space="preserve">h indicators in PNG remain </w:t>
      </w:r>
      <w:r w:rsidR="008934B0">
        <w:rPr>
          <w:rFonts w:eastAsia="Calibri"/>
          <w:lang w:val="en" w:eastAsia="en-US"/>
        </w:rPr>
        <w:t xml:space="preserve">the worst in the Pacific and </w:t>
      </w:r>
      <w:r w:rsidR="008A5D86">
        <w:rPr>
          <w:rFonts w:eastAsia="Calibri"/>
          <w:lang w:val="en" w:eastAsia="en-US"/>
        </w:rPr>
        <w:t xml:space="preserve">delivery of </w:t>
      </w:r>
      <w:r w:rsidR="008934B0">
        <w:rPr>
          <w:rFonts w:eastAsia="Calibri"/>
          <w:lang w:val="en" w:eastAsia="en-US"/>
        </w:rPr>
        <w:t>h</w:t>
      </w:r>
      <w:r w:rsidR="008934B0" w:rsidRPr="007A5EE9">
        <w:rPr>
          <w:rFonts w:eastAsia="Calibri"/>
          <w:lang w:val="en" w:eastAsia="en-US"/>
        </w:rPr>
        <w:t>ealth service</w:t>
      </w:r>
      <w:r w:rsidR="008A5D86">
        <w:rPr>
          <w:rFonts w:eastAsia="Calibri"/>
          <w:lang w:val="en" w:eastAsia="en-US"/>
        </w:rPr>
        <w:t>s</w:t>
      </w:r>
      <w:r w:rsidR="008934B0" w:rsidRPr="007A5EE9">
        <w:rPr>
          <w:rFonts w:eastAsia="Calibri"/>
          <w:lang w:val="en" w:eastAsia="en-US"/>
        </w:rPr>
        <w:t xml:space="preserve"> remains uneven. </w:t>
      </w:r>
      <w:r w:rsidR="008934B0" w:rsidRPr="007A5EE9">
        <w:rPr>
          <w:rFonts w:eastAsia="Calibri"/>
          <w:lang w:eastAsia="en-US"/>
        </w:rPr>
        <w:t xml:space="preserve">Progress includes decreases in child malnutrition, low birth weight, and incidence of diarrhoeal disease and malaria. </w:t>
      </w:r>
      <w:r w:rsidR="008934B0">
        <w:rPr>
          <w:rFonts w:eastAsia="Calibri"/>
          <w:lang w:eastAsia="en-US"/>
        </w:rPr>
        <w:t xml:space="preserve">Conversely, </w:t>
      </w:r>
      <w:r w:rsidR="008934B0" w:rsidRPr="007A5EE9">
        <w:rPr>
          <w:rFonts w:eastAsia="Calibri"/>
          <w:lang w:eastAsia="en-US"/>
        </w:rPr>
        <w:t>deaths from pneumonia in children under five</w:t>
      </w:r>
      <w:r w:rsidR="00A345BB">
        <w:rPr>
          <w:rFonts w:eastAsia="Calibri"/>
          <w:lang w:eastAsia="en-US"/>
        </w:rPr>
        <w:t xml:space="preserve"> years of age increased</w:t>
      </w:r>
      <w:r w:rsidR="008934B0" w:rsidRPr="007A5EE9">
        <w:rPr>
          <w:rFonts w:eastAsia="Calibri"/>
          <w:lang w:eastAsia="en-US"/>
        </w:rPr>
        <w:t>, and immunisation and supervised delivery indicators</w:t>
      </w:r>
      <w:r w:rsidR="00A345BB">
        <w:rPr>
          <w:rFonts w:eastAsia="Calibri"/>
          <w:lang w:eastAsia="en-US"/>
        </w:rPr>
        <w:t xml:space="preserve"> declined</w:t>
      </w:r>
      <w:r w:rsidR="008934B0" w:rsidRPr="007A5EE9">
        <w:rPr>
          <w:rFonts w:eastAsia="Calibri"/>
          <w:lang w:eastAsia="en-US"/>
        </w:rPr>
        <w:t>.</w:t>
      </w:r>
      <w:r w:rsidR="00CF53EB">
        <w:rPr>
          <w:rFonts w:eastAsia="Calibri"/>
          <w:lang w:eastAsia="en-US"/>
        </w:rPr>
        <w:t xml:space="preserve"> A 2012 review of the best and worst performing districts found that weaknesses in health system ‘building blocks’ were the main obstacles to improving service delivery.</w:t>
      </w:r>
      <w:r w:rsidR="00CF53EB">
        <w:rPr>
          <w:rStyle w:val="FootnoteReference"/>
          <w:rFonts w:eastAsia="Calibri"/>
          <w:lang w:eastAsia="en-US"/>
        </w:rPr>
        <w:footnoteReference w:id="28"/>
      </w:r>
    </w:p>
    <w:p w14:paraId="0B70F5CE" w14:textId="77777777" w:rsidR="008934B0" w:rsidRDefault="008934B0" w:rsidP="008E0AE1">
      <w:pPr>
        <w:pStyle w:val="BodyText"/>
        <w:rPr>
          <w:rFonts w:eastAsia="Calibri"/>
          <w:lang w:val="en" w:eastAsia="en-US"/>
        </w:rPr>
      </w:pPr>
      <w:r w:rsidRPr="007A5EE9">
        <w:rPr>
          <w:rFonts w:eastAsia="Calibri"/>
          <w:lang w:eastAsia="en-US"/>
        </w:rPr>
        <w:t>The</w:t>
      </w:r>
      <w:r>
        <w:rPr>
          <w:rFonts w:eastAsia="Calibri"/>
          <w:lang w:eastAsia="en-US"/>
        </w:rPr>
        <w:t xml:space="preserve"> PNG</w:t>
      </w:r>
      <w:r w:rsidRPr="007A5EE9">
        <w:rPr>
          <w:rFonts w:eastAsia="Calibri"/>
          <w:lang w:eastAsia="en-US"/>
        </w:rPr>
        <w:t xml:space="preserve"> Government </w:t>
      </w:r>
      <w:r w:rsidRPr="007A5EE9">
        <w:rPr>
          <w:rFonts w:eastAsia="Calibri"/>
          <w:lang w:val="en" w:eastAsia="en-US"/>
        </w:rPr>
        <w:t xml:space="preserve">has reaffirmed health as </w:t>
      </w:r>
      <w:r>
        <w:rPr>
          <w:rFonts w:eastAsia="Calibri"/>
          <w:lang w:val="en" w:eastAsia="en-US"/>
        </w:rPr>
        <w:t xml:space="preserve">a </w:t>
      </w:r>
      <w:r w:rsidRPr="007A5EE9">
        <w:rPr>
          <w:rFonts w:eastAsia="Calibri"/>
          <w:lang w:val="en" w:eastAsia="en-US"/>
        </w:rPr>
        <w:t>priority sector</w:t>
      </w:r>
      <w:r w:rsidR="000F5E9F">
        <w:rPr>
          <w:rFonts w:eastAsia="Calibri"/>
          <w:lang w:val="en" w:eastAsia="en-US"/>
        </w:rPr>
        <w:t>,</w:t>
      </w:r>
      <w:r w:rsidRPr="007A5EE9">
        <w:rPr>
          <w:rFonts w:eastAsia="Calibri"/>
          <w:lang w:val="en" w:eastAsia="en-US"/>
        </w:rPr>
        <w:t xml:space="preserve"> emphasis</w:t>
      </w:r>
      <w:r w:rsidR="000F5E9F">
        <w:rPr>
          <w:rFonts w:eastAsia="Calibri"/>
          <w:lang w:val="en" w:eastAsia="en-US"/>
        </w:rPr>
        <w:t>ing the</w:t>
      </w:r>
      <w:r w:rsidRPr="007A5EE9">
        <w:rPr>
          <w:rFonts w:eastAsia="Calibri"/>
          <w:lang w:val="en" w:eastAsia="en-US"/>
        </w:rPr>
        <w:t xml:space="preserve"> health workforce, medical supplies and infrastructure development. </w:t>
      </w:r>
      <w:r>
        <w:rPr>
          <w:rFonts w:eastAsia="Calibri"/>
          <w:lang w:val="en" w:eastAsia="en-US"/>
        </w:rPr>
        <w:t>PNG’s health budget appropriation was K818 million</w:t>
      </w:r>
      <w:r w:rsidRPr="007A5EE9">
        <w:rPr>
          <w:rFonts w:eastAsia="Calibri"/>
          <w:lang w:val="en" w:eastAsia="en-US"/>
        </w:rPr>
        <w:t xml:space="preserve"> </w:t>
      </w:r>
      <w:r>
        <w:rPr>
          <w:rFonts w:eastAsia="Calibri"/>
          <w:lang w:val="en" w:eastAsia="en-US"/>
        </w:rPr>
        <w:t xml:space="preserve">in 2012 and K1344 million in 2013. </w:t>
      </w:r>
      <w:r w:rsidRPr="007A5EE9">
        <w:rPr>
          <w:rFonts w:eastAsia="Calibri"/>
          <w:lang w:val="en" w:eastAsia="en-US"/>
        </w:rPr>
        <w:t>In 2012</w:t>
      </w:r>
      <w:r w:rsidR="007C7D0E">
        <w:rPr>
          <w:rFonts w:eastAsia="Calibri"/>
          <w:lang w:val="en" w:eastAsia="en-US"/>
        </w:rPr>
        <w:t>–</w:t>
      </w:r>
      <w:r w:rsidRPr="007A5EE9">
        <w:rPr>
          <w:rFonts w:eastAsia="Calibri"/>
          <w:lang w:val="en" w:eastAsia="en-US"/>
        </w:rPr>
        <w:t>13</w:t>
      </w:r>
      <w:r w:rsidR="00A345BB">
        <w:rPr>
          <w:rFonts w:eastAsia="Calibri"/>
          <w:lang w:val="en" w:eastAsia="en-US"/>
        </w:rPr>
        <w:t>,</w:t>
      </w:r>
      <w:r w:rsidRPr="007A5EE9">
        <w:rPr>
          <w:rFonts w:eastAsia="Calibri"/>
          <w:lang w:val="en" w:eastAsia="en-US"/>
        </w:rPr>
        <w:t xml:space="preserve"> Prime</w:t>
      </w:r>
      <w:r w:rsidR="00F6358F">
        <w:rPr>
          <w:rFonts w:eastAsia="Calibri"/>
          <w:lang w:val="en" w:eastAsia="en-US"/>
        </w:rPr>
        <w:t> </w:t>
      </w:r>
      <w:r w:rsidRPr="007A5EE9">
        <w:rPr>
          <w:rFonts w:eastAsia="Calibri"/>
          <w:lang w:val="en" w:eastAsia="en-US"/>
        </w:rPr>
        <w:t>Minister O’Neill announced a ‘free primary health care policy</w:t>
      </w:r>
      <w:r w:rsidR="00CF53EB">
        <w:rPr>
          <w:rFonts w:eastAsia="Calibri"/>
          <w:lang w:val="en" w:eastAsia="en-US"/>
        </w:rPr>
        <w:t>’</w:t>
      </w:r>
      <w:r w:rsidRPr="007A5EE9">
        <w:rPr>
          <w:rFonts w:eastAsia="Calibri"/>
          <w:lang w:val="en" w:eastAsia="en-US"/>
        </w:rPr>
        <w:t>, promoted the role of churc</w:t>
      </w:r>
      <w:r>
        <w:rPr>
          <w:rFonts w:eastAsia="Calibri"/>
          <w:lang w:val="en" w:eastAsia="en-US"/>
        </w:rPr>
        <w:t xml:space="preserve">hes in health service delivery </w:t>
      </w:r>
      <w:r w:rsidRPr="007A5EE9">
        <w:rPr>
          <w:rFonts w:eastAsia="Calibri"/>
          <w:lang w:val="en" w:eastAsia="en-US"/>
        </w:rPr>
        <w:t xml:space="preserve">and reaffirmed the </w:t>
      </w:r>
      <w:r w:rsidR="00A345BB">
        <w:rPr>
          <w:rFonts w:eastAsia="Calibri"/>
          <w:lang w:val="en" w:eastAsia="en-US"/>
        </w:rPr>
        <w:t>g</w:t>
      </w:r>
      <w:r w:rsidRPr="007A5EE9">
        <w:rPr>
          <w:rFonts w:eastAsia="Calibri"/>
          <w:lang w:val="en" w:eastAsia="en-US"/>
        </w:rPr>
        <w:t>overnment’s support for medical supply reform</w:t>
      </w:r>
      <w:r w:rsidR="007C7D0E">
        <w:rPr>
          <w:rFonts w:eastAsia="Calibri"/>
          <w:lang w:val="en" w:eastAsia="en-US"/>
        </w:rPr>
        <w:t>—</w:t>
      </w:r>
      <w:r>
        <w:rPr>
          <w:rFonts w:eastAsia="Calibri"/>
          <w:lang w:val="en" w:eastAsia="en-US"/>
        </w:rPr>
        <w:t xml:space="preserve">commendable announcements requiring strong government support for intended benefits </w:t>
      </w:r>
      <w:r w:rsidR="000C34E6">
        <w:rPr>
          <w:rFonts w:eastAsia="Calibri"/>
          <w:lang w:val="en" w:eastAsia="en-US"/>
        </w:rPr>
        <w:t xml:space="preserve">to </w:t>
      </w:r>
      <w:r>
        <w:rPr>
          <w:rFonts w:eastAsia="Calibri"/>
          <w:lang w:val="en" w:eastAsia="en-US"/>
        </w:rPr>
        <w:t>flow</w:t>
      </w:r>
      <w:r w:rsidRPr="007A5EE9">
        <w:rPr>
          <w:rFonts w:eastAsia="Calibri"/>
          <w:lang w:val="en" w:eastAsia="en-US"/>
        </w:rPr>
        <w:t xml:space="preserve">. </w:t>
      </w:r>
    </w:p>
    <w:p w14:paraId="0B70F5CF" w14:textId="77777777" w:rsidR="008934B0" w:rsidRPr="007A5EE9" w:rsidRDefault="008934B0" w:rsidP="008E0AE1">
      <w:pPr>
        <w:pStyle w:val="BodyText"/>
        <w:rPr>
          <w:rFonts w:eastAsia="Calibri"/>
          <w:lang w:val="en" w:eastAsia="en-US"/>
        </w:rPr>
      </w:pPr>
      <w:r w:rsidRPr="007A5EE9">
        <w:rPr>
          <w:rFonts w:eastAsia="Calibri"/>
          <w:lang w:val="en" w:eastAsia="en-US"/>
        </w:rPr>
        <w:t xml:space="preserve">PNG has also recently adopted a more targeted approach to the national response to HIV with a focus on </w:t>
      </w:r>
      <w:r w:rsidR="00BB1028">
        <w:rPr>
          <w:rFonts w:eastAsia="Calibri"/>
          <w:lang w:val="en" w:eastAsia="en-US"/>
        </w:rPr>
        <w:t>m</w:t>
      </w:r>
      <w:r w:rsidRPr="007A5EE9">
        <w:rPr>
          <w:rFonts w:eastAsia="Calibri"/>
          <w:lang w:val="en" w:eastAsia="en-US"/>
        </w:rPr>
        <w:t>ost</w:t>
      </w:r>
      <w:r w:rsidR="00E04DC3">
        <w:rPr>
          <w:rFonts w:eastAsia="Calibri"/>
          <w:lang w:val="en" w:eastAsia="en-US"/>
        </w:rPr>
        <w:t>-</w:t>
      </w:r>
      <w:r w:rsidRPr="007A5EE9">
        <w:rPr>
          <w:rFonts w:eastAsia="Calibri"/>
          <w:lang w:val="en" w:eastAsia="en-US"/>
        </w:rPr>
        <w:t>at</w:t>
      </w:r>
      <w:r w:rsidR="00BB1028">
        <w:rPr>
          <w:rFonts w:eastAsia="Calibri"/>
          <w:lang w:val="en" w:eastAsia="en-US"/>
        </w:rPr>
        <w:t>-r</w:t>
      </w:r>
      <w:r w:rsidRPr="007A5EE9">
        <w:rPr>
          <w:rFonts w:eastAsia="Calibri"/>
          <w:lang w:val="en" w:eastAsia="en-US"/>
        </w:rPr>
        <w:t xml:space="preserve">isk </w:t>
      </w:r>
      <w:r w:rsidR="00BB1028">
        <w:rPr>
          <w:rFonts w:eastAsia="Calibri"/>
          <w:lang w:val="en" w:eastAsia="en-US"/>
        </w:rPr>
        <w:t>p</w:t>
      </w:r>
      <w:r w:rsidRPr="007A5EE9">
        <w:rPr>
          <w:rFonts w:eastAsia="Calibri"/>
          <w:lang w:val="en" w:eastAsia="en-US"/>
        </w:rPr>
        <w:t>opulations. The 2012 HIV prevalence data show</w:t>
      </w:r>
      <w:r w:rsidR="00BB1028">
        <w:rPr>
          <w:rFonts w:eastAsia="Calibri"/>
          <w:lang w:val="en" w:eastAsia="en-US"/>
        </w:rPr>
        <w:t>ed</w:t>
      </w:r>
      <w:r w:rsidRPr="007A5EE9">
        <w:rPr>
          <w:rFonts w:eastAsia="Calibri"/>
          <w:lang w:val="en" w:eastAsia="en-US"/>
        </w:rPr>
        <w:t xml:space="preserve"> national prevalence </w:t>
      </w:r>
      <w:r w:rsidR="00BB1028">
        <w:rPr>
          <w:rFonts w:eastAsia="Calibri"/>
          <w:lang w:val="en" w:eastAsia="en-US"/>
        </w:rPr>
        <w:t>at</w:t>
      </w:r>
      <w:r w:rsidR="00BB1028" w:rsidRPr="007A5EE9">
        <w:rPr>
          <w:rFonts w:eastAsia="Calibri"/>
          <w:lang w:val="en" w:eastAsia="en-US"/>
        </w:rPr>
        <w:t xml:space="preserve"> </w:t>
      </w:r>
      <w:r w:rsidRPr="007A5EE9">
        <w:rPr>
          <w:rFonts w:eastAsia="Calibri"/>
          <w:lang w:val="en" w:eastAsia="en-US"/>
        </w:rPr>
        <w:t xml:space="preserve">under 0.8 per cent, </w:t>
      </w:r>
      <w:r w:rsidRPr="007A5EE9">
        <w:rPr>
          <w:color w:val="000000"/>
          <w:lang w:eastAsia="en-US"/>
        </w:rPr>
        <w:t>although still close to 1 per cent in the Highlands region and N</w:t>
      </w:r>
      <w:r>
        <w:rPr>
          <w:color w:val="000000"/>
          <w:lang w:eastAsia="en-US"/>
        </w:rPr>
        <w:t>ational Capital District</w:t>
      </w:r>
      <w:r w:rsidRPr="007A5EE9">
        <w:rPr>
          <w:color w:val="000000"/>
          <w:lang w:eastAsia="en-US"/>
        </w:rPr>
        <w:t xml:space="preserve"> and higher among sex workers (17 per cent in 2010).</w:t>
      </w:r>
      <w:r w:rsidR="00CF53EB">
        <w:rPr>
          <w:rFonts w:eastAsia="Calibri"/>
          <w:lang w:val="en" w:eastAsia="en-US"/>
        </w:rPr>
        <w:t xml:space="preserve"> However,</w:t>
      </w:r>
      <w:r>
        <w:rPr>
          <w:rFonts w:eastAsia="Calibri"/>
          <w:lang w:val="en" w:eastAsia="en-US"/>
        </w:rPr>
        <w:t xml:space="preserve"> </w:t>
      </w:r>
      <w:r w:rsidRPr="007A5EE9">
        <w:rPr>
          <w:rFonts w:eastAsia="Calibri"/>
          <w:lang w:val="en" w:eastAsia="en-US"/>
        </w:rPr>
        <w:t xml:space="preserve">separation of the National AIDS Council </w:t>
      </w:r>
      <w:r w:rsidR="005D40E7">
        <w:rPr>
          <w:rFonts w:eastAsia="Calibri"/>
          <w:lang w:val="en" w:eastAsia="en-US"/>
        </w:rPr>
        <w:t xml:space="preserve">from the </w:t>
      </w:r>
      <w:r w:rsidR="00BD662B">
        <w:rPr>
          <w:rFonts w:eastAsia="Calibri"/>
          <w:lang w:val="en" w:eastAsia="en-US"/>
        </w:rPr>
        <w:t>National Department of Health</w:t>
      </w:r>
      <w:r w:rsidRPr="007A5EE9">
        <w:rPr>
          <w:rFonts w:eastAsia="Calibri"/>
          <w:lang w:val="en" w:eastAsia="en-US"/>
        </w:rPr>
        <w:t xml:space="preserve"> remains an impediment to </w:t>
      </w:r>
      <w:r>
        <w:rPr>
          <w:rFonts w:eastAsia="Calibri"/>
          <w:lang w:val="en" w:eastAsia="en-US"/>
        </w:rPr>
        <w:t xml:space="preserve">effective </w:t>
      </w:r>
      <w:r w:rsidR="00631FED">
        <w:rPr>
          <w:rFonts w:eastAsia="Calibri"/>
          <w:lang w:val="en" w:eastAsia="en-US"/>
        </w:rPr>
        <w:t>coordination between h</w:t>
      </w:r>
      <w:r w:rsidRPr="007A5EE9">
        <w:rPr>
          <w:rFonts w:eastAsia="Calibri"/>
          <w:lang w:val="en" w:eastAsia="en-US"/>
        </w:rPr>
        <w:t>ealth and HIV</w:t>
      </w:r>
      <w:r>
        <w:rPr>
          <w:rFonts w:eastAsia="Calibri"/>
          <w:lang w:val="en" w:eastAsia="en-US"/>
        </w:rPr>
        <w:t xml:space="preserve"> institutions</w:t>
      </w:r>
      <w:r w:rsidR="00631FED">
        <w:rPr>
          <w:rFonts w:eastAsia="Calibri"/>
          <w:lang w:val="en" w:eastAsia="en-US"/>
        </w:rPr>
        <w:t>, which compromises</w:t>
      </w:r>
      <w:r>
        <w:rPr>
          <w:rFonts w:eastAsia="Calibri"/>
          <w:lang w:val="en" w:eastAsia="en-US"/>
        </w:rPr>
        <w:t xml:space="preserve"> better access and treatment for HIV</w:t>
      </w:r>
      <w:r w:rsidR="0041638B">
        <w:rPr>
          <w:rFonts w:eastAsia="Calibri"/>
          <w:lang w:val="en" w:eastAsia="en-US"/>
        </w:rPr>
        <w:t xml:space="preserve">. </w:t>
      </w:r>
    </w:p>
    <w:p w14:paraId="0B70F5D0" w14:textId="77777777" w:rsidR="008934B0" w:rsidRDefault="008934B0" w:rsidP="00086E9C">
      <w:pPr>
        <w:pStyle w:val="Heading3"/>
        <w:rPr>
          <w:rFonts w:eastAsia="Calibri"/>
          <w:lang w:val="en"/>
        </w:rPr>
      </w:pPr>
      <w:r w:rsidRPr="007A5EE9">
        <w:rPr>
          <w:rFonts w:eastAsia="Calibri"/>
          <w:lang w:val="en"/>
        </w:rPr>
        <w:t>Maternal health</w:t>
      </w:r>
    </w:p>
    <w:p w14:paraId="0B70F5D1" w14:textId="77777777" w:rsidR="008934B0" w:rsidRPr="007A5EE9" w:rsidRDefault="00034B21" w:rsidP="00086E9C">
      <w:pPr>
        <w:pStyle w:val="BodyText"/>
        <w:rPr>
          <w:rFonts w:eastAsia="Calibri"/>
          <w:lang w:val="en" w:eastAsia="en-US"/>
        </w:rPr>
      </w:pPr>
      <w:r>
        <w:rPr>
          <w:rFonts w:eastAsia="Calibri"/>
          <w:lang w:val="en" w:eastAsia="en-US"/>
        </w:rPr>
        <w:t xml:space="preserve">Maternal health targets are </w:t>
      </w:r>
      <w:r w:rsidR="002D202C">
        <w:rPr>
          <w:rFonts w:eastAsia="Calibri"/>
          <w:lang w:val="en" w:eastAsia="en-US"/>
        </w:rPr>
        <w:t xml:space="preserve">mixed. </w:t>
      </w:r>
      <w:r w:rsidR="008934B0" w:rsidRPr="007A5EE9">
        <w:rPr>
          <w:rFonts w:eastAsia="Calibri"/>
          <w:lang w:val="en" w:eastAsia="en-US"/>
        </w:rPr>
        <w:t>Skilled birth attendance appeared to decrease by 5 per cent in 2011, however</w:t>
      </w:r>
      <w:r w:rsidR="008934B0">
        <w:rPr>
          <w:rFonts w:eastAsia="Calibri"/>
          <w:lang w:val="en" w:eastAsia="en-US"/>
        </w:rPr>
        <w:t>,</w:t>
      </w:r>
      <w:r w:rsidR="008934B0" w:rsidRPr="007A5EE9">
        <w:rPr>
          <w:rFonts w:eastAsia="Calibri"/>
          <w:lang w:val="en" w:eastAsia="en-US"/>
        </w:rPr>
        <w:t xml:space="preserve"> draft data from 2012 shows a return to past static levels of 40 per cent coverage</w:t>
      </w:r>
      <w:r w:rsidR="009711A9">
        <w:rPr>
          <w:rFonts w:eastAsia="Calibri"/>
          <w:lang w:val="en" w:eastAsia="en-US"/>
        </w:rPr>
        <w:t xml:space="preserve"> and</w:t>
      </w:r>
      <w:r w:rsidR="00971B7F">
        <w:rPr>
          <w:rFonts w:eastAsia="Calibri"/>
          <w:lang w:val="en" w:eastAsia="en-US"/>
        </w:rPr>
        <w:t xml:space="preserve"> suggests</w:t>
      </w:r>
      <w:r w:rsidR="009711A9">
        <w:rPr>
          <w:rFonts w:eastAsia="Calibri"/>
          <w:lang w:val="en" w:eastAsia="en-US"/>
        </w:rPr>
        <w:t xml:space="preserve"> </w:t>
      </w:r>
      <w:r w:rsidR="00971B7F">
        <w:rPr>
          <w:rFonts w:eastAsia="Calibri"/>
          <w:lang w:val="en" w:eastAsia="en-US"/>
        </w:rPr>
        <w:t xml:space="preserve">that PNG </w:t>
      </w:r>
      <w:r w:rsidR="009711A9">
        <w:rPr>
          <w:rFonts w:eastAsia="Calibri"/>
          <w:lang w:val="en" w:eastAsia="en-US"/>
        </w:rPr>
        <w:t>is on track to meet the 44</w:t>
      </w:r>
      <w:r w:rsidR="007C7D0E">
        <w:rPr>
          <w:rFonts w:eastAsia="Calibri"/>
          <w:lang w:val="en" w:eastAsia="en-US"/>
        </w:rPr>
        <w:t xml:space="preserve"> per cent</w:t>
      </w:r>
      <w:r w:rsidR="009711A9">
        <w:rPr>
          <w:rFonts w:eastAsia="Calibri"/>
          <w:lang w:val="en" w:eastAsia="en-US"/>
        </w:rPr>
        <w:t xml:space="preserve"> target by 2015</w:t>
      </w:r>
      <w:r w:rsidR="008934B0" w:rsidRPr="007A5EE9">
        <w:rPr>
          <w:rFonts w:eastAsia="Calibri"/>
          <w:lang w:val="en" w:eastAsia="en-US"/>
        </w:rPr>
        <w:t xml:space="preserve">. This </w:t>
      </w:r>
      <w:r w:rsidR="00971B7F">
        <w:rPr>
          <w:rFonts w:eastAsia="Calibri"/>
          <w:lang w:val="en" w:eastAsia="en-US"/>
        </w:rPr>
        <w:t>may be</w:t>
      </w:r>
      <w:r w:rsidR="00971B7F" w:rsidRPr="007A5EE9">
        <w:rPr>
          <w:rFonts w:eastAsia="Calibri"/>
          <w:lang w:val="en" w:eastAsia="en-US"/>
        </w:rPr>
        <w:t xml:space="preserve"> </w:t>
      </w:r>
      <w:r w:rsidR="008934B0" w:rsidRPr="007A5EE9">
        <w:rPr>
          <w:rFonts w:eastAsia="Calibri"/>
          <w:lang w:val="en" w:eastAsia="en-US"/>
        </w:rPr>
        <w:t>a data issue rather than a true decrease</w:t>
      </w:r>
      <w:r w:rsidR="00631FED">
        <w:rPr>
          <w:rFonts w:eastAsia="Calibri"/>
          <w:lang w:val="en" w:eastAsia="en-US"/>
        </w:rPr>
        <w:t>,</w:t>
      </w:r>
      <w:r w:rsidR="008934B0">
        <w:rPr>
          <w:rFonts w:eastAsia="Calibri"/>
          <w:lang w:val="en" w:eastAsia="en-US"/>
        </w:rPr>
        <w:t xml:space="preserve"> </w:t>
      </w:r>
      <w:r w:rsidR="00971B7F">
        <w:rPr>
          <w:rFonts w:eastAsia="Calibri"/>
          <w:lang w:val="en" w:eastAsia="en-US"/>
        </w:rPr>
        <w:t xml:space="preserve">however, and </w:t>
      </w:r>
      <w:r w:rsidR="00DD49B7">
        <w:rPr>
          <w:rFonts w:eastAsia="Calibri"/>
          <w:lang w:val="en" w:eastAsia="en-US"/>
        </w:rPr>
        <w:t>Australia</w:t>
      </w:r>
      <w:r w:rsidR="008934B0">
        <w:rPr>
          <w:rFonts w:eastAsia="Calibri"/>
          <w:lang w:val="en" w:eastAsia="en-US"/>
        </w:rPr>
        <w:t xml:space="preserve"> will investigate </w:t>
      </w:r>
      <w:r w:rsidR="00971B7F">
        <w:rPr>
          <w:rFonts w:eastAsia="Calibri"/>
          <w:lang w:val="en" w:eastAsia="en-US"/>
        </w:rPr>
        <w:t xml:space="preserve">this </w:t>
      </w:r>
      <w:r w:rsidR="008934B0">
        <w:rPr>
          <w:rFonts w:eastAsia="Calibri"/>
          <w:lang w:val="en" w:eastAsia="en-US"/>
        </w:rPr>
        <w:t>further</w:t>
      </w:r>
      <w:r w:rsidR="008934B0" w:rsidRPr="0000522B">
        <w:rPr>
          <w:rFonts w:eastAsia="Calibri"/>
          <w:lang w:val="en" w:eastAsia="en-US"/>
        </w:rPr>
        <w:t>. Australia’s support was responsible for 19</w:t>
      </w:r>
      <w:r w:rsidR="007C7D0E">
        <w:rPr>
          <w:rFonts w:eastAsia="Calibri"/>
          <w:lang w:val="en" w:eastAsia="en-US"/>
        </w:rPr>
        <w:t xml:space="preserve"> </w:t>
      </w:r>
      <w:r w:rsidR="008934B0" w:rsidRPr="0000522B">
        <w:rPr>
          <w:rFonts w:eastAsia="Calibri"/>
          <w:lang w:val="en" w:eastAsia="en-US"/>
        </w:rPr>
        <w:t>823 out of the 95</w:t>
      </w:r>
      <w:r w:rsidR="007C7D0E">
        <w:rPr>
          <w:rFonts w:eastAsia="Calibri"/>
          <w:lang w:val="en" w:eastAsia="en-US"/>
        </w:rPr>
        <w:t xml:space="preserve"> </w:t>
      </w:r>
      <w:r w:rsidR="008934B0" w:rsidRPr="0000522B">
        <w:rPr>
          <w:rFonts w:eastAsia="Calibri"/>
          <w:lang w:val="en" w:eastAsia="en-US"/>
        </w:rPr>
        <w:t>765 supervised deliveries in 2012.</w:t>
      </w:r>
      <w:r w:rsidR="008934B0" w:rsidRPr="007A5EE9">
        <w:rPr>
          <w:rFonts w:eastAsia="Calibri"/>
          <w:lang w:val="en" w:eastAsia="en-US"/>
        </w:rPr>
        <w:t xml:space="preserve"> Family planning </w:t>
      </w:r>
      <w:r w:rsidR="008A5D86">
        <w:rPr>
          <w:rFonts w:eastAsia="Calibri"/>
          <w:lang w:val="en" w:eastAsia="en-US"/>
        </w:rPr>
        <w:t>targets</w:t>
      </w:r>
      <w:r w:rsidR="008934B0" w:rsidRPr="007A5EE9">
        <w:rPr>
          <w:rFonts w:eastAsia="Calibri"/>
          <w:lang w:val="en" w:eastAsia="en-US"/>
        </w:rPr>
        <w:t xml:space="preserve"> are on track and supported by a new five</w:t>
      </w:r>
      <w:r w:rsidR="007C7D0E">
        <w:rPr>
          <w:rFonts w:eastAsia="Calibri"/>
          <w:lang w:val="en" w:eastAsia="en-US"/>
        </w:rPr>
        <w:t>-</w:t>
      </w:r>
      <w:r w:rsidR="008934B0" w:rsidRPr="007A5EE9">
        <w:rPr>
          <w:rFonts w:eastAsia="Calibri"/>
          <w:lang w:val="en" w:eastAsia="en-US"/>
        </w:rPr>
        <w:t>year</w:t>
      </w:r>
      <w:r w:rsidR="007C7D0E">
        <w:rPr>
          <w:rFonts w:eastAsia="Calibri"/>
          <w:lang w:val="en" w:eastAsia="en-US"/>
        </w:rPr>
        <w:t>,</w:t>
      </w:r>
      <w:r w:rsidR="008934B0" w:rsidRPr="007A5EE9">
        <w:rPr>
          <w:rFonts w:eastAsia="Calibri"/>
          <w:lang w:val="en" w:eastAsia="en-US"/>
        </w:rPr>
        <w:t xml:space="preserve"> $10 million investment in a public private partnership with N</w:t>
      </w:r>
      <w:r w:rsidR="00DD66F1">
        <w:rPr>
          <w:rFonts w:eastAsia="Calibri"/>
          <w:lang w:val="en" w:eastAsia="en-US"/>
        </w:rPr>
        <w:t>ational Department of Health</w:t>
      </w:r>
      <w:r w:rsidR="008934B0" w:rsidRPr="007A5EE9">
        <w:rPr>
          <w:rFonts w:eastAsia="Calibri"/>
          <w:lang w:val="en" w:eastAsia="en-US"/>
        </w:rPr>
        <w:t xml:space="preserve"> and Oil Search Health Foundation to establish a reproductive health training unit. </w:t>
      </w:r>
    </w:p>
    <w:p w14:paraId="0B70F5D2" w14:textId="77777777" w:rsidR="008934B0" w:rsidRPr="007A5EE9" w:rsidRDefault="008934B0" w:rsidP="00086E9C">
      <w:pPr>
        <w:pStyle w:val="Heading3"/>
        <w:rPr>
          <w:rFonts w:eastAsia="Calibri"/>
          <w:lang w:val="en"/>
        </w:rPr>
      </w:pPr>
      <w:r w:rsidRPr="007A5EE9">
        <w:rPr>
          <w:rFonts w:eastAsia="Calibri"/>
          <w:lang w:val="en"/>
        </w:rPr>
        <w:t>Child health</w:t>
      </w:r>
    </w:p>
    <w:p w14:paraId="0B70F5D3" w14:textId="77777777" w:rsidR="008934B0" w:rsidRPr="007A5EE9" w:rsidRDefault="004D2733" w:rsidP="00086E9C">
      <w:pPr>
        <w:pStyle w:val="BodyText"/>
        <w:rPr>
          <w:rFonts w:eastAsia="Calibri"/>
          <w:lang w:val="en" w:eastAsia="en-US"/>
        </w:rPr>
      </w:pPr>
      <w:r>
        <w:rPr>
          <w:rFonts w:eastAsia="Calibri"/>
          <w:lang w:val="en" w:eastAsia="en-US"/>
        </w:rPr>
        <w:t>Child h</w:t>
      </w:r>
      <w:r w:rsidR="008934B0" w:rsidRPr="007A5EE9">
        <w:rPr>
          <w:rFonts w:eastAsia="Calibri"/>
          <w:lang w:val="en" w:eastAsia="en-US"/>
        </w:rPr>
        <w:t xml:space="preserve">ealth immunisation targets are on track as a result of </w:t>
      </w:r>
      <w:r w:rsidR="00CF53EB">
        <w:rPr>
          <w:rFonts w:eastAsia="Calibri"/>
          <w:lang w:val="en" w:eastAsia="en-US"/>
        </w:rPr>
        <w:t xml:space="preserve">increased </w:t>
      </w:r>
      <w:r w:rsidR="008934B0" w:rsidRPr="007A5EE9">
        <w:rPr>
          <w:rFonts w:eastAsia="Calibri"/>
          <w:lang w:val="en" w:eastAsia="en-US"/>
        </w:rPr>
        <w:t>coverage in 201</w:t>
      </w:r>
      <w:r w:rsidR="00CF53EB">
        <w:rPr>
          <w:rFonts w:eastAsia="Calibri"/>
          <w:lang w:val="en" w:eastAsia="en-US"/>
        </w:rPr>
        <w:t>2</w:t>
      </w:r>
      <w:r w:rsidR="008934B0" w:rsidRPr="007A5EE9">
        <w:rPr>
          <w:rFonts w:eastAsia="Calibri"/>
          <w:lang w:val="en" w:eastAsia="en-US"/>
        </w:rPr>
        <w:t xml:space="preserve">. </w:t>
      </w:r>
      <w:r w:rsidR="00CF53EB">
        <w:rPr>
          <w:rFonts w:eastAsia="Calibri"/>
          <w:lang w:val="en" w:eastAsia="en-US"/>
        </w:rPr>
        <w:t>Pentavalent vaccine coverage increased from 52 to 59 per cent, with Australian aid accounting for 25</w:t>
      </w:r>
      <w:r w:rsidR="007C7D0E">
        <w:rPr>
          <w:rFonts w:eastAsia="Calibri"/>
          <w:lang w:val="en" w:eastAsia="en-US"/>
        </w:rPr>
        <w:t xml:space="preserve"> </w:t>
      </w:r>
      <w:r w:rsidR="00CF53EB">
        <w:rPr>
          <w:rFonts w:eastAsia="Calibri"/>
          <w:lang w:val="en" w:eastAsia="en-US"/>
        </w:rPr>
        <w:t>057 vaccinations in 2012</w:t>
      </w:r>
      <w:r w:rsidR="00751EBF">
        <w:rPr>
          <w:rFonts w:eastAsia="Calibri"/>
          <w:lang w:val="en" w:eastAsia="en-US"/>
        </w:rPr>
        <w:t xml:space="preserve"> and is on track to meet the target of 80</w:t>
      </w:r>
      <w:r w:rsidR="007C7D0E">
        <w:rPr>
          <w:rFonts w:eastAsia="Calibri"/>
          <w:lang w:val="en" w:eastAsia="en-US"/>
        </w:rPr>
        <w:t xml:space="preserve"> per cent</w:t>
      </w:r>
      <w:r w:rsidR="00751EBF">
        <w:rPr>
          <w:rFonts w:eastAsia="Calibri"/>
          <w:lang w:val="en" w:eastAsia="en-US"/>
        </w:rPr>
        <w:t xml:space="preserve"> by 2015</w:t>
      </w:r>
      <w:r w:rsidR="00CF53EB">
        <w:rPr>
          <w:rFonts w:eastAsia="Calibri"/>
          <w:lang w:val="en" w:eastAsia="en-US"/>
        </w:rPr>
        <w:t xml:space="preserve">. </w:t>
      </w:r>
      <w:r w:rsidR="00CF53EB">
        <w:rPr>
          <w:rFonts w:eastAsia="Calibri"/>
          <w:lang w:val="en" w:eastAsia="en-US"/>
        </w:rPr>
        <w:lastRenderedPageBreak/>
        <w:t>Routine measles coverage significantly increased from 48 to 64 per cent in 2012</w:t>
      </w:r>
      <w:r w:rsidR="00477D04">
        <w:rPr>
          <w:rFonts w:eastAsia="Calibri"/>
          <w:lang w:val="en" w:eastAsia="en-US"/>
        </w:rPr>
        <w:t>,</w:t>
      </w:r>
      <w:r w:rsidR="009711A9">
        <w:rPr>
          <w:rFonts w:eastAsia="Calibri"/>
          <w:lang w:val="en" w:eastAsia="en-US"/>
        </w:rPr>
        <w:t xml:space="preserve"> and is on track to the meet the 2015 target of 68</w:t>
      </w:r>
      <w:r w:rsidR="007C7D0E">
        <w:rPr>
          <w:rFonts w:eastAsia="Calibri"/>
          <w:lang w:val="en" w:eastAsia="en-US"/>
        </w:rPr>
        <w:t xml:space="preserve"> per cent</w:t>
      </w:r>
      <w:r w:rsidR="00CF53EB">
        <w:rPr>
          <w:rFonts w:eastAsia="Calibri"/>
          <w:lang w:val="en" w:eastAsia="en-US"/>
        </w:rPr>
        <w:t>, with Australian aid accounting for 27</w:t>
      </w:r>
      <w:r w:rsidR="007C7D0E">
        <w:rPr>
          <w:rFonts w:eastAsia="Calibri"/>
          <w:lang w:val="en" w:eastAsia="en-US"/>
        </w:rPr>
        <w:t xml:space="preserve"> </w:t>
      </w:r>
      <w:r w:rsidR="00CF53EB">
        <w:rPr>
          <w:rFonts w:eastAsia="Calibri"/>
          <w:lang w:val="en" w:eastAsia="en-US"/>
        </w:rPr>
        <w:t xml:space="preserve">100 measles vaccinations </w:t>
      </w:r>
      <w:r w:rsidR="00C53A30">
        <w:rPr>
          <w:rFonts w:eastAsia="Calibri"/>
          <w:lang w:val="en" w:eastAsia="en-US"/>
        </w:rPr>
        <w:t xml:space="preserve">for those </w:t>
      </w:r>
      <w:r w:rsidR="00CF53EB">
        <w:rPr>
          <w:rFonts w:eastAsia="Calibri"/>
          <w:lang w:val="en" w:eastAsia="en-US"/>
        </w:rPr>
        <w:t>0</w:t>
      </w:r>
      <w:r w:rsidR="009F1630">
        <w:rPr>
          <w:rFonts w:eastAsia="Calibri"/>
          <w:lang w:val="en" w:eastAsia="en-US"/>
        </w:rPr>
        <w:t xml:space="preserve"> to </w:t>
      </w:r>
      <w:r w:rsidR="00CF53EB">
        <w:rPr>
          <w:rFonts w:eastAsia="Calibri"/>
          <w:lang w:val="en" w:eastAsia="en-US"/>
        </w:rPr>
        <w:t>1 year</w:t>
      </w:r>
      <w:r w:rsidR="00C53A30">
        <w:rPr>
          <w:rFonts w:eastAsia="Calibri"/>
          <w:lang w:val="en" w:eastAsia="en-US"/>
        </w:rPr>
        <w:t xml:space="preserve"> of age</w:t>
      </w:r>
      <w:r w:rsidR="009711A9">
        <w:rPr>
          <w:rFonts w:eastAsia="Calibri"/>
          <w:lang w:val="en" w:eastAsia="en-US"/>
        </w:rPr>
        <w:t xml:space="preserve"> in 2012</w:t>
      </w:r>
      <w:r w:rsidR="00CF53EB">
        <w:rPr>
          <w:rFonts w:eastAsia="Calibri"/>
          <w:lang w:val="en" w:eastAsia="en-US"/>
        </w:rPr>
        <w:t>. Australia</w:t>
      </w:r>
      <w:r w:rsidR="008934B0" w:rsidRPr="007A5EE9">
        <w:rPr>
          <w:rFonts w:eastAsia="Calibri"/>
          <w:lang w:val="en" w:eastAsia="en-US"/>
        </w:rPr>
        <w:t xml:space="preserve"> directly financed a supplementary immunisation campaign</w:t>
      </w:r>
      <w:r w:rsidR="00CF53EB">
        <w:rPr>
          <w:rFonts w:eastAsia="Calibri"/>
          <w:lang w:val="en" w:eastAsia="en-US"/>
        </w:rPr>
        <w:t xml:space="preserve"> which </w:t>
      </w:r>
      <w:r w:rsidR="008934B0">
        <w:rPr>
          <w:rFonts w:eastAsia="Calibri"/>
          <w:lang w:val="en" w:eastAsia="en-US"/>
        </w:rPr>
        <w:t>result</w:t>
      </w:r>
      <w:r w:rsidR="00CF53EB">
        <w:rPr>
          <w:rFonts w:eastAsia="Calibri"/>
          <w:lang w:val="en" w:eastAsia="en-US"/>
        </w:rPr>
        <w:t>ed in</w:t>
      </w:r>
      <w:r w:rsidR="008934B0">
        <w:rPr>
          <w:rFonts w:eastAsia="Calibri"/>
          <w:lang w:val="en" w:eastAsia="en-US"/>
        </w:rPr>
        <w:t xml:space="preserve"> </w:t>
      </w:r>
      <w:r w:rsidR="008934B0" w:rsidRPr="007A5EE9">
        <w:rPr>
          <w:rFonts w:eastAsia="Calibri"/>
          <w:lang w:val="en" w:eastAsia="en-US"/>
        </w:rPr>
        <w:t>615</w:t>
      </w:r>
      <w:r w:rsidR="007C7D0E">
        <w:rPr>
          <w:rFonts w:eastAsia="Calibri"/>
          <w:lang w:val="en" w:eastAsia="en-US"/>
        </w:rPr>
        <w:t xml:space="preserve"> </w:t>
      </w:r>
      <w:r w:rsidR="008934B0" w:rsidRPr="007A5EE9">
        <w:rPr>
          <w:rFonts w:eastAsia="Calibri"/>
          <w:lang w:val="en" w:eastAsia="en-US"/>
        </w:rPr>
        <w:t>069 children receiv</w:t>
      </w:r>
      <w:r w:rsidR="009F1630">
        <w:rPr>
          <w:rFonts w:eastAsia="Calibri"/>
          <w:lang w:val="en" w:eastAsia="en-US"/>
        </w:rPr>
        <w:t>ing</w:t>
      </w:r>
      <w:r w:rsidR="008934B0" w:rsidRPr="007A5EE9">
        <w:rPr>
          <w:rFonts w:eastAsia="Calibri"/>
          <w:lang w:val="en" w:eastAsia="en-US"/>
        </w:rPr>
        <w:t xml:space="preserve"> oral polio vaccine (84</w:t>
      </w:r>
      <w:r w:rsidR="00B76E9D">
        <w:rPr>
          <w:rFonts w:eastAsia="Calibri"/>
          <w:lang w:val="en" w:eastAsia="en-US"/>
        </w:rPr>
        <w:t xml:space="preserve"> per cent</w:t>
      </w:r>
      <w:r w:rsidR="008934B0" w:rsidRPr="007A5EE9">
        <w:rPr>
          <w:rFonts w:eastAsia="Calibri"/>
          <w:lang w:val="en" w:eastAsia="en-US"/>
        </w:rPr>
        <w:t xml:space="preserve"> coverage); 552</w:t>
      </w:r>
      <w:r w:rsidR="007C7D0E">
        <w:rPr>
          <w:rFonts w:eastAsia="Calibri"/>
          <w:lang w:val="en" w:eastAsia="en-US"/>
        </w:rPr>
        <w:t xml:space="preserve"> </w:t>
      </w:r>
      <w:r w:rsidR="008934B0" w:rsidRPr="007A5EE9">
        <w:rPr>
          <w:rFonts w:eastAsia="Calibri"/>
          <w:lang w:val="en" w:eastAsia="en-US"/>
        </w:rPr>
        <w:t>872 children receiv</w:t>
      </w:r>
      <w:r w:rsidR="009F1630">
        <w:rPr>
          <w:rFonts w:eastAsia="Calibri"/>
          <w:lang w:val="en" w:eastAsia="en-US"/>
        </w:rPr>
        <w:t>ing</w:t>
      </w:r>
      <w:r w:rsidR="008934B0" w:rsidRPr="007A5EE9">
        <w:rPr>
          <w:rFonts w:eastAsia="Calibri"/>
          <w:lang w:val="en" w:eastAsia="en-US"/>
        </w:rPr>
        <w:t xml:space="preserve"> measles vaccines </w:t>
      </w:r>
      <w:r w:rsidR="00CF53EB">
        <w:rPr>
          <w:rFonts w:eastAsia="Calibri"/>
          <w:lang w:val="en" w:eastAsia="en-US"/>
        </w:rPr>
        <w:t xml:space="preserve">for children under three years </w:t>
      </w:r>
      <w:r w:rsidR="008934B0" w:rsidRPr="007A5EE9">
        <w:rPr>
          <w:rFonts w:eastAsia="Calibri"/>
          <w:lang w:val="en" w:eastAsia="en-US"/>
        </w:rPr>
        <w:t>(88</w:t>
      </w:r>
      <w:r w:rsidR="00B76E9D">
        <w:rPr>
          <w:rFonts w:eastAsia="Calibri"/>
          <w:lang w:val="en" w:eastAsia="en-US"/>
        </w:rPr>
        <w:t xml:space="preserve"> per cent</w:t>
      </w:r>
      <w:r w:rsidR="008934B0" w:rsidRPr="007A5EE9">
        <w:rPr>
          <w:rFonts w:eastAsia="Calibri"/>
          <w:lang w:val="en" w:eastAsia="en-US"/>
        </w:rPr>
        <w:t xml:space="preserve"> coverage); 1</w:t>
      </w:r>
      <w:r w:rsidR="007C7D0E">
        <w:rPr>
          <w:rFonts w:eastAsia="Calibri"/>
          <w:lang w:val="en" w:eastAsia="en-US"/>
        </w:rPr>
        <w:t xml:space="preserve"> </w:t>
      </w:r>
      <w:r w:rsidR="008934B0" w:rsidRPr="007A5EE9">
        <w:rPr>
          <w:rFonts w:eastAsia="Calibri"/>
          <w:lang w:val="en" w:eastAsia="en-US"/>
        </w:rPr>
        <w:t>212</w:t>
      </w:r>
      <w:r w:rsidR="007C7D0E">
        <w:rPr>
          <w:rFonts w:eastAsia="Calibri"/>
          <w:lang w:val="en" w:eastAsia="en-US"/>
        </w:rPr>
        <w:t xml:space="preserve"> </w:t>
      </w:r>
      <w:r w:rsidR="008934B0" w:rsidRPr="007A5EE9">
        <w:rPr>
          <w:rFonts w:eastAsia="Calibri"/>
          <w:lang w:val="en" w:eastAsia="en-US"/>
        </w:rPr>
        <w:t>412 women receiv</w:t>
      </w:r>
      <w:r w:rsidR="009F1630">
        <w:rPr>
          <w:rFonts w:eastAsia="Calibri"/>
          <w:lang w:val="en" w:eastAsia="en-US"/>
        </w:rPr>
        <w:t>ing</w:t>
      </w:r>
      <w:r w:rsidR="008934B0" w:rsidRPr="007A5EE9">
        <w:rPr>
          <w:rFonts w:eastAsia="Calibri"/>
          <w:lang w:val="en" w:eastAsia="en-US"/>
        </w:rPr>
        <w:t xml:space="preserve"> tetanus toxoid vaccination (77</w:t>
      </w:r>
      <w:r w:rsidR="00B76E9D">
        <w:rPr>
          <w:rFonts w:eastAsia="Calibri"/>
          <w:lang w:val="en" w:eastAsia="en-US"/>
        </w:rPr>
        <w:t xml:space="preserve"> per cent</w:t>
      </w:r>
      <w:r w:rsidR="008934B0" w:rsidRPr="007A5EE9">
        <w:rPr>
          <w:rFonts w:eastAsia="Calibri"/>
          <w:lang w:val="en" w:eastAsia="en-US"/>
        </w:rPr>
        <w:t xml:space="preserve"> coverage); 876</w:t>
      </w:r>
      <w:r w:rsidR="007C7D0E">
        <w:rPr>
          <w:rFonts w:eastAsia="Calibri"/>
          <w:lang w:val="en" w:eastAsia="en-US"/>
        </w:rPr>
        <w:t xml:space="preserve"> </w:t>
      </w:r>
      <w:r w:rsidR="008934B0" w:rsidRPr="007A5EE9">
        <w:rPr>
          <w:rFonts w:eastAsia="Calibri"/>
          <w:lang w:val="en" w:eastAsia="en-US"/>
        </w:rPr>
        <w:t>361 children receiv</w:t>
      </w:r>
      <w:r w:rsidR="009F1630">
        <w:rPr>
          <w:rFonts w:eastAsia="Calibri"/>
          <w:lang w:val="en" w:eastAsia="en-US"/>
        </w:rPr>
        <w:t>ing</w:t>
      </w:r>
      <w:r w:rsidR="008934B0" w:rsidRPr="007A5EE9">
        <w:rPr>
          <w:rFonts w:eastAsia="Calibri"/>
          <w:lang w:val="en" w:eastAsia="en-US"/>
        </w:rPr>
        <w:t xml:space="preserve"> a Vitamin A dose; and 405</w:t>
      </w:r>
      <w:r w:rsidR="007C7D0E">
        <w:rPr>
          <w:rFonts w:eastAsia="Calibri"/>
          <w:lang w:val="en" w:eastAsia="en-US"/>
        </w:rPr>
        <w:t xml:space="preserve"> </w:t>
      </w:r>
      <w:r w:rsidR="009F1630">
        <w:rPr>
          <w:rFonts w:eastAsia="Calibri"/>
          <w:lang w:val="en" w:eastAsia="en-US"/>
        </w:rPr>
        <w:t>983 children receiving</w:t>
      </w:r>
      <w:r w:rsidR="008934B0" w:rsidRPr="007A5EE9">
        <w:rPr>
          <w:rFonts w:eastAsia="Calibri"/>
          <w:lang w:val="en" w:eastAsia="en-US"/>
        </w:rPr>
        <w:t xml:space="preserve"> Albendazole</w:t>
      </w:r>
      <w:r w:rsidR="00FC3F85">
        <w:rPr>
          <w:rFonts w:eastAsia="Calibri"/>
          <w:lang w:val="en" w:eastAsia="en-US"/>
        </w:rPr>
        <w:t xml:space="preserve"> </w:t>
      </w:r>
      <w:r w:rsidR="008934B0" w:rsidRPr="007A5EE9">
        <w:rPr>
          <w:rFonts w:eastAsia="Calibri"/>
          <w:lang w:val="en" w:eastAsia="en-US"/>
        </w:rPr>
        <w:t>(</w:t>
      </w:r>
      <w:r w:rsidR="00FC3F85">
        <w:rPr>
          <w:rFonts w:eastAsia="Calibri"/>
          <w:lang w:val="en" w:eastAsia="en-US"/>
        </w:rPr>
        <w:t xml:space="preserve">deworming; </w:t>
      </w:r>
      <w:r w:rsidR="008934B0" w:rsidRPr="007A5EE9">
        <w:rPr>
          <w:rFonts w:eastAsia="Calibri"/>
          <w:lang w:val="en" w:eastAsia="en-US"/>
        </w:rPr>
        <w:t>73</w:t>
      </w:r>
      <w:r w:rsidR="00B76E9D">
        <w:rPr>
          <w:rFonts w:eastAsia="Calibri"/>
          <w:lang w:val="en" w:eastAsia="en-US"/>
        </w:rPr>
        <w:t xml:space="preserve"> per cent</w:t>
      </w:r>
      <w:r w:rsidR="008934B0" w:rsidRPr="007A5EE9">
        <w:rPr>
          <w:rFonts w:eastAsia="Calibri"/>
          <w:lang w:val="en" w:eastAsia="en-US"/>
        </w:rPr>
        <w:t xml:space="preserve"> coverage).</w:t>
      </w:r>
    </w:p>
    <w:p w14:paraId="0B70F5D4" w14:textId="77777777" w:rsidR="008934B0" w:rsidRPr="007A5EE9" w:rsidRDefault="008934B0" w:rsidP="00086E9C">
      <w:pPr>
        <w:pStyle w:val="Heading3"/>
        <w:rPr>
          <w:rFonts w:eastAsia="Calibri"/>
          <w:lang w:val="en"/>
        </w:rPr>
      </w:pPr>
      <w:r w:rsidRPr="007A5EE9">
        <w:rPr>
          <w:rFonts w:eastAsia="Calibri"/>
          <w:lang w:val="en"/>
        </w:rPr>
        <w:t>Communicable diseases</w:t>
      </w:r>
    </w:p>
    <w:p w14:paraId="0B70F5D5" w14:textId="77777777" w:rsidR="008934B0" w:rsidRPr="007A5EE9" w:rsidRDefault="002D202C" w:rsidP="00086E9C">
      <w:pPr>
        <w:pStyle w:val="BodyText"/>
        <w:rPr>
          <w:rFonts w:eastAsia="Calibri"/>
          <w:lang w:eastAsia="en-US"/>
        </w:rPr>
      </w:pPr>
      <w:r>
        <w:rPr>
          <w:rFonts w:eastAsia="Calibri"/>
          <w:lang w:eastAsia="en-US"/>
        </w:rPr>
        <w:t>Communicable disease targets are mostly on-track, including i</w:t>
      </w:r>
      <w:r w:rsidR="008934B0" w:rsidRPr="007A5EE9">
        <w:rPr>
          <w:rFonts w:eastAsia="Calibri"/>
          <w:lang w:eastAsia="en-US"/>
        </w:rPr>
        <w:t>ncreased condom</w:t>
      </w:r>
      <w:r>
        <w:rPr>
          <w:rFonts w:eastAsia="Calibri"/>
          <w:lang w:eastAsia="en-US"/>
        </w:rPr>
        <w:t xml:space="preserve"> use</w:t>
      </w:r>
      <w:r w:rsidR="008934B0" w:rsidRPr="007A5EE9">
        <w:rPr>
          <w:rFonts w:eastAsia="Calibri"/>
          <w:b/>
          <w:lang w:eastAsia="en-US"/>
        </w:rPr>
        <w:t>.</w:t>
      </w:r>
      <w:r w:rsidR="008934B0" w:rsidRPr="007A5EE9">
        <w:rPr>
          <w:rFonts w:eastAsia="Calibri"/>
          <w:lang w:eastAsia="en-US"/>
        </w:rPr>
        <w:t xml:space="preserve"> With</w:t>
      </w:r>
      <w:r w:rsidR="00C53A30">
        <w:rPr>
          <w:rFonts w:eastAsia="Calibri"/>
          <w:lang w:eastAsia="en-US"/>
        </w:rPr>
        <w:t xml:space="preserve"> Australian</w:t>
      </w:r>
      <w:r w:rsidR="008934B0" w:rsidRPr="007A5EE9">
        <w:rPr>
          <w:rFonts w:eastAsia="Calibri"/>
          <w:lang w:eastAsia="en-US"/>
        </w:rPr>
        <w:t xml:space="preserve"> funding, the PNG Business Coalition </w:t>
      </w:r>
      <w:r w:rsidR="00BD55F5" w:rsidRPr="007A5EE9">
        <w:rPr>
          <w:rFonts w:eastAsia="Calibri"/>
          <w:lang w:eastAsia="en-US"/>
        </w:rPr>
        <w:t>against</w:t>
      </w:r>
      <w:r w:rsidR="008934B0" w:rsidRPr="007A5EE9">
        <w:rPr>
          <w:rFonts w:eastAsia="Calibri"/>
          <w:lang w:eastAsia="en-US"/>
        </w:rPr>
        <w:t xml:space="preserve"> AIDS distributed 29</w:t>
      </w:r>
      <w:r w:rsidR="007C7D0E">
        <w:rPr>
          <w:rFonts w:eastAsia="Calibri"/>
          <w:lang w:eastAsia="en-US"/>
        </w:rPr>
        <w:t xml:space="preserve"> </w:t>
      </w:r>
      <w:r w:rsidR="008934B0" w:rsidRPr="007A5EE9">
        <w:rPr>
          <w:rFonts w:eastAsia="Calibri"/>
          <w:lang w:eastAsia="en-US"/>
        </w:rPr>
        <w:t>627</w:t>
      </w:r>
      <w:r w:rsidR="007C7D0E">
        <w:rPr>
          <w:rFonts w:eastAsia="Calibri"/>
          <w:lang w:eastAsia="en-US"/>
        </w:rPr>
        <w:t xml:space="preserve"> </w:t>
      </w:r>
      <w:r w:rsidR="008934B0" w:rsidRPr="007A5EE9">
        <w:rPr>
          <w:rFonts w:eastAsia="Calibri"/>
          <w:lang w:eastAsia="en-US"/>
        </w:rPr>
        <w:t>504 condoms in 2012. However, research by Population Services International indicates that substantial numbers</w:t>
      </w:r>
      <w:r w:rsidR="009F1630">
        <w:rPr>
          <w:rFonts w:eastAsia="Calibri"/>
          <w:lang w:eastAsia="en-US"/>
        </w:rPr>
        <w:t xml:space="preserve"> of co</w:t>
      </w:r>
      <w:r w:rsidR="00DD49B7">
        <w:rPr>
          <w:rFonts w:eastAsia="Calibri"/>
          <w:lang w:eastAsia="en-US"/>
        </w:rPr>
        <w:t>n</w:t>
      </w:r>
      <w:r w:rsidR="009F1630">
        <w:rPr>
          <w:rFonts w:eastAsia="Calibri"/>
          <w:lang w:eastAsia="en-US"/>
        </w:rPr>
        <w:t>doms</w:t>
      </w:r>
      <w:r w:rsidR="008934B0" w:rsidRPr="007A5EE9">
        <w:rPr>
          <w:rFonts w:eastAsia="Calibri"/>
          <w:lang w:eastAsia="en-US"/>
        </w:rPr>
        <w:t xml:space="preserve"> are not being used where available and that are not always available when needed. </w:t>
      </w:r>
      <w:r w:rsidR="004D2733">
        <w:rPr>
          <w:rFonts w:eastAsia="Calibri"/>
          <w:lang w:eastAsia="en-US"/>
        </w:rPr>
        <w:t>Australia</w:t>
      </w:r>
      <w:r w:rsidR="008934B0" w:rsidRPr="007A5EE9">
        <w:rPr>
          <w:rFonts w:eastAsia="Calibri"/>
          <w:lang w:eastAsia="en-US"/>
        </w:rPr>
        <w:t xml:space="preserve"> is working with </w:t>
      </w:r>
      <w:r w:rsidR="00C53A30">
        <w:rPr>
          <w:rFonts w:eastAsia="Calibri"/>
          <w:lang w:eastAsia="en-US"/>
        </w:rPr>
        <w:t>the National Aids Council Secretariat</w:t>
      </w:r>
      <w:r w:rsidR="008934B0" w:rsidRPr="007A5EE9">
        <w:rPr>
          <w:rFonts w:eastAsia="Calibri"/>
          <w:lang w:eastAsia="en-US"/>
        </w:rPr>
        <w:t xml:space="preserve"> and N</w:t>
      </w:r>
      <w:r w:rsidR="00DD66F1">
        <w:rPr>
          <w:rFonts w:eastAsia="Calibri"/>
          <w:lang w:eastAsia="en-US"/>
        </w:rPr>
        <w:t xml:space="preserve">ational </w:t>
      </w:r>
      <w:r w:rsidR="00C53A30">
        <w:rPr>
          <w:rFonts w:eastAsia="Calibri"/>
          <w:lang w:eastAsia="en-US"/>
        </w:rPr>
        <w:t xml:space="preserve">Department </w:t>
      </w:r>
      <w:r w:rsidR="00DD66F1">
        <w:rPr>
          <w:rFonts w:eastAsia="Calibri"/>
          <w:lang w:eastAsia="en-US"/>
        </w:rPr>
        <w:t>of Health</w:t>
      </w:r>
      <w:r w:rsidR="008934B0" w:rsidRPr="007A5EE9">
        <w:rPr>
          <w:rFonts w:eastAsia="Calibri"/>
          <w:lang w:eastAsia="en-US"/>
        </w:rPr>
        <w:t xml:space="preserve"> on a National Condom Strategy to address the gap between supply and demand.</w:t>
      </w:r>
    </w:p>
    <w:p w14:paraId="0B70F5D6" w14:textId="77777777" w:rsidR="008934B0" w:rsidRPr="007A5EE9" w:rsidRDefault="00051FC7" w:rsidP="00086E9C">
      <w:pPr>
        <w:pStyle w:val="BodyText"/>
        <w:rPr>
          <w:rFonts w:eastAsia="Calibri"/>
          <w:lang w:eastAsia="en-US"/>
        </w:rPr>
      </w:pPr>
      <w:r>
        <w:t xml:space="preserve">The target </w:t>
      </w:r>
      <w:r w:rsidR="003140D4">
        <w:t xml:space="preserve">Australia and PNG </w:t>
      </w:r>
      <w:r>
        <w:t xml:space="preserve">have set for an </w:t>
      </w:r>
      <w:r w:rsidR="003140D4">
        <w:t>i</w:t>
      </w:r>
      <w:r w:rsidR="008934B0" w:rsidRPr="00A522BF">
        <w:t>ncreas</w:t>
      </w:r>
      <w:r w:rsidR="003140D4">
        <w:t>ed</w:t>
      </w:r>
      <w:r w:rsidR="00FC3F85">
        <w:t xml:space="preserve"> </w:t>
      </w:r>
      <w:r w:rsidR="008934B0" w:rsidRPr="00A522BF">
        <w:t>proportion of HIV positive pregnant women accessing treatment</w:t>
      </w:r>
      <w:r>
        <w:t xml:space="preserve"> is unrealistic and will not be achieved </w:t>
      </w:r>
      <w:r w:rsidR="00751EBF" w:rsidRPr="00A522BF">
        <w:rPr>
          <w:rFonts w:eastAsia="Calibri"/>
          <w:lang w:eastAsia="en-US"/>
        </w:rPr>
        <w:t>(the 2015 target of 80</w:t>
      </w:r>
      <w:r w:rsidR="00906A97">
        <w:rPr>
          <w:rFonts w:eastAsia="Calibri"/>
          <w:lang w:eastAsia="en-US"/>
        </w:rPr>
        <w:t xml:space="preserve"> per cent</w:t>
      </w:r>
      <w:r w:rsidR="00751EBF" w:rsidRPr="00A522BF">
        <w:rPr>
          <w:rFonts w:eastAsia="Calibri"/>
          <w:lang w:eastAsia="en-US"/>
        </w:rPr>
        <w:t xml:space="preserve"> compares to estimated results of 12.3</w:t>
      </w:r>
      <w:r w:rsidR="00906A97">
        <w:rPr>
          <w:rFonts w:eastAsia="Calibri"/>
          <w:lang w:eastAsia="en-US"/>
        </w:rPr>
        <w:t xml:space="preserve"> per cent</w:t>
      </w:r>
      <w:r w:rsidR="00751EBF" w:rsidRPr="00A522BF">
        <w:rPr>
          <w:rFonts w:eastAsia="Calibri"/>
          <w:lang w:eastAsia="en-US"/>
        </w:rPr>
        <w:t xml:space="preserve"> in 2011)</w:t>
      </w:r>
      <w:r w:rsidR="008934B0" w:rsidRPr="00A522BF">
        <w:rPr>
          <w:rFonts w:eastAsia="Calibri"/>
          <w:lang w:eastAsia="en-US"/>
        </w:rPr>
        <w:t>.</w:t>
      </w:r>
      <w:r w:rsidR="008934B0" w:rsidRPr="007A5EE9">
        <w:rPr>
          <w:rFonts w:eastAsia="Calibri"/>
          <w:lang w:eastAsia="en-US"/>
        </w:rPr>
        <w:t xml:space="preserve"> </w:t>
      </w:r>
      <w:r w:rsidR="00C53A30">
        <w:rPr>
          <w:rFonts w:eastAsia="Calibri"/>
          <w:lang w:eastAsia="en-US"/>
        </w:rPr>
        <w:t>N</w:t>
      </w:r>
      <w:r w:rsidR="008934B0" w:rsidRPr="007A5EE9">
        <w:rPr>
          <w:rFonts w:eastAsia="Calibri"/>
          <w:lang w:eastAsia="en-US"/>
        </w:rPr>
        <w:t xml:space="preserve">otwithstanding, </w:t>
      </w:r>
      <w:r w:rsidR="00C32287">
        <w:rPr>
          <w:rFonts w:eastAsia="Calibri"/>
          <w:lang w:eastAsia="en-US"/>
        </w:rPr>
        <w:t>Australian</w:t>
      </w:r>
      <w:r w:rsidR="00C32287" w:rsidRPr="007A5EE9">
        <w:rPr>
          <w:rFonts w:eastAsia="Calibri"/>
          <w:lang w:eastAsia="en-US"/>
        </w:rPr>
        <w:t xml:space="preserve"> </w:t>
      </w:r>
      <w:r w:rsidR="008934B0" w:rsidRPr="007A5EE9">
        <w:rPr>
          <w:rFonts w:eastAsia="Calibri"/>
          <w:lang w:eastAsia="en-US"/>
        </w:rPr>
        <w:t>support resulted in 31</w:t>
      </w:r>
      <w:r w:rsidR="001C029F">
        <w:rPr>
          <w:rFonts w:eastAsia="Calibri"/>
          <w:lang w:eastAsia="en-US"/>
        </w:rPr>
        <w:t xml:space="preserve"> </w:t>
      </w:r>
      <w:r w:rsidR="008934B0" w:rsidRPr="007A5EE9">
        <w:rPr>
          <w:rFonts w:eastAsia="Calibri"/>
          <w:lang w:eastAsia="en-US"/>
        </w:rPr>
        <w:t>142 pregnant women accessing HIV tests in 2012. Catholic HIV and AIDS Services Inc increased HIV testing during routine ante-natal care from 11</w:t>
      </w:r>
      <w:r w:rsidR="00906A97">
        <w:rPr>
          <w:rFonts w:eastAsia="Calibri"/>
          <w:lang w:eastAsia="en-US"/>
        </w:rPr>
        <w:t xml:space="preserve"> </w:t>
      </w:r>
      <w:r w:rsidR="008934B0" w:rsidRPr="007A5EE9">
        <w:rPr>
          <w:rFonts w:eastAsia="Calibri"/>
          <w:lang w:eastAsia="en-US"/>
        </w:rPr>
        <w:t xml:space="preserve">000 women in 2011 to </w:t>
      </w:r>
      <w:r w:rsidR="00C53A30">
        <w:rPr>
          <w:rFonts w:eastAsia="Calibri"/>
          <w:lang w:eastAsia="en-US"/>
        </w:rPr>
        <w:t>more than</w:t>
      </w:r>
      <w:r w:rsidR="00C53A30" w:rsidRPr="007A5EE9">
        <w:rPr>
          <w:rFonts w:eastAsia="Calibri"/>
          <w:lang w:eastAsia="en-US"/>
        </w:rPr>
        <w:t xml:space="preserve"> </w:t>
      </w:r>
      <w:r w:rsidR="008934B0" w:rsidRPr="007A5EE9">
        <w:rPr>
          <w:rFonts w:eastAsia="Calibri"/>
          <w:lang w:eastAsia="en-US"/>
        </w:rPr>
        <w:t>18</w:t>
      </w:r>
      <w:r w:rsidR="00906A97">
        <w:rPr>
          <w:rFonts w:eastAsia="Calibri"/>
          <w:lang w:eastAsia="en-US"/>
        </w:rPr>
        <w:t xml:space="preserve"> </w:t>
      </w:r>
      <w:r w:rsidR="008934B0" w:rsidRPr="007A5EE9">
        <w:rPr>
          <w:rFonts w:eastAsia="Calibri"/>
          <w:lang w:eastAsia="en-US"/>
        </w:rPr>
        <w:t xml:space="preserve">000 women in 2012. </w:t>
      </w:r>
      <w:r w:rsidR="008934B0" w:rsidRPr="00AE7F9A">
        <w:rPr>
          <w:rFonts w:eastAsia="Calibri"/>
          <w:lang w:eastAsia="en-US"/>
        </w:rPr>
        <w:t>Increased access to anti-retroviral therapy drugs is on track</w:t>
      </w:r>
      <w:r w:rsidR="009C0C0B">
        <w:rPr>
          <w:rFonts w:eastAsia="Calibri"/>
          <w:lang w:eastAsia="en-US"/>
        </w:rPr>
        <w:t>, with 79</w:t>
      </w:r>
      <w:r w:rsidR="00906A97">
        <w:rPr>
          <w:rFonts w:eastAsia="Calibri"/>
          <w:lang w:eastAsia="en-US"/>
        </w:rPr>
        <w:t xml:space="preserve"> per cent</w:t>
      </w:r>
      <w:r w:rsidR="00AE7F9A" w:rsidRPr="00AE7F9A">
        <w:rPr>
          <w:rFonts w:eastAsia="Calibri"/>
          <w:lang w:eastAsia="en-US"/>
        </w:rPr>
        <w:t xml:space="preserve"> </w:t>
      </w:r>
      <w:r w:rsidR="009C0C0B">
        <w:rPr>
          <w:rFonts w:eastAsia="Calibri"/>
          <w:lang w:eastAsia="en-US"/>
        </w:rPr>
        <w:t>of the population</w:t>
      </w:r>
      <w:r w:rsidR="00AE7F9A">
        <w:rPr>
          <w:rFonts w:eastAsia="Calibri"/>
          <w:lang w:eastAsia="en-US"/>
        </w:rPr>
        <w:t xml:space="preserve"> </w:t>
      </w:r>
      <w:r w:rsidR="008C4D1B" w:rsidRPr="00AE7F9A">
        <w:rPr>
          <w:rFonts w:eastAsia="Calibri"/>
          <w:lang w:eastAsia="en-US"/>
        </w:rPr>
        <w:t xml:space="preserve">in need </w:t>
      </w:r>
      <w:r w:rsidR="009C0C0B">
        <w:rPr>
          <w:rFonts w:eastAsia="Calibri"/>
          <w:lang w:eastAsia="en-US"/>
        </w:rPr>
        <w:t xml:space="preserve">of </w:t>
      </w:r>
      <w:r w:rsidR="00C53A30">
        <w:rPr>
          <w:rFonts w:eastAsia="Calibri"/>
          <w:lang w:eastAsia="en-US"/>
        </w:rPr>
        <w:t xml:space="preserve">such </w:t>
      </w:r>
      <w:r w:rsidR="009C0C0B">
        <w:rPr>
          <w:rFonts w:eastAsia="Calibri"/>
          <w:lang w:eastAsia="en-US"/>
        </w:rPr>
        <w:t>drugs receiving them in 2011, close to the 2015 target of 80</w:t>
      </w:r>
      <w:r w:rsidR="00F6358F">
        <w:rPr>
          <w:rFonts w:eastAsia="Calibri"/>
          <w:lang w:eastAsia="en-US"/>
        </w:rPr>
        <w:t> </w:t>
      </w:r>
      <w:r w:rsidR="00906A97">
        <w:rPr>
          <w:rFonts w:eastAsia="Calibri"/>
          <w:lang w:eastAsia="en-US"/>
        </w:rPr>
        <w:t>per cent</w:t>
      </w:r>
      <w:r w:rsidR="008934B0" w:rsidRPr="00AE7F9A">
        <w:rPr>
          <w:rFonts w:eastAsia="Calibri"/>
          <w:lang w:eastAsia="en-US"/>
        </w:rPr>
        <w:t>. In 2011</w:t>
      </w:r>
      <w:r w:rsidR="00906A97">
        <w:rPr>
          <w:rFonts w:eastAsia="Calibri"/>
          <w:lang w:eastAsia="en-US"/>
        </w:rPr>
        <w:t>,</w:t>
      </w:r>
      <w:r w:rsidR="008934B0" w:rsidRPr="00AE7F9A">
        <w:rPr>
          <w:rFonts w:eastAsia="Calibri"/>
          <w:lang w:eastAsia="en-US"/>
        </w:rPr>
        <w:t xml:space="preserve"> 9435 adults accessed</w:t>
      </w:r>
      <w:r w:rsidR="008934B0" w:rsidRPr="007A5EE9">
        <w:rPr>
          <w:rFonts w:eastAsia="Calibri"/>
          <w:lang w:eastAsia="en-US"/>
        </w:rPr>
        <w:t xml:space="preserve"> </w:t>
      </w:r>
      <w:r w:rsidR="00C53A30" w:rsidRPr="00AE7F9A">
        <w:rPr>
          <w:rFonts w:eastAsia="Calibri"/>
          <w:lang w:eastAsia="en-US"/>
        </w:rPr>
        <w:t xml:space="preserve">anti-retroviral therapy </w:t>
      </w:r>
      <w:r w:rsidR="00C53A30">
        <w:rPr>
          <w:rFonts w:eastAsia="Calibri"/>
          <w:lang w:eastAsia="en-US"/>
        </w:rPr>
        <w:t xml:space="preserve">drugs </w:t>
      </w:r>
      <w:r w:rsidR="008934B0" w:rsidRPr="007A5EE9">
        <w:rPr>
          <w:rFonts w:eastAsia="Calibri"/>
          <w:lang w:eastAsia="en-US"/>
        </w:rPr>
        <w:t>out of an estimated 15</w:t>
      </w:r>
      <w:r w:rsidR="00F6358F">
        <w:rPr>
          <w:rFonts w:eastAsia="Calibri"/>
          <w:lang w:eastAsia="en-US"/>
        </w:rPr>
        <w:t> </w:t>
      </w:r>
      <w:r w:rsidR="008934B0" w:rsidRPr="007A5EE9">
        <w:rPr>
          <w:rFonts w:eastAsia="Calibri"/>
          <w:lang w:eastAsia="en-US"/>
        </w:rPr>
        <w:t xml:space="preserve">456 in need. </w:t>
      </w:r>
      <w:r w:rsidR="00C53A30">
        <w:rPr>
          <w:rFonts w:eastAsia="Calibri"/>
          <w:lang w:eastAsia="en-US"/>
        </w:rPr>
        <w:t>More than</w:t>
      </w:r>
      <w:r w:rsidR="00C53A30" w:rsidRPr="007A5EE9">
        <w:rPr>
          <w:rFonts w:eastAsia="Calibri"/>
          <w:lang w:eastAsia="en-US"/>
        </w:rPr>
        <w:t xml:space="preserve"> </w:t>
      </w:r>
      <w:r w:rsidR="008934B0" w:rsidRPr="007A5EE9">
        <w:rPr>
          <w:rFonts w:eastAsia="Calibri"/>
          <w:lang w:eastAsia="en-US"/>
        </w:rPr>
        <w:t xml:space="preserve">3000 of these adults were served by </w:t>
      </w:r>
      <w:r w:rsidR="001C029F">
        <w:rPr>
          <w:rFonts w:eastAsia="Calibri"/>
          <w:lang w:eastAsia="en-US"/>
        </w:rPr>
        <w:t xml:space="preserve">the </w:t>
      </w:r>
      <w:r w:rsidR="001C029F" w:rsidRPr="007A5EE9">
        <w:rPr>
          <w:rFonts w:eastAsia="Calibri"/>
          <w:lang w:eastAsia="en-US"/>
        </w:rPr>
        <w:t>Catholic HIV and AIDS Services Inc</w:t>
      </w:r>
      <w:r w:rsidR="008934B0" w:rsidRPr="007A5EE9">
        <w:rPr>
          <w:rFonts w:eastAsia="Calibri"/>
          <w:lang w:eastAsia="en-US"/>
        </w:rPr>
        <w:t>. In 2012</w:t>
      </w:r>
      <w:r w:rsidR="00C53A30">
        <w:rPr>
          <w:rFonts w:eastAsia="Calibri"/>
          <w:lang w:eastAsia="en-US"/>
        </w:rPr>
        <w:t>,</w:t>
      </w:r>
      <w:r w:rsidR="008934B0" w:rsidRPr="007A5EE9">
        <w:rPr>
          <w:rFonts w:eastAsia="Calibri"/>
          <w:lang w:eastAsia="en-US"/>
        </w:rPr>
        <w:t xml:space="preserve"> </w:t>
      </w:r>
      <w:r w:rsidR="004D2733">
        <w:rPr>
          <w:rFonts w:eastAsia="Calibri"/>
          <w:lang w:eastAsia="en-US"/>
        </w:rPr>
        <w:t>Australia</w:t>
      </w:r>
      <w:r w:rsidR="008934B0" w:rsidRPr="007A5EE9">
        <w:rPr>
          <w:rFonts w:eastAsia="Calibri"/>
          <w:lang w:eastAsia="en-US"/>
        </w:rPr>
        <w:t xml:space="preserve"> </w:t>
      </w:r>
      <w:r w:rsidR="0030260A">
        <w:rPr>
          <w:rFonts w:eastAsia="Calibri"/>
          <w:lang w:eastAsia="en-US"/>
        </w:rPr>
        <w:t>non-government organisation (</w:t>
      </w:r>
      <w:r w:rsidR="008934B0" w:rsidRPr="007A5EE9">
        <w:rPr>
          <w:rFonts w:eastAsia="Calibri"/>
          <w:lang w:eastAsia="en-US"/>
        </w:rPr>
        <w:t>NGO</w:t>
      </w:r>
      <w:r w:rsidR="0030260A">
        <w:rPr>
          <w:rFonts w:eastAsia="Calibri"/>
          <w:lang w:eastAsia="en-US"/>
        </w:rPr>
        <w:t>)</w:t>
      </w:r>
      <w:r w:rsidR="008934B0" w:rsidRPr="007A5EE9">
        <w:rPr>
          <w:rFonts w:eastAsia="Calibri"/>
          <w:lang w:eastAsia="en-US"/>
        </w:rPr>
        <w:t xml:space="preserve"> partners </w:t>
      </w:r>
      <w:r w:rsidR="00C53A30">
        <w:rPr>
          <w:rFonts w:eastAsia="Calibri"/>
          <w:lang w:eastAsia="en-US"/>
        </w:rPr>
        <w:t>started</w:t>
      </w:r>
      <w:r w:rsidR="00C53A30" w:rsidRPr="007A5EE9">
        <w:rPr>
          <w:rFonts w:eastAsia="Calibri"/>
          <w:lang w:eastAsia="en-US"/>
        </w:rPr>
        <w:t xml:space="preserve"> </w:t>
      </w:r>
      <w:r w:rsidR="008934B0" w:rsidRPr="007A5EE9">
        <w:rPr>
          <w:rFonts w:eastAsia="Calibri"/>
          <w:lang w:eastAsia="en-US"/>
        </w:rPr>
        <w:t>1300</w:t>
      </w:r>
      <w:r w:rsidR="00F6358F">
        <w:rPr>
          <w:rFonts w:eastAsia="Calibri"/>
          <w:lang w:eastAsia="en-US"/>
        </w:rPr>
        <w:t> </w:t>
      </w:r>
      <w:r w:rsidR="008934B0" w:rsidRPr="007A5EE9">
        <w:rPr>
          <w:rFonts w:eastAsia="Calibri"/>
          <w:lang w:eastAsia="en-US"/>
        </w:rPr>
        <w:t xml:space="preserve">people on </w:t>
      </w:r>
      <w:r w:rsidR="0030260A">
        <w:rPr>
          <w:rFonts w:eastAsia="Calibri"/>
          <w:lang w:eastAsia="en-US"/>
        </w:rPr>
        <w:t>the drugs</w:t>
      </w:r>
      <w:r w:rsidR="008934B0" w:rsidRPr="007A5EE9">
        <w:rPr>
          <w:rFonts w:eastAsia="Calibri"/>
          <w:lang w:eastAsia="en-US"/>
        </w:rPr>
        <w:t xml:space="preserve"> and increased the number of sites</w:t>
      </w:r>
      <w:r w:rsidR="0030260A">
        <w:rPr>
          <w:rFonts w:eastAsia="Calibri"/>
          <w:lang w:eastAsia="en-US"/>
        </w:rPr>
        <w:t xml:space="preserve"> at which the drugs are available</w:t>
      </w:r>
      <w:r w:rsidR="008934B0" w:rsidRPr="007A5EE9">
        <w:rPr>
          <w:rFonts w:eastAsia="Calibri"/>
          <w:lang w:eastAsia="en-US"/>
        </w:rPr>
        <w:t>.</w:t>
      </w:r>
    </w:p>
    <w:p w14:paraId="0B70F5D7" w14:textId="77777777" w:rsidR="008934B0" w:rsidRPr="007A5EE9" w:rsidRDefault="008934B0" w:rsidP="00086E9C">
      <w:pPr>
        <w:pStyle w:val="BodyText"/>
        <w:rPr>
          <w:rFonts w:eastAsia="Calibri"/>
          <w:lang w:val="en" w:eastAsia="en-US"/>
        </w:rPr>
      </w:pPr>
      <w:r w:rsidRPr="007A5EE9">
        <w:rPr>
          <w:rFonts w:eastAsia="Calibri"/>
          <w:lang w:val="en" w:eastAsia="en-US"/>
        </w:rPr>
        <w:t>Global Fund grants were used to directly deliver malaria services across PNG in 2012. This included delivery and distribution of 1</w:t>
      </w:r>
      <w:r w:rsidR="00906A97">
        <w:rPr>
          <w:rFonts w:eastAsia="Calibri"/>
          <w:lang w:val="en" w:eastAsia="en-US"/>
        </w:rPr>
        <w:t xml:space="preserve"> </w:t>
      </w:r>
      <w:r w:rsidRPr="007A5EE9">
        <w:rPr>
          <w:rFonts w:eastAsia="Calibri"/>
          <w:lang w:val="en" w:eastAsia="en-US"/>
        </w:rPr>
        <w:t>885</w:t>
      </w:r>
      <w:r w:rsidR="00906A97">
        <w:rPr>
          <w:rFonts w:eastAsia="Calibri"/>
          <w:lang w:val="en" w:eastAsia="en-US"/>
        </w:rPr>
        <w:t xml:space="preserve"> </w:t>
      </w:r>
      <w:r w:rsidRPr="007A5EE9">
        <w:rPr>
          <w:rFonts w:eastAsia="Calibri"/>
          <w:lang w:val="en" w:eastAsia="en-US"/>
        </w:rPr>
        <w:t>110 doses of the new anti-malarial</w:t>
      </w:r>
      <w:r w:rsidR="00906A97">
        <w:rPr>
          <w:rFonts w:eastAsia="Calibri"/>
          <w:lang w:val="en" w:eastAsia="en-US"/>
        </w:rPr>
        <w:t xml:space="preserve">, </w:t>
      </w:r>
      <w:r w:rsidRPr="007A5EE9">
        <w:rPr>
          <w:rFonts w:eastAsia="Calibri"/>
          <w:lang w:val="en" w:eastAsia="en-US"/>
        </w:rPr>
        <w:t>artemether-lumefantrine</w:t>
      </w:r>
      <w:r w:rsidR="001D3F15">
        <w:rPr>
          <w:rFonts w:eastAsia="Calibri"/>
          <w:lang w:val="en" w:eastAsia="en-US"/>
        </w:rPr>
        <w:t>;</w:t>
      </w:r>
      <w:r w:rsidRPr="007A5EE9">
        <w:rPr>
          <w:rFonts w:eastAsia="Calibri"/>
          <w:lang w:val="en" w:eastAsia="en-US"/>
        </w:rPr>
        <w:t xml:space="preserve"> 805</w:t>
      </w:r>
      <w:r w:rsidR="00906A97">
        <w:rPr>
          <w:rFonts w:eastAsia="Calibri"/>
          <w:lang w:val="en" w:eastAsia="en-US"/>
        </w:rPr>
        <w:t xml:space="preserve"> </w:t>
      </w:r>
      <w:r w:rsidRPr="007A5EE9">
        <w:rPr>
          <w:rFonts w:eastAsia="Calibri"/>
          <w:lang w:val="en" w:eastAsia="en-US"/>
        </w:rPr>
        <w:t>000 rapid diagnostic tests to all health centre</w:t>
      </w:r>
      <w:r w:rsidR="00C55F9A">
        <w:rPr>
          <w:rFonts w:eastAsia="Calibri"/>
          <w:lang w:val="en" w:eastAsia="en-US"/>
        </w:rPr>
        <w:t>s</w:t>
      </w:r>
      <w:r w:rsidR="001D3F15">
        <w:rPr>
          <w:rFonts w:eastAsia="Calibri"/>
          <w:lang w:val="en" w:eastAsia="en-US"/>
        </w:rPr>
        <w:t>;</w:t>
      </w:r>
      <w:r w:rsidRPr="007A5EE9">
        <w:rPr>
          <w:rFonts w:eastAsia="Calibri"/>
          <w:lang w:val="en" w:eastAsia="en-US"/>
        </w:rPr>
        <w:t xml:space="preserve"> 160</w:t>
      </w:r>
      <w:r w:rsidR="00906A97">
        <w:rPr>
          <w:rFonts w:eastAsia="Calibri"/>
          <w:lang w:val="en" w:eastAsia="en-US"/>
        </w:rPr>
        <w:t xml:space="preserve"> </w:t>
      </w:r>
      <w:r w:rsidRPr="007A5EE9">
        <w:rPr>
          <w:rFonts w:eastAsia="Calibri"/>
          <w:lang w:val="en" w:eastAsia="en-US"/>
        </w:rPr>
        <w:t xml:space="preserve">538 bed nets </w:t>
      </w:r>
      <w:r w:rsidR="001D3F15">
        <w:rPr>
          <w:rFonts w:eastAsia="Calibri"/>
          <w:lang w:val="en" w:eastAsia="en-US"/>
        </w:rPr>
        <w:t xml:space="preserve">delivered </w:t>
      </w:r>
      <w:r w:rsidRPr="007A5EE9">
        <w:rPr>
          <w:rFonts w:eastAsia="Calibri"/>
          <w:lang w:val="en" w:eastAsia="en-US"/>
        </w:rPr>
        <w:t>to vulnerable groups and 902</w:t>
      </w:r>
      <w:r w:rsidR="00906A97">
        <w:rPr>
          <w:rFonts w:eastAsia="Calibri"/>
          <w:lang w:val="en" w:eastAsia="en-US"/>
        </w:rPr>
        <w:t xml:space="preserve"> </w:t>
      </w:r>
      <w:r w:rsidRPr="007A5EE9">
        <w:rPr>
          <w:rFonts w:eastAsia="Calibri"/>
          <w:lang w:val="en" w:eastAsia="en-US"/>
        </w:rPr>
        <w:t xml:space="preserve">952 to the general population. Global Fund grants also </w:t>
      </w:r>
      <w:r w:rsidR="00B16267">
        <w:rPr>
          <w:rFonts w:eastAsia="Calibri"/>
          <w:lang w:val="en" w:eastAsia="en-US"/>
        </w:rPr>
        <w:t>support</w:t>
      </w:r>
      <w:r w:rsidR="00C55F9A">
        <w:rPr>
          <w:rFonts w:eastAsia="Calibri"/>
          <w:lang w:val="en" w:eastAsia="en-US"/>
        </w:rPr>
        <w:t>ed</w:t>
      </w:r>
      <w:r w:rsidR="00B16267">
        <w:rPr>
          <w:rFonts w:eastAsia="Calibri"/>
          <w:lang w:val="en" w:eastAsia="en-US"/>
        </w:rPr>
        <w:t xml:space="preserve"> </w:t>
      </w:r>
      <w:r w:rsidR="005820DE">
        <w:rPr>
          <w:rFonts w:eastAsia="Calibri"/>
          <w:lang w:val="en" w:eastAsia="en-US"/>
        </w:rPr>
        <w:t>implementation</w:t>
      </w:r>
      <w:r w:rsidR="00B16267">
        <w:rPr>
          <w:rFonts w:eastAsia="Calibri"/>
          <w:lang w:val="en" w:eastAsia="en-US"/>
        </w:rPr>
        <w:t xml:space="preserve"> of</w:t>
      </w:r>
      <w:r w:rsidRPr="007A5EE9">
        <w:rPr>
          <w:rFonts w:eastAsia="Calibri"/>
          <w:lang w:val="en" w:eastAsia="en-US"/>
        </w:rPr>
        <w:t xml:space="preserve"> TB directly observable treatment</w:t>
      </w:r>
      <w:r w:rsidR="0012364E">
        <w:rPr>
          <w:rFonts w:eastAsia="Calibri"/>
          <w:lang w:val="en" w:eastAsia="en-US"/>
        </w:rPr>
        <w:t xml:space="preserve"> </w:t>
      </w:r>
      <w:r w:rsidRPr="007A5EE9">
        <w:rPr>
          <w:rFonts w:eastAsia="Calibri"/>
          <w:lang w:val="en" w:eastAsia="en-US"/>
        </w:rPr>
        <w:t>short</w:t>
      </w:r>
      <w:r w:rsidR="009F1630">
        <w:rPr>
          <w:rFonts w:eastAsia="Calibri"/>
          <w:lang w:val="en" w:eastAsia="en-US"/>
        </w:rPr>
        <w:t>-</w:t>
      </w:r>
      <w:r w:rsidRPr="007A5EE9">
        <w:rPr>
          <w:rFonts w:eastAsia="Calibri"/>
          <w:lang w:val="en" w:eastAsia="en-US"/>
        </w:rPr>
        <w:t>course program</w:t>
      </w:r>
      <w:r w:rsidR="00B16267">
        <w:rPr>
          <w:rFonts w:eastAsia="Calibri"/>
          <w:lang w:val="en" w:eastAsia="en-US"/>
        </w:rPr>
        <w:t>s</w:t>
      </w:r>
      <w:r w:rsidRPr="007A5EE9">
        <w:rPr>
          <w:rFonts w:eastAsia="Calibri"/>
          <w:lang w:val="en" w:eastAsia="en-US"/>
        </w:rPr>
        <w:t xml:space="preserve">. This involved training 859 treatment supporters, </w:t>
      </w:r>
      <w:r w:rsidR="00C55F9A">
        <w:rPr>
          <w:rFonts w:eastAsia="Calibri"/>
          <w:lang w:val="en" w:eastAsia="en-US"/>
        </w:rPr>
        <w:t xml:space="preserve">conducting </w:t>
      </w:r>
      <w:r w:rsidRPr="007A5EE9">
        <w:rPr>
          <w:rFonts w:eastAsia="Calibri"/>
          <w:lang w:val="en" w:eastAsia="en-US"/>
        </w:rPr>
        <w:t>22</w:t>
      </w:r>
      <w:r w:rsidR="00906A97">
        <w:rPr>
          <w:rFonts w:eastAsia="Calibri"/>
          <w:lang w:val="en" w:eastAsia="en-US"/>
        </w:rPr>
        <w:t xml:space="preserve"> </w:t>
      </w:r>
      <w:r w:rsidRPr="007A5EE9">
        <w:rPr>
          <w:rFonts w:eastAsia="Calibri"/>
          <w:lang w:val="en" w:eastAsia="en-US"/>
        </w:rPr>
        <w:t>488 TB case notifications and testing 3750 TB cases for HIV.</w:t>
      </w:r>
    </w:p>
    <w:p w14:paraId="0B70F5D8" w14:textId="77777777" w:rsidR="008934B0" w:rsidRPr="007A5EE9" w:rsidRDefault="008934B0" w:rsidP="00086E9C">
      <w:pPr>
        <w:pStyle w:val="Heading3"/>
        <w:rPr>
          <w:rFonts w:eastAsia="Calibri"/>
          <w:lang w:val="en"/>
        </w:rPr>
      </w:pPr>
      <w:r w:rsidRPr="007A5EE9">
        <w:rPr>
          <w:rFonts w:eastAsia="Calibri"/>
          <w:lang w:val="en"/>
        </w:rPr>
        <w:t>Health financing</w:t>
      </w:r>
    </w:p>
    <w:p w14:paraId="0B70F5D9" w14:textId="77777777" w:rsidR="008934B0" w:rsidRPr="007A5EE9" w:rsidRDefault="008934B0" w:rsidP="00086E9C">
      <w:pPr>
        <w:pStyle w:val="BodyText"/>
        <w:rPr>
          <w:rFonts w:eastAsia="Calibri"/>
          <w:lang w:val="en" w:eastAsia="en-US"/>
        </w:rPr>
      </w:pPr>
      <w:r w:rsidRPr="007A5EE9">
        <w:rPr>
          <w:rFonts w:eastAsia="Calibri"/>
          <w:lang w:val="en" w:eastAsia="en-US"/>
        </w:rPr>
        <w:t xml:space="preserve">Health financing </w:t>
      </w:r>
      <w:r w:rsidR="00FC3F85">
        <w:rPr>
          <w:rFonts w:eastAsia="Calibri"/>
          <w:lang w:val="en" w:eastAsia="en-US"/>
        </w:rPr>
        <w:t>is on</w:t>
      </w:r>
      <w:r w:rsidRPr="007A5EE9">
        <w:rPr>
          <w:rFonts w:eastAsia="Calibri"/>
          <w:lang w:val="en" w:eastAsia="en-US"/>
        </w:rPr>
        <w:t xml:space="preserve"> track</w:t>
      </w:r>
      <w:r w:rsidR="00FC3F85">
        <w:rPr>
          <w:rFonts w:eastAsia="Calibri"/>
          <w:lang w:val="en" w:eastAsia="en-US"/>
        </w:rPr>
        <w:t xml:space="preserve"> to reach targets</w:t>
      </w:r>
      <w:r w:rsidRPr="007A5EE9">
        <w:rPr>
          <w:rFonts w:eastAsia="Calibri"/>
          <w:lang w:val="en" w:eastAsia="en-US"/>
        </w:rPr>
        <w:t xml:space="preserve">, although Australia’s budget </w:t>
      </w:r>
      <w:r>
        <w:rPr>
          <w:rFonts w:eastAsia="Calibri"/>
          <w:lang w:val="en" w:eastAsia="en-US"/>
        </w:rPr>
        <w:t xml:space="preserve">engagement on </w:t>
      </w:r>
      <w:r w:rsidR="00C55F9A">
        <w:rPr>
          <w:rFonts w:eastAsia="Calibri"/>
          <w:lang w:val="en" w:eastAsia="en-US"/>
        </w:rPr>
        <w:t>h</w:t>
      </w:r>
      <w:r>
        <w:rPr>
          <w:rFonts w:eastAsia="Calibri"/>
          <w:lang w:val="en" w:eastAsia="en-US"/>
        </w:rPr>
        <w:t>ealth and HIV</w:t>
      </w:r>
      <w:r w:rsidRPr="007A5EE9">
        <w:rPr>
          <w:rFonts w:eastAsia="Calibri"/>
          <w:lang w:val="en" w:eastAsia="en-US"/>
        </w:rPr>
        <w:t xml:space="preserve"> ha</w:t>
      </w:r>
      <w:r w:rsidR="00C32287">
        <w:rPr>
          <w:rFonts w:eastAsia="Calibri"/>
          <w:lang w:val="en" w:eastAsia="en-US"/>
        </w:rPr>
        <w:t>d</w:t>
      </w:r>
      <w:r w:rsidRPr="007A5EE9">
        <w:rPr>
          <w:rFonts w:eastAsia="Calibri"/>
          <w:lang w:val="en" w:eastAsia="en-US"/>
        </w:rPr>
        <w:t xml:space="preserve"> mixed success. PNG funded another increase in the Health Function Grant to meet the minimum cost of services requirement for the first time in 2013. </w:t>
      </w:r>
      <w:r w:rsidRPr="007A5EE9">
        <w:rPr>
          <w:rFonts w:eastAsia="Calibri"/>
          <w:lang w:eastAsia="en-US"/>
        </w:rPr>
        <w:t>Medical supplies (inc</w:t>
      </w:r>
      <w:r w:rsidR="008E2832">
        <w:rPr>
          <w:rFonts w:eastAsia="Calibri"/>
          <w:lang w:eastAsia="en-US"/>
        </w:rPr>
        <w:t xml:space="preserve">luding </w:t>
      </w:r>
      <w:r w:rsidR="00C55F9A" w:rsidRPr="00AE7F9A">
        <w:rPr>
          <w:rFonts w:eastAsia="Calibri"/>
          <w:lang w:eastAsia="en-US"/>
        </w:rPr>
        <w:t>anti-retroviral therapy</w:t>
      </w:r>
      <w:r w:rsidR="00C55F9A">
        <w:rPr>
          <w:rFonts w:eastAsia="Calibri"/>
          <w:lang w:eastAsia="en-US"/>
        </w:rPr>
        <w:t xml:space="preserve"> drugs</w:t>
      </w:r>
      <w:r w:rsidR="008E2832">
        <w:rPr>
          <w:rFonts w:eastAsia="Calibri"/>
          <w:lang w:eastAsia="en-US"/>
        </w:rPr>
        <w:t>) and, eventually</w:t>
      </w:r>
      <w:r w:rsidR="00C55F9A">
        <w:rPr>
          <w:rFonts w:eastAsia="Calibri"/>
          <w:lang w:eastAsia="en-US"/>
        </w:rPr>
        <w:t xml:space="preserve"> TB</w:t>
      </w:r>
      <w:r w:rsidR="008E2832">
        <w:rPr>
          <w:rFonts w:eastAsia="Calibri"/>
          <w:lang w:eastAsia="en-US"/>
        </w:rPr>
        <w:t>,</w:t>
      </w:r>
      <w:r w:rsidRPr="007A5EE9">
        <w:rPr>
          <w:rFonts w:eastAsia="Calibri"/>
          <w:lang w:eastAsia="en-US"/>
        </w:rPr>
        <w:t xml:space="preserve"> received </w:t>
      </w:r>
      <w:r w:rsidR="001D3F15">
        <w:rPr>
          <w:rFonts w:eastAsia="Calibri"/>
          <w:lang w:eastAsia="en-US"/>
        </w:rPr>
        <w:t xml:space="preserve">agreed </w:t>
      </w:r>
      <w:r w:rsidRPr="007A5EE9">
        <w:rPr>
          <w:rFonts w:eastAsia="Calibri"/>
          <w:lang w:eastAsia="en-US"/>
        </w:rPr>
        <w:t xml:space="preserve">funding targets while health workforce training institutions and Christian Health Services fell short of </w:t>
      </w:r>
      <w:r w:rsidR="00FC3F85">
        <w:rPr>
          <w:rFonts w:eastAsia="Calibri"/>
          <w:lang w:eastAsia="en-US"/>
        </w:rPr>
        <w:t>funding requirements</w:t>
      </w:r>
      <w:r w:rsidRPr="007A5EE9">
        <w:rPr>
          <w:rFonts w:eastAsia="Calibri"/>
          <w:lang w:eastAsia="en-US"/>
        </w:rPr>
        <w:t>.</w:t>
      </w:r>
      <w:r w:rsidRPr="007A5EE9">
        <w:rPr>
          <w:rFonts w:eastAsia="Calibri"/>
          <w:lang w:val="en" w:eastAsia="en-US"/>
        </w:rPr>
        <w:t xml:space="preserve"> </w:t>
      </w:r>
      <w:r w:rsidRPr="007A5EE9">
        <w:rPr>
          <w:rFonts w:eastAsia="Calibri"/>
          <w:lang w:eastAsia="en-US"/>
        </w:rPr>
        <w:t>Despite</w:t>
      </w:r>
      <w:r w:rsidR="00C55F9A">
        <w:rPr>
          <w:rFonts w:eastAsia="Calibri"/>
          <w:lang w:eastAsia="en-US"/>
        </w:rPr>
        <w:t xml:space="preserve"> funding</w:t>
      </w:r>
      <w:r w:rsidRPr="007A5EE9">
        <w:rPr>
          <w:rFonts w:eastAsia="Calibri"/>
          <w:lang w:eastAsia="en-US"/>
        </w:rPr>
        <w:t xml:space="preserve"> increases, the quality of health expenditure is variable. Weak provincial capacity, unnecessarily high administration cost</w:t>
      </w:r>
      <w:r w:rsidR="008E2832">
        <w:rPr>
          <w:rFonts w:eastAsia="Calibri"/>
          <w:lang w:eastAsia="en-US"/>
        </w:rPr>
        <w:t>s</w:t>
      </w:r>
      <w:r w:rsidRPr="007A5EE9">
        <w:rPr>
          <w:rFonts w:eastAsia="Calibri"/>
          <w:lang w:eastAsia="en-US"/>
        </w:rPr>
        <w:t>, and the late release of the H</w:t>
      </w:r>
      <w:r w:rsidR="00C55F9A">
        <w:rPr>
          <w:rFonts w:eastAsia="Calibri"/>
          <w:lang w:eastAsia="en-US"/>
        </w:rPr>
        <w:t>ealth Fund Grant</w:t>
      </w:r>
      <w:r w:rsidRPr="007A5EE9">
        <w:rPr>
          <w:rFonts w:eastAsia="Calibri"/>
          <w:lang w:eastAsia="en-US"/>
        </w:rPr>
        <w:t xml:space="preserve"> </w:t>
      </w:r>
      <w:r w:rsidR="00FC3F85">
        <w:rPr>
          <w:rFonts w:eastAsia="Calibri"/>
          <w:lang w:eastAsia="en-US"/>
        </w:rPr>
        <w:t xml:space="preserve">by </w:t>
      </w:r>
      <w:r w:rsidRPr="007A5EE9">
        <w:rPr>
          <w:rFonts w:eastAsia="Calibri"/>
          <w:lang w:eastAsia="en-US"/>
        </w:rPr>
        <w:t xml:space="preserve">central agencies are the </w:t>
      </w:r>
      <w:r w:rsidR="00FC3F85">
        <w:rPr>
          <w:rFonts w:eastAsia="Calibri"/>
          <w:lang w:eastAsia="en-US"/>
        </w:rPr>
        <w:t>apparent</w:t>
      </w:r>
      <w:r w:rsidRPr="007A5EE9">
        <w:rPr>
          <w:rFonts w:eastAsia="Calibri"/>
          <w:lang w:eastAsia="en-US"/>
        </w:rPr>
        <w:t xml:space="preserve"> bottlenecks to better quality spending. </w:t>
      </w:r>
      <w:r w:rsidRPr="007A5EE9">
        <w:rPr>
          <w:rFonts w:eastAsia="Calibri"/>
          <w:lang w:eastAsia="en-US"/>
        </w:rPr>
        <w:lastRenderedPageBreak/>
        <w:t>Australia is commissioning analytical work through the World Bank and the Promoting Effective Public Expenditure</w:t>
      </w:r>
      <w:r w:rsidR="002D202C">
        <w:rPr>
          <w:rStyle w:val="FootnoteReference"/>
          <w:rFonts w:eastAsia="Calibri"/>
          <w:lang w:eastAsia="en-US"/>
        </w:rPr>
        <w:footnoteReference w:id="29"/>
      </w:r>
      <w:r w:rsidRPr="007A5EE9">
        <w:rPr>
          <w:rFonts w:eastAsia="Calibri"/>
          <w:lang w:eastAsia="en-US"/>
        </w:rPr>
        <w:t xml:space="preserve"> project to identify areas to improve </w:t>
      </w:r>
      <w:r w:rsidR="00FC3F85">
        <w:rPr>
          <w:rFonts w:eastAsia="Calibri"/>
          <w:lang w:eastAsia="en-US"/>
        </w:rPr>
        <w:t xml:space="preserve">the </w:t>
      </w:r>
      <w:r w:rsidRPr="007A5EE9">
        <w:rPr>
          <w:rFonts w:eastAsia="Calibri"/>
          <w:lang w:eastAsia="en-US"/>
        </w:rPr>
        <w:t>quality of spending.</w:t>
      </w:r>
    </w:p>
    <w:p w14:paraId="0B70F5DA" w14:textId="77777777" w:rsidR="008934B0" w:rsidRPr="007A5EE9" w:rsidRDefault="008934B0" w:rsidP="00086E9C">
      <w:pPr>
        <w:pStyle w:val="Heading3"/>
        <w:rPr>
          <w:rFonts w:eastAsia="Calibri"/>
          <w:lang w:val="en"/>
        </w:rPr>
      </w:pPr>
      <w:r w:rsidRPr="007A5EE9">
        <w:rPr>
          <w:rFonts w:eastAsia="Calibri"/>
          <w:lang w:val="en"/>
        </w:rPr>
        <w:t>Medical supplies</w:t>
      </w:r>
    </w:p>
    <w:p w14:paraId="0B70F5DB" w14:textId="77777777" w:rsidR="008934B0" w:rsidRPr="007A5EE9" w:rsidRDefault="008934B0" w:rsidP="00086E9C">
      <w:pPr>
        <w:pStyle w:val="BodyText"/>
        <w:rPr>
          <w:rFonts w:eastAsia="Calibri"/>
          <w:lang w:eastAsia="en-US"/>
        </w:rPr>
      </w:pPr>
      <w:r w:rsidRPr="007A5EE9">
        <w:rPr>
          <w:rFonts w:eastAsia="Calibri"/>
          <w:lang w:eastAsia="en-US"/>
        </w:rPr>
        <w:t xml:space="preserve">Medical supply distribution </w:t>
      </w:r>
      <w:r w:rsidR="00FC3F85">
        <w:rPr>
          <w:rFonts w:eastAsia="Calibri"/>
          <w:lang w:eastAsia="en-US"/>
        </w:rPr>
        <w:t>is on track against targets</w:t>
      </w:r>
      <w:r w:rsidRPr="007A5EE9">
        <w:rPr>
          <w:rFonts w:eastAsia="Calibri"/>
          <w:lang w:eastAsia="en-US"/>
        </w:rPr>
        <w:t>,</w:t>
      </w:r>
      <w:r w:rsidRPr="007A5EE9">
        <w:rPr>
          <w:rFonts w:eastAsia="Calibri"/>
          <w:b/>
          <w:lang w:eastAsia="en-US"/>
        </w:rPr>
        <w:t xml:space="preserve"> </w:t>
      </w:r>
      <w:r w:rsidRPr="007A5EE9">
        <w:rPr>
          <w:rFonts w:eastAsia="Calibri"/>
          <w:lang w:eastAsia="en-US"/>
        </w:rPr>
        <w:t>with stock availability increasing from 47</w:t>
      </w:r>
      <w:r w:rsidR="009F1630">
        <w:rPr>
          <w:rFonts w:eastAsia="Calibri"/>
          <w:lang w:eastAsia="en-US"/>
        </w:rPr>
        <w:t> </w:t>
      </w:r>
      <w:r w:rsidRPr="007A5EE9">
        <w:rPr>
          <w:rFonts w:eastAsia="Calibri"/>
          <w:lang w:eastAsia="en-US"/>
        </w:rPr>
        <w:t>per cent in 2010 to 83 per cent in 2011 as a result of Australia’s distribution efforts</w:t>
      </w:r>
      <w:r w:rsidR="00C55F9A">
        <w:rPr>
          <w:rFonts w:eastAsia="Calibri"/>
          <w:lang w:eastAsia="en-US"/>
        </w:rPr>
        <w:t>. T</w:t>
      </w:r>
      <w:r w:rsidR="006C077B">
        <w:rPr>
          <w:rFonts w:eastAsia="Calibri"/>
          <w:lang w:eastAsia="en-US"/>
        </w:rPr>
        <w:t>he 2015 target of 85</w:t>
      </w:r>
      <w:r w:rsidR="00906A97">
        <w:rPr>
          <w:rFonts w:eastAsia="Calibri"/>
          <w:lang w:eastAsia="en-US"/>
        </w:rPr>
        <w:t xml:space="preserve"> per cent</w:t>
      </w:r>
      <w:r w:rsidR="00C55F9A">
        <w:rPr>
          <w:rFonts w:eastAsia="Calibri"/>
          <w:lang w:eastAsia="en-US"/>
        </w:rPr>
        <w:t xml:space="preserve"> will likely be met</w:t>
      </w:r>
      <w:r w:rsidRPr="007A5EE9">
        <w:rPr>
          <w:rFonts w:eastAsia="Calibri"/>
          <w:lang w:eastAsia="en-US"/>
        </w:rPr>
        <w:t>. In 2012</w:t>
      </w:r>
      <w:r w:rsidR="00906A97">
        <w:rPr>
          <w:rFonts w:eastAsia="Calibri"/>
          <w:lang w:eastAsia="en-US"/>
        </w:rPr>
        <w:t>–</w:t>
      </w:r>
      <w:r w:rsidRPr="007A5EE9">
        <w:rPr>
          <w:rFonts w:eastAsia="Calibri"/>
          <w:lang w:eastAsia="en-US"/>
        </w:rPr>
        <w:t>13</w:t>
      </w:r>
      <w:r w:rsidR="00C55F9A">
        <w:rPr>
          <w:rFonts w:eastAsia="Calibri"/>
          <w:lang w:eastAsia="en-US"/>
        </w:rPr>
        <w:t>,</w:t>
      </w:r>
      <w:r w:rsidRPr="007A5EE9">
        <w:rPr>
          <w:rFonts w:eastAsia="Calibri"/>
          <w:lang w:eastAsia="en-US"/>
        </w:rPr>
        <w:t xml:space="preserve"> Australia distributed 3597 medical supply kits</w:t>
      </w:r>
      <w:r w:rsidR="009F1630">
        <w:rPr>
          <w:rFonts w:eastAsia="Calibri"/>
          <w:lang w:eastAsia="en-US"/>
        </w:rPr>
        <w:t xml:space="preserve"> (100 per cent quality assured)</w:t>
      </w:r>
      <w:r w:rsidRPr="007A5EE9">
        <w:rPr>
          <w:rFonts w:eastAsia="Calibri"/>
          <w:lang w:eastAsia="en-US"/>
        </w:rPr>
        <w:t xml:space="preserve"> to approximately 2000 health facilities (95 per cent coverage for health centres and 65 per cent for aid posts).</w:t>
      </w:r>
    </w:p>
    <w:p w14:paraId="0B70F5DC" w14:textId="77777777" w:rsidR="00CF53EB" w:rsidRPr="00741955" w:rsidRDefault="008934B0" w:rsidP="00086E9C">
      <w:pPr>
        <w:pStyle w:val="BodyText"/>
        <w:rPr>
          <w:rFonts w:eastAsia="Calibri"/>
          <w:lang w:eastAsia="en-US"/>
        </w:rPr>
      </w:pPr>
      <w:r w:rsidRPr="007A5EE9">
        <w:rPr>
          <w:rFonts w:eastAsia="Calibri"/>
          <w:lang w:eastAsia="en-US"/>
        </w:rPr>
        <w:t>Performance-linked</w:t>
      </w:r>
      <w:r w:rsidR="00C55F9A">
        <w:rPr>
          <w:rFonts w:eastAsia="Calibri"/>
          <w:lang w:eastAsia="en-US"/>
        </w:rPr>
        <w:t xml:space="preserve"> medical</w:t>
      </w:r>
      <w:r w:rsidRPr="007A5EE9">
        <w:rPr>
          <w:rFonts w:eastAsia="Calibri"/>
          <w:lang w:eastAsia="en-US"/>
        </w:rPr>
        <w:t xml:space="preserve"> aid targets are on track, despite slippage</w:t>
      </w:r>
      <w:r w:rsidR="00741955">
        <w:rPr>
          <w:rFonts w:eastAsia="Calibri"/>
          <w:lang w:eastAsia="en-US"/>
        </w:rPr>
        <w:t>s</w:t>
      </w:r>
      <w:r w:rsidRPr="007A5EE9">
        <w:rPr>
          <w:rFonts w:eastAsia="Calibri"/>
          <w:lang w:eastAsia="en-US"/>
        </w:rPr>
        <w:t xml:space="preserve"> in timeframes. </w:t>
      </w:r>
      <w:r>
        <w:rPr>
          <w:rFonts w:eastAsia="Calibri"/>
          <w:lang w:eastAsia="en-US"/>
        </w:rPr>
        <w:t>Important achievements</w:t>
      </w:r>
      <w:r w:rsidR="00A96405">
        <w:rPr>
          <w:rFonts w:eastAsia="Calibri"/>
          <w:lang w:eastAsia="en-US"/>
        </w:rPr>
        <w:t xml:space="preserve"> </w:t>
      </w:r>
      <w:r>
        <w:rPr>
          <w:rFonts w:eastAsia="Calibri"/>
          <w:lang w:eastAsia="en-US"/>
        </w:rPr>
        <w:t>includ</w:t>
      </w:r>
      <w:r w:rsidR="00A96405">
        <w:rPr>
          <w:rFonts w:eastAsia="Calibri"/>
          <w:lang w:eastAsia="en-US"/>
        </w:rPr>
        <w:t>ed</w:t>
      </w:r>
      <w:r w:rsidRPr="007A5EE9">
        <w:rPr>
          <w:rFonts w:eastAsia="Calibri"/>
          <w:lang w:eastAsia="en-US"/>
        </w:rPr>
        <w:t xml:space="preserve"> appropriate funding allocations, approval of a multi-year procurement plan and the release of an international tender for the 2014 medical supply kits. In 2012</w:t>
      </w:r>
      <w:r w:rsidR="00906A97">
        <w:rPr>
          <w:rFonts w:eastAsia="Calibri"/>
          <w:lang w:eastAsia="en-US"/>
        </w:rPr>
        <w:t>–</w:t>
      </w:r>
      <w:r w:rsidRPr="007A5EE9">
        <w:rPr>
          <w:rFonts w:eastAsia="Calibri"/>
          <w:lang w:eastAsia="en-US"/>
        </w:rPr>
        <w:t xml:space="preserve">13, </w:t>
      </w:r>
      <w:r w:rsidR="00C55F9A">
        <w:rPr>
          <w:rFonts w:eastAsia="Calibri"/>
          <w:lang w:eastAsia="en-US"/>
        </w:rPr>
        <w:t xml:space="preserve">the </w:t>
      </w:r>
      <w:r w:rsidRPr="007A5EE9">
        <w:rPr>
          <w:rFonts w:eastAsia="Calibri"/>
          <w:lang w:eastAsia="en-US"/>
        </w:rPr>
        <w:t>Australia</w:t>
      </w:r>
      <w:r w:rsidR="00C55F9A">
        <w:rPr>
          <w:rFonts w:eastAsia="Calibri"/>
          <w:lang w:eastAsia="en-US"/>
        </w:rPr>
        <w:t>n</w:t>
      </w:r>
      <w:r w:rsidRPr="007A5EE9">
        <w:rPr>
          <w:rFonts w:eastAsia="Calibri"/>
          <w:lang w:eastAsia="en-US"/>
        </w:rPr>
        <w:t xml:space="preserve"> and PNG</w:t>
      </w:r>
      <w:r w:rsidR="00C55F9A">
        <w:rPr>
          <w:rFonts w:eastAsia="Calibri"/>
          <w:lang w:eastAsia="en-US"/>
        </w:rPr>
        <w:t xml:space="preserve"> governments</w:t>
      </w:r>
      <w:r w:rsidRPr="007A5EE9">
        <w:rPr>
          <w:rFonts w:eastAsia="Calibri"/>
          <w:lang w:eastAsia="en-US"/>
        </w:rPr>
        <w:t xml:space="preserve"> agreed to establish an independent health procurement authority to manage medical supply procurements in the medium</w:t>
      </w:r>
      <w:r w:rsidR="006A40F5">
        <w:rPr>
          <w:rFonts w:eastAsia="Calibri"/>
          <w:lang w:eastAsia="en-US"/>
        </w:rPr>
        <w:t xml:space="preserve"> </w:t>
      </w:r>
      <w:r w:rsidRPr="007A5EE9">
        <w:rPr>
          <w:rFonts w:eastAsia="Calibri"/>
          <w:lang w:eastAsia="en-US"/>
        </w:rPr>
        <w:t>term</w:t>
      </w:r>
      <w:r w:rsidR="00477514">
        <w:rPr>
          <w:rFonts w:eastAsia="Calibri"/>
          <w:lang w:eastAsia="en-US"/>
        </w:rPr>
        <w:t xml:space="preserve">. </w:t>
      </w:r>
      <w:r w:rsidRPr="007A5EE9">
        <w:rPr>
          <w:rFonts w:eastAsia="Calibri"/>
          <w:lang w:eastAsia="en-US"/>
        </w:rPr>
        <w:t xml:space="preserve">However, </w:t>
      </w:r>
      <w:r w:rsidR="007D32A1">
        <w:rPr>
          <w:rFonts w:eastAsia="Calibri"/>
          <w:lang w:eastAsia="en-US"/>
        </w:rPr>
        <w:t xml:space="preserve">until recently, </w:t>
      </w:r>
      <w:r w:rsidRPr="007A5EE9">
        <w:rPr>
          <w:rFonts w:eastAsia="Calibri"/>
          <w:lang w:eastAsia="en-US"/>
        </w:rPr>
        <w:t xml:space="preserve">progress </w:t>
      </w:r>
      <w:r w:rsidR="00C55F9A">
        <w:rPr>
          <w:rFonts w:eastAsia="Calibri"/>
          <w:lang w:eastAsia="en-US"/>
        </w:rPr>
        <w:t>w</w:t>
      </w:r>
      <w:r w:rsidRPr="007A5EE9">
        <w:rPr>
          <w:rFonts w:eastAsia="Calibri"/>
          <w:lang w:eastAsia="en-US"/>
        </w:rPr>
        <w:t xml:space="preserve">as delayed at </w:t>
      </w:r>
      <w:r w:rsidR="00A96405">
        <w:rPr>
          <w:rFonts w:eastAsia="Calibri"/>
          <w:lang w:eastAsia="en-US"/>
        </w:rPr>
        <w:t>central</w:t>
      </w:r>
      <w:r w:rsidR="00C55F9A">
        <w:rPr>
          <w:rFonts w:eastAsia="Calibri"/>
          <w:lang w:eastAsia="en-US"/>
        </w:rPr>
        <w:t xml:space="preserve"> government</w:t>
      </w:r>
      <w:r w:rsidR="00741955">
        <w:rPr>
          <w:rFonts w:eastAsia="Calibri"/>
          <w:lang w:eastAsia="en-US"/>
        </w:rPr>
        <w:t xml:space="preserve"> level</w:t>
      </w:r>
      <w:r w:rsidRPr="007A5EE9">
        <w:rPr>
          <w:rFonts w:eastAsia="Calibri"/>
          <w:lang w:eastAsia="en-US"/>
        </w:rPr>
        <w:t xml:space="preserve">. </w:t>
      </w:r>
    </w:p>
    <w:p w14:paraId="0B70F5DD" w14:textId="77777777" w:rsidR="008934B0" w:rsidRPr="007A5EE9" w:rsidRDefault="008934B0" w:rsidP="00086E9C">
      <w:pPr>
        <w:pStyle w:val="Heading3"/>
        <w:rPr>
          <w:rFonts w:eastAsia="Calibri"/>
          <w:lang w:val="en"/>
        </w:rPr>
      </w:pPr>
      <w:r w:rsidRPr="007A5EE9">
        <w:rPr>
          <w:rFonts w:eastAsia="Calibri"/>
          <w:lang w:val="en"/>
        </w:rPr>
        <w:t>Health workforce</w:t>
      </w:r>
    </w:p>
    <w:p w14:paraId="0B70F5DE" w14:textId="77777777" w:rsidR="008934B0" w:rsidRPr="007A5EE9" w:rsidRDefault="008934B0" w:rsidP="00086E9C">
      <w:pPr>
        <w:pStyle w:val="BodyText"/>
        <w:rPr>
          <w:rFonts w:eastAsia="Calibri"/>
          <w:lang w:eastAsia="en-US"/>
        </w:rPr>
      </w:pPr>
      <w:r w:rsidRPr="007A5EE9">
        <w:rPr>
          <w:rFonts w:eastAsia="Calibri"/>
          <w:lang w:eastAsia="en-US"/>
        </w:rPr>
        <w:t>Health workforce pre-ser</w:t>
      </w:r>
      <w:r>
        <w:rPr>
          <w:rFonts w:eastAsia="Calibri"/>
          <w:lang w:eastAsia="en-US"/>
        </w:rPr>
        <w:t xml:space="preserve">vice performance are on </w:t>
      </w:r>
      <w:r w:rsidRPr="007A5EE9">
        <w:rPr>
          <w:rFonts w:eastAsia="Calibri"/>
          <w:lang w:eastAsia="en-US"/>
        </w:rPr>
        <w:t>track</w:t>
      </w:r>
      <w:r w:rsidR="00FC3F85">
        <w:rPr>
          <w:rFonts w:eastAsia="Calibri"/>
          <w:lang w:eastAsia="en-US"/>
        </w:rPr>
        <w:t xml:space="preserve"> against targets</w:t>
      </w:r>
      <w:r w:rsidRPr="007A5EE9">
        <w:rPr>
          <w:rFonts w:eastAsia="Calibri"/>
          <w:lang w:eastAsia="en-US"/>
        </w:rPr>
        <w:t>. In 2012, Australia’s pilot in-country scholarships program funded the pre-service training of 68 midwives and 20</w:t>
      </w:r>
      <w:r w:rsidR="006A40F5">
        <w:rPr>
          <w:rFonts w:eastAsia="Calibri"/>
          <w:lang w:eastAsia="en-US"/>
        </w:rPr>
        <w:t> </w:t>
      </w:r>
      <w:r w:rsidRPr="007A5EE9">
        <w:rPr>
          <w:rFonts w:eastAsia="Calibri"/>
          <w:lang w:eastAsia="en-US"/>
        </w:rPr>
        <w:t>community health workers. This program will be significantly expand</w:t>
      </w:r>
      <w:r w:rsidR="00C55F9A">
        <w:rPr>
          <w:rFonts w:eastAsia="Calibri"/>
          <w:lang w:eastAsia="en-US"/>
        </w:rPr>
        <w:t xml:space="preserve"> </w:t>
      </w:r>
      <w:r w:rsidRPr="007A5EE9">
        <w:rPr>
          <w:rFonts w:eastAsia="Calibri"/>
          <w:lang w:eastAsia="en-US"/>
        </w:rPr>
        <w:t>in 2013, with 432</w:t>
      </w:r>
      <w:r w:rsidR="006A40F5">
        <w:rPr>
          <w:rFonts w:eastAsia="Calibri"/>
          <w:lang w:eastAsia="en-US"/>
        </w:rPr>
        <w:t> </w:t>
      </w:r>
      <w:r w:rsidRPr="007A5EE9">
        <w:rPr>
          <w:rFonts w:eastAsia="Calibri"/>
          <w:lang w:eastAsia="en-US"/>
        </w:rPr>
        <w:t xml:space="preserve">enrolments in midwifery, nursing and </w:t>
      </w:r>
      <w:r w:rsidR="00C55F9A">
        <w:rPr>
          <w:rFonts w:eastAsia="Calibri"/>
          <w:lang w:eastAsia="en-US"/>
        </w:rPr>
        <w:t xml:space="preserve">community health worker </w:t>
      </w:r>
      <w:r w:rsidRPr="007A5EE9">
        <w:rPr>
          <w:rFonts w:eastAsia="Calibri"/>
          <w:lang w:eastAsia="en-US"/>
        </w:rPr>
        <w:t xml:space="preserve">programs. In 2012 Australia supported the development of a </w:t>
      </w:r>
      <w:r w:rsidR="00E455EE">
        <w:rPr>
          <w:rFonts w:eastAsia="Calibri"/>
          <w:lang w:eastAsia="en-US"/>
        </w:rPr>
        <w:t xml:space="preserve">PNG </w:t>
      </w:r>
      <w:r w:rsidR="00835E7D">
        <w:rPr>
          <w:rFonts w:eastAsia="Calibri"/>
          <w:lang w:eastAsia="en-US"/>
        </w:rPr>
        <w:t>g</w:t>
      </w:r>
      <w:r w:rsidR="00E455EE">
        <w:rPr>
          <w:rFonts w:eastAsia="Calibri"/>
          <w:lang w:eastAsia="en-US"/>
        </w:rPr>
        <w:t>overnment s</w:t>
      </w:r>
      <w:r w:rsidRPr="007A5EE9">
        <w:rPr>
          <w:rFonts w:eastAsia="Calibri"/>
          <w:lang w:eastAsia="en-US"/>
        </w:rPr>
        <w:t xml:space="preserve">ubmission </w:t>
      </w:r>
      <w:r w:rsidR="00C55F9A">
        <w:rPr>
          <w:rFonts w:eastAsia="Calibri"/>
          <w:lang w:eastAsia="en-US"/>
        </w:rPr>
        <w:t>on</w:t>
      </w:r>
      <w:r w:rsidRPr="007A5EE9">
        <w:rPr>
          <w:rFonts w:eastAsia="Calibri"/>
          <w:lang w:eastAsia="en-US"/>
        </w:rPr>
        <w:t xml:space="preserve"> the health workforce crisis in PNG and provide</w:t>
      </w:r>
      <w:r w:rsidR="00835E7D">
        <w:rPr>
          <w:rFonts w:eastAsia="Calibri"/>
          <w:lang w:eastAsia="en-US"/>
        </w:rPr>
        <w:t>d</w:t>
      </w:r>
      <w:r w:rsidRPr="007A5EE9">
        <w:rPr>
          <w:rFonts w:eastAsia="Calibri"/>
          <w:lang w:eastAsia="en-US"/>
        </w:rPr>
        <w:t xml:space="preserve"> resources to address it. Despite </w:t>
      </w:r>
      <w:r w:rsidR="00E455EE">
        <w:rPr>
          <w:rFonts w:eastAsia="Calibri"/>
          <w:lang w:eastAsia="en-US"/>
        </w:rPr>
        <w:t>the PNG Government</w:t>
      </w:r>
      <w:r w:rsidRPr="007A5EE9">
        <w:rPr>
          <w:rFonts w:eastAsia="Calibri"/>
          <w:lang w:eastAsia="en-US"/>
        </w:rPr>
        <w:t xml:space="preserve"> endorsing th</w:t>
      </w:r>
      <w:r w:rsidR="00835E7D">
        <w:rPr>
          <w:rFonts w:eastAsia="Calibri"/>
          <w:lang w:eastAsia="en-US"/>
        </w:rPr>
        <w:t>e</w:t>
      </w:r>
      <w:r w:rsidRPr="007A5EE9">
        <w:rPr>
          <w:rFonts w:eastAsia="Calibri"/>
          <w:lang w:eastAsia="en-US"/>
        </w:rPr>
        <w:t xml:space="preserve"> submission, the 2013 budget appropriation for health worker training institutions was further cut from an already inadequate base. </w:t>
      </w:r>
    </w:p>
    <w:p w14:paraId="0B70F5DF" w14:textId="77777777" w:rsidR="008934B0" w:rsidRPr="007A5EE9" w:rsidRDefault="008934B0" w:rsidP="00086E9C">
      <w:pPr>
        <w:pStyle w:val="BodyText"/>
        <w:rPr>
          <w:rFonts w:eastAsia="Calibri"/>
          <w:lang w:eastAsia="en-US"/>
        </w:rPr>
      </w:pPr>
      <w:r w:rsidRPr="007A5EE9">
        <w:rPr>
          <w:rFonts w:eastAsia="Calibri"/>
          <w:lang w:eastAsia="en-US"/>
        </w:rPr>
        <w:t xml:space="preserve">To improve the quality of pre-service training, </w:t>
      </w:r>
      <w:r w:rsidR="000E5C56">
        <w:rPr>
          <w:rFonts w:eastAsia="Calibri"/>
          <w:lang w:eastAsia="en-US"/>
        </w:rPr>
        <w:t>Australia</w:t>
      </w:r>
      <w:r w:rsidR="000E5C56" w:rsidRPr="007A5EE9">
        <w:rPr>
          <w:rFonts w:eastAsia="Calibri"/>
          <w:lang w:eastAsia="en-US"/>
        </w:rPr>
        <w:t xml:space="preserve"> </w:t>
      </w:r>
      <w:r w:rsidRPr="007A5EE9">
        <w:rPr>
          <w:rFonts w:eastAsia="Calibri"/>
          <w:lang w:eastAsia="en-US"/>
        </w:rPr>
        <w:t xml:space="preserve">funded capacity diagnostics of all eight nursing schools and 20 </w:t>
      </w:r>
      <w:r w:rsidR="00835E7D">
        <w:rPr>
          <w:rFonts w:eastAsia="Calibri"/>
          <w:lang w:eastAsia="en-US"/>
        </w:rPr>
        <w:t>community health worker</w:t>
      </w:r>
      <w:r w:rsidR="008A5D86">
        <w:rPr>
          <w:rFonts w:eastAsia="Calibri"/>
          <w:lang w:eastAsia="en-US"/>
        </w:rPr>
        <w:t>-</w:t>
      </w:r>
      <w:r w:rsidRPr="007A5EE9">
        <w:rPr>
          <w:rFonts w:eastAsia="Calibri"/>
          <w:lang w:eastAsia="en-US"/>
        </w:rPr>
        <w:t xml:space="preserve">training institutions in 2012. Addressing quality in midwifery schools is delivered through the Midwifery Capacity Building program. A 2013 review found two clinical midwifery facilitators at each midwifery school </w:t>
      </w:r>
      <w:r w:rsidR="00835E7D">
        <w:rPr>
          <w:rFonts w:eastAsia="Calibri"/>
          <w:lang w:eastAsia="en-US"/>
        </w:rPr>
        <w:t xml:space="preserve">who </w:t>
      </w:r>
      <w:r w:rsidRPr="007A5EE9">
        <w:rPr>
          <w:rFonts w:eastAsia="Calibri"/>
          <w:lang w:eastAsia="en-US"/>
        </w:rPr>
        <w:t>played a significant role in improving teaching quality and contributed to a 96 per cent graduation rate in 2012.</w:t>
      </w:r>
    </w:p>
    <w:p w14:paraId="0B70F5E0" w14:textId="77777777" w:rsidR="008934B0" w:rsidRPr="007A5EE9" w:rsidRDefault="008934B0" w:rsidP="00086E9C">
      <w:pPr>
        <w:pStyle w:val="Heading3"/>
        <w:rPr>
          <w:rFonts w:eastAsia="Calibri"/>
          <w:lang w:val="en"/>
        </w:rPr>
      </w:pPr>
      <w:r w:rsidRPr="007A5EE9">
        <w:rPr>
          <w:rFonts w:eastAsia="Calibri"/>
          <w:lang w:val="en"/>
        </w:rPr>
        <w:t>Infrastructure</w:t>
      </w:r>
    </w:p>
    <w:p w14:paraId="0B70F5E1" w14:textId="77777777" w:rsidR="008934B0" w:rsidRPr="007A5EE9" w:rsidRDefault="008934B0" w:rsidP="00A54FF3">
      <w:pPr>
        <w:pStyle w:val="BodyText"/>
        <w:rPr>
          <w:rFonts w:eastAsia="Calibri"/>
          <w:lang w:val="en" w:eastAsia="en-US"/>
        </w:rPr>
      </w:pPr>
      <w:r w:rsidRPr="007A5EE9">
        <w:rPr>
          <w:rFonts w:eastAsia="Calibri"/>
          <w:lang w:val="en" w:eastAsia="en-US"/>
        </w:rPr>
        <w:t>Infrastructure perfor</w:t>
      </w:r>
      <w:r>
        <w:rPr>
          <w:rFonts w:eastAsia="Calibri"/>
          <w:lang w:val="en" w:eastAsia="en-US"/>
        </w:rPr>
        <w:t xml:space="preserve">mance targets are partially off </w:t>
      </w:r>
      <w:r w:rsidRPr="007A5EE9">
        <w:rPr>
          <w:rFonts w:eastAsia="Calibri"/>
          <w:lang w:val="en" w:eastAsia="en-US"/>
        </w:rPr>
        <w:t xml:space="preserve">track due to slow implementation, as a result of unrealistic construction timelines and budgets, design issues, lack of transport and insufficient staff to manage projects. However, </w:t>
      </w:r>
      <w:r w:rsidR="00741955">
        <w:rPr>
          <w:rFonts w:eastAsia="Calibri"/>
          <w:lang w:val="en" w:eastAsia="en-US"/>
        </w:rPr>
        <w:t xml:space="preserve">Australia </w:t>
      </w:r>
      <w:r w:rsidR="00741955" w:rsidRPr="007A5EE9">
        <w:rPr>
          <w:rFonts w:eastAsia="Calibri"/>
          <w:lang w:val="en" w:eastAsia="en-US"/>
        </w:rPr>
        <w:t>has supported the construction of nine staff houses</w:t>
      </w:r>
      <w:r w:rsidR="00835E7D">
        <w:rPr>
          <w:rFonts w:eastAsia="Calibri"/>
          <w:lang w:val="en" w:eastAsia="en-US"/>
        </w:rPr>
        <w:t>,</w:t>
      </w:r>
      <w:r w:rsidR="00741955" w:rsidRPr="007A5EE9">
        <w:rPr>
          <w:rFonts w:eastAsia="Calibri"/>
          <w:lang w:val="en" w:eastAsia="en-US"/>
        </w:rPr>
        <w:t xml:space="preserve"> </w:t>
      </w:r>
      <w:r w:rsidR="00835E7D">
        <w:rPr>
          <w:rFonts w:eastAsia="Calibri"/>
          <w:lang w:val="en" w:eastAsia="en-US"/>
        </w:rPr>
        <w:t>started the</w:t>
      </w:r>
      <w:r w:rsidR="00835E7D" w:rsidRPr="007A5EE9">
        <w:rPr>
          <w:rFonts w:eastAsia="Calibri"/>
          <w:lang w:val="en" w:eastAsia="en-US"/>
        </w:rPr>
        <w:t xml:space="preserve"> </w:t>
      </w:r>
      <w:r w:rsidR="00741955" w:rsidRPr="007A5EE9">
        <w:rPr>
          <w:rFonts w:eastAsia="Calibri"/>
          <w:lang w:val="en" w:eastAsia="en-US"/>
        </w:rPr>
        <w:t>upgrade of 11 rural healt</w:t>
      </w:r>
      <w:r w:rsidR="00741955">
        <w:rPr>
          <w:rFonts w:eastAsia="Calibri"/>
          <w:lang w:val="en" w:eastAsia="en-US"/>
        </w:rPr>
        <w:t>h facilities in Madang Province</w:t>
      </w:r>
      <w:r w:rsidR="00741955" w:rsidRPr="007A5EE9">
        <w:rPr>
          <w:rFonts w:eastAsia="Calibri"/>
          <w:lang w:val="en" w:eastAsia="en-US"/>
        </w:rPr>
        <w:t xml:space="preserve"> and upgraded four health facilities in Western Highlands Province.</w:t>
      </w:r>
      <w:r w:rsidR="00741955">
        <w:rPr>
          <w:rFonts w:eastAsia="Calibri"/>
          <w:lang w:val="en" w:eastAsia="en-US"/>
        </w:rPr>
        <w:t xml:space="preserve"> B</w:t>
      </w:r>
      <w:r w:rsidRPr="007A5EE9">
        <w:rPr>
          <w:rFonts w:eastAsia="Calibri"/>
          <w:lang w:val="en" w:eastAsia="en-US"/>
        </w:rPr>
        <w:t xml:space="preserve">y mid-2013, Australia will have rehabilitated all four midwifery schools and one community health worker training institution; constructed 14 </w:t>
      </w:r>
      <w:r w:rsidR="00906A97">
        <w:rPr>
          <w:rFonts w:eastAsia="Calibri"/>
          <w:lang w:val="en" w:eastAsia="en-US"/>
        </w:rPr>
        <w:t>s</w:t>
      </w:r>
      <w:r>
        <w:rPr>
          <w:rFonts w:eastAsia="Calibri"/>
          <w:lang w:val="en" w:eastAsia="en-US"/>
        </w:rPr>
        <w:t xml:space="preserve">exually </w:t>
      </w:r>
      <w:r w:rsidR="00906A97">
        <w:rPr>
          <w:rFonts w:eastAsia="Calibri"/>
          <w:lang w:val="en" w:eastAsia="en-US"/>
        </w:rPr>
        <w:t>t</w:t>
      </w:r>
      <w:r>
        <w:rPr>
          <w:rFonts w:eastAsia="Calibri"/>
          <w:lang w:val="en" w:eastAsia="en-US"/>
        </w:rPr>
        <w:t xml:space="preserve">ransmitted </w:t>
      </w:r>
      <w:r w:rsidR="00906A97">
        <w:rPr>
          <w:rFonts w:eastAsia="Calibri"/>
          <w:lang w:val="en" w:eastAsia="en-US"/>
        </w:rPr>
        <w:t>i</w:t>
      </w:r>
      <w:r>
        <w:rPr>
          <w:rFonts w:eastAsia="Calibri"/>
          <w:lang w:val="en" w:eastAsia="en-US"/>
        </w:rPr>
        <w:t xml:space="preserve">nfection </w:t>
      </w:r>
      <w:r w:rsidRPr="007A5EE9">
        <w:rPr>
          <w:rFonts w:eastAsia="Calibri"/>
          <w:lang w:val="en" w:eastAsia="en-US"/>
        </w:rPr>
        <w:t>clinics and a national non-scalpe</w:t>
      </w:r>
      <w:r w:rsidR="00741955">
        <w:rPr>
          <w:rFonts w:eastAsia="Calibri"/>
          <w:lang w:val="en" w:eastAsia="en-US"/>
        </w:rPr>
        <w:t>l vasectomy training centre</w:t>
      </w:r>
      <w:r w:rsidR="0041638B">
        <w:rPr>
          <w:rFonts w:eastAsia="Calibri"/>
          <w:lang w:val="en" w:eastAsia="en-US"/>
        </w:rPr>
        <w:t xml:space="preserve">. </w:t>
      </w:r>
    </w:p>
    <w:p w14:paraId="0B70F5E2" w14:textId="77777777" w:rsidR="008934B0" w:rsidRPr="007A5EE9" w:rsidRDefault="008934B0" w:rsidP="00A54FF3">
      <w:pPr>
        <w:pStyle w:val="Heading3"/>
        <w:rPr>
          <w:rFonts w:eastAsia="Calibri"/>
          <w:lang w:val="en"/>
        </w:rPr>
      </w:pPr>
      <w:r w:rsidRPr="00DD3EFB">
        <w:rPr>
          <w:rFonts w:eastAsia="Calibri"/>
          <w:lang w:val="en"/>
        </w:rPr>
        <w:lastRenderedPageBreak/>
        <w:t>Gender and disability</w:t>
      </w:r>
    </w:p>
    <w:p w14:paraId="0B70F5E3" w14:textId="77777777" w:rsidR="008934B0" w:rsidRDefault="00835E7D" w:rsidP="00A54FF3">
      <w:pPr>
        <w:pStyle w:val="BodyText"/>
        <w:rPr>
          <w:rFonts w:eastAsia="Calibri"/>
          <w:lang w:val="en" w:eastAsia="en-US"/>
        </w:rPr>
      </w:pPr>
      <w:r>
        <w:rPr>
          <w:rFonts w:eastAsia="Calibri"/>
          <w:lang w:val="en" w:eastAsia="en-US"/>
        </w:rPr>
        <w:t>Gender and disability targets are</w:t>
      </w:r>
      <w:r w:rsidR="00DD3EFB">
        <w:rPr>
          <w:rFonts w:eastAsia="Calibri"/>
          <w:lang w:val="en" w:eastAsia="en-US"/>
        </w:rPr>
        <w:t xml:space="preserve"> on track</w:t>
      </w:r>
      <w:r>
        <w:rPr>
          <w:rFonts w:eastAsia="Calibri"/>
          <w:lang w:val="en" w:eastAsia="en-US"/>
        </w:rPr>
        <w:t>.</w:t>
      </w:r>
      <w:r w:rsidR="000E5C56">
        <w:rPr>
          <w:rFonts w:eastAsia="Calibri"/>
          <w:lang w:val="en" w:eastAsia="en-US"/>
        </w:rPr>
        <w:t xml:space="preserve"> </w:t>
      </w:r>
      <w:r w:rsidR="008934B0" w:rsidRPr="007A5EE9">
        <w:rPr>
          <w:rFonts w:eastAsia="Calibri"/>
          <w:lang w:val="en" w:eastAsia="en-US"/>
        </w:rPr>
        <w:t xml:space="preserve">Australia </w:t>
      </w:r>
      <w:r w:rsidR="001D3F15">
        <w:rPr>
          <w:rFonts w:eastAsia="Calibri"/>
          <w:lang w:val="en" w:eastAsia="en-US"/>
        </w:rPr>
        <w:t>is supporting</w:t>
      </w:r>
      <w:r w:rsidR="008934B0" w:rsidRPr="007A5EE9">
        <w:rPr>
          <w:rFonts w:eastAsia="Calibri"/>
          <w:lang w:val="en" w:eastAsia="en-US"/>
        </w:rPr>
        <w:t xml:space="preserve"> </w:t>
      </w:r>
      <w:r>
        <w:rPr>
          <w:rFonts w:eastAsia="Calibri"/>
          <w:lang w:val="en" w:eastAsia="en-US"/>
        </w:rPr>
        <w:t>increasing the</w:t>
      </w:r>
      <w:r w:rsidR="008934B0" w:rsidRPr="007A5EE9">
        <w:rPr>
          <w:rFonts w:eastAsia="Calibri"/>
          <w:lang w:val="en" w:eastAsia="en-US"/>
        </w:rPr>
        <w:t xml:space="preserve"> proportion of women participat</w:t>
      </w:r>
      <w:r w:rsidR="001D3F15">
        <w:rPr>
          <w:rFonts w:eastAsia="Calibri"/>
          <w:lang w:val="en" w:eastAsia="en-US"/>
        </w:rPr>
        <w:t>ing</w:t>
      </w:r>
      <w:r w:rsidR="008934B0" w:rsidRPr="007A5EE9">
        <w:rPr>
          <w:rFonts w:eastAsia="Calibri"/>
          <w:lang w:val="en" w:eastAsia="en-US"/>
        </w:rPr>
        <w:t xml:space="preserve"> in health workforce training. In 2012, 41 specialist nurse graduates were female (66 per cent) and all 21 midwifery graduates </w:t>
      </w:r>
      <w:r>
        <w:rPr>
          <w:rFonts w:eastAsia="Calibri"/>
          <w:lang w:val="en" w:eastAsia="en-US"/>
        </w:rPr>
        <w:t>from</w:t>
      </w:r>
      <w:r w:rsidRPr="007A5EE9">
        <w:rPr>
          <w:rFonts w:eastAsia="Calibri"/>
          <w:lang w:val="en" w:eastAsia="en-US"/>
        </w:rPr>
        <w:t xml:space="preserve"> </w:t>
      </w:r>
      <w:r w:rsidR="00BD662B">
        <w:rPr>
          <w:rFonts w:eastAsia="Calibri"/>
          <w:lang w:val="en" w:eastAsia="en-US"/>
        </w:rPr>
        <w:t>the University of PNG</w:t>
      </w:r>
      <w:r w:rsidR="008934B0" w:rsidRPr="007A5EE9">
        <w:rPr>
          <w:rFonts w:eastAsia="Calibri"/>
          <w:lang w:val="en" w:eastAsia="en-US"/>
        </w:rPr>
        <w:t xml:space="preserve"> were female. In 2013, 101 </w:t>
      </w:r>
      <w:r>
        <w:rPr>
          <w:rFonts w:eastAsia="Calibri"/>
          <w:lang w:val="en" w:eastAsia="en-US"/>
        </w:rPr>
        <w:t>community health workers</w:t>
      </w:r>
      <w:r w:rsidR="008934B0" w:rsidRPr="007A5EE9">
        <w:rPr>
          <w:rFonts w:eastAsia="Calibri"/>
          <w:lang w:val="en" w:eastAsia="en-US"/>
        </w:rPr>
        <w:t xml:space="preserve"> scholarships (57 per cent), 111 nurse scholarships (74 per cent) and 94 midwifery scholarships (91 per cent) were awarded to females. Australia also contribute</w:t>
      </w:r>
      <w:r w:rsidR="000E5C56">
        <w:rPr>
          <w:rFonts w:eastAsia="Calibri"/>
          <w:lang w:val="en" w:eastAsia="en-US"/>
        </w:rPr>
        <w:t>s</w:t>
      </w:r>
      <w:r w:rsidR="008934B0" w:rsidRPr="007A5EE9">
        <w:rPr>
          <w:rFonts w:eastAsia="Calibri"/>
          <w:lang w:val="en" w:eastAsia="en-US"/>
        </w:rPr>
        <w:t xml:space="preserve"> to disability</w:t>
      </w:r>
      <w:r w:rsidR="00034B21">
        <w:rPr>
          <w:rFonts w:eastAsia="Calibri"/>
          <w:lang w:val="en" w:eastAsia="en-US"/>
        </w:rPr>
        <w:t>-</w:t>
      </w:r>
      <w:r w:rsidR="008934B0" w:rsidRPr="007A5EE9">
        <w:rPr>
          <w:rFonts w:eastAsia="Calibri"/>
          <w:lang w:val="en" w:eastAsia="en-US"/>
        </w:rPr>
        <w:t xml:space="preserve">inclusive development in the health sector through funding disability organisations such as Callan Services and the National Orthotics and Prosthetics Service. </w:t>
      </w:r>
    </w:p>
    <w:p w14:paraId="0B70F5E4" w14:textId="77777777" w:rsidR="008934B0" w:rsidRPr="00932597" w:rsidRDefault="008934B0" w:rsidP="00A54FF3">
      <w:pPr>
        <w:pStyle w:val="Heading3"/>
      </w:pPr>
      <w:r w:rsidRPr="00932597">
        <w:t>Tackling TB</w:t>
      </w:r>
      <w:r w:rsidR="006A40F5">
        <w:t>, including</w:t>
      </w:r>
      <w:r w:rsidRPr="00932597">
        <w:t xml:space="preserve"> in Western Province</w:t>
      </w:r>
    </w:p>
    <w:p w14:paraId="0B70F5E5" w14:textId="28652429" w:rsidR="0003791C" w:rsidRDefault="00A92959" w:rsidP="00A54FF3">
      <w:pPr>
        <w:pStyle w:val="BodyText"/>
      </w:pPr>
      <w:r w:rsidRPr="00447D0E">
        <w:t>TB</w:t>
      </w:r>
      <w:r w:rsidR="00034B21" w:rsidRPr="00447D0E">
        <w:t xml:space="preserve"> targets are </w:t>
      </w:r>
      <w:r w:rsidR="00DD3EFB" w:rsidRPr="00447D0E">
        <w:t>on track</w:t>
      </w:r>
      <w:r w:rsidR="006A40F5">
        <w:t xml:space="preserve"> overall</w:t>
      </w:r>
      <w:r w:rsidR="00DD3EFB" w:rsidRPr="00447D0E">
        <w:t xml:space="preserve">. </w:t>
      </w:r>
      <w:r w:rsidR="00034B21" w:rsidRPr="00447D0E">
        <w:t>TB</w:t>
      </w:r>
      <w:r w:rsidR="000E5C56" w:rsidRPr="00447D0E">
        <w:t xml:space="preserve"> is</w:t>
      </w:r>
      <w:r w:rsidRPr="00447D0E">
        <w:t xml:space="preserve"> a</w:t>
      </w:r>
      <w:r w:rsidR="00D2073A" w:rsidRPr="00447D0E">
        <w:t xml:space="preserve"> significant</w:t>
      </w:r>
      <w:r w:rsidR="00316631" w:rsidRPr="00447D0E">
        <w:t xml:space="preserve"> national</w:t>
      </w:r>
      <w:r w:rsidR="00D2073A" w:rsidRPr="00447D0E">
        <w:t xml:space="preserve"> </w:t>
      </w:r>
      <w:r w:rsidRPr="00447D0E">
        <w:t>health challenge for PNG</w:t>
      </w:r>
      <w:r w:rsidR="000E5C56" w:rsidRPr="00447D0E">
        <w:t xml:space="preserve"> and</w:t>
      </w:r>
      <w:r w:rsidRPr="00447D0E">
        <w:t xml:space="preserve"> </w:t>
      </w:r>
      <w:r w:rsidR="00D2073A" w:rsidRPr="00447D0E">
        <w:t xml:space="preserve">is a disease </w:t>
      </w:r>
      <w:r w:rsidRPr="00447D0E">
        <w:t>disproportionately afflict</w:t>
      </w:r>
      <w:r w:rsidR="00034B21" w:rsidRPr="00447D0E">
        <w:t>ing</w:t>
      </w:r>
      <w:r w:rsidRPr="00447D0E">
        <w:t xml:space="preserve"> the </w:t>
      </w:r>
      <w:r w:rsidR="00D2073A" w:rsidRPr="00447D0E">
        <w:t>impoverished</w:t>
      </w:r>
      <w:r w:rsidR="00034B21" w:rsidRPr="00447D0E">
        <w:t>. It</w:t>
      </w:r>
      <w:r w:rsidRPr="00447D0E">
        <w:t xml:space="preserve"> </w:t>
      </w:r>
      <w:r w:rsidR="001D3F15" w:rsidRPr="00447D0E">
        <w:t xml:space="preserve">drives sufferers further into </w:t>
      </w:r>
      <w:r w:rsidR="005820DE" w:rsidRPr="00447D0E">
        <w:t>poverty</w:t>
      </w:r>
      <w:r w:rsidRPr="00447D0E">
        <w:t>.</w:t>
      </w:r>
      <w:r w:rsidR="00316631" w:rsidRPr="00447D0E">
        <w:t xml:space="preserve"> Across PNG, approximately 14</w:t>
      </w:r>
      <w:r w:rsidR="00906A97" w:rsidRPr="00447D0E">
        <w:t xml:space="preserve"> </w:t>
      </w:r>
      <w:r w:rsidR="00316631" w:rsidRPr="00447D0E">
        <w:t>000 new cases of TB are diagnosed every year, making it one of the country’s most significant health and development issues.</w:t>
      </w:r>
      <w:r w:rsidRPr="00447D0E">
        <w:t xml:space="preserve"> </w:t>
      </w:r>
      <w:r w:rsidR="0003791C" w:rsidRPr="00447D0E">
        <w:t xml:space="preserve">Support for PNG’s management of TB falls under Australia’s Health and HIV </w:t>
      </w:r>
      <w:r w:rsidR="00947B07" w:rsidRPr="00447D0E">
        <w:t>P</w:t>
      </w:r>
      <w:r w:rsidR="0003791C" w:rsidRPr="00447D0E">
        <w:t>rogram</w:t>
      </w:r>
      <w:r w:rsidR="00034B21" w:rsidRPr="00447D0E">
        <w:t xml:space="preserve">. Through this program </w:t>
      </w:r>
      <w:r w:rsidR="000E5C56" w:rsidRPr="00447D0E">
        <w:t>Australia</w:t>
      </w:r>
      <w:r w:rsidR="0003791C" w:rsidRPr="00447D0E">
        <w:t xml:space="preserve"> provides health system support</w:t>
      </w:r>
      <w:r w:rsidR="00034B21" w:rsidRPr="00447D0E">
        <w:t>,</w:t>
      </w:r>
      <w:r w:rsidR="0003791C" w:rsidRPr="00447D0E">
        <w:t xml:space="preserve"> including training health workers, procur</w:t>
      </w:r>
      <w:r w:rsidR="00034B21" w:rsidRPr="00447D0E">
        <w:t>ing</w:t>
      </w:r>
      <w:r w:rsidR="0003791C" w:rsidRPr="00447D0E">
        <w:t xml:space="preserve"> and distributi</w:t>
      </w:r>
      <w:r w:rsidR="00034B21" w:rsidRPr="00447D0E">
        <w:t>ng</w:t>
      </w:r>
      <w:r w:rsidR="0003791C" w:rsidRPr="00447D0E">
        <w:t xml:space="preserve"> essential medications, and improving health infrastructure</w:t>
      </w:r>
      <w:r w:rsidR="0041638B" w:rsidRPr="00447D0E">
        <w:t xml:space="preserve">. </w:t>
      </w:r>
      <w:r w:rsidR="0003791C" w:rsidRPr="00447D0E">
        <w:t>Such health system strength</w:t>
      </w:r>
      <w:r w:rsidR="00376954">
        <w:t>ening is important to address</w:t>
      </w:r>
      <w:r w:rsidR="0003791C" w:rsidRPr="00447D0E">
        <w:t xml:space="preserve"> TB</w:t>
      </w:r>
      <w:r w:rsidR="00B66632" w:rsidRPr="00447D0E">
        <w:t xml:space="preserve"> across PNG</w:t>
      </w:r>
      <w:r w:rsidR="0003791C" w:rsidRPr="00447D0E">
        <w:t xml:space="preserve">. </w:t>
      </w:r>
      <w:r w:rsidR="0033050A" w:rsidRPr="00447D0E">
        <w:t>Australia is also supporting PNG authorities to implement a strategy to combat TB in line with the W</w:t>
      </w:r>
      <w:r w:rsidR="00DA2A63" w:rsidRPr="00447D0E">
        <w:t>HO</w:t>
      </w:r>
      <w:r w:rsidR="00034B21" w:rsidRPr="00447D0E">
        <w:t>’s</w:t>
      </w:r>
      <w:r w:rsidR="0033050A" w:rsidRPr="00447D0E">
        <w:t xml:space="preserve"> recommenced approach, including to detect cases early and treat people daily in their own communities. </w:t>
      </w:r>
      <w:r w:rsidR="00CC702E">
        <w:t>Australia</w:t>
      </w:r>
      <w:r w:rsidR="00CC702E" w:rsidRPr="00447D0E">
        <w:t xml:space="preserve"> </w:t>
      </w:r>
      <w:r w:rsidR="0003791C" w:rsidRPr="00447D0E">
        <w:t xml:space="preserve">is engaging with the PNG Government to increase </w:t>
      </w:r>
      <w:r w:rsidR="001301DB" w:rsidRPr="00447D0E">
        <w:t xml:space="preserve">the </w:t>
      </w:r>
      <w:r w:rsidR="0003791C" w:rsidRPr="00447D0E">
        <w:t xml:space="preserve">level of domestic </w:t>
      </w:r>
      <w:r w:rsidR="001301DB" w:rsidRPr="00447D0E">
        <w:t xml:space="preserve">PNG </w:t>
      </w:r>
      <w:r w:rsidR="0003791C" w:rsidRPr="00447D0E">
        <w:t>funding for TB management.</w:t>
      </w:r>
      <w:r>
        <w:t xml:space="preserve"> </w:t>
      </w:r>
    </w:p>
    <w:p w14:paraId="0B70F5E6" w14:textId="77777777" w:rsidR="008934B0" w:rsidRDefault="0003791C" w:rsidP="00A54FF3">
      <w:pPr>
        <w:pStyle w:val="BodyText"/>
      </w:pPr>
      <w:r w:rsidRPr="00D2073A">
        <w:t>TB is the major contributor to the infectious disease burden in W</w:t>
      </w:r>
      <w:r w:rsidR="001301DB">
        <w:t xml:space="preserve">estern </w:t>
      </w:r>
      <w:r w:rsidRPr="00D2073A">
        <w:t>P</w:t>
      </w:r>
      <w:r w:rsidR="001301DB">
        <w:t>rovince</w:t>
      </w:r>
      <w:r w:rsidR="007212C1">
        <w:t xml:space="preserve"> (Box 1)</w:t>
      </w:r>
      <w:r w:rsidRPr="00D2073A">
        <w:t xml:space="preserve">. </w:t>
      </w:r>
      <w:r w:rsidR="008934B0" w:rsidRPr="00D2073A">
        <w:t xml:space="preserve">The most recent </w:t>
      </w:r>
      <w:r w:rsidR="00034B21">
        <w:t xml:space="preserve">WHO </w:t>
      </w:r>
      <w:r w:rsidR="008934B0" w:rsidRPr="00D2073A">
        <w:t>review</w:t>
      </w:r>
      <w:r w:rsidR="00741955" w:rsidRPr="00D2073A">
        <w:t>, conducted in November 2012,</w:t>
      </w:r>
      <w:r w:rsidR="008934B0" w:rsidRPr="00A92959">
        <w:t xml:space="preserve"> stated</w:t>
      </w:r>
      <w:r w:rsidR="008934B0">
        <w:t xml:space="preserve"> there </w:t>
      </w:r>
      <w:r w:rsidR="00C86220">
        <w:t>‘</w:t>
      </w:r>
      <w:r w:rsidR="008934B0">
        <w:t>has been clear progress in TB prevention and control in South</w:t>
      </w:r>
      <w:r w:rsidR="003C7CD7">
        <w:t xml:space="preserve"> Fly since the last visit</w:t>
      </w:r>
      <w:r w:rsidR="008934B0">
        <w:t xml:space="preserve"> </w:t>
      </w:r>
      <w:r w:rsidR="003C7CD7">
        <w:t>[</w:t>
      </w:r>
      <w:r w:rsidR="008934B0">
        <w:t>October 2011</w:t>
      </w:r>
      <w:r w:rsidR="003C7CD7">
        <w:t>]</w:t>
      </w:r>
      <w:r w:rsidR="00C86220">
        <w:t>’</w:t>
      </w:r>
      <w:r w:rsidR="003C7CD7">
        <w:t>. The WHO review</w:t>
      </w:r>
      <w:r w:rsidR="008934B0">
        <w:t xml:space="preserve"> found that better diagnosis, including the introduction of GeneXpert, has increase</w:t>
      </w:r>
      <w:r w:rsidR="00034B21">
        <w:t>d</w:t>
      </w:r>
      <w:r w:rsidR="008934B0">
        <w:t xml:space="preserve"> the number of TB and</w:t>
      </w:r>
      <w:r w:rsidR="00A25905">
        <w:t xml:space="preserve"> multi-drug-resistant TB (</w:t>
      </w:r>
      <w:r w:rsidR="008934B0">
        <w:t>MDR-TB</w:t>
      </w:r>
      <w:r w:rsidR="00A25905">
        <w:t>)</w:t>
      </w:r>
      <w:r w:rsidR="008934B0">
        <w:t xml:space="preserve"> patients detected and promptly started on treatment. The number of </w:t>
      </w:r>
      <w:r w:rsidR="00376954">
        <w:t xml:space="preserve">treatment </w:t>
      </w:r>
      <w:r w:rsidR="008934B0">
        <w:t xml:space="preserve">defaulters with MDR-TB is very low. </w:t>
      </w:r>
      <w:r w:rsidR="00034B21">
        <w:t xml:space="preserve">The review </w:t>
      </w:r>
      <w:r w:rsidR="008934B0">
        <w:t xml:space="preserve">also found that the </w:t>
      </w:r>
      <w:r w:rsidR="00034B21">
        <w:t>mortality rate with</w:t>
      </w:r>
      <w:r w:rsidR="008934B0">
        <w:t xml:space="preserve"> MDR-TB patients declined sharply</w:t>
      </w:r>
      <w:r w:rsidR="00034B21">
        <w:t xml:space="preserve"> between September 2011 (25</w:t>
      </w:r>
      <w:r w:rsidR="00094163">
        <w:t> </w:t>
      </w:r>
      <w:r w:rsidR="00034B21">
        <w:t xml:space="preserve">per cent) </w:t>
      </w:r>
      <w:r w:rsidR="00094163">
        <w:t xml:space="preserve">and </w:t>
      </w:r>
      <w:r w:rsidR="008934B0">
        <w:t>September 2012</w:t>
      </w:r>
      <w:r w:rsidR="00034B21">
        <w:t xml:space="preserve"> (less than 5 per cent)</w:t>
      </w:r>
      <w:r w:rsidR="008934B0">
        <w:t>.</w:t>
      </w:r>
      <w:r w:rsidR="008934B0">
        <w:rPr>
          <w:rStyle w:val="FootnoteReference"/>
        </w:rPr>
        <w:footnoteReference w:id="30"/>
      </w:r>
    </w:p>
    <w:p w14:paraId="0B70F5E7" w14:textId="77777777" w:rsidR="008934B0" w:rsidRDefault="003C7CD7" w:rsidP="00A54FF3">
      <w:pPr>
        <w:pStyle w:val="BodyText"/>
      </w:pPr>
      <w:r>
        <w:t>Since January 2012</w:t>
      </w:r>
      <w:r w:rsidR="00034B21">
        <w:t>,</w:t>
      </w:r>
      <w:r>
        <w:t xml:space="preserve"> Australia</w:t>
      </w:r>
      <w:r w:rsidR="008934B0">
        <w:t>:</w:t>
      </w:r>
    </w:p>
    <w:p w14:paraId="0B70F5E8" w14:textId="77777777" w:rsidR="008934B0" w:rsidRPr="00932597" w:rsidRDefault="003C7CD7" w:rsidP="00A54FF3">
      <w:pPr>
        <w:pStyle w:val="ListBullet"/>
      </w:pPr>
      <w:r>
        <w:t>supported t</w:t>
      </w:r>
      <w:r w:rsidR="008934B0" w:rsidRPr="00932597">
        <w:t xml:space="preserve">he complete handover of all 92 PNG TB patients treated at Torres Strait health clinics to the care of Western </w:t>
      </w:r>
      <w:r w:rsidR="00094163">
        <w:t>p</w:t>
      </w:r>
      <w:r w:rsidR="008934B0" w:rsidRPr="00932597">
        <w:t xml:space="preserve">rovincial </w:t>
      </w:r>
      <w:r w:rsidR="00094163">
        <w:t>h</w:t>
      </w:r>
      <w:r w:rsidR="008934B0" w:rsidRPr="00932597">
        <w:t>ealth authorities by June 2012</w:t>
      </w:r>
      <w:r w:rsidR="00094163">
        <w:t xml:space="preserve">; </w:t>
      </w:r>
      <w:r w:rsidR="001370F8">
        <w:t>b</w:t>
      </w:r>
      <w:r w:rsidR="008934B0" w:rsidRPr="00932597">
        <w:t>y February 2013</w:t>
      </w:r>
      <w:r>
        <w:t>,</w:t>
      </w:r>
      <w:r w:rsidR="008934B0" w:rsidRPr="00932597">
        <w:t xml:space="preserve"> 83 of these patients had success</w:t>
      </w:r>
      <w:r>
        <w:t>fully completed their treatment</w:t>
      </w:r>
      <w:r w:rsidR="008934B0" w:rsidRPr="00932597">
        <w:t xml:space="preserve"> </w:t>
      </w:r>
    </w:p>
    <w:p w14:paraId="0B70F5E9" w14:textId="77777777" w:rsidR="008934B0" w:rsidRPr="00932597" w:rsidRDefault="003C7CD7" w:rsidP="00A54FF3">
      <w:pPr>
        <w:pStyle w:val="ListBullet"/>
      </w:pPr>
      <w:r>
        <w:t>supported the t</w:t>
      </w:r>
      <w:r w:rsidR="008934B0" w:rsidRPr="00932597">
        <w:t>raining of 21 community health workers and 55</w:t>
      </w:r>
      <w:r>
        <w:t xml:space="preserve"> community TB treatment </w:t>
      </w:r>
      <w:r w:rsidR="000E5C56">
        <w:t>workers</w:t>
      </w:r>
      <w:r w:rsidR="000E5C56" w:rsidRPr="00932597">
        <w:t xml:space="preserve"> </w:t>
      </w:r>
      <w:r w:rsidR="008934B0" w:rsidRPr="00932597">
        <w:t>to provide directly observed treatment to ensure patients in the community take their full course of medication, raise awareness, detect</w:t>
      </w:r>
      <w:r>
        <w:t xml:space="preserve"> suspects and treat cases</w:t>
      </w:r>
    </w:p>
    <w:p w14:paraId="0B70F5EA" w14:textId="77777777" w:rsidR="00CC6FD7" w:rsidRPr="00447D0E" w:rsidRDefault="003C7CD7" w:rsidP="00A54FF3">
      <w:pPr>
        <w:pStyle w:val="ListBullet"/>
      </w:pPr>
      <w:r w:rsidRPr="00447D0E">
        <w:t>s</w:t>
      </w:r>
      <w:r w:rsidR="008934B0" w:rsidRPr="00447D0E">
        <w:t>upported community outreach and advocacy, communication and social mobilisation to increase TB awareness and subsequently increase detection rates</w:t>
      </w:r>
      <w:r w:rsidR="00094163">
        <w:t xml:space="preserve"> (</w:t>
      </w:r>
      <w:r w:rsidR="009D19F4" w:rsidRPr="00447D0E">
        <w:t>the WHO review noted</w:t>
      </w:r>
      <w:r w:rsidR="00C86220" w:rsidRPr="00447D0E">
        <w:t xml:space="preserve"> </w:t>
      </w:r>
      <w:r w:rsidR="00376954">
        <w:t xml:space="preserve">an </w:t>
      </w:r>
      <w:r w:rsidR="00C86220" w:rsidRPr="00447D0E">
        <w:t>impressive increase in the number of TB suspects identified</w:t>
      </w:r>
      <w:r w:rsidR="00094163">
        <w:t>)</w:t>
      </w:r>
    </w:p>
    <w:p w14:paraId="0B70F5EB" w14:textId="77777777" w:rsidR="008934B0" w:rsidRPr="00447D0E" w:rsidRDefault="003C7CD7" w:rsidP="00A54FF3">
      <w:pPr>
        <w:pStyle w:val="ListBullet"/>
      </w:pPr>
      <w:r w:rsidRPr="00447D0E">
        <w:t>r</w:t>
      </w:r>
      <w:r w:rsidR="008934B0" w:rsidRPr="00447D0E">
        <w:t>efurbished and opened an interim TB isolation ward at Daru General Hospital</w:t>
      </w:r>
      <w:r w:rsidR="009D19F4" w:rsidRPr="00447D0E">
        <w:t>, Western Province,</w:t>
      </w:r>
      <w:r w:rsidR="008934B0" w:rsidRPr="00447D0E">
        <w:t xml:space="preserve"> in February 2012 and constructed a purpose-built 22 bed TB ward to international standards for infection co</w:t>
      </w:r>
      <w:r w:rsidRPr="00447D0E">
        <w:t>ntrol</w:t>
      </w:r>
      <w:r w:rsidR="000733C6" w:rsidRPr="00447D0E">
        <w:t xml:space="preserve">, </w:t>
      </w:r>
      <w:r w:rsidR="00FE61B7">
        <w:t xml:space="preserve">due for </w:t>
      </w:r>
      <w:r w:rsidRPr="00447D0E">
        <w:t>complet</w:t>
      </w:r>
      <w:r w:rsidR="00FE61B7">
        <w:t>ion</w:t>
      </w:r>
      <w:r w:rsidRPr="00447D0E">
        <w:t xml:space="preserve"> </w:t>
      </w:r>
      <w:r w:rsidR="000733C6" w:rsidRPr="00447D0E">
        <w:t>in</w:t>
      </w:r>
      <w:r w:rsidRPr="00447D0E">
        <w:t xml:space="preserve"> Ju</w:t>
      </w:r>
      <w:r w:rsidR="007D32A1" w:rsidRPr="00447D0E">
        <w:t>ly</w:t>
      </w:r>
      <w:r w:rsidRPr="00447D0E">
        <w:t xml:space="preserve"> 2013</w:t>
      </w:r>
    </w:p>
    <w:p w14:paraId="0B70F5EC" w14:textId="77777777" w:rsidR="008934B0" w:rsidRPr="00447D0E" w:rsidRDefault="003C7CD7" w:rsidP="00A54FF3">
      <w:pPr>
        <w:pStyle w:val="ListBullet"/>
      </w:pPr>
      <w:r w:rsidRPr="00447D0E">
        <w:lastRenderedPageBreak/>
        <w:t>procured for Daru Hospital a</w:t>
      </w:r>
      <w:r w:rsidR="008934B0" w:rsidRPr="00447D0E">
        <w:t xml:space="preserve"> GeneXpert machine to detect drug-resistant TB within </w:t>
      </w:r>
      <w:r w:rsidR="009D19F4" w:rsidRPr="00447D0E">
        <w:t>two</w:t>
      </w:r>
      <w:r w:rsidR="008934B0" w:rsidRPr="00447D0E">
        <w:t xml:space="preserve"> hours, upgraded a digital X-ray unit, and continued to support quality-assured laboratory diagnosis and drug sensitivity testing through the Queensland Myc</w:t>
      </w:r>
      <w:r w:rsidRPr="00447D0E">
        <w:t>obacterium Reference Laboratory</w:t>
      </w:r>
    </w:p>
    <w:p w14:paraId="0B70F5ED" w14:textId="77777777" w:rsidR="008934B0" w:rsidRPr="00932597" w:rsidRDefault="003C7CD7" w:rsidP="00A54FF3">
      <w:pPr>
        <w:pStyle w:val="ListBullet"/>
      </w:pPr>
      <w:r>
        <w:t>s</w:t>
      </w:r>
      <w:r w:rsidR="008934B0" w:rsidRPr="00932597">
        <w:t xml:space="preserve">upported ongoing operation and maintenance of a purpose-built sea ambulance </w:t>
      </w:r>
      <w:r w:rsidR="009D19F4">
        <w:t>for</w:t>
      </w:r>
      <w:r w:rsidR="008934B0" w:rsidRPr="00932597">
        <w:t xml:space="preserve"> TB outreach, delivery of me</w:t>
      </w:r>
      <w:r w:rsidR="00421E34">
        <w:t>dications and patient retrieval</w:t>
      </w:r>
    </w:p>
    <w:p w14:paraId="0B70F5EE" w14:textId="77777777" w:rsidR="008934B0" w:rsidRPr="00932597" w:rsidRDefault="00421E34" w:rsidP="00A54FF3">
      <w:pPr>
        <w:pStyle w:val="ListBullet"/>
      </w:pPr>
      <w:r>
        <w:t>m</w:t>
      </w:r>
      <w:r w:rsidR="008934B0" w:rsidRPr="00932597">
        <w:t>aintained an uninterrupted supply of drugs</w:t>
      </w:r>
      <w:r>
        <w:t xml:space="preserve"> to Daru Hospital</w:t>
      </w:r>
      <w:r w:rsidR="008934B0" w:rsidRPr="00932597">
        <w:t xml:space="preserve"> for treating drug-resistant TB.</w:t>
      </w:r>
    </w:p>
    <w:p w14:paraId="0B70F5EF" w14:textId="77777777" w:rsidR="008934B0" w:rsidRDefault="00421E34" w:rsidP="00A54FF3">
      <w:pPr>
        <w:pStyle w:val="BodyText"/>
      </w:pPr>
      <w:r>
        <w:t>Australia</w:t>
      </w:r>
      <w:r w:rsidR="008934B0">
        <w:t xml:space="preserve"> </w:t>
      </w:r>
      <w:r w:rsidR="001D26BA">
        <w:t>has</w:t>
      </w:r>
      <w:r w:rsidR="008934B0">
        <w:t xml:space="preserve"> fund</w:t>
      </w:r>
      <w:r w:rsidR="001D26BA">
        <w:t>ed</w:t>
      </w:r>
      <w:r w:rsidR="008934B0">
        <w:t xml:space="preserve"> a </w:t>
      </w:r>
      <w:r w:rsidR="009D19F4">
        <w:t>m</w:t>
      </w:r>
      <w:r w:rsidR="008934B0">
        <w:t xml:space="preserve">aster </w:t>
      </w:r>
      <w:r w:rsidR="009D19F4">
        <w:t>p</w:t>
      </w:r>
      <w:r w:rsidR="008934B0">
        <w:t xml:space="preserve">lan and scoping study for the Daru General Hospital, and a scoping study for Mabaduan Health Centre, as a basis for partnering with the </w:t>
      </w:r>
      <w:r w:rsidR="001D26BA">
        <w:t>PNG Government</w:t>
      </w:r>
      <w:r w:rsidR="008934B0">
        <w:t xml:space="preserve"> and private sector partners to refurbish </w:t>
      </w:r>
      <w:r>
        <w:t>each facility</w:t>
      </w:r>
      <w:r w:rsidR="008934B0">
        <w:t xml:space="preserve"> over 2013</w:t>
      </w:r>
      <w:r w:rsidR="00094163">
        <w:t xml:space="preserve"> to </w:t>
      </w:r>
      <w:r w:rsidR="008934B0">
        <w:t xml:space="preserve">2015. Australia will also </w:t>
      </w:r>
      <w:r w:rsidR="00327F0F">
        <w:t xml:space="preserve">begin </w:t>
      </w:r>
      <w:r w:rsidR="008934B0">
        <w:t xml:space="preserve">funding </w:t>
      </w:r>
      <w:r w:rsidR="00327F0F">
        <w:t xml:space="preserve">for </w:t>
      </w:r>
      <w:r w:rsidR="008934B0">
        <w:t>the new multi-donor Middle and South Fly Health Development Program to address the primary health care challenges facing these districts.</w:t>
      </w:r>
    </w:p>
    <w:p w14:paraId="0B70F5F0" w14:textId="77777777" w:rsidR="00316631" w:rsidRDefault="00327F0F" w:rsidP="00A54FF3">
      <w:pPr>
        <w:pStyle w:val="BodyText"/>
        <w:rPr>
          <w:szCs w:val="22"/>
        </w:rPr>
      </w:pPr>
      <w:r w:rsidRPr="00447D0E">
        <w:rPr>
          <w:szCs w:val="22"/>
        </w:rPr>
        <w:t>TB</w:t>
      </w:r>
      <w:r w:rsidR="00316631" w:rsidRPr="00447D0E">
        <w:rPr>
          <w:szCs w:val="22"/>
        </w:rPr>
        <w:t xml:space="preserve"> is not just confined to PNG’s Western Province. Apart from its work in Western Province, Australia funds a specialist TB Medical Officer in the WHO’s Port Moresby </w:t>
      </w:r>
      <w:r w:rsidRPr="00447D0E">
        <w:rPr>
          <w:szCs w:val="22"/>
        </w:rPr>
        <w:t>O</w:t>
      </w:r>
      <w:r w:rsidR="00316631" w:rsidRPr="00447D0E">
        <w:rPr>
          <w:szCs w:val="22"/>
        </w:rPr>
        <w:t>ffice who supervis</w:t>
      </w:r>
      <w:r w:rsidRPr="00447D0E">
        <w:rPr>
          <w:szCs w:val="22"/>
        </w:rPr>
        <w:t>es</w:t>
      </w:r>
      <w:r w:rsidR="00316631" w:rsidRPr="00447D0E">
        <w:rPr>
          <w:szCs w:val="22"/>
        </w:rPr>
        <w:t xml:space="preserve"> and train</w:t>
      </w:r>
      <w:r w:rsidRPr="00447D0E">
        <w:rPr>
          <w:szCs w:val="22"/>
        </w:rPr>
        <w:t>s</w:t>
      </w:r>
      <w:r w:rsidR="00316631" w:rsidRPr="00447D0E">
        <w:rPr>
          <w:szCs w:val="22"/>
        </w:rPr>
        <w:t xml:space="preserve"> health workers to improve TB management throughout PNG. Australian assistance </w:t>
      </w:r>
      <w:r w:rsidR="000322A3" w:rsidRPr="00447D0E">
        <w:rPr>
          <w:szCs w:val="22"/>
        </w:rPr>
        <w:t xml:space="preserve">to the broader PNG health system </w:t>
      </w:r>
      <w:r w:rsidR="00316631" w:rsidRPr="00447D0E">
        <w:rPr>
          <w:szCs w:val="22"/>
        </w:rPr>
        <w:t xml:space="preserve">also contributes to </w:t>
      </w:r>
      <w:r w:rsidRPr="00447D0E">
        <w:rPr>
          <w:szCs w:val="22"/>
        </w:rPr>
        <w:t xml:space="preserve">the </w:t>
      </w:r>
      <w:r w:rsidR="00316631" w:rsidRPr="00447D0E">
        <w:rPr>
          <w:szCs w:val="22"/>
        </w:rPr>
        <w:t>national response to diseases like TB. In addition, Australia supports the Global Fund to Fight AIDS, TB and Malaria, which is investing US$28.2 million (2007</w:t>
      </w:r>
      <w:r w:rsidR="00CC6FD7" w:rsidRPr="00447D0E">
        <w:rPr>
          <w:szCs w:val="22"/>
        </w:rPr>
        <w:t>–</w:t>
      </w:r>
      <w:r w:rsidR="00316631" w:rsidRPr="00447D0E">
        <w:rPr>
          <w:szCs w:val="22"/>
        </w:rPr>
        <w:t xml:space="preserve">14) in supporting the </w:t>
      </w:r>
      <w:r w:rsidR="00376954">
        <w:rPr>
          <w:szCs w:val="22"/>
        </w:rPr>
        <w:t xml:space="preserve">PNG </w:t>
      </w:r>
      <w:r w:rsidRPr="00447D0E">
        <w:rPr>
          <w:szCs w:val="22"/>
        </w:rPr>
        <w:t>g</w:t>
      </w:r>
      <w:r w:rsidR="00316631" w:rsidRPr="00447D0E">
        <w:rPr>
          <w:szCs w:val="22"/>
        </w:rPr>
        <w:t xml:space="preserve">overnment </w:t>
      </w:r>
      <w:r w:rsidRPr="00447D0E">
        <w:rPr>
          <w:szCs w:val="22"/>
        </w:rPr>
        <w:t>to</w:t>
      </w:r>
      <w:r w:rsidR="00316631" w:rsidRPr="00447D0E">
        <w:rPr>
          <w:szCs w:val="22"/>
        </w:rPr>
        <w:t xml:space="preserve"> manage TB nationally.</w:t>
      </w:r>
    </w:p>
    <w:p w14:paraId="0B70F5F1" w14:textId="77777777" w:rsidR="002960A4" w:rsidRDefault="002960A4" w:rsidP="00A54FF3">
      <w:pPr>
        <w:pStyle w:val="BodyText"/>
        <w:rPr>
          <w:szCs w:val="22"/>
        </w:rPr>
      </w:pPr>
    </w:p>
    <w:tbl>
      <w:tblPr>
        <w:tblStyle w:val="TableGrid"/>
        <w:tblW w:w="0" w:type="auto"/>
        <w:shd w:val="clear" w:color="auto" w:fill="C6D9F1" w:themeFill="text2" w:themeFillTint="33"/>
        <w:tblLook w:val="04A0" w:firstRow="1" w:lastRow="0" w:firstColumn="1" w:lastColumn="0" w:noHBand="0" w:noVBand="1"/>
      </w:tblPr>
      <w:tblGrid>
        <w:gridCol w:w="8494"/>
      </w:tblGrid>
      <w:tr w:rsidR="00A54FF3" w14:paraId="0B70F5F8" w14:textId="77777777" w:rsidTr="001E7728">
        <w:tc>
          <w:tcPr>
            <w:tcW w:w="8494" w:type="dxa"/>
            <w:shd w:val="clear" w:color="auto" w:fill="C6D9F1" w:themeFill="text2" w:themeFillTint="33"/>
          </w:tcPr>
          <w:p w14:paraId="0B70F5F2" w14:textId="77777777" w:rsidR="00A54FF3" w:rsidRPr="00A54FF3" w:rsidRDefault="00A54FF3" w:rsidP="00A54FF3">
            <w:pPr>
              <w:pStyle w:val="BoxHeading1"/>
            </w:pPr>
            <w:r w:rsidRPr="00A54FF3">
              <w:t>Box 1: Tackling TB in Western Province, PNG</w:t>
            </w:r>
          </w:p>
          <w:p w14:paraId="0B70F5F3" w14:textId="77777777" w:rsidR="00A54FF3" w:rsidRPr="002F31B2" w:rsidRDefault="00A54FF3" w:rsidP="00A54FF3">
            <w:pPr>
              <w:pStyle w:val="BoxText"/>
            </w:pPr>
            <w:r>
              <w:rPr>
                <w:lang w:val="en"/>
              </w:rPr>
              <w:t>Australian</w:t>
            </w:r>
            <w:r w:rsidRPr="002F31B2">
              <w:rPr>
                <w:lang w:val="en"/>
              </w:rPr>
              <w:t xml:space="preserve"> support for TB management in Western Province is leading to better detection, treatment and management</w:t>
            </w:r>
            <w:r>
              <w:rPr>
                <w:lang w:val="en"/>
              </w:rPr>
              <w:t xml:space="preserve">. </w:t>
            </w:r>
            <w:r w:rsidRPr="002F31B2">
              <w:rPr>
                <w:lang w:val="en"/>
              </w:rPr>
              <w:t xml:space="preserve">A key element of </w:t>
            </w:r>
            <w:r>
              <w:rPr>
                <w:lang w:val="en"/>
              </w:rPr>
              <w:t>Australia’s</w:t>
            </w:r>
            <w:r w:rsidRPr="002F31B2">
              <w:rPr>
                <w:lang w:val="en"/>
              </w:rPr>
              <w:t xml:space="preserve"> support to the PNG Government is funding the Stop TB in Western Province </w:t>
            </w:r>
            <w:r>
              <w:rPr>
                <w:lang w:val="en"/>
              </w:rPr>
              <w:t>P</w:t>
            </w:r>
            <w:r w:rsidRPr="002F31B2">
              <w:rPr>
                <w:lang w:val="en"/>
              </w:rPr>
              <w:t>rogram</w:t>
            </w:r>
            <w:r>
              <w:rPr>
                <w:lang w:val="en"/>
              </w:rPr>
              <w:t xml:space="preserve">, </w:t>
            </w:r>
            <w:r w:rsidRPr="002F31B2">
              <w:rPr>
                <w:lang w:val="en"/>
              </w:rPr>
              <w:t xml:space="preserve">based on </w:t>
            </w:r>
            <w:r>
              <w:rPr>
                <w:lang w:val="en"/>
              </w:rPr>
              <w:t>WHO’s</w:t>
            </w:r>
            <w:r w:rsidRPr="002F31B2">
              <w:t xml:space="preserve"> global standard for TB control, </w:t>
            </w:r>
            <w:r>
              <w:t xml:space="preserve">the </w:t>
            </w:r>
            <w:r w:rsidRPr="002F31B2">
              <w:t xml:space="preserve">Directly Observed Treatment Short Course. </w:t>
            </w:r>
          </w:p>
          <w:p w14:paraId="0B70F5F4" w14:textId="77777777" w:rsidR="00A54FF3" w:rsidRPr="002F31B2" w:rsidRDefault="00A54FF3" w:rsidP="00A54FF3">
            <w:pPr>
              <w:pStyle w:val="BoxText"/>
            </w:pPr>
            <w:r w:rsidRPr="002F31B2">
              <w:t>TB takes a relatively long time to treat</w:t>
            </w:r>
            <w:r>
              <w:t xml:space="preserve">. </w:t>
            </w:r>
            <w:r w:rsidRPr="002F31B2">
              <w:t>Patients need to take several tablets a day for six to eight months if their infection is drug sensitive</w:t>
            </w:r>
            <w:r>
              <w:t xml:space="preserve">. </w:t>
            </w:r>
            <w:r w:rsidRPr="002F31B2">
              <w:t>Drug</w:t>
            </w:r>
            <w:r>
              <w:t>-r</w:t>
            </w:r>
            <w:r w:rsidRPr="002F31B2">
              <w:t xml:space="preserve">esistant TB </w:t>
            </w:r>
            <w:r w:rsidRPr="002F31B2">
              <w:rPr>
                <w:lang w:val="en"/>
              </w:rPr>
              <w:t xml:space="preserve">is harder to treat and </w:t>
            </w:r>
            <w:r w:rsidRPr="002F31B2">
              <w:t>patients need to take medication for 18</w:t>
            </w:r>
            <w:r>
              <w:t xml:space="preserve"> to </w:t>
            </w:r>
            <w:r w:rsidRPr="002F31B2">
              <w:t>24 months</w:t>
            </w:r>
            <w:r>
              <w:t>. Di</w:t>
            </w:r>
            <w:r w:rsidRPr="000E5C56">
              <w:t>rectly observable treatment</w:t>
            </w:r>
            <w:r w:rsidRPr="002F31B2">
              <w:t xml:space="preserve"> involves treating the patients in their communities with the help of TB </w:t>
            </w:r>
            <w:r>
              <w:t>t</w:t>
            </w:r>
            <w:r w:rsidRPr="002F31B2">
              <w:t xml:space="preserve">reatment </w:t>
            </w:r>
            <w:r>
              <w:t>s</w:t>
            </w:r>
            <w:r w:rsidRPr="002F31B2">
              <w:t>upporters who visit patients regularly and ensure they take their medication. If a patient does not take their medication correctly</w:t>
            </w:r>
            <w:r>
              <w:t>,</w:t>
            </w:r>
            <w:r w:rsidRPr="002F31B2">
              <w:t xml:space="preserve"> or stops taking it, they may develop drug</w:t>
            </w:r>
            <w:r>
              <w:t>-</w:t>
            </w:r>
            <w:r w:rsidRPr="002F31B2">
              <w:t>resistant TB, which can be passed on</w:t>
            </w:r>
            <w:r>
              <w:t xml:space="preserve"> to</w:t>
            </w:r>
            <w:r w:rsidRPr="002F31B2">
              <w:t xml:space="preserve"> other</w:t>
            </w:r>
            <w:r>
              <w:t>s</w:t>
            </w:r>
            <w:r w:rsidRPr="002F31B2">
              <w:t>.</w:t>
            </w:r>
          </w:p>
          <w:p w14:paraId="0B70F5F5" w14:textId="5C1C29E5" w:rsidR="00A54FF3" w:rsidRDefault="00A54FF3" w:rsidP="00A54FF3">
            <w:pPr>
              <w:pStyle w:val="BoxText"/>
            </w:pPr>
            <w:r w:rsidRPr="002F31B2">
              <w:t xml:space="preserve">With </w:t>
            </w:r>
            <w:r>
              <w:t>Australian</w:t>
            </w:r>
            <w:r w:rsidR="00CC702E">
              <w:t xml:space="preserve"> Government</w:t>
            </w:r>
            <w:r w:rsidRPr="002F31B2">
              <w:t xml:space="preserve"> support, World Vision trained 55</w:t>
            </w:r>
            <w:r>
              <w:t xml:space="preserve"> </w:t>
            </w:r>
            <w:r w:rsidRPr="002F31B2">
              <w:t xml:space="preserve">volunteer </w:t>
            </w:r>
            <w:r>
              <w:t>t</w:t>
            </w:r>
            <w:r w:rsidRPr="002F31B2">
              <w:t xml:space="preserve">reatment </w:t>
            </w:r>
            <w:r>
              <w:t>s</w:t>
            </w:r>
            <w:r w:rsidRPr="002F31B2">
              <w:t>upporters and 21</w:t>
            </w:r>
            <w:r>
              <w:t> c</w:t>
            </w:r>
            <w:r w:rsidRPr="002F31B2">
              <w:t xml:space="preserve">ommunity </w:t>
            </w:r>
            <w:r>
              <w:t>h</w:t>
            </w:r>
            <w:r w:rsidRPr="002F31B2">
              <w:t xml:space="preserve">ealth </w:t>
            </w:r>
            <w:r>
              <w:t>w</w:t>
            </w:r>
            <w:r w:rsidRPr="002F31B2">
              <w:t xml:space="preserve">orkers to support </w:t>
            </w:r>
            <w:r>
              <w:t>directly observable treatment</w:t>
            </w:r>
            <w:r w:rsidRPr="002F31B2">
              <w:t xml:space="preserve"> implementation in Western Province in 2012. They also increased awareness and helped with detecti</w:t>
            </w:r>
            <w:r>
              <w:t xml:space="preserve">ng </w:t>
            </w:r>
            <w:r w:rsidRPr="002F31B2">
              <w:t>and treat</w:t>
            </w:r>
            <w:r>
              <w:t>ing</w:t>
            </w:r>
            <w:r w:rsidRPr="002F31B2">
              <w:t xml:space="preserve"> suspected TB cases. Volunteer treatment supporters </w:t>
            </w:r>
            <w:r>
              <w:t xml:space="preserve">have </w:t>
            </w:r>
            <w:r w:rsidRPr="002F31B2">
              <w:t>often been cured from TB</w:t>
            </w:r>
            <w:r>
              <w:t xml:space="preserve">. </w:t>
            </w:r>
          </w:p>
          <w:p w14:paraId="0B70F5F6" w14:textId="77777777" w:rsidR="00A54FF3" w:rsidRDefault="00A54FF3" w:rsidP="00A54FF3">
            <w:pPr>
              <w:pStyle w:val="BoxText"/>
              <w:rPr>
                <w:i/>
                <w:lang w:val="en"/>
              </w:rPr>
            </w:pPr>
            <w:r w:rsidRPr="002F31B2">
              <w:t>Th</w:t>
            </w:r>
            <w:r>
              <w:t>is</w:t>
            </w:r>
            <w:r w:rsidRPr="002F31B2">
              <w:t xml:space="preserve"> story of Iru from Daru</w:t>
            </w:r>
            <w:r>
              <w:t>,</w:t>
            </w:r>
            <w:r w:rsidRPr="002F31B2">
              <w:t xml:space="preserve"> Western Province</w:t>
            </w:r>
            <w:r>
              <w:t>,</w:t>
            </w:r>
            <w:r w:rsidRPr="002F31B2">
              <w:t xml:space="preserve"> shows how community</w:t>
            </w:r>
            <w:r>
              <w:t>-</w:t>
            </w:r>
            <w:r w:rsidRPr="002F31B2">
              <w:t>based treatment supporters assist effective TB treatment</w:t>
            </w:r>
            <w:r>
              <w:t xml:space="preserve">. Iru </w:t>
            </w:r>
            <w:r w:rsidRPr="000E5C56">
              <w:rPr>
                <w:lang w:val="en"/>
              </w:rPr>
              <w:t>came close to dying when she contracted MDR-TB from her neighbour.</w:t>
            </w:r>
            <w:r w:rsidRPr="002F31B2">
              <w:rPr>
                <w:i/>
                <w:lang w:val="en"/>
              </w:rPr>
              <w:t xml:space="preserve"> </w:t>
            </w:r>
          </w:p>
          <w:p w14:paraId="0B70F5F7" w14:textId="77777777" w:rsidR="00A54FF3" w:rsidRPr="00A54FF3" w:rsidRDefault="00A54FF3" w:rsidP="00A54FF3">
            <w:pPr>
              <w:pStyle w:val="BoxText"/>
              <w:rPr>
                <w:lang w:val="en"/>
              </w:rPr>
            </w:pPr>
            <w:r>
              <w:rPr>
                <w:lang w:val="en"/>
              </w:rPr>
              <w:t>‘</w:t>
            </w:r>
            <w:r w:rsidRPr="000E5C56">
              <w:rPr>
                <w:lang w:val="en"/>
              </w:rPr>
              <w:t>Two years of taking medicines is really tough</w:t>
            </w:r>
            <w:r>
              <w:rPr>
                <w:lang w:val="en"/>
              </w:rPr>
              <w:t xml:space="preserve"> </w:t>
            </w:r>
            <w:r w:rsidRPr="000E5C56">
              <w:rPr>
                <w:lang w:val="en"/>
              </w:rPr>
              <w:t>...</w:t>
            </w:r>
            <w:r>
              <w:rPr>
                <w:lang w:val="en"/>
              </w:rPr>
              <w:t xml:space="preserve"> </w:t>
            </w:r>
            <w:r w:rsidRPr="000E5C56">
              <w:rPr>
                <w:lang w:val="en"/>
              </w:rPr>
              <w:t>but I only have one life,</w:t>
            </w:r>
            <w:r>
              <w:rPr>
                <w:lang w:val="en"/>
              </w:rPr>
              <w:t>’</w:t>
            </w:r>
            <w:r w:rsidRPr="000E5C56">
              <w:rPr>
                <w:lang w:val="en"/>
              </w:rPr>
              <w:t xml:space="preserve"> Iru says. Iru felt so passionate about saving other people from TB that she signed up </w:t>
            </w:r>
            <w:r>
              <w:rPr>
                <w:lang w:val="en"/>
              </w:rPr>
              <w:t>as</w:t>
            </w:r>
            <w:r w:rsidRPr="000E5C56">
              <w:rPr>
                <w:lang w:val="en"/>
              </w:rPr>
              <w:t xml:space="preserve"> a TB Treatment Supporter. </w:t>
            </w:r>
            <w:r>
              <w:rPr>
                <w:lang w:val="en"/>
              </w:rPr>
              <w:t>‘</w:t>
            </w:r>
            <w:r w:rsidRPr="000E5C56">
              <w:rPr>
                <w:lang w:val="en"/>
              </w:rPr>
              <w:t>I became a Treatment Supporter straight after I completed my medications. I wanted to help others, because everyone saw I had TB and if they see that I survive</w:t>
            </w:r>
            <w:r>
              <w:rPr>
                <w:lang w:val="en"/>
              </w:rPr>
              <w:t>d</w:t>
            </w:r>
            <w:r w:rsidRPr="000E5C56">
              <w:rPr>
                <w:lang w:val="en"/>
              </w:rPr>
              <w:t xml:space="preserve"> then maybe I can help someone else.</w:t>
            </w:r>
            <w:r>
              <w:rPr>
                <w:lang w:val="en"/>
              </w:rPr>
              <w:t>’</w:t>
            </w:r>
          </w:p>
        </w:tc>
      </w:tr>
    </w:tbl>
    <w:p w14:paraId="0B70F5F9" w14:textId="77777777" w:rsidR="00AC2F41" w:rsidRPr="00A54FF3" w:rsidRDefault="008934B0" w:rsidP="00A54FF3">
      <w:pPr>
        <w:pStyle w:val="Heading2"/>
      </w:pPr>
      <w:r w:rsidRPr="00A54FF3">
        <w:lastRenderedPageBreak/>
        <w:t xml:space="preserve">Objective 2: </w:t>
      </w:r>
      <w:r w:rsidR="00AC2F41" w:rsidRPr="00A54FF3">
        <w:t>Improved access to quality education at all levels</w:t>
      </w:r>
    </w:p>
    <w:tbl>
      <w:tblPr>
        <w:tblStyle w:val="APPR"/>
        <w:tblW w:w="5000" w:type="pct"/>
        <w:tblLook w:val="0000" w:firstRow="0" w:lastRow="0" w:firstColumn="0" w:lastColumn="0" w:noHBand="0" w:noVBand="0"/>
      </w:tblPr>
      <w:tblGrid>
        <w:gridCol w:w="7390"/>
        <w:gridCol w:w="1216"/>
      </w:tblGrid>
      <w:tr w:rsidR="006378F6" w:rsidRPr="009D53C4" w14:paraId="0B70F5FC" w14:textId="77777777" w:rsidTr="006264ED">
        <w:trPr>
          <w:cnfStyle w:val="000000010000" w:firstRow="0" w:lastRow="0" w:firstColumn="0" w:lastColumn="0" w:oddVBand="0" w:evenVBand="0" w:oddHBand="0" w:evenHBand="1" w:firstRowFirstColumn="0" w:firstRowLastColumn="0" w:lastRowFirstColumn="0" w:lastRowLastColumn="0"/>
        </w:trPr>
        <w:tc>
          <w:tcPr>
            <w:tcW w:w="7233" w:type="dxa"/>
          </w:tcPr>
          <w:p w14:paraId="0B70F5FA" w14:textId="77777777" w:rsidR="006378F6" w:rsidRPr="002960A4" w:rsidRDefault="006378F6" w:rsidP="002960A4">
            <w:pPr>
              <w:pStyle w:val="TableTextEntries"/>
            </w:pPr>
            <w:r w:rsidRPr="002960A4">
              <w:t>Improved access to quality education</w:t>
            </w:r>
          </w:p>
        </w:tc>
        <w:tc>
          <w:tcPr>
            <w:tcW w:w="1156" w:type="dxa"/>
            <w:shd w:val="clear" w:color="auto" w:fill="auto"/>
            <w:noWrap/>
          </w:tcPr>
          <w:p w14:paraId="0B70F5FB" w14:textId="77777777" w:rsidR="006378F6" w:rsidRPr="00443639" w:rsidRDefault="006378F6" w:rsidP="00B240D3">
            <w:pPr>
              <w:pStyle w:val="TableTextEntries"/>
              <w:jc w:val="center"/>
              <w:rPr>
                <w:color w:val="FFFFFF" w:themeColor="background1"/>
              </w:rPr>
            </w:pPr>
          </w:p>
        </w:tc>
      </w:tr>
      <w:tr w:rsidR="006378F6" w:rsidRPr="009D53C4" w14:paraId="0B70F5FF" w14:textId="77777777" w:rsidTr="006264ED">
        <w:trPr>
          <w:cnfStyle w:val="000000010000" w:firstRow="0" w:lastRow="0" w:firstColumn="0" w:lastColumn="0" w:oddVBand="0" w:evenVBand="0" w:oddHBand="0" w:evenHBand="1" w:firstRowFirstColumn="0" w:firstRowLastColumn="0" w:lastRowFirstColumn="0" w:lastRowLastColumn="0"/>
        </w:trPr>
        <w:tc>
          <w:tcPr>
            <w:tcW w:w="7233" w:type="dxa"/>
          </w:tcPr>
          <w:p w14:paraId="0B70F5FD" w14:textId="77777777" w:rsidR="006378F6" w:rsidRDefault="006378F6" w:rsidP="002960A4">
            <w:pPr>
              <w:pStyle w:val="TableListBullet"/>
            </w:pPr>
            <w:r>
              <w:t xml:space="preserve">Improved access to </w:t>
            </w:r>
            <w:r w:rsidRPr="0022246F">
              <w:t xml:space="preserve">quality </w:t>
            </w:r>
            <w:r>
              <w:t>education at all levels</w:t>
            </w:r>
          </w:p>
        </w:tc>
        <w:tc>
          <w:tcPr>
            <w:tcW w:w="1156" w:type="dxa"/>
            <w:shd w:val="clear" w:color="auto" w:fill="F79646" w:themeFill="accent6"/>
            <w:noWrap/>
          </w:tcPr>
          <w:p w14:paraId="0B70F5FE" w14:textId="77777777" w:rsidR="006378F6" w:rsidRPr="002960A4" w:rsidRDefault="006378F6" w:rsidP="002960A4">
            <w:pPr>
              <w:pStyle w:val="TableTextEntries"/>
            </w:pPr>
            <w:r w:rsidRPr="002960A4">
              <w:t>Amber</w:t>
            </w:r>
          </w:p>
        </w:tc>
      </w:tr>
      <w:tr w:rsidR="006378F6" w:rsidRPr="009D53C4" w14:paraId="0B70F602" w14:textId="77777777" w:rsidTr="006264ED">
        <w:trPr>
          <w:cnfStyle w:val="000000010000" w:firstRow="0" w:lastRow="0" w:firstColumn="0" w:lastColumn="0" w:oddVBand="0" w:evenVBand="0" w:oddHBand="0" w:evenHBand="1" w:firstRowFirstColumn="0" w:firstRowLastColumn="0" w:lastRowFirstColumn="0" w:lastRowLastColumn="0"/>
        </w:trPr>
        <w:tc>
          <w:tcPr>
            <w:tcW w:w="7233" w:type="dxa"/>
          </w:tcPr>
          <w:p w14:paraId="0B70F600" w14:textId="77777777" w:rsidR="006378F6" w:rsidRPr="0022246F" w:rsidRDefault="006378F6" w:rsidP="002960A4">
            <w:pPr>
              <w:pStyle w:val="TableListBullet"/>
            </w:pPr>
            <w:r>
              <w:t>Australia Awards and A</w:t>
            </w:r>
            <w:r w:rsidR="003F06CF">
              <w:t>ustralia</w:t>
            </w:r>
            <w:r w:rsidR="00094163">
              <w:t>-</w:t>
            </w:r>
            <w:r w:rsidR="003F06CF">
              <w:t>Pacific Technical College</w:t>
            </w:r>
          </w:p>
        </w:tc>
        <w:tc>
          <w:tcPr>
            <w:tcW w:w="1156" w:type="dxa"/>
            <w:shd w:val="clear" w:color="auto" w:fill="92D050"/>
            <w:noWrap/>
          </w:tcPr>
          <w:p w14:paraId="0B70F601" w14:textId="77777777" w:rsidR="006378F6" w:rsidRPr="002960A4" w:rsidRDefault="006378F6" w:rsidP="002960A4">
            <w:pPr>
              <w:pStyle w:val="TableTextEntries"/>
            </w:pPr>
            <w:r w:rsidRPr="002960A4">
              <w:t>Green</w:t>
            </w:r>
          </w:p>
        </w:tc>
      </w:tr>
    </w:tbl>
    <w:p w14:paraId="0B70F603" w14:textId="77777777" w:rsidR="00AC2F41" w:rsidRPr="00A54FF3" w:rsidRDefault="00AC2F41" w:rsidP="00A54FF3">
      <w:pPr>
        <w:pStyle w:val="Heading3"/>
      </w:pPr>
      <w:r w:rsidRPr="00A54FF3">
        <w:t xml:space="preserve">Objective 2a. </w:t>
      </w:r>
      <w:r w:rsidR="00811F97" w:rsidRPr="00A54FF3">
        <w:t>Basic, secondary,</w:t>
      </w:r>
      <w:r w:rsidR="00AB09D8" w:rsidRPr="00A54FF3">
        <w:t xml:space="preserve"> technical and </w:t>
      </w:r>
      <w:r w:rsidR="00977312" w:rsidRPr="00A54FF3">
        <w:t xml:space="preserve">higher </w:t>
      </w:r>
      <w:r w:rsidR="00AB09D8" w:rsidRPr="00A54FF3">
        <w:t>education</w:t>
      </w:r>
    </w:p>
    <w:p w14:paraId="0B70F604" w14:textId="77777777" w:rsidR="0093309E" w:rsidRDefault="00253510" w:rsidP="00A54FF3">
      <w:pPr>
        <w:pStyle w:val="BodyText"/>
      </w:pPr>
      <w:r w:rsidRPr="0033050A">
        <w:t>Australia</w:t>
      </w:r>
      <w:r w:rsidR="00077591" w:rsidRPr="0033050A">
        <w:t xml:space="preserve"> rated progress </w:t>
      </w:r>
      <w:r w:rsidR="00FB05F5" w:rsidRPr="004161A9">
        <w:t xml:space="preserve">against this objective </w:t>
      </w:r>
      <w:r w:rsidR="003F745E">
        <w:t xml:space="preserve">under the Partnership for Development program </w:t>
      </w:r>
      <w:r w:rsidR="00077591" w:rsidRPr="0033050A">
        <w:t>as amber</w:t>
      </w:r>
      <w:r w:rsidR="001B2B81">
        <w:t xml:space="preserve"> in 2012–13</w:t>
      </w:r>
      <w:r w:rsidR="001066DE">
        <w:t>. The rating dropped from the</w:t>
      </w:r>
      <w:r w:rsidR="00077591" w:rsidRPr="0033050A">
        <w:t xml:space="preserve"> green</w:t>
      </w:r>
      <w:r w:rsidR="001066DE">
        <w:t xml:space="preserve"> rating</w:t>
      </w:r>
      <w:r w:rsidR="00077591" w:rsidRPr="0033050A">
        <w:t xml:space="preserve"> in </w:t>
      </w:r>
      <w:r w:rsidRPr="0033050A">
        <w:t>2011</w:t>
      </w:r>
      <w:r w:rsidR="0033050A" w:rsidRPr="004161A9">
        <w:t>,</w:t>
      </w:r>
      <w:r w:rsidRPr="0033050A">
        <w:t xml:space="preserve"> </w:t>
      </w:r>
      <w:r w:rsidR="00F313A9" w:rsidRPr="0033050A">
        <w:t>due</w:t>
      </w:r>
      <w:r w:rsidR="0044456A" w:rsidRPr="0033050A">
        <w:t xml:space="preserve"> </w:t>
      </w:r>
      <w:r w:rsidR="009C0C0B" w:rsidRPr="004161A9">
        <w:t xml:space="preserve">to </w:t>
      </w:r>
      <w:r w:rsidR="0044456A" w:rsidRPr="0033050A">
        <w:t xml:space="preserve">mixed progress on </w:t>
      </w:r>
      <w:r w:rsidR="001066DE">
        <w:t>p</w:t>
      </w:r>
      <w:r w:rsidR="0044456A" w:rsidRPr="0033050A">
        <w:t>artnership targets</w:t>
      </w:r>
      <w:r w:rsidR="0033050A">
        <w:t xml:space="preserve"> and policy reforms</w:t>
      </w:r>
      <w:r w:rsidR="00094163">
        <w:t>. This includes</w:t>
      </w:r>
      <w:r w:rsidR="0093309E">
        <w:t>:</w:t>
      </w:r>
    </w:p>
    <w:p w14:paraId="0B70F605" w14:textId="77777777" w:rsidR="0093309E" w:rsidRDefault="0093309E" w:rsidP="00A54FF3">
      <w:pPr>
        <w:pStyle w:val="ListBullet"/>
      </w:pPr>
      <w:r>
        <w:t>e</w:t>
      </w:r>
      <w:r w:rsidR="00461DCC" w:rsidRPr="0033050A">
        <w:t xml:space="preserve">stimated net </w:t>
      </w:r>
      <w:r w:rsidR="0044456A" w:rsidRPr="0033050A">
        <w:t>enrolment rates indicat</w:t>
      </w:r>
      <w:r w:rsidR="00094163">
        <w:t>ing that</w:t>
      </w:r>
      <w:r w:rsidR="0044456A" w:rsidRPr="0033050A">
        <w:t xml:space="preserve"> PNG is cl</w:t>
      </w:r>
      <w:r w:rsidR="00461DCC" w:rsidRPr="0033050A">
        <w:t xml:space="preserve">ose to meeting its 2015 target of </w:t>
      </w:r>
      <w:r w:rsidR="0044456A" w:rsidRPr="0033050A">
        <w:t>74.3 per cent</w:t>
      </w:r>
    </w:p>
    <w:p w14:paraId="0B70F606" w14:textId="77777777" w:rsidR="0093309E" w:rsidRDefault="0044456A" w:rsidP="00A54FF3">
      <w:pPr>
        <w:pStyle w:val="ListBullet"/>
      </w:pPr>
      <w:r w:rsidRPr="0033050A">
        <w:t xml:space="preserve">an </w:t>
      </w:r>
      <w:r w:rsidR="00461DCC" w:rsidRPr="0033050A">
        <w:t xml:space="preserve">internationally recognised </w:t>
      </w:r>
      <w:r w:rsidRPr="0033050A">
        <w:t>education quality assessment</w:t>
      </w:r>
      <w:r w:rsidR="00461DCC" w:rsidRPr="0033050A">
        <w:t xml:space="preserve"> being undertaken</w:t>
      </w:r>
      <w:r w:rsidR="0093309E">
        <w:t xml:space="preserve">, which </w:t>
      </w:r>
      <w:r w:rsidR="00DD3EFB">
        <w:t>will provide valuable data on student needs</w:t>
      </w:r>
    </w:p>
    <w:p w14:paraId="0B70F607" w14:textId="77777777" w:rsidR="0093309E" w:rsidRDefault="0044456A" w:rsidP="00A54FF3">
      <w:pPr>
        <w:pStyle w:val="ListBullet"/>
      </w:pPr>
      <w:r w:rsidRPr="0033050A">
        <w:t>increased enrolment of girls in basic and secondary schools</w:t>
      </w:r>
      <w:r w:rsidR="00461DCC" w:rsidRPr="0033050A">
        <w:t xml:space="preserve"> indicat</w:t>
      </w:r>
      <w:r w:rsidR="00094163">
        <w:t>ing</w:t>
      </w:r>
      <w:r w:rsidR="00461DCC" w:rsidRPr="0033050A">
        <w:t xml:space="preserve"> </w:t>
      </w:r>
      <w:r w:rsidR="001301DB">
        <w:t>progress</w:t>
      </w:r>
      <w:r w:rsidR="00094163">
        <w:t>—</w:t>
      </w:r>
      <w:r w:rsidR="00DD3EFB">
        <w:t>PNG has</w:t>
      </w:r>
      <w:r w:rsidR="00461DCC" w:rsidRPr="0033050A">
        <w:t xml:space="preserve"> me</w:t>
      </w:r>
      <w:r w:rsidR="00DD3EFB">
        <w:t>t</w:t>
      </w:r>
      <w:r w:rsidR="00461DCC" w:rsidRPr="0033050A">
        <w:t xml:space="preserve"> the gender parity target of 0.97 </w:t>
      </w:r>
      <w:r w:rsidR="00DD3EFB">
        <w:t xml:space="preserve">for basic education but will probably not reach the target for secondary schools by </w:t>
      </w:r>
      <w:r w:rsidR="005820DE">
        <w:t>2015</w:t>
      </w:r>
    </w:p>
    <w:p w14:paraId="0B70F608" w14:textId="77777777" w:rsidR="0093309E" w:rsidRDefault="0044456A" w:rsidP="00A54FF3">
      <w:pPr>
        <w:pStyle w:val="ListBullet"/>
      </w:pPr>
      <w:r w:rsidRPr="0033050A">
        <w:t>a national qualification framework in technical and higher education</w:t>
      </w:r>
      <w:r w:rsidR="00461DCC" w:rsidRPr="0033050A">
        <w:t xml:space="preserve"> </w:t>
      </w:r>
      <w:r w:rsidR="0068085F">
        <w:t>indicat</w:t>
      </w:r>
      <w:r w:rsidR="00094163">
        <w:t>ing that</w:t>
      </w:r>
      <w:r w:rsidR="0068085F">
        <w:t xml:space="preserve"> </w:t>
      </w:r>
      <w:r w:rsidR="00DD3EFB">
        <w:t>the quality of higher education will be measured by a common standard</w:t>
      </w:r>
    </w:p>
    <w:p w14:paraId="0B70F609" w14:textId="77777777" w:rsidR="008D358E" w:rsidRDefault="0044456A" w:rsidP="00A54FF3">
      <w:pPr>
        <w:pStyle w:val="ListBullet"/>
      </w:pPr>
      <w:r w:rsidRPr="0033050A">
        <w:t>technical and higher education targets of 52</w:t>
      </w:r>
      <w:r w:rsidR="00CC6FD7">
        <w:t xml:space="preserve"> </w:t>
      </w:r>
      <w:r w:rsidRPr="0033050A">
        <w:t>000 graduates and a</w:t>
      </w:r>
      <w:r w:rsidR="007D32A1">
        <w:t xml:space="preserve"> technical and higher education</w:t>
      </w:r>
      <w:r w:rsidRPr="0033050A">
        <w:t xml:space="preserve"> gender parity index of 0.97 (currently 0.70)</w:t>
      </w:r>
      <w:r w:rsidR="0068085F">
        <w:t xml:space="preserve"> unlikely to be met</w:t>
      </w:r>
      <w:r w:rsidRPr="0033050A">
        <w:t>.</w:t>
      </w:r>
    </w:p>
    <w:p w14:paraId="0B70F60A" w14:textId="205F9CC4" w:rsidR="008934B0" w:rsidRDefault="004D2733" w:rsidP="00A54FF3">
      <w:pPr>
        <w:pStyle w:val="BodyText"/>
      </w:pPr>
      <w:r>
        <w:t xml:space="preserve">From January 2012 to June </w:t>
      </w:r>
      <w:r w:rsidR="009B4C40">
        <w:t>2</w:t>
      </w:r>
      <w:r>
        <w:t>01</w:t>
      </w:r>
      <w:r w:rsidR="009B4C40">
        <w:t>3</w:t>
      </w:r>
      <w:r>
        <w:t xml:space="preserve">, </w:t>
      </w:r>
      <w:r w:rsidR="008934B0" w:rsidRPr="000F7284">
        <w:t>Au</w:t>
      </w:r>
      <w:r w:rsidR="008934B0">
        <w:t xml:space="preserve">stralia contributed approximately </w:t>
      </w:r>
      <w:r w:rsidR="0068085F">
        <w:t>$</w:t>
      </w:r>
      <w:r w:rsidR="008934B0">
        <w:t>13</w:t>
      </w:r>
      <w:r w:rsidR="002E5946">
        <w:t>8.1</w:t>
      </w:r>
      <w:r w:rsidR="008934B0">
        <w:t xml:space="preserve"> million to education in PNG and is the </w:t>
      </w:r>
      <w:r w:rsidR="008934B0" w:rsidRPr="000F7284">
        <w:t xml:space="preserve">largest donor in </w:t>
      </w:r>
      <w:r w:rsidR="00515D1D">
        <w:t xml:space="preserve">the </w:t>
      </w:r>
      <w:r w:rsidR="00421E34">
        <w:t xml:space="preserve">sector. </w:t>
      </w:r>
      <w:r w:rsidR="008934B0" w:rsidRPr="000F7284">
        <w:t xml:space="preserve">Australia’s primary objective </w:t>
      </w:r>
      <w:r w:rsidR="008934B0">
        <w:t xml:space="preserve">is to support </w:t>
      </w:r>
      <w:r w:rsidR="008934B0" w:rsidRPr="000F7284">
        <w:t xml:space="preserve">access to quality education at </w:t>
      </w:r>
      <w:r w:rsidR="008934B0">
        <w:t>all levels by 2015.</w:t>
      </w:r>
      <w:r w:rsidR="0044456A" w:rsidRPr="00094163">
        <w:rPr>
          <w:rStyle w:val="FootnoteReference"/>
          <w:szCs w:val="16"/>
        </w:rPr>
        <w:footnoteReference w:id="31"/>
      </w:r>
      <w:r w:rsidR="008934B0" w:rsidRPr="00865F40">
        <w:t xml:space="preserve"> </w:t>
      </w:r>
      <w:r w:rsidR="008934B0" w:rsidRPr="000F7284">
        <w:rPr>
          <w:rFonts w:cstheme="minorHAnsi"/>
        </w:rPr>
        <w:t>Australia’s investment priorities are teacher education, educational materials, infrastructure, education standards, education instituti</w:t>
      </w:r>
      <w:r w:rsidR="00421E34">
        <w:rPr>
          <w:rFonts w:cstheme="minorHAnsi"/>
        </w:rPr>
        <w:t xml:space="preserve">ons and </w:t>
      </w:r>
      <w:r w:rsidR="008934B0">
        <w:rPr>
          <w:rFonts w:cstheme="minorHAnsi"/>
        </w:rPr>
        <w:t>management.</w:t>
      </w:r>
    </w:p>
    <w:p w14:paraId="0B70F60B" w14:textId="77777777" w:rsidR="008934B0" w:rsidRPr="000F7284" w:rsidRDefault="008934B0" w:rsidP="00A54FF3">
      <w:pPr>
        <w:pStyle w:val="BodyText"/>
      </w:pPr>
      <w:r>
        <w:t>Education is a</w:t>
      </w:r>
      <w:r w:rsidR="00E660ED">
        <w:t xml:space="preserve"> priority of the</w:t>
      </w:r>
      <w:r>
        <w:t xml:space="preserve"> PNG Government </w:t>
      </w:r>
      <w:r w:rsidR="00421E34">
        <w:t>with the</w:t>
      </w:r>
      <w:r>
        <w:t xml:space="preserve"> Prime Minister </w:t>
      </w:r>
      <w:r w:rsidR="008A5D86">
        <w:t>identifying</w:t>
      </w:r>
      <w:r>
        <w:t xml:space="preserve"> </w:t>
      </w:r>
      <w:r w:rsidR="00E660ED">
        <w:t xml:space="preserve">it </w:t>
      </w:r>
      <w:r>
        <w:t>as a hallmark issue</w:t>
      </w:r>
      <w:r w:rsidR="00E660ED">
        <w:t xml:space="preserve"> </w:t>
      </w:r>
      <w:r w:rsidR="00421E34">
        <w:t>early in his term</w:t>
      </w:r>
      <w:r>
        <w:t>.</w:t>
      </w:r>
      <w:r w:rsidRPr="00865F40">
        <w:rPr>
          <w:rStyle w:val="FootnoteReference"/>
          <w:rFonts w:ascii="Times Roman" w:hAnsi="Times Roman"/>
          <w:szCs w:val="16"/>
        </w:rPr>
        <w:footnoteReference w:id="32"/>
      </w:r>
      <w:r w:rsidRPr="00865F40">
        <w:rPr>
          <w:sz w:val="16"/>
          <w:szCs w:val="16"/>
        </w:rPr>
        <w:t xml:space="preserve"> </w:t>
      </w:r>
      <w:r>
        <w:t xml:space="preserve">The </w:t>
      </w:r>
      <w:r w:rsidR="00E660ED">
        <w:t xml:space="preserve">government’s </w:t>
      </w:r>
      <w:r>
        <w:t>education budget appropriation was K1</w:t>
      </w:r>
      <w:r w:rsidR="00094163">
        <w:t> </w:t>
      </w:r>
      <w:r>
        <w:t>631 million in 2012 and K2</w:t>
      </w:r>
      <w:r w:rsidR="00CC6FD7">
        <w:t xml:space="preserve"> </w:t>
      </w:r>
      <w:r>
        <w:t xml:space="preserve">300 </w:t>
      </w:r>
      <w:r w:rsidR="001D26BA">
        <w:t xml:space="preserve">million </w:t>
      </w:r>
      <w:r>
        <w:t xml:space="preserve">in 2013. </w:t>
      </w:r>
      <w:r w:rsidRPr="000F7284">
        <w:t xml:space="preserve">The highly politicised education policy </w:t>
      </w:r>
      <w:r w:rsidRPr="007B4A04">
        <w:t xml:space="preserve">agenda </w:t>
      </w:r>
      <w:r w:rsidRPr="00A20EF6">
        <w:t xml:space="preserve">in 2012 has made </w:t>
      </w:r>
      <w:r w:rsidR="001301DB">
        <w:t xml:space="preserve">it challenging for </w:t>
      </w:r>
      <w:r>
        <w:t>bilateral engagement to effect</w:t>
      </w:r>
      <w:r w:rsidRPr="00A20EF6">
        <w:t xml:space="preserve"> positive change in the education system</w:t>
      </w:r>
      <w:r w:rsidR="001D26BA">
        <w:t xml:space="preserve">. </w:t>
      </w:r>
      <w:r w:rsidRPr="00A20EF6">
        <w:t>The PNG Government pushed forward with implement</w:t>
      </w:r>
      <w:r w:rsidR="00E660ED">
        <w:t>ing</w:t>
      </w:r>
      <w:r w:rsidRPr="00A20EF6">
        <w:t xml:space="preserve"> the tuition fee</w:t>
      </w:r>
      <w:r w:rsidR="009F5002">
        <w:t>-</w:t>
      </w:r>
      <w:r w:rsidRPr="00A20EF6">
        <w:t xml:space="preserve">free education policy and </w:t>
      </w:r>
      <w:r>
        <w:t>reforming</w:t>
      </w:r>
      <w:r w:rsidRPr="00A20EF6">
        <w:t xml:space="preserve"> the national curriculum</w:t>
      </w:r>
      <w:r w:rsidRPr="00FF6162">
        <w:t xml:space="preserve"> under unrealistic timeframes</w:t>
      </w:r>
      <w:r>
        <w:t>.</w:t>
      </w:r>
      <w:r w:rsidRPr="007B4A04">
        <w:rPr>
          <w:rStyle w:val="FootnoteReference"/>
        </w:rPr>
        <w:footnoteReference w:id="33"/>
      </w:r>
      <w:r w:rsidRPr="004F0464">
        <w:t xml:space="preserve"> </w:t>
      </w:r>
      <w:r w:rsidR="00F6358F">
        <w:t>While t</w:t>
      </w:r>
      <w:r w:rsidR="00E660ED" w:rsidRPr="00457529">
        <w:t>he government sees r</w:t>
      </w:r>
      <w:r w:rsidRPr="004F0464">
        <w:t xml:space="preserve">eforming the </w:t>
      </w:r>
      <w:r>
        <w:t xml:space="preserve">existing </w:t>
      </w:r>
      <w:r w:rsidR="00F451CF">
        <w:t>o</w:t>
      </w:r>
      <w:r w:rsidRPr="004F0464">
        <w:t>utcomes</w:t>
      </w:r>
      <w:r w:rsidR="00E660ED">
        <w:t>-b</w:t>
      </w:r>
      <w:r w:rsidRPr="004F0464">
        <w:t xml:space="preserve">ased </w:t>
      </w:r>
      <w:r w:rsidR="00E660ED">
        <w:t>e</w:t>
      </w:r>
      <w:r w:rsidRPr="004F0464">
        <w:t>ducation</w:t>
      </w:r>
      <w:r>
        <w:t xml:space="preserve"> </w:t>
      </w:r>
      <w:r w:rsidRPr="004F0464">
        <w:t>curriculum as the solution to the failure of the education syst</w:t>
      </w:r>
      <w:r w:rsidR="00421E34">
        <w:t>em to produce literate students,</w:t>
      </w:r>
      <w:r w:rsidRPr="004F0464">
        <w:t xml:space="preserve"> </w:t>
      </w:r>
      <w:r>
        <w:t xml:space="preserve">curriculum reform will be a complex undertaking </w:t>
      </w:r>
      <w:r w:rsidR="00395A95">
        <w:t xml:space="preserve">requiring </w:t>
      </w:r>
      <w:r w:rsidR="001D26BA">
        <w:t>high levels of</w:t>
      </w:r>
      <w:r>
        <w:t xml:space="preserve"> technical expertise</w:t>
      </w:r>
      <w:r w:rsidR="00477514">
        <w:t xml:space="preserve">. </w:t>
      </w:r>
    </w:p>
    <w:p w14:paraId="0B70F60C" w14:textId="77777777" w:rsidR="0032634F" w:rsidRDefault="00F474CA" w:rsidP="00A54FF3">
      <w:pPr>
        <w:pStyle w:val="Heading3"/>
      </w:pPr>
      <w:r w:rsidRPr="00376954">
        <w:lastRenderedPageBreak/>
        <w:t>Basic and secondary e</w:t>
      </w:r>
      <w:r w:rsidR="0032634F" w:rsidRPr="00376954">
        <w:t>ducation</w:t>
      </w:r>
    </w:p>
    <w:p w14:paraId="0B70F60D" w14:textId="77777777" w:rsidR="008934B0" w:rsidRPr="000F7284" w:rsidRDefault="008934B0" w:rsidP="00A54FF3">
      <w:pPr>
        <w:pStyle w:val="BodyText"/>
      </w:pPr>
      <w:r w:rsidRPr="000F7284">
        <w:t xml:space="preserve">PNG’s progress toward education access is mixed and progress on improved literacy and </w:t>
      </w:r>
      <w:r w:rsidR="00376954">
        <w:t xml:space="preserve">the </w:t>
      </w:r>
      <w:r w:rsidRPr="000F7284">
        <w:t>quality of education remains poor</w:t>
      </w:r>
      <w:r w:rsidR="0041638B">
        <w:t xml:space="preserve">. </w:t>
      </w:r>
      <w:r w:rsidRPr="000F7284">
        <w:t>While national net enrolment rates indicate that PNG is close to meeting its 2015 target (74.3</w:t>
      </w:r>
      <w:r w:rsidR="00B76E9D">
        <w:t xml:space="preserve"> per cent</w:t>
      </w:r>
      <w:r w:rsidRPr="000F7284">
        <w:t>), the</w:t>
      </w:r>
      <w:r w:rsidR="00E660ED">
        <w:t xml:space="preserve"> Department of Education</w:t>
      </w:r>
      <w:r w:rsidR="00B33838">
        <w:t xml:space="preserve"> (DoE)</w:t>
      </w:r>
      <w:r w:rsidR="00E660ED">
        <w:t xml:space="preserve"> does not produce enough</w:t>
      </w:r>
      <w:r w:rsidRPr="000F7284">
        <w:t xml:space="preserve"> up-to-date, </w:t>
      </w:r>
      <w:r w:rsidR="00F63765">
        <w:t xml:space="preserve">accurate </w:t>
      </w:r>
      <w:r w:rsidRPr="000F7284">
        <w:t>enrolment data</w:t>
      </w:r>
      <w:r w:rsidR="0078651F">
        <w:t xml:space="preserve"> to inform effective public policy and program decisions.</w:t>
      </w:r>
      <w:r w:rsidRPr="00F63765">
        <w:rPr>
          <w:rStyle w:val="FootnoteReference"/>
          <w:rFonts w:ascii="Times Roman" w:hAnsi="Times Roman"/>
          <w:szCs w:val="16"/>
        </w:rPr>
        <w:footnoteReference w:id="34"/>
      </w:r>
      <w:r w:rsidR="001D26BA" w:rsidRPr="00F63765">
        <w:rPr>
          <w:sz w:val="16"/>
          <w:szCs w:val="16"/>
        </w:rPr>
        <w:t xml:space="preserve"> </w:t>
      </w:r>
      <w:r w:rsidRPr="00CA151E">
        <w:t xml:space="preserve">Anecdotally, there </w:t>
      </w:r>
      <w:r w:rsidR="00E660ED">
        <w:t>was</w:t>
      </w:r>
      <w:r w:rsidRPr="00CA151E">
        <w:t xml:space="preserve"> a large increase in numbers of children attending school </w:t>
      </w:r>
      <w:r w:rsidR="00E660ED">
        <w:t>after</w:t>
      </w:r>
      <w:r w:rsidR="00E660ED" w:rsidRPr="00CA151E">
        <w:t xml:space="preserve"> </w:t>
      </w:r>
      <w:r w:rsidRPr="00CA151E">
        <w:t>the fee</w:t>
      </w:r>
      <w:r w:rsidR="00F113D2">
        <w:t>-</w:t>
      </w:r>
      <w:r w:rsidRPr="00CA151E">
        <w:t>free education policy</w:t>
      </w:r>
      <w:r w:rsidR="00E660ED">
        <w:t xml:space="preserve"> was introduced</w:t>
      </w:r>
      <w:r w:rsidRPr="00CA151E">
        <w:t xml:space="preserve">. Australia’s contribution to the policy ensures financial barriers to attending school are minimised. However, </w:t>
      </w:r>
      <w:r>
        <w:t>information about</w:t>
      </w:r>
      <w:r w:rsidRPr="000F7284">
        <w:t xml:space="preserve"> learning outcomes or the qu</w:t>
      </w:r>
      <w:r w:rsidR="00421E34">
        <w:t>ality of education</w:t>
      </w:r>
      <w:r w:rsidR="00E660ED">
        <w:t xml:space="preserve"> is limited</w:t>
      </w:r>
      <w:r w:rsidR="001D26BA">
        <w:t xml:space="preserve">. </w:t>
      </w:r>
      <w:r w:rsidR="00421E34">
        <w:t>Very</w:t>
      </w:r>
      <w:r>
        <w:t xml:space="preserve"> low literacy levels indicate </w:t>
      </w:r>
      <w:r w:rsidR="001D26BA">
        <w:t xml:space="preserve">learning outcomes are poor. </w:t>
      </w:r>
      <w:r w:rsidR="00E660ED">
        <w:t xml:space="preserve">Indeed, </w:t>
      </w:r>
      <w:r w:rsidRPr="000F7284">
        <w:t>PNG has the lowest reported literacy rates in the Pacific for adults</w:t>
      </w:r>
      <w:r w:rsidRPr="00F63765">
        <w:rPr>
          <w:rStyle w:val="FootnoteReference"/>
          <w:rFonts w:ascii="Times Roman" w:hAnsi="Times Roman"/>
          <w:szCs w:val="16"/>
        </w:rPr>
        <w:footnoteReference w:id="35"/>
      </w:r>
      <w:r w:rsidRPr="000F7284">
        <w:t xml:space="preserve"> and Australian-funded reading assessments indicated low reading skills at elementary level</w:t>
      </w:r>
      <w:r w:rsidRPr="00F63765">
        <w:rPr>
          <w:sz w:val="16"/>
          <w:szCs w:val="16"/>
        </w:rPr>
        <w:t>.</w:t>
      </w:r>
      <w:r w:rsidRPr="00F63765">
        <w:rPr>
          <w:rStyle w:val="FootnoteReference"/>
          <w:rFonts w:ascii="Times Roman" w:hAnsi="Times Roman"/>
          <w:szCs w:val="16"/>
        </w:rPr>
        <w:footnoteReference w:id="36"/>
      </w:r>
      <w:r w:rsidR="001D26BA">
        <w:t xml:space="preserve"> </w:t>
      </w:r>
      <w:r>
        <w:t xml:space="preserve">Increased numbers of students per class will </w:t>
      </w:r>
      <w:r w:rsidRPr="000F7284">
        <w:t>exacerbate the poor quality of teaching, lack of materials and learning. Progress on improving literacy and quality of all levels of education is being hampered by a critical lack of qua</w:t>
      </w:r>
      <w:r>
        <w:t xml:space="preserve">lified teachers and resources. </w:t>
      </w:r>
      <w:r w:rsidRPr="000F7284">
        <w:t>There is no evidence of the PNG Government responding to the impact o</w:t>
      </w:r>
      <w:r w:rsidR="002F3BF6">
        <w:t>f the</w:t>
      </w:r>
      <w:r w:rsidR="0078651F">
        <w:t xml:space="preserve"> fee</w:t>
      </w:r>
      <w:r w:rsidR="00F113D2">
        <w:t>-</w:t>
      </w:r>
      <w:r w:rsidR="0078651F">
        <w:t>free education</w:t>
      </w:r>
      <w:r w:rsidR="002F3BF6">
        <w:t xml:space="preserve"> subsidy to lift quality. </w:t>
      </w:r>
      <w:r w:rsidRPr="000F7284">
        <w:t xml:space="preserve">There is insufficient evidence </w:t>
      </w:r>
      <w:r w:rsidR="002F3BF6">
        <w:t xml:space="preserve">available from the </w:t>
      </w:r>
      <w:r w:rsidR="00C801E5">
        <w:t>D</w:t>
      </w:r>
      <w:r w:rsidR="002F3BF6">
        <w:t xml:space="preserve">oE </w:t>
      </w:r>
      <w:r w:rsidR="00B33838">
        <w:t>on</w:t>
      </w:r>
      <w:r w:rsidRPr="000F7284">
        <w:t xml:space="preserve"> barriers</w:t>
      </w:r>
      <w:r w:rsidR="00B33838">
        <w:t xml:space="preserve"> such as</w:t>
      </w:r>
      <w:r w:rsidR="002F3BF6">
        <w:t xml:space="preserve"> </w:t>
      </w:r>
      <w:r w:rsidR="00376954">
        <w:t xml:space="preserve">the </w:t>
      </w:r>
      <w:r w:rsidR="002F3BF6">
        <w:t>current</w:t>
      </w:r>
      <w:r w:rsidRPr="000F7284">
        <w:t xml:space="preserve"> number, location and capacity of </w:t>
      </w:r>
      <w:r w:rsidR="002F3BF6">
        <w:t xml:space="preserve">functioning </w:t>
      </w:r>
      <w:r w:rsidRPr="000F7284">
        <w:t>schools</w:t>
      </w:r>
      <w:r w:rsidR="00B33838">
        <w:t>. This is needed</w:t>
      </w:r>
      <w:r w:rsidRPr="000F7284">
        <w:t xml:space="preserve"> to develop evidence</w:t>
      </w:r>
      <w:r w:rsidRPr="000F7284">
        <w:noBreakHyphen/>
        <w:t xml:space="preserve">based </w:t>
      </w:r>
      <w:r w:rsidR="002F3BF6">
        <w:t xml:space="preserve">education </w:t>
      </w:r>
      <w:r w:rsidRPr="000F7284">
        <w:t>policy</w:t>
      </w:r>
      <w:r w:rsidR="002F3BF6">
        <w:t xml:space="preserve">. </w:t>
      </w:r>
      <w:r w:rsidRPr="005C0714">
        <w:t xml:space="preserve">Australia will continue to support improvements in data collection and analysis through technical assistance </w:t>
      </w:r>
      <w:r w:rsidR="00B33838">
        <w:t>to</w:t>
      </w:r>
      <w:r w:rsidR="00B33838" w:rsidRPr="005C0714">
        <w:t xml:space="preserve"> </w:t>
      </w:r>
      <w:r w:rsidRPr="005C0714">
        <w:t xml:space="preserve">the </w:t>
      </w:r>
      <w:r w:rsidR="00C801E5">
        <w:t>DoE</w:t>
      </w:r>
      <w:r w:rsidRPr="005C0714">
        <w:t>.</w:t>
      </w:r>
      <w:r>
        <w:t xml:space="preserve"> </w:t>
      </w:r>
    </w:p>
    <w:p w14:paraId="0B70F60E" w14:textId="77777777" w:rsidR="008934B0" w:rsidRDefault="008934B0" w:rsidP="00A54FF3">
      <w:pPr>
        <w:pStyle w:val="BodyText"/>
      </w:pPr>
      <w:r w:rsidRPr="009F5002">
        <w:rPr>
          <w:rFonts w:eastAsia="Calibri"/>
        </w:rPr>
        <w:t>Significant challenges exist in</w:t>
      </w:r>
      <w:r w:rsidRPr="000F7284">
        <w:rPr>
          <w:rFonts w:eastAsia="Calibri"/>
        </w:rPr>
        <w:t xml:space="preserve"> achieving increased education enrolments, participation and education quality outcomes</w:t>
      </w:r>
      <w:r w:rsidR="00F113D2">
        <w:rPr>
          <w:rFonts w:eastAsia="Calibri"/>
        </w:rPr>
        <w:t xml:space="preserve"> in PNG</w:t>
      </w:r>
      <w:r w:rsidR="0041638B">
        <w:rPr>
          <w:rFonts w:eastAsia="Calibri"/>
        </w:rPr>
        <w:t xml:space="preserve">. </w:t>
      </w:r>
      <w:r w:rsidR="00F113D2">
        <w:rPr>
          <w:rFonts w:eastAsia="Calibri"/>
        </w:rPr>
        <w:t>While i</w:t>
      </w:r>
      <w:r w:rsidRPr="000F7284">
        <w:t>ncreased investment in educa</w:t>
      </w:r>
      <w:r w:rsidR="002F3BF6">
        <w:t>tion by the PNG Government is positive</w:t>
      </w:r>
      <w:r w:rsidR="00F113D2">
        <w:t>,</w:t>
      </w:r>
      <w:r w:rsidR="009F5002">
        <w:t xml:space="preserve"> it</w:t>
      </w:r>
      <w:r w:rsidR="001301DB">
        <w:t xml:space="preserve"> </w:t>
      </w:r>
      <w:r w:rsidR="009F5002">
        <w:t>is</w:t>
      </w:r>
      <w:r w:rsidR="001301DB">
        <w:t xml:space="preserve"> narrowly focused on tuition </w:t>
      </w:r>
      <w:r w:rsidRPr="000F7284">
        <w:t>fee relief</w:t>
      </w:r>
      <w:r>
        <w:t>.</w:t>
      </w:r>
      <w:r w:rsidRPr="000F7284">
        <w:t xml:space="preserve"> Australia need</w:t>
      </w:r>
      <w:r w:rsidR="00457529">
        <w:t>s</w:t>
      </w:r>
      <w:r w:rsidRPr="000F7284">
        <w:t xml:space="preserve"> to engage in policy </w:t>
      </w:r>
      <w:r w:rsidR="00576CD9">
        <w:t>discussion</w:t>
      </w:r>
      <w:r w:rsidR="00576CD9" w:rsidRPr="000F7284">
        <w:t xml:space="preserve"> </w:t>
      </w:r>
      <w:r w:rsidRPr="000F7284">
        <w:t>to</w:t>
      </w:r>
      <w:r>
        <w:t xml:space="preserve"> seek better</w:t>
      </w:r>
      <w:r w:rsidRPr="000F7284">
        <w:t xml:space="preserve"> implementation on the ground and sustained achievements in access</w:t>
      </w:r>
      <w:r>
        <w:t>,</w:t>
      </w:r>
      <w:r w:rsidRPr="000F7284">
        <w:t xml:space="preserve"> while sharpening the focus on </w:t>
      </w:r>
      <w:r>
        <w:t xml:space="preserve">education </w:t>
      </w:r>
      <w:r w:rsidRPr="000F7284">
        <w:t>quality and equity</w:t>
      </w:r>
      <w:r w:rsidR="0041638B">
        <w:t xml:space="preserve">. </w:t>
      </w:r>
      <w:r w:rsidRPr="006C091A">
        <w:t>Australia will support more effective tuition fee subsidy management and implementa</w:t>
      </w:r>
      <w:r>
        <w:t>tion and monitor</w:t>
      </w:r>
      <w:r w:rsidRPr="006C091A">
        <w:t xml:space="preserve"> the impact of tuition fee-free education policy </w:t>
      </w:r>
      <w:r>
        <w:t>on enrolments. Australia is</w:t>
      </w:r>
      <w:r w:rsidRPr="006C091A">
        <w:t xml:space="preserve"> working to remove other barriers to education access, including by building up to 1100</w:t>
      </w:r>
      <w:r w:rsidR="00F113D2">
        <w:t> </w:t>
      </w:r>
      <w:r w:rsidRPr="006C091A">
        <w:t>classrooms, of which 90 per cent will be in rural and remote areas</w:t>
      </w:r>
      <w:r w:rsidR="0041638B">
        <w:t xml:space="preserve">. </w:t>
      </w:r>
      <w:r w:rsidR="00FC1D00">
        <w:t>Four hundred and fifty</w:t>
      </w:r>
      <w:r w:rsidRPr="006C091A">
        <w:t xml:space="preserve"> </w:t>
      </w:r>
      <w:r w:rsidR="001301DB">
        <w:t xml:space="preserve">of these </w:t>
      </w:r>
      <w:r w:rsidRPr="006C091A">
        <w:t xml:space="preserve">schools will have toilet blocks </w:t>
      </w:r>
      <w:r w:rsidR="00A256DB">
        <w:t>providing</w:t>
      </w:r>
      <w:r w:rsidR="009F5002">
        <w:t xml:space="preserve"> </w:t>
      </w:r>
      <w:r w:rsidRPr="006C091A">
        <w:t>appropriate sanitation</w:t>
      </w:r>
      <w:r w:rsidR="00F113D2">
        <w:t>, which will</w:t>
      </w:r>
      <w:r>
        <w:t xml:space="preserve"> </w:t>
      </w:r>
      <w:r w:rsidR="002F3BF6">
        <w:t>encourag</w:t>
      </w:r>
      <w:r w:rsidR="00CC6FD7">
        <w:t>e</w:t>
      </w:r>
      <w:r w:rsidRPr="006C091A">
        <w:t xml:space="preserve"> girls to </w:t>
      </w:r>
      <w:r w:rsidR="001301DB">
        <w:t xml:space="preserve">attend and </w:t>
      </w:r>
      <w:r w:rsidRPr="006C091A">
        <w:t>stay at school</w:t>
      </w:r>
      <w:r w:rsidR="0041638B">
        <w:t xml:space="preserve">. </w:t>
      </w:r>
      <w:r>
        <w:t>While the active engagement of the PNG Prime Minister and Min</w:t>
      </w:r>
      <w:r w:rsidR="008A5D86">
        <w:t>i</w:t>
      </w:r>
      <w:r>
        <w:t xml:space="preserve">ster of Education </w:t>
      </w:r>
      <w:r w:rsidRPr="00D4659A">
        <w:t xml:space="preserve">on education reform </w:t>
      </w:r>
      <w:r>
        <w:t xml:space="preserve">is positive, </w:t>
      </w:r>
      <w:r w:rsidRPr="00D4659A">
        <w:t xml:space="preserve">the </w:t>
      </w:r>
      <w:r w:rsidR="000E2091">
        <w:t>limited capacity</w:t>
      </w:r>
      <w:r w:rsidRPr="00D4659A">
        <w:t xml:space="preserve"> of the D</w:t>
      </w:r>
      <w:r w:rsidR="009F5002">
        <w:t>oE</w:t>
      </w:r>
      <w:r>
        <w:t xml:space="preserve"> </w:t>
      </w:r>
      <w:r w:rsidR="002F3BF6">
        <w:t xml:space="preserve">makes </w:t>
      </w:r>
      <w:r w:rsidR="0001672D">
        <w:t xml:space="preserve">it difficult </w:t>
      </w:r>
      <w:r w:rsidR="0078651F">
        <w:t xml:space="preserve">for the government </w:t>
      </w:r>
      <w:r w:rsidR="0001672D">
        <w:t>to make</w:t>
      </w:r>
      <w:r w:rsidR="002F3BF6">
        <w:t xml:space="preserve"> evidence-</w:t>
      </w:r>
      <w:r w:rsidRPr="00D4659A">
        <w:t>based decision</w:t>
      </w:r>
      <w:r w:rsidR="0001672D">
        <w:t>s</w:t>
      </w:r>
      <w:r w:rsidR="0041638B">
        <w:t xml:space="preserve">. </w:t>
      </w:r>
      <w:r w:rsidR="00A256DB">
        <w:t xml:space="preserve">In future, </w:t>
      </w:r>
      <w:r w:rsidRPr="000F7284">
        <w:t>Australia will engage on improving education quality through teacher training and support</w:t>
      </w:r>
      <w:r>
        <w:t>ing</w:t>
      </w:r>
      <w:r w:rsidRPr="000F7284">
        <w:t xml:space="preserve"> curriculum reform </w:t>
      </w:r>
      <w:r>
        <w:t>(including</w:t>
      </w:r>
      <w:r w:rsidRPr="000F7284">
        <w:t xml:space="preserve"> invest</w:t>
      </w:r>
      <w:r w:rsidR="0001672D">
        <w:t>ing</w:t>
      </w:r>
      <w:r w:rsidRPr="000F7284">
        <w:t xml:space="preserve"> in </w:t>
      </w:r>
      <w:r>
        <w:t>textbooks). The</w:t>
      </w:r>
      <w:r w:rsidRPr="006A4587">
        <w:t xml:space="preserve"> new curriculum will take </w:t>
      </w:r>
      <w:r>
        <w:t>into account</w:t>
      </w:r>
      <w:r w:rsidRPr="006A4587">
        <w:t xml:space="preserve"> teacher skills </w:t>
      </w:r>
      <w:r>
        <w:t>(</w:t>
      </w:r>
      <w:r w:rsidRPr="006A4587">
        <w:t>rather than focus solely on child learning outcomes</w:t>
      </w:r>
      <w:r>
        <w:t xml:space="preserve">) and </w:t>
      </w:r>
      <w:r w:rsidRPr="006A4587">
        <w:t>learning assessments.</w:t>
      </w:r>
    </w:p>
    <w:p w14:paraId="0B70F60F" w14:textId="77777777" w:rsidR="00640388" w:rsidRDefault="00977312" w:rsidP="00A54FF3">
      <w:pPr>
        <w:pStyle w:val="Heading3"/>
      </w:pPr>
      <w:r w:rsidRPr="00376954">
        <w:t>Higher</w:t>
      </w:r>
      <w:r w:rsidR="00640388" w:rsidRPr="00376954">
        <w:t xml:space="preserve"> and technical education</w:t>
      </w:r>
    </w:p>
    <w:p w14:paraId="0B70F610" w14:textId="77777777" w:rsidR="00FA3F30" w:rsidRPr="00447D0E" w:rsidRDefault="00FA3F30" w:rsidP="00A54FF3">
      <w:pPr>
        <w:pStyle w:val="BodyText"/>
      </w:pPr>
      <w:r w:rsidRPr="00447D0E">
        <w:t>PNG’s higher education sector faces a different set of challenges. Tuition fee</w:t>
      </w:r>
      <w:r w:rsidR="00F113D2">
        <w:t>-</w:t>
      </w:r>
      <w:r w:rsidRPr="00447D0E">
        <w:t>free secondary education will</w:t>
      </w:r>
      <w:r w:rsidR="00A256DB">
        <w:t>,</w:t>
      </w:r>
      <w:r w:rsidRPr="00447D0E">
        <w:t xml:space="preserve"> over</w:t>
      </w:r>
      <w:r w:rsidR="00F113D2">
        <w:t xml:space="preserve"> </w:t>
      </w:r>
      <w:r w:rsidRPr="00447D0E">
        <w:t>time</w:t>
      </w:r>
      <w:r w:rsidR="00A256DB">
        <w:t>,</w:t>
      </w:r>
      <w:r w:rsidRPr="00447D0E">
        <w:t xml:space="preserve"> increase pressure on access to higher education. Increased enrolments will exacerbate chronic institutional deficiencies in funding, systems and academic quality; as well as poor quality teaching, learning and research outcomes. Currently only 2</w:t>
      </w:r>
      <w:r w:rsidR="00F113D2">
        <w:t xml:space="preserve"> to </w:t>
      </w:r>
      <w:r w:rsidR="00A256DB">
        <w:lastRenderedPageBreak/>
        <w:t>3 per cent of children that</w:t>
      </w:r>
      <w:r w:rsidRPr="00447D0E">
        <w:t xml:space="preserve"> </w:t>
      </w:r>
      <w:r w:rsidR="00F113D2">
        <w:t>start</w:t>
      </w:r>
      <w:r w:rsidR="00F113D2" w:rsidRPr="00447D0E">
        <w:t xml:space="preserve"> </w:t>
      </w:r>
      <w:r w:rsidRPr="00447D0E">
        <w:t>elementary schooling get a place at university</w:t>
      </w:r>
      <w:r w:rsidR="00A256DB">
        <w:t xml:space="preserve"> or in vocational education institutions</w:t>
      </w:r>
      <w:r w:rsidRPr="00447D0E">
        <w:t>.</w:t>
      </w:r>
    </w:p>
    <w:p w14:paraId="0B70F611" w14:textId="77777777" w:rsidR="00FE61B7" w:rsidRDefault="00FA3F30" w:rsidP="00A54FF3">
      <w:pPr>
        <w:pStyle w:val="BodyText"/>
      </w:pPr>
      <w:r w:rsidRPr="00447D0E">
        <w:t>In the university sector, the PNG Government did not directly invest in improving university quality through allocation</w:t>
      </w:r>
      <w:r w:rsidR="00F113D2">
        <w:t>s</w:t>
      </w:r>
      <w:r w:rsidRPr="00447D0E">
        <w:t xml:space="preserve"> in its 2012 or 2013 budgets</w:t>
      </w:r>
      <w:r w:rsidR="00477514">
        <w:t xml:space="preserve">. </w:t>
      </w:r>
      <w:r w:rsidRPr="00447D0E">
        <w:t>This investment would have activated Australia’s commitment to match PNG, kina-for-kina, to support activities that would enhance institutional quality. </w:t>
      </w:r>
    </w:p>
    <w:p w14:paraId="0B70F612" w14:textId="77777777" w:rsidR="00FA3F30" w:rsidRPr="00447D0E" w:rsidRDefault="00FA3F30" w:rsidP="00A54FF3">
      <w:pPr>
        <w:pStyle w:val="BodyText"/>
      </w:pPr>
      <w:r w:rsidRPr="00447D0E">
        <w:t xml:space="preserve">Despite the lack of PNG </w:t>
      </w:r>
      <w:r w:rsidR="001C029F">
        <w:t>g</w:t>
      </w:r>
      <w:r w:rsidRPr="00447D0E">
        <w:t>overnment investment to improve university, it was engaged in the sector.</w:t>
      </w:r>
      <w:r w:rsidR="00865F40">
        <w:rPr>
          <w:rStyle w:val="FootnoteReference"/>
        </w:rPr>
        <w:footnoteReference w:id="37"/>
      </w:r>
      <w:r w:rsidRPr="00447D0E">
        <w:t> Prime Minister Peter O’Neill committed to amending the Higher Education Act</w:t>
      </w:r>
      <w:r w:rsidR="00702D72">
        <w:t xml:space="preserve"> 1993</w:t>
      </w:r>
      <w:r w:rsidRPr="00447D0E">
        <w:t xml:space="preserve"> to strengthen government oversight of universities and the PNG Government indicated a renewed focus on higher education investment. These amendments will give the PNG Office for Higher Education (OHE) regulatory functions to intervene in institutional management and drive the university quality agenda. Parallel to these ambitious plans, implementation of the quality agenda, comprising university quality assessments, continues its steady progress under the leadership of</w:t>
      </w:r>
      <w:r w:rsidR="00702D72">
        <w:t xml:space="preserve"> the</w:t>
      </w:r>
      <w:r w:rsidRPr="00447D0E">
        <w:t xml:space="preserve"> OHE, with support from an Australian</w:t>
      </w:r>
      <w:r w:rsidR="00702D72">
        <w:t>-</w:t>
      </w:r>
      <w:r w:rsidRPr="00447D0E">
        <w:t xml:space="preserve">funded adviser. Four universities have now submitted quality assessments to </w:t>
      </w:r>
      <w:r w:rsidR="00702D72">
        <w:t xml:space="preserve">the </w:t>
      </w:r>
      <w:r w:rsidRPr="00447D0E">
        <w:t xml:space="preserve">OHE. The OHE is also establishing a National Qualification Framework, which aims to match qualifications to international standards. </w:t>
      </w:r>
    </w:p>
    <w:p w14:paraId="0B70F613" w14:textId="77777777" w:rsidR="00FA3F30" w:rsidRPr="005351DC" w:rsidRDefault="00457529" w:rsidP="00A54FF3">
      <w:pPr>
        <w:pStyle w:val="BodyText"/>
      </w:pPr>
      <w:r w:rsidRPr="00447D0E">
        <w:t>While t</w:t>
      </w:r>
      <w:r w:rsidR="00FA3F30" w:rsidRPr="00447D0E">
        <w:t xml:space="preserve">he PNG Government’s intentions for the national </w:t>
      </w:r>
      <w:r w:rsidR="00702D72">
        <w:t>t</w:t>
      </w:r>
      <w:r w:rsidR="00FA3F30" w:rsidRPr="00447D0E">
        <w:t xml:space="preserve">echnical and </w:t>
      </w:r>
      <w:r w:rsidR="00702D72">
        <w:t>v</w:t>
      </w:r>
      <w:r w:rsidR="00FA3F30" w:rsidRPr="00447D0E">
        <w:t xml:space="preserve">ocational </w:t>
      </w:r>
      <w:r w:rsidR="00702D72">
        <w:t>e</w:t>
      </w:r>
      <w:r w:rsidR="00FA3F30" w:rsidRPr="00447D0E">
        <w:t xml:space="preserve">ducation </w:t>
      </w:r>
      <w:r w:rsidR="00702D72">
        <w:t>t</w:t>
      </w:r>
      <w:r w:rsidR="00FA3F30" w:rsidRPr="00447D0E">
        <w:t>raining (TVET) system remain uncertain,</w:t>
      </w:r>
      <w:r w:rsidRPr="00447D0E">
        <w:t> </w:t>
      </w:r>
      <w:r w:rsidR="00FA3F30" w:rsidRPr="00447D0E">
        <w:t xml:space="preserve">Australia continues to support </w:t>
      </w:r>
      <w:r w:rsidR="00A256DB">
        <w:t xml:space="preserve">the sector </w:t>
      </w:r>
      <w:r w:rsidR="00FA3F30" w:rsidRPr="00447D0E">
        <w:t>through the A</w:t>
      </w:r>
      <w:r w:rsidR="00A256DB">
        <w:t>ustr</w:t>
      </w:r>
      <w:r w:rsidR="00C5674F">
        <w:t>alia-Pacific Technical College</w:t>
      </w:r>
      <w:r w:rsidR="00FA3F30" w:rsidRPr="00447D0E">
        <w:t>, modest direct funding support to the TVET Division of DoE, and placement of an adviser at the Port Moresby Technical College.</w:t>
      </w:r>
    </w:p>
    <w:p w14:paraId="0B70F614" w14:textId="77777777" w:rsidR="00640388" w:rsidRDefault="00A7565D" w:rsidP="00A54FF3">
      <w:pPr>
        <w:pStyle w:val="Heading3"/>
      </w:pPr>
      <w:r>
        <w:t>Key results</w:t>
      </w:r>
    </w:p>
    <w:p w14:paraId="0B70F615" w14:textId="77777777" w:rsidR="008934B0" w:rsidRPr="000F7284" w:rsidRDefault="008934B0" w:rsidP="00A54FF3">
      <w:pPr>
        <w:pStyle w:val="BodyText"/>
        <w:rPr>
          <w:rFonts w:cstheme="minorHAnsi"/>
        </w:rPr>
      </w:pPr>
      <w:r w:rsidRPr="000F7284">
        <w:t xml:space="preserve">Australia </w:t>
      </w:r>
      <w:r>
        <w:t>contributed</w:t>
      </w:r>
      <w:r w:rsidR="0001672D">
        <w:t>—</w:t>
      </w:r>
      <w:r w:rsidRPr="000F7284">
        <w:t>in line with agreed</w:t>
      </w:r>
      <w:r w:rsidR="0001672D">
        <w:t>, joint 2015</w:t>
      </w:r>
      <w:r w:rsidRPr="000F7284">
        <w:t xml:space="preserve"> targets</w:t>
      </w:r>
      <w:r w:rsidR="0001672D">
        <w:t>—to</w:t>
      </w:r>
      <w:r w:rsidRPr="000F7284">
        <w:t xml:space="preserve"> </w:t>
      </w:r>
      <w:r w:rsidR="00C5674F">
        <w:t>improve access, quality and equity through</w:t>
      </w:r>
      <w:r w:rsidRPr="000F7284">
        <w:t xml:space="preserve"> the </w:t>
      </w:r>
      <w:r w:rsidR="0001672D">
        <w:t>P</w:t>
      </w:r>
      <w:r>
        <w:t xml:space="preserve">artnership for </w:t>
      </w:r>
      <w:r w:rsidR="0001672D">
        <w:t>D</w:t>
      </w:r>
      <w:r>
        <w:t>evelopment</w:t>
      </w:r>
      <w:r w:rsidR="0041638B">
        <w:t xml:space="preserve">. </w:t>
      </w:r>
      <w:r w:rsidRPr="000F7284">
        <w:t xml:space="preserve">Evidence suggests that Australia </w:t>
      </w:r>
      <w:r>
        <w:t>and PNG are</w:t>
      </w:r>
      <w:r w:rsidRPr="000F7284">
        <w:t xml:space="preserve"> on track to meet most targets, including: increas</w:t>
      </w:r>
      <w:r w:rsidR="00205B45">
        <w:t>ing</w:t>
      </w:r>
      <w:r w:rsidRPr="000F7284">
        <w:t xml:space="preserve"> net enrolment rates, undertaking an education quality assessment, increas</w:t>
      </w:r>
      <w:r w:rsidR="00205B45">
        <w:t>ing</w:t>
      </w:r>
      <w:r w:rsidRPr="000F7284">
        <w:t xml:space="preserve"> enrolment of girls in basic and secondary schools; and </w:t>
      </w:r>
      <w:r w:rsidR="0001672D">
        <w:t xml:space="preserve">developing </w:t>
      </w:r>
      <w:r w:rsidRPr="000F7284">
        <w:t>a national qualification framework in technical and higher education</w:t>
      </w:r>
      <w:r w:rsidR="0041638B">
        <w:t xml:space="preserve">. </w:t>
      </w:r>
      <w:r w:rsidRPr="000F7284">
        <w:t xml:space="preserve">It is </w:t>
      </w:r>
      <w:r>
        <w:t>un</w:t>
      </w:r>
      <w:r w:rsidRPr="000F7284">
        <w:t xml:space="preserve">likely that Australia </w:t>
      </w:r>
      <w:r>
        <w:t xml:space="preserve">and PNG </w:t>
      </w:r>
      <w:r w:rsidRPr="000F7284">
        <w:t xml:space="preserve">will meet </w:t>
      </w:r>
      <w:r>
        <w:t xml:space="preserve">technical and higher education </w:t>
      </w:r>
      <w:r w:rsidRPr="000F7284">
        <w:t>target</w:t>
      </w:r>
      <w:r>
        <w:t>s</w:t>
      </w:r>
      <w:r w:rsidRPr="000F7284">
        <w:t xml:space="preserve"> </w:t>
      </w:r>
      <w:r>
        <w:t xml:space="preserve">by 2015 </w:t>
      </w:r>
      <w:r w:rsidRPr="000F7284">
        <w:t xml:space="preserve">of </w:t>
      </w:r>
      <w:r w:rsidRPr="00175C85">
        <w:t>52</w:t>
      </w:r>
      <w:r w:rsidR="00FC1D00">
        <w:t xml:space="preserve"> </w:t>
      </w:r>
      <w:r w:rsidRPr="00175C85">
        <w:t xml:space="preserve">000 graduates </w:t>
      </w:r>
      <w:r w:rsidRPr="000F7284">
        <w:t xml:space="preserve">and </w:t>
      </w:r>
      <w:r>
        <w:t xml:space="preserve">a </w:t>
      </w:r>
      <w:r w:rsidRPr="000F7284">
        <w:t xml:space="preserve">gender parity </w:t>
      </w:r>
      <w:r>
        <w:t>index of 0.97 (currently 0.70)</w:t>
      </w:r>
      <w:r w:rsidR="0041638B">
        <w:t xml:space="preserve">. </w:t>
      </w:r>
    </w:p>
    <w:p w14:paraId="0B70F616" w14:textId="77777777" w:rsidR="008934B0" w:rsidRPr="005C0714" w:rsidRDefault="008934B0" w:rsidP="00A54FF3">
      <w:pPr>
        <w:pStyle w:val="BodyText"/>
      </w:pPr>
      <w:r w:rsidRPr="005C0714">
        <w:t>In 2012</w:t>
      </w:r>
      <w:r w:rsidR="00FC1D00">
        <w:t>–</w:t>
      </w:r>
      <w:r w:rsidRPr="005C0714">
        <w:t xml:space="preserve">13 policy </w:t>
      </w:r>
      <w:r w:rsidR="00576CD9">
        <w:t>discussion</w:t>
      </w:r>
      <w:r w:rsidR="0001672D">
        <w:t>s</w:t>
      </w:r>
      <w:r w:rsidR="00576CD9" w:rsidRPr="005C0714">
        <w:t xml:space="preserve"> </w:t>
      </w:r>
      <w:r w:rsidRPr="005C0714">
        <w:t>with the PNG Government facilitated program delivery of school infrastructure, direct financing to the DoE to support access and quality, and capacity development in planning, budgeting, assessments and data quality</w:t>
      </w:r>
      <w:r w:rsidR="0041638B">
        <w:t xml:space="preserve">. </w:t>
      </w:r>
      <w:r>
        <w:t>Progress</w:t>
      </w:r>
      <w:r w:rsidRPr="000F7284">
        <w:t xml:space="preserve"> </w:t>
      </w:r>
      <w:r>
        <w:t xml:space="preserve">towards </w:t>
      </w:r>
      <w:r w:rsidR="00FC1D00">
        <w:t>p</w:t>
      </w:r>
      <w:r>
        <w:t xml:space="preserve">artnership </w:t>
      </w:r>
      <w:r w:rsidR="00816A44">
        <w:t xml:space="preserve">objectives </w:t>
      </w:r>
      <w:r w:rsidRPr="000F7284">
        <w:t>include</w:t>
      </w:r>
      <w:r w:rsidR="006756CA">
        <w:t xml:space="preserve"> the</w:t>
      </w:r>
      <w:r w:rsidRPr="000F7284">
        <w:t>:</w:t>
      </w:r>
    </w:p>
    <w:p w14:paraId="0B70F617" w14:textId="77777777" w:rsidR="008934B0" w:rsidRPr="000F7284" w:rsidRDefault="006756CA" w:rsidP="00A54FF3">
      <w:pPr>
        <w:pStyle w:val="ListBullet"/>
      </w:pPr>
      <w:r>
        <w:t>p</w:t>
      </w:r>
      <w:r w:rsidR="008934B0" w:rsidRPr="000F7284">
        <w:t>rovision of 116 classrooms</w:t>
      </w:r>
      <w:r>
        <w:t>,</w:t>
      </w:r>
      <w:r w:rsidR="008934B0" w:rsidRPr="000F7284">
        <w:t xml:space="preserve"> 50 teacher</w:t>
      </w:r>
      <w:r w:rsidR="00C801E5">
        <w:t>s’</w:t>
      </w:r>
      <w:r w:rsidR="008934B0" w:rsidRPr="000F7284">
        <w:t xml:space="preserve"> houses and 50 ablution blocks</w:t>
      </w:r>
      <w:r w:rsidR="008934B0">
        <w:t xml:space="preserve"> across all </w:t>
      </w:r>
      <w:r>
        <w:t>p</w:t>
      </w:r>
      <w:r w:rsidR="008934B0">
        <w:t xml:space="preserve">rovinces, </w:t>
      </w:r>
      <w:r w:rsidR="008934B0" w:rsidRPr="000F7284">
        <w:t>enabl</w:t>
      </w:r>
      <w:r w:rsidR="008934B0">
        <w:t xml:space="preserve">ing </w:t>
      </w:r>
      <w:r w:rsidR="008934B0" w:rsidRPr="000F7284">
        <w:t>6400 students to attend school in a new classroom</w:t>
      </w:r>
      <w:r w:rsidR="008934B0" w:rsidRPr="00BE6311">
        <w:t xml:space="preserve"> </w:t>
      </w:r>
      <w:r w:rsidR="00C801E5">
        <w:t>(90</w:t>
      </w:r>
      <w:r w:rsidR="00C801E5" w:rsidRPr="00BE6311">
        <w:t xml:space="preserve"> </w:t>
      </w:r>
      <w:r w:rsidR="008934B0" w:rsidRPr="00BE6311">
        <w:t>per cent of classrooms are in rural or remote areas</w:t>
      </w:r>
      <w:r w:rsidR="00205B45">
        <w:t>)</w:t>
      </w:r>
      <w:r w:rsidR="008934B0" w:rsidRPr="00205B45">
        <w:rPr>
          <w:rStyle w:val="FootnoteReference"/>
          <w:rFonts w:ascii="Times Roman" w:hAnsi="Times Roman"/>
          <w:szCs w:val="16"/>
        </w:rPr>
        <w:footnoteReference w:id="38"/>
      </w:r>
    </w:p>
    <w:p w14:paraId="0B70F618" w14:textId="77777777" w:rsidR="008934B0" w:rsidRPr="000F7284" w:rsidRDefault="006756CA" w:rsidP="00A54FF3">
      <w:pPr>
        <w:pStyle w:val="ListBullet"/>
      </w:pPr>
      <w:r>
        <w:t>contribution of $</w:t>
      </w:r>
      <w:r w:rsidR="008934B0" w:rsidRPr="000F7284">
        <w:t>15.1 million to PNG’s tui</w:t>
      </w:r>
      <w:r w:rsidR="008A5D86">
        <w:t>tion fee</w:t>
      </w:r>
      <w:r w:rsidR="009F5002">
        <w:t>-</w:t>
      </w:r>
      <w:r w:rsidR="008A5D86">
        <w:t>free policy</w:t>
      </w:r>
      <w:r w:rsidR="00205B45">
        <w:t xml:space="preserve"> which meant</w:t>
      </w:r>
      <w:r w:rsidR="008A5D86">
        <w:t xml:space="preserve"> </w:t>
      </w:r>
      <w:r w:rsidR="008934B0" w:rsidRPr="000F7284">
        <w:t xml:space="preserve">elementary school children did not have to pay </w:t>
      </w:r>
      <w:r w:rsidR="00205B45" w:rsidRPr="00205B45">
        <w:t xml:space="preserve">tuition </w:t>
      </w:r>
      <w:r w:rsidR="008934B0" w:rsidRPr="000F7284">
        <w:t>fees</w:t>
      </w:r>
    </w:p>
    <w:p w14:paraId="0B70F619" w14:textId="77777777" w:rsidR="008934B0" w:rsidRPr="000F7284" w:rsidRDefault="00205B45" w:rsidP="00A54FF3">
      <w:pPr>
        <w:pStyle w:val="ListBullet"/>
      </w:pPr>
      <w:r>
        <w:t xml:space="preserve">implementation of </w:t>
      </w:r>
      <w:r w:rsidR="006756CA">
        <w:t>e</w:t>
      </w:r>
      <w:r w:rsidR="008934B0" w:rsidRPr="000F7284">
        <w:t>arly grade reading assessments in three provinces</w:t>
      </w:r>
      <w:r w:rsidR="001D26BA">
        <w:t xml:space="preserve">, </w:t>
      </w:r>
      <w:r w:rsidR="008934B0" w:rsidRPr="000F7284">
        <w:t xml:space="preserve">informing interventions to improve literacy and learning outcomes </w:t>
      </w:r>
    </w:p>
    <w:p w14:paraId="0B70F61A" w14:textId="77777777" w:rsidR="008934B0" w:rsidRPr="000F7284" w:rsidRDefault="008934B0" w:rsidP="00A54FF3">
      <w:pPr>
        <w:pStyle w:val="ListBullet"/>
      </w:pPr>
      <w:r w:rsidRPr="000F7284">
        <w:lastRenderedPageBreak/>
        <w:t>participation</w:t>
      </w:r>
      <w:r w:rsidR="00A110E9">
        <w:t xml:space="preserve"> by</w:t>
      </w:r>
      <w:r w:rsidR="006756CA">
        <w:t xml:space="preserve"> the</w:t>
      </w:r>
      <w:r w:rsidRPr="000F7284">
        <w:t xml:space="preserve"> </w:t>
      </w:r>
      <w:r w:rsidR="006756CA" w:rsidRPr="000F7284">
        <w:t xml:space="preserve">DoE </w:t>
      </w:r>
      <w:r w:rsidRPr="000F7284">
        <w:t>in a three</w:t>
      </w:r>
      <w:r w:rsidR="00A110E9">
        <w:t>-</w:t>
      </w:r>
      <w:r w:rsidRPr="000F7284">
        <w:t xml:space="preserve">country </w:t>
      </w:r>
      <w:r>
        <w:t xml:space="preserve">study </w:t>
      </w:r>
      <w:r w:rsidRPr="000F7284">
        <w:t xml:space="preserve">(PNG, Solomon Islands </w:t>
      </w:r>
      <w:r w:rsidR="00682345" w:rsidRPr="000F7284">
        <w:t>and Vanuatu</w:t>
      </w:r>
      <w:r w:rsidRPr="000F7284">
        <w:t xml:space="preserve">) </w:t>
      </w:r>
      <w:r w:rsidR="00A110E9" w:rsidRPr="000F7284">
        <w:t xml:space="preserve">by the World Bank </w:t>
      </w:r>
      <w:r>
        <w:t xml:space="preserve">on </w:t>
      </w:r>
      <w:r w:rsidRPr="000F7284">
        <w:t>education results benchmarking</w:t>
      </w:r>
      <w:r w:rsidR="0001672D">
        <w:t>,</w:t>
      </w:r>
      <w:r w:rsidRPr="000F7284">
        <w:t xml:space="preserve"> </w:t>
      </w:r>
      <w:r>
        <w:t>aim</w:t>
      </w:r>
      <w:r w:rsidR="0001672D">
        <w:t>ing</w:t>
      </w:r>
      <w:r>
        <w:t xml:space="preserve"> to</w:t>
      </w:r>
      <w:r w:rsidR="00C801E5">
        <w:t xml:space="preserve"> inform</w:t>
      </w:r>
      <w:r w:rsidRPr="000F7284">
        <w:t xml:space="preserve"> improve</w:t>
      </w:r>
      <w:r w:rsidR="00C801E5">
        <w:t>ments</w:t>
      </w:r>
      <w:r w:rsidRPr="000F7284">
        <w:t xml:space="preserve"> </w:t>
      </w:r>
      <w:r w:rsidR="00A110E9">
        <w:t xml:space="preserve">in </w:t>
      </w:r>
      <w:r w:rsidRPr="000F7284">
        <w:t xml:space="preserve">the quality of education services and outcomes over the </w:t>
      </w:r>
      <w:r w:rsidR="00C66960">
        <w:t>long term</w:t>
      </w:r>
    </w:p>
    <w:p w14:paraId="0B70F61B" w14:textId="77777777" w:rsidR="00C546B1" w:rsidRDefault="008934B0" w:rsidP="00A54FF3">
      <w:pPr>
        <w:pStyle w:val="ListBullet"/>
      </w:pPr>
      <w:r w:rsidRPr="000F7284">
        <w:t>preparation</w:t>
      </w:r>
      <w:r w:rsidR="00A110E9" w:rsidRPr="00A110E9">
        <w:t xml:space="preserve"> </w:t>
      </w:r>
      <w:r w:rsidR="00A110E9">
        <w:t xml:space="preserve">by all six PNG universities </w:t>
      </w:r>
      <w:r w:rsidRPr="000F7284">
        <w:t>for the quality assessments that are a precondition for kina-for-kina funding</w:t>
      </w:r>
      <w:r w:rsidR="00205B45">
        <w:t xml:space="preserve"> </w:t>
      </w:r>
      <w:r w:rsidR="00C5674F">
        <w:t>by</w:t>
      </w:r>
      <w:r w:rsidR="00205B45">
        <w:t xml:space="preserve"> Australia</w:t>
      </w:r>
      <w:r w:rsidR="002433C1">
        <w:t>—</w:t>
      </w:r>
      <w:r>
        <w:t xml:space="preserve">with PNG commitment </w:t>
      </w:r>
      <w:r w:rsidR="002433C1">
        <w:t xml:space="preserve">this will </w:t>
      </w:r>
      <w:r w:rsidRPr="000F7284">
        <w:t xml:space="preserve">provide a </w:t>
      </w:r>
      <w:r w:rsidR="00C5674F">
        <w:t xml:space="preserve">reform </w:t>
      </w:r>
      <w:r w:rsidRPr="000F7284">
        <w:t>roadmap for each university.</w:t>
      </w:r>
    </w:p>
    <w:p w14:paraId="0B70F61C" w14:textId="77777777" w:rsidR="00A54FF3" w:rsidRDefault="00816A44" w:rsidP="00A54FF3">
      <w:pPr>
        <w:pStyle w:val="BodyText"/>
      </w:pPr>
      <w:r>
        <w:t>Australia is</w:t>
      </w:r>
      <w:r w:rsidR="00A522BF">
        <w:t xml:space="preserve"> working with PNG communities to </w:t>
      </w:r>
      <w:r w:rsidRPr="00816A44">
        <w:t>increas</w:t>
      </w:r>
      <w:r w:rsidR="002845B1">
        <w:t>e</w:t>
      </w:r>
      <w:r w:rsidRPr="00816A44">
        <w:t xml:space="preserve"> accountability </w:t>
      </w:r>
      <w:r w:rsidR="002845B1">
        <w:t xml:space="preserve">in </w:t>
      </w:r>
      <w:r w:rsidR="00A522BF">
        <w:t xml:space="preserve">education, including </w:t>
      </w:r>
      <w:r w:rsidR="00715AE8">
        <w:t>by</w:t>
      </w:r>
      <w:r w:rsidRPr="00816A44">
        <w:t xml:space="preserve"> </w:t>
      </w:r>
      <w:r w:rsidR="005820DE">
        <w:t>implement</w:t>
      </w:r>
      <w:r w:rsidR="00715AE8">
        <w:t>ing</w:t>
      </w:r>
      <w:r w:rsidR="00A522BF">
        <w:t xml:space="preserve"> school subsidies</w:t>
      </w:r>
      <w:r w:rsidR="0041638B">
        <w:t xml:space="preserve">. </w:t>
      </w:r>
      <w:r w:rsidR="00A522BF">
        <w:t xml:space="preserve">For example, </w:t>
      </w:r>
      <w:r w:rsidR="00715AE8">
        <w:t xml:space="preserve">we </w:t>
      </w:r>
      <w:r w:rsidR="00A522BF">
        <w:t>support</w:t>
      </w:r>
      <w:r w:rsidR="00205B45">
        <w:t>:</w:t>
      </w:r>
      <w:r w:rsidR="00A522BF">
        <w:t xml:space="preserve"> </w:t>
      </w:r>
      <w:r w:rsidR="00715AE8">
        <w:t xml:space="preserve">running </w:t>
      </w:r>
      <w:r w:rsidRPr="00816A44">
        <w:t xml:space="preserve">radio announcements </w:t>
      </w:r>
      <w:r w:rsidR="00A522BF">
        <w:t xml:space="preserve">to </w:t>
      </w:r>
      <w:r w:rsidRPr="00816A44">
        <w:t xml:space="preserve">inform parents and </w:t>
      </w:r>
      <w:r w:rsidR="00C801E5">
        <w:t>communities</w:t>
      </w:r>
      <w:r w:rsidR="00C5674F">
        <w:t xml:space="preserve"> about</w:t>
      </w:r>
      <w:r w:rsidRPr="00816A44">
        <w:t xml:space="preserve"> the services they are entitled to at schools and to report teacher absenteeism or fee-charging; publishing subsidy amounts for all eligible schools in </w:t>
      </w:r>
      <w:r w:rsidR="002845B1">
        <w:t>national</w:t>
      </w:r>
      <w:r w:rsidRPr="00816A44">
        <w:t xml:space="preserve"> newspaper</w:t>
      </w:r>
      <w:r w:rsidR="002845B1">
        <w:t>s</w:t>
      </w:r>
      <w:r w:rsidRPr="00816A44">
        <w:t xml:space="preserve"> so communities know exactly </w:t>
      </w:r>
      <w:r w:rsidR="00715AE8">
        <w:t>how much is</w:t>
      </w:r>
      <w:r w:rsidRPr="00816A44">
        <w:t xml:space="preserve"> going to schools</w:t>
      </w:r>
      <w:r w:rsidR="00A522BF">
        <w:t>;</w:t>
      </w:r>
      <w:r w:rsidRPr="00816A44">
        <w:t xml:space="preserve"> and funding a subsidy hotline </w:t>
      </w:r>
      <w:r w:rsidR="00A522BF">
        <w:t xml:space="preserve">for </w:t>
      </w:r>
      <w:r w:rsidRPr="00816A44">
        <w:t xml:space="preserve">communities </w:t>
      </w:r>
      <w:r w:rsidR="00A522BF">
        <w:t xml:space="preserve">to report when </w:t>
      </w:r>
      <w:r w:rsidRPr="00816A44">
        <w:t>information published is incorrect</w:t>
      </w:r>
      <w:r w:rsidR="0041638B">
        <w:t xml:space="preserve">. </w:t>
      </w:r>
      <w:r w:rsidR="00A522BF">
        <w:t xml:space="preserve">Communities are contacting </w:t>
      </w:r>
      <w:r w:rsidRPr="00816A44">
        <w:t>the D</w:t>
      </w:r>
      <w:r w:rsidR="009F5002">
        <w:t>oE</w:t>
      </w:r>
      <w:r w:rsidR="00A522BF">
        <w:t xml:space="preserve"> to advise that</w:t>
      </w:r>
      <w:r w:rsidRPr="00816A44">
        <w:t xml:space="preserve"> schools have closed or do</w:t>
      </w:r>
      <w:r w:rsidR="00A522BF">
        <w:t xml:space="preserve"> no</w:t>
      </w:r>
      <w:r w:rsidRPr="00816A44">
        <w:t>t exist, or that the amount</w:t>
      </w:r>
      <w:r w:rsidR="00A522BF">
        <w:t xml:space="preserve"> of subsidy</w:t>
      </w:r>
      <w:r w:rsidRPr="00816A44">
        <w:t xml:space="preserve"> did not mat</w:t>
      </w:r>
      <w:r w:rsidR="00A522BF">
        <w:t>ch enrolment numbers.</w:t>
      </w:r>
    </w:p>
    <w:p w14:paraId="0B70F61D" w14:textId="77777777" w:rsidR="00AC2F41" w:rsidRDefault="008934B0" w:rsidP="00A54FF3">
      <w:pPr>
        <w:pStyle w:val="BodyText"/>
      </w:pPr>
      <w:r>
        <w:t>Partnership talks between Australia and PNG resulted in</w:t>
      </w:r>
      <w:r w:rsidRPr="000F7284">
        <w:t xml:space="preserve"> strengthened joint commitments to improve education quality under the </w:t>
      </w:r>
      <w:r>
        <w:t>Partnership for Development</w:t>
      </w:r>
      <w:r w:rsidRPr="000F7284">
        <w:t xml:space="preserve"> </w:t>
      </w:r>
      <w:r w:rsidR="005351DC">
        <w:t>s</w:t>
      </w:r>
      <w:r w:rsidR="003C54CB">
        <w:t>chedule, including agreement to</w:t>
      </w:r>
      <w:r w:rsidRPr="000F7284">
        <w:t xml:space="preserve"> implement recommendations </w:t>
      </w:r>
      <w:r w:rsidR="003C54CB">
        <w:t>from school quality assessments</w:t>
      </w:r>
      <w:r w:rsidRPr="000F7284">
        <w:t xml:space="preserve"> and a </w:t>
      </w:r>
      <w:r w:rsidR="005351DC">
        <w:t xml:space="preserve">mechanism </w:t>
      </w:r>
      <w:r w:rsidRPr="000F7284">
        <w:t>to monitor investments in the tertiary sector.</w:t>
      </w:r>
    </w:p>
    <w:p w14:paraId="0B70F61E" w14:textId="77777777" w:rsidR="00AC2F41" w:rsidRPr="00306989" w:rsidRDefault="00AC2F41" w:rsidP="00A54FF3">
      <w:pPr>
        <w:pStyle w:val="Heading3"/>
      </w:pPr>
      <w:r w:rsidRPr="00C546B1">
        <w:t xml:space="preserve">Objective 2b. </w:t>
      </w:r>
      <w:r w:rsidR="001D26BA">
        <w:t>Australia Awards and Australia-Pacific Technical College</w:t>
      </w:r>
      <w:r w:rsidR="00811F97">
        <w:t xml:space="preserve"> </w:t>
      </w:r>
    </w:p>
    <w:p w14:paraId="0B70F61F" w14:textId="0F0DD250" w:rsidR="00AC2F41" w:rsidRPr="00F044AA" w:rsidRDefault="00AC2F41" w:rsidP="00515C69">
      <w:pPr>
        <w:pStyle w:val="BodyText"/>
        <w:rPr>
          <w:lang w:val="en"/>
        </w:rPr>
      </w:pPr>
      <w:r w:rsidRPr="00F044AA">
        <w:rPr>
          <w:lang w:val="en"/>
        </w:rPr>
        <w:t xml:space="preserve">The Australia Awards program in PNG aims to empower women and men to contribute to national development in priority areas identified by the PNG Government and in line with </w:t>
      </w:r>
      <w:r w:rsidR="001D26BA">
        <w:rPr>
          <w:lang w:val="en"/>
        </w:rPr>
        <w:t>Partnership for Development</w:t>
      </w:r>
      <w:r>
        <w:rPr>
          <w:lang w:val="en"/>
        </w:rPr>
        <w:t xml:space="preserve"> priorities.</w:t>
      </w:r>
      <w:r w:rsidRPr="00F044AA">
        <w:rPr>
          <w:lang w:val="en"/>
        </w:rPr>
        <w:t xml:space="preserve"> Supporting Papua New Guineans to undertake tertiary education is critical to social and economic development. Highly skilled labour in PNG is scarce, despite high</w:t>
      </w:r>
      <w:r w:rsidR="00666FA3">
        <w:rPr>
          <w:lang w:val="en"/>
        </w:rPr>
        <w:t>-</w:t>
      </w:r>
      <w:r w:rsidRPr="00F044AA">
        <w:rPr>
          <w:lang w:val="en"/>
        </w:rPr>
        <w:t xml:space="preserve"> quality skills and qualifications being in high demand. In addition to boosting human capital in industry, civil society and government, the Australia Awards program also creates positive people-to-people links between Australia and PNG </w:t>
      </w:r>
      <w:r w:rsidR="00715AE8">
        <w:rPr>
          <w:lang w:val="en"/>
        </w:rPr>
        <w:t>which</w:t>
      </w:r>
      <w:r w:rsidR="00715AE8" w:rsidRPr="00F044AA">
        <w:rPr>
          <w:lang w:val="en"/>
        </w:rPr>
        <w:t xml:space="preserve"> </w:t>
      </w:r>
      <w:r w:rsidRPr="00F044AA">
        <w:rPr>
          <w:lang w:val="en"/>
        </w:rPr>
        <w:t>are essential to our economic</w:t>
      </w:r>
      <w:r w:rsidR="005351DC">
        <w:rPr>
          <w:lang w:val="en"/>
        </w:rPr>
        <w:t xml:space="preserve"> and development</w:t>
      </w:r>
      <w:r w:rsidRPr="00F044AA">
        <w:rPr>
          <w:lang w:val="en"/>
        </w:rPr>
        <w:t xml:space="preserve"> relationship. Expenditure from January 2012 to June 2013</w:t>
      </w:r>
      <w:r w:rsidR="00666FA3">
        <w:rPr>
          <w:lang w:val="en"/>
        </w:rPr>
        <w:t xml:space="preserve"> on Australia Awards </w:t>
      </w:r>
      <w:r w:rsidR="002E5946">
        <w:rPr>
          <w:lang w:val="en"/>
        </w:rPr>
        <w:t xml:space="preserve">and APTC </w:t>
      </w:r>
      <w:r w:rsidR="00666FA3">
        <w:rPr>
          <w:lang w:val="en"/>
        </w:rPr>
        <w:t>was</w:t>
      </w:r>
      <w:r w:rsidRPr="00F044AA">
        <w:rPr>
          <w:lang w:val="en"/>
        </w:rPr>
        <w:t xml:space="preserve"> around $</w:t>
      </w:r>
      <w:r w:rsidR="00EA3659">
        <w:rPr>
          <w:lang w:val="en"/>
        </w:rPr>
        <w:t>26.6</w:t>
      </w:r>
      <w:r w:rsidRPr="00F044AA">
        <w:rPr>
          <w:lang w:val="en"/>
        </w:rPr>
        <w:t xml:space="preserve"> million</w:t>
      </w:r>
      <w:r>
        <w:rPr>
          <w:lang w:val="en"/>
        </w:rPr>
        <w:t>.</w:t>
      </w:r>
      <w:r w:rsidRPr="00F044AA">
        <w:rPr>
          <w:lang w:val="en"/>
        </w:rPr>
        <w:t xml:space="preserve"> </w:t>
      </w:r>
    </w:p>
    <w:p w14:paraId="0B70F620" w14:textId="77777777" w:rsidR="00AC2F41" w:rsidRPr="00F044AA" w:rsidRDefault="00AC2F41" w:rsidP="00515C69">
      <w:pPr>
        <w:pStyle w:val="BodyText"/>
        <w:rPr>
          <w:lang w:val="en"/>
        </w:rPr>
      </w:pPr>
      <w:r>
        <w:rPr>
          <w:lang w:val="en"/>
        </w:rPr>
        <w:t>T</w:t>
      </w:r>
      <w:r w:rsidRPr="00F044AA">
        <w:rPr>
          <w:lang w:val="en"/>
        </w:rPr>
        <w:t xml:space="preserve">he PNG Government funds scholarships for overseas and in-country study. </w:t>
      </w:r>
      <w:r w:rsidRPr="00F044AA">
        <w:t>The O</w:t>
      </w:r>
      <w:r w:rsidR="00666FA3">
        <w:t>HE</w:t>
      </w:r>
      <w:r w:rsidRPr="00F044AA">
        <w:t xml:space="preserve"> is in the third year of implementation of a </w:t>
      </w:r>
      <w:r w:rsidR="00865F40">
        <w:t>TVET</w:t>
      </w:r>
      <w:r w:rsidRPr="00F044AA">
        <w:t xml:space="preserve"> scholarship program at Queensland </w:t>
      </w:r>
      <w:r w:rsidR="00666FA3">
        <w:t>t</w:t>
      </w:r>
      <w:r w:rsidRPr="00F044AA">
        <w:t xml:space="preserve">echnical and </w:t>
      </w:r>
      <w:r w:rsidR="00666FA3">
        <w:t>f</w:t>
      </w:r>
      <w:r w:rsidRPr="00F044AA">
        <w:t xml:space="preserve">urther </w:t>
      </w:r>
      <w:r w:rsidR="00666FA3">
        <w:t>e</w:t>
      </w:r>
      <w:r w:rsidRPr="00F044AA">
        <w:t>ducation colleges. In 2012, 252 awards</w:t>
      </w:r>
      <w:r w:rsidR="00715AE8">
        <w:t xml:space="preserve"> were</w:t>
      </w:r>
      <w:r w:rsidRPr="00F044AA">
        <w:t xml:space="preserve"> delivered at a cost of</w:t>
      </w:r>
      <w:r w:rsidR="0068085F">
        <w:t xml:space="preserve"> $5.83 million (</w:t>
      </w:r>
      <w:r w:rsidRPr="00F044AA">
        <w:t xml:space="preserve">K12.42 million). </w:t>
      </w:r>
      <w:r w:rsidR="00715AE8">
        <w:t>S</w:t>
      </w:r>
      <w:r w:rsidRPr="00F044AA">
        <w:t xml:space="preserve">cholarships are the primary platform for </w:t>
      </w:r>
      <w:r w:rsidR="001D26BA">
        <w:t xml:space="preserve">PNG </w:t>
      </w:r>
      <w:r w:rsidR="001C029F">
        <w:t>g</w:t>
      </w:r>
      <w:r w:rsidR="001D26BA">
        <w:t>overnment</w:t>
      </w:r>
      <w:r w:rsidRPr="00F044AA">
        <w:t xml:space="preserve"> funding to post-secondary education in</w:t>
      </w:r>
      <w:r w:rsidR="00715AE8">
        <w:t>-country</w:t>
      </w:r>
      <w:r w:rsidRPr="00F044AA">
        <w:t xml:space="preserve">, through the Tertiary Education Scholarship Assistance Scheme. In 2012, </w:t>
      </w:r>
      <w:r w:rsidR="00576CD9">
        <w:t>the scheme</w:t>
      </w:r>
      <w:r w:rsidRPr="00F044AA">
        <w:t xml:space="preserve"> was valued at </w:t>
      </w:r>
      <w:r w:rsidR="00BD37CF">
        <w:t>$</w:t>
      </w:r>
      <w:r w:rsidRPr="00F044AA">
        <w:t>16.43 million</w:t>
      </w:r>
      <w:r w:rsidR="00E660ED">
        <w:t xml:space="preserve"> (K35</w:t>
      </w:r>
      <w:r w:rsidR="00041973">
        <w:t> </w:t>
      </w:r>
      <w:r w:rsidR="00E660ED">
        <w:t>million</w:t>
      </w:r>
      <w:r w:rsidRPr="00F044AA">
        <w:t xml:space="preserve">), </w:t>
      </w:r>
      <w:r>
        <w:t xml:space="preserve">partially or fully </w:t>
      </w:r>
      <w:r w:rsidRPr="00F044AA">
        <w:t>funding 10</w:t>
      </w:r>
      <w:r w:rsidR="00BD37CF">
        <w:t xml:space="preserve"> </w:t>
      </w:r>
      <w:r w:rsidRPr="00F044AA">
        <w:t xml:space="preserve">200 students (new and ongoing). </w:t>
      </w:r>
    </w:p>
    <w:p w14:paraId="0B70F621" w14:textId="77777777" w:rsidR="00AC2F41" w:rsidRDefault="00AC2F41" w:rsidP="00515C69">
      <w:pPr>
        <w:pStyle w:val="BodyText"/>
      </w:pPr>
      <w:r w:rsidRPr="00F044AA">
        <w:t>Australia supports students to undertake pos</w:t>
      </w:r>
      <w:r>
        <w:t xml:space="preserve">t-secondary study </w:t>
      </w:r>
      <w:r w:rsidR="00BD37CF">
        <w:t>through the:</w:t>
      </w:r>
      <w:r w:rsidRPr="00F044AA">
        <w:t xml:space="preserve"> </w:t>
      </w:r>
    </w:p>
    <w:p w14:paraId="0B70F622" w14:textId="77777777" w:rsidR="00AC2F41" w:rsidRPr="00F044AA" w:rsidRDefault="00AC2F41" w:rsidP="00515C69">
      <w:pPr>
        <w:pStyle w:val="ListBullet"/>
      </w:pPr>
      <w:r w:rsidRPr="00F044AA">
        <w:t>Australia Awards</w:t>
      </w:r>
      <w:r w:rsidR="00666FA3">
        <w:t>, which</w:t>
      </w:r>
      <w:r w:rsidR="00395A95">
        <w:t xml:space="preserve"> </w:t>
      </w:r>
      <w:r w:rsidRPr="00F044AA">
        <w:t>support Papua New Guineans to undertake full</w:t>
      </w:r>
      <w:r w:rsidR="00715AE8">
        <w:t>-</w:t>
      </w:r>
      <w:r w:rsidRPr="00F044AA">
        <w:t xml:space="preserve">time undergraduate or postgraduate study at Australian universities and </w:t>
      </w:r>
      <w:r w:rsidR="00666FA3">
        <w:t>t</w:t>
      </w:r>
      <w:r w:rsidR="00576CD9">
        <w:t xml:space="preserve">echnical and </w:t>
      </w:r>
      <w:r w:rsidR="00666FA3">
        <w:t>f</w:t>
      </w:r>
      <w:r w:rsidR="00576CD9">
        <w:t xml:space="preserve">urther </w:t>
      </w:r>
      <w:r w:rsidR="00666FA3">
        <w:t>e</w:t>
      </w:r>
      <w:r w:rsidR="00576CD9">
        <w:t>ducation</w:t>
      </w:r>
      <w:r w:rsidRPr="00F044AA">
        <w:t xml:space="preserve"> </w:t>
      </w:r>
      <w:r w:rsidR="00666FA3">
        <w:t>college</w:t>
      </w:r>
      <w:r w:rsidR="00865F40">
        <w:t>s</w:t>
      </w:r>
      <w:r w:rsidR="00BD37CF">
        <w:t>—</w:t>
      </w:r>
      <w:r>
        <w:t>144</w:t>
      </w:r>
      <w:r w:rsidRPr="00F044AA">
        <w:t xml:space="preserve"> Australia Awards recipients (77 female</w:t>
      </w:r>
      <w:r w:rsidR="00BD37CF">
        <w:t xml:space="preserve"> and </w:t>
      </w:r>
      <w:r w:rsidRPr="00F044AA">
        <w:t xml:space="preserve">67 male) completed </w:t>
      </w:r>
      <w:r>
        <w:t>study in Australia in 2012</w:t>
      </w:r>
      <w:r w:rsidRPr="00F044AA">
        <w:t xml:space="preserve"> </w:t>
      </w:r>
    </w:p>
    <w:p w14:paraId="0B70F623" w14:textId="77777777" w:rsidR="00C30352" w:rsidRDefault="00AC2F41" w:rsidP="00515C69">
      <w:pPr>
        <w:pStyle w:val="ListBullet"/>
      </w:pPr>
      <w:r w:rsidRPr="00F044AA">
        <w:t>PNG</w:t>
      </w:r>
      <w:r w:rsidR="00BD37CF">
        <w:t xml:space="preserve"> – </w:t>
      </w:r>
      <w:r w:rsidRPr="00F044AA">
        <w:t>Australia Awards Pacific Scholarship program</w:t>
      </w:r>
      <w:r w:rsidR="00666FA3">
        <w:t>, which</w:t>
      </w:r>
      <w:r w:rsidR="00C30352">
        <w:t xml:space="preserve"> </w:t>
      </w:r>
      <w:r w:rsidRPr="00F044AA">
        <w:t>provid</w:t>
      </w:r>
      <w:r w:rsidR="00666FA3">
        <w:t>es</w:t>
      </w:r>
      <w:r w:rsidRPr="00F044AA">
        <w:t xml:space="preserve"> health and education awards for study in PNG</w:t>
      </w:r>
      <w:r w:rsidR="00C30352">
        <w:t xml:space="preserve"> </w:t>
      </w:r>
      <w:r w:rsidR="00376954">
        <w:t>resulting in</w:t>
      </w:r>
      <w:r w:rsidR="00C30352">
        <w:t>:</w:t>
      </w:r>
    </w:p>
    <w:p w14:paraId="0B70F624" w14:textId="77777777" w:rsidR="00C30352" w:rsidRDefault="00AC2F41" w:rsidP="00515C69">
      <w:pPr>
        <w:pStyle w:val="ListBullet2"/>
      </w:pPr>
      <w:r w:rsidRPr="00F044AA">
        <w:t>71 (66 female</w:t>
      </w:r>
      <w:r w:rsidR="00C30352">
        <w:t xml:space="preserve"> and </w:t>
      </w:r>
      <w:r w:rsidRPr="00F044AA">
        <w:t>5 male) midwifery</w:t>
      </w:r>
      <w:r w:rsidR="00C30352">
        <w:t xml:space="preserve"> placements</w:t>
      </w:r>
    </w:p>
    <w:p w14:paraId="0B70F625" w14:textId="77777777" w:rsidR="00C30352" w:rsidRDefault="00AC2F41" w:rsidP="00515C69">
      <w:pPr>
        <w:pStyle w:val="ListBullet2"/>
      </w:pPr>
      <w:r w:rsidRPr="00F044AA">
        <w:t>20 (9 female</w:t>
      </w:r>
      <w:r w:rsidR="00C30352">
        <w:t xml:space="preserve"> and </w:t>
      </w:r>
      <w:r w:rsidRPr="00F044AA">
        <w:t xml:space="preserve">11 male) two-year </w:t>
      </w:r>
      <w:r w:rsidR="00576CD9">
        <w:t>c</w:t>
      </w:r>
      <w:r w:rsidRPr="00F044AA">
        <w:t xml:space="preserve">ommunity </w:t>
      </w:r>
      <w:r w:rsidR="00576CD9">
        <w:t>h</w:t>
      </w:r>
      <w:r w:rsidRPr="00F044AA">
        <w:t xml:space="preserve">ealth </w:t>
      </w:r>
      <w:r w:rsidR="00576CD9">
        <w:t>w</w:t>
      </w:r>
      <w:r w:rsidRPr="00F044AA">
        <w:t>orker placements</w:t>
      </w:r>
    </w:p>
    <w:p w14:paraId="0B70F626" w14:textId="77777777" w:rsidR="00C30352" w:rsidRDefault="00AC2F41" w:rsidP="00515C69">
      <w:pPr>
        <w:pStyle w:val="ListBullet2"/>
      </w:pPr>
      <w:r w:rsidRPr="00F044AA">
        <w:t xml:space="preserve">68 midwifery </w:t>
      </w:r>
      <w:r w:rsidR="00C30352">
        <w:t>graduates</w:t>
      </w:r>
    </w:p>
    <w:p w14:paraId="0B70F627" w14:textId="77777777" w:rsidR="000A1CA3" w:rsidRDefault="00AC2F41" w:rsidP="00515C69">
      <w:pPr>
        <w:pStyle w:val="ListBullet2"/>
      </w:pPr>
      <w:r w:rsidRPr="00F044AA">
        <w:t>104 (93 female</w:t>
      </w:r>
      <w:r w:rsidR="000A1CA3">
        <w:t xml:space="preserve"> and </w:t>
      </w:r>
      <w:r w:rsidRPr="00F044AA">
        <w:t>11 male) midwifery</w:t>
      </w:r>
      <w:r w:rsidR="000A1CA3">
        <w:t xml:space="preserve"> awardees</w:t>
      </w:r>
    </w:p>
    <w:p w14:paraId="0B70F628" w14:textId="77777777" w:rsidR="000A1CA3" w:rsidRDefault="00AC2F41" w:rsidP="00515C69">
      <w:pPr>
        <w:pStyle w:val="ListBullet2"/>
      </w:pPr>
      <w:r w:rsidRPr="00F044AA">
        <w:lastRenderedPageBreak/>
        <w:t>150 (112 female</w:t>
      </w:r>
      <w:r w:rsidR="000A1CA3">
        <w:t xml:space="preserve"> and </w:t>
      </w:r>
      <w:r w:rsidRPr="00F044AA">
        <w:t>38 male) nursing</w:t>
      </w:r>
      <w:r w:rsidR="000A1CA3">
        <w:t xml:space="preserve"> awardees</w:t>
      </w:r>
      <w:r w:rsidR="000A1CA3" w:rsidRPr="00F044AA">
        <w:t xml:space="preserve"> </w:t>
      </w:r>
    </w:p>
    <w:p w14:paraId="0B70F629" w14:textId="77777777" w:rsidR="000A1CA3" w:rsidRDefault="00AC2F41" w:rsidP="00515C69">
      <w:pPr>
        <w:pStyle w:val="ListBullet2"/>
      </w:pPr>
      <w:r w:rsidRPr="00F044AA">
        <w:t>176 (99 female</w:t>
      </w:r>
      <w:r w:rsidR="000A1CA3">
        <w:t xml:space="preserve"> and </w:t>
      </w:r>
      <w:r w:rsidRPr="00F044AA">
        <w:t>74 male) C</w:t>
      </w:r>
      <w:r w:rsidR="00666FA3">
        <w:t>hristian Health Worker</w:t>
      </w:r>
      <w:r w:rsidRPr="00F044AA">
        <w:t xml:space="preserve"> </w:t>
      </w:r>
      <w:r w:rsidR="000A1CA3">
        <w:t>awardees</w:t>
      </w:r>
    </w:p>
    <w:p w14:paraId="0B70F62A" w14:textId="77777777" w:rsidR="006658DB" w:rsidRDefault="00AC2F41" w:rsidP="00515C69">
      <w:pPr>
        <w:pStyle w:val="ListBullet2"/>
      </w:pPr>
      <w:r w:rsidRPr="00F044AA">
        <w:t>20 (12 female</w:t>
      </w:r>
      <w:r w:rsidR="000A1CA3">
        <w:t xml:space="preserve"> and </w:t>
      </w:r>
      <w:r w:rsidRPr="00F044AA">
        <w:t xml:space="preserve">8 male) secondary teacher awardees </w:t>
      </w:r>
    </w:p>
    <w:p w14:paraId="0B70F62B" w14:textId="77777777" w:rsidR="006658DB" w:rsidRDefault="006658DB" w:rsidP="00515C69">
      <w:pPr>
        <w:pStyle w:val="ListBullet"/>
      </w:pPr>
      <w:r w:rsidRPr="00647059">
        <w:t>A</w:t>
      </w:r>
      <w:r w:rsidR="00376954">
        <w:t>ustralia Pacific Technical College</w:t>
      </w:r>
      <w:r w:rsidR="00666FA3">
        <w:t>, which helps</w:t>
      </w:r>
      <w:r w:rsidRPr="00647059">
        <w:t xml:space="preserve"> Pacific Islanders gain Australian-standard skills and qualifications </w:t>
      </w:r>
      <w:r w:rsidR="00647059" w:rsidRPr="00647059">
        <w:t>in</w:t>
      </w:r>
      <w:r w:rsidRPr="00647059">
        <w:t xml:space="preserve"> a wide range of vocational careers</w:t>
      </w:r>
      <w:r w:rsidR="002724AA">
        <w:t>, producing</w:t>
      </w:r>
      <w:r w:rsidR="00E57E07" w:rsidRPr="00647059">
        <w:t xml:space="preserve"> skilled employees</w:t>
      </w:r>
      <w:r w:rsidR="002724AA">
        <w:t xml:space="preserve"> who</w:t>
      </w:r>
      <w:r w:rsidRPr="00647059">
        <w:t xml:space="preserve"> </w:t>
      </w:r>
      <w:r w:rsidRPr="00037414">
        <w:t>are in high demand</w:t>
      </w:r>
      <w:r w:rsidRPr="003C1634">
        <w:t xml:space="preserve"> </w:t>
      </w:r>
      <w:r w:rsidR="00E57E07" w:rsidRPr="00647059">
        <w:t>throughout the Pacific—</w:t>
      </w:r>
      <w:r w:rsidRPr="006658DB">
        <w:t xml:space="preserve">160 Papua New Guineans </w:t>
      </w:r>
      <w:r w:rsidR="00647059">
        <w:t xml:space="preserve">were </w:t>
      </w:r>
      <w:r w:rsidRPr="006658DB">
        <w:t>enrolled at APTC campuses</w:t>
      </w:r>
      <w:r>
        <w:rPr>
          <w:rStyle w:val="FootnoteReference"/>
        </w:rPr>
        <w:footnoteReference w:id="39"/>
      </w:r>
      <w:r w:rsidR="00647059" w:rsidRPr="00647059">
        <w:t xml:space="preserve"> </w:t>
      </w:r>
      <w:r w:rsidR="00647059">
        <w:t>b</w:t>
      </w:r>
      <w:r w:rsidR="00647059" w:rsidRPr="00647059">
        <w:t>etween 1 January 2012 and 13 May 2013</w:t>
      </w:r>
      <w:r w:rsidR="00666FA3">
        <w:t>.</w:t>
      </w:r>
    </w:p>
    <w:p w14:paraId="0B70F62C" w14:textId="77777777" w:rsidR="00AC2F41" w:rsidRPr="005351DC" w:rsidRDefault="00715AE8" w:rsidP="00515C69">
      <w:pPr>
        <w:pStyle w:val="BodyText"/>
      </w:pPr>
      <w:r>
        <w:t>In 2012,</w:t>
      </w:r>
      <w:r w:rsidR="00AC2F41" w:rsidRPr="005351DC">
        <w:t xml:space="preserve"> 152 Australia Awards Scholarship recipients</w:t>
      </w:r>
      <w:r>
        <w:t xml:space="preserve"> were</w:t>
      </w:r>
      <w:r w:rsidR="00AC2F41" w:rsidRPr="005351DC">
        <w:t xml:space="preserve"> selected. The composition of the 2013 intake represents an important shift from lower</w:t>
      </w:r>
      <w:r>
        <w:t>-</w:t>
      </w:r>
      <w:r w:rsidR="00AC2F41" w:rsidRPr="005351DC">
        <w:t xml:space="preserve">level </w:t>
      </w:r>
      <w:r w:rsidR="001065AC">
        <w:t>qualifications</w:t>
      </w:r>
      <w:r w:rsidR="00666FA3">
        <w:t xml:space="preserve">. It </w:t>
      </w:r>
      <w:r w:rsidR="00AC2F41" w:rsidRPr="005351DC">
        <w:t>reposition</w:t>
      </w:r>
      <w:r w:rsidR="00666FA3">
        <w:t>ed the a</w:t>
      </w:r>
      <w:r w:rsidR="00AC2F41" w:rsidRPr="005351DC">
        <w:t>wards for study overseas as elite awards</w:t>
      </w:r>
      <w:r w:rsidR="00E5303B">
        <w:t xml:space="preserve"> that</w:t>
      </w:r>
      <w:r w:rsidR="00AC2F41" w:rsidRPr="005351DC">
        <w:t xml:space="preserve"> complement, rather than compet</w:t>
      </w:r>
      <w:r w:rsidR="00E5303B">
        <w:t>e</w:t>
      </w:r>
      <w:r w:rsidR="00AC2F41" w:rsidRPr="005351DC">
        <w:t xml:space="preserve"> with</w:t>
      </w:r>
      <w:r w:rsidR="00E5303B">
        <w:t>,</w:t>
      </w:r>
      <w:r w:rsidR="00AC2F41" w:rsidRPr="005351DC">
        <w:t xml:space="preserve"> study options available in PNG</w:t>
      </w:r>
      <w:r w:rsidR="0041638B" w:rsidRPr="005351DC">
        <w:t xml:space="preserve">. </w:t>
      </w:r>
      <w:r w:rsidR="00AC2F41" w:rsidRPr="005351DC">
        <w:t xml:space="preserve">Disaggregated data </w:t>
      </w:r>
      <w:r w:rsidR="00AC2F41" w:rsidRPr="00647059">
        <w:t>reflects continued consolidation of Australia Awards programs in PNG with a more refined and targeted approach to eligibility, levels of study against agreed priority sectors, and increased objectivity and transparency in selection.</w:t>
      </w:r>
      <w:r w:rsidR="00AC2F41" w:rsidRPr="00865F40">
        <w:rPr>
          <w:sz w:val="16"/>
          <w:szCs w:val="16"/>
          <w:vertAlign w:val="superscript"/>
        </w:rPr>
        <w:footnoteReference w:id="40"/>
      </w:r>
    </w:p>
    <w:p w14:paraId="0B70F62D" w14:textId="77777777" w:rsidR="00AC2F41" w:rsidRPr="00F044AA" w:rsidRDefault="001065AC" w:rsidP="00515C69">
      <w:pPr>
        <w:pStyle w:val="BodyText"/>
      </w:pPr>
      <w:r>
        <w:t>Availability of awards for i</w:t>
      </w:r>
      <w:r w:rsidR="00AC2F41" w:rsidRPr="00F044AA">
        <w:t xml:space="preserve">n-country </w:t>
      </w:r>
      <w:r>
        <w:t>study</w:t>
      </w:r>
      <w:r w:rsidR="00AC2F41" w:rsidRPr="00F044AA">
        <w:t xml:space="preserve"> allows </w:t>
      </w:r>
      <w:r w:rsidR="00AC2F41">
        <w:t xml:space="preserve">Australia </w:t>
      </w:r>
      <w:r w:rsidR="00AC2F41" w:rsidRPr="00F044AA">
        <w:t xml:space="preserve">to focus on equity </w:t>
      </w:r>
      <w:r>
        <w:t xml:space="preserve">by improving </w:t>
      </w:r>
      <w:r w:rsidR="00AC2F41" w:rsidRPr="00F044AA">
        <w:t xml:space="preserve">gender and provincial </w:t>
      </w:r>
      <w:r>
        <w:t>access</w:t>
      </w:r>
      <w:r w:rsidR="00AC2F41" w:rsidRPr="00F044AA">
        <w:t xml:space="preserve">. </w:t>
      </w:r>
      <w:r w:rsidR="00DD66F1">
        <w:t>A</w:t>
      </w:r>
      <w:r w:rsidR="00E5303B">
        <w:t> </w:t>
      </w:r>
      <w:r w:rsidR="00DD66F1">
        <w:t>total of 450</w:t>
      </w:r>
      <w:r w:rsidR="00AC2F41" w:rsidRPr="00F044AA">
        <w:t xml:space="preserve"> awardees </w:t>
      </w:r>
      <w:r w:rsidR="00717A74">
        <w:t>started</w:t>
      </w:r>
      <w:r w:rsidR="00717A74" w:rsidRPr="00F044AA">
        <w:t xml:space="preserve"> </w:t>
      </w:r>
      <w:r w:rsidR="00AC2F41" w:rsidRPr="00F044AA">
        <w:t>study in PNG in 2013</w:t>
      </w:r>
      <w:r>
        <w:t xml:space="preserve"> including </w:t>
      </w:r>
      <w:r w:rsidR="00AC2F41" w:rsidRPr="00F044AA">
        <w:t xml:space="preserve">midwifery (104), nursing (150), community health work (176) and secondary education teaching (20). </w:t>
      </w:r>
      <w:r w:rsidR="00717A74">
        <w:t>More than</w:t>
      </w:r>
      <w:r w:rsidR="00717A74" w:rsidRPr="00F044AA">
        <w:t xml:space="preserve"> </w:t>
      </w:r>
      <w:r w:rsidR="00AC2F41" w:rsidRPr="00F044AA">
        <w:t xml:space="preserve">70 per cent (316) of awardees are women. </w:t>
      </w:r>
      <w:r w:rsidR="00717A74">
        <w:t>A total of 89</w:t>
      </w:r>
      <w:r w:rsidR="00666FA3">
        <w:t xml:space="preserve"> </w:t>
      </w:r>
      <w:r w:rsidR="00AC2F41" w:rsidRPr="00F044AA">
        <w:t xml:space="preserve">per cent (402) of awardees come from provinces other than </w:t>
      </w:r>
      <w:r>
        <w:t xml:space="preserve">the </w:t>
      </w:r>
      <w:r w:rsidR="00BB1028" w:rsidRPr="007A5EE9">
        <w:rPr>
          <w:color w:val="000000"/>
          <w:lang w:eastAsia="en-US"/>
        </w:rPr>
        <w:t>N</w:t>
      </w:r>
      <w:r w:rsidR="00BB1028">
        <w:rPr>
          <w:color w:val="000000"/>
          <w:lang w:eastAsia="en-US"/>
        </w:rPr>
        <w:t>ational Capital District</w:t>
      </w:r>
      <w:r w:rsidR="00BB1028" w:rsidRPr="00F044AA">
        <w:t xml:space="preserve"> </w:t>
      </w:r>
      <w:r w:rsidR="00AC2F41">
        <w:t xml:space="preserve">indicating </w:t>
      </w:r>
      <w:r>
        <w:t>broad</w:t>
      </w:r>
      <w:r w:rsidR="00AC2F41">
        <w:t xml:space="preserve"> provincial reach</w:t>
      </w:r>
      <w:r w:rsidR="00AC2F41" w:rsidRPr="00F044AA">
        <w:t>.</w:t>
      </w:r>
      <w:r w:rsidR="00AC2F41">
        <w:rPr>
          <w:rStyle w:val="FootnoteReference"/>
        </w:rPr>
        <w:footnoteReference w:id="41"/>
      </w:r>
      <w:r w:rsidR="00AC2F41">
        <w:t xml:space="preserve"> </w:t>
      </w:r>
      <w:r w:rsidR="00AC2F41" w:rsidRPr="00F044AA">
        <w:t xml:space="preserve"> </w:t>
      </w:r>
    </w:p>
    <w:p w14:paraId="0B70F62E" w14:textId="77777777" w:rsidR="00AC2F41" w:rsidRPr="00AC2F41" w:rsidRDefault="00AC2F41" w:rsidP="00515C69">
      <w:pPr>
        <w:pStyle w:val="BodyText"/>
        <w:rPr>
          <w:rFonts w:cstheme="minorHAnsi"/>
          <w:lang w:val="en"/>
        </w:rPr>
      </w:pPr>
      <w:r w:rsidRPr="00F044AA">
        <w:t xml:space="preserve">A tracer study of up to 570 alumni to be completed by the end of 2013 will </w:t>
      </w:r>
      <w:r>
        <w:t xml:space="preserve">help provide </w:t>
      </w:r>
      <w:r w:rsidR="00717A74">
        <w:t xml:space="preserve">more </w:t>
      </w:r>
      <w:r>
        <w:t xml:space="preserve">information about </w:t>
      </w:r>
      <w:r w:rsidR="00717A74">
        <w:t xml:space="preserve">program </w:t>
      </w:r>
      <w:r>
        <w:t xml:space="preserve">impact. </w:t>
      </w:r>
      <w:r w:rsidR="00717A74">
        <w:t>A</w:t>
      </w:r>
      <w:r w:rsidRPr="00F044AA">
        <w:t xml:space="preserve">necdotal evidence </w:t>
      </w:r>
      <w:r w:rsidR="00717A74">
        <w:t>suggests</w:t>
      </w:r>
      <w:r w:rsidRPr="00F044AA">
        <w:t xml:space="preserve"> Australia Awards </w:t>
      </w:r>
      <w:r w:rsidR="00693186">
        <w:t>graduates</w:t>
      </w:r>
      <w:r w:rsidR="00693186" w:rsidRPr="00F044AA">
        <w:t xml:space="preserve"> </w:t>
      </w:r>
      <w:r w:rsidRPr="00F044AA">
        <w:t>contribut</w:t>
      </w:r>
      <w:r w:rsidR="00717A74">
        <w:t>e</w:t>
      </w:r>
      <w:r w:rsidRPr="00F044AA">
        <w:t xml:space="preserve"> to PNG’s economic and social development</w:t>
      </w:r>
      <w:r>
        <w:t>,</w:t>
      </w:r>
      <w:r w:rsidRPr="00F044AA">
        <w:t xml:space="preserve"> the delivery of front</w:t>
      </w:r>
      <w:r w:rsidR="00717A74">
        <w:t>-</w:t>
      </w:r>
      <w:r w:rsidRPr="00F044AA">
        <w:t xml:space="preserve">line services such as </w:t>
      </w:r>
      <w:r w:rsidR="00717A74">
        <w:t xml:space="preserve">education, engineering, </w:t>
      </w:r>
      <w:r w:rsidRPr="00F044AA">
        <w:t xml:space="preserve">health, </w:t>
      </w:r>
      <w:r w:rsidR="00717A74">
        <w:t xml:space="preserve">and </w:t>
      </w:r>
      <w:r w:rsidRPr="00F044AA">
        <w:t xml:space="preserve">information communication technology, </w:t>
      </w:r>
      <w:r w:rsidR="009439B4">
        <w:t>and to</w:t>
      </w:r>
      <w:r w:rsidRPr="00F044AA">
        <w:t xml:space="preserve"> policy development and public and private administration, including at senior levels of government.</w:t>
      </w:r>
    </w:p>
    <w:p w14:paraId="0B70F62F" w14:textId="77777777" w:rsidR="008934B0" w:rsidRPr="00515C69" w:rsidRDefault="008934B0" w:rsidP="00515C69">
      <w:pPr>
        <w:pStyle w:val="Heading2"/>
      </w:pPr>
      <w:r w:rsidRPr="00515C69">
        <w:t xml:space="preserve">Objective 3: Law and </w:t>
      </w:r>
      <w:r w:rsidR="00255A25" w:rsidRPr="00515C69">
        <w:t>j</w:t>
      </w:r>
      <w:r w:rsidRPr="00515C69">
        <w:t>ustice</w:t>
      </w:r>
    </w:p>
    <w:tbl>
      <w:tblPr>
        <w:tblStyle w:val="APPR"/>
        <w:tblW w:w="4999" w:type="pct"/>
        <w:tblLook w:val="0000" w:firstRow="0" w:lastRow="0" w:firstColumn="0" w:lastColumn="0" w:noHBand="0" w:noVBand="0"/>
      </w:tblPr>
      <w:tblGrid>
        <w:gridCol w:w="7387"/>
        <w:gridCol w:w="1217"/>
      </w:tblGrid>
      <w:tr w:rsidR="006378F6" w:rsidRPr="009D53C4" w14:paraId="0B70F632" w14:textId="77777777" w:rsidTr="006264ED">
        <w:trPr>
          <w:cnfStyle w:val="000000010000" w:firstRow="0" w:lastRow="0" w:firstColumn="0" w:lastColumn="0" w:oddVBand="0" w:evenVBand="0" w:oddHBand="0" w:evenHBand="1" w:firstRowFirstColumn="0" w:firstRowLastColumn="0" w:lastRowFirstColumn="0" w:lastRowLastColumn="0"/>
        </w:trPr>
        <w:tc>
          <w:tcPr>
            <w:tcW w:w="7297" w:type="dxa"/>
          </w:tcPr>
          <w:p w14:paraId="0B70F630" w14:textId="77777777" w:rsidR="006378F6" w:rsidRPr="002960A4" w:rsidRDefault="006378F6" w:rsidP="002960A4">
            <w:pPr>
              <w:pStyle w:val="TableTextEntries"/>
            </w:pPr>
            <w:r w:rsidRPr="002960A4">
              <w:t xml:space="preserve">Improved law and justice  </w:t>
            </w:r>
          </w:p>
        </w:tc>
        <w:tc>
          <w:tcPr>
            <w:tcW w:w="1167" w:type="dxa"/>
            <w:shd w:val="clear" w:color="auto" w:fill="F79646" w:themeFill="accent6"/>
            <w:noWrap/>
          </w:tcPr>
          <w:p w14:paraId="0B70F631" w14:textId="77777777" w:rsidR="006378F6" w:rsidRPr="002960A4" w:rsidRDefault="006378F6" w:rsidP="002960A4">
            <w:pPr>
              <w:pStyle w:val="TableTextEntries"/>
            </w:pPr>
            <w:r w:rsidRPr="002960A4">
              <w:t>Amber</w:t>
            </w:r>
          </w:p>
        </w:tc>
      </w:tr>
    </w:tbl>
    <w:p w14:paraId="0B70F633" w14:textId="77777777" w:rsidR="00A0186E" w:rsidRDefault="00A0186E" w:rsidP="00515C69">
      <w:pPr>
        <w:pStyle w:val="BodyText"/>
        <w:rPr>
          <w:lang w:val="en"/>
        </w:rPr>
      </w:pPr>
    </w:p>
    <w:p w14:paraId="0B70F634" w14:textId="77777777" w:rsidR="00717A74" w:rsidRDefault="008369B1" w:rsidP="00515C69">
      <w:pPr>
        <w:pStyle w:val="BodyText"/>
        <w:rPr>
          <w:lang w:val="en"/>
        </w:rPr>
      </w:pPr>
      <w:r>
        <w:rPr>
          <w:lang w:val="en"/>
        </w:rPr>
        <w:t xml:space="preserve">Australia </w:t>
      </w:r>
      <w:r w:rsidR="00E62046">
        <w:rPr>
          <w:lang w:val="en"/>
        </w:rPr>
        <w:t xml:space="preserve">maintained </w:t>
      </w:r>
      <w:r w:rsidR="00717A74">
        <w:rPr>
          <w:lang w:val="en"/>
        </w:rPr>
        <w:t xml:space="preserve">progress against this objective under the Partnership for Development program </w:t>
      </w:r>
      <w:r w:rsidR="001065AC">
        <w:rPr>
          <w:lang w:val="en"/>
        </w:rPr>
        <w:t xml:space="preserve">was rated </w:t>
      </w:r>
      <w:r w:rsidR="00717A74">
        <w:rPr>
          <w:lang w:val="en"/>
        </w:rPr>
        <w:t>as</w:t>
      </w:r>
      <w:r w:rsidR="00E62046">
        <w:rPr>
          <w:lang w:val="en"/>
        </w:rPr>
        <w:t xml:space="preserve"> amber</w:t>
      </w:r>
      <w:r w:rsidR="00717A74">
        <w:rPr>
          <w:lang w:val="en"/>
        </w:rPr>
        <w:t>. The rating remained the same as in 2011, because</w:t>
      </w:r>
      <w:r w:rsidR="00E62046">
        <w:rPr>
          <w:lang w:val="en"/>
        </w:rPr>
        <w:t xml:space="preserve"> p</w:t>
      </w:r>
      <w:r w:rsidRPr="008369B1">
        <w:rPr>
          <w:lang w:val="en"/>
        </w:rPr>
        <w:t>rogress is less than expected</w:t>
      </w:r>
      <w:r>
        <w:rPr>
          <w:lang w:val="en"/>
        </w:rPr>
        <w:t xml:space="preserve">. </w:t>
      </w:r>
      <w:r w:rsidR="00380531">
        <w:rPr>
          <w:lang w:val="en"/>
        </w:rPr>
        <w:t xml:space="preserve">While the law and justice sector faced significant challenges in the </w:t>
      </w:r>
      <w:r w:rsidR="00717A74">
        <w:rPr>
          <w:lang w:val="en"/>
        </w:rPr>
        <w:t xml:space="preserve">reporting </w:t>
      </w:r>
      <w:r w:rsidR="00380531">
        <w:rPr>
          <w:lang w:val="en"/>
        </w:rPr>
        <w:t>period</w:t>
      </w:r>
      <w:r w:rsidR="00717A74">
        <w:rPr>
          <w:lang w:val="en"/>
        </w:rPr>
        <w:t xml:space="preserve">, </w:t>
      </w:r>
      <w:r>
        <w:rPr>
          <w:lang w:val="en"/>
        </w:rPr>
        <w:t xml:space="preserve">Australia </w:t>
      </w:r>
      <w:r w:rsidR="00693186">
        <w:rPr>
          <w:lang w:val="en"/>
        </w:rPr>
        <w:t xml:space="preserve">supported PNG to </w:t>
      </w:r>
      <w:r>
        <w:rPr>
          <w:lang w:val="en"/>
        </w:rPr>
        <w:t>p</w:t>
      </w:r>
      <w:r w:rsidRPr="008369B1">
        <w:rPr>
          <w:lang w:val="en"/>
        </w:rPr>
        <w:t>rogress</w:t>
      </w:r>
      <w:r w:rsidR="00693186">
        <w:rPr>
          <w:lang w:val="en"/>
        </w:rPr>
        <w:t xml:space="preserve"> </w:t>
      </w:r>
      <w:r w:rsidRPr="008369B1">
        <w:rPr>
          <w:lang w:val="en"/>
        </w:rPr>
        <w:t xml:space="preserve">some </w:t>
      </w:r>
      <w:r w:rsidR="00E62046">
        <w:rPr>
          <w:lang w:val="en"/>
        </w:rPr>
        <w:t xml:space="preserve">key </w:t>
      </w:r>
      <w:r w:rsidRPr="008369B1">
        <w:rPr>
          <w:lang w:val="en"/>
        </w:rPr>
        <w:t>indicators in the four priority areas</w:t>
      </w:r>
      <w:r w:rsidRPr="008369B1">
        <w:t xml:space="preserve"> </w:t>
      </w:r>
      <w:r w:rsidRPr="008369B1">
        <w:rPr>
          <w:lang w:val="en"/>
        </w:rPr>
        <w:t>outlined in the Partnership for Development</w:t>
      </w:r>
      <w:r>
        <w:rPr>
          <w:lang w:val="en"/>
        </w:rPr>
        <w:t>, including significant achievements in access to law and justice services</w:t>
      </w:r>
      <w:r w:rsidR="0041638B">
        <w:rPr>
          <w:lang w:val="en"/>
        </w:rPr>
        <w:t>.</w:t>
      </w:r>
      <w:r w:rsidR="00516570">
        <w:rPr>
          <w:lang w:val="en"/>
        </w:rPr>
        <w:t xml:space="preserve"> </w:t>
      </w:r>
      <w:r w:rsidR="003559C0">
        <w:rPr>
          <w:lang w:val="en"/>
        </w:rPr>
        <w:t xml:space="preserve">PNG and Australia were unable to </w:t>
      </w:r>
      <w:r w:rsidR="002C0B13">
        <w:rPr>
          <w:lang w:val="en"/>
        </w:rPr>
        <w:t xml:space="preserve">verify </w:t>
      </w:r>
      <w:r w:rsidR="00380531">
        <w:rPr>
          <w:lang w:val="en"/>
        </w:rPr>
        <w:t xml:space="preserve">progress </w:t>
      </w:r>
      <w:r w:rsidR="002C0B13">
        <w:rPr>
          <w:lang w:val="en"/>
        </w:rPr>
        <w:t>agai</w:t>
      </w:r>
      <w:r w:rsidR="003559C0">
        <w:rPr>
          <w:lang w:val="en"/>
        </w:rPr>
        <w:t>n</w:t>
      </w:r>
      <w:r w:rsidR="002C0B13">
        <w:rPr>
          <w:lang w:val="en"/>
        </w:rPr>
        <w:t>s</w:t>
      </w:r>
      <w:r w:rsidR="003559C0">
        <w:rPr>
          <w:lang w:val="en"/>
        </w:rPr>
        <w:t xml:space="preserve">t </w:t>
      </w:r>
      <w:r w:rsidR="00E62046">
        <w:rPr>
          <w:lang w:val="en"/>
        </w:rPr>
        <w:t>other key indicators</w:t>
      </w:r>
      <w:r w:rsidR="003559C0">
        <w:rPr>
          <w:lang w:val="en"/>
        </w:rPr>
        <w:t xml:space="preserve"> due to a lack of </w:t>
      </w:r>
      <w:r w:rsidR="002C0B13">
        <w:rPr>
          <w:lang w:val="en"/>
        </w:rPr>
        <w:t>sector-wide data</w:t>
      </w:r>
      <w:r w:rsidR="00E62046">
        <w:rPr>
          <w:lang w:val="en"/>
        </w:rPr>
        <w:t>.</w:t>
      </w:r>
    </w:p>
    <w:p w14:paraId="0B70F635" w14:textId="77777777" w:rsidR="008934B0" w:rsidRPr="00A71CF7" w:rsidRDefault="008934B0" w:rsidP="00515C69">
      <w:pPr>
        <w:pStyle w:val="BodyText"/>
        <w:rPr>
          <w:lang w:val="en"/>
        </w:rPr>
      </w:pPr>
      <w:r>
        <w:rPr>
          <w:lang w:val="en"/>
        </w:rPr>
        <w:lastRenderedPageBreak/>
        <w:t>The PNG Government’s l</w:t>
      </w:r>
      <w:r w:rsidRPr="00A71CF7">
        <w:rPr>
          <w:lang w:val="en"/>
        </w:rPr>
        <w:t>ong</w:t>
      </w:r>
      <w:r w:rsidR="00717A74">
        <w:rPr>
          <w:lang w:val="en"/>
        </w:rPr>
        <w:t>-</w:t>
      </w:r>
      <w:r w:rsidRPr="00A71CF7">
        <w:rPr>
          <w:lang w:val="en"/>
        </w:rPr>
        <w:t xml:space="preserve">term goal is </w:t>
      </w:r>
      <w:r w:rsidR="008A5D86">
        <w:rPr>
          <w:lang w:val="en"/>
        </w:rPr>
        <w:t xml:space="preserve">to achieve </w:t>
      </w:r>
      <w:r w:rsidRPr="00A71CF7">
        <w:rPr>
          <w:lang w:val="en"/>
        </w:rPr>
        <w:t>a safe, secure and stable environment for all</w:t>
      </w:r>
      <w:r w:rsidR="0041638B">
        <w:rPr>
          <w:lang w:val="en"/>
        </w:rPr>
        <w:t xml:space="preserve">. </w:t>
      </w:r>
      <w:r w:rsidRPr="00A71CF7">
        <w:rPr>
          <w:lang w:val="en"/>
        </w:rPr>
        <w:t>Australia contributes</w:t>
      </w:r>
      <w:r w:rsidRPr="00865F40">
        <w:rPr>
          <w:rStyle w:val="FootnoteReference"/>
          <w:szCs w:val="16"/>
          <w:lang w:val="en"/>
        </w:rPr>
        <w:footnoteReference w:id="42"/>
      </w:r>
      <w:r w:rsidRPr="00A71CF7">
        <w:rPr>
          <w:lang w:val="en"/>
        </w:rPr>
        <w:t xml:space="preserve"> </w:t>
      </w:r>
      <w:r w:rsidR="00717A74" w:rsidRPr="00A71CF7">
        <w:rPr>
          <w:lang w:val="en"/>
        </w:rPr>
        <w:t>to</w:t>
      </w:r>
      <w:r w:rsidR="00717A74">
        <w:rPr>
          <w:lang w:val="en"/>
        </w:rPr>
        <w:t xml:space="preserve"> </w:t>
      </w:r>
      <w:r w:rsidRPr="00A71CF7">
        <w:rPr>
          <w:lang w:val="en"/>
        </w:rPr>
        <w:t xml:space="preserve">key </w:t>
      </w:r>
      <w:r>
        <w:rPr>
          <w:lang w:val="en"/>
        </w:rPr>
        <w:t xml:space="preserve">set </w:t>
      </w:r>
      <w:r w:rsidRPr="00A71CF7">
        <w:rPr>
          <w:lang w:val="en"/>
        </w:rPr>
        <w:t>outcomes within the PNG</w:t>
      </w:r>
      <w:r w:rsidR="001D26BA">
        <w:rPr>
          <w:lang w:val="en"/>
        </w:rPr>
        <w:t xml:space="preserve"> Government</w:t>
      </w:r>
      <w:r w:rsidRPr="00A71CF7">
        <w:rPr>
          <w:lang w:val="en"/>
        </w:rPr>
        <w:t>’s Law and Justice Sector Strategic Framework</w:t>
      </w:r>
      <w:r w:rsidR="001D26BA">
        <w:rPr>
          <w:lang w:val="en"/>
        </w:rPr>
        <w:t>,</w:t>
      </w:r>
      <w:r w:rsidRPr="00A71CF7">
        <w:rPr>
          <w:lang w:val="en"/>
        </w:rPr>
        <w:t xml:space="preserve"> set out in the Partnership for Development Law and Justice Schedule in </w:t>
      </w:r>
      <w:r w:rsidR="00717A74">
        <w:rPr>
          <w:lang w:val="en"/>
        </w:rPr>
        <w:t xml:space="preserve">these </w:t>
      </w:r>
      <w:r w:rsidRPr="00A71CF7">
        <w:rPr>
          <w:lang w:val="en"/>
        </w:rPr>
        <w:t xml:space="preserve">four priority </w:t>
      </w:r>
      <w:r w:rsidR="005A52E5">
        <w:rPr>
          <w:lang w:val="en"/>
        </w:rPr>
        <w:t xml:space="preserve">result </w:t>
      </w:r>
      <w:r w:rsidRPr="00A71CF7">
        <w:rPr>
          <w:lang w:val="en"/>
        </w:rPr>
        <w:t>areas:</w:t>
      </w:r>
    </w:p>
    <w:p w14:paraId="0B70F636" w14:textId="77777777" w:rsidR="008934B0" w:rsidRPr="00515C69" w:rsidRDefault="00255A25" w:rsidP="00515C69">
      <w:pPr>
        <w:pStyle w:val="ListNumber"/>
        <w:numPr>
          <w:ilvl w:val="0"/>
          <w:numId w:val="77"/>
        </w:numPr>
        <w:rPr>
          <w:rFonts w:eastAsia="SimSun"/>
          <w:lang w:val="en"/>
        </w:rPr>
      </w:pPr>
      <w:r w:rsidRPr="00515C69">
        <w:rPr>
          <w:rFonts w:eastAsia="SimSun"/>
          <w:lang w:val="en"/>
        </w:rPr>
        <w:t>c</w:t>
      </w:r>
      <w:r w:rsidR="008934B0" w:rsidRPr="00515C69">
        <w:rPr>
          <w:rFonts w:eastAsia="SimSun"/>
          <w:lang w:val="en"/>
        </w:rPr>
        <w:t xml:space="preserve">ommunities will have improved security with police better trained and better resourced to maintain law and order </w:t>
      </w:r>
    </w:p>
    <w:p w14:paraId="0B70F637" w14:textId="5334CFB4" w:rsidR="008934B0" w:rsidRPr="00BF568F" w:rsidRDefault="00255A25" w:rsidP="00515C69">
      <w:pPr>
        <w:pStyle w:val="ListNumber"/>
        <w:rPr>
          <w:rFonts w:eastAsia="SimSun"/>
          <w:lang w:val="en"/>
        </w:rPr>
      </w:pPr>
      <w:r w:rsidRPr="00BF568F">
        <w:rPr>
          <w:rFonts w:eastAsia="SimSun"/>
          <w:lang w:val="en"/>
        </w:rPr>
        <w:t>v</w:t>
      </w:r>
      <w:r w:rsidR="008934B0" w:rsidRPr="00BF568F">
        <w:rPr>
          <w:rFonts w:eastAsia="SimSun"/>
          <w:lang w:val="en"/>
        </w:rPr>
        <w:t xml:space="preserve">ictims of </w:t>
      </w:r>
      <w:r w:rsidR="00717A74">
        <w:rPr>
          <w:rFonts w:eastAsia="SimSun"/>
          <w:lang w:val="en"/>
        </w:rPr>
        <w:t>F</w:t>
      </w:r>
      <w:r w:rsidR="007F32ED">
        <w:rPr>
          <w:rFonts w:eastAsia="SimSun"/>
          <w:lang w:val="en"/>
        </w:rPr>
        <w:t xml:space="preserve">amily and </w:t>
      </w:r>
      <w:r w:rsidR="00717A74">
        <w:rPr>
          <w:rFonts w:eastAsia="SimSun"/>
          <w:lang w:val="en"/>
        </w:rPr>
        <w:t>S</w:t>
      </w:r>
      <w:r w:rsidR="007F32ED">
        <w:rPr>
          <w:rFonts w:eastAsia="SimSun"/>
          <w:lang w:val="en"/>
        </w:rPr>
        <w:t xml:space="preserve">exual </w:t>
      </w:r>
      <w:r w:rsidR="00717A74">
        <w:rPr>
          <w:rFonts w:eastAsia="SimSun"/>
          <w:lang w:val="en"/>
        </w:rPr>
        <w:t>V</w:t>
      </w:r>
      <w:r w:rsidR="007F32ED">
        <w:rPr>
          <w:rFonts w:eastAsia="SimSun"/>
          <w:lang w:val="en"/>
        </w:rPr>
        <w:t>iolence</w:t>
      </w:r>
      <w:r w:rsidR="008934B0" w:rsidRPr="00BF568F">
        <w:rPr>
          <w:rFonts w:eastAsia="SimSun"/>
          <w:lang w:val="en"/>
        </w:rPr>
        <w:t xml:space="preserve"> will have improved recourse and protection</w:t>
      </w:r>
    </w:p>
    <w:p w14:paraId="0B70F638" w14:textId="77777777" w:rsidR="008934B0" w:rsidRPr="00BF568F" w:rsidRDefault="00255A25" w:rsidP="00515C69">
      <w:pPr>
        <w:pStyle w:val="ListNumber"/>
        <w:rPr>
          <w:rFonts w:eastAsia="SimSun"/>
          <w:lang w:val="en"/>
        </w:rPr>
      </w:pPr>
      <w:r w:rsidRPr="00BF568F">
        <w:rPr>
          <w:rFonts w:eastAsia="SimSun"/>
          <w:lang w:val="en"/>
        </w:rPr>
        <w:t>w</w:t>
      </w:r>
      <w:r w:rsidR="008934B0" w:rsidRPr="00BF568F">
        <w:rPr>
          <w:rFonts w:eastAsia="SimSun"/>
          <w:lang w:val="en"/>
        </w:rPr>
        <w:t>omen and men will have improved access to justice</w:t>
      </w:r>
    </w:p>
    <w:p w14:paraId="0B70F639" w14:textId="77777777" w:rsidR="008934B0" w:rsidRPr="00BF568F" w:rsidRDefault="008934B0" w:rsidP="00515C69">
      <w:pPr>
        <w:pStyle w:val="ListNumber"/>
        <w:rPr>
          <w:rFonts w:eastAsia="SimSun"/>
          <w:lang w:val="en"/>
        </w:rPr>
      </w:pPr>
      <w:r w:rsidRPr="00BF568F">
        <w:rPr>
          <w:rFonts w:eastAsia="SimSun"/>
          <w:lang w:val="en"/>
        </w:rPr>
        <w:t xml:space="preserve">PNG will have enhanced abilities to prevent and combat corruption. </w:t>
      </w:r>
    </w:p>
    <w:p w14:paraId="0B70F63A" w14:textId="4B29004D" w:rsidR="00DB5E27" w:rsidRDefault="00DB5E27" w:rsidP="00515C69">
      <w:pPr>
        <w:pStyle w:val="BodyText"/>
        <w:rPr>
          <w:lang w:val="en"/>
        </w:rPr>
      </w:pPr>
      <w:r>
        <w:rPr>
          <w:lang w:val="en"/>
        </w:rPr>
        <w:t xml:space="preserve">Australia’s support to the </w:t>
      </w:r>
      <w:r w:rsidR="00951868">
        <w:rPr>
          <w:lang w:val="en"/>
        </w:rPr>
        <w:t xml:space="preserve">PNG law and justice </w:t>
      </w:r>
      <w:r>
        <w:rPr>
          <w:lang w:val="en"/>
        </w:rPr>
        <w:t>sector is provided through a whole</w:t>
      </w:r>
      <w:r w:rsidR="005005AE">
        <w:rPr>
          <w:lang w:val="en"/>
        </w:rPr>
        <w:t>-</w:t>
      </w:r>
      <w:r>
        <w:rPr>
          <w:lang w:val="en"/>
        </w:rPr>
        <w:t>of</w:t>
      </w:r>
      <w:r w:rsidR="005005AE">
        <w:rPr>
          <w:lang w:val="en"/>
        </w:rPr>
        <w:t>-</w:t>
      </w:r>
      <w:r>
        <w:rPr>
          <w:lang w:val="en"/>
        </w:rPr>
        <w:t xml:space="preserve">government approach, involving </w:t>
      </w:r>
      <w:r w:rsidR="007F32ED">
        <w:rPr>
          <w:lang w:val="en"/>
        </w:rPr>
        <w:t xml:space="preserve">the department’s </w:t>
      </w:r>
      <w:r>
        <w:rPr>
          <w:lang w:val="en"/>
        </w:rPr>
        <w:t xml:space="preserve">partnership with </w:t>
      </w:r>
      <w:r w:rsidR="00951868">
        <w:rPr>
          <w:lang w:val="en"/>
        </w:rPr>
        <w:t>PNG s</w:t>
      </w:r>
      <w:r>
        <w:rPr>
          <w:lang w:val="en"/>
        </w:rPr>
        <w:t xml:space="preserve">ector agencies, the Australian Federal Police’s partnership with the RPNGC and the Australian Attorney General’s Department’s technical advisors work in legal policy section of the Department of Justice and Attorney General, the </w:t>
      </w:r>
      <w:r w:rsidR="00B41865">
        <w:rPr>
          <w:lang w:val="en"/>
        </w:rPr>
        <w:t>O</w:t>
      </w:r>
      <w:r w:rsidR="00516570">
        <w:rPr>
          <w:lang w:val="en"/>
        </w:rPr>
        <w:t>ffice of Public Prosecutor (O</w:t>
      </w:r>
      <w:r w:rsidR="00B41865">
        <w:rPr>
          <w:lang w:val="en"/>
        </w:rPr>
        <w:t>PP</w:t>
      </w:r>
      <w:r w:rsidR="00516570">
        <w:rPr>
          <w:lang w:val="en"/>
        </w:rPr>
        <w:t>)</w:t>
      </w:r>
      <w:r>
        <w:rPr>
          <w:lang w:val="en"/>
        </w:rPr>
        <w:t>,</w:t>
      </w:r>
      <w:r w:rsidR="001065AC">
        <w:rPr>
          <w:lang w:val="en"/>
        </w:rPr>
        <w:t xml:space="preserve"> the</w:t>
      </w:r>
      <w:r>
        <w:rPr>
          <w:lang w:val="en"/>
        </w:rPr>
        <w:t xml:space="preserve"> Office of State Solicitor and </w:t>
      </w:r>
      <w:r w:rsidR="001065AC">
        <w:rPr>
          <w:lang w:val="en"/>
        </w:rPr>
        <w:t xml:space="preserve">the </w:t>
      </w:r>
      <w:r>
        <w:rPr>
          <w:lang w:val="en"/>
        </w:rPr>
        <w:t xml:space="preserve">Office of Solicitor General. </w:t>
      </w:r>
    </w:p>
    <w:p w14:paraId="0B70F63B" w14:textId="77777777" w:rsidR="008934B0" w:rsidRPr="00A71CF7" w:rsidRDefault="008934B0" w:rsidP="00515C69">
      <w:pPr>
        <w:pStyle w:val="BodyText"/>
        <w:rPr>
          <w:lang w:val="en"/>
        </w:rPr>
      </w:pPr>
      <w:r w:rsidRPr="00A71CF7">
        <w:rPr>
          <w:lang w:val="en"/>
        </w:rPr>
        <w:t>A functional law and justice system is fundamental for state legitimacy, effectiveness and stability</w:t>
      </w:r>
      <w:r w:rsidR="0041638B">
        <w:rPr>
          <w:lang w:val="en"/>
        </w:rPr>
        <w:t xml:space="preserve">. </w:t>
      </w:r>
      <w:r w:rsidRPr="00A71CF7">
        <w:rPr>
          <w:lang w:val="en"/>
        </w:rPr>
        <w:t>It provides an environment conducive to trade</w:t>
      </w:r>
      <w:r>
        <w:rPr>
          <w:lang w:val="en"/>
        </w:rPr>
        <w:t>,</w:t>
      </w:r>
      <w:r w:rsidRPr="00A71CF7">
        <w:rPr>
          <w:lang w:val="en"/>
        </w:rPr>
        <w:t xml:space="preserve"> investment</w:t>
      </w:r>
      <w:r>
        <w:rPr>
          <w:lang w:val="en"/>
        </w:rPr>
        <w:t xml:space="preserve"> and economic growth</w:t>
      </w:r>
      <w:r w:rsidR="0041638B">
        <w:rPr>
          <w:lang w:val="en"/>
        </w:rPr>
        <w:t xml:space="preserve">. </w:t>
      </w:r>
      <w:r w:rsidRPr="00A71CF7">
        <w:rPr>
          <w:lang w:val="en"/>
        </w:rPr>
        <w:t xml:space="preserve">Law and order </w:t>
      </w:r>
      <w:r>
        <w:rPr>
          <w:lang w:val="en"/>
        </w:rPr>
        <w:t>institution</w:t>
      </w:r>
      <w:r w:rsidRPr="00A71CF7">
        <w:rPr>
          <w:lang w:val="en"/>
        </w:rPr>
        <w:t>s in PNG are characteri</w:t>
      </w:r>
      <w:r w:rsidR="005005AE">
        <w:rPr>
          <w:lang w:val="en"/>
        </w:rPr>
        <w:t>s</w:t>
      </w:r>
      <w:r w:rsidRPr="00A71CF7">
        <w:rPr>
          <w:lang w:val="en"/>
        </w:rPr>
        <w:t>ed by low capacity, resources, au</w:t>
      </w:r>
      <w:r w:rsidR="005A52E5">
        <w:rPr>
          <w:lang w:val="en"/>
        </w:rPr>
        <w:t>thority and public confidence</w:t>
      </w:r>
      <w:r w:rsidR="0041638B">
        <w:rPr>
          <w:lang w:val="en"/>
        </w:rPr>
        <w:t xml:space="preserve">. </w:t>
      </w:r>
      <w:r w:rsidR="00EA7F2E" w:rsidRPr="00EA7F2E">
        <w:t>RPNGC staff numbers</w:t>
      </w:r>
      <w:r w:rsidR="005005AE">
        <w:t>,</w:t>
      </w:r>
      <w:r w:rsidR="00EA7F2E" w:rsidRPr="00EA7F2E">
        <w:t xml:space="preserve"> </w:t>
      </w:r>
      <w:r w:rsidR="00EA7F2E">
        <w:t>for example</w:t>
      </w:r>
      <w:r w:rsidR="005005AE">
        <w:t>,</w:t>
      </w:r>
      <w:r w:rsidR="00EA7F2E">
        <w:t xml:space="preserve"> </w:t>
      </w:r>
      <w:r w:rsidR="00EA7F2E" w:rsidRPr="00EA7F2E">
        <w:t>are well below the UN’s suggested police</w:t>
      </w:r>
      <w:r w:rsidR="005005AE">
        <w:t>-</w:t>
      </w:r>
      <w:r w:rsidR="00EA7F2E" w:rsidRPr="00EA7F2E">
        <w:t>to</w:t>
      </w:r>
      <w:r w:rsidR="005005AE">
        <w:t>-</w:t>
      </w:r>
      <w:r w:rsidR="00EA7F2E" w:rsidRPr="00EA7F2E">
        <w:t>population ratio (1:450</w:t>
      </w:r>
      <w:r w:rsidR="005005AE">
        <w:t xml:space="preserve"> compared to </w:t>
      </w:r>
      <w:r w:rsidR="00EA7F2E" w:rsidRPr="00EA7F2E">
        <w:t>1:1350</w:t>
      </w:r>
      <w:r w:rsidR="005005AE">
        <w:t>)</w:t>
      </w:r>
      <w:r w:rsidR="00EA7F2E" w:rsidRPr="00EA7F2E">
        <w:t>.</w:t>
      </w:r>
      <w:r>
        <w:t xml:space="preserve"> B</w:t>
      </w:r>
      <w:r w:rsidRPr="00A71CF7">
        <w:t>arriers to formal justice includ</w:t>
      </w:r>
      <w:r>
        <w:t>e</w:t>
      </w:r>
      <w:r w:rsidRPr="00A71CF7">
        <w:t xml:space="preserve"> lack of access to formal justice </w:t>
      </w:r>
      <w:r>
        <w:t>institution</w:t>
      </w:r>
      <w:r w:rsidRPr="00A71CF7">
        <w:t>s</w:t>
      </w:r>
      <w:r w:rsidR="005005AE">
        <w:t>;</w:t>
      </w:r>
      <w:r w:rsidRPr="00A71CF7">
        <w:t xml:space="preserve"> </w:t>
      </w:r>
      <w:r>
        <w:t xml:space="preserve">lack of </w:t>
      </w:r>
      <w:r w:rsidRPr="00A71CF7">
        <w:t>understanding about basic rights t</w:t>
      </w:r>
      <w:r>
        <w:t xml:space="preserve">o justice and legal awareness; </w:t>
      </w:r>
      <w:r w:rsidRPr="00A71CF7">
        <w:t xml:space="preserve">lack of confidence in formal systems; low levels of literacy; </w:t>
      </w:r>
      <w:r w:rsidR="00575BBA">
        <w:t xml:space="preserve">and </w:t>
      </w:r>
      <w:r w:rsidRPr="00A71CF7">
        <w:t>financial and geographical constraints</w:t>
      </w:r>
      <w:r w:rsidR="00C801E5">
        <w:t>.</w:t>
      </w:r>
    </w:p>
    <w:p w14:paraId="0B70F63C" w14:textId="77777777" w:rsidR="008934B0" w:rsidRDefault="008934B0" w:rsidP="00515C69">
      <w:pPr>
        <w:pStyle w:val="BodyText"/>
      </w:pPr>
      <w:r>
        <w:t xml:space="preserve">The </w:t>
      </w:r>
      <w:r w:rsidR="005005AE">
        <w:t>PNG</w:t>
      </w:r>
      <w:r w:rsidR="005005AE" w:rsidRPr="00A71CF7">
        <w:t xml:space="preserve"> </w:t>
      </w:r>
      <w:r>
        <w:t>G</w:t>
      </w:r>
      <w:r w:rsidRPr="00A71CF7">
        <w:t xml:space="preserve">overnment has expressed ambitious reform plans </w:t>
      </w:r>
      <w:r w:rsidR="001D26BA">
        <w:t>for the sector, including</w:t>
      </w:r>
      <w:r w:rsidRPr="00A71CF7">
        <w:t xml:space="preserve"> commitments to</w:t>
      </w:r>
      <w:r w:rsidR="0059145D">
        <w:t xml:space="preserve"> tackle corruption, improve police </w:t>
      </w:r>
      <w:r w:rsidRPr="00A71CF7">
        <w:t xml:space="preserve">effectiveness and improve </w:t>
      </w:r>
      <w:r w:rsidR="0059145D">
        <w:t xml:space="preserve">access to justice </w:t>
      </w:r>
      <w:r w:rsidRPr="00A71CF7">
        <w:t>service</w:t>
      </w:r>
      <w:r w:rsidR="0059145D">
        <w:t>s</w:t>
      </w:r>
      <w:r w:rsidRPr="00A71CF7">
        <w:t xml:space="preserve">. </w:t>
      </w:r>
      <w:r>
        <w:t>Th</w:t>
      </w:r>
      <w:r w:rsidR="005005AE">
        <w:t>e government has provided</w:t>
      </w:r>
      <w:r w:rsidRPr="00A71CF7">
        <w:t xml:space="preserve"> additional funding for the RPNGC</w:t>
      </w:r>
      <w:r w:rsidR="00BC5C10">
        <w:t>, including</w:t>
      </w:r>
      <w:r w:rsidR="00575BBA">
        <w:t>:</w:t>
      </w:r>
      <w:r w:rsidR="00BC5C10">
        <w:t xml:space="preserve"> a substantial commitment of </w:t>
      </w:r>
      <w:r w:rsidR="00255A25">
        <w:t>K</w:t>
      </w:r>
      <w:r w:rsidR="00BC5C10">
        <w:t>276</w:t>
      </w:r>
      <w:r w:rsidR="00437B28">
        <w:t xml:space="preserve"> </w:t>
      </w:r>
      <w:r w:rsidR="00BC5C10">
        <w:t>m</w:t>
      </w:r>
      <w:r w:rsidR="00437B28">
        <w:t>illion</w:t>
      </w:r>
      <w:r w:rsidR="00BC5C10">
        <w:t xml:space="preserve"> over five years for </w:t>
      </w:r>
      <w:r w:rsidR="00BF568F">
        <w:t>the Police M</w:t>
      </w:r>
      <w:r w:rsidR="00BC5C10" w:rsidRPr="00BC5C10">
        <w:t xml:space="preserve">odernisation </w:t>
      </w:r>
      <w:r w:rsidR="00BF568F">
        <w:t>P</w:t>
      </w:r>
      <w:r w:rsidR="00BC5C10" w:rsidRPr="00BC5C10">
        <w:t>rogram</w:t>
      </w:r>
      <w:r w:rsidRPr="00A71CF7">
        <w:t xml:space="preserve">; the establishment of the interagency anti-corruption taskforce </w:t>
      </w:r>
      <w:r w:rsidR="0059145D">
        <w:t>(Taskforce Sweep)</w:t>
      </w:r>
      <w:r w:rsidR="00926F81">
        <w:t xml:space="preserve">; the </w:t>
      </w:r>
      <w:r w:rsidRPr="00A71CF7">
        <w:t>establish</w:t>
      </w:r>
      <w:r w:rsidR="00926F81">
        <w:t>ment of</w:t>
      </w:r>
      <w:r w:rsidRPr="00A71CF7">
        <w:t xml:space="preserve"> an anti-corruption commission; and </w:t>
      </w:r>
      <w:r w:rsidR="00926F81">
        <w:t>an increase in funding in the 2013 National Budget (</w:t>
      </w:r>
      <w:r w:rsidRPr="00A71CF7">
        <w:t>78 per cent</w:t>
      </w:r>
      <w:r w:rsidR="00926F81">
        <w:t>)</w:t>
      </w:r>
      <w:r w:rsidRPr="00A71CF7">
        <w:t xml:space="preserve"> for village courts. </w:t>
      </w:r>
      <w:r w:rsidR="008F35BB" w:rsidRPr="008F35BB">
        <w:t>In 2012, the recurrent budget appropriation for law</w:t>
      </w:r>
      <w:r w:rsidR="008F35BB">
        <w:t xml:space="preserve"> and justice was K546 million</w:t>
      </w:r>
      <w:r w:rsidR="002C0B13">
        <w:t>,</w:t>
      </w:r>
      <w:r w:rsidR="00A866FA">
        <w:t xml:space="preserve"> rising to </w:t>
      </w:r>
      <w:r w:rsidR="008F35BB" w:rsidRPr="008F35BB">
        <w:t>K701.3 million</w:t>
      </w:r>
      <w:r w:rsidR="00A866FA">
        <w:t xml:space="preserve"> in 2013</w:t>
      </w:r>
      <w:r w:rsidR="0041638B">
        <w:t xml:space="preserve">. </w:t>
      </w:r>
      <w:r w:rsidR="005A52E5" w:rsidRPr="008F35BB">
        <w:t xml:space="preserve">Coordinating </w:t>
      </w:r>
      <w:r w:rsidR="00926F81">
        <w:t>this</w:t>
      </w:r>
      <w:r w:rsidR="00926F81" w:rsidRPr="008F35BB">
        <w:t xml:space="preserve"> </w:t>
      </w:r>
      <w:r w:rsidR="005A52E5" w:rsidRPr="008F35BB">
        <w:t>funding</w:t>
      </w:r>
      <w:r w:rsidR="00575BBA">
        <w:t xml:space="preserve"> to produce outcomes</w:t>
      </w:r>
      <w:r w:rsidR="005A52E5">
        <w:t>, especially with increased sub-national funding,</w:t>
      </w:r>
      <w:r w:rsidR="005A52E5" w:rsidRPr="008F35BB">
        <w:t xml:space="preserve"> present real challenges. </w:t>
      </w:r>
      <w:r w:rsidR="005A52E5">
        <w:t xml:space="preserve">Coherent plans to </w:t>
      </w:r>
      <w:r w:rsidR="005A52E5" w:rsidRPr="008F35BB">
        <w:t>implement reforms</w:t>
      </w:r>
      <w:r w:rsidR="005A52E5">
        <w:t xml:space="preserve"> are still being developed</w:t>
      </w:r>
      <w:r w:rsidR="0078651F">
        <w:t xml:space="preserve"> by the sector</w:t>
      </w:r>
      <w:r w:rsidR="0041638B">
        <w:t xml:space="preserve">. </w:t>
      </w:r>
      <w:r w:rsidR="00EC5EA4">
        <w:t>There is evidence</w:t>
      </w:r>
      <w:r w:rsidR="002C0B13">
        <w:t>,</w:t>
      </w:r>
      <w:r w:rsidR="00EC5EA4">
        <w:t xml:space="preserve"> for example</w:t>
      </w:r>
      <w:r w:rsidR="002C0B13">
        <w:t>,</w:t>
      </w:r>
      <w:r w:rsidR="00EC5EA4">
        <w:t xml:space="preserve"> of</w:t>
      </w:r>
      <w:r w:rsidR="00DB5E27">
        <w:t xml:space="preserve"> </w:t>
      </w:r>
      <w:r w:rsidR="0078651F">
        <w:t xml:space="preserve">political </w:t>
      </w:r>
      <w:r w:rsidR="00DB5E27">
        <w:t xml:space="preserve">support </w:t>
      </w:r>
      <w:r w:rsidR="002F3357">
        <w:t xml:space="preserve">for </w:t>
      </w:r>
      <w:r w:rsidR="00DB5E27">
        <w:t>the effective implementation of the</w:t>
      </w:r>
      <w:r w:rsidR="0078651F">
        <w:t xml:space="preserve"> Police </w:t>
      </w:r>
      <w:r w:rsidR="00DB5E27">
        <w:t>Modernisation Pro</w:t>
      </w:r>
      <w:r w:rsidR="0078651F">
        <w:t>gram</w:t>
      </w:r>
      <w:r w:rsidR="005A52E5">
        <w:t xml:space="preserve">. </w:t>
      </w:r>
      <w:r w:rsidR="002C0B13">
        <w:t>However</w:t>
      </w:r>
      <w:r w:rsidR="005820DE">
        <w:t xml:space="preserve">, </w:t>
      </w:r>
      <w:r w:rsidR="005A52E5" w:rsidRPr="008F35BB">
        <w:t>commit</w:t>
      </w:r>
      <w:r w:rsidR="005A52E5">
        <w:t>ments</w:t>
      </w:r>
      <w:r w:rsidR="005A52E5" w:rsidRPr="008F35BB">
        <w:t xml:space="preserve"> to a number of ambitious long</w:t>
      </w:r>
      <w:r w:rsidR="00926F81">
        <w:t>-</w:t>
      </w:r>
      <w:r w:rsidR="005A52E5" w:rsidRPr="008F35BB">
        <w:t>term targets exceed the reso</w:t>
      </w:r>
      <w:r w:rsidR="005A52E5">
        <w:t>urces realistically available.</w:t>
      </w:r>
      <w:r w:rsidR="00477D04">
        <w:t xml:space="preserve"> </w:t>
      </w:r>
      <w:r w:rsidR="00B7152F" w:rsidRPr="00F47983">
        <w:t>PNG requires at least</w:t>
      </w:r>
      <w:r w:rsidR="0078651F">
        <w:t xml:space="preserve"> an estimated</w:t>
      </w:r>
      <w:r w:rsidR="00B7152F" w:rsidRPr="00F47983">
        <w:t xml:space="preserve"> 1000 new recruits </w:t>
      </w:r>
      <w:r w:rsidR="00926F81">
        <w:t>a</w:t>
      </w:r>
      <w:r w:rsidR="00926F81" w:rsidRPr="00F47983">
        <w:t xml:space="preserve"> </w:t>
      </w:r>
      <w:r w:rsidR="00B7152F" w:rsidRPr="00F47983">
        <w:t xml:space="preserve">year due to </w:t>
      </w:r>
      <w:r w:rsidR="00575BBA">
        <w:t>its</w:t>
      </w:r>
      <w:r w:rsidR="00B7152F" w:rsidRPr="00F47983">
        <w:t xml:space="preserve"> low police</w:t>
      </w:r>
      <w:r w:rsidR="00926F81">
        <w:t>-</w:t>
      </w:r>
      <w:r w:rsidR="00B7152F" w:rsidRPr="00F47983">
        <w:t>to</w:t>
      </w:r>
      <w:r w:rsidR="00926F81">
        <w:t>-</w:t>
      </w:r>
      <w:r w:rsidR="00B7152F" w:rsidRPr="00F47983">
        <w:t xml:space="preserve">population ratio and ageing workforce. Despite PNG’s announcement that 400 new recruits will be trained in 2013, cadet training comprises only a minor part of the </w:t>
      </w:r>
      <w:r w:rsidR="00926F81">
        <w:t>m</w:t>
      </w:r>
      <w:r w:rsidR="00B7152F" w:rsidRPr="00F47983">
        <w:t xml:space="preserve">odernisation </w:t>
      </w:r>
      <w:r w:rsidR="00A23ABD">
        <w:t>i</w:t>
      </w:r>
      <w:r w:rsidR="00B7152F" w:rsidRPr="00F47983">
        <w:t>nitiative.</w:t>
      </w:r>
    </w:p>
    <w:p w14:paraId="0B70F63D" w14:textId="77777777" w:rsidR="0059145D" w:rsidRDefault="0059145D" w:rsidP="00515C69">
      <w:pPr>
        <w:pStyle w:val="BodyText"/>
      </w:pPr>
      <w:r w:rsidRPr="008F35BB">
        <w:t xml:space="preserve">In May 2013, </w:t>
      </w:r>
      <w:r>
        <w:t xml:space="preserve">the National Parliament </w:t>
      </w:r>
      <w:r w:rsidR="005A52E5">
        <w:t xml:space="preserve">repealed the Sorcery Act and </w:t>
      </w:r>
      <w:r>
        <w:t xml:space="preserve">passed </w:t>
      </w:r>
      <w:r w:rsidRPr="008F35BB">
        <w:t>amendments to the Criminal Code to increase penalties for serious offences, including the death pen</w:t>
      </w:r>
      <w:r>
        <w:t xml:space="preserve">alty for a number of offences. </w:t>
      </w:r>
      <w:r w:rsidR="00181407" w:rsidRPr="00181407">
        <w:t xml:space="preserve">No Australian </w:t>
      </w:r>
      <w:r w:rsidR="00181407">
        <w:t xml:space="preserve">aid </w:t>
      </w:r>
      <w:r w:rsidR="00181407" w:rsidRPr="00181407">
        <w:t>funding will be used to assist the Governm</w:t>
      </w:r>
      <w:r w:rsidR="00181407">
        <w:t>ent of PNG to implement the dea</w:t>
      </w:r>
      <w:r w:rsidR="00181407" w:rsidRPr="00181407">
        <w:t>th penalty</w:t>
      </w:r>
      <w:r w:rsidR="00181407">
        <w:t>.</w:t>
      </w:r>
      <w:r>
        <w:t xml:space="preserve"> </w:t>
      </w:r>
    </w:p>
    <w:p w14:paraId="0B70F63E" w14:textId="77777777" w:rsidR="00C4294A" w:rsidRDefault="005A52E5" w:rsidP="00515C69">
      <w:pPr>
        <w:pStyle w:val="BodyText"/>
        <w:rPr>
          <w:lang w:val="en"/>
        </w:rPr>
      </w:pPr>
      <w:r>
        <w:rPr>
          <w:lang w:val="en"/>
        </w:rPr>
        <w:lastRenderedPageBreak/>
        <w:t>Progress was made on some indicators within the four</w:t>
      </w:r>
      <w:r w:rsidRPr="00A71CF7">
        <w:rPr>
          <w:lang w:val="en"/>
        </w:rPr>
        <w:t xml:space="preserve"> priority</w:t>
      </w:r>
      <w:r w:rsidR="00BF6B49">
        <w:rPr>
          <w:lang w:val="en"/>
        </w:rPr>
        <w:t xml:space="preserve"> results</w:t>
      </w:r>
      <w:r w:rsidRPr="00A71CF7">
        <w:rPr>
          <w:lang w:val="en"/>
        </w:rPr>
        <w:t xml:space="preserve"> areas </w:t>
      </w:r>
      <w:r>
        <w:rPr>
          <w:lang w:val="en"/>
        </w:rPr>
        <w:t>outlined in the</w:t>
      </w:r>
      <w:r w:rsidRPr="00A71CF7">
        <w:rPr>
          <w:lang w:val="en"/>
        </w:rPr>
        <w:t xml:space="preserve"> </w:t>
      </w:r>
      <w:r>
        <w:rPr>
          <w:lang w:val="en"/>
        </w:rPr>
        <w:t xml:space="preserve">Partnership for Development, including </w:t>
      </w:r>
      <w:r w:rsidRPr="00A71CF7">
        <w:rPr>
          <w:lang w:val="en"/>
        </w:rPr>
        <w:t xml:space="preserve">police training, </w:t>
      </w:r>
      <w:r w:rsidR="00BF568F">
        <w:rPr>
          <w:lang w:val="en"/>
        </w:rPr>
        <w:t xml:space="preserve">establishing </w:t>
      </w:r>
      <w:r w:rsidRPr="00A71CF7">
        <w:rPr>
          <w:lang w:val="en"/>
        </w:rPr>
        <w:t>additional Family Sexual</w:t>
      </w:r>
      <w:r>
        <w:rPr>
          <w:lang w:val="en"/>
        </w:rPr>
        <w:t xml:space="preserve"> Violence Units (FSVUs), legal and anti-corruption reforms. </w:t>
      </w:r>
      <w:r w:rsidR="00C4294A">
        <w:rPr>
          <w:lang w:val="en"/>
        </w:rPr>
        <w:t>Australia’s contribution to reduce</w:t>
      </w:r>
      <w:r w:rsidR="005005AE">
        <w:rPr>
          <w:lang w:val="en"/>
        </w:rPr>
        <w:t xml:space="preserve"> FSV</w:t>
      </w:r>
      <w:r w:rsidR="00C4294A">
        <w:rPr>
          <w:lang w:val="en"/>
        </w:rPr>
        <w:t xml:space="preserve"> has focused on improved recourse and</w:t>
      </w:r>
      <w:r w:rsidR="00C4294A" w:rsidRPr="00C4294A">
        <w:t xml:space="preserve"> </w:t>
      </w:r>
      <w:r w:rsidR="00C4294A">
        <w:rPr>
          <w:lang w:val="en"/>
        </w:rPr>
        <w:t>protection under the justice system</w:t>
      </w:r>
      <w:r w:rsidR="000B24F0">
        <w:rPr>
          <w:lang w:val="en"/>
        </w:rPr>
        <w:t>.</w:t>
      </w:r>
      <w:r w:rsidR="00C4294A">
        <w:rPr>
          <w:lang w:val="en"/>
        </w:rPr>
        <w:t xml:space="preserve"> </w:t>
      </w:r>
      <w:r w:rsidR="000B24F0">
        <w:rPr>
          <w:lang w:val="en"/>
        </w:rPr>
        <w:t>W</w:t>
      </w:r>
      <w:r w:rsidR="00C4294A">
        <w:rPr>
          <w:lang w:val="en"/>
        </w:rPr>
        <w:t xml:space="preserve">hile </w:t>
      </w:r>
      <w:r w:rsidR="000B24F0">
        <w:rPr>
          <w:lang w:val="en"/>
        </w:rPr>
        <w:t xml:space="preserve">PNG is making incremental </w:t>
      </w:r>
      <w:r w:rsidR="00C4294A">
        <w:rPr>
          <w:lang w:val="en"/>
        </w:rPr>
        <w:t>progress</w:t>
      </w:r>
      <w:r w:rsidR="000B24F0">
        <w:rPr>
          <w:lang w:val="en"/>
        </w:rPr>
        <w:t>,</w:t>
      </w:r>
      <w:r w:rsidR="00C4294A">
        <w:rPr>
          <w:lang w:val="en"/>
        </w:rPr>
        <w:t xml:space="preserve"> reduc</w:t>
      </w:r>
      <w:r w:rsidR="000B24F0">
        <w:rPr>
          <w:lang w:val="en"/>
        </w:rPr>
        <w:t>tions</w:t>
      </w:r>
      <w:r w:rsidR="00C4294A">
        <w:rPr>
          <w:lang w:val="en"/>
        </w:rPr>
        <w:t xml:space="preserve"> </w:t>
      </w:r>
      <w:r w:rsidR="000B24F0">
        <w:rPr>
          <w:lang w:val="en"/>
        </w:rPr>
        <w:t xml:space="preserve">in the </w:t>
      </w:r>
      <w:r w:rsidR="005820DE">
        <w:rPr>
          <w:lang w:val="en"/>
        </w:rPr>
        <w:t>prevalence</w:t>
      </w:r>
      <w:r w:rsidR="00C4294A">
        <w:rPr>
          <w:lang w:val="en"/>
        </w:rPr>
        <w:t xml:space="preserve"> of </w:t>
      </w:r>
      <w:r w:rsidR="005005AE">
        <w:rPr>
          <w:lang w:val="en"/>
        </w:rPr>
        <w:t>FSV</w:t>
      </w:r>
      <w:r w:rsidR="00C4294A">
        <w:rPr>
          <w:lang w:val="en"/>
        </w:rPr>
        <w:t xml:space="preserve"> will</w:t>
      </w:r>
      <w:r w:rsidR="000B24F0" w:rsidRPr="000B24F0">
        <w:t xml:space="preserve"> </w:t>
      </w:r>
      <w:r w:rsidR="000B24F0" w:rsidRPr="00F47983">
        <w:t xml:space="preserve">involve </w:t>
      </w:r>
      <w:r w:rsidR="000B24F0">
        <w:t>prolonged effort by P</w:t>
      </w:r>
      <w:r w:rsidR="005005AE">
        <w:t>NG</w:t>
      </w:r>
      <w:r w:rsidR="000B24F0">
        <w:t xml:space="preserve"> leaders and </w:t>
      </w:r>
      <w:r w:rsidR="00BF6B49">
        <w:t>those at</w:t>
      </w:r>
      <w:r w:rsidR="000B24F0">
        <w:t xml:space="preserve"> grassroots level, to address </w:t>
      </w:r>
      <w:r w:rsidR="000B24F0" w:rsidRPr="00F47983">
        <w:t>systemic and legislative inequities, encourag</w:t>
      </w:r>
      <w:r w:rsidR="000B24F0">
        <w:t>e</w:t>
      </w:r>
      <w:r w:rsidR="000B24F0" w:rsidRPr="00F47983">
        <w:t xml:space="preserve"> behaviour change, </w:t>
      </w:r>
      <w:r w:rsidR="000B24F0">
        <w:t>and continue to improve access to</w:t>
      </w:r>
      <w:r w:rsidR="000B24F0" w:rsidRPr="00F47983">
        <w:t xml:space="preserve"> victim support services</w:t>
      </w:r>
      <w:r w:rsidR="000B24F0">
        <w:t>,</w:t>
      </w:r>
      <w:r w:rsidR="000B24F0" w:rsidRPr="00F47983">
        <w:t xml:space="preserve"> </w:t>
      </w:r>
      <w:r w:rsidR="00BF6B49">
        <w:t xml:space="preserve">as well as </w:t>
      </w:r>
      <w:r w:rsidR="000B24F0" w:rsidRPr="00F47983">
        <w:t>justice, education, and economic opportunities</w:t>
      </w:r>
      <w:r w:rsidR="00477514">
        <w:t xml:space="preserve">. </w:t>
      </w:r>
    </w:p>
    <w:p w14:paraId="0B70F63F" w14:textId="77777777" w:rsidR="002960A4" w:rsidRDefault="005A52E5" w:rsidP="00515C69">
      <w:pPr>
        <w:pStyle w:val="BodyText"/>
        <w:rPr>
          <w:lang w:val="en"/>
        </w:rPr>
      </w:pPr>
      <w:r>
        <w:rPr>
          <w:lang w:val="en"/>
        </w:rPr>
        <w:t>Australi</w:t>
      </w:r>
      <w:r w:rsidRPr="00A71CF7">
        <w:rPr>
          <w:lang w:val="en"/>
        </w:rPr>
        <w:t xml:space="preserve">a’s contribution to the sector </w:t>
      </w:r>
      <w:r>
        <w:rPr>
          <w:lang w:val="en"/>
        </w:rPr>
        <w:t>is being</w:t>
      </w:r>
      <w:r w:rsidRPr="00A71CF7">
        <w:rPr>
          <w:lang w:val="en"/>
        </w:rPr>
        <w:t xml:space="preserve"> strengthened through the development </w:t>
      </w:r>
      <w:r>
        <w:rPr>
          <w:lang w:val="en"/>
        </w:rPr>
        <w:t xml:space="preserve">of a </w:t>
      </w:r>
      <w:r w:rsidR="00693186">
        <w:rPr>
          <w:lang w:val="en"/>
        </w:rPr>
        <w:t xml:space="preserve">new </w:t>
      </w:r>
      <w:r>
        <w:rPr>
          <w:lang w:val="en"/>
        </w:rPr>
        <w:t xml:space="preserve">sector delivery strategy. </w:t>
      </w:r>
      <w:r w:rsidRPr="00A71CF7">
        <w:rPr>
          <w:lang w:val="en"/>
        </w:rPr>
        <w:t xml:space="preserve">Future support </w:t>
      </w:r>
      <w:r>
        <w:rPr>
          <w:lang w:val="en"/>
        </w:rPr>
        <w:t xml:space="preserve">will </w:t>
      </w:r>
      <w:r w:rsidRPr="00A71CF7">
        <w:rPr>
          <w:lang w:val="en"/>
        </w:rPr>
        <w:t xml:space="preserve">focus on </w:t>
      </w:r>
      <w:r>
        <w:rPr>
          <w:lang w:val="en"/>
        </w:rPr>
        <w:t xml:space="preserve">more limited outcomes to </w:t>
      </w:r>
      <w:r w:rsidR="00DC1141">
        <w:rPr>
          <w:lang w:val="en"/>
        </w:rPr>
        <w:t>deliver</w:t>
      </w:r>
      <w:r w:rsidRPr="00A71CF7">
        <w:rPr>
          <w:lang w:val="en"/>
        </w:rPr>
        <w:t xml:space="preserve"> effective legal </w:t>
      </w:r>
      <w:r>
        <w:rPr>
          <w:lang w:val="en"/>
        </w:rPr>
        <w:t xml:space="preserve">services </w:t>
      </w:r>
      <w:r w:rsidRPr="00A71CF7">
        <w:rPr>
          <w:lang w:val="en"/>
        </w:rPr>
        <w:t xml:space="preserve">and </w:t>
      </w:r>
      <w:r w:rsidR="002C0B13">
        <w:rPr>
          <w:lang w:val="en"/>
        </w:rPr>
        <w:t>renew support for</w:t>
      </w:r>
      <w:r>
        <w:rPr>
          <w:lang w:val="en"/>
        </w:rPr>
        <w:t xml:space="preserve"> </w:t>
      </w:r>
      <w:r w:rsidRPr="00A71CF7">
        <w:rPr>
          <w:lang w:val="en"/>
        </w:rPr>
        <w:t>reducing the impact of violence and conflict</w:t>
      </w:r>
      <w:r>
        <w:rPr>
          <w:lang w:val="en"/>
        </w:rPr>
        <w:t xml:space="preserve"> in targeted communities. </w:t>
      </w:r>
      <w:r w:rsidR="00BF6B49">
        <w:rPr>
          <w:lang w:val="en"/>
        </w:rPr>
        <w:t>A</w:t>
      </w:r>
      <w:r>
        <w:rPr>
          <w:lang w:val="en"/>
        </w:rPr>
        <w:t>reas of focus will be on increasing accountabilit</w:t>
      </w:r>
      <w:r w:rsidR="002724AA">
        <w:rPr>
          <w:lang w:val="en"/>
        </w:rPr>
        <w:t>y, strengthening anti-corruption enforcement,</w:t>
      </w:r>
      <w:r>
        <w:rPr>
          <w:lang w:val="en"/>
        </w:rPr>
        <w:t xml:space="preserve"> continuing to improve the legal protection to victims of </w:t>
      </w:r>
      <w:r w:rsidR="005005AE">
        <w:rPr>
          <w:lang w:val="en"/>
        </w:rPr>
        <w:t>FSV</w:t>
      </w:r>
      <w:r>
        <w:rPr>
          <w:lang w:val="en"/>
        </w:rPr>
        <w:t xml:space="preserve"> and improved </w:t>
      </w:r>
      <w:r w:rsidRPr="00A71CF7">
        <w:rPr>
          <w:lang w:val="en"/>
        </w:rPr>
        <w:t xml:space="preserve">monitoring and evaluation </w:t>
      </w:r>
      <w:r w:rsidR="00D3387F">
        <w:rPr>
          <w:lang w:val="en"/>
        </w:rPr>
        <w:t xml:space="preserve">(M&amp;E) </w:t>
      </w:r>
      <w:r w:rsidRPr="00A71CF7">
        <w:rPr>
          <w:lang w:val="en"/>
        </w:rPr>
        <w:t>of sector impacts</w:t>
      </w:r>
      <w:r w:rsidR="00CF481D">
        <w:rPr>
          <w:lang w:val="en"/>
        </w:rPr>
        <w:t xml:space="preserve">. </w:t>
      </w:r>
      <w:r w:rsidRPr="00A71CF7">
        <w:rPr>
          <w:lang w:val="en"/>
        </w:rPr>
        <w:t xml:space="preserve">Evaluations </w:t>
      </w:r>
      <w:r w:rsidR="00BF6B49">
        <w:rPr>
          <w:lang w:val="en"/>
        </w:rPr>
        <w:t xml:space="preserve">in 2013 </w:t>
      </w:r>
      <w:r w:rsidRPr="00A71CF7">
        <w:rPr>
          <w:lang w:val="en"/>
        </w:rPr>
        <w:t>will gather more evidence around the impact of infrastructure investment and</w:t>
      </w:r>
      <w:r>
        <w:rPr>
          <w:lang w:val="en"/>
        </w:rPr>
        <w:t xml:space="preserve"> the</w:t>
      </w:r>
      <w:r w:rsidRPr="00A71CF7">
        <w:rPr>
          <w:lang w:val="en"/>
        </w:rPr>
        <w:t xml:space="preserve"> impact and effectiven</w:t>
      </w:r>
      <w:r>
        <w:rPr>
          <w:lang w:val="en"/>
        </w:rPr>
        <w:t xml:space="preserve">ess of village courts. </w:t>
      </w:r>
    </w:p>
    <w:p w14:paraId="0B70F640" w14:textId="77777777" w:rsidR="008934B0" w:rsidRPr="00A71CF7" w:rsidRDefault="005A52E5" w:rsidP="00515C69">
      <w:pPr>
        <w:pStyle w:val="BodyText"/>
        <w:rPr>
          <w:lang w:val="en"/>
        </w:rPr>
      </w:pPr>
      <w:r>
        <w:rPr>
          <w:lang w:val="en"/>
        </w:rPr>
        <w:t>Progress</w:t>
      </w:r>
      <w:r w:rsidR="00BF6B49">
        <w:rPr>
          <w:lang w:val="en"/>
        </w:rPr>
        <w:t xml:space="preserve"> </w:t>
      </w:r>
      <w:r>
        <w:rPr>
          <w:lang w:val="en"/>
        </w:rPr>
        <w:t>is evident in the</w:t>
      </w:r>
      <w:r w:rsidR="00BF6B49">
        <w:rPr>
          <w:lang w:val="en"/>
        </w:rPr>
        <w:t>se</w:t>
      </w:r>
      <w:r>
        <w:rPr>
          <w:lang w:val="en"/>
        </w:rPr>
        <w:t xml:space="preserve"> areas</w:t>
      </w:r>
      <w:r w:rsidR="00477D04">
        <w:rPr>
          <w:lang w:val="en"/>
        </w:rPr>
        <w:t>.</w:t>
      </w:r>
    </w:p>
    <w:p w14:paraId="0B70F641" w14:textId="77777777" w:rsidR="008934B0" w:rsidRPr="00A71CF7" w:rsidRDefault="008934B0" w:rsidP="00515C69">
      <w:pPr>
        <w:pStyle w:val="Heading3"/>
        <w:rPr>
          <w:lang w:val="en"/>
        </w:rPr>
      </w:pPr>
      <w:r w:rsidRPr="00A71CF7">
        <w:rPr>
          <w:lang w:val="en"/>
        </w:rPr>
        <w:t>Better trained and equipped police</w:t>
      </w:r>
    </w:p>
    <w:p w14:paraId="0B70F642" w14:textId="77777777" w:rsidR="002845B1" w:rsidRDefault="00BA0B2E" w:rsidP="00515C69">
      <w:pPr>
        <w:pStyle w:val="BodyText"/>
      </w:pPr>
      <w:r>
        <w:rPr>
          <w:lang w:val="en"/>
        </w:rPr>
        <w:t>E</w:t>
      </w:r>
      <w:r w:rsidR="005A52E5">
        <w:rPr>
          <w:lang w:val="en"/>
        </w:rPr>
        <w:t>arly indication</w:t>
      </w:r>
      <w:r w:rsidR="002C0B13">
        <w:rPr>
          <w:lang w:val="en"/>
        </w:rPr>
        <w:t>s</w:t>
      </w:r>
      <w:r>
        <w:rPr>
          <w:lang w:val="en"/>
        </w:rPr>
        <w:t xml:space="preserve"> are</w:t>
      </w:r>
      <w:r w:rsidR="005A52E5">
        <w:rPr>
          <w:lang w:val="en"/>
        </w:rPr>
        <w:t xml:space="preserve"> that </w:t>
      </w:r>
      <w:r w:rsidR="005A52E5" w:rsidRPr="00A71CF7">
        <w:rPr>
          <w:lang w:val="en"/>
        </w:rPr>
        <w:t xml:space="preserve">Australia is assisting </w:t>
      </w:r>
      <w:r w:rsidR="005A52E5">
        <w:rPr>
          <w:lang w:val="en"/>
        </w:rPr>
        <w:t>to</w:t>
      </w:r>
      <w:r w:rsidR="005A52E5" w:rsidRPr="00A71CF7">
        <w:rPr>
          <w:lang w:val="en"/>
        </w:rPr>
        <w:t xml:space="preserve"> bring about cultural change within the RPNGC</w:t>
      </w:r>
      <w:r w:rsidR="002724AA">
        <w:rPr>
          <w:lang w:val="en"/>
        </w:rPr>
        <w:t>. F</w:t>
      </w:r>
      <w:r w:rsidR="00DB5E27" w:rsidRPr="00C73D16">
        <w:rPr>
          <w:lang w:val="en"/>
        </w:rPr>
        <w:t>or example</w:t>
      </w:r>
      <w:r w:rsidR="00B41865">
        <w:rPr>
          <w:lang w:val="en"/>
        </w:rPr>
        <w:t>:</w:t>
      </w:r>
      <w:r w:rsidR="00DB5E27" w:rsidRPr="00C73D16">
        <w:rPr>
          <w:lang w:val="en"/>
        </w:rPr>
        <w:t xml:space="preserve"> the </w:t>
      </w:r>
      <w:r w:rsidR="00AA08D5">
        <w:rPr>
          <w:lang w:val="en"/>
        </w:rPr>
        <w:t xml:space="preserve">Police </w:t>
      </w:r>
      <w:r w:rsidR="00DB5E27">
        <w:rPr>
          <w:lang w:val="en"/>
        </w:rPr>
        <w:t xml:space="preserve">Commissioner’s </w:t>
      </w:r>
      <w:r w:rsidR="00DB5E27" w:rsidRPr="00C73D16">
        <w:rPr>
          <w:lang w:val="en"/>
        </w:rPr>
        <w:t>sup</w:t>
      </w:r>
      <w:r w:rsidR="00DB5E27" w:rsidRPr="002E3766">
        <w:rPr>
          <w:lang w:val="en"/>
        </w:rPr>
        <w:t>port</w:t>
      </w:r>
      <w:r w:rsidR="00DB5E27">
        <w:rPr>
          <w:lang w:val="en"/>
        </w:rPr>
        <w:t xml:space="preserve"> </w:t>
      </w:r>
      <w:r>
        <w:rPr>
          <w:lang w:val="en"/>
        </w:rPr>
        <w:t xml:space="preserve">for </w:t>
      </w:r>
      <w:r w:rsidR="00DB5E27">
        <w:rPr>
          <w:lang w:val="en"/>
        </w:rPr>
        <w:t xml:space="preserve">and adoption of </w:t>
      </w:r>
      <w:r w:rsidR="00DB5E27" w:rsidRPr="00C73D16">
        <w:rPr>
          <w:lang w:val="en"/>
        </w:rPr>
        <w:t xml:space="preserve">review </w:t>
      </w:r>
      <w:r w:rsidR="00DB5E27">
        <w:rPr>
          <w:lang w:val="en"/>
        </w:rPr>
        <w:t xml:space="preserve">recommendations of the </w:t>
      </w:r>
      <w:r w:rsidR="00DB5E27" w:rsidRPr="00C73D16">
        <w:rPr>
          <w:lang w:val="en"/>
        </w:rPr>
        <w:t xml:space="preserve">Fraud and Anticorruption Directorate and </w:t>
      </w:r>
      <w:r w:rsidR="00DB5E27">
        <w:rPr>
          <w:lang w:val="en"/>
        </w:rPr>
        <w:t xml:space="preserve">Internal Affairs Directorate; </w:t>
      </w:r>
      <w:r w:rsidR="00AA08D5">
        <w:rPr>
          <w:lang w:val="en"/>
        </w:rPr>
        <w:t>progress on</w:t>
      </w:r>
      <w:r w:rsidR="00DB5E27">
        <w:rPr>
          <w:lang w:val="en"/>
        </w:rPr>
        <w:t xml:space="preserve"> implementation</w:t>
      </w:r>
      <w:r w:rsidR="005820DE">
        <w:rPr>
          <w:lang w:val="en"/>
        </w:rPr>
        <w:t xml:space="preserve"> </w:t>
      </w:r>
      <w:r w:rsidR="00AA08D5">
        <w:rPr>
          <w:lang w:val="en"/>
        </w:rPr>
        <w:t>of recommendations</w:t>
      </w:r>
      <w:r w:rsidR="00DB5E27">
        <w:rPr>
          <w:lang w:val="en"/>
        </w:rPr>
        <w:t xml:space="preserve">, including structured senior management oversight of the </w:t>
      </w:r>
      <w:r w:rsidR="00DB5E27" w:rsidRPr="00C73D16">
        <w:rPr>
          <w:lang w:val="en"/>
        </w:rPr>
        <w:t xml:space="preserve">Police Modernisation </w:t>
      </w:r>
      <w:r w:rsidR="00272ED9">
        <w:rPr>
          <w:lang w:val="en"/>
        </w:rPr>
        <w:t>Program</w:t>
      </w:r>
      <w:r w:rsidR="00DB5E27" w:rsidRPr="00C73D16">
        <w:rPr>
          <w:lang w:val="en"/>
        </w:rPr>
        <w:t>; professionali</w:t>
      </w:r>
      <w:r w:rsidR="00B41865">
        <w:rPr>
          <w:lang w:val="en"/>
        </w:rPr>
        <w:t>s</w:t>
      </w:r>
      <w:r w:rsidR="00BF568F">
        <w:rPr>
          <w:lang w:val="en"/>
        </w:rPr>
        <w:t>ing</w:t>
      </w:r>
      <w:r w:rsidR="00DB5E27" w:rsidRPr="00C73D16">
        <w:rPr>
          <w:lang w:val="en"/>
        </w:rPr>
        <w:t xml:space="preserve"> police trainers</w:t>
      </w:r>
      <w:r>
        <w:rPr>
          <w:lang w:val="en"/>
        </w:rPr>
        <w:t>;</w:t>
      </w:r>
      <w:r w:rsidR="0075545F">
        <w:rPr>
          <w:lang w:val="en"/>
        </w:rPr>
        <w:t xml:space="preserve"> </w:t>
      </w:r>
      <w:r w:rsidR="00DB5E27">
        <w:rPr>
          <w:lang w:val="en"/>
        </w:rPr>
        <w:t>and renewed focus on recruit, officer and leadership training</w:t>
      </w:r>
      <w:r w:rsidR="0041638B">
        <w:rPr>
          <w:lang w:val="en"/>
        </w:rPr>
        <w:t xml:space="preserve">. </w:t>
      </w:r>
      <w:r w:rsidR="00AA08D5">
        <w:rPr>
          <w:lang w:val="en"/>
        </w:rPr>
        <w:t>T</w:t>
      </w:r>
      <w:r w:rsidR="005A52E5">
        <w:t>he</w:t>
      </w:r>
      <w:r>
        <w:t xml:space="preserve"> first newly commissioned officer training in</w:t>
      </w:r>
      <w:r w:rsidR="001065AC">
        <w:t xml:space="preserve"> </w:t>
      </w:r>
      <w:r>
        <w:t>10 years saw</w:t>
      </w:r>
      <w:r w:rsidR="00575BBA">
        <w:t xml:space="preserve"> </w:t>
      </w:r>
      <w:r w:rsidR="005A52E5">
        <w:rPr>
          <w:lang w:val="en"/>
        </w:rPr>
        <w:t xml:space="preserve">32 </w:t>
      </w:r>
      <w:r>
        <w:rPr>
          <w:lang w:val="en"/>
        </w:rPr>
        <w:t>police i</w:t>
      </w:r>
      <w:r w:rsidR="005A52E5">
        <w:rPr>
          <w:lang w:val="en"/>
        </w:rPr>
        <w:t xml:space="preserve">nspectors (six </w:t>
      </w:r>
      <w:r w:rsidR="005A52E5" w:rsidRPr="00A71CF7">
        <w:rPr>
          <w:lang w:val="en"/>
        </w:rPr>
        <w:t xml:space="preserve">women) and </w:t>
      </w:r>
      <w:r w:rsidR="005A52E5">
        <w:rPr>
          <w:lang w:val="en"/>
        </w:rPr>
        <w:t>two</w:t>
      </w:r>
      <w:r w:rsidR="005A52E5" w:rsidRPr="00A71CF7">
        <w:rPr>
          <w:lang w:val="en"/>
        </w:rPr>
        <w:t xml:space="preserve"> </w:t>
      </w:r>
      <w:r w:rsidR="00437B28">
        <w:rPr>
          <w:lang w:val="en"/>
        </w:rPr>
        <w:t>c</w:t>
      </w:r>
      <w:r w:rsidR="005A52E5" w:rsidRPr="00A71CF7">
        <w:rPr>
          <w:lang w:val="en"/>
        </w:rPr>
        <w:t xml:space="preserve">orrections </w:t>
      </w:r>
      <w:r w:rsidR="00437B28">
        <w:rPr>
          <w:lang w:val="en"/>
        </w:rPr>
        <w:t>s</w:t>
      </w:r>
      <w:r w:rsidR="005A52E5" w:rsidRPr="00A71CF7">
        <w:rPr>
          <w:lang w:val="en"/>
        </w:rPr>
        <w:t>ervices officers</w:t>
      </w:r>
      <w:r>
        <w:rPr>
          <w:lang w:val="en"/>
        </w:rPr>
        <w:t xml:space="preserve"> graduate</w:t>
      </w:r>
      <w:r w:rsidR="0041638B">
        <w:t xml:space="preserve">. </w:t>
      </w:r>
      <w:r w:rsidR="00272ED9">
        <w:rPr>
          <w:lang w:val="en"/>
        </w:rPr>
        <w:t xml:space="preserve">In </w:t>
      </w:r>
      <w:r>
        <w:rPr>
          <w:lang w:val="en"/>
        </w:rPr>
        <w:t xml:space="preserve">2012, </w:t>
      </w:r>
      <w:r w:rsidR="00272ED9">
        <w:rPr>
          <w:lang w:val="en"/>
        </w:rPr>
        <w:t xml:space="preserve">the first year of the </w:t>
      </w:r>
      <w:r w:rsidR="00BF568F">
        <w:rPr>
          <w:lang w:val="en"/>
        </w:rPr>
        <w:t>P</w:t>
      </w:r>
      <w:r w:rsidR="00272ED9">
        <w:rPr>
          <w:lang w:val="en"/>
        </w:rPr>
        <w:t xml:space="preserve">olice </w:t>
      </w:r>
      <w:r w:rsidR="00BF568F">
        <w:rPr>
          <w:lang w:val="en"/>
        </w:rPr>
        <w:t>M</w:t>
      </w:r>
      <w:r w:rsidR="00272ED9">
        <w:rPr>
          <w:lang w:val="en"/>
        </w:rPr>
        <w:t>oderni</w:t>
      </w:r>
      <w:r>
        <w:rPr>
          <w:lang w:val="en"/>
        </w:rPr>
        <w:t>s</w:t>
      </w:r>
      <w:r w:rsidR="00272ED9">
        <w:rPr>
          <w:lang w:val="en"/>
        </w:rPr>
        <w:t xml:space="preserve">ation </w:t>
      </w:r>
      <w:r w:rsidR="00BF568F">
        <w:rPr>
          <w:lang w:val="en"/>
        </w:rPr>
        <w:t>Program</w:t>
      </w:r>
      <w:r w:rsidR="00272ED9">
        <w:rPr>
          <w:lang w:val="en"/>
        </w:rPr>
        <w:t xml:space="preserve">, </w:t>
      </w:r>
      <w:r w:rsidR="005A52E5">
        <w:rPr>
          <w:bCs/>
        </w:rPr>
        <w:t xml:space="preserve">Australia estimates </w:t>
      </w:r>
      <w:r w:rsidR="005A52E5" w:rsidRPr="00A71CF7">
        <w:rPr>
          <w:bCs/>
        </w:rPr>
        <w:t xml:space="preserve">that between 17 and 35 per cent of the RPNGC had the opportunity to develop their skills and knowledge as a </w:t>
      </w:r>
      <w:r w:rsidR="005A52E5">
        <w:rPr>
          <w:bCs/>
        </w:rPr>
        <w:t xml:space="preserve">result of </w:t>
      </w:r>
      <w:r w:rsidR="00F62A2A">
        <w:rPr>
          <w:bCs/>
        </w:rPr>
        <w:t>its</w:t>
      </w:r>
      <w:r w:rsidR="00575BBA">
        <w:rPr>
          <w:bCs/>
        </w:rPr>
        <w:t xml:space="preserve"> </w:t>
      </w:r>
      <w:r w:rsidR="005A52E5">
        <w:rPr>
          <w:bCs/>
        </w:rPr>
        <w:t>support.</w:t>
      </w:r>
      <w:r w:rsidR="00DB5E27" w:rsidRPr="00DB5E27">
        <w:rPr>
          <w:bCs/>
        </w:rPr>
        <w:t xml:space="preserve"> </w:t>
      </w:r>
    </w:p>
    <w:p w14:paraId="0B70F643" w14:textId="77777777" w:rsidR="005A52E5" w:rsidRPr="005D0A87" w:rsidRDefault="00BC5C10" w:rsidP="00515C69">
      <w:pPr>
        <w:pStyle w:val="BodyText"/>
        <w:rPr>
          <w:i/>
          <w:iCs/>
          <w:color w:val="7F7F7F" w:themeColor="text1" w:themeTint="80"/>
        </w:rPr>
      </w:pPr>
      <w:r>
        <w:rPr>
          <w:bCs/>
        </w:rPr>
        <w:t>Longitudinal</w:t>
      </w:r>
      <w:r w:rsidR="00DB5E27">
        <w:rPr>
          <w:bCs/>
        </w:rPr>
        <w:t xml:space="preserve"> follow up will be required to demonstrate the outcomes of improved </w:t>
      </w:r>
      <w:r w:rsidR="00DB5E27" w:rsidRPr="00A71CF7">
        <w:rPr>
          <w:bCs/>
        </w:rPr>
        <w:t xml:space="preserve">quality training </w:t>
      </w:r>
      <w:r w:rsidR="00DB5E27">
        <w:rPr>
          <w:bCs/>
        </w:rPr>
        <w:t xml:space="preserve">and the </w:t>
      </w:r>
      <w:r w:rsidR="00DB5E27" w:rsidRPr="00A71CF7">
        <w:rPr>
          <w:bCs/>
        </w:rPr>
        <w:t>retention</w:t>
      </w:r>
      <w:r>
        <w:rPr>
          <w:bCs/>
        </w:rPr>
        <w:t xml:space="preserve"> and </w:t>
      </w:r>
      <w:r w:rsidR="00DB5E27" w:rsidRPr="00A71CF7">
        <w:rPr>
          <w:bCs/>
        </w:rPr>
        <w:t>application of skills</w:t>
      </w:r>
      <w:r w:rsidR="0041638B">
        <w:rPr>
          <w:bCs/>
        </w:rPr>
        <w:t xml:space="preserve">. </w:t>
      </w:r>
      <w:r w:rsidR="005A52E5" w:rsidRPr="00A71CF7">
        <w:rPr>
          <w:lang w:val="en"/>
        </w:rPr>
        <w:t>Other training</w:t>
      </w:r>
      <w:r w:rsidR="00575BBA">
        <w:rPr>
          <w:lang w:val="en"/>
        </w:rPr>
        <w:t xml:space="preserve"> took place in the areas of</w:t>
      </w:r>
      <w:r w:rsidR="005A52E5" w:rsidRPr="00A71CF7">
        <w:rPr>
          <w:lang w:val="en"/>
        </w:rPr>
        <w:t xml:space="preserve"> prosecutions,</w:t>
      </w:r>
      <w:r w:rsidR="0075545F">
        <w:rPr>
          <w:lang w:val="en"/>
        </w:rPr>
        <w:t xml:space="preserve"> </w:t>
      </w:r>
      <w:r w:rsidR="005005AE">
        <w:rPr>
          <w:lang w:val="en"/>
        </w:rPr>
        <w:t>FSV</w:t>
      </w:r>
      <w:r w:rsidR="005A52E5" w:rsidRPr="00A71CF7">
        <w:rPr>
          <w:lang w:val="en"/>
        </w:rPr>
        <w:t>, ethics, leadership, resisting corruption, human resource development, recruitment systems and corporate planning</w:t>
      </w:r>
      <w:r w:rsidR="00C801E5">
        <w:rPr>
          <w:lang w:val="en"/>
        </w:rPr>
        <w:t xml:space="preserve">. </w:t>
      </w:r>
      <w:r w:rsidR="00BA0B2E">
        <w:rPr>
          <w:lang w:val="en"/>
        </w:rPr>
        <w:t>T</w:t>
      </w:r>
      <w:r w:rsidR="00F16607">
        <w:rPr>
          <w:lang w:val="en"/>
        </w:rPr>
        <w:t>here was</w:t>
      </w:r>
      <w:r w:rsidR="005A52E5">
        <w:rPr>
          <w:lang w:val="en"/>
        </w:rPr>
        <w:t xml:space="preserve"> some evidence of behavioural change as a result</w:t>
      </w:r>
      <w:r w:rsidR="005A52E5">
        <w:rPr>
          <w:rStyle w:val="FootnoteReference"/>
          <w:lang w:val="en"/>
        </w:rPr>
        <w:footnoteReference w:id="43"/>
      </w:r>
      <w:r w:rsidR="00437B28">
        <w:rPr>
          <w:lang w:val="en"/>
        </w:rPr>
        <w:t>,</w:t>
      </w:r>
      <w:r w:rsidR="005A52E5">
        <w:rPr>
          <w:lang w:val="en"/>
        </w:rPr>
        <w:t xml:space="preserve"> </w:t>
      </w:r>
      <w:r w:rsidR="00BA0B2E">
        <w:rPr>
          <w:lang w:val="en"/>
        </w:rPr>
        <w:t>but more</w:t>
      </w:r>
      <w:r w:rsidR="00F16607">
        <w:rPr>
          <w:lang w:val="en"/>
        </w:rPr>
        <w:t xml:space="preserve"> outcome assessments are required</w:t>
      </w:r>
      <w:r w:rsidR="00BA0B2E">
        <w:rPr>
          <w:lang w:val="en"/>
        </w:rPr>
        <w:t xml:space="preserve"> to build on this evidence</w:t>
      </w:r>
      <w:r w:rsidR="00F16607">
        <w:rPr>
          <w:lang w:val="en"/>
        </w:rPr>
        <w:t>.</w:t>
      </w:r>
      <w:r w:rsidR="005A52E5">
        <w:rPr>
          <w:lang w:val="en"/>
        </w:rPr>
        <w:t xml:space="preserve"> </w:t>
      </w:r>
    </w:p>
    <w:p w14:paraId="0B70F644" w14:textId="77777777" w:rsidR="008934B0" w:rsidRPr="00A71CF7" w:rsidRDefault="008934B0" w:rsidP="00515C69">
      <w:pPr>
        <w:pStyle w:val="Heading3"/>
        <w:rPr>
          <w:lang w:val="en"/>
        </w:rPr>
      </w:pPr>
      <w:r w:rsidRPr="00A71CF7">
        <w:rPr>
          <w:lang w:val="en"/>
        </w:rPr>
        <w:t xml:space="preserve">Improved recourse and protection for victims of </w:t>
      </w:r>
      <w:r w:rsidR="005005AE">
        <w:rPr>
          <w:lang w:val="en"/>
        </w:rPr>
        <w:t>FSV</w:t>
      </w:r>
    </w:p>
    <w:p w14:paraId="0B70F645" w14:textId="204A0900" w:rsidR="008934B0" w:rsidRDefault="008934B0" w:rsidP="00515C69">
      <w:pPr>
        <w:pStyle w:val="BodyText"/>
        <w:rPr>
          <w:lang w:val="en"/>
        </w:rPr>
      </w:pPr>
      <w:r>
        <w:t>An</w:t>
      </w:r>
      <w:r w:rsidRPr="00A71CF7">
        <w:t xml:space="preserve"> </w:t>
      </w:r>
      <w:r w:rsidR="00272B30">
        <w:t>Australia</w:t>
      </w:r>
      <w:r w:rsidR="0046486E">
        <w:t>n</w:t>
      </w:r>
      <w:r w:rsidR="00272B30">
        <w:t xml:space="preserve"> Government</w:t>
      </w:r>
      <w:r w:rsidR="00575BBA">
        <w:t>-</w:t>
      </w:r>
      <w:r w:rsidR="00F62A2A">
        <w:t xml:space="preserve">commissioned </w:t>
      </w:r>
      <w:r w:rsidR="00865F40">
        <w:t>i</w:t>
      </w:r>
      <w:r w:rsidRPr="00A71CF7">
        <w:t xml:space="preserve">ndependent </w:t>
      </w:r>
      <w:r w:rsidR="00865F40">
        <w:t>p</w:t>
      </w:r>
      <w:r w:rsidRPr="00A71CF7">
        <w:t xml:space="preserve">rogress </w:t>
      </w:r>
      <w:r w:rsidR="00865F40">
        <w:t>r</w:t>
      </w:r>
      <w:r w:rsidRPr="00A71CF7">
        <w:t xml:space="preserve">eport </w:t>
      </w:r>
      <w:r>
        <w:t xml:space="preserve">in 2012 highlighted the </w:t>
      </w:r>
      <w:r w:rsidRPr="00A71CF7">
        <w:t xml:space="preserve">advancement of women’s rights </w:t>
      </w:r>
      <w:r>
        <w:t>as a key</w:t>
      </w:r>
      <w:r w:rsidRPr="00A71CF7">
        <w:t xml:space="preserve"> achievement</w:t>
      </w:r>
      <w:r>
        <w:t xml:space="preserve"> of the </w:t>
      </w:r>
      <w:r w:rsidR="00BA0B2E">
        <w:t xml:space="preserve">FSV </w:t>
      </w:r>
      <w:r>
        <w:t>program, including through F</w:t>
      </w:r>
      <w:r w:rsidR="005005AE">
        <w:t xml:space="preserve">SVUs </w:t>
      </w:r>
      <w:r w:rsidRPr="004161A9">
        <w:t>which</w:t>
      </w:r>
      <w:r>
        <w:t xml:space="preserve"> </w:t>
      </w:r>
      <w:r w:rsidRPr="005D0A87">
        <w:t xml:space="preserve">provide referral support to victims in need of </w:t>
      </w:r>
      <w:r w:rsidR="001625FF">
        <w:t>i</w:t>
      </w:r>
      <w:r w:rsidRPr="005D0A87">
        <w:t xml:space="preserve">nterim </w:t>
      </w:r>
      <w:r w:rsidR="001625FF">
        <w:t>p</w:t>
      </w:r>
      <w:r w:rsidRPr="005D0A87">
        <w:t xml:space="preserve">rotection </w:t>
      </w:r>
      <w:r w:rsidR="001625FF">
        <w:t>o</w:t>
      </w:r>
      <w:r w:rsidRPr="005D0A87">
        <w:t>rders, medical services, counse</w:t>
      </w:r>
      <w:r>
        <w:t>l</w:t>
      </w:r>
      <w:r w:rsidRPr="005D0A87">
        <w:t>ling services and emergency accommodation</w:t>
      </w:r>
      <w:r w:rsidRPr="00A71CF7">
        <w:t>.</w:t>
      </w:r>
      <w:r>
        <w:rPr>
          <w:rStyle w:val="FootnoteReference"/>
        </w:rPr>
        <w:footnoteReference w:id="44"/>
      </w:r>
      <w:r>
        <w:t xml:space="preserve"> The expansion of FSV</w:t>
      </w:r>
      <w:r w:rsidRPr="00A71CF7">
        <w:t>U</w:t>
      </w:r>
      <w:r>
        <w:t>s</w:t>
      </w:r>
      <w:r w:rsidRPr="00A71CF7">
        <w:t xml:space="preserve"> in police stations </w:t>
      </w:r>
      <w:r w:rsidR="00BA0B2E">
        <w:t>is</w:t>
      </w:r>
      <w:r w:rsidR="00BA0B2E" w:rsidRPr="00A71CF7">
        <w:t xml:space="preserve"> </w:t>
      </w:r>
      <w:r w:rsidRPr="00A71CF7">
        <w:t>rais</w:t>
      </w:r>
      <w:r w:rsidR="00BA0B2E">
        <w:t>ing</w:t>
      </w:r>
      <w:r w:rsidRPr="00A71CF7">
        <w:t xml:space="preserve"> awareness in the community of the availability of </w:t>
      </w:r>
      <w:r w:rsidRPr="00A71CF7">
        <w:lastRenderedPageBreak/>
        <w:t xml:space="preserve">specialised units to support </w:t>
      </w:r>
      <w:r w:rsidR="00BA0B2E">
        <w:t xml:space="preserve">FSV </w:t>
      </w:r>
      <w:r w:rsidRPr="00A71CF7">
        <w:t>victims</w:t>
      </w:r>
      <w:r w:rsidR="0041638B">
        <w:t xml:space="preserve">. </w:t>
      </w:r>
      <w:r w:rsidRPr="00A71CF7">
        <w:t xml:space="preserve">In 2012, </w:t>
      </w:r>
      <w:r w:rsidR="004B62E6">
        <w:t xml:space="preserve">the </w:t>
      </w:r>
      <w:r w:rsidRPr="00A71CF7">
        <w:t>eight</w:t>
      </w:r>
      <w:r w:rsidR="004B62E6">
        <w:t xml:space="preserve"> </w:t>
      </w:r>
      <w:r w:rsidRPr="00A71CF7">
        <w:t>FSV</w:t>
      </w:r>
      <w:r>
        <w:t>Us</w:t>
      </w:r>
      <w:r w:rsidR="000867E7">
        <w:t xml:space="preserve"> established</w:t>
      </w:r>
      <w:r w:rsidRPr="00A71CF7">
        <w:t xml:space="preserve"> assisted almost 9000 victims of violence </w:t>
      </w:r>
      <w:r w:rsidR="00F62A2A">
        <w:t xml:space="preserve">to </w:t>
      </w:r>
      <w:r w:rsidRPr="00A71CF7">
        <w:t>receive support services</w:t>
      </w:r>
      <w:r w:rsidR="0041638B">
        <w:t xml:space="preserve">. </w:t>
      </w:r>
      <w:r w:rsidRPr="00A71CF7">
        <w:t>This represents a 42 per cent increase on cases reported to FSVUs in 2011 which</w:t>
      </w:r>
      <w:r w:rsidR="00C801E5">
        <w:t xml:space="preserve"> in turn</w:t>
      </w:r>
      <w:r w:rsidRPr="00A71CF7">
        <w:t xml:space="preserve"> represented a 64 per cent increase on the</w:t>
      </w:r>
      <w:r>
        <w:t xml:space="preserve"> cases </w:t>
      </w:r>
      <w:r w:rsidR="00BA0B2E">
        <w:t xml:space="preserve">reported </w:t>
      </w:r>
      <w:r>
        <w:t xml:space="preserve">in 2010. </w:t>
      </w:r>
      <w:r w:rsidR="00BA0B2E">
        <w:t xml:space="preserve">In 2012, </w:t>
      </w:r>
      <w:r w:rsidR="004B62E6">
        <w:t>the seventh and eighth</w:t>
      </w:r>
      <w:r>
        <w:t xml:space="preserve"> FSV</w:t>
      </w:r>
      <w:r w:rsidRPr="00A71CF7">
        <w:t>U</w:t>
      </w:r>
      <w:r w:rsidR="004B62E6">
        <w:t>s were</w:t>
      </w:r>
      <w:r w:rsidRPr="00A71CF7">
        <w:t xml:space="preserve"> established at Popondetta, Oro </w:t>
      </w:r>
      <w:r w:rsidR="004B62E6">
        <w:t>and in Kokopo, East New Britain. A</w:t>
      </w:r>
      <w:r w:rsidRPr="00A71CF7">
        <w:t xml:space="preserve"> </w:t>
      </w:r>
      <w:r w:rsidR="00C801E5">
        <w:t>nin</w:t>
      </w:r>
      <w:r w:rsidRPr="00A71CF7">
        <w:t xml:space="preserve">th unit </w:t>
      </w:r>
      <w:r w:rsidR="004B62E6">
        <w:t xml:space="preserve">was </w:t>
      </w:r>
      <w:r w:rsidRPr="00A71CF7">
        <w:t>opened in April 2013</w:t>
      </w:r>
      <w:r w:rsidRPr="00A71CF7">
        <w:rPr>
          <w:lang w:val="en"/>
        </w:rPr>
        <w:t>.</w:t>
      </w:r>
      <w:r>
        <w:rPr>
          <w:rStyle w:val="FootnoteReference"/>
          <w:lang w:val="en"/>
        </w:rPr>
        <w:footnoteReference w:id="45"/>
      </w:r>
      <w:r w:rsidRPr="00A71CF7">
        <w:rPr>
          <w:lang w:val="en"/>
        </w:rPr>
        <w:t xml:space="preserve">  </w:t>
      </w:r>
    </w:p>
    <w:p w14:paraId="0B70F646" w14:textId="77777777" w:rsidR="008934B0" w:rsidRPr="00A71CF7" w:rsidRDefault="005A52E5" w:rsidP="00515C69">
      <w:pPr>
        <w:pStyle w:val="BodyText"/>
        <w:rPr>
          <w:lang w:val="en"/>
        </w:rPr>
      </w:pPr>
      <w:r>
        <w:rPr>
          <w:lang w:val="en"/>
        </w:rPr>
        <w:t>Australian advis</w:t>
      </w:r>
      <w:r w:rsidR="00693186">
        <w:rPr>
          <w:lang w:val="en"/>
        </w:rPr>
        <w:t>e</w:t>
      </w:r>
      <w:r>
        <w:rPr>
          <w:lang w:val="en"/>
        </w:rPr>
        <w:t xml:space="preserve">rs and technical assistance to </w:t>
      </w:r>
      <w:r w:rsidRPr="00A71CF7">
        <w:rPr>
          <w:lang w:val="en"/>
        </w:rPr>
        <w:t xml:space="preserve">the </w:t>
      </w:r>
      <w:r>
        <w:rPr>
          <w:lang w:val="en"/>
        </w:rPr>
        <w:t xml:space="preserve">OPP </w:t>
      </w:r>
      <w:r w:rsidR="00477D04">
        <w:rPr>
          <w:lang w:val="en"/>
        </w:rPr>
        <w:t>are</w:t>
      </w:r>
      <w:r w:rsidR="00477D04" w:rsidRPr="00A71CF7">
        <w:rPr>
          <w:lang w:val="en"/>
        </w:rPr>
        <w:t xml:space="preserve"> </w:t>
      </w:r>
      <w:r>
        <w:rPr>
          <w:lang w:val="en"/>
        </w:rPr>
        <w:t xml:space="preserve">resulting in </w:t>
      </w:r>
      <w:r w:rsidRPr="00A71CF7">
        <w:rPr>
          <w:lang w:val="en"/>
        </w:rPr>
        <w:t>improv</w:t>
      </w:r>
      <w:r>
        <w:rPr>
          <w:lang w:val="en"/>
        </w:rPr>
        <w:t>ed</w:t>
      </w:r>
      <w:r w:rsidRPr="00A71CF7">
        <w:rPr>
          <w:lang w:val="en"/>
        </w:rPr>
        <w:t xml:space="preserve"> skills of national prosecutors</w:t>
      </w:r>
      <w:r>
        <w:rPr>
          <w:lang w:val="en"/>
        </w:rPr>
        <w:t>. T</w:t>
      </w:r>
      <w:r w:rsidRPr="00A71CF7">
        <w:rPr>
          <w:lang w:val="en"/>
        </w:rPr>
        <w:t xml:space="preserve">he </w:t>
      </w:r>
      <w:r>
        <w:rPr>
          <w:lang w:val="en"/>
        </w:rPr>
        <w:t xml:space="preserve">adoption of </w:t>
      </w:r>
      <w:r w:rsidR="002845B1">
        <w:rPr>
          <w:lang w:val="en"/>
        </w:rPr>
        <w:t xml:space="preserve">a </w:t>
      </w:r>
      <w:r w:rsidRPr="00A71CF7">
        <w:rPr>
          <w:lang w:val="en"/>
        </w:rPr>
        <w:t>team</w:t>
      </w:r>
      <w:r>
        <w:rPr>
          <w:lang w:val="en"/>
        </w:rPr>
        <w:t>-</w:t>
      </w:r>
      <w:r w:rsidRPr="00A71CF7">
        <w:rPr>
          <w:lang w:val="en"/>
        </w:rPr>
        <w:t xml:space="preserve">based approach </w:t>
      </w:r>
      <w:r w:rsidR="00477D04" w:rsidRPr="00A71CF7">
        <w:rPr>
          <w:lang w:val="en"/>
        </w:rPr>
        <w:t>will support timely prosecution</w:t>
      </w:r>
      <w:r w:rsidR="002A12F2">
        <w:rPr>
          <w:lang w:val="en"/>
        </w:rPr>
        <w:t xml:space="preserve"> and </w:t>
      </w:r>
      <w:r>
        <w:rPr>
          <w:lang w:val="en"/>
        </w:rPr>
        <w:t>reduc</w:t>
      </w:r>
      <w:r w:rsidR="002845B1">
        <w:rPr>
          <w:lang w:val="en"/>
        </w:rPr>
        <w:t>e</w:t>
      </w:r>
      <w:r>
        <w:rPr>
          <w:lang w:val="en"/>
        </w:rPr>
        <w:t xml:space="preserve"> delays</w:t>
      </w:r>
      <w:r w:rsidRPr="00A71CF7">
        <w:rPr>
          <w:lang w:val="en"/>
        </w:rPr>
        <w:t xml:space="preserve">. </w:t>
      </w:r>
      <w:r>
        <w:rPr>
          <w:lang w:val="en"/>
        </w:rPr>
        <w:t>I</w:t>
      </w:r>
      <w:r w:rsidRPr="00A71CF7">
        <w:rPr>
          <w:lang w:val="en"/>
        </w:rPr>
        <w:t>n 2012</w:t>
      </w:r>
      <w:r>
        <w:rPr>
          <w:lang w:val="en"/>
        </w:rPr>
        <w:t xml:space="preserve">, Australia supported the pilot </w:t>
      </w:r>
      <w:r w:rsidR="00510B44">
        <w:rPr>
          <w:lang w:val="en"/>
        </w:rPr>
        <w:t>for</w:t>
      </w:r>
      <w:r w:rsidRPr="00A71CF7">
        <w:rPr>
          <w:lang w:val="en"/>
        </w:rPr>
        <w:t xml:space="preserve"> </w:t>
      </w:r>
      <w:r w:rsidR="00477D04" w:rsidRPr="00A71CF7">
        <w:rPr>
          <w:lang w:val="en"/>
        </w:rPr>
        <w:t>the first</w:t>
      </w:r>
      <w:r>
        <w:rPr>
          <w:lang w:val="en"/>
        </w:rPr>
        <w:t xml:space="preserve"> Victim Liaison Officer</w:t>
      </w:r>
      <w:r w:rsidR="0041638B">
        <w:rPr>
          <w:lang w:val="en"/>
        </w:rPr>
        <w:t xml:space="preserve">. </w:t>
      </w:r>
      <w:r w:rsidR="0070767D" w:rsidRPr="0070767D">
        <w:rPr>
          <w:lang w:val="en"/>
        </w:rPr>
        <w:t xml:space="preserve">Supporting </w:t>
      </w:r>
      <w:r w:rsidR="0070767D">
        <w:rPr>
          <w:lang w:val="en"/>
        </w:rPr>
        <w:t xml:space="preserve">victims and </w:t>
      </w:r>
      <w:r w:rsidR="0070767D" w:rsidRPr="0070767D">
        <w:rPr>
          <w:lang w:val="en"/>
        </w:rPr>
        <w:t xml:space="preserve">witnesses </w:t>
      </w:r>
      <w:r w:rsidR="0070767D">
        <w:rPr>
          <w:lang w:val="en"/>
        </w:rPr>
        <w:t xml:space="preserve">of crime </w:t>
      </w:r>
      <w:r w:rsidR="0070767D" w:rsidRPr="0070767D">
        <w:rPr>
          <w:lang w:val="en"/>
        </w:rPr>
        <w:t>through the criminal process is critical to the successful prosecution of cases</w:t>
      </w:r>
      <w:r w:rsidR="0041638B">
        <w:rPr>
          <w:lang w:val="en"/>
        </w:rPr>
        <w:t xml:space="preserve">. </w:t>
      </w:r>
      <w:r w:rsidR="0070767D">
        <w:rPr>
          <w:lang w:val="en"/>
        </w:rPr>
        <w:t xml:space="preserve">This has </w:t>
      </w:r>
      <w:r w:rsidR="00D53781">
        <w:rPr>
          <w:lang w:val="en"/>
        </w:rPr>
        <w:t>assisted</w:t>
      </w:r>
      <w:r w:rsidR="0070767D">
        <w:rPr>
          <w:lang w:val="en"/>
        </w:rPr>
        <w:t xml:space="preserve"> the </w:t>
      </w:r>
      <w:r w:rsidR="0070767D" w:rsidRPr="0070767D">
        <w:rPr>
          <w:lang w:val="en"/>
        </w:rPr>
        <w:t>Public Prosecutor</w:t>
      </w:r>
      <w:r w:rsidR="0070767D">
        <w:rPr>
          <w:lang w:val="en"/>
        </w:rPr>
        <w:t xml:space="preserve"> to </w:t>
      </w:r>
      <w:r w:rsidR="00477D04">
        <w:rPr>
          <w:lang w:val="en"/>
        </w:rPr>
        <w:t xml:space="preserve">help victims </w:t>
      </w:r>
      <w:r w:rsidR="00477D04" w:rsidRPr="00A71CF7">
        <w:rPr>
          <w:lang w:val="en"/>
        </w:rPr>
        <w:t xml:space="preserve">understand their rights </w:t>
      </w:r>
      <w:r w:rsidR="00477D04">
        <w:rPr>
          <w:lang w:val="en"/>
        </w:rPr>
        <w:t xml:space="preserve">under the </w:t>
      </w:r>
      <w:r w:rsidR="00477D04" w:rsidRPr="00A71CF7">
        <w:rPr>
          <w:lang w:val="en"/>
        </w:rPr>
        <w:t>justice syst</w:t>
      </w:r>
      <w:r w:rsidR="00477D04">
        <w:rPr>
          <w:lang w:val="en"/>
        </w:rPr>
        <w:t>em.</w:t>
      </w:r>
      <w:r w:rsidR="00477D04" w:rsidRPr="00A71CF7">
        <w:rPr>
          <w:lang w:val="en"/>
        </w:rPr>
        <w:t xml:space="preserve"> Additional</w:t>
      </w:r>
      <w:r>
        <w:rPr>
          <w:lang w:val="en"/>
        </w:rPr>
        <w:t xml:space="preserve"> </w:t>
      </w:r>
      <w:r w:rsidR="00437B28">
        <w:rPr>
          <w:lang w:val="en"/>
        </w:rPr>
        <w:t>v</w:t>
      </w:r>
      <w:r>
        <w:rPr>
          <w:lang w:val="en"/>
        </w:rPr>
        <w:t xml:space="preserve">ictim </w:t>
      </w:r>
      <w:r w:rsidR="00437B28">
        <w:rPr>
          <w:lang w:val="en"/>
        </w:rPr>
        <w:t>l</w:t>
      </w:r>
      <w:r>
        <w:rPr>
          <w:lang w:val="en"/>
        </w:rPr>
        <w:t xml:space="preserve">iaison </w:t>
      </w:r>
      <w:r w:rsidR="00437B28">
        <w:rPr>
          <w:lang w:val="en"/>
        </w:rPr>
        <w:t>o</w:t>
      </w:r>
      <w:r w:rsidR="00477D04" w:rsidRPr="00A71CF7">
        <w:rPr>
          <w:lang w:val="en"/>
        </w:rPr>
        <w:t>fficers are now planned for</w:t>
      </w:r>
      <w:r w:rsidR="0070767D">
        <w:rPr>
          <w:lang w:val="en"/>
        </w:rPr>
        <w:t xml:space="preserve"> </w:t>
      </w:r>
      <w:r>
        <w:rPr>
          <w:lang w:val="en"/>
        </w:rPr>
        <w:t xml:space="preserve">the </w:t>
      </w:r>
      <w:r w:rsidR="00477D04" w:rsidRPr="00A71CF7">
        <w:rPr>
          <w:lang w:val="en"/>
        </w:rPr>
        <w:t>OPP</w:t>
      </w:r>
      <w:r w:rsidR="00477514">
        <w:rPr>
          <w:lang w:val="en"/>
        </w:rPr>
        <w:t xml:space="preserve">. </w:t>
      </w:r>
    </w:p>
    <w:p w14:paraId="0B70F647" w14:textId="77777777" w:rsidR="008934B0" w:rsidRPr="00A71CF7" w:rsidRDefault="008934B0" w:rsidP="00515C69">
      <w:pPr>
        <w:pStyle w:val="Heading3"/>
        <w:rPr>
          <w:lang w:val="en"/>
        </w:rPr>
      </w:pPr>
      <w:r w:rsidRPr="00A71CF7">
        <w:rPr>
          <w:lang w:val="en"/>
        </w:rPr>
        <w:t>Improved access to justice</w:t>
      </w:r>
    </w:p>
    <w:p w14:paraId="0B70F648" w14:textId="77777777" w:rsidR="008934B0" w:rsidRPr="004161A9" w:rsidRDefault="008934B0" w:rsidP="00515C69">
      <w:pPr>
        <w:pStyle w:val="BodyText"/>
      </w:pPr>
      <w:r w:rsidRPr="00D53781">
        <w:rPr>
          <w:lang w:val="en"/>
        </w:rPr>
        <w:t>Despite some data deficiencies, identifiable successes</w:t>
      </w:r>
      <w:r w:rsidR="00510B44">
        <w:rPr>
          <w:lang w:val="en"/>
        </w:rPr>
        <w:t xml:space="preserve"> exist</w:t>
      </w:r>
      <w:r w:rsidRPr="00D53781">
        <w:rPr>
          <w:lang w:val="en"/>
        </w:rPr>
        <w:t xml:space="preserve"> in th</w:t>
      </w:r>
      <w:r w:rsidR="00510B44">
        <w:rPr>
          <w:lang w:val="en"/>
        </w:rPr>
        <w:t>e justice sector</w:t>
      </w:r>
      <w:r w:rsidRPr="00D53781">
        <w:rPr>
          <w:lang w:val="en"/>
        </w:rPr>
        <w:t xml:space="preserve">, including </w:t>
      </w:r>
      <w:r w:rsidR="00B776D8" w:rsidRPr="00D53781">
        <w:rPr>
          <w:lang w:val="en"/>
        </w:rPr>
        <w:t xml:space="preserve">more </w:t>
      </w:r>
      <w:r w:rsidRPr="00D53781">
        <w:rPr>
          <w:lang w:val="en"/>
        </w:rPr>
        <w:t xml:space="preserve">women and men accessing </w:t>
      </w:r>
      <w:r w:rsidR="0006003A" w:rsidRPr="00D53781">
        <w:rPr>
          <w:lang w:val="en"/>
        </w:rPr>
        <w:t xml:space="preserve">law and justice services through village courts and </w:t>
      </w:r>
      <w:r w:rsidRPr="00D53781">
        <w:rPr>
          <w:lang w:val="en"/>
        </w:rPr>
        <w:t>legal aid. More people access</w:t>
      </w:r>
      <w:r w:rsidR="00C66960" w:rsidRPr="00D53781">
        <w:rPr>
          <w:lang w:val="en"/>
        </w:rPr>
        <w:t>ed</w:t>
      </w:r>
      <w:r w:rsidRPr="00D53781">
        <w:rPr>
          <w:lang w:val="en"/>
        </w:rPr>
        <w:t xml:space="preserve"> village courts in 2012,</w:t>
      </w:r>
      <w:r w:rsidR="0006003A" w:rsidRPr="00D53781">
        <w:rPr>
          <w:lang w:val="en"/>
        </w:rPr>
        <w:t xml:space="preserve"> </w:t>
      </w:r>
      <w:r w:rsidRPr="00D53781">
        <w:rPr>
          <w:lang w:val="en"/>
        </w:rPr>
        <w:t>40</w:t>
      </w:r>
      <w:r w:rsidR="00B76E9D" w:rsidRPr="00D53781">
        <w:rPr>
          <w:lang w:val="en"/>
        </w:rPr>
        <w:t xml:space="preserve"> per cent</w:t>
      </w:r>
      <w:r w:rsidRPr="00D53781">
        <w:rPr>
          <w:lang w:val="en"/>
        </w:rPr>
        <w:t xml:space="preserve"> of them women</w:t>
      </w:r>
      <w:r w:rsidR="0006003A" w:rsidRPr="00D53781">
        <w:rPr>
          <w:lang w:val="en"/>
        </w:rPr>
        <w:t>.</w:t>
      </w:r>
      <w:r w:rsidR="00D03799" w:rsidRPr="00865F40">
        <w:rPr>
          <w:rStyle w:val="FootnoteReference"/>
          <w:szCs w:val="16"/>
          <w:lang w:val="en"/>
        </w:rPr>
        <w:footnoteReference w:id="46"/>
      </w:r>
      <w:r w:rsidR="0006003A" w:rsidRPr="00D53781">
        <w:rPr>
          <w:lang w:val="en"/>
        </w:rPr>
        <w:t xml:space="preserve"> </w:t>
      </w:r>
      <w:r w:rsidR="00D03799" w:rsidRPr="00D53781">
        <w:rPr>
          <w:lang w:val="en"/>
        </w:rPr>
        <w:t xml:space="preserve">In 2012, </w:t>
      </w:r>
      <w:r w:rsidR="0006003A" w:rsidRPr="00D53781">
        <w:rPr>
          <w:lang w:val="en"/>
        </w:rPr>
        <w:t>650</w:t>
      </w:r>
      <w:r w:rsidR="00437B28">
        <w:rPr>
          <w:lang w:val="en"/>
        </w:rPr>
        <w:t xml:space="preserve"> </w:t>
      </w:r>
      <w:r w:rsidR="0006003A" w:rsidRPr="00D53781">
        <w:rPr>
          <w:lang w:val="en"/>
        </w:rPr>
        <w:t>000 cases nationwide were dealt with</w:t>
      </w:r>
      <w:r w:rsidR="00D03799" w:rsidRPr="00D53781">
        <w:rPr>
          <w:lang w:val="en"/>
        </w:rPr>
        <w:t xml:space="preserve"> by </w:t>
      </w:r>
      <w:r w:rsidR="00510B44">
        <w:rPr>
          <w:lang w:val="en"/>
        </w:rPr>
        <w:t>v</w:t>
      </w:r>
      <w:r w:rsidR="00D03799" w:rsidRPr="00D53781">
        <w:rPr>
          <w:lang w:val="en"/>
        </w:rPr>
        <w:t xml:space="preserve">illage </w:t>
      </w:r>
      <w:r w:rsidR="00510B44">
        <w:rPr>
          <w:lang w:val="en"/>
        </w:rPr>
        <w:t>c</w:t>
      </w:r>
      <w:r w:rsidR="00D03799" w:rsidRPr="00D53781">
        <w:rPr>
          <w:lang w:val="en"/>
        </w:rPr>
        <w:t>ourts</w:t>
      </w:r>
      <w:r w:rsidR="0006003A" w:rsidRPr="00D53781">
        <w:rPr>
          <w:lang w:val="en"/>
        </w:rPr>
        <w:t xml:space="preserve">, an </w:t>
      </w:r>
      <w:r w:rsidR="00510B44">
        <w:rPr>
          <w:lang w:val="en"/>
        </w:rPr>
        <w:t>8</w:t>
      </w:r>
      <w:r w:rsidR="00510B44" w:rsidRPr="00D53781">
        <w:rPr>
          <w:lang w:val="en"/>
        </w:rPr>
        <w:t xml:space="preserve"> </w:t>
      </w:r>
      <w:r w:rsidR="0006003A" w:rsidRPr="00D53781">
        <w:rPr>
          <w:lang w:val="en"/>
        </w:rPr>
        <w:t>per cent increase on 2011 estimates</w:t>
      </w:r>
      <w:r w:rsidR="002724AA">
        <w:rPr>
          <w:lang w:val="en"/>
        </w:rPr>
        <w:t>.</w:t>
      </w:r>
      <w:r w:rsidR="00D03799" w:rsidRPr="004161A9">
        <w:t xml:space="preserve"> Australian support helped </w:t>
      </w:r>
      <w:r w:rsidR="00D03799" w:rsidRPr="00D53781">
        <w:rPr>
          <w:lang w:val="en"/>
        </w:rPr>
        <w:t>establish a</w:t>
      </w:r>
      <w:r w:rsidR="00510B44">
        <w:rPr>
          <w:lang w:val="en"/>
        </w:rPr>
        <w:t>nother</w:t>
      </w:r>
      <w:r w:rsidR="00D03799" w:rsidRPr="00D53781">
        <w:rPr>
          <w:lang w:val="en"/>
        </w:rPr>
        <w:t xml:space="preserve"> 91 </w:t>
      </w:r>
      <w:r w:rsidR="00510B44">
        <w:rPr>
          <w:lang w:val="en"/>
        </w:rPr>
        <w:t>v</w:t>
      </w:r>
      <w:r w:rsidR="00D03799" w:rsidRPr="00D53781">
        <w:rPr>
          <w:lang w:val="en"/>
        </w:rPr>
        <w:t xml:space="preserve">illage </w:t>
      </w:r>
      <w:r w:rsidR="00510B44">
        <w:rPr>
          <w:lang w:val="en"/>
        </w:rPr>
        <w:t>c</w:t>
      </w:r>
      <w:r w:rsidR="00D03799" w:rsidRPr="00D53781">
        <w:rPr>
          <w:lang w:val="en"/>
        </w:rPr>
        <w:t>ourts</w:t>
      </w:r>
      <w:r w:rsidRPr="00D53781">
        <w:rPr>
          <w:lang w:val="en"/>
        </w:rPr>
        <w:t xml:space="preserve">. </w:t>
      </w:r>
      <w:r w:rsidR="0006003A" w:rsidRPr="00D53781">
        <w:rPr>
          <w:lang w:val="en"/>
        </w:rPr>
        <w:t xml:space="preserve">District Court </w:t>
      </w:r>
      <w:r w:rsidR="0006003A" w:rsidRPr="004161A9">
        <w:t xml:space="preserve">caseload statistics show </w:t>
      </w:r>
      <w:r w:rsidR="00510B44">
        <w:t>that</w:t>
      </w:r>
      <w:r w:rsidR="0006003A" w:rsidRPr="004161A9">
        <w:t xml:space="preserve"> new cases filed in 2011</w:t>
      </w:r>
      <w:r w:rsidR="00510B44">
        <w:t xml:space="preserve"> substantially increased</w:t>
      </w:r>
      <w:r w:rsidR="0006003A" w:rsidRPr="004161A9">
        <w:t xml:space="preserve"> and that th</w:t>
      </w:r>
      <w:r w:rsidR="00510B44">
        <w:t>e</w:t>
      </w:r>
      <w:r w:rsidR="0006003A" w:rsidRPr="004161A9">
        <w:t xml:space="preserve"> level of new cases </w:t>
      </w:r>
      <w:r w:rsidR="00510B44">
        <w:t xml:space="preserve">in 2012 </w:t>
      </w:r>
      <w:r w:rsidR="0006003A" w:rsidRPr="004161A9">
        <w:t>was sustained. This indicates that the number of people seeking legal redress is increasing.</w:t>
      </w:r>
      <w:r w:rsidR="0006003A" w:rsidRPr="004161A9">
        <w:rPr>
          <w:vertAlign w:val="superscript"/>
        </w:rPr>
        <w:footnoteReference w:id="47"/>
      </w:r>
      <w:r w:rsidR="0006003A" w:rsidRPr="004161A9">
        <w:t xml:space="preserve"> However, case disposal rates remained static after sharp increases in 2009.</w:t>
      </w:r>
      <w:r w:rsidR="0006003A" w:rsidRPr="004161A9">
        <w:rPr>
          <w:lang w:val="en"/>
        </w:rPr>
        <w:t xml:space="preserve"> </w:t>
      </w:r>
      <w:r w:rsidRPr="00D53781">
        <w:rPr>
          <w:lang w:val="en"/>
        </w:rPr>
        <w:t xml:space="preserve">Australia directly supported </w:t>
      </w:r>
      <w:r w:rsidR="00510B44">
        <w:rPr>
          <w:lang w:val="en"/>
        </w:rPr>
        <w:t xml:space="preserve">the </w:t>
      </w:r>
      <w:r w:rsidRPr="00D53781">
        <w:rPr>
          <w:lang w:val="en"/>
        </w:rPr>
        <w:t>expansion of the number of legal aid branches across PNG</w:t>
      </w:r>
      <w:r w:rsidR="00510B44">
        <w:rPr>
          <w:lang w:val="en"/>
        </w:rPr>
        <w:t>. A</w:t>
      </w:r>
      <w:r w:rsidRPr="00D53781">
        <w:rPr>
          <w:lang w:val="en"/>
        </w:rPr>
        <w:t xml:space="preserve">ll </w:t>
      </w:r>
      <w:r w:rsidR="0006003A" w:rsidRPr="0065233D">
        <w:rPr>
          <w:lang w:val="en"/>
        </w:rPr>
        <w:t xml:space="preserve">22 </w:t>
      </w:r>
      <w:r w:rsidRPr="00D53781">
        <w:rPr>
          <w:lang w:val="en"/>
        </w:rPr>
        <w:t>provinces</w:t>
      </w:r>
      <w:r w:rsidR="00510B44">
        <w:rPr>
          <w:lang w:val="en"/>
        </w:rPr>
        <w:t xml:space="preserve"> are now serviced</w:t>
      </w:r>
      <w:r w:rsidRPr="00D53781">
        <w:rPr>
          <w:lang w:val="en"/>
        </w:rPr>
        <w:t xml:space="preserve"> and </w:t>
      </w:r>
      <w:r w:rsidR="00510B44">
        <w:rPr>
          <w:lang w:val="en"/>
        </w:rPr>
        <w:t xml:space="preserve">all but five provinces </w:t>
      </w:r>
      <w:r w:rsidRPr="00D53781">
        <w:rPr>
          <w:lang w:val="en"/>
        </w:rPr>
        <w:t xml:space="preserve">have a permanent presence. </w:t>
      </w:r>
      <w:r w:rsidR="0006003A" w:rsidRPr="004161A9">
        <w:t xml:space="preserve">Data indicates a 12 per cent increase in the </w:t>
      </w:r>
      <w:r w:rsidR="00CF481D" w:rsidRPr="004161A9">
        <w:t>OP</w:t>
      </w:r>
      <w:r w:rsidR="00427486">
        <w:t>P</w:t>
      </w:r>
      <w:r w:rsidR="0006003A" w:rsidRPr="004161A9">
        <w:t xml:space="preserve"> caseload in 2011 over 2010 (7</w:t>
      </w:r>
      <w:r w:rsidR="00B776D8" w:rsidRPr="004161A9">
        <w:t>485 civil and 3338</w:t>
      </w:r>
      <w:r w:rsidR="000867E7">
        <w:t> </w:t>
      </w:r>
      <w:r w:rsidR="00B776D8" w:rsidRPr="004161A9">
        <w:t>criminal)</w:t>
      </w:r>
      <w:r w:rsidR="00510B44">
        <w:t>. W</w:t>
      </w:r>
      <w:r w:rsidR="0006003A" w:rsidRPr="004161A9">
        <w:t>hile data is not available for 2012, this trend is expected to have continued due to the expansion of legal aid desks and branches.</w:t>
      </w:r>
    </w:p>
    <w:p w14:paraId="0B70F649" w14:textId="77777777" w:rsidR="008934B0" w:rsidRPr="00A71CF7" w:rsidRDefault="008934B0" w:rsidP="00515C69">
      <w:pPr>
        <w:pStyle w:val="BodyText"/>
      </w:pPr>
      <w:r w:rsidRPr="00A71CF7">
        <w:t xml:space="preserve">Australia has helped build the capacity of PNG law and justice officials to better deliver </w:t>
      </w:r>
      <w:r w:rsidR="00504EAC">
        <w:t>higher</w:t>
      </w:r>
      <w:r w:rsidR="00510B44">
        <w:t>-</w:t>
      </w:r>
      <w:r w:rsidR="00504EAC">
        <w:t xml:space="preserve">quality </w:t>
      </w:r>
      <w:r w:rsidRPr="00A71CF7">
        <w:t>justice services</w:t>
      </w:r>
      <w:r w:rsidR="0041638B">
        <w:t xml:space="preserve">. </w:t>
      </w:r>
      <w:r w:rsidRPr="00A71CF7">
        <w:t xml:space="preserve">Australia drove the implementation of more proactive case preparation practices in the </w:t>
      </w:r>
      <w:r w:rsidR="00B76E9D">
        <w:t>OPP’</w:t>
      </w:r>
      <w:r w:rsidRPr="00A71CF7">
        <w:t>s Lae and Madang offices, resulting in an increase in cases finalised and a significant reduction in criminal trial</w:t>
      </w:r>
      <w:r w:rsidR="00A866FA">
        <w:t xml:space="preserve"> backlog</w:t>
      </w:r>
      <w:r w:rsidR="0041638B">
        <w:t xml:space="preserve">. </w:t>
      </w:r>
      <w:r w:rsidR="00A866FA">
        <w:t xml:space="preserve">For example, </w:t>
      </w:r>
      <w:r w:rsidRPr="00A71CF7">
        <w:t>84 cases in Lae were fi</w:t>
      </w:r>
      <w:r w:rsidR="00C66960">
        <w:t xml:space="preserve">nalised </w:t>
      </w:r>
      <w:r w:rsidR="00A866FA">
        <w:t xml:space="preserve">in 2012 </w:t>
      </w:r>
      <w:r w:rsidR="00C66960">
        <w:t>compared with 39 in 2011</w:t>
      </w:r>
      <w:r w:rsidR="0041638B">
        <w:t xml:space="preserve">. </w:t>
      </w:r>
      <w:r w:rsidR="00504EAC" w:rsidRPr="00504EAC">
        <w:t xml:space="preserve">In the </w:t>
      </w:r>
      <w:r w:rsidR="00CF481D">
        <w:t>O</w:t>
      </w:r>
      <w:r w:rsidR="00510B44">
        <w:t>ffice of Solicitor Gene</w:t>
      </w:r>
      <w:r w:rsidR="00A70827">
        <w:t>ra</w:t>
      </w:r>
      <w:r w:rsidR="00510B44">
        <w:t>l</w:t>
      </w:r>
      <w:r w:rsidR="00504EAC" w:rsidRPr="00504EAC">
        <w:t>, levels of default judgments against the State dropped and some significant precedent judgments in favour of the State were obtained with Australian assistance</w:t>
      </w:r>
      <w:r w:rsidR="00510B44">
        <w:t>. This</w:t>
      </w:r>
      <w:r w:rsidR="00504EAC" w:rsidRPr="00504EAC">
        <w:t xml:space="preserve"> will result in significant savings to the State</w:t>
      </w:r>
      <w:r w:rsidR="0041638B">
        <w:t xml:space="preserve">. </w:t>
      </w:r>
    </w:p>
    <w:p w14:paraId="0B70F64A" w14:textId="77777777" w:rsidR="005A52E5" w:rsidRPr="00A71CF7" w:rsidRDefault="005A52E5" w:rsidP="00515C69">
      <w:pPr>
        <w:pStyle w:val="Heading3"/>
        <w:rPr>
          <w:lang w:val="en"/>
        </w:rPr>
      </w:pPr>
      <w:r>
        <w:rPr>
          <w:lang w:val="en"/>
        </w:rPr>
        <w:t xml:space="preserve">Enhanced ability to prevent and combat </w:t>
      </w:r>
      <w:r w:rsidRPr="00A71CF7">
        <w:rPr>
          <w:lang w:val="en"/>
        </w:rPr>
        <w:t>corruption</w:t>
      </w:r>
    </w:p>
    <w:p w14:paraId="0B70F64B" w14:textId="77777777" w:rsidR="008934B0" w:rsidRDefault="005A52E5" w:rsidP="00515C69">
      <w:pPr>
        <w:pStyle w:val="BodyText"/>
      </w:pPr>
      <w:r>
        <w:t xml:space="preserve">In the law and justice sector, </w:t>
      </w:r>
      <w:r w:rsidRPr="00A71CF7">
        <w:t xml:space="preserve">Australia has supported </w:t>
      </w:r>
      <w:r w:rsidR="00510B44">
        <w:t xml:space="preserve">the inter-agency </w:t>
      </w:r>
      <w:r>
        <w:t>Taskforce Sweep, t</w:t>
      </w:r>
      <w:r w:rsidRPr="00A71CF7">
        <w:t xml:space="preserve">he RPNGC’s Fraud and Anti-Corruption Director and the </w:t>
      </w:r>
      <w:r w:rsidR="00477D04">
        <w:t>OPP</w:t>
      </w:r>
      <w:r>
        <w:t xml:space="preserve"> to combat corruption</w:t>
      </w:r>
      <w:r w:rsidR="0041638B">
        <w:t xml:space="preserve">. </w:t>
      </w:r>
      <w:r w:rsidR="008934B0" w:rsidRPr="00A71CF7">
        <w:t xml:space="preserve">Key achievements include: </w:t>
      </w:r>
    </w:p>
    <w:p w14:paraId="0B70F64C" w14:textId="77777777" w:rsidR="008934B0" w:rsidRPr="00A71CF7" w:rsidRDefault="008934B0" w:rsidP="00515C69">
      <w:pPr>
        <w:pStyle w:val="ListBullet"/>
        <w:rPr>
          <w:b/>
          <w:lang w:val="en"/>
        </w:rPr>
      </w:pPr>
      <w:r>
        <w:lastRenderedPageBreak/>
        <w:t>an</w:t>
      </w:r>
      <w:r w:rsidRPr="00A71CF7">
        <w:t xml:space="preserve"> estimated 200 cases </w:t>
      </w:r>
      <w:r w:rsidR="001133EE">
        <w:t xml:space="preserve">being </w:t>
      </w:r>
      <w:r w:rsidRPr="00A71CF7">
        <w:t xml:space="preserve">referred </w:t>
      </w:r>
      <w:r w:rsidR="001133EE">
        <w:t xml:space="preserve">to Taskforce Sweep since it was </w:t>
      </w:r>
      <w:r w:rsidR="001133EE" w:rsidRPr="00A71CF7">
        <w:t>created in August 2011</w:t>
      </w:r>
      <w:r w:rsidR="001133EE">
        <w:t xml:space="preserve"> with </w:t>
      </w:r>
      <w:r w:rsidRPr="00A71CF7">
        <w:t>78 cases investigated and 58 arrests made</w:t>
      </w:r>
    </w:p>
    <w:p w14:paraId="0B70F64D" w14:textId="77777777" w:rsidR="008934B0" w:rsidRPr="00A71CF7" w:rsidRDefault="008934B0" w:rsidP="00515C69">
      <w:pPr>
        <w:pStyle w:val="ListBullet"/>
        <w:rPr>
          <w:b/>
          <w:lang w:val="en"/>
        </w:rPr>
      </w:pPr>
      <w:r w:rsidRPr="00A71CF7">
        <w:rPr>
          <w:lang w:val="en"/>
        </w:rPr>
        <w:t xml:space="preserve">the </w:t>
      </w:r>
      <w:r>
        <w:rPr>
          <w:lang w:val="en"/>
        </w:rPr>
        <w:t>OPP’s</w:t>
      </w:r>
      <w:r w:rsidRPr="00A71CF7">
        <w:rPr>
          <w:lang w:val="en"/>
        </w:rPr>
        <w:t xml:space="preserve"> Proceeds of Crime Unit obtained four orders freezing suspected proceeds of</w:t>
      </w:r>
      <w:r>
        <w:rPr>
          <w:lang w:val="en"/>
        </w:rPr>
        <w:t xml:space="preserve"> crime (valued at K4.2 million)</w:t>
      </w:r>
      <w:r w:rsidRPr="00A71CF7">
        <w:rPr>
          <w:lang w:val="en"/>
        </w:rPr>
        <w:t xml:space="preserve"> </w:t>
      </w:r>
    </w:p>
    <w:p w14:paraId="0B70F64E" w14:textId="77777777" w:rsidR="008934B0" w:rsidRPr="00A71CF7" w:rsidRDefault="008934B0" w:rsidP="00515C69">
      <w:pPr>
        <w:pStyle w:val="ListBullet"/>
        <w:rPr>
          <w:b/>
          <w:lang w:val="en"/>
        </w:rPr>
      </w:pPr>
      <w:r w:rsidRPr="00A71CF7">
        <w:rPr>
          <w:lang w:val="en"/>
        </w:rPr>
        <w:t xml:space="preserve">the </w:t>
      </w:r>
      <w:r w:rsidR="005005AE">
        <w:rPr>
          <w:lang w:val="en"/>
        </w:rPr>
        <w:t xml:space="preserve">Australian Federal Police </w:t>
      </w:r>
      <w:r w:rsidRPr="00A71CF7">
        <w:rPr>
          <w:lang w:val="en"/>
        </w:rPr>
        <w:t>supported a comprehensive review</w:t>
      </w:r>
      <w:r w:rsidR="000867E7">
        <w:rPr>
          <w:lang w:val="en"/>
        </w:rPr>
        <w:t xml:space="preserve"> in 2013 </w:t>
      </w:r>
      <w:r w:rsidRPr="00A71CF7">
        <w:rPr>
          <w:lang w:val="en"/>
        </w:rPr>
        <w:t xml:space="preserve">of the RPNGC’s Fraud and Anti-Corruption Directorate, including </w:t>
      </w:r>
      <w:r w:rsidR="00510B44">
        <w:rPr>
          <w:lang w:val="en"/>
        </w:rPr>
        <w:t xml:space="preserve">its </w:t>
      </w:r>
      <w:r w:rsidR="00C66960">
        <w:rPr>
          <w:lang w:val="en"/>
        </w:rPr>
        <w:t>Financial Intelligence Unit</w:t>
      </w:r>
      <w:r w:rsidR="001133EE">
        <w:rPr>
          <w:lang w:val="en"/>
        </w:rPr>
        <w:t>—</w:t>
      </w:r>
      <w:r w:rsidRPr="00A71CF7">
        <w:rPr>
          <w:lang w:val="en"/>
        </w:rPr>
        <w:t>recommendations were accepted by the Commissioner and</w:t>
      </w:r>
      <w:r w:rsidR="000867E7">
        <w:rPr>
          <w:lang w:val="en"/>
        </w:rPr>
        <w:t xml:space="preserve"> are</w:t>
      </w:r>
      <w:r w:rsidRPr="00A71CF7">
        <w:rPr>
          <w:lang w:val="en"/>
        </w:rPr>
        <w:t xml:space="preserve"> </w:t>
      </w:r>
      <w:r>
        <w:rPr>
          <w:lang w:val="en"/>
        </w:rPr>
        <w:t>being implemented</w:t>
      </w:r>
    </w:p>
    <w:p w14:paraId="0B70F64F" w14:textId="77777777" w:rsidR="008934B0" w:rsidRPr="00B2618F" w:rsidRDefault="00CF481D" w:rsidP="00515C69">
      <w:pPr>
        <w:pStyle w:val="ListBullet"/>
        <w:rPr>
          <w:b/>
          <w:lang w:val="en"/>
        </w:rPr>
      </w:pPr>
      <w:r>
        <w:rPr>
          <w:lang w:val="en"/>
        </w:rPr>
        <w:t>a</w:t>
      </w:r>
      <w:r w:rsidR="008934B0" w:rsidRPr="00A71CF7">
        <w:rPr>
          <w:lang w:val="en"/>
        </w:rPr>
        <w:t xml:space="preserve"> Senior Ethics Course </w:t>
      </w:r>
      <w:r w:rsidR="008934B0">
        <w:rPr>
          <w:lang w:val="en"/>
        </w:rPr>
        <w:t xml:space="preserve">was </w:t>
      </w:r>
      <w:r w:rsidR="008934B0" w:rsidRPr="00A71CF7">
        <w:rPr>
          <w:lang w:val="en"/>
        </w:rPr>
        <w:t>delivered to 800 law and justice agenc</w:t>
      </w:r>
      <w:r w:rsidR="008934B0">
        <w:rPr>
          <w:lang w:val="en"/>
        </w:rPr>
        <w:t>y</w:t>
      </w:r>
      <w:r w:rsidR="008934B0" w:rsidRPr="00A71CF7">
        <w:rPr>
          <w:lang w:val="en"/>
        </w:rPr>
        <w:t xml:space="preserve"> officers </w:t>
      </w:r>
      <w:r w:rsidR="008934B0">
        <w:rPr>
          <w:lang w:val="en"/>
        </w:rPr>
        <w:t xml:space="preserve">in the final </w:t>
      </w:r>
      <w:r w:rsidR="005005AE">
        <w:rPr>
          <w:lang w:val="en"/>
        </w:rPr>
        <w:t>six</w:t>
      </w:r>
      <w:r w:rsidR="008934B0">
        <w:rPr>
          <w:lang w:val="en"/>
        </w:rPr>
        <w:t xml:space="preserve"> months of 2012</w:t>
      </w:r>
      <w:r w:rsidR="00C66960">
        <w:rPr>
          <w:lang w:val="en"/>
        </w:rPr>
        <w:t xml:space="preserve"> and</w:t>
      </w:r>
      <w:r w:rsidR="008934B0" w:rsidRPr="00A71CF7">
        <w:rPr>
          <w:lang w:val="en"/>
        </w:rPr>
        <w:t xml:space="preserve"> </w:t>
      </w:r>
      <w:r w:rsidR="001133EE">
        <w:rPr>
          <w:lang w:val="en"/>
        </w:rPr>
        <w:t>c</w:t>
      </w:r>
      <w:r w:rsidR="008934B0" w:rsidRPr="00A71CF7">
        <w:rPr>
          <w:lang w:val="en"/>
        </w:rPr>
        <w:t xml:space="preserve">orrectional </w:t>
      </w:r>
      <w:r w:rsidR="001133EE">
        <w:rPr>
          <w:lang w:val="en"/>
        </w:rPr>
        <w:t>s</w:t>
      </w:r>
      <w:r w:rsidR="008934B0" w:rsidRPr="00A71CF7">
        <w:rPr>
          <w:lang w:val="en"/>
        </w:rPr>
        <w:t xml:space="preserve">ervices </w:t>
      </w:r>
      <w:r w:rsidR="008934B0">
        <w:rPr>
          <w:lang w:val="en"/>
        </w:rPr>
        <w:t xml:space="preserve">trainers </w:t>
      </w:r>
      <w:r w:rsidR="00C66960">
        <w:rPr>
          <w:lang w:val="en"/>
        </w:rPr>
        <w:t xml:space="preserve">are now qualified to </w:t>
      </w:r>
      <w:r w:rsidR="008934B0" w:rsidRPr="00A71CF7">
        <w:rPr>
          <w:lang w:val="en"/>
        </w:rPr>
        <w:t xml:space="preserve">deliver this course </w:t>
      </w:r>
    </w:p>
    <w:p w14:paraId="0B70F650" w14:textId="77777777" w:rsidR="00504EAC" w:rsidRPr="004161A9" w:rsidRDefault="00CF481D" w:rsidP="00515C69">
      <w:pPr>
        <w:pStyle w:val="ListBullet"/>
        <w:rPr>
          <w:lang w:val="en"/>
        </w:rPr>
      </w:pPr>
      <w:r>
        <w:rPr>
          <w:lang w:val="en"/>
        </w:rPr>
        <w:t>t</w:t>
      </w:r>
      <w:r w:rsidR="00504EAC" w:rsidRPr="004161A9">
        <w:rPr>
          <w:lang w:val="en"/>
        </w:rPr>
        <w:t xml:space="preserve">he </w:t>
      </w:r>
      <w:r>
        <w:rPr>
          <w:lang w:val="en"/>
        </w:rPr>
        <w:t xml:space="preserve">PNG Government formed the </w:t>
      </w:r>
      <w:r w:rsidR="00504EAC" w:rsidRPr="004161A9">
        <w:rPr>
          <w:lang w:val="en"/>
        </w:rPr>
        <w:t>National Coordinating Committee on Anti-Money Laundering and is now driving high</w:t>
      </w:r>
      <w:r w:rsidR="00C13E4E">
        <w:rPr>
          <w:lang w:val="en"/>
        </w:rPr>
        <w:t>-</w:t>
      </w:r>
      <w:r w:rsidR="00504EAC" w:rsidRPr="004161A9">
        <w:rPr>
          <w:lang w:val="en"/>
        </w:rPr>
        <w:t>level</w:t>
      </w:r>
      <w:r w:rsidR="00C13E4E">
        <w:rPr>
          <w:lang w:val="en"/>
        </w:rPr>
        <w:t>,</w:t>
      </w:r>
      <w:r w:rsidR="00504EAC" w:rsidRPr="004161A9">
        <w:rPr>
          <w:lang w:val="en"/>
        </w:rPr>
        <w:t xml:space="preserve"> whole</w:t>
      </w:r>
      <w:r>
        <w:rPr>
          <w:lang w:val="en"/>
        </w:rPr>
        <w:t>-</w:t>
      </w:r>
      <w:r w:rsidR="00504EAC" w:rsidRPr="004161A9">
        <w:rPr>
          <w:lang w:val="en"/>
        </w:rPr>
        <w:t>of</w:t>
      </w:r>
      <w:r>
        <w:rPr>
          <w:lang w:val="en"/>
        </w:rPr>
        <w:t>-</w:t>
      </w:r>
      <w:r w:rsidR="00504EAC" w:rsidRPr="004161A9">
        <w:rPr>
          <w:lang w:val="en"/>
        </w:rPr>
        <w:t>government national anti-money laundering reforms</w:t>
      </w:r>
      <w:r>
        <w:rPr>
          <w:lang w:val="en"/>
        </w:rPr>
        <w:t>.</w:t>
      </w:r>
    </w:p>
    <w:p w14:paraId="0B70F651" w14:textId="77777777" w:rsidR="002724AA" w:rsidRDefault="005A52E5" w:rsidP="008934B0">
      <w:pPr>
        <w:contextualSpacing/>
        <w:rPr>
          <w:sz w:val="22"/>
          <w:szCs w:val="22"/>
          <w:lang w:val="en"/>
        </w:rPr>
      </w:pPr>
      <w:r w:rsidRPr="005A52E5">
        <w:rPr>
          <w:sz w:val="22"/>
          <w:szCs w:val="22"/>
          <w:lang w:val="en"/>
        </w:rPr>
        <w:t>Despite initial progress, time</w:t>
      </w:r>
      <w:r>
        <w:rPr>
          <w:sz w:val="22"/>
          <w:szCs w:val="22"/>
          <w:lang w:val="en"/>
        </w:rPr>
        <w:t xml:space="preserve"> </w:t>
      </w:r>
      <w:r w:rsidRPr="005A52E5">
        <w:rPr>
          <w:sz w:val="22"/>
          <w:szCs w:val="22"/>
          <w:lang w:val="en"/>
        </w:rPr>
        <w:t>lags between arrest and prosecutions</w:t>
      </w:r>
      <w:r w:rsidR="00C13E4E">
        <w:rPr>
          <w:sz w:val="22"/>
          <w:szCs w:val="22"/>
          <w:lang w:val="en"/>
        </w:rPr>
        <w:t>,</w:t>
      </w:r>
      <w:r w:rsidRPr="005A52E5">
        <w:rPr>
          <w:sz w:val="22"/>
          <w:szCs w:val="22"/>
          <w:lang w:val="en"/>
        </w:rPr>
        <w:t xml:space="preserve"> difficulties in obtaining evidence and the quality of inv</w:t>
      </w:r>
      <w:r w:rsidR="00DC1141">
        <w:rPr>
          <w:sz w:val="22"/>
          <w:szCs w:val="22"/>
          <w:lang w:val="en"/>
        </w:rPr>
        <w:t>estigations mean</w:t>
      </w:r>
      <w:r w:rsidR="000867E7">
        <w:rPr>
          <w:sz w:val="22"/>
          <w:szCs w:val="22"/>
          <w:lang w:val="en"/>
        </w:rPr>
        <w:t>t</w:t>
      </w:r>
      <w:r w:rsidR="00DC1141">
        <w:rPr>
          <w:sz w:val="22"/>
          <w:szCs w:val="22"/>
          <w:lang w:val="en"/>
        </w:rPr>
        <w:t xml:space="preserve"> there </w:t>
      </w:r>
      <w:r w:rsidR="00C13E4E">
        <w:rPr>
          <w:sz w:val="22"/>
          <w:szCs w:val="22"/>
          <w:lang w:val="en"/>
        </w:rPr>
        <w:t>were</w:t>
      </w:r>
      <w:r w:rsidRPr="005A52E5">
        <w:rPr>
          <w:sz w:val="22"/>
          <w:szCs w:val="22"/>
          <w:lang w:val="en"/>
        </w:rPr>
        <w:t xml:space="preserve"> few successful prosecutions of </w:t>
      </w:r>
      <w:r>
        <w:rPr>
          <w:sz w:val="22"/>
          <w:szCs w:val="22"/>
          <w:lang w:val="en"/>
        </w:rPr>
        <w:t>corruption offenders in PNG</w:t>
      </w:r>
      <w:r w:rsidR="00C13E4E">
        <w:rPr>
          <w:sz w:val="22"/>
          <w:szCs w:val="22"/>
          <w:lang w:val="en"/>
        </w:rPr>
        <w:t xml:space="preserve"> during the reporting year</w:t>
      </w:r>
      <w:r w:rsidR="0041638B">
        <w:rPr>
          <w:sz w:val="22"/>
          <w:szCs w:val="22"/>
          <w:lang w:val="en"/>
        </w:rPr>
        <w:t xml:space="preserve">. </w:t>
      </w:r>
    </w:p>
    <w:p w14:paraId="0B70F652" w14:textId="77777777" w:rsidR="008934B0" w:rsidRPr="00A71CF7" w:rsidRDefault="008934B0" w:rsidP="00515C69">
      <w:pPr>
        <w:pStyle w:val="Heading3"/>
        <w:rPr>
          <w:lang w:val="en"/>
        </w:rPr>
      </w:pPr>
      <w:r w:rsidRPr="00A71CF7">
        <w:rPr>
          <w:lang w:val="en"/>
        </w:rPr>
        <w:t xml:space="preserve">Gender </w:t>
      </w:r>
      <w:r w:rsidR="001C7EEB">
        <w:rPr>
          <w:lang w:val="en"/>
        </w:rPr>
        <w:t>e</w:t>
      </w:r>
      <w:r w:rsidRPr="00A71CF7">
        <w:rPr>
          <w:lang w:val="en"/>
        </w:rPr>
        <w:t>quality</w:t>
      </w:r>
    </w:p>
    <w:p w14:paraId="0B70F653" w14:textId="77777777" w:rsidR="008934B0" w:rsidRPr="00A71CF7" w:rsidRDefault="008934B0" w:rsidP="00515C69">
      <w:pPr>
        <w:pStyle w:val="BodyText"/>
      </w:pPr>
      <w:r w:rsidRPr="00A71CF7">
        <w:t xml:space="preserve">Australia’s support for </w:t>
      </w:r>
      <w:r>
        <w:t>FSVUs</w:t>
      </w:r>
      <w:r w:rsidR="00B76E9D">
        <w:t>, female v</w:t>
      </w:r>
      <w:r w:rsidRPr="00A71CF7">
        <w:t xml:space="preserve">illage </w:t>
      </w:r>
      <w:r w:rsidR="00B76E9D">
        <w:t>c</w:t>
      </w:r>
      <w:r w:rsidRPr="00A71CF7">
        <w:t xml:space="preserve">ourt </w:t>
      </w:r>
      <w:r w:rsidR="00B76E9D">
        <w:t>m</w:t>
      </w:r>
      <w:r w:rsidRPr="00A71CF7">
        <w:t xml:space="preserve">agistrates and </w:t>
      </w:r>
      <w:r w:rsidR="001625FF">
        <w:t>i</w:t>
      </w:r>
      <w:r w:rsidRPr="00A71CF7">
        <w:t xml:space="preserve">nterim </w:t>
      </w:r>
      <w:r w:rsidR="001625FF">
        <w:t>p</w:t>
      </w:r>
      <w:r w:rsidRPr="00A71CF7">
        <w:t xml:space="preserve">rotection </w:t>
      </w:r>
      <w:r w:rsidR="001625FF">
        <w:t>o</w:t>
      </w:r>
      <w:r w:rsidRPr="00A71CF7">
        <w:t xml:space="preserve">rders </w:t>
      </w:r>
      <w:r>
        <w:t>has</w:t>
      </w:r>
      <w:r w:rsidRPr="00A71CF7">
        <w:t xml:space="preserve"> had positive gender equality results</w:t>
      </w:r>
      <w:r w:rsidR="000867E7">
        <w:t>,</w:t>
      </w:r>
      <w:r w:rsidRPr="00A71CF7">
        <w:t xml:space="preserve"> including promoting equal participation in decision-making processes, equal rights within the justice system and equal access to justice</w:t>
      </w:r>
      <w:r w:rsidR="0041638B">
        <w:t xml:space="preserve">. </w:t>
      </w:r>
      <w:r w:rsidRPr="00A71CF7">
        <w:t xml:space="preserve">In early 2013, a woman was appointed as the youngest Chief Magistrate and the Solicitor General and Chief Ombudsman </w:t>
      </w:r>
      <w:r w:rsidR="000867E7">
        <w:t>office</w:t>
      </w:r>
      <w:r w:rsidR="00865F40">
        <w:t>s</w:t>
      </w:r>
      <w:r w:rsidR="000867E7">
        <w:t xml:space="preserve"> </w:t>
      </w:r>
      <w:r w:rsidRPr="00A71CF7">
        <w:t>are held by women for the first time (albeit on an acting basis).</w:t>
      </w:r>
      <w:r w:rsidR="002A0792">
        <w:rPr>
          <w:rStyle w:val="FootnoteReference"/>
        </w:rPr>
        <w:footnoteReference w:id="48"/>
      </w:r>
      <w:r w:rsidRPr="00A71CF7">
        <w:t xml:space="preserve"> Two female </w:t>
      </w:r>
      <w:r w:rsidR="001C7EEB">
        <w:t>j</w:t>
      </w:r>
      <w:r w:rsidRPr="00A71CF7">
        <w:t>udges</w:t>
      </w:r>
      <w:r w:rsidR="00C13E4E">
        <w:t xml:space="preserve"> are</w:t>
      </w:r>
      <w:r w:rsidRPr="00A71CF7">
        <w:t xml:space="preserve"> on the National Court. </w:t>
      </w:r>
    </w:p>
    <w:p w14:paraId="0B70F654" w14:textId="77777777" w:rsidR="008934B0" w:rsidRDefault="00C13E4E" w:rsidP="00515C69">
      <w:pPr>
        <w:pStyle w:val="BodyText"/>
      </w:pPr>
      <w:r>
        <w:t>Other</w:t>
      </w:r>
      <w:r w:rsidR="008934B0" w:rsidRPr="00A71CF7">
        <w:t xml:space="preserve"> achievements </w:t>
      </w:r>
      <w:r>
        <w:t xml:space="preserve">with gender </w:t>
      </w:r>
      <w:r w:rsidR="008934B0" w:rsidRPr="00A71CF7">
        <w:t>in the law and justice sector in 2012 include</w:t>
      </w:r>
      <w:r>
        <w:t>d</w:t>
      </w:r>
      <w:r w:rsidR="008934B0" w:rsidRPr="00A71CF7">
        <w:t>:</w:t>
      </w:r>
    </w:p>
    <w:p w14:paraId="0B70F655" w14:textId="77777777" w:rsidR="008934B0" w:rsidRPr="00A71CF7" w:rsidRDefault="003C54CB" w:rsidP="00515C69">
      <w:pPr>
        <w:pStyle w:val="ListBullet"/>
      </w:pPr>
      <w:r>
        <w:t>a</w:t>
      </w:r>
      <w:r w:rsidR="008934B0">
        <w:t>n</w:t>
      </w:r>
      <w:r w:rsidR="008934B0" w:rsidRPr="00A71CF7">
        <w:t xml:space="preserve"> increase in the number of women village court magistrates, with </w:t>
      </w:r>
      <w:r w:rsidR="001C7EEB">
        <w:t xml:space="preserve">more than </w:t>
      </w:r>
      <w:r w:rsidR="008934B0" w:rsidRPr="00A71CF7">
        <w:t xml:space="preserve">900 in 2012, up </w:t>
      </w:r>
      <w:r>
        <w:t>from 10 in 2004 and 700 in 2011</w:t>
      </w:r>
    </w:p>
    <w:p w14:paraId="0B70F656" w14:textId="77777777" w:rsidR="008934B0" w:rsidRPr="00E826AE" w:rsidRDefault="001C7EEB" w:rsidP="00515C69">
      <w:pPr>
        <w:pStyle w:val="ListBullet"/>
      </w:pPr>
      <w:r>
        <w:t xml:space="preserve">that </w:t>
      </w:r>
      <w:r w:rsidR="008934B0" w:rsidRPr="00E826AE">
        <w:t xml:space="preserve">10 per cent of police are </w:t>
      </w:r>
      <w:r>
        <w:t xml:space="preserve">now </w:t>
      </w:r>
      <w:r w:rsidR="008934B0" w:rsidRPr="00E826AE">
        <w:t>women</w:t>
      </w:r>
      <w:r>
        <w:t xml:space="preserve"> with </w:t>
      </w:r>
      <w:r w:rsidR="00272ED9">
        <w:t>20 per cent of the</w:t>
      </w:r>
      <w:r w:rsidR="008934B0" w:rsidRPr="00E826AE">
        <w:t xml:space="preserve"> April 2013</w:t>
      </w:r>
      <w:r w:rsidR="00272ED9">
        <w:t xml:space="preserve"> intake </w:t>
      </w:r>
      <w:r>
        <w:t xml:space="preserve">being </w:t>
      </w:r>
      <w:r w:rsidR="00272ED9">
        <w:t xml:space="preserve">female, </w:t>
      </w:r>
      <w:r w:rsidR="008934B0" w:rsidRPr="00E826AE">
        <w:t>doubl</w:t>
      </w:r>
      <w:r>
        <w:t>ing</w:t>
      </w:r>
      <w:r w:rsidR="008934B0" w:rsidRPr="00E826AE">
        <w:t xml:space="preserve"> the number of female officers</w:t>
      </w:r>
      <w:r w:rsidR="00272ED9">
        <w:t xml:space="preserve"> </w:t>
      </w:r>
      <w:r w:rsidR="000867E7">
        <w:t>(</w:t>
      </w:r>
      <w:r w:rsidR="00272ED9">
        <w:t xml:space="preserve">albeit from a </w:t>
      </w:r>
      <w:r w:rsidR="008934B0" w:rsidRPr="00E826AE">
        <w:t>very low</w:t>
      </w:r>
      <w:r w:rsidR="00272ED9">
        <w:t xml:space="preserve"> base</w:t>
      </w:r>
      <w:r w:rsidR="000867E7">
        <w:t>)</w:t>
      </w:r>
    </w:p>
    <w:p w14:paraId="0B70F657" w14:textId="77777777" w:rsidR="008934B0" w:rsidRPr="00A71CF7" w:rsidRDefault="000867E7" w:rsidP="00515C69">
      <w:pPr>
        <w:pStyle w:val="ListBullet"/>
      </w:pPr>
      <w:r>
        <w:t>an</w:t>
      </w:r>
      <w:r w:rsidRPr="00A71CF7">
        <w:t xml:space="preserve"> </w:t>
      </w:r>
      <w:r w:rsidR="008934B0" w:rsidRPr="00A71CF7">
        <w:t>increas</w:t>
      </w:r>
      <w:r>
        <w:t>e in the</w:t>
      </w:r>
      <w:r w:rsidR="008934B0" w:rsidRPr="00A71CF7">
        <w:t xml:space="preserve"> number of female legal officers represented in the </w:t>
      </w:r>
      <w:r w:rsidR="008934B0">
        <w:t>OPP</w:t>
      </w:r>
      <w:r w:rsidR="008934B0" w:rsidRPr="00A71CF7">
        <w:t xml:space="preserve"> and the Department </w:t>
      </w:r>
      <w:r w:rsidR="003C54CB">
        <w:t>of Justice and Attorney General</w:t>
      </w:r>
      <w:r w:rsidR="008934B0" w:rsidRPr="00A71CF7">
        <w:t xml:space="preserve"> </w:t>
      </w:r>
    </w:p>
    <w:p w14:paraId="0B70F658" w14:textId="77777777" w:rsidR="008934B0" w:rsidRPr="00A71CF7" w:rsidRDefault="008934B0" w:rsidP="00515C69">
      <w:pPr>
        <w:pStyle w:val="ListBullet"/>
      </w:pPr>
      <w:r w:rsidRPr="00A71CF7">
        <w:t>the establishment of the P</w:t>
      </w:r>
      <w:r w:rsidR="00C13E4E">
        <w:t xml:space="preserve">NG </w:t>
      </w:r>
      <w:r w:rsidRPr="00A71CF7">
        <w:t>Judicial Women’s Association, an initiative of P</w:t>
      </w:r>
      <w:r w:rsidR="00C13E4E">
        <w:t>NG</w:t>
      </w:r>
      <w:r w:rsidRPr="00A71CF7">
        <w:t>’s 17 female district court magistrate</w:t>
      </w:r>
      <w:r w:rsidR="003C54CB">
        <w:t>s and two national court judges</w:t>
      </w:r>
    </w:p>
    <w:p w14:paraId="0B70F659" w14:textId="77777777" w:rsidR="008934B0" w:rsidRPr="00A71CF7" w:rsidRDefault="008934B0" w:rsidP="00515C69">
      <w:pPr>
        <w:pStyle w:val="ListBullet"/>
      </w:pPr>
      <w:r w:rsidRPr="00A71CF7">
        <w:t xml:space="preserve">the establishment of </w:t>
      </w:r>
      <w:r>
        <w:t xml:space="preserve">the Family and Sexual Offences </w:t>
      </w:r>
      <w:r w:rsidRPr="00A71CF7">
        <w:t xml:space="preserve">Unit in the </w:t>
      </w:r>
      <w:r>
        <w:t>OPP</w:t>
      </w:r>
    </w:p>
    <w:p w14:paraId="0B70F65A" w14:textId="77777777" w:rsidR="008934B0" w:rsidRPr="00A71CF7" w:rsidRDefault="008934B0" w:rsidP="00515C69">
      <w:pPr>
        <w:pStyle w:val="ListBullet"/>
      </w:pPr>
      <w:r w:rsidRPr="00A71CF7">
        <w:t xml:space="preserve">additional funding for </w:t>
      </w:r>
      <w:r w:rsidR="00C13E4E">
        <w:t>v</w:t>
      </w:r>
      <w:r w:rsidRPr="00A71CF7">
        <w:t xml:space="preserve">ictim </w:t>
      </w:r>
      <w:r w:rsidR="00C13E4E">
        <w:t>l</w:t>
      </w:r>
      <w:r w:rsidRPr="00A71CF7">
        <w:t xml:space="preserve">iaison </w:t>
      </w:r>
      <w:r w:rsidR="00C13E4E">
        <w:t>o</w:t>
      </w:r>
      <w:r w:rsidRPr="00A71CF7">
        <w:t>ffices in each main regional OPP office.</w:t>
      </w:r>
    </w:p>
    <w:p w14:paraId="0B70F65B" w14:textId="77777777" w:rsidR="008934B0" w:rsidRPr="00515C69" w:rsidRDefault="008934B0" w:rsidP="00515C69">
      <w:pPr>
        <w:pStyle w:val="Heading2"/>
      </w:pPr>
      <w:r w:rsidRPr="00515C69">
        <w:t xml:space="preserve">Objective 4: Transport </w:t>
      </w:r>
      <w:r w:rsidR="001C7EEB" w:rsidRPr="00515C69">
        <w:t>i</w:t>
      </w:r>
      <w:r w:rsidRPr="00515C69">
        <w:t>nfrastructure</w:t>
      </w:r>
    </w:p>
    <w:tbl>
      <w:tblPr>
        <w:tblStyle w:val="APPR"/>
        <w:tblW w:w="5000" w:type="pct"/>
        <w:tblLook w:val="0000" w:firstRow="0" w:lastRow="0" w:firstColumn="0" w:lastColumn="0" w:noHBand="0" w:noVBand="0"/>
      </w:tblPr>
      <w:tblGrid>
        <w:gridCol w:w="7390"/>
        <w:gridCol w:w="1216"/>
      </w:tblGrid>
      <w:tr w:rsidR="006378F6" w:rsidRPr="00443639" w14:paraId="0B70F65E" w14:textId="77777777" w:rsidTr="006264ED">
        <w:trPr>
          <w:cnfStyle w:val="000000010000" w:firstRow="0" w:lastRow="0" w:firstColumn="0" w:lastColumn="0" w:oddVBand="0" w:evenVBand="0" w:oddHBand="0" w:evenHBand="1" w:firstRowFirstColumn="0" w:firstRowLastColumn="0" w:lastRowFirstColumn="0" w:lastRowLastColumn="0"/>
        </w:trPr>
        <w:tc>
          <w:tcPr>
            <w:tcW w:w="7233" w:type="dxa"/>
          </w:tcPr>
          <w:p w14:paraId="0B70F65C" w14:textId="77777777" w:rsidR="006378F6" w:rsidRPr="002960A4" w:rsidRDefault="006378F6" w:rsidP="002960A4">
            <w:pPr>
              <w:pStyle w:val="TableTextEntries"/>
            </w:pPr>
            <w:r w:rsidRPr="002960A4">
              <w:t>Improved transport services to facilitate social development and economic growth</w:t>
            </w:r>
          </w:p>
        </w:tc>
        <w:tc>
          <w:tcPr>
            <w:tcW w:w="1156" w:type="dxa"/>
            <w:shd w:val="clear" w:color="auto" w:fill="92D050"/>
            <w:noWrap/>
          </w:tcPr>
          <w:p w14:paraId="0B70F65D" w14:textId="77777777" w:rsidR="006378F6" w:rsidRPr="002960A4" w:rsidRDefault="006378F6" w:rsidP="002960A4">
            <w:pPr>
              <w:pStyle w:val="TableTextEntries"/>
            </w:pPr>
            <w:r w:rsidRPr="002960A4">
              <w:t>Green</w:t>
            </w:r>
          </w:p>
        </w:tc>
      </w:tr>
    </w:tbl>
    <w:p w14:paraId="0B70F65F" w14:textId="77777777" w:rsidR="00A0186E" w:rsidRDefault="00A0186E" w:rsidP="00515C69">
      <w:pPr>
        <w:pStyle w:val="BodyText"/>
      </w:pPr>
    </w:p>
    <w:p w14:paraId="0B70F660" w14:textId="77777777" w:rsidR="00D6424A" w:rsidRDefault="00C13E4E" w:rsidP="00515C69">
      <w:pPr>
        <w:pStyle w:val="BodyText"/>
      </w:pPr>
      <w:r>
        <w:t xml:space="preserve">Australia </w:t>
      </w:r>
      <w:r w:rsidR="005257A8">
        <w:t xml:space="preserve">again </w:t>
      </w:r>
      <w:r>
        <w:t>rated p</w:t>
      </w:r>
      <w:r w:rsidR="00FF6431">
        <w:t xml:space="preserve">rogress </w:t>
      </w:r>
      <w:r>
        <w:t>against this</w:t>
      </w:r>
      <w:r w:rsidR="00FF6431">
        <w:t xml:space="preserve"> objective </w:t>
      </w:r>
      <w:r w:rsidR="00FF6431" w:rsidRPr="00FF6431">
        <w:t xml:space="preserve">under the Partnership for Development </w:t>
      </w:r>
      <w:r>
        <w:t>as</w:t>
      </w:r>
      <w:r w:rsidR="00FF6431">
        <w:t xml:space="preserve"> green</w:t>
      </w:r>
      <w:r w:rsidR="0041638B">
        <w:t xml:space="preserve">. </w:t>
      </w:r>
      <w:r>
        <w:t xml:space="preserve">The sector </w:t>
      </w:r>
      <w:r w:rsidR="0070767D">
        <w:t xml:space="preserve">is </w:t>
      </w:r>
      <w:r w:rsidR="00FF6431" w:rsidRPr="00FF6431">
        <w:t xml:space="preserve">on track to meet </w:t>
      </w:r>
      <w:r w:rsidR="00FF6431">
        <w:t>the</w:t>
      </w:r>
      <w:r w:rsidR="00CF481D">
        <w:t xml:space="preserve"> joint</w:t>
      </w:r>
      <w:r w:rsidR="00FF6431">
        <w:t xml:space="preserve"> target of </w:t>
      </w:r>
      <w:r w:rsidR="00FF6431" w:rsidRPr="00FF6431">
        <w:t xml:space="preserve">75 per cent of 16 priority national roads </w:t>
      </w:r>
      <w:r w:rsidR="00FF6431" w:rsidRPr="00FF6431">
        <w:lastRenderedPageBreak/>
        <w:t>in good condition by 2015</w:t>
      </w:r>
      <w:r w:rsidR="00FF6431">
        <w:t xml:space="preserve"> and a</w:t>
      </w:r>
      <w:r w:rsidR="00FF6431" w:rsidRPr="00FF6431">
        <w:t xml:space="preserve">viation and maritime transport services </w:t>
      </w:r>
      <w:r w:rsidR="00CF481D">
        <w:t xml:space="preserve">are on track </w:t>
      </w:r>
      <w:r w:rsidR="00FF6431" w:rsidRPr="00FF6431">
        <w:t>towards full compliance with international safety and security standards</w:t>
      </w:r>
      <w:r w:rsidR="0041638B">
        <w:t xml:space="preserve">. </w:t>
      </w:r>
    </w:p>
    <w:p w14:paraId="0B70F661" w14:textId="77777777" w:rsidR="008934B0" w:rsidRDefault="008934B0" w:rsidP="00515C69">
      <w:pPr>
        <w:pStyle w:val="BodyText"/>
      </w:pPr>
      <w:r w:rsidRPr="000F7284">
        <w:t>Australia’s support outlined in the Partner</w:t>
      </w:r>
      <w:r>
        <w:t xml:space="preserve">ship for Development Transport </w:t>
      </w:r>
      <w:r w:rsidR="00C66960">
        <w:t xml:space="preserve">Infrastructure </w:t>
      </w:r>
      <w:r>
        <w:t>S</w:t>
      </w:r>
      <w:r w:rsidRPr="000F7284">
        <w:t>chedule focuses on:</w:t>
      </w:r>
    </w:p>
    <w:p w14:paraId="0B70F662" w14:textId="77777777" w:rsidR="008934B0" w:rsidRPr="000F7284" w:rsidRDefault="001C7EEB" w:rsidP="00515C69">
      <w:pPr>
        <w:pStyle w:val="ListBullet"/>
      </w:pPr>
      <w:r>
        <w:t>m</w:t>
      </w:r>
      <w:r w:rsidR="008934B0" w:rsidRPr="000F7284">
        <w:t xml:space="preserve">aintenance and rehabilitation of the national priority roads </w:t>
      </w:r>
      <w:r w:rsidR="00D6424A">
        <w:t xml:space="preserve">network </w:t>
      </w:r>
      <w:r w:rsidR="008934B0" w:rsidRPr="000F7284">
        <w:t>to support access to markets, employment, and services for the people of PNG</w:t>
      </w:r>
      <w:r w:rsidR="00B12AFC">
        <w:t xml:space="preserve">, </w:t>
      </w:r>
      <w:r w:rsidR="008934B0" w:rsidRPr="000F7284">
        <w:t>form</w:t>
      </w:r>
      <w:r w:rsidR="00B12AFC">
        <w:t>ing</w:t>
      </w:r>
      <w:r w:rsidR="008934B0" w:rsidRPr="000F7284">
        <w:t xml:space="preserve"> the backbone of </w:t>
      </w:r>
      <w:r w:rsidR="00D6424A">
        <w:t>the nation’s</w:t>
      </w:r>
      <w:r w:rsidR="00D6424A" w:rsidRPr="000F7284">
        <w:t xml:space="preserve"> </w:t>
      </w:r>
      <w:r w:rsidR="008934B0" w:rsidRPr="000F7284">
        <w:t>road networ</w:t>
      </w:r>
      <w:r w:rsidR="008934B0">
        <w:t>k</w:t>
      </w:r>
    </w:p>
    <w:p w14:paraId="0B70F663" w14:textId="77777777" w:rsidR="008934B0" w:rsidRPr="000F7284" w:rsidRDefault="00B12AFC" w:rsidP="00515C69">
      <w:pPr>
        <w:pStyle w:val="ListBullet"/>
      </w:pPr>
      <w:r>
        <w:t>s</w:t>
      </w:r>
      <w:r w:rsidR="008934B0" w:rsidRPr="000F7284">
        <w:t>upport</w:t>
      </w:r>
      <w:r w:rsidR="00B76E9D">
        <w:t>ing</w:t>
      </w:r>
      <w:r w:rsidR="008934B0" w:rsidRPr="000F7284">
        <w:t xml:space="preserve"> better functioning transport sector agencies </w:t>
      </w:r>
      <w:r w:rsidR="008934B0">
        <w:t>to</w:t>
      </w:r>
      <w:r w:rsidR="008934B0" w:rsidRPr="000F7284">
        <w:t xml:space="preserve"> govern and deliver transport infrastructure through planning, management and governance, capacity development and leadership </w:t>
      </w:r>
    </w:p>
    <w:p w14:paraId="0B70F664" w14:textId="77777777" w:rsidR="008934B0" w:rsidRPr="000F7284" w:rsidRDefault="00B12AFC" w:rsidP="00515C69">
      <w:pPr>
        <w:pStyle w:val="ListBullet"/>
      </w:pPr>
      <w:r>
        <w:t>a</w:t>
      </w:r>
      <w:r w:rsidR="003C54CB">
        <w:t>chiev</w:t>
      </w:r>
      <w:r w:rsidR="00B76E9D">
        <w:t>ing</w:t>
      </w:r>
      <w:r w:rsidR="008934B0" w:rsidRPr="000F7284">
        <w:t xml:space="preserve"> key safety and security standards in aviation and maritime transport service provision </w:t>
      </w:r>
      <w:r w:rsidR="00C66960">
        <w:t>to</w:t>
      </w:r>
      <w:r w:rsidR="008934B0" w:rsidRPr="000F7284">
        <w:t xml:space="preserve"> better </w:t>
      </w:r>
      <w:r w:rsidR="008934B0">
        <w:t>align</w:t>
      </w:r>
      <w:r w:rsidR="008934B0" w:rsidRPr="000F7284">
        <w:t xml:space="preserve"> with international standards and obligations.</w:t>
      </w:r>
    </w:p>
    <w:p w14:paraId="0B70F665" w14:textId="534818D8" w:rsidR="008934B0" w:rsidRPr="000F7284" w:rsidRDefault="008934B0" w:rsidP="00515C69">
      <w:pPr>
        <w:pStyle w:val="BodyText"/>
      </w:pPr>
      <w:r>
        <w:t xml:space="preserve">Australia’s </w:t>
      </w:r>
      <w:r w:rsidRPr="000F7284">
        <w:t xml:space="preserve">expenditure </w:t>
      </w:r>
      <w:r w:rsidR="00C66960">
        <w:t xml:space="preserve">on transport infrastructure </w:t>
      </w:r>
      <w:r>
        <w:t>between January 2012 and June 2013 was</w:t>
      </w:r>
      <w:r w:rsidRPr="000F7284">
        <w:t xml:space="preserve"> approximately </w:t>
      </w:r>
      <w:r w:rsidR="00B12AFC">
        <w:t>$</w:t>
      </w:r>
      <w:r w:rsidRPr="00F209FF">
        <w:t>7</w:t>
      </w:r>
      <w:r w:rsidR="00EA3659">
        <w:t>6.7</w:t>
      </w:r>
      <w:r w:rsidRPr="00F209FF">
        <w:t> million,</w:t>
      </w:r>
      <w:r w:rsidRPr="000F7284">
        <w:t xml:space="preserve"> of which 80</w:t>
      </w:r>
      <w:r w:rsidR="00B76E9D">
        <w:t xml:space="preserve"> per cent</w:t>
      </w:r>
      <w:r w:rsidRPr="000F7284">
        <w:t xml:space="preserve"> </w:t>
      </w:r>
      <w:r>
        <w:t>was</w:t>
      </w:r>
      <w:r w:rsidRPr="000F7284">
        <w:t xml:space="preserve"> directed towards </w:t>
      </w:r>
      <w:r>
        <w:t>maint</w:t>
      </w:r>
      <w:r w:rsidR="00D6424A">
        <w:t>aining</w:t>
      </w:r>
      <w:r>
        <w:t xml:space="preserve"> </w:t>
      </w:r>
      <w:r w:rsidRPr="000F7284">
        <w:t>the national priority roads network</w:t>
      </w:r>
      <w:r w:rsidR="0041638B">
        <w:t xml:space="preserve">. </w:t>
      </w:r>
    </w:p>
    <w:p w14:paraId="0B70F666" w14:textId="77777777" w:rsidR="008934B0" w:rsidRPr="000F7284" w:rsidRDefault="008934B0" w:rsidP="00515C69">
      <w:pPr>
        <w:pStyle w:val="BodyText"/>
      </w:pPr>
      <w:r w:rsidRPr="000F7284">
        <w:t xml:space="preserve">A fully functional national transport network is a key enabler of economic growth </w:t>
      </w:r>
      <w:r w:rsidR="000867E7">
        <w:t>which</w:t>
      </w:r>
      <w:r w:rsidR="00D6424A">
        <w:t xml:space="preserve"> </w:t>
      </w:r>
      <w:r w:rsidRPr="000F7284">
        <w:t>supports productivity, employment and people’s access</w:t>
      </w:r>
      <w:r>
        <w:t xml:space="preserve"> to basic services</w:t>
      </w:r>
      <w:r w:rsidR="0041638B">
        <w:t xml:space="preserve">. </w:t>
      </w:r>
      <w:r>
        <w:t>The O’Neill</w:t>
      </w:r>
      <w:r w:rsidRPr="000F7284">
        <w:t xml:space="preserve"> Government has renewed emphasis on larger</w:t>
      </w:r>
      <w:r w:rsidR="00D6424A">
        <w:t>,</w:t>
      </w:r>
      <w:r w:rsidRPr="000F7284">
        <w:t xml:space="preserve"> more visible new infrastructure works as a priority</w:t>
      </w:r>
      <w:r w:rsidR="00C66960">
        <w:t>. T</w:t>
      </w:r>
      <w:r>
        <w:t>he 2013 National B</w:t>
      </w:r>
      <w:r w:rsidR="00C66960">
        <w:t>udget provided K1.37 billion</w:t>
      </w:r>
      <w:r w:rsidRPr="000F7284">
        <w:t xml:space="preserve"> for funding road network maintenance, rehabilitation and development at national and provincial levels</w:t>
      </w:r>
      <w:r w:rsidR="00C66960">
        <w:t xml:space="preserve">, </w:t>
      </w:r>
      <w:r w:rsidR="00C66960" w:rsidRPr="000F7284">
        <w:t>an 18</w:t>
      </w:r>
      <w:r w:rsidR="00C66960">
        <w:t xml:space="preserve"> per cent</w:t>
      </w:r>
      <w:r w:rsidR="00C66960" w:rsidRPr="000F7284">
        <w:t xml:space="preserve"> increase on 2012</w:t>
      </w:r>
      <w:r w:rsidR="00C66960">
        <w:t>.</w:t>
      </w:r>
      <w:r w:rsidRPr="000F7284">
        <w:t xml:space="preserve"> </w:t>
      </w:r>
    </w:p>
    <w:p w14:paraId="0B70F667" w14:textId="77777777" w:rsidR="008934B0" w:rsidRPr="000F7284" w:rsidRDefault="008934B0" w:rsidP="00515C69">
      <w:pPr>
        <w:pStyle w:val="BodyText"/>
      </w:pPr>
      <w:r>
        <w:t>However, t</w:t>
      </w:r>
      <w:r w:rsidRPr="000F7284">
        <w:t>he transport sector in PNG has suffered from prolonged underfunding</w:t>
      </w:r>
      <w:r w:rsidR="00B76E9D">
        <w:t>,</w:t>
      </w:r>
      <w:r w:rsidRPr="000F7284">
        <w:t xml:space="preserve"> resu</w:t>
      </w:r>
      <w:r>
        <w:t xml:space="preserve">lting in aging infrastructure. </w:t>
      </w:r>
      <w:r w:rsidRPr="000F7284">
        <w:t>The sector also suffers from insufficient public and private sector capacity to address routine maintenance and new construction, as well as procurement delay</w:t>
      </w:r>
      <w:r w:rsidR="00C66960">
        <w:t xml:space="preserve">s and lack of planning. </w:t>
      </w:r>
      <w:r>
        <w:t>There is inadequate investment in maintenance operations and planning</w:t>
      </w:r>
      <w:r w:rsidRPr="000F7284">
        <w:t>. The (</w:t>
      </w:r>
      <w:r>
        <w:t xml:space="preserve">yet </w:t>
      </w:r>
      <w:r w:rsidRPr="000F7284">
        <w:t>to be) established Infrastructure Development Authority</w:t>
      </w:r>
      <w:r>
        <w:t xml:space="preserve"> </w:t>
      </w:r>
      <w:r w:rsidR="00D6424A">
        <w:t xml:space="preserve">will </w:t>
      </w:r>
      <w:r w:rsidRPr="000F7284">
        <w:t xml:space="preserve">provide strengthened governance and oversight of projects of national significance and may provide a vehicle </w:t>
      </w:r>
      <w:r w:rsidR="004B62E6">
        <w:t xml:space="preserve">for the PNG </w:t>
      </w:r>
      <w:r w:rsidR="000867E7">
        <w:t>G</w:t>
      </w:r>
      <w:r w:rsidR="004B62E6">
        <w:t xml:space="preserve">overnment and Australian aid </w:t>
      </w:r>
      <w:r w:rsidRPr="000F7284">
        <w:t xml:space="preserve">to address wider </w:t>
      </w:r>
      <w:r w:rsidR="00D6424A">
        <w:t xml:space="preserve">sector </w:t>
      </w:r>
      <w:r w:rsidRPr="000F7284">
        <w:t>financing and procurement constraints.</w:t>
      </w:r>
      <w:r w:rsidR="00DB4295">
        <w:t xml:space="preserve"> </w:t>
      </w:r>
      <w:r w:rsidR="00DB4295" w:rsidRPr="00DB4295">
        <w:t>A</w:t>
      </w:r>
      <w:r w:rsidR="00DB4295">
        <w:t>ustralia has</w:t>
      </w:r>
      <w:r w:rsidR="00DB4295" w:rsidRPr="00DB4295">
        <w:t xml:space="preserve"> provided early technical advice about the optimal role, scope and format</w:t>
      </w:r>
      <w:r w:rsidR="00D53781">
        <w:t xml:space="preserve"> of</w:t>
      </w:r>
      <w:r w:rsidR="00DB4295" w:rsidRPr="00DB4295">
        <w:t xml:space="preserve"> th</w:t>
      </w:r>
      <w:r w:rsidR="00D6424A">
        <w:t>e</w:t>
      </w:r>
      <w:r w:rsidR="00DB4295" w:rsidRPr="00DB4295">
        <w:t xml:space="preserve"> new </w:t>
      </w:r>
      <w:r w:rsidR="00D6424A">
        <w:t>authority</w:t>
      </w:r>
      <w:r w:rsidR="00D53781">
        <w:t>.</w:t>
      </w:r>
      <w:r w:rsidR="002D18B0">
        <w:t xml:space="preserve"> </w:t>
      </w:r>
      <w:r w:rsidR="00CF481D">
        <w:t xml:space="preserve">Australian support to the PNG Government </w:t>
      </w:r>
      <w:r w:rsidR="00D6424A">
        <w:t xml:space="preserve">in </w:t>
      </w:r>
      <w:r w:rsidR="00CF481D">
        <w:t xml:space="preserve">establishing the </w:t>
      </w:r>
      <w:r w:rsidR="007212C1">
        <w:t>a</w:t>
      </w:r>
      <w:r w:rsidR="009F6ECF">
        <w:t xml:space="preserve">uthority </w:t>
      </w:r>
      <w:r w:rsidR="00CF481D">
        <w:t>will be important to avoid</w:t>
      </w:r>
      <w:r w:rsidRPr="000F7284">
        <w:t xml:space="preserve"> duplication and confusion of roles and responsibilities.</w:t>
      </w:r>
      <w:r w:rsidR="0070703A">
        <w:t xml:space="preserve"> </w:t>
      </w:r>
    </w:p>
    <w:p w14:paraId="0B70F668" w14:textId="77777777" w:rsidR="008934B0" w:rsidRPr="000F7284" w:rsidRDefault="008934B0" w:rsidP="00515C69">
      <w:pPr>
        <w:pStyle w:val="BodyText"/>
      </w:pPr>
      <w:r>
        <w:t>Assessment of progress in 2012</w:t>
      </w:r>
      <w:r w:rsidR="00B12AFC">
        <w:t>–</w:t>
      </w:r>
      <w:r>
        <w:t>13 toward</w:t>
      </w:r>
      <w:r w:rsidRPr="000F7284">
        <w:t xml:space="preserve"> </w:t>
      </w:r>
      <w:r w:rsidR="00693186">
        <w:t>the</w:t>
      </w:r>
      <w:r w:rsidRPr="000F7284">
        <w:t xml:space="preserve"> </w:t>
      </w:r>
      <w:r>
        <w:t>key Partnership for Development</w:t>
      </w:r>
      <w:r w:rsidRPr="000F7284">
        <w:t xml:space="preserve"> target of 75</w:t>
      </w:r>
      <w:r w:rsidR="007212C1">
        <w:t> </w:t>
      </w:r>
      <w:r w:rsidR="00B76E9D">
        <w:t>per cent</w:t>
      </w:r>
      <w:r w:rsidRPr="000F7284">
        <w:t xml:space="preserve"> of 16 priority national roads in good condition by 2015</w:t>
      </w:r>
      <w:r>
        <w:t xml:space="preserve"> </w:t>
      </w:r>
      <w:r w:rsidR="00D6424A">
        <w:t>will occur once</w:t>
      </w:r>
      <w:r w:rsidRPr="000F7284">
        <w:t xml:space="preserve"> the results of </w:t>
      </w:r>
      <w:r w:rsidR="007212C1">
        <w:t>the</w:t>
      </w:r>
      <w:r w:rsidR="007212C1" w:rsidRPr="000F7284">
        <w:t xml:space="preserve"> </w:t>
      </w:r>
      <w:r w:rsidRPr="000F7284">
        <w:t>Visual Road Condition Survey</w:t>
      </w:r>
      <w:r w:rsidR="00D6424A">
        <w:t xml:space="preserve">, funded by </w:t>
      </w:r>
      <w:r w:rsidR="00D6424A" w:rsidRPr="000F7284">
        <w:t xml:space="preserve">the </w:t>
      </w:r>
      <w:r w:rsidR="00D6424A">
        <w:t>Transport Sector Support Program</w:t>
      </w:r>
      <w:r w:rsidR="007212C1">
        <w:t>, are available</w:t>
      </w:r>
      <w:r w:rsidR="00D6424A">
        <w:t>. Survey results are</w:t>
      </w:r>
      <w:r w:rsidRPr="000F7284">
        <w:t xml:space="preserve"> due in the second half of 2013. </w:t>
      </w:r>
      <w:r w:rsidR="002B2460">
        <w:t>E</w:t>
      </w:r>
      <w:r w:rsidRPr="000F7284">
        <w:t>vidence of improvement in the condition of priority roads</w:t>
      </w:r>
      <w:r w:rsidR="002B2460">
        <w:t xml:space="preserve"> exists</w:t>
      </w:r>
      <w:r w:rsidRPr="000F7284">
        <w:t xml:space="preserve">, with </w:t>
      </w:r>
      <w:r w:rsidR="002B2460">
        <w:t xml:space="preserve">the number of </w:t>
      </w:r>
      <w:r w:rsidRPr="000F7284">
        <w:t>roads assessed as being in good condition increasing from 27</w:t>
      </w:r>
      <w:r w:rsidR="007212C1">
        <w:t xml:space="preserve"> per cent in 2005</w:t>
      </w:r>
      <w:r w:rsidRPr="000F7284">
        <w:t xml:space="preserve"> to 46 per cent </w:t>
      </w:r>
      <w:r w:rsidR="007212C1">
        <w:t>in</w:t>
      </w:r>
      <w:r w:rsidRPr="000F7284">
        <w:t xml:space="preserve"> 2011 (exceeding the 2012 </w:t>
      </w:r>
      <w:r>
        <w:t>Partnership for Development</w:t>
      </w:r>
      <w:r w:rsidRPr="000F7284">
        <w:t xml:space="preserve"> target) and </w:t>
      </w:r>
      <w:r>
        <w:t xml:space="preserve">those </w:t>
      </w:r>
      <w:r w:rsidRPr="000F7284">
        <w:t>in poor condition reducing from 43</w:t>
      </w:r>
      <w:r w:rsidR="007212C1">
        <w:t xml:space="preserve"> per cent</w:t>
      </w:r>
      <w:r w:rsidRPr="000F7284">
        <w:t xml:space="preserve"> to 7 pe</w:t>
      </w:r>
      <w:r>
        <w:t>r cent over the same period</w:t>
      </w:r>
      <w:r w:rsidR="0041638B">
        <w:t xml:space="preserve">. </w:t>
      </w:r>
      <w:r>
        <w:t>The</w:t>
      </w:r>
      <w:r w:rsidRPr="000F7284">
        <w:t xml:space="preserve"> inclusion of road safety data in the Visual Road Condition Survey will give Australia and PNG a basis for considering road safety enhancements as an intrinsic element of all joint</w:t>
      </w:r>
      <w:r w:rsidR="002B2460">
        <w:t>-</w:t>
      </w:r>
      <w:r w:rsidRPr="000F7284">
        <w:t xml:space="preserve">funded maintenance and rehabilitation work. </w:t>
      </w:r>
    </w:p>
    <w:p w14:paraId="0B70F669" w14:textId="77777777" w:rsidR="008934B0" w:rsidRPr="00FB4B9D" w:rsidRDefault="008934B0" w:rsidP="00515C69">
      <w:pPr>
        <w:pStyle w:val="BodyText"/>
      </w:pPr>
      <w:r w:rsidRPr="00FB4B9D">
        <w:t>In 2012, Australia directly funded the maintenance and rehabilitation of 2015.3 k</w:t>
      </w:r>
      <w:r w:rsidR="00B12AFC">
        <w:t>ilometres</w:t>
      </w:r>
      <w:r w:rsidRPr="00FB4B9D">
        <w:t xml:space="preserve"> of national priority roads</w:t>
      </w:r>
      <w:r w:rsidR="00C66960">
        <w:t xml:space="preserve"> (</w:t>
      </w:r>
      <w:r w:rsidRPr="00FB4B9D">
        <w:t xml:space="preserve">94 per cent </w:t>
      </w:r>
      <w:r w:rsidR="00C66960">
        <w:t>o</w:t>
      </w:r>
      <w:r w:rsidRPr="00FB4B9D">
        <w:t>f the 2012 target</w:t>
      </w:r>
      <w:r w:rsidR="00C66960">
        <w:t>)</w:t>
      </w:r>
      <w:r w:rsidR="002B2460">
        <w:t xml:space="preserve"> and</w:t>
      </w:r>
      <w:r w:rsidR="00B76E9D">
        <w:t xml:space="preserve"> </w:t>
      </w:r>
      <w:r w:rsidRPr="00FB4B9D">
        <w:t>maintenance on 353.3 k</w:t>
      </w:r>
      <w:r w:rsidR="00B12AFC">
        <w:t>ilometres</w:t>
      </w:r>
      <w:r w:rsidRPr="00FB4B9D">
        <w:t xml:space="preserve"> of non-priority roa</w:t>
      </w:r>
      <w:r w:rsidR="00C66960">
        <w:t>ds (mostly in Bougainville)</w:t>
      </w:r>
      <w:r w:rsidRPr="00FB4B9D">
        <w:t xml:space="preserve">. </w:t>
      </w:r>
      <w:r>
        <w:t>Australia also supported</w:t>
      </w:r>
      <w:r w:rsidRPr="00FB4B9D">
        <w:t xml:space="preserve"> the Transport Infrastructure Priorities Study </w:t>
      </w:r>
      <w:r>
        <w:t>which inform</w:t>
      </w:r>
      <w:r w:rsidR="005A52E5">
        <w:t>ed</w:t>
      </w:r>
      <w:r w:rsidRPr="00FB4B9D">
        <w:t xml:space="preserve"> the development of</w:t>
      </w:r>
      <w:r w:rsidR="002B2460">
        <w:t xml:space="preserve"> the</w:t>
      </w:r>
      <w:r w:rsidRPr="00FB4B9D">
        <w:t xml:space="preserve"> National Tr</w:t>
      </w:r>
      <w:r w:rsidR="005F1932">
        <w:t xml:space="preserve">ansport Strategy; implemented the Socio-Economic </w:t>
      </w:r>
      <w:r w:rsidRPr="00FB4B9D">
        <w:t>Performance Story Impact Study with respect to road s</w:t>
      </w:r>
      <w:r>
        <w:t>afety and its treatment; and established</w:t>
      </w:r>
      <w:r w:rsidRPr="00FB4B9D">
        <w:t xml:space="preserve"> </w:t>
      </w:r>
      <w:r>
        <w:t xml:space="preserve">the </w:t>
      </w:r>
      <w:r w:rsidRPr="00FB4B9D">
        <w:t>Women</w:t>
      </w:r>
      <w:r w:rsidR="005F1932">
        <w:t xml:space="preserve"> in Engineering Group.</w:t>
      </w:r>
    </w:p>
    <w:p w14:paraId="0B70F66A" w14:textId="77777777" w:rsidR="008934B0" w:rsidRDefault="007212C1" w:rsidP="00515C69">
      <w:pPr>
        <w:pStyle w:val="BodyText"/>
      </w:pPr>
      <w:r>
        <w:t>B</w:t>
      </w:r>
      <w:r w:rsidR="008934B0" w:rsidRPr="000F7284">
        <w:t>ox</w:t>
      </w:r>
      <w:r>
        <w:t xml:space="preserve"> 2</w:t>
      </w:r>
      <w:r w:rsidR="008934B0" w:rsidRPr="000F7284">
        <w:t xml:space="preserve"> highlights evidence from </w:t>
      </w:r>
      <w:r w:rsidR="002B2460">
        <w:t xml:space="preserve">the independent Socio-Economic </w:t>
      </w:r>
      <w:r w:rsidR="002B2460" w:rsidRPr="00FB4B9D">
        <w:t>Performance Story Impact Study</w:t>
      </w:r>
      <w:r w:rsidR="008934B0" w:rsidRPr="000F7284">
        <w:t>, indicating that Australian</w:t>
      </w:r>
      <w:r w:rsidR="002B2460">
        <w:t>-</w:t>
      </w:r>
      <w:r w:rsidR="008934B0" w:rsidRPr="000F7284">
        <w:t xml:space="preserve">supported road improvements are </w:t>
      </w:r>
      <w:r w:rsidR="008934B0">
        <w:t xml:space="preserve">having a positive effect on </w:t>
      </w:r>
      <w:r w:rsidR="008934B0">
        <w:lastRenderedPageBreak/>
        <w:t>people in</w:t>
      </w:r>
      <w:r w:rsidR="008934B0" w:rsidRPr="000F7284">
        <w:t xml:space="preserve"> PNG</w:t>
      </w:r>
      <w:r w:rsidR="0041638B">
        <w:t xml:space="preserve">. </w:t>
      </w:r>
      <w:r w:rsidR="008934B0" w:rsidRPr="000F7284">
        <w:t>Australia’s support for road maintenance directly provided Papua New Guineans</w:t>
      </w:r>
      <w:r w:rsidR="008934B0">
        <w:t xml:space="preserve"> with</w:t>
      </w:r>
      <w:r w:rsidR="008934B0" w:rsidRPr="000F7284">
        <w:t xml:space="preserve"> improved mobility and access to markets and basic services, particularly women and vulnerable groups. </w:t>
      </w:r>
      <w:r w:rsidR="00B76E9D">
        <w:t xml:space="preserve">Similar impact studies are underway or being planned in </w:t>
      </w:r>
      <w:r w:rsidR="002B2460">
        <w:t>PNG h</w:t>
      </w:r>
      <w:r w:rsidR="005A52E5">
        <w:t xml:space="preserve">ealth and </w:t>
      </w:r>
      <w:r w:rsidR="002B2460">
        <w:t>l</w:t>
      </w:r>
      <w:r w:rsidR="005A52E5">
        <w:t xml:space="preserve">aw and </w:t>
      </w:r>
      <w:r w:rsidR="002B2460">
        <w:t>j</w:t>
      </w:r>
      <w:r w:rsidR="005A52E5">
        <w:t xml:space="preserve">ustice </w:t>
      </w:r>
      <w:r w:rsidR="002B2460">
        <w:t>p</w:t>
      </w:r>
      <w:r w:rsidR="00477D04">
        <w:t>rograms</w:t>
      </w:r>
      <w:r w:rsidR="00B76E9D">
        <w:t xml:space="preserve">. </w:t>
      </w:r>
    </w:p>
    <w:p w14:paraId="0B70F66B" w14:textId="77777777" w:rsidR="00515C69" w:rsidRDefault="00515C69" w:rsidP="00515C69">
      <w:pPr>
        <w:pStyle w:val="BodyText"/>
      </w:pPr>
    </w:p>
    <w:tbl>
      <w:tblPr>
        <w:tblStyle w:val="TableGrid"/>
        <w:tblW w:w="0" w:type="auto"/>
        <w:shd w:val="clear" w:color="auto" w:fill="C6D9F1" w:themeFill="text2" w:themeFillTint="33"/>
        <w:tblLook w:val="04A0" w:firstRow="1" w:lastRow="0" w:firstColumn="1" w:lastColumn="0" w:noHBand="0" w:noVBand="1"/>
      </w:tblPr>
      <w:tblGrid>
        <w:gridCol w:w="8494"/>
      </w:tblGrid>
      <w:tr w:rsidR="00515C69" w14:paraId="0B70F676" w14:textId="77777777" w:rsidTr="001E7728">
        <w:tc>
          <w:tcPr>
            <w:tcW w:w="8494" w:type="dxa"/>
            <w:shd w:val="clear" w:color="auto" w:fill="C6D9F1" w:themeFill="text2" w:themeFillTint="33"/>
          </w:tcPr>
          <w:p w14:paraId="0B70F66C" w14:textId="77777777" w:rsidR="00515C69" w:rsidRPr="00B76E9D" w:rsidRDefault="00515C69" w:rsidP="00515C69">
            <w:pPr>
              <w:pStyle w:val="BoxHeading1"/>
            </w:pPr>
            <w:r>
              <w:t xml:space="preserve">Box 2: Road maintenance: </w:t>
            </w:r>
            <w:r w:rsidRPr="00B76E9D">
              <w:t xml:space="preserve">Evidence of </w:t>
            </w:r>
            <w:r>
              <w:t xml:space="preserve">the positive </w:t>
            </w:r>
            <w:r w:rsidRPr="00B76E9D">
              <w:t>impact on the lives of people living in poverty</w:t>
            </w:r>
          </w:p>
          <w:p w14:paraId="0B70F66D" w14:textId="77777777" w:rsidR="00515C69" w:rsidRPr="00B76E9D" w:rsidRDefault="00515C69" w:rsidP="00515C69">
            <w:pPr>
              <w:pStyle w:val="BoxText"/>
            </w:pPr>
            <w:r w:rsidRPr="00B76E9D">
              <w:t>Australia’s support for road maintenance directly provided Papuan New Guineans</w:t>
            </w:r>
            <w:r>
              <w:t xml:space="preserve"> with</w:t>
            </w:r>
            <w:r w:rsidRPr="00B76E9D">
              <w:t xml:space="preserve"> improved mobility and access to markets and basic services, particularly women and vulnerable groups</w:t>
            </w:r>
            <w:r>
              <w:t>. The independent S</w:t>
            </w:r>
            <w:r w:rsidRPr="00B76E9D">
              <w:t xml:space="preserve">ocio-economic </w:t>
            </w:r>
            <w:r>
              <w:t>P</w:t>
            </w:r>
            <w:r w:rsidRPr="00B76E9D">
              <w:t xml:space="preserve">erformance </w:t>
            </w:r>
            <w:r>
              <w:t>S</w:t>
            </w:r>
            <w:r w:rsidRPr="00B76E9D">
              <w:t xml:space="preserve">tory </w:t>
            </w:r>
            <w:r>
              <w:t>I</w:t>
            </w:r>
            <w:r w:rsidRPr="00B76E9D">
              <w:t xml:space="preserve">mpact </w:t>
            </w:r>
            <w:r>
              <w:t>S</w:t>
            </w:r>
            <w:r w:rsidRPr="00B76E9D">
              <w:t xml:space="preserve">tudy undertaken in 2012 found that in </w:t>
            </w:r>
            <w:r>
              <w:t>six</w:t>
            </w:r>
            <w:r w:rsidRPr="00B76E9D">
              <w:t xml:space="preserve"> villages along the national priority roads, overall road improvements contributed to</w:t>
            </w:r>
            <w:r>
              <w:t xml:space="preserve"> increased</w:t>
            </w:r>
            <w:r w:rsidRPr="00B76E9D">
              <w:t xml:space="preserve">: </w:t>
            </w:r>
          </w:p>
          <w:p w14:paraId="0B70F66E" w14:textId="77777777" w:rsidR="00515C69" w:rsidRPr="00B76E9D" w:rsidRDefault="00515C69" w:rsidP="00515C69">
            <w:pPr>
              <w:pStyle w:val="BoxListBullet"/>
            </w:pPr>
            <w:r w:rsidRPr="00B76E9D">
              <w:t xml:space="preserve">access to markets (mentioned </w:t>
            </w:r>
            <w:r>
              <w:t>by</w:t>
            </w:r>
            <w:r w:rsidRPr="00B76E9D">
              <w:t xml:space="preserve"> 56</w:t>
            </w:r>
            <w:r>
              <w:t xml:space="preserve"> per cent</w:t>
            </w:r>
            <w:r w:rsidRPr="00B76E9D">
              <w:t xml:space="preserve"> of all interviews and by 64</w:t>
            </w:r>
            <w:r>
              <w:t xml:space="preserve"> per cent</w:t>
            </w:r>
            <w:r w:rsidRPr="00B76E9D">
              <w:t xml:space="preserve"> of female interviewees)</w:t>
            </w:r>
          </w:p>
          <w:p w14:paraId="0B70F66F" w14:textId="77777777" w:rsidR="00515C69" w:rsidRPr="00B76E9D" w:rsidRDefault="00515C69" w:rsidP="00515C69">
            <w:pPr>
              <w:pStyle w:val="BoxListBullet"/>
            </w:pPr>
            <w:r w:rsidRPr="00B76E9D">
              <w:t>quality of life or living standards (mentioned by 39</w:t>
            </w:r>
            <w:r>
              <w:t xml:space="preserve"> per cent</w:t>
            </w:r>
            <w:r w:rsidRPr="00B76E9D">
              <w:t xml:space="preserve"> of all </w:t>
            </w:r>
            <w:r>
              <w:t xml:space="preserve">interviewees </w:t>
            </w:r>
            <w:r w:rsidRPr="00B76E9D">
              <w:t xml:space="preserve">and </w:t>
            </w:r>
            <w:r>
              <w:t xml:space="preserve">by </w:t>
            </w:r>
            <w:r w:rsidRPr="00B76E9D">
              <w:t>27</w:t>
            </w:r>
            <w:r>
              <w:t>  per cent</w:t>
            </w:r>
            <w:r w:rsidRPr="00B76E9D">
              <w:t xml:space="preserve"> of female interview</w:t>
            </w:r>
            <w:r>
              <w:t>ee</w:t>
            </w:r>
            <w:r w:rsidRPr="00B76E9D">
              <w:t>s)</w:t>
            </w:r>
          </w:p>
          <w:p w14:paraId="0B70F670" w14:textId="77777777" w:rsidR="00515C69" w:rsidRPr="00B76E9D" w:rsidRDefault="00515C69" w:rsidP="00515C69">
            <w:pPr>
              <w:pStyle w:val="BoxListBullet"/>
            </w:pPr>
            <w:r w:rsidRPr="00B76E9D">
              <w:t xml:space="preserve">quality of life resulting from reduced travel time </w:t>
            </w:r>
            <w:r>
              <w:t>(</w:t>
            </w:r>
            <w:r w:rsidRPr="00B76E9D">
              <w:t>mentioned by 35</w:t>
            </w:r>
            <w:r>
              <w:t xml:space="preserve"> per cent</w:t>
            </w:r>
            <w:r w:rsidRPr="00B76E9D">
              <w:t xml:space="preserve"> of all</w:t>
            </w:r>
            <w:r>
              <w:t xml:space="preserve"> interviewees</w:t>
            </w:r>
            <w:r w:rsidRPr="00B76E9D">
              <w:t xml:space="preserve"> and 38</w:t>
            </w:r>
            <w:r>
              <w:t xml:space="preserve"> per cent</w:t>
            </w:r>
            <w:r w:rsidRPr="00B76E9D">
              <w:t xml:space="preserve"> of female interviewees)</w:t>
            </w:r>
          </w:p>
          <w:p w14:paraId="0B70F671" w14:textId="77777777" w:rsidR="00515C69" w:rsidRPr="00515C69" w:rsidRDefault="00515C69" w:rsidP="00515C69">
            <w:pPr>
              <w:pStyle w:val="BoxListBullet"/>
              <w:rPr>
                <w:rFonts w:cstheme="minorHAnsi"/>
                <w:color w:val="4BACC6" w:themeColor="accent5"/>
              </w:rPr>
            </w:pPr>
            <w:r w:rsidRPr="00B76E9D">
              <w:t>access to services</w:t>
            </w:r>
            <w:r>
              <w:t>,</w:t>
            </w:r>
            <w:r w:rsidRPr="00B76E9D">
              <w:t xml:space="preserve"> including health (</w:t>
            </w:r>
            <w:r>
              <w:t xml:space="preserve">mentioned by </w:t>
            </w:r>
            <w:r w:rsidRPr="00B76E9D">
              <w:t>28</w:t>
            </w:r>
            <w:r>
              <w:t xml:space="preserve"> per cent of</w:t>
            </w:r>
            <w:r w:rsidRPr="00B76E9D">
              <w:t xml:space="preserve"> all</w:t>
            </w:r>
            <w:r>
              <w:t xml:space="preserve"> interviewees and by</w:t>
            </w:r>
            <w:r w:rsidRPr="00B76E9D">
              <w:t>38</w:t>
            </w:r>
            <w:r>
              <w:t> per cent</w:t>
            </w:r>
            <w:r w:rsidRPr="00B76E9D">
              <w:t xml:space="preserve"> </w:t>
            </w:r>
            <w:r>
              <w:t>of female interviewees</w:t>
            </w:r>
            <w:r w:rsidRPr="00B76E9D">
              <w:t>) and education (</w:t>
            </w:r>
            <w:r>
              <w:t xml:space="preserve">mentioned by </w:t>
            </w:r>
            <w:r w:rsidRPr="00B76E9D">
              <w:t>28</w:t>
            </w:r>
            <w:r>
              <w:t xml:space="preserve"> per cent</w:t>
            </w:r>
            <w:r w:rsidRPr="00B76E9D">
              <w:t xml:space="preserve"> </w:t>
            </w:r>
            <w:r>
              <w:t xml:space="preserve">of </w:t>
            </w:r>
            <w:r w:rsidRPr="00B76E9D">
              <w:t>all</w:t>
            </w:r>
            <w:r>
              <w:t xml:space="preserve"> and  by </w:t>
            </w:r>
            <w:r w:rsidRPr="00B76E9D">
              <w:t>31</w:t>
            </w:r>
            <w:r>
              <w:t xml:space="preserve"> per cent</w:t>
            </w:r>
            <w:r w:rsidRPr="00B76E9D">
              <w:t xml:space="preserve"> </w:t>
            </w:r>
            <w:r>
              <w:t>of female interviewees</w:t>
            </w:r>
            <w:r w:rsidRPr="00B76E9D">
              <w:t>)</w:t>
            </w:r>
            <w:r>
              <w:t>.</w:t>
            </w:r>
          </w:p>
          <w:p w14:paraId="0B70F672" w14:textId="77777777" w:rsidR="00FD4957" w:rsidRDefault="00FD4957" w:rsidP="00515C69">
            <w:pPr>
              <w:pStyle w:val="BoxQuote"/>
            </w:pPr>
          </w:p>
          <w:p w14:paraId="0B70F673" w14:textId="77777777" w:rsidR="00515C69" w:rsidRPr="00515C69" w:rsidRDefault="00515C69" w:rsidP="00515C69">
            <w:pPr>
              <w:pStyle w:val="BoxQuote"/>
            </w:pPr>
            <w:r w:rsidRPr="00515C69">
              <w:t xml:space="preserve">The important thing is transport; we needed transport to take our copra and cocoa to the market. When they built this road, it provided an important service for us. The women also had a chance to make their own money through selling sweet potato, taro and other things like betel nut and mustard. In order for them to go to the market they have to use the road. The road brought about development, this thing they call development is the road. </w:t>
            </w:r>
          </w:p>
          <w:p w14:paraId="0B70F674" w14:textId="77777777" w:rsidR="00515C69" w:rsidRDefault="00515C69" w:rsidP="00515C69">
            <w:pPr>
              <w:pStyle w:val="BoxQuote"/>
            </w:pPr>
            <w:r w:rsidRPr="004B62E6">
              <w:t xml:space="preserve">Village </w:t>
            </w:r>
            <w:r>
              <w:t>C</w:t>
            </w:r>
            <w:r w:rsidRPr="004B62E6">
              <w:t>hief (male</w:t>
            </w:r>
            <w:r>
              <w:t>,</w:t>
            </w:r>
            <w:r w:rsidRPr="004B62E6">
              <w:t xml:space="preserve"> Group </w:t>
            </w:r>
            <w:r>
              <w:t>2</w:t>
            </w:r>
            <w:r w:rsidRPr="004B62E6">
              <w:t>), Lasigi recording 120309_005</w:t>
            </w:r>
          </w:p>
          <w:p w14:paraId="0B70F675" w14:textId="77777777" w:rsidR="00515C69" w:rsidRPr="00515C69" w:rsidRDefault="00515C69" w:rsidP="00515C69">
            <w:pPr>
              <w:pStyle w:val="BoxText"/>
            </w:pPr>
            <w:r w:rsidRPr="00B76E9D">
              <w:t>The impact study also highlighted the importance of embedding road safety elements in road</w:t>
            </w:r>
            <w:r>
              <w:t>,</w:t>
            </w:r>
            <w:r w:rsidRPr="00B76E9D">
              <w:t xml:space="preserve"> with 42 per cent</w:t>
            </w:r>
            <w:r>
              <w:t xml:space="preserve"> of interviewees</w:t>
            </w:r>
            <w:r w:rsidRPr="00B76E9D">
              <w:t xml:space="preserve"> identifying concerns about pedestrian safety and 39 per cent raising road safety relating to drivers. Interviewees</w:t>
            </w:r>
            <w:r>
              <w:t xml:space="preserve"> (41 per cent)</w:t>
            </w:r>
            <w:r w:rsidRPr="00B76E9D">
              <w:t xml:space="preserve"> also noted increased concerns that improved mobility through road improvements</w:t>
            </w:r>
            <w:r>
              <w:t xml:space="preserve"> had</w:t>
            </w:r>
            <w:r w:rsidRPr="00B76E9D">
              <w:t xml:space="preserve"> increased access to alcohol and drugs and other outside influences.</w:t>
            </w:r>
          </w:p>
        </w:tc>
      </w:tr>
    </w:tbl>
    <w:p w14:paraId="0B70F677" w14:textId="77777777" w:rsidR="008934B0" w:rsidRDefault="008934B0" w:rsidP="008934B0">
      <w:pPr>
        <w:rPr>
          <w:rFonts w:cstheme="minorHAnsi"/>
        </w:rPr>
      </w:pPr>
    </w:p>
    <w:p w14:paraId="0B70F678" w14:textId="77777777" w:rsidR="008934B0" w:rsidRPr="00D32773" w:rsidRDefault="005F1932" w:rsidP="00515C69">
      <w:pPr>
        <w:pStyle w:val="BodyText"/>
      </w:pPr>
      <w:r w:rsidRPr="00D32773">
        <w:t xml:space="preserve">Road safety </w:t>
      </w:r>
      <w:r>
        <w:t>is</w:t>
      </w:r>
      <w:r w:rsidRPr="00D32773">
        <w:t xml:space="preserve"> a growing problem in PNG and Australia </w:t>
      </w:r>
      <w:r w:rsidR="008776E9">
        <w:t>ha</w:t>
      </w:r>
      <w:r w:rsidR="005257A8">
        <w:t>s</w:t>
      </w:r>
      <w:r w:rsidR="008776E9">
        <w:t xml:space="preserve"> supported</w:t>
      </w:r>
      <w:r w:rsidRPr="00D32773">
        <w:t xml:space="preserve"> improved road safety </w:t>
      </w:r>
      <w:r w:rsidR="008776E9">
        <w:t xml:space="preserve">partly because of </w:t>
      </w:r>
      <w:r w:rsidRPr="00D32773">
        <w:t>the lack of capacity of the National Road S</w:t>
      </w:r>
      <w:r>
        <w:t xml:space="preserve">afety Research Council. </w:t>
      </w:r>
      <w:r w:rsidR="005257A8">
        <w:t>Australia</w:t>
      </w:r>
      <w:r w:rsidR="008776E9">
        <w:t xml:space="preserve"> ha</w:t>
      </w:r>
      <w:r w:rsidR="005257A8">
        <w:t>s</w:t>
      </w:r>
      <w:r w:rsidR="008776E9">
        <w:t xml:space="preserve"> supported the </w:t>
      </w:r>
      <w:r w:rsidR="008934B0">
        <w:t>training</w:t>
      </w:r>
      <w:r w:rsidR="009D653A">
        <w:t xml:space="preserve"> of</w:t>
      </w:r>
      <w:r w:rsidR="008934B0">
        <w:t xml:space="preserve"> </w:t>
      </w:r>
      <w:r w:rsidR="008934B0" w:rsidRPr="00D32773">
        <w:t xml:space="preserve">traffic police and </w:t>
      </w:r>
      <w:r w:rsidR="008776E9">
        <w:t>struck an agreement</w:t>
      </w:r>
      <w:r w:rsidR="008934B0" w:rsidRPr="00D32773">
        <w:t xml:space="preserve"> to develop road safety education materials for school teachers.</w:t>
      </w:r>
      <w:r w:rsidR="005A52E5">
        <w:rPr>
          <w:rStyle w:val="FootnoteReference"/>
          <w:rFonts w:cstheme="minorHAnsi"/>
        </w:rPr>
        <w:footnoteReference w:id="49"/>
      </w:r>
      <w:r>
        <w:t xml:space="preserve"> </w:t>
      </w:r>
      <w:r w:rsidR="008934B0" w:rsidRPr="00D32773">
        <w:t>A road safety audit was included in the design of the Wapanamanda</w:t>
      </w:r>
      <w:r w:rsidR="008776E9">
        <w:t xml:space="preserve"> – </w:t>
      </w:r>
      <w:r w:rsidR="008934B0" w:rsidRPr="00D32773">
        <w:t xml:space="preserve">Wabag road rehabilitation works to </w:t>
      </w:r>
      <w:r w:rsidR="008776E9">
        <w:t>ensure</w:t>
      </w:r>
      <w:r w:rsidR="008776E9" w:rsidRPr="00D32773">
        <w:t xml:space="preserve"> </w:t>
      </w:r>
      <w:r w:rsidR="008934B0" w:rsidRPr="00D32773">
        <w:t xml:space="preserve">road safety issues and concerns </w:t>
      </w:r>
      <w:r w:rsidR="009D653A">
        <w:t>were</w:t>
      </w:r>
      <w:r w:rsidR="009D653A" w:rsidRPr="00D32773">
        <w:t xml:space="preserve"> </w:t>
      </w:r>
      <w:r w:rsidR="008934B0" w:rsidRPr="00D32773">
        <w:t>consider</w:t>
      </w:r>
      <w:r w:rsidR="008776E9">
        <w:t>ed</w:t>
      </w:r>
      <w:r w:rsidR="008934B0" w:rsidRPr="00D32773">
        <w:t xml:space="preserve"> from the beginning</w:t>
      </w:r>
      <w:r w:rsidR="00477514">
        <w:t xml:space="preserve">. </w:t>
      </w:r>
      <w:r w:rsidR="008934B0" w:rsidRPr="00D32773">
        <w:t xml:space="preserve"> </w:t>
      </w:r>
    </w:p>
    <w:p w14:paraId="0B70F679" w14:textId="77777777" w:rsidR="008934B0" w:rsidRDefault="008934B0" w:rsidP="00515C69">
      <w:pPr>
        <w:pStyle w:val="BodyText"/>
      </w:pPr>
      <w:r w:rsidRPr="00D32773">
        <w:lastRenderedPageBreak/>
        <w:t xml:space="preserve">Australia </w:t>
      </w:r>
      <w:r>
        <w:t xml:space="preserve">also </w:t>
      </w:r>
      <w:r w:rsidRPr="00D32773">
        <w:t>contributed to</w:t>
      </w:r>
      <w:r>
        <w:t xml:space="preserve"> the</w:t>
      </w:r>
      <w:r w:rsidRPr="00D32773">
        <w:t xml:space="preserve"> </w:t>
      </w:r>
      <w:r>
        <w:t>Partnership for Development</w:t>
      </w:r>
      <w:r w:rsidRPr="00D32773">
        <w:t xml:space="preserve"> target of aviation and maritime transport services</w:t>
      </w:r>
      <w:r w:rsidR="009D653A">
        <w:t>,</w:t>
      </w:r>
      <w:r w:rsidRPr="00D32773">
        <w:t xml:space="preserve"> moving towards full compliance with international safety and security stand</w:t>
      </w:r>
      <w:r>
        <w:t>ards.</w:t>
      </w:r>
      <w:r>
        <w:rPr>
          <w:rStyle w:val="FootnoteReference"/>
          <w:rFonts w:cstheme="minorHAnsi"/>
        </w:rPr>
        <w:footnoteReference w:id="50"/>
      </w:r>
      <w:r>
        <w:t xml:space="preserve"> A</w:t>
      </w:r>
      <w:r w:rsidRPr="00D32773">
        <w:t xml:space="preserve">ctivities </w:t>
      </w:r>
      <w:r>
        <w:t>included</w:t>
      </w:r>
      <w:r w:rsidRPr="00D32773">
        <w:t>:</w:t>
      </w:r>
    </w:p>
    <w:p w14:paraId="0B70F67A" w14:textId="77777777" w:rsidR="008934B0" w:rsidRPr="00D32773" w:rsidRDefault="008934B0" w:rsidP="00515C69">
      <w:pPr>
        <w:pStyle w:val="ListBullet"/>
      </w:pPr>
      <w:r w:rsidRPr="00D32773">
        <w:t xml:space="preserve">upgrades to the Nadzab airport and satellite ability </w:t>
      </w:r>
    </w:p>
    <w:p w14:paraId="0B70F67B" w14:textId="77777777" w:rsidR="008934B0" w:rsidRPr="00D32773" w:rsidRDefault="005F1932" w:rsidP="00515C69">
      <w:pPr>
        <w:pStyle w:val="ListBullet"/>
      </w:pPr>
      <w:r>
        <w:t xml:space="preserve">support </w:t>
      </w:r>
      <w:r w:rsidR="00B12AFC">
        <w:t xml:space="preserve">of </w:t>
      </w:r>
      <w:r w:rsidR="008934B0" w:rsidRPr="00D32773">
        <w:t>two</w:t>
      </w:r>
      <w:r w:rsidR="008934B0">
        <w:t xml:space="preserve"> major air crash investigations</w:t>
      </w:r>
    </w:p>
    <w:p w14:paraId="0B70F67C" w14:textId="77777777" w:rsidR="008934B0" w:rsidRPr="00D32773" w:rsidRDefault="002D18B0" w:rsidP="00515C69">
      <w:pPr>
        <w:pStyle w:val="ListBullet"/>
      </w:pPr>
      <w:r>
        <w:t xml:space="preserve">support </w:t>
      </w:r>
      <w:r w:rsidR="00B12AFC">
        <w:t xml:space="preserve">of </w:t>
      </w:r>
      <w:r>
        <w:t>the</w:t>
      </w:r>
      <w:r w:rsidR="008934B0" w:rsidRPr="00D32773">
        <w:t xml:space="preserve"> Commission of Enquiry on the sinking of the </w:t>
      </w:r>
      <w:r w:rsidR="008934B0" w:rsidRPr="005257A8">
        <w:rPr>
          <w:i/>
        </w:rPr>
        <w:t>MV Rabaul Queen</w:t>
      </w:r>
    </w:p>
    <w:p w14:paraId="0B70F67D" w14:textId="77777777" w:rsidR="008934B0" w:rsidRPr="00D32773" w:rsidRDefault="00653979" w:rsidP="00515C69">
      <w:pPr>
        <w:pStyle w:val="ListBullet"/>
      </w:pPr>
      <w:r>
        <w:t>s</w:t>
      </w:r>
      <w:r w:rsidR="00477D04" w:rsidRPr="00D32773">
        <w:t>earch</w:t>
      </w:r>
      <w:r w:rsidR="008934B0" w:rsidRPr="00D32773">
        <w:t xml:space="preserve"> and </w:t>
      </w:r>
      <w:r>
        <w:t>r</w:t>
      </w:r>
      <w:r w:rsidR="008934B0" w:rsidRPr="00D32773">
        <w:t xml:space="preserve">escue </w:t>
      </w:r>
      <w:r>
        <w:t>g</w:t>
      </w:r>
      <w:r w:rsidR="008934B0" w:rsidRPr="00D32773">
        <w:t xml:space="preserve">ap </w:t>
      </w:r>
      <w:r>
        <w:t>a</w:t>
      </w:r>
      <w:r w:rsidR="008934B0" w:rsidRPr="00D32773">
        <w:t>nalysis</w:t>
      </w:r>
    </w:p>
    <w:p w14:paraId="0B70F67E" w14:textId="77777777" w:rsidR="008934B0" w:rsidRPr="00D32773" w:rsidRDefault="008934B0" w:rsidP="00515C69">
      <w:pPr>
        <w:pStyle w:val="ListBullet"/>
      </w:pPr>
      <w:r w:rsidRPr="00D32773">
        <w:t>legislative reforms in the maritime sector to progress toward international safety standards and a more up</w:t>
      </w:r>
      <w:r w:rsidR="008776E9">
        <w:t>-</w:t>
      </w:r>
      <w:r w:rsidRPr="00D32773">
        <w:t>to</w:t>
      </w:r>
      <w:r w:rsidR="008776E9">
        <w:t>-</w:t>
      </w:r>
      <w:r w:rsidRPr="00D32773">
        <w:t>date maritime governance framework.</w:t>
      </w:r>
    </w:p>
    <w:p w14:paraId="0B70F67F" w14:textId="77777777" w:rsidR="008934B0" w:rsidRDefault="008934B0" w:rsidP="00515C69">
      <w:pPr>
        <w:pStyle w:val="BodyText"/>
      </w:pPr>
      <w:r w:rsidRPr="00D32773">
        <w:t>While</w:t>
      </w:r>
      <w:r w:rsidR="00693186" w:rsidRPr="00693186">
        <w:t xml:space="preserve"> </w:t>
      </w:r>
      <w:r w:rsidR="00693186">
        <w:t xml:space="preserve">Partnership for Development targets are </w:t>
      </w:r>
      <w:r w:rsidR="008776E9">
        <w:t xml:space="preserve">rated as </w:t>
      </w:r>
      <w:r>
        <w:t>on track</w:t>
      </w:r>
      <w:r w:rsidRPr="00D32773">
        <w:t xml:space="preserve">, </w:t>
      </w:r>
      <w:r>
        <w:t>several</w:t>
      </w:r>
      <w:r w:rsidRPr="00D32773">
        <w:t xml:space="preserve"> factors risk </w:t>
      </w:r>
      <w:r w:rsidR="008776E9">
        <w:t xml:space="preserve">are </w:t>
      </w:r>
      <w:r w:rsidRPr="00D32773">
        <w:t>undermining progress in the transport sector</w:t>
      </w:r>
      <w:r w:rsidR="0041638B">
        <w:t xml:space="preserve">. </w:t>
      </w:r>
      <w:r w:rsidRPr="00D32773">
        <w:t>Th</w:t>
      </w:r>
      <w:r>
        <w:t xml:space="preserve">ere is a </w:t>
      </w:r>
      <w:r w:rsidRPr="00D32773">
        <w:t>need for:</w:t>
      </w:r>
    </w:p>
    <w:p w14:paraId="0B70F680" w14:textId="77777777" w:rsidR="008934B0" w:rsidRPr="00D32773" w:rsidRDefault="008934B0" w:rsidP="00515C69">
      <w:pPr>
        <w:pStyle w:val="ListBullet"/>
      </w:pPr>
      <w:r w:rsidRPr="00D32773">
        <w:t xml:space="preserve">greater </w:t>
      </w:r>
      <w:r>
        <w:t xml:space="preserve">PNG </w:t>
      </w:r>
      <w:r w:rsidR="001C029F">
        <w:t>g</w:t>
      </w:r>
      <w:r>
        <w:t xml:space="preserve">overnment </w:t>
      </w:r>
      <w:r w:rsidRPr="00D32773">
        <w:t>commitment to road maintenance and its budgeting</w:t>
      </w:r>
    </w:p>
    <w:p w14:paraId="0B70F681" w14:textId="77777777" w:rsidR="008934B0" w:rsidRPr="00D32773" w:rsidRDefault="008934B0" w:rsidP="00515C69">
      <w:pPr>
        <w:pStyle w:val="ListBullet"/>
      </w:pPr>
      <w:r w:rsidRPr="00D32773">
        <w:t>procurement reform to reduce delays, cost escalations and bottlenecks</w:t>
      </w:r>
    </w:p>
    <w:p w14:paraId="0B70F682" w14:textId="77777777" w:rsidR="008934B0" w:rsidRPr="00D32773" w:rsidRDefault="008934B0" w:rsidP="00515C69">
      <w:pPr>
        <w:pStyle w:val="ListBullet"/>
      </w:pPr>
      <w:r w:rsidRPr="00D32773">
        <w:t>greater performance management and accountability across the transport sector, including through shared performance indicators</w:t>
      </w:r>
    </w:p>
    <w:p w14:paraId="0B70F683" w14:textId="77777777" w:rsidR="008934B0" w:rsidRPr="00D32773" w:rsidRDefault="008934B0" w:rsidP="00515C69">
      <w:pPr>
        <w:pStyle w:val="ListBullet"/>
      </w:pPr>
      <w:r w:rsidRPr="00D32773">
        <w:t>greater leadership and coordination among PNG transport sector agencies</w:t>
      </w:r>
    </w:p>
    <w:p w14:paraId="0B70F684" w14:textId="77777777" w:rsidR="008934B0" w:rsidRPr="00D32773" w:rsidRDefault="008934B0" w:rsidP="00515C69">
      <w:pPr>
        <w:pStyle w:val="ListBullet"/>
      </w:pPr>
      <w:r w:rsidRPr="00A522BF">
        <w:t>enhanced Australian capacity to manage a large</w:t>
      </w:r>
      <w:r w:rsidR="00A522BF">
        <w:t>r</w:t>
      </w:r>
      <w:r w:rsidR="008776E9">
        <w:t>,</w:t>
      </w:r>
      <w:r w:rsidRPr="00A522BF">
        <w:t xml:space="preserve"> </w:t>
      </w:r>
      <w:r w:rsidR="00A522BF">
        <w:t xml:space="preserve">more </w:t>
      </w:r>
      <w:r w:rsidRPr="00A522BF">
        <w:t>complex transport</w:t>
      </w:r>
      <w:r w:rsidR="00A522BF">
        <w:t xml:space="preserve"> sector</w:t>
      </w:r>
      <w:r w:rsidRPr="00A522BF">
        <w:t xml:space="preserve"> </w:t>
      </w:r>
      <w:r w:rsidR="00A522BF">
        <w:t>program</w:t>
      </w:r>
      <w:r>
        <w:t>.</w:t>
      </w:r>
    </w:p>
    <w:p w14:paraId="0B70F685" w14:textId="77777777" w:rsidR="00A21C3E" w:rsidRDefault="008934B0" w:rsidP="00A21C3E">
      <w:pPr>
        <w:pStyle w:val="BodyText"/>
      </w:pPr>
      <w:r w:rsidRPr="00D32773">
        <w:t>Australia therefore need</w:t>
      </w:r>
      <w:r w:rsidR="00EF4ED7">
        <w:t>s</w:t>
      </w:r>
      <w:r w:rsidRPr="00D32773">
        <w:t xml:space="preserve"> to engage in active and robust policy </w:t>
      </w:r>
      <w:r w:rsidR="008776E9">
        <w:t>discussion</w:t>
      </w:r>
      <w:r w:rsidR="008776E9" w:rsidRPr="00D32773">
        <w:t xml:space="preserve"> </w:t>
      </w:r>
      <w:r w:rsidRPr="00D32773">
        <w:t xml:space="preserve">with </w:t>
      </w:r>
      <w:r w:rsidR="005F1932">
        <w:t xml:space="preserve">PNG </w:t>
      </w:r>
      <w:r w:rsidR="008776E9">
        <w:t>g</w:t>
      </w:r>
      <w:r w:rsidR="005F1932">
        <w:t>overnment</w:t>
      </w:r>
      <w:r w:rsidRPr="00D32773">
        <w:t xml:space="preserve"> counterparts to: </w:t>
      </w:r>
    </w:p>
    <w:p w14:paraId="0B70F686" w14:textId="77777777" w:rsidR="008934B0" w:rsidRPr="00A522BF" w:rsidRDefault="008934B0" w:rsidP="00A21C3E">
      <w:pPr>
        <w:pStyle w:val="ListBullet"/>
      </w:pPr>
      <w:r w:rsidRPr="00D32773">
        <w:t>address multi</w:t>
      </w:r>
      <w:r w:rsidR="00B76E9D">
        <w:t>-</w:t>
      </w:r>
      <w:r w:rsidRPr="00D32773">
        <w:t xml:space="preserve">year fund flow predictability issues and systemic procurement </w:t>
      </w:r>
      <w:r w:rsidRPr="00A522BF">
        <w:t>constraints</w:t>
      </w:r>
    </w:p>
    <w:p w14:paraId="0B70F687" w14:textId="77777777" w:rsidR="008934B0" w:rsidRPr="00A522BF" w:rsidRDefault="00A522BF" w:rsidP="00A21C3E">
      <w:pPr>
        <w:pStyle w:val="ListBullet"/>
      </w:pPr>
      <w:r>
        <w:t xml:space="preserve">support PNG to </w:t>
      </w:r>
      <w:r w:rsidR="008934B0" w:rsidRPr="00A522BF">
        <w:t xml:space="preserve">address the implications of the </w:t>
      </w:r>
      <w:r w:rsidR="009D653A">
        <w:t>g</w:t>
      </w:r>
      <w:r w:rsidR="008934B0" w:rsidRPr="00A522BF">
        <w:t>overnmen</w:t>
      </w:r>
      <w:r w:rsidR="008934B0" w:rsidRPr="004161A9">
        <w:t>t’s focus on new infrastructure</w:t>
      </w:r>
      <w:r>
        <w:t xml:space="preserve">, including the </w:t>
      </w:r>
      <w:r w:rsidR="008776E9" w:rsidRPr="000F7284">
        <w:t>Infrastructure Development Authority</w:t>
      </w:r>
    </w:p>
    <w:p w14:paraId="0B70F688" w14:textId="77777777" w:rsidR="008934B0" w:rsidRPr="00D32773" w:rsidRDefault="00653979" w:rsidP="00A21C3E">
      <w:pPr>
        <w:pStyle w:val="ListBullet"/>
      </w:pPr>
      <w:r>
        <w:t>s</w:t>
      </w:r>
      <w:r w:rsidR="00477D04" w:rsidRPr="00D32773">
        <w:t>ecure</w:t>
      </w:r>
      <w:r w:rsidR="008934B0" w:rsidRPr="00D32773">
        <w:t xml:space="preserve"> continued and sustained government commitment to enhanced performance monitoring of road maintenance, improve</w:t>
      </w:r>
      <w:r w:rsidR="008776E9">
        <w:t>d</w:t>
      </w:r>
      <w:r w:rsidR="005F1932">
        <w:t xml:space="preserve"> procurement processes </w:t>
      </w:r>
      <w:r w:rsidR="008934B0" w:rsidRPr="00D32773">
        <w:t xml:space="preserve">and </w:t>
      </w:r>
      <w:r w:rsidR="008776E9">
        <w:t xml:space="preserve">better </w:t>
      </w:r>
      <w:r w:rsidR="008934B0" w:rsidRPr="00D32773">
        <w:t>road safety</w:t>
      </w:r>
      <w:r w:rsidR="008934B0">
        <w:t>.</w:t>
      </w:r>
    </w:p>
    <w:p w14:paraId="0B70F689" w14:textId="77777777" w:rsidR="008934B0" w:rsidRPr="00A21C3E" w:rsidRDefault="008934B0" w:rsidP="00A21C3E">
      <w:pPr>
        <w:pStyle w:val="Heading2"/>
      </w:pPr>
      <w:r w:rsidRPr="00A21C3E">
        <w:t xml:space="preserve">Objective 5: Public </w:t>
      </w:r>
      <w:r w:rsidR="00653979" w:rsidRPr="00A21C3E">
        <w:t>s</w:t>
      </w:r>
      <w:r w:rsidRPr="00A21C3E">
        <w:t xml:space="preserve">ector </w:t>
      </w:r>
      <w:r w:rsidR="00653979" w:rsidRPr="00A21C3E">
        <w:t>g</w:t>
      </w:r>
      <w:r w:rsidRPr="00A21C3E">
        <w:t>overnance</w:t>
      </w:r>
    </w:p>
    <w:tbl>
      <w:tblPr>
        <w:tblStyle w:val="APPR"/>
        <w:tblW w:w="5000" w:type="pct"/>
        <w:tblLook w:val="0000" w:firstRow="0" w:lastRow="0" w:firstColumn="0" w:lastColumn="0" w:noHBand="0" w:noVBand="0"/>
      </w:tblPr>
      <w:tblGrid>
        <w:gridCol w:w="7389"/>
        <w:gridCol w:w="1217"/>
      </w:tblGrid>
      <w:tr w:rsidR="006378F6" w:rsidRPr="00443639" w14:paraId="0B70F68C" w14:textId="77777777" w:rsidTr="006264ED">
        <w:trPr>
          <w:cnfStyle w:val="000000010000" w:firstRow="0" w:lastRow="0" w:firstColumn="0" w:lastColumn="0" w:oddVBand="0" w:evenVBand="0" w:oddHBand="0" w:evenHBand="1" w:firstRowFirstColumn="0" w:firstRowLastColumn="0" w:lastRowFirstColumn="0" w:lastRowLastColumn="0"/>
        </w:trPr>
        <w:tc>
          <w:tcPr>
            <w:tcW w:w="7259" w:type="dxa"/>
          </w:tcPr>
          <w:p w14:paraId="0B70F68A" w14:textId="77777777" w:rsidR="006378F6" w:rsidRPr="002960A4" w:rsidRDefault="006378F6" w:rsidP="002960A4">
            <w:pPr>
              <w:pStyle w:val="TableTextEntries"/>
            </w:pPr>
            <w:r w:rsidRPr="002960A4">
              <w:t>Strengthened national and sub-national public sector</w:t>
            </w:r>
          </w:p>
        </w:tc>
        <w:tc>
          <w:tcPr>
            <w:tcW w:w="1161" w:type="dxa"/>
            <w:shd w:val="clear" w:color="auto" w:fill="FF0000"/>
            <w:noWrap/>
          </w:tcPr>
          <w:p w14:paraId="0B70F68B" w14:textId="77777777" w:rsidR="006378F6" w:rsidRPr="002960A4" w:rsidRDefault="006378F6" w:rsidP="002960A4">
            <w:pPr>
              <w:pStyle w:val="TableTextEntries"/>
            </w:pPr>
            <w:r w:rsidRPr="002960A4">
              <w:t>Red</w:t>
            </w:r>
          </w:p>
        </w:tc>
      </w:tr>
    </w:tbl>
    <w:p w14:paraId="0B70F68D" w14:textId="77777777" w:rsidR="002724AA" w:rsidRDefault="002724AA" w:rsidP="00A21C3E">
      <w:pPr>
        <w:pStyle w:val="BodyText"/>
      </w:pPr>
    </w:p>
    <w:p w14:paraId="0B70F68E" w14:textId="77777777" w:rsidR="007A6B68" w:rsidRDefault="004F5E91" w:rsidP="00A21C3E">
      <w:pPr>
        <w:pStyle w:val="BodyText"/>
      </w:pPr>
      <w:r>
        <w:t xml:space="preserve">Australia rated progress against </w:t>
      </w:r>
      <w:r w:rsidR="007A6B68">
        <w:t>this</w:t>
      </w:r>
      <w:r>
        <w:t xml:space="preserve"> objective</w:t>
      </w:r>
      <w:r w:rsidR="007A6B68">
        <w:t xml:space="preserve"> under the Partnership for Development </w:t>
      </w:r>
      <w:r>
        <w:t>as red</w:t>
      </w:r>
      <w:r w:rsidR="001B2B81">
        <w:t xml:space="preserve"> in 2012–13</w:t>
      </w:r>
      <w:r w:rsidR="007A6B68">
        <w:t>. This rating has decreased from the amber</w:t>
      </w:r>
      <w:r>
        <w:t xml:space="preserve"> </w:t>
      </w:r>
      <w:r w:rsidR="007A6B68">
        <w:t xml:space="preserve">rating </w:t>
      </w:r>
      <w:r>
        <w:t>in 2011.</w:t>
      </w:r>
      <w:r w:rsidR="00DB21C3">
        <w:t xml:space="preserve"> </w:t>
      </w:r>
      <w:r w:rsidR="007A6B68">
        <w:t>The sector is not on tra</w:t>
      </w:r>
      <w:r w:rsidR="006A47C8">
        <w:t xml:space="preserve">ck to meeting its targets. </w:t>
      </w:r>
    </w:p>
    <w:p w14:paraId="0B70F68F" w14:textId="77777777" w:rsidR="005257A8" w:rsidRDefault="005257A8" w:rsidP="00A21C3E">
      <w:pPr>
        <w:pStyle w:val="BodyText"/>
        <w:rPr>
          <w:lang w:val="en"/>
        </w:rPr>
      </w:pPr>
      <w:r w:rsidRPr="00D068D2">
        <w:rPr>
          <w:lang w:val="en"/>
        </w:rPr>
        <w:t xml:space="preserve">Australia provided an estimated </w:t>
      </w:r>
      <w:r>
        <w:rPr>
          <w:lang w:val="en"/>
        </w:rPr>
        <w:t>$108 million</w:t>
      </w:r>
      <w:r w:rsidRPr="00D068D2">
        <w:rPr>
          <w:lang w:val="en"/>
        </w:rPr>
        <w:t xml:space="preserve"> from January 2012 to June 2013 to support better public sector governance in PNG. </w:t>
      </w:r>
      <w:r>
        <w:rPr>
          <w:lang w:val="en"/>
        </w:rPr>
        <w:t xml:space="preserve">This investment </w:t>
      </w:r>
      <w:r w:rsidRPr="00D068D2">
        <w:rPr>
          <w:lang w:val="en"/>
        </w:rPr>
        <w:t>underpins Partn</w:t>
      </w:r>
      <w:r>
        <w:rPr>
          <w:lang w:val="en"/>
        </w:rPr>
        <w:t xml:space="preserve">ership for Development priorities by </w:t>
      </w:r>
      <w:r w:rsidRPr="00D068D2">
        <w:rPr>
          <w:lang w:val="en"/>
        </w:rPr>
        <w:t>assist</w:t>
      </w:r>
      <w:r>
        <w:rPr>
          <w:lang w:val="en"/>
        </w:rPr>
        <w:t>ing</w:t>
      </w:r>
      <w:r w:rsidRPr="00D068D2">
        <w:rPr>
          <w:lang w:val="en"/>
        </w:rPr>
        <w:t xml:space="preserve"> all levels of government to be more effective and accountable </w:t>
      </w:r>
      <w:r>
        <w:rPr>
          <w:lang w:val="en"/>
        </w:rPr>
        <w:t>for</w:t>
      </w:r>
      <w:r w:rsidRPr="00D068D2">
        <w:rPr>
          <w:lang w:val="en"/>
        </w:rPr>
        <w:t xml:space="preserve"> improve</w:t>
      </w:r>
      <w:r>
        <w:rPr>
          <w:lang w:val="en"/>
        </w:rPr>
        <w:t>d</w:t>
      </w:r>
      <w:r w:rsidRPr="00D068D2">
        <w:rPr>
          <w:lang w:val="en"/>
        </w:rPr>
        <w:t xml:space="preserve"> service delivery. The three priorities for </w:t>
      </w:r>
      <w:r>
        <w:rPr>
          <w:lang w:val="en"/>
        </w:rPr>
        <w:t>our public sector governance</w:t>
      </w:r>
      <w:r w:rsidRPr="00D068D2">
        <w:rPr>
          <w:lang w:val="en"/>
        </w:rPr>
        <w:t xml:space="preserve"> program are: a stable macroeconomic environment; appropriate allocation and timely release of funds to service delivery priorities; and a public service with a culture of accountability and performance. </w:t>
      </w:r>
    </w:p>
    <w:p w14:paraId="0B70F690" w14:textId="77777777" w:rsidR="007A6B68" w:rsidRDefault="00DB21C3" w:rsidP="00A21C3E">
      <w:pPr>
        <w:pStyle w:val="BodyText"/>
      </w:pPr>
      <w:r>
        <w:lastRenderedPageBreak/>
        <w:t>Recent analysis Australia has undertaken shows that despite some governance programs performing reasonably well, they are</w:t>
      </w:r>
      <w:r w:rsidR="007A6B68">
        <w:t xml:space="preserve"> not</w:t>
      </w:r>
      <w:r>
        <w:t xml:space="preserve"> adding up to significant impact</w:t>
      </w:r>
      <w:r w:rsidR="007A6B68">
        <w:t xml:space="preserve"> overall</w:t>
      </w:r>
      <w:r>
        <w:t>. Although</w:t>
      </w:r>
      <w:r w:rsidR="007A6B68">
        <w:t xml:space="preserve"> international experience in aid development indicates that</w:t>
      </w:r>
      <w:r>
        <w:t xml:space="preserve"> improvements to governance indicators</w:t>
      </w:r>
      <w:r w:rsidR="007A6B68">
        <w:t xml:space="preserve"> are usually</w:t>
      </w:r>
      <w:r>
        <w:t xml:space="preserve"> slow</w:t>
      </w:r>
      <w:r w:rsidR="007A6B68">
        <w:t xml:space="preserve"> and</w:t>
      </w:r>
      <w:r>
        <w:t xml:space="preserve"> long-term, </w:t>
      </w:r>
      <w:r w:rsidR="007A6B68">
        <w:t xml:space="preserve">in PNG these </w:t>
      </w:r>
      <w:r>
        <w:t>have remained static for a number of years</w:t>
      </w:r>
      <w:r w:rsidR="007A6B68">
        <w:t>. This</w:t>
      </w:r>
      <w:r>
        <w:t xml:space="preserve"> prompted Australia to downgrade </w:t>
      </w:r>
      <w:r w:rsidR="007A6B68">
        <w:t>the program’s effectiveness rating.</w:t>
      </w:r>
      <w:r>
        <w:t xml:space="preserve"> </w:t>
      </w:r>
      <w:r w:rsidR="007A6B68">
        <w:t>S</w:t>
      </w:r>
      <w:r w:rsidR="005F1932" w:rsidRPr="00D068D2">
        <w:t>ome gains have been made in recent years in improving regulatory quality and preventing further declines in government effectivene</w:t>
      </w:r>
      <w:r w:rsidR="005F1932">
        <w:t>ss</w:t>
      </w:r>
      <w:r w:rsidR="007A6B68">
        <w:t>. However</w:t>
      </w:r>
      <w:r w:rsidR="005F1932">
        <w:t xml:space="preserve">, anticipated governance improvements </w:t>
      </w:r>
      <w:r w:rsidR="005F1932" w:rsidRPr="00D068D2">
        <w:t>have not eventua</w:t>
      </w:r>
      <w:r w:rsidR="005F1932" w:rsidRPr="00636F93">
        <w:t>ted</w:t>
      </w:r>
      <w:r w:rsidR="005F1932">
        <w:t>. P</w:t>
      </w:r>
      <w:r w:rsidR="005F1932" w:rsidRPr="00636F93">
        <w:t>rogress is significantly less than expecte</w:t>
      </w:r>
      <w:r w:rsidR="005F1932">
        <w:t>d and most</w:t>
      </w:r>
      <w:r w:rsidR="005F1932" w:rsidRPr="00636F93">
        <w:t xml:space="preserve"> objective</w:t>
      </w:r>
      <w:r w:rsidR="005F1932">
        <w:t>s are not likely to be met</w:t>
      </w:r>
      <w:r w:rsidR="005F1932" w:rsidRPr="00636F93">
        <w:t xml:space="preserve">. </w:t>
      </w:r>
    </w:p>
    <w:p w14:paraId="0B70F691" w14:textId="77777777" w:rsidR="005F1932" w:rsidRPr="00D068D2" w:rsidRDefault="005F1932" w:rsidP="00A21C3E">
      <w:pPr>
        <w:pStyle w:val="BodyText"/>
      </w:pPr>
      <w:r w:rsidRPr="00D068D2">
        <w:t xml:space="preserve">Incentives for reform and good governance continue to be low. Australia recognises that governance assistance needs to </w:t>
      </w:r>
      <w:r>
        <w:t>better</w:t>
      </w:r>
      <w:r w:rsidRPr="00D068D2">
        <w:t xml:space="preserve"> target service delivery bottlenecks</w:t>
      </w:r>
      <w:r>
        <w:t>,</w:t>
      </w:r>
      <w:r w:rsidRPr="00D068D2">
        <w:t xml:space="preserve"> and better understand the informal institutional settings</w:t>
      </w:r>
      <w:r w:rsidR="007A6B68">
        <w:t xml:space="preserve"> needed to </w:t>
      </w:r>
      <w:r>
        <w:t>assist government to be accountable</w:t>
      </w:r>
      <w:r w:rsidRPr="00D068D2">
        <w:t>. Australia</w:t>
      </w:r>
      <w:r w:rsidR="00D03866">
        <w:t xml:space="preserve"> needs to </w:t>
      </w:r>
      <w:r w:rsidRPr="00D068D2">
        <w:t xml:space="preserve">be more </w:t>
      </w:r>
      <w:r>
        <w:t>sophisticated</w:t>
      </w:r>
      <w:r w:rsidRPr="00D068D2">
        <w:t xml:space="preserve"> in </w:t>
      </w:r>
      <w:r>
        <w:t>its approach</w:t>
      </w:r>
      <w:r w:rsidR="00B05E74">
        <w:t xml:space="preserve"> </w:t>
      </w:r>
      <w:r w:rsidR="00D46B2C">
        <w:t xml:space="preserve">in </w:t>
      </w:r>
      <w:r w:rsidR="00B05E74">
        <w:t>supporting PNG</w:t>
      </w:r>
      <w:r>
        <w:t xml:space="preserve"> </w:t>
      </w:r>
      <w:r w:rsidR="002A0792">
        <w:t xml:space="preserve">to </w:t>
      </w:r>
      <w:r w:rsidRPr="00D068D2">
        <w:t>stimulat</w:t>
      </w:r>
      <w:r w:rsidR="002A0792">
        <w:t>e</w:t>
      </w:r>
      <w:r w:rsidRPr="00D068D2">
        <w:t xml:space="preserve"> the supply and demand sides of better government</w:t>
      </w:r>
      <w:r>
        <w:t>.</w:t>
      </w:r>
      <w:r w:rsidRPr="00D068D2">
        <w:t xml:space="preserve"> </w:t>
      </w:r>
      <w:r w:rsidR="00DB21C3">
        <w:t>Although technical assistance</w:t>
      </w:r>
      <w:r w:rsidR="007A6B68">
        <w:t xml:space="preserve"> still plays an important role</w:t>
      </w:r>
      <w:r w:rsidR="00D03866">
        <w:t xml:space="preserve"> in strategically important areas of government, technical solutions do little to strengthen incentives for governance </w:t>
      </w:r>
      <w:r w:rsidR="009C1620">
        <w:t>performance</w:t>
      </w:r>
      <w:r w:rsidR="00D03866">
        <w:t xml:space="preserve">. </w:t>
      </w:r>
    </w:p>
    <w:p w14:paraId="0B70F692" w14:textId="77777777" w:rsidR="007A6B68" w:rsidRDefault="008934B0" w:rsidP="00A21C3E">
      <w:pPr>
        <w:pStyle w:val="BodyText"/>
      </w:pPr>
      <w:r w:rsidRPr="00D068D2">
        <w:t xml:space="preserve">The 2013 </w:t>
      </w:r>
      <w:r>
        <w:t xml:space="preserve">National </w:t>
      </w:r>
      <w:r w:rsidR="00A866FA">
        <w:t>Budget</w:t>
      </w:r>
      <w:r w:rsidRPr="00D068D2">
        <w:t xml:space="preserve"> marked </w:t>
      </w:r>
      <w:r w:rsidR="00A866FA">
        <w:t xml:space="preserve">a </w:t>
      </w:r>
      <w:r w:rsidRPr="00D068D2">
        <w:t xml:space="preserve">departure from </w:t>
      </w:r>
      <w:r w:rsidR="00A866FA">
        <w:t xml:space="preserve">previous </w:t>
      </w:r>
      <w:r w:rsidRPr="00D068D2">
        <w:t xml:space="preserve">budget strategies, with </w:t>
      </w:r>
      <w:r>
        <w:t xml:space="preserve">a large budget deficit and </w:t>
      </w:r>
      <w:r w:rsidRPr="00D068D2">
        <w:t>K1.5 billion allocated directly to sub</w:t>
      </w:r>
      <w:r w:rsidR="0068085F">
        <w:t>-</w:t>
      </w:r>
      <w:r w:rsidRPr="00D068D2">
        <w:t>national governments</w:t>
      </w:r>
      <w:r>
        <w:t>. The increased sub-national budget allocation indicates a major commitment to improve service delivery</w:t>
      </w:r>
      <w:r w:rsidR="005A68E0">
        <w:t>, however it is unclear how funds will be administered and managed across provincial, district and local levels</w:t>
      </w:r>
      <w:r>
        <w:t xml:space="preserve">. </w:t>
      </w:r>
      <w:r w:rsidR="00B76E9D">
        <w:t xml:space="preserve">It is unlikely that </w:t>
      </w:r>
      <w:r>
        <w:t xml:space="preserve">PNG’s sub-national systems </w:t>
      </w:r>
      <w:r w:rsidR="00B76E9D">
        <w:t xml:space="preserve">will </w:t>
      </w:r>
      <w:r>
        <w:t xml:space="preserve">cope with this </w:t>
      </w:r>
      <w:r w:rsidRPr="0077449E">
        <w:t xml:space="preserve">increase. </w:t>
      </w:r>
    </w:p>
    <w:p w14:paraId="0B70F693" w14:textId="77777777" w:rsidR="0065233D" w:rsidRDefault="007A6B68" w:rsidP="00A21C3E">
      <w:pPr>
        <w:pStyle w:val="BodyText"/>
      </w:pPr>
      <w:r>
        <w:t>I</w:t>
      </w:r>
      <w:r w:rsidR="0077449E" w:rsidRPr="0077449E">
        <w:t xml:space="preserve">ncreased funds are allocated under </w:t>
      </w:r>
      <w:r>
        <w:t>s</w:t>
      </w:r>
      <w:r w:rsidR="0077449E" w:rsidRPr="0077449E">
        <w:t xml:space="preserve">ervice </w:t>
      </w:r>
      <w:r>
        <w:t>i</w:t>
      </w:r>
      <w:r w:rsidR="0077449E" w:rsidRPr="0077449E">
        <w:t xml:space="preserve">mprovement </w:t>
      </w:r>
      <w:r>
        <w:t>p</w:t>
      </w:r>
      <w:r w:rsidR="0077449E" w:rsidRPr="0077449E">
        <w:t xml:space="preserve">rograms and include funds for </w:t>
      </w:r>
      <w:r w:rsidR="00BB1028">
        <w:t>p</w:t>
      </w:r>
      <w:r w:rsidR="0077449E" w:rsidRPr="0077449E">
        <w:t>rovinc</w:t>
      </w:r>
      <w:r>
        <w:t>ial</w:t>
      </w:r>
      <w:r w:rsidR="0077449E" w:rsidRPr="0077449E">
        <w:t xml:space="preserve">, </w:t>
      </w:r>
      <w:r w:rsidR="00BB1028">
        <w:t>d</w:t>
      </w:r>
      <w:r w:rsidR="0077449E" w:rsidRPr="0077449E">
        <w:t xml:space="preserve">istrict and </w:t>
      </w:r>
      <w:r w:rsidR="00BB1028">
        <w:t>l</w:t>
      </w:r>
      <w:r w:rsidR="0077449E" w:rsidRPr="0077449E">
        <w:t xml:space="preserve">ocal </w:t>
      </w:r>
      <w:r w:rsidR="00BB1028">
        <w:t>l</w:t>
      </w:r>
      <w:r w:rsidR="0077449E" w:rsidRPr="0077449E">
        <w:t>evel</w:t>
      </w:r>
      <w:r>
        <w:t>s</w:t>
      </w:r>
      <w:r w:rsidR="0077449E" w:rsidRPr="0077449E">
        <w:t>.</w:t>
      </w:r>
      <w:r w:rsidR="0077449E">
        <w:rPr>
          <w:rStyle w:val="FootnoteReference"/>
        </w:rPr>
        <w:footnoteReference w:id="51"/>
      </w:r>
      <w:r w:rsidR="00C446BC">
        <w:t xml:space="preserve"> </w:t>
      </w:r>
      <w:r>
        <w:t xml:space="preserve">The </w:t>
      </w:r>
      <w:r w:rsidR="008934B0" w:rsidRPr="0077449E">
        <w:t>District Services</w:t>
      </w:r>
      <w:r w:rsidR="008934B0" w:rsidRPr="00D068D2">
        <w:t xml:space="preserve"> Improvement Program</w:t>
      </w:r>
      <w:r w:rsidR="008934B0">
        <w:t xml:space="preserve"> funds were significantly under</w:t>
      </w:r>
      <w:r w:rsidR="005F1932">
        <w:t>-</w:t>
      </w:r>
      <w:r w:rsidR="008934B0">
        <w:t>expended in recent years</w:t>
      </w:r>
      <w:r>
        <w:t xml:space="preserve">. Also, </w:t>
      </w:r>
      <w:r w:rsidR="008934B0">
        <w:t>t</w:t>
      </w:r>
      <w:r w:rsidR="008934B0" w:rsidRPr="00D068D2">
        <w:t xml:space="preserve">here </w:t>
      </w:r>
      <w:r w:rsidR="00D46B2C">
        <w:t>was</w:t>
      </w:r>
      <w:r w:rsidR="008934B0" w:rsidRPr="00D068D2">
        <w:t xml:space="preserve"> a serious lack of</w:t>
      </w:r>
      <w:r w:rsidR="008934B0">
        <w:t xml:space="preserve"> associated</w:t>
      </w:r>
      <w:r w:rsidR="008934B0" w:rsidRPr="00D068D2">
        <w:t xml:space="preserve"> reporting and litt</w:t>
      </w:r>
      <w:r w:rsidR="008934B0">
        <w:t>le evidence to demonstrate</w:t>
      </w:r>
      <w:r w:rsidR="00D46B2C">
        <w:t xml:space="preserve"> that</w:t>
      </w:r>
      <w:r w:rsidR="008934B0">
        <w:t xml:space="preserve"> </w:t>
      </w:r>
      <w:r w:rsidR="008934B0" w:rsidRPr="00D068D2">
        <w:t>funds exp</w:t>
      </w:r>
      <w:r w:rsidR="008934B0">
        <w:t xml:space="preserve">ended were used effectively </w:t>
      </w:r>
      <w:r w:rsidR="008934B0" w:rsidRPr="00D068D2">
        <w:t>for the</w:t>
      </w:r>
      <w:r>
        <w:t>ir</w:t>
      </w:r>
      <w:r w:rsidR="008934B0" w:rsidRPr="00D068D2">
        <w:t xml:space="preserve"> intended purpose. </w:t>
      </w:r>
      <w:r w:rsidR="00234C79">
        <w:t>This raises concerns</w:t>
      </w:r>
      <w:r w:rsidR="005A68E0">
        <w:t xml:space="preserve"> about the proposed increases in</w:t>
      </w:r>
      <w:r w:rsidR="00234C79">
        <w:t xml:space="preserve"> </w:t>
      </w:r>
      <w:r w:rsidR="005F1932">
        <w:t>sub</w:t>
      </w:r>
      <w:r w:rsidR="0068085F">
        <w:t>-</w:t>
      </w:r>
      <w:r w:rsidR="005F1932">
        <w:t>national funding</w:t>
      </w:r>
      <w:r w:rsidR="005A68E0">
        <w:t xml:space="preserve"> and the</w:t>
      </w:r>
      <w:r w:rsidR="00234C79">
        <w:t xml:space="preserve"> need </w:t>
      </w:r>
      <w:r w:rsidR="00BB7EEE">
        <w:t xml:space="preserve">to </w:t>
      </w:r>
      <w:r w:rsidR="00234C79">
        <w:t xml:space="preserve">better monitor </w:t>
      </w:r>
      <w:r w:rsidR="005A68E0">
        <w:t>and report</w:t>
      </w:r>
      <w:r w:rsidR="00BB7EEE">
        <w:t xml:space="preserve"> on</w:t>
      </w:r>
      <w:r w:rsidR="005F1932">
        <w:t xml:space="preserve"> spent and unspent funds. </w:t>
      </w:r>
      <w:r w:rsidR="008934B0">
        <w:t xml:space="preserve">Major barriers to </w:t>
      </w:r>
      <w:r w:rsidR="008934B0" w:rsidRPr="00D068D2">
        <w:t xml:space="preserve">effectiveness include lack of capacity of </w:t>
      </w:r>
      <w:r w:rsidR="005F1932">
        <w:t>sub</w:t>
      </w:r>
      <w:r w:rsidR="0068085F">
        <w:t>-</w:t>
      </w:r>
      <w:r w:rsidR="005F1932">
        <w:t>national</w:t>
      </w:r>
      <w:r w:rsidR="008934B0" w:rsidRPr="00D068D2">
        <w:t xml:space="preserve"> administrations</w:t>
      </w:r>
      <w:r w:rsidR="005F1932">
        <w:t xml:space="preserve"> and treasuries</w:t>
      </w:r>
      <w:r w:rsidR="008934B0" w:rsidRPr="00D068D2">
        <w:t>, lack of recurrent budget</w:t>
      </w:r>
      <w:r w:rsidR="00BB7EEE">
        <w:t>s</w:t>
      </w:r>
      <w:r w:rsidR="008934B0" w:rsidRPr="00D068D2">
        <w:t xml:space="preserve"> to manage and monitor development funds, and limited transparency and accountability </w:t>
      </w:r>
      <w:r w:rsidR="008934B0">
        <w:t>mechanisms</w:t>
      </w:r>
      <w:r w:rsidR="0041638B">
        <w:t xml:space="preserve">. </w:t>
      </w:r>
    </w:p>
    <w:p w14:paraId="0B70F694" w14:textId="77777777" w:rsidR="008934B0" w:rsidRPr="00D068D2" w:rsidRDefault="002A0792" w:rsidP="00A21C3E">
      <w:pPr>
        <w:pStyle w:val="BodyText"/>
      </w:pPr>
      <w:r>
        <w:t xml:space="preserve">The PNG Government has committed to better accountability and monitoring of public funds. </w:t>
      </w:r>
      <w:r w:rsidR="009C050C">
        <w:t>Australia has</w:t>
      </w:r>
      <w:r w:rsidR="00D221CF" w:rsidRPr="00D221CF">
        <w:t xml:space="preserve"> been assisting the</w:t>
      </w:r>
      <w:r w:rsidR="00BB7EEE">
        <w:t xml:space="preserve"> g</w:t>
      </w:r>
      <w:r w:rsidR="00D221CF" w:rsidRPr="00D221CF">
        <w:t xml:space="preserve">overnment to improve </w:t>
      </w:r>
      <w:r w:rsidR="0070767D">
        <w:t>monitoring and reporting of</w:t>
      </w:r>
      <w:r w:rsidR="00D221CF" w:rsidRPr="00D221CF">
        <w:t xml:space="preserve"> </w:t>
      </w:r>
      <w:r w:rsidR="004B62E6">
        <w:t>(</w:t>
      </w:r>
      <w:r w:rsidR="00D46B2C">
        <w:t>d</w:t>
      </w:r>
      <w:r w:rsidR="004B62E6">
        <w:t xml:space="preserve">istrict and </w:t>
      </w:r>
      <w:r w:rsidR="00D46B2C">
        <w:t>p</w:t>
      </w:r>
      <w:r w:rsidR="004B62E6">
        <w:t xml:space="preserve">rovincial) </w:t>
      </w:r>
      <w:r w:rsidR="00D221CF" w:rsidRPr="00D221CF">
        <w:t xml:space="preserve">Service Improvement Program funding. Most recently this resulted in </w:t>
      </w:r>
      <w:r w:rsidR="0070767D">
        <w:t>issuing</w:t>
      </w:r>
      <w:r w:rsidR="00D221CF" w:rsidRPr="00D221CF">
        <w:t xml:space="preserve"> of new financial instructions, to establish greater control on </w:t>
      </w:r>
      <w:r w:rsidR="00BB7EEE">
        <w:t>using</w:t>
      </w:r>
      <w:r w:rsidR="00D221CF" w:rsidRPr="00D221CF">
        <w:t xml:space="preserve"> and reporting of grant funds through the Provincial Government Accounting </w:t>
      </w:r>
      <w:r w:rsidR="00427486">
        <w:t>S</w:t>
      </w:r>
      <w:r w:rsidR="00D221CF" w:rsidRPr="00D221CF">
        <w:t>ystem and new Chart of Accounts</w:t>
      </w:r>
      <w:r w:rsidR="0041638B">
        <w:t xml:space="preserve">. </w:t>
      </w:r>
    </w:p>
    <w:p w14:paraId="0B70F695" w14:textId="77777777" w:rsidR="008934B0" w:rsidRPr="00D068D2" w:rsidRDefault="008934B0" w:rsidP="00A21C3E">
      <w:pPr>
        <w:pStyle w:val="Heading3"/>
      </w:pPr>
      <w:r w:rsidRPr="00D068D2">
        <w:t xml:space="preserve">A stable macroeconomic environment </w:t>
      </w:r>
    </w:p>
    <w:p w14:paraId="0B70F696" w14:textId="77777777" w:rsidR="008934B0" w:rsidRPr="00D068D2" w:rsidRDefault="008934B0" w:rsidP="00A21C3E">
      <w:pPr>
        <w:pStyle w:val="BodyText"/>
      </w:pPr>
      <w:r w:rsidRPr="00D068D2">
        <w:t xml:space="preserve">The macroeconomic environment in PNG continues to be stable but the risks associated with a large expansion in public expenditure and a deficit budget in 2013 need to be monitored carefully. Financial management and accountability mechanisms have improved, largely as a result of support provided </w:t>
      </w:r>
      <w:r>
        <w:t xml:space="preserve">by </w:t>
      </w:r>
      <w:r w:rsidR="00BB7EEE">
        <w:t xml:space="preserve">Australian-funded </w:t>
      </w:r>
      <w:r>
        <w:t xml:space="preserve">advisors </w:t>
      </w:r>
      <w:r w:rsidRPr="00D068D2">
        <w:t xml:space="preserve">under the </w:t>
      </w:r>
      <w:r w:rsidR="00D6724F" w:rsidRPr="00E5303B">
        <w:rPr>
          <w:rFonts w:cstheme="minorHAnsi"/>
          <w:i/>
          <w:noProof/>
          <w:color w:val="000000"/>
          <w:lang w:eastAsia="zh-CN"/>
        </w:rPr>
        <w:t>Strongim Gavman</w:t>
      </w:r>
      <w:r w:rsidR="00D6724F" w:rsidRPr="00D46B2C">
        <w:rPr>
          <w:rFonts w:cstheme="minorHAnsi"/>
          <w:noProof/>
          <w:color w:val="000000"/>
          <w:lang w:eastAsia="zh-CN"/>
        </w:rPr>
        <w:t xml:space="preserve"> </w:t>
      </w:r>
      <w:r w:rsidR="00D6724F" w:rsidRPr="00EF4ED7">
        <w:rPr>
          <w:rFonts w:cstheme="minorHAnsi"/>
          <w:i/>
          <w:noProof/>
          <w:color w:val="000000"/>
          <w:lang w:eastAsia="zh-CN"/>
        </w:rPr>
        <w:t>Program</w:t>
      </w:r>
      <w:r w:rsidR="00D6724F" w:rsidRPr="00D068D2">
        <w:t xml:space="preserve"> </w:t>
      </w:r>
      <w:r w:rsidRPr="00D068D2">
        <w:t xml:space="preserve">for the budget framework and processes. </w:t>
      </w:r>
      <w:r w:rsidR="00BB7EEE">
        <w:t xml:space="preserve">The </w:t>
      </w:r>
      <w:r w:rsidR="00D46B2C">
        <w:t>p</w:t>
      </w:r>
      <w:r w:rsidR="00D6724F">
        <w:rPr>
          <w:rFonts w:cstheme="minorHAnsi"/>
          <w:noProof/>
          <w:color w:val="000000"/>
          <w:lang w:eastAsia="zh-CN"/>
        </w:rPr>
        <w:t>rogram</w:t>
      </w:r>
      <w:r w:rsidR="00D6724F" w:rsidRPr="00D068D2">
        <w:t xml:space="preserve"> </w:t>
      </w:r>
      <w:r w:rsidRPr="00D068D2">
        <w:t>has assisted PNG Treasury</w:t>
      </w:r>
      <w:r w:rsidR="00BB7EEE">
        <w:t>’s Budget Division</w:t>
      </w:r>
      <w:r w:rsidRPr="00D068D2">
        <w:t xml:space="preserve"> to respond to the changing budget contex</w:t>
      </w:r>
      <w:r>
        <w:t>t</w:t>
      </w:r>
      <w:r w:rsidRPr="00D068D2">
        <w:t>. A number of budget reforms in train need to be tracked carefully (most notably the amalgamation of the recurrent and development budgets) through Aus</w:t>
      </w:r>
      <w:r>
        <w:t>tralia</w:t>
      </w:r>
      <w:r w:rsidRPr="00D068D2">
        <w:t>’s Budget Engagement Strategy.</w:t>
      </w:r>
    </w:p>
    <w:p w14:paraId="0B70F697" w14:textId="77777777" w:rsidR="008934B0" w:rsidRPr="00D068D2" w:rsidRDefault="008934B0" w:rsidP="00A21C3E">
      <w:pPr>
        <w:pStyle w:val="BodyText"/>
      </w:pPr>
      <w:r w:rsidRPr="00D068D2">
        <w:rPr>
          <w:lang w:val="en"/>
        </w:rPr>
        <w:lastRenderedPageBreak/>
        <w:t xml:space="preserve">The PNG Government </w:t>
      </w:r>
      <w:r>
        <w:rPr>
          <w:lang w:val="en"/>
        </w:rPr>
        <w:t>faces</w:t>
      </w:r>
      <w:r w:rsidRPr="00D068D2">
        <w:rPr>
          <w:lang w:val="en"/>
        </w:rPr>
        <w:t xml:space="preserve"> the challenge of ensuring that increasing revenues from activities such as the LNG </w:t>
      </w:r>
      <w:r w:rsidR="004459BF">
        <w:rPr>
          <w:lang w:val="en"/>
        </w:rPr>
        <w:t>p</w:t>
      </w:r>
      <w:r w:rsidRPr="00D068D2">
        <w:rPr>
          <w:lang w:val="en"/>
        </w:rPr>
        <w:t>roject make a tangible difference to th</w:t>
      </w:r>
      <w:r w:rsidR="00947CFC">
        <w:rPr>
          <w:lang w:val="en"/>
        </w:rPr>
        <w:t xml:space="preserve">e lives of Papua New Guineans. </w:t>
      </w:r>
      <w:r w:rsidR="005002B6">
        <w:t>Australian</w:t>
      </w:r>
      <w:r w:rsidR="00BB7EEE">
        <w:t>-</w:t>
      </w:r>
      <w:r w:rsidR="005002B6">
        <w:t xml:space="preserve">funded </w:t>
      </w:r>
      <w:r>
        <w:t>advisors are</w:t>
      </w:r>
      <w:r w:rsidRPr="00D068D2">
        <w:t xml:space="preserve"> </w:t>
      </w:r>
      <w:r>
        <w:t xml:space="preserve">supporting </w:t>
      </w:r>
      <w:r w:rsidR="0039205C" w:rsidRPr="0039205C">
        <w:t xml:space="preserve">the implementation of </w:t>
      </w:r>
      <w:r w:rsidR="00AB223F">
        <w:t xml:space="preserve">the </w:t>
      </w:r>
      <w:r w:rsidR="0039205C" w:rsidRPr="0039205C">
        <w:t>S</w:t>
      </w:r>
      <w:r w:rsidR="0039205C">
        <w:t xml:space="preserve">overeign </w:t>
      </w:r>
      <w:r w:rsidR="0039205C" w:rsidRPr="0039205C">
        <w:t>W</w:t>
      </w:r>
      <w:r w:rsidR="0039205C">
        <w:t xml:space="preserve">ealth </w:t>
      </w:r>
      <w:r w:rsidR="0039205C" w:rsidRPr="0039205C">
        <w:t>F</w:t>
      </w:r>
      <w:r w:rsidR="0039205C">
        <w:t xml:space="preserve">und </w:t>
      </w:r>
      <w:r w:rsidR="0039205C" w:rsidRPr="0039205C">
        <w:t xml:space="preserve">to help PNG manage </w:t>
      </w:r>
      <w:r w:rsidR="00AB223F">
        <w:t>l</w:t>
      </w:r>
      <w:r w:rsidR="00AB223F" w:rsidRPr="00A079FF">
        <w:t>iquefied</w:t>
      </w:r>
      <w:r w:rsidR="00AB223F">
        <w:t xml:space="preserve"> n</w:t>
      </w:r>
      <w:r w:rsidR="00AB223F" w:rsidRPr="00A079FF">
        <w:t xml:space="preserve">atural </w:t>
      </w:r>
      <w:r w:rsidR="00AB223F">
        <w:t>g</w:t>
      </w:r>
      <w:r w:rsidR="00AB223F" w:rsidRPr="00A079FF">
        <w:t xml:space="preserve">as </w:t>
      </w:r>
      <w:r w:rsidR="0039205C" w:rsidRPr="0039205C">
        <w:t>and other mineral resource revenues in a transparent and effective way</w:t>
      </w:r>
      <w:r w:rsidR="004F5E91">
        <w:t xml:space="preserve"> through develop</w:t>
      </w:r>
      <w:r w:rsidR="00AB223F">
        <w:t>ing</w:t>
      </w:r>
      <w:r w:rsidR="004F5E91">
        <w:t xml:space="preserve"> governance, accountability and asset management rules based on </w:t>
      </w:r>
      <w:r w:rsidR="002A12F2">
        <w:t>the</w:t>
      </w:r>
      <w:r w:rsidR="00AB223F">
        <w:t xml:space="preserve"> international best practice</w:t>
      </w:r>
      <w:r w:rsidR="002A12F2">
        <w:t xml:space="preserve"> Santiago Principles</w:t>
      </w:r>
      <w:r w:rsidR="002A12F2">
        <w:rPr>
          <w:rStyle w:val="FootnoteReference"/>
        </w:rPr>
        <w:footnoteReference w:id="52"/>
      </w:r>
      <w:r w:rsidR="00D46B2C">
        <w:t>,</w:t>
      </w:r>
      <w:r w:rsidR="002A12F2">
        <w:t xml:space="preserve"> </w:t>
      </w:r>
      <w:r w:rsidR="005002B6" w:rsidRPr="005002B6">
        <w:t>to ensure economic gains are translated into tangible outcomes for PNG.</w:t>
      </w:r>
    </w:p>
    <w:p w14:paraId="0B70F698" w14:textId="77777777" w:rsidR="008934B0" w:rsidRPr="00D068D2" w:rsidRDefault="008934B0" w:rsidP="00A21C3E">
      <w:pPr>
        <w:pStyle w:val="Heading3"/>
      </w:pPr>
      <w:r w:rsidRPr="00D068D2">
        <w:t>Appropriate allocation and timely release of funds to service delivery priorities</w:t>
      </w:r>
    </w:p>
    <w:p w14:paraId="0B70F699" w14:textId="77777777" w:rsidR="008934B0" w:rsidRPr="00D068D2" w:rsidRDefault="008934B0" w:rsidP="00A21C3E">
      <w:pPr>
        <w:pStyle w:val="BodyText"/>
      </w:pPr>
      <w:r w:rsidRPr="00D068D2">
        <w:t xml:space="preserve">PNG </w:t>
      </w:r>
      <w:r w:rsidR="00AB223F">
        <w:t>g</w:t>
      </w:r>
      <w:r w:rsidRPr="00D068D2">
        <w:t xml:space="preserve">overnment allocations to service delivery institutions increased over the </w:t>
      </w:r>
      <w:r w:rsidR="00AB223F">
        <w:t xml:space="preserve">reporting </w:t>
      </w:r>
      <w:r w:rsidRPr="00D068D2">
        <w:t>period but timely release of funds continued to be poor. The big</w:t>
      </w:r>
      <w:r w:rsidR="00AB223F">
        <w:t>-</w:t>
      </w:r>
      <w:r w:rsidRPr="00D068D2">
        <w:t xml:space="preserve">spending 2013 </w:t>
      </w:r>
      <w:r>
        <w:t xml:space="preserve">National </w:t>
      </w:r>
      <w:r w:rsidRPr="00D068D2">
        <w:t xml:space="preserve">Budget broadly meets joint commitments under the Partnership for Development at aggregate level. However, funding allocated to a number of programs </w:t>
      </w:r>
      <w:r w:rsidR="002724AA">
        <w:t xml:space="preserve">that </w:t>
      </w:r>
      <w:r w:rsidR="00B76E9D">
        <w:t>Australia</w:t>
      </w:r>
      <w:r w:rsidRPr="00D068D2">
        <w:t xml:space="preserve"> deem</w:t>
      </w:r>
      <w:r w:rsidR="00EF4ED7">
        <w:t>s</w:t>
      </w:r>
      <w:r w:rsidRPr="00D068D2">
        <w:t xml:space="preserve"> critical to </w:t>
      </w:r>
      <w:r w:rsidR="00AB223F">
        <w:t>p</w:t>
      </w:r>
      <w:r w:rsidRPr="00D068D2">
        <w:t xml:space="preserve">artnership objectives is inadequate. </w:t>
      </w:r>
    </w:p>
    <w:p w14:paraId="0B70F69A" w14:textId="77777777" w:rsidR="008934B0" w:rsidRDefault="008934B0" w:rsidP="00A21C3E">
      <w:pPr>
        <w:pStyle w:val="BodyText"/>
      </w:pPr>
      <w:r>
        <w:t xml:space="preserve">Australia’s support for the </w:t>
      </w:r>
      <w:r w:rsidRPr="004A0E8E">
        <w:t>Review of Intergovernmental Financial Arrangements</w:t>
      </w:r>
      <w:r>
        <w:t xml:space="preserve"> is </w:t>
      </w:r>
      <w:r w:rsidR="00B9559F">
        <w:t xml:space="preserve">ensuring </w:t>
      </w:r>
      <w:r w:rsidRPr="00D068D2">
        <w:t xml:space="preserve">more </w:t>
      </w:r>
      <w:r w:rsidR="00B9559F">
        <w:t>funds</w:t>
      </w:r>
      <w:r w:rsidR="00B9559F" w:rsidRPr="00D068D2">
        <w:t xml:space="preserve"> </w:t>
      </w:r>
      <w:r w:rsidR="00B9559F">
        <w:t>are</w:t>
      </w:r>
      <w:r>
        <w:t xml:space="preserve"> </w:t>
      </w:r>
      <w:r w:rsidRPr="00D068D2">
        <w:t>allocated to provinc</w:t>
      </w:r>
      <w:r w:rsidR="00464222">
        <w:t>ial</w:t>
      </w:r>
      <w:r w:rsidRPr="00D068D2">
        <w:t xml:space="preserve">, district and local level governments to meet the costs of implementing the Minimum Priority Activities. This is having a positive impact in provinces with low internal revenue. Overall, </w:t>
      </w:r>
      <w:r w:rsidR="00464222" w:rsidRPr="00D068D2">
        <w:t>provinces</w:t>
      </w:r>
      <w:r w:rsidR="00464222">
        <w:t xml:space="preserve"> that depend </w:t>
      </w:r>
      <w:r w:rsidRPr="00D068D2">
        <w:t xml:space="preserve">most on function grants have allocated a higher proportion of their budgets to the MPAs, in contrast to provinces with higher levels of internal revenue. </w:t>
      </w:r>
      <w:r w:rsidR="009C050C">
        <w:t>Under the Australian</w:t>
      </w:r>
      <w:r w:rsidR="006931A4">
        <w:t>-</w:t>
      </w:r>
      <w:r w:rsidR="009C050C">
        <w:t xml:space="preserve">funded </w:t>
      </w:r>
      <w:r>
        <w:t>Provincial Performance Improvement Initiative</w:t>
      </w:r>
      <w:r w:rsidR="009C050C">
        <w:t>, provinces</w:t>
      </w:r>
      <w:r w:rsidR="002724AA">
        <w:rPr>
          <w:rStyle w:val="FootnoteReference"/>
        </w:rPr>
        <w:footnoteReference w:id="53"/>
      </w:r>
      <w:r w:rsidR="009C050C">
        <w:t xml:space="preserve"> that have graduated to </w:t>
      </w:r>
      <w:r>
        <w:t>P</w:t>
      </w:r>
      <w:r w:rsidRPr="00D068D2">
        <w:t xml:space="preserve">hase 2 have been best able to use the function grants to improve service delivery. </w:t>
      </w:r>
    </w:p>
    <w:p w14:paraId="0B70F69B" w14:textId="77777777" w:rsidR="0074009D" w:rsidRPr="0074009D" w:rsidRDefault="0074009D" w:rsidP="00A21C3E">
      <w:pPr>
        <w:pStyle w:val="BodyText"/>
      </w:pPr>
      <w:r w:rsidRPr="0074009D">
        <w:t>Au</w:t>
      </w:r>
      <w:r>
        <w:t>stralia</w:t>
      </w:r>
      <w:r w:rsidRPr="0074009D">
        <w:t xml:space="preserve">’s work with the Department of </w:t>
      </w:r>
      <w:r w:rsidR="00D221CF">
        <w:t>Provincial</w:t>
      </w:r>
      <w:r w:rsidRPr="0074009D">
        <w:t xml:space="preserve"> and Local Government Administration under </w:t>
      </w:r>
      <w:r w:rsidR="006931A4">
        <w:t xml:space="preserve">the Provincial Performance Improvement Initiative </w:t>
      </w:r>
      <w:r w:rsidRPr="0074009D">
        <w:t xml:space="preserve">has helped the </w:t>
      </w:r>
      <w:r w:rsidR="002724AA">
        <w:t>D</w:t>
      </w:r>
      <w:r w:rsidR="00FF7792">
        <w:t xml:space="preserve">epartment </w:t>
      </w:r>
      <w:r w:rsidRPr="0074009D">
        <w:t xml:space="preserve">to improve provincial service delivery as core business. </w:t>
      </w:r>
      <w:r w:rsidR="00FF7792">
        <w:t>We have</w:t>
      </w:r>
      <w:r w:rsidR="00477D04" w:rsidRPr="0074009D">
        <w:t xml:space="preserve"> </w:t>
      </w:r>
      <w:r w:rsidR="00D221CF">
        <w:t xml:space="preserve">provided advisory support for </w:t>
      </w:r>
      <w:r w:rsidRPr="0074009D">
        <w:t>the Department of Implementation and Rural Development</w:t>
      </w:r>
      <w:r w:rsidR="00FF7792">
        <w:t xml:space="preserve"> to implement </w:t>
      </w:r>
      <w:r w:rsidR="00FF7792" w:rsidRPr="0074009D">
        <w:t>the District Information Management System</w:t>
      </w:r>
      <w:r w:rsidR="00653979">
        <w:t>—</w:t>
      </w:r>
      <w:r w:rsidRPr="0074009D">
        <w:t xml:space="preserve">an outcome that has provided </w:t>
      </w:r>
      <w:r w:rsidR="00FF7792">
        <w:t xml:space="preserve">the </w:t>
      </w:r>
      <w:r w:rsidR="00FF7792" w:rsidRPr="0074009D">
        <w:t xml:space="preserve">Department of </w:t>
      </w:r>
      <w:r w:rsidR="00FF7792">
        <w:t>Provincial</w:t>
      </w:r>
      <w:r w:rsidR="00FF7792" w:rsidRPr="0074009D">
        <w:t xml:space="preserve"> and Local Government Administration </w:t>
      </w:r>
      <w:r w:rsidRPr="0074009D">
        <w:t xml:space="preserve">with detailed data on infrastructure and administrative services in 89 PNG districts and a training needs assessment of staff across 52 districts. This information has helped guide elements of the work plans </w:t>
      </w:r>
      <w:r w:rsidR="00FF7792">
        <w:t>developed for</w:t>
      </w:r>
      <w:r w:rsidRPr="0074009D">
        <w:t xml:space="preserve"> 29 long</w:t>
      </w:r>
      <w:r w:rsidR="004022A0">
        <w:t>-</w:t>
      </w:r>
      <w:r w:rsidRPr="0074009D">
        <w:t xml:space="preserve">term and </w:t>
      </w:r>
      <w:r w:rsidR="00FF7792">
        <w:t>nine</w:t>
      </w:r>
      <w:r w:rsidRPr="0074009D">
        <w:t xml:space="preserve"> short</w:t>
      </w:r>
      <w:r w:rsidR="00FF7792">
        <w:t>-</w:t>
      </w:r>
      <w:r w:rsidRPr="0074009D">
        <w:t>term advisers in 20 PNG provinces</w:t>
      </w:r>
      <w:r w:rsidR="00FF7792">
        <w:t>. The advis</w:t>
      </w:r>
      <w:r w:rsidR="009C050C">
        <w:t>e</w:t>
      </w:r>
      <w:r w:rsidR="00FF7792">
        <w:t xml:space="preserve">rs have </w:t>
      </w:r>
      <w:r w:rsidRPr="0074009D">
        <w:t>train</w:t>
      </w:r>
      <w:r w:rsidR="00FF7792">
        <w:t>ed</w:t>
      </w:r>
      <w:r w:rsidRPr="0074009D">
        <w:t xml:space="preserve"> 5547 public servants</w:t>
      </w:r>
      <w:r w:rsidR="00FF7792">
        <w:t xml:space="preserve"> which</w:t>
      </w:r>
      <w:r w:rsidRPr="0074009D">
        <w:t xml:space="preserve"> has helped improve provincial outputs in </w:t>
      </w:r>
      <w:r w:rsidR="00FF7792">
        <w:t>budget planning,</w:t>
      </w:r>
      <w:r w:rsidRPr="0074009D">
        <w:t xml:space="preserve"> corporate planning, </w:t>
      </w:r>
      <w:r w:rsidR="00FF7792">
        <w:t xml:space="preserve">and through </w:t>
      </w:r>
      <w:r w:rsidRPr="0074009D">
        <w:t xml:space="preserve">financial management systems, </w:t>
      </w:r>
      <w:r w:rsidR="00FF7792">
        <w:t>all of which has</w:t>
      </w:r>
      <w:r w:rsidRPr="0074009D">
        <w:t xml:space="preserve"> led to more efficient fund disbursement for service delivery activities.</w:t>
      </w:r>
    </w:p>
    <w:p w14:paraId="0B70F69C" w14:textId="77777777" w:rsidR="008934B0" w:rsidRPr="00D068D2" w:rsidRDefault="008934B0" w:rsidP="00A21C3E">
      <w:pPr>
        <w:pStyle w:val="Heading3"/>
      </w:pPr>
      <w:r w:rsidRPr="00D068D2">
        <w:t>A culture of accountability and performance in the public service</w:t>
      </w:r>
    </w:p>
    <w:p w14:paraId="0B70F69D" w14:textId="77777777" w:rsidR="00446DBC" w:rsidRPr="00447D0E" w:rsidRDefault="00FF7792" w:rsidP="00A21C3E">
      <w:pPr>
        <w:pStyle w:val="BodyText"/>
      </w:pPr>
      <w:r>
        <w:t>PNG g</w:t>
      </w:r>
      <w:r w:rsidR="00446DBC" w:rsidRPr="00D221CF">
        <w:t xml:space="preserve">overnment programs appear to receive sufficient funding to drive reform, but there is little evidence of quantifiable impacts on service delivery and development outcomes. </w:t>
      </w:r>
      <w:r w:rsidR="00446DBC">
        <w:t xml:space="preserve">Australia’s capacity building support at national and sub-national levels has not </w:t>
      </w:r>
      <w:r>
        <w:t xml:space="preserve">had a </w:t>
      </w:r>
      <w:r w:rsidR="00446DBC">
        <w:t>significant impact on</w:t>
      </w:r>
      <w:r w:rsidR="00446DBC" w:rsidRPr="00D221CF">
        <w:t xml:space="preserve"> fundamental weaknesses in coordination and accountability across </w:t>
      </w:r>
      <w:r w:rsidR="00446DBC" w:rsidRPr="00447D0E">
        <w:t>government, or on weak external oversight mechanisms and limited monitoring data.</w:t>
      </w:r>
      <w:r w:rsidR="00E00778" w:rsidRPr="00447D0E">
        <w:t xml:space="preserve"> The O’Neill</w:t>
      </w:r>
      <w:r w:rsidR="006931A4">
        <w:t xml:space="preserve"> – </w:t>
      </w:r>
      <w:r w:rsidR="00E00778" w:rsidRPr="00447D0E">
        <w:t xml:space="preserve">Dion Government </w:t>
      </w:r>
      <w:r w:rsidR="00E74B6C" w:rsidRPr="00447D0E">
        <w:t>took</w:t>
      </w:r>
      <w:r w:rsidR="00E00778" w:rsidRPr="00447D0E">
        <w:t xml:space="preserve"> initial steps to improve coordination and monitoring during its first year in office. </w:t>
      </w:r>
    </w:p>
    <w:p w14:paraId="0B70F69E" w14:textId="77777777" w:rsidR="008934B0" w:rsidRPr="00D068D2" w:rsidRDefault="00DD7819" w:rsidP="00A21C3E">
      <w:pPr>
        <w:pStyle w:val="BodyText"/>
      </w:pPr>
      <w:r w:rsidRPr="00447D0E">
        <w:lastRenderedPageBreak/>
        <w:t xml:space="preserve">In passing the 2013 Budget, the PNG Government announced that 2013 would be the </w:t>
      </w:r>
      <w:r w:rsidR="00F13F17" w:rsidRPr="00447D0E">
        <w:t>‘Y</w:t>
      </w:r>
      <w:r w:rsidRPr="00447D0E">
        <w:t xml:space="preserve">ear of </w:t>
      </w:r>
      <w:r w:rsidR="00F13F17" w:rsidRPr="00447D0E">
        <w:t>I</w:t>
      </w:r>
      <w:r w:rsidRPr="00447D0E">
        <w:t>mplementation</w:t>
      </w:r>
      <w:r w:rsidR="00F13F17" w:rsidRPr="00447D0E">
        <w:t>’</w:t>
      </w:r>
      <w:r w:rsidRPr="00447D0E">
        <w:t xml:space="preserve">. Ministers </w:t>
      </w:r>
      <w:r w:rsidR="00012073" w:rsidRPr="00447D0E">
        <w:t xml:space="preserve">and </w:t>
      </w:r>
      <w:r w:rsidR="00653979" w:rsidRPr="00447D0E">
        <w:t>g</w:t>
      </w:r>
      <w:r w:rsidR="00012073" w:rsidRPr="00447D0E">
        <w:t xml:space="preserve">overnors </w:t>
      </w:r>
      <w:r w:rsidRPr="00447D0E">
        <w:t xml:space="preserve">signed individual performance agreements with their departmental secretaries </w:t>
      </w:r>
      <w:r w:rsidR="00012073" w:rsidRPr="00447D0E">
        <w:t xml:space="preserve">and administrators </w:t>
      </w:r>
      <w:r w:rsidRPr="00447D0E">
        <w:t xml:space="preserve">to deliver three </w:t>
      </w:r>
      <w:r w:rsidR="00F13F17" w:rsidRPr="00447D0E">
        <w:t>priority</w:t>
      </w:r>
      <w:r w:rsidR="00012073" w:rsidRPr="00447D0E">
        <w:t xml:space="preserve"> projects</w:t>
      </w:r>
      <w:r w:rsidR="00EF4ED7">
        <w:t xml:space="preserve"> each</w:t>
      </w:r>
      <w:r w:rsidRPr="00447D0E">
        <w:t xml:space="preserve">. </w:t>
      </w:r>
      <w:r w:rsidR="00012073" w:rsidRPr="00447D0E">
        <w:t xml:space="preserve">The Prime Minister endorsed these projects through agreements with </w:t>
      </w:r>
      <w:r w:rsidR="00653979" w:rsidRPr="00447D0E">
        <w:t>m</w:t>
      </w:r>
      <w:r w:rsidR="00446DBC" w:rsidRPr="00447D0E">
        <w:t xml:space="preserve">inisters and </w:t>
      </w:r>
      <w:r w:rsidR="00653979" w:rsidRPr="00447D0E">
        <w:t>g</w:t>
      </w:r>
      <w:r w:rsidR="00446DBC" w:rsidRPr="00447D0E">
        <w:t xml:space="preserve">overnors. </w:t>
      </w:r>
      <w:r w:rsidR="00E00778" w:rsidRPr="00447D0E">
        <w:t xml:space="preserve">The list of priority activities </w:t>
      </w:r>
      <w:r w:rsidR="00E74B6C" w:rsidRPr="00447D0E">
        <w:t>was</w:t>
      </w:r>
      <w:r w:rsidR="00E00778" w:rsidRPr="00447D0E">
        <w:t xml:space="preserve"> released to the public, and </w:t>
      </w:r>
      <w:r w:rsidR="00446DBC" w:rsidRPr="00447D0E">
        <w:t>Australia agreed to provide assistance to help monitor progress.</w:t>
      </w:r>
      <w:r w:rsidR="00012073">
        <w:t xml:space="preserve"> </w:t>
      </w:r>
    </w:p>
    <w:p w14:paraId="0B70F69F" w14:textId="77777777" w:rsidR="00D221CF" w:rsidRDefault="00D221CF" w:rsidP="00A21C3E">
      <w:pPr>
        <w:pStyle w:val="BodyText"/>
      </w:pPr>
      <w:r w:rsidRPr="00D221CF">
        <w:t xml:space="preserve">A significant achievement </w:t>
      </w:r>
      <w:r w:rsidR="009C050C">
        <w:t>in the reporting period</w:t>
      </w:r>
      <w:r w:rsidRPr="00D221CF">
        <w:t xml:space="preserve"> </w:t>
      </w:r>
      <w:r w:rsidR="00E74B6C">
        <w:t>w</w:t>
      </w:r>
      <w:r w:rsidRPr="00D221CF">
        <w:t xml:space="preserve">as the publication of warrants and spending information </w:t>
      </w:r>
      <w:r w:rsidR="004C69F7">
        <w:t xml:space="preserve">jointly supported </w:t>
      </w:r>
      <w:r w:rsidRPr="00D221CF">
        <w:t xml:space="preserve">by the PNG </w:t>
      </w:r>
      <w:r w:rsidR="004C69F7">
        <w:t xml:space="preserve">National Economic Fiscal Commission and the </w:t>
      </w:r>
      <w:r w:rsidRPr="00D221CF">
        <w:t xml:space="preserve">PNG Treasury, a process strongly supported by </w:t>
      </w:r>
      <w:r w:rsidR="00D6724F" w:rsidRPr="00E5303B">
        <w:rPr>
          <w:rFonts w:cstheme="minorHAnsi"/>
          <w:i/>
          <w:noProof/>
          <w:color w:val="000000"/>
          <w:lang w:eastAsia="zh-CN"/>
        </w:rPr>
        <w:t>Strongim Gavman</w:t>
      </w:r>
      <w:r w:rsidR="00D6724F" w:rsidRPr="00EF4ED7">
        <w:rPr>
          <w:rFonts w:cstheme="minorHAnsi"/>
          <w:i/>
          <w:noProof/>
          <w:color w:val="000000"/>
          <w:lang w:eastAsia="zh-CN"/>
        </w:rPr>
        <w:t xml:space="preserve"> Program</w:t>
      </w:r>
      <w:r w:rsidR="00D6724F" w:rsidRPr="009C050C" w:rsidDel="00D6724F">
        <w:rPr>
          <w:i/>
        </w:rPr>
        <w:t xml:space="preserve"> </w:t>
      </w:r>
      <w:r w:rsidRPr="00D221CF">
        <w:t xml:space="preserve">advisers. Publishing this information </w:t>
      </w:r>
      <w:r w:rsidR="00A67E1B">
        <w:t>enable</w:t>
      </w:r>
      <w:r w:rsidR="00E74B6C">
        <w:t>s</w:t>
      </w:r>
      <w:r w:rsidRPr="00D221CF">
        <w:t xml:space="preserve"> departments, provinces and citizens to further investigate where service delivery funds are going and how they are being spent</w:t>
      </w:r>
      <w:r w:rsidR="0041638B">
        <w:t xml:space="preserve">. </w:t>
      </w:r>
      <w:r w:rsidR="00A67E1B">
        <w:t>This important first step need</w:t>
      </w:r>
      <w:r w:rsidR="00E74B6C">
        <w:t>s</w:t>
      </w:r>
      <w:r w:rsidR="00A67E1B">
        <w:t xml:space="preserve"> </w:t>
      </w:r>
      <w:r w:rsidRPr="00D221CF">
        <w:t>to be coupled with adequate monitoring mechanisms and civil society oversight</w:t>
      </w:r>
      <w:r w:rsidR="00A67E1B">
        <w:t xml:space="preserve"> to foster greater accountability and performance in the public service.</w:t>
      </w:r>
    </w:p>
    <w:p w14:paraId="0B70F6A0" w14:textId="77777777" w:rsidR="008934B0" w:rsidRPr="00801FFA" w:rsidRDefault="00D221CF" w:rsidP="00A21C3E">
      <w:pPr>
        <w:pStyle w:val="BodyText"/>
        <w:rPr>
          <w:color w:val="1F497D"/>
        </w:rPr>
      </w:pPr>
      <w:r w:rsidRPr="00D221CF">
        <w:t xml:space="preserve">In </w:t>
      </w:r>
      <w:r w:rsidR="00B9559F">
        <w:t>light of this</w:t>
      </w:r>
      <w:r w:rsidRPr="00D221CF">
        <w:t xml:space="preserve">, Australia has been supporting </w:t>
      </w:r>
      <w:r w:rsidR="00B9559F">
        <w:t xml:space="preserve">the Government of PNG </w:t>
      </w:r>
      <w:r w:rsidRPr="00D221CF">
        <w:t xml:space="preserve">to strengthen audit capacity as </w:t>
      </w:r>
      <w:r w:rsidR="00E74B6C">
        <w:t>an</w:t>
      </w:r>
      <w:r w:rsidRPr="00D221CF">
        <w:t xml:space="preserve"> ongoi</w:t>
      </w:r>
      <w:r w:rsidR="005820DE">
        <w:t>ng priority. Australian support</w:t>
      </w:r>
      <w:r w:rsidRPr="00D221CF">
        <w:t xml:space="preserve"> is attempting to reverse the serious decline in </w:t>
      </w:r>
      <w:r w:rsidR="00E74B6C">
        <w:t>i</w:t>
      </w:r>
      <w:r w:rsidRPr="00D221CF">
        <w:t xml:space="preserve">nternal </w:t>
      </w:r>
      <w:r w:rsidR="00E74B6C">
        <w:t>a</w:t>
      </w:r>
      <w:r w:rsidRPr="00D221CF">
        <w:t xml:space="preserve">udit across the public sector. Five more internal audit committees </w:t>
      </w:r>
      <w:r w:rsidR="00E74B6C">
        <w:t>were</w:t>
      </w:r>
      <w:r w:rsidRPr="00D221CF">
        <w:t xml:space="preserve"> established </w:t>
      </w:r>
      <w:r w:rsidR="00B9559F">
        <w:t>in 2012</w:t>
      </w:r>
      <w:r w:rsidRPr="00D221CF">
        <w:t xml:space="preserve">, bringing the total to 33, and 24 grants </w:t>
      </w:r>
      <w:r w:rsidR="00E74B6C">
        <w:t>were</w:t>
      </w:r>
      <w:r w:rsidRPr="00D221CF">
        <w:t xml:space="preserve"> provided to assist the</w:t>
      </w:r>
      <w:r w:rsidR="00A67E1B">
        <w:t>m</w:t>
      </w:r>
      <w:r w:rsidRPr="00D221CF">
        <w:t xml:space="preserve"> </w:t>
      </w:r>
      <w:r w:rsidR="006931A4">
        <w:t>to</w:t>
      </w:r>
      <w:r w:rsidR="006931A4" w:rsidRPr="00D221CF">
        <w:t xml:space="preserve"> </w:t>
      </w:r>
      <w:r w:rsidRPr="00D221CF">
        <w:t>operat</w:t>
      </w:r>
      <w:r w:rsidR="00E74B6C">
        <w:t>e</w:t>
      </w:r>
      <w:r w:rsidRPr="00D221CF">
        <w:t xml:space="preserve">. </w:t>
      </w:r>
      <w:r w:rsidR="00E74B6C">
        <w:t>More than</w:t>
      </w:r>
      <w:r w:rsidR="00E74B6C" w:rsidRPr="00D221CF">
        <w:t xml:space="preserve"> </w:t>
      </w:r>
      <w:r w:rsidRPr="00D221CF">
        <w:t>135 auditors</w:t>
      </w:r>
      <w:r w:rsidR="006931A4">
        <w:t xml:space="preserve"> have</w:t>
      </w:r>
      <w:r w:rsidRPr="00D221CF">
        <w:t xml:space="preserve"> received training through this program to date. External audit remains a considerable challenge. Australian support</w:t>
      </w:r>
      <w:r w:rsidR="00A67E1B">
        <w:t xml:space="preserve"> is also assisting</w:t>
      </w:r>
      <w:r w:rsidRPr="00D221CF">
        <w:t xml:space="preserve"> the PNG Auditor General’s Office to undertake performance audits and reduce the overall audit backlog. However</w:t>
      </w:r>
      <w:r w:rsidR="00E74B6C">
        <w:t>,</w:t>
      </w:r>
      <w:r w:rsidRPr="00D221CF">
        <w:t xml:space="preserve"> ongoing capacity shortfalls and lack of </w:t>
      </w:r>
      <w:r w:rsidR="00B9559F">
        <w:t xml:space="preserve">commitment to implement </w:t>
      </w:r>
      <w:r w:rsidRPr="00D221CF">
        <w:t xml:space="preserve">audit recommendations remains a major hurdle to improving audit quality and overall </w:t>
      </w:r>
      <w:r w:rsidR="00E74B6C">
        <w:t xml:space="preserve">government </w:t>
      </w:r>
      <w:r w:rsidRPr="00D221CF">
        <w:t>accountability.</w:t>
      </w:r>
    </w:p>
    <w:p w14:paraId="0B70F6A1" w14:textId="77777777" w:rsidR="00801FFA" w:rsidRPr="00801FFA" w:rsidRDefault="00801FFA" w:rsidP="00A21C3E">
      <w:pPr>
        <w:pStyle w:val="BodyText"/>
      </w:pPr>
      <w:r>
        <w:t>Australia</w:t>
      </w:r>
      <w:r w:rsidRPr="00801FFA">
        <w:t xml:space="preserve"> </w:t>
      </w:r>
      <w:r>
        <w:t xml:space="preserve">also </w:t>
      </w:r>
      <w:r w:rsidRPr="00801FFA">
        <w:t xml:space="preserve">supported greater coordination and integration of national and provincial governments. </w:t>
      </w:r>
      <w:r w:rsidR="00B9559F">
        <w:t>The Economic and Public Sector Program</w:t>
      </w:r>
      <w:r>
        <w:t xml:space="preserve"> </w:t>
      </w:r>
      <w:r w:rsidR="00D221CF">
        <w:t xml:space="preserve">supported </w:t>
      </w:r>
      <w:r>
        <w:t>r</w:t>
      </w:r>
      <w:r w:rsidRPr="00801FFA">
        <w:t>egional workshops</w:t>
      </w:r>
      <w:r w:rsidR="00D221CF">
        <w:t xml:space="preserve"> organised by the Government of PNG</w:t>
      </w:r>
      <w:r w:rsidRPr="00801FFA">
        <w:t xml:space="preserve"> in major centres </w:t>
      </w:r>
      <w:r w:rsidR="00E74B6C">
        <w:t>focusing</w:t>
      </w:r>
      <w:r w:rsidRPr="00801FFA">
        <w:t xml:space="preserve"> on weaknesses in project and financial management. These </w:t>
      </w:r>
      <w:r w:rsidR="00E74B6C">
        <w:t>workshops</w:t>
      </w:r>
      <w:r w:rsidR="00E74B6C" w:rsidRPr="00801FFA">
        <w:t xml:space="preserve"> </w:t>
      </w:r>
      <w:r w:rsidRPr="00801FFA">
        <w:t>also promote</w:t>
      </w:r>
      <w:r w:rsidR="00E74B6C">
        <w:t>d</w:t>
      </w:r>
      <w:r w:rsidRPr="00801FFA">
        <w:t xml:space="preserve"> greater collaboration b</w:t>
      </w:r>
      <w:r>
        <w:t>etween national and provincial </w:t>
      </w:r>
      <w:r w:rsidRPr="00801FFA">
        <w:t xml:space="preserve">agencies to address service delivery challenges. </w:t>
      </w:r>
      <w:r w:rsidR="00E74B6C">
        <w:t>The program</w:t>
      </w:r>
      <w:r w:rsidRPr="00801FFA">
        <w:t xml:space="preserve"> also support</w:t>
      </w:r>
      <w:r w:rsidR="00E74B6C">
        <w:t>s</w:t>
      </w:r>
      <w:r w:rsidRPr="00801FFA">
        <w:t xml:space="preserve"> televised debate on key service delivery issues</w:t>
      </w:r>
      <w:r w:rsidR="00E74B6C">
        <w:t>,</w:t>
      </w:r>
      <w:r w:rsidRPr="00801FFA">
        <w:t xml:space="preserve"> in partnership with national broadcaster</w:t>
      </w:r>
      <w:r>
        <w:t>,</w:t>
      </w:r>
      <w:r w:rsidRPr="00801FFA">
        <w:t xml:space="preserve"> EMTV.</w:t>
      </w:r>
    </w:p>
    <w:p w14:paraId="0B70F6A2" w14:textId="77777777" w:rsidR="00A65672" w:rsidRDefault="00A65672" w:rsidP="00A21C3E">
      <w:pPr>
        <w:pStyle w:val="BodyText"/>
      </w:pPr>
      <w:r w:rsidRPr="00A65672">
        <w:t>Under the Provincial Capacity Building Program</w:t>
      </w:r>
      <w:r w:rsidR="00516045">
        <w:t xml:space="preserve">, co-funded by Australia and implemented by </w:t>
      </w:r>
      <w:r w:rsidR="00E74B6C">
        <w:t xml:space="preserve">the </w:t>
      </w:r>
      <w:r w:rsidR="00516045">
        <w:t>UNDP,</w:t>
      </w:r>
      <w:r>
        <w:t xml:space="preserve"> </w:t>
      </w:r>
      <w:r w:rsidRPr="00A65672">
        <w:t xml:space="preserve">six pilot provinces reached international standards </w:t>
      </w:r>
      <w:r>
        <w:t>for providing</w:t>
      </w:r>
      <w:r w:rsidRPr="00A65672">
        <w:t xml:space="preserve"> financial reports in 2012. All </w:t>
      </w:r>
      <w:r w:rsidR="00E74B6C">
        <w:t>program</w:t>
      </w:r>
      <w:r w:rsidR="00E74B6C" w:rsidRPr="00A65672">
        <w:t xml:space="preserve"> </w:t>
      </w:r>
      <w:r w:rsidRPr="00A65672">
        <w:t xml:space="preserve">provinces completed their financial reports within </w:t>
      </w:r>
      <w:r w:rsidR="00653979">
        <w:t>two</w:t>
      </w:r>
      <w:r w:rsidRPr="00A65672">
        <w:t xml:space="preserve"> months of the end of the reporting period, </w:t>
      </w:r>
      <w:r>
        <w:t xml:space="preserve">a significant improvement on </w:t>
      </w:r>
      <w:r w:rsidRPr="00A65672">
        <w:t xml:space="preserve">provinces without </w:t>
      </w:r>
      <w:r w:rsidR="00AD1B84">
        <w:t>program</w:t>
      </w:r>
      <w:r w:rsidR="00AD1B84" w:rsidRPr="00A65672">
        <w:t xml:space="preserve"> </w:t>
      </w:r>
      <w:r w:rsidRPr="00A65672">
        <w:t>support</w:t>
      </w:r>
      <w:r w:rsidR="00AD1B84">
        <w:t xml:space="preserve"> </w:t>
      </w:r>
      <w:r>
        <w:t xml:space="preserve">which </w:t>
      </w:r>
      <w:r w:rsidRPr="00A65672">
        <w:t xml:space="preserve">take anywhere from </w:t>
      </w:r>
      <w:r w:rsidR="00653979">
        <w:t>eight</w:t>
      </w:r>
      <w:r w:rsidRPr="00A65672">
        <w:t xml:space="preserve"> to 42 months.</w:t>
      </w:r>
    </w:p>
    <w:p w14:paraId="0B70F6A3" w14:textId="77777777" w:rsidR="0065233D" w:rsidRPr="004161A9" w:rsidRDefault="0065233D" w:rsidP="00A21C3E">
      <w:pPr>
        <w:pStyle w:val="Heading3"/>
      </w:pPr>
      <w:r>
        <w:t xml:space="preserve">New </w:t>
      </w:r>
      <w:r w:rsidR="00653979">
        <w:t>g</w:t>
      </w:r>
      <w:r>
        <w:t xml:space="preserve">overnance </w:t>
      </w:r>
      <w:r w:rsidR="00653979">
        <w:t>s</w:t>
      </w:r>
      <w:r>
        <w:t>trategy</w:t>
      </w:r>
    </w:p>
    <w:p w14:paraId="0B70F6A4" w14:textId="77777777" w:rsidR="00F770C6" w:rsidRPr="008F3B81" w:rsidRDefault="008934B0" w:rsidP="00A21C3E">
      <w:pPr>
        <w:pStyle w:val="BodyText"/>
      </w:pPr>
      <w:r w:rsidRPr="00D068D2">
        <w:t>In 2013</w:t>
      </w:r>
      <w:r w:rsidR="00653979">
        <w:t>–</w:t>
      </w:r>
      <w:r w:rsidRPr="00D068D2">
        <w:t xml:space="preserve">14, Australia will </w:t>
      </w:r>
      <w:r w:rsidR="00693186">
        <w:t xml:space="preserve">seek to </w:t>
      </w:r>
      <w:r>
        <w:t>discuss</w:t>
      </w:r>
      <w:r w:rsidRPr="00D068D2">
        <w:t xml:space="preserve"> a new governance strategy</w:t>
      </w:r>
      <w:r>
        <w:t xml:space="preserve"> with the PNG Government</w:t>
      </w:r>
      <w:r w:rsidRPr="00D068D2">
        <w:t xml:space="preserve">. The revised </w:t>
      </w:r>
      <w:r w:rsidR="00AD1B84">
        <w:t>strategy</w:t>
      </w:r>
      <w:r w:rsidR="00AD1B84" w:rsidRPr="00D068D2">
        <w:t xml:space="preserve"> </w:t>
      </w:r>
      <w:r w:rsidRPr="00D068D2">
        <w:t xml:space="preserve">will </w:t>
      </w:r>
      <w:r>
        <w:t xml:space="preserve">include </w:t>
      </w:r>
      <w:r w:rsidR="00AD1B84">
        <w:t>greater</w:t>
      </w:r>
      <w:r w:rsidR="00AD1B84" w:rsidRPr="00D068D2">
        <w:t xml:space="preserve"> </w:t>
      </w:r>
      <w:r w:rsidRPr="00D068D2">
        <w:t>emphasis on addressing governance bottlenecks to service delive</w:t>
      </w:r>
      <w:r w:rsidR="00A866FA">
        <w:t>ry</w:t>
      </w:r>
      <w:r w:rsidR="00AD1B84">
        <w:t>. It will do so</w:t>
      </w:r>
      <w:r w:rsidR="00A866FA">
        <w:t xml:space="preserve"> </w:t>
      </w:r>
      <w:r w:rsidR="009C1620">
        <w:t xml:space="preserve">by considering </w:t>
      </w:r>
      <w:r w:rsidR="00A866FA">
        <w:t xml:space="preserve">better incentives, </w:t>
      </w:r>
      <w:r w:rsidR="00AD1B84">
        <w:t xml:space="preserve">ensuring </w:t>
      </w:r>
      <w:r w:rsidR="009C1620">
        <w:t>greater</w:t>
      </w:r>
      <w:r w:rsidRPr="00D068D2">
        <w:t xml:space="preserve"> transparency and accountability, and </w:t>
      </w:r>
      <w:r w:rsidR="00AD1B84">
        <w:t>expanding</w:t>
      </w:r>
      <w:r w:rsidRPr="00D068D2">
        <w:t xml:space="preserve"> community level and sub-national governance interventions.</w:t>
      </w:r>
      <w:r>
        <w:t xml:space="preserve"> </w:t>
      </w:r>
      <w:r w:rsidR="000A1796">
        <w:t xml:space="preserve">By opportunistically supporting leadership and demand for better governance, </w:t>
      </w:r>
      <w:r w:rsidR="00AD1B84">
        <w:t>the new strategy</w:t>
      </w:r>
      <w:r>
        <w:t xml:space="preserve"> will </w:t>
      </w:r>
      <w:r w:rsidR="002724AA">
        <w:t>take</w:t>
      </w:r>
      <w:r w:rsidR="00AD1B84">
        <w:t xml:space="preserve"> </w:t>
      </w:r>
      <w:r>
        <w:t>greater account of drivers of change, rather than the historic emphasis on</w:t>
      </w:r>
      <w:r w:rsidR="000A1796">
        <w:t xml:space="preserve"> the supply side of good governance through</w:t>
      </w:r>
      <w:r>
        <w:t xml:space="preserve"> technical </w:t>
      </w:r>
      <w:r w:rsidR="000A1796">
        <w:t>assistance</w:t>
      </w:r>
      <w:r>
        <w:t xml:space="preserve">. </w:t>
      </w:r>
    </w:p>
    <w:p w14:paraId="0B70F6A5" w14:textId="77777777" w:rsidR="00BD5A32" w:rsidRPr="00A21C3E" w:rsidRDefault="00BD5A32" w:rsidP="00A21C3E">
      <w:pPr>
        <w:pStyle w:val="Heading2"/>
      </w:pPr>
      <w:r w:rsidRPr="00A21C3E">
        <w:t>Objective 6: Democratic governance</w:t>
      </w:r>
    </w:p>
    <w:tbl>
      <w:tblPr>
        <w:tblStyle w:val="APPR"/>
        <w:tblW w:w="5000" w:type="pct"/>
        <w:tblLook w:val="0000" w:firstRow="0" w:lastRow="0" w:firstColumn="0" w:lastColumn="0" w:noHBand="0" w:noVBand="0"/>
      </w:tblPr>
      <w:tblGrid>
        <w:gridCol w:w="7381"/>
        <w:gridCol w:w="1225"/>
      </w:tblGrid>
      <w:tr w:rsidR="00BD5A32" w:rsidRPr="00443639" w14:paraId="0B70F6A8" w14:textId="77777777" w:rsidTr="00611E51">
        <w:trPr>
          <w:cnfStyle w:val="000000010000" w:firstRow="0" w:lastRow="0" w:firstColumn="0" w:lastColumn="0" w:oddVBand="0" w:evenVBand="0" w:oddHBand="0" w:evenHBand="1" w:firstRowFirstColumn="0" w:firstRowLastColumn="0" w:lastRowFirstColumn="0" w:lastRowLastColumn="0"/>
        </w:trPr>
        <w:tc>
          <w:tcPr>
            <w:tcW w:w="6029" w:type="dxa"/>
          </w:tcPr>
          <w:p w14:paraId="0B70F6A6" w14:textId="77777777" w:rsidR="00BD5A32" w:rsidRDefault="00BD5A32" w:rsidP="00611E51">
            <w:pPr>
              <w:pStyle w:val="TableTextEntries"/>
              <w:rPr>
                <w:rFonts w:cstheme="minorHAnsi"/>
              </w:rPr>
            </w:pPr>
            <w:r>
              <w:rPr>
                <w:rFonts w:cstheme="minorHAnsi"/>
              </w:rPr>
              <w:t>Strengthened democracy</w:t>
            </w:r>
          </w:p>
        </w:tc>
        <w:tc>
          <w:tcPr>
            <w:tcW w:w="972" w:type="dxa"/>
            <w:shd w:val="clear" w:color="auto" w:fill="FF0000"/>
            <w:noWrap/>
          </w:tcPr>
          <w:p w14:paraId="0B70F6A7" w14:textId="77777777" w:rsidR="00BD5A32" w:rsidRPr="00443639" w:rsidRDefault="00BD5A32" w:rsidP="00611E51">
            <w:pPr>
              <w:pStyle w:val="TableTextEntries"/>
              <w:jc w:val="center"/>
              <w:rPr>
                <w:color w:val="FFFFFF" w:themeColor="background1"/>
              </w:rPr>
            </w:pPr>
            <w:r>
              <w:rPr>
                <w:color w:val="FFFFFF" w:themeColor="background1"/>
              </w:rPr>
              <w:t>Red</w:t>
            </w:r>
          </w:p>
        </w:tc>
      </w:tr>
    </w:tbl>
    <w:p w14:paraId="0B70F6A9" w14:textId="77777777" w:rsidR="006264ED" w:rsidRDefault="006264ED" w:rsidP="00A21C3E">
      <w:pPr>
        <w:pStyle w:val="BodyText"/>
        <w:rPr>
          <w:lang w:val="en"/>
        </w:rPr>
      </w:pPr>
    </w:p>
    <w:p w14:paraId="0B70F6AA" w14:textId="77777777" w:rsidR="00BD5A32" w:rsidRPr="00447D0E" w:rsidRDefault="00BD5A32" w:rsidP="00A21C3E">
      <w:pPr>
        <w:pStyle w:val="BodyText"/>
        <w:rPr>
          <w:lang w:val="en"/>
        </w:rPr>
      </w:pPr>
      <w:r w:rsidRPr="00447D0E">
        <w:rPr>
          <w:lang w:val="en"/>
        </w:rPr>
        <w:t xml:space="preserve">Australia has determined that its progress against this objective under the Partnership for Development falls into the red category in 2012, </w:t>
      </w:r>
      <w:r>
        <w:rPr>
          <w:lang w:val="en"/>
        </w:rPr>
        <w:t xml:space="preserve">compared to its </w:t>
      </w:r>
      <w:r w:rsidRPr="00447D0E">
        <w:rPr>
          <w:lang w:val="en"/>
        </w:rPr>
        <w:t>amber</w:t>
      </w:r>
      <w:r>
        <w:rPr>
          <w:lang w:val="en"/>
        </w:rPr>
        <w:t xml:space="preserve"> rating in</w:t>
      </w:r>
      <w:r w:rsidRPr="00447D0E">
        <w:rPr>
          <w:lang w:val="en"/>
        </w:rPr>
        <w:t xml:space="preserve"> 2011. </w:t>
      </w:r>
      <w:r>
        <w:rPr>
          <w:lang w:val="en"/>
        </w:rPr>
        <w:lastRenderedPageBreak/>
        <w:t>Although Australian democratic governance support assisted the delivery of services to Papua New Guineans, including in very poor and remote areas, the program’s efforts to sustainably increase communities’ participation in government decision-making and to strengthen electoral governance during the 2012 General Election resulted in less improvement than anticipated. Accepting that supporting significant changes in governance is a</w:t>
      </w:r>
      <w:r w:rsidRPr="00447D0E">
        <w:rPr>
          <w:lang w:val="en"/>
        </w:rPr>
        <w:t xml:space="preserve"> long</w:t>
      </w:r>
      <w:r>
        <w:rPr>
          <w:lang w:val="en"/>
        </w:rPr>
        <w:t>-</w:t>
      </w:r>
      <w:r w:rsidRPr="00447D0E">
        <w:rPr>
          <w:lang w:val="en"/>
        </w:rPr>
        <w:t xml:space="preserve">term undertaking, Australia’s analysis of its </w:t>
      </w:r>
      <w:r>
        <w:rPr>
          <w:lang w:val="en"/>
        </w:rPr>
        <w:t xml:space="preserve">support in this area has highlighted the program </w:t>
      </w:r>
      <w:r w:rsidRPr="00447D0E">
        <w:rPr>
          <w:lang w:val="en"/>
        </w:rPr>
        <w:t>set</w:t>
      </w:r>
      <w:r>
        <w:rPr>
          <w:lang w:val="en"/>
        </w:rPr>
        <w:t xml:space="preserve"> some overly ambitious outcomes, necessitating</w:t>
      </w:r>
      <w:r w:rsidRPr="00447D0E">
        <w:rPr>
          <w:lang w:val="en"/>
        </w:rPr>
        <w:t xml:space="preserve"> revision of</w:t>
      </w:r>
      <w:r>
        <w:rPr>
          <w:lang w:val="en"/>
        </w:rPr>
        <w:t xml:space="preserve"> the program’s strategy in 2013</w:t>
      </w:r>
      <w:r w:rsidRPr="00447D0E">
        <w:rPr>
          <w:lang w:val="en"/>
        </w:rPr>
        <w:t xml:space="preserve">. </w:t>
      </w:r>
      <w:r>
        <w:rPr>
          <w:lang w:val="en"/>
        </w:rPr>
        <w:t xml:space="preserve">   </w:t>
      </w:r>
    </w:p>
    <w:p w14:paraId="0B70F6AB" w14:textId="77777777" w:rsidR="00BD5A32" w:rsidRDefault="00BD5A32" w:rsidP="00A21C3E">
      <w:pPr>
        <w:pStyle w:val="BodyText"/>
        <w:rPr>
          <w:lang w:val="en"/>
        </w:rPr>
      </w:pPr>
      <w:r>
        <w:rPr>
          <w:lang w:val="en"/>
        </w:rPr>
        <w:t>Democratic governance support</w:t>
      </w:r>
      <w:r w:rsidRPr="00447D0E">
        <w:rPr>
          <w:lang w:val="en"/>
        </w:rPr>
        <w:t xml:space="preserve"> </w:t>
      </w:r>
      <w:r>
        <w:rPr>
          <w:lang w:val="en"/>
        </w:rPr>
        <w:t xml:space="preserve">is designed to assist </w:t>
      </w:r>
      <w:r w:rsidRPr="00447D0E">
        <w:rPr>
          <w:lang w:val="en"/>
        </w:rPr>
        <w:t>government, civil soci</w:t>
      </w:r>
      <w:r>
        <w:rPr>
          <w:lang w:val="en"/>
        </w:rPr>
        <w:t xml:space="preserve">ety, NGOs, and churches to work together to </w:t>
      </w:r>
      <w:r w:rsidRPr="00447D0E">
        <w:rPr>
          <w:lang w:val="en"/>
        </w:rPr>
        <w:t xml:space="preserve">respond </w:t>
      </w:r>
      <w:r>
        <w:rPr>
          <w:lang w:val="en"/>
        </w:rPr>
        <w:t xml:space="preserve">more effectively </w:t>
      </w:r>
      <w:r w:rsidRPr="00447D0E">
        <w:rPr>
          <w:lang w:val="en"/>
        </w:rPr>
        <w:t>to</w:t>
      </w:r>
      <w:r>
        <w:rPr>
          <w:lang w:val="en"/>
        </w:rPr>
        <w:t xml:space="preserve"> </w:t>
      </w:r>
      <w:r w:rsidRPr="00447D0E">
        <w:rPr>
          <w:lang w:val="en"/>
        </w:rPr>
        <w:t>communit</w:t>
      </w:r>
      <w:r>
        <w:rPr>
          <w:lang w:val="en"/>
        </w:rPr>
        <w:t>ies’</w:t>
      </w:r>
      <w:r w:rsidRPr="00447D0E">
        <w:rPr>
          <w:lang w:val="en"/>
        </w:rPr>
        <w:t xml:space="preserve"> </w:t>
      </w:r>
      <w:r>
        <w:rPr>
          <w:lang w:val="en"/>
        </w:rPr>
        <w:t xml:space="preserve">needs. Through a range of initiatives that are increasing effective relationships between key decision-makers and communities, Australia is helping to increase inclusiveness, transparency and levels of responsiveness to PNG communities. </w:t>
      </w:r>
    </w:p>
    <w:p w14:paraId="0B70F6AC" w14:textId="0FEDFA20" w:rsidR="00BD5A32" w:rsidRPr="006A621F" w:rsidRDefault="00BD5A32" w:rsidP="00A21C3E">
      <w:pPr>
        <w:pStyle w:val="BodyText"/>
        <w:rPr>
          <w:lang w:val="en"/>
        </w:rPr>
      </w:pPr>
      <w:r w:rsidRPr="00447D0E">
        <w:rPr>
          <w:lang w:val="en"/>
        </w:rPr>
        <w:t>Between January</w:t>
      </w:r>
      <w:r>
        <w:rPr>
          <w:lang w:val="en"/>
        </w:rPr>
        <w:t xml:space="preserve"> </w:t>
      </w:r>
      <w:r w:rsidRPr="00447D0E">
        <w:rPr>
          <w:lang w:val="en"/>
        </w:rPr>
        <w:t>2012 and June 2013, Australia spent approximately $</w:t>
      </w:r>
      <w:r w:rsidR="00EA3659">
        <w:rPr>
          <w:lang w:val="en"/>
        </w:rPr>
        <w:t>57.2</w:t>
      </w:r>
      <w:r w:rsidRPr="00447D0E">
        <w:rPr>
          <w:lang w:val="en"/>
        </w:rPr>
        <w:t xml:space="preserve"> million on democratic governance initiatives in PNG.</w:t>
      </w:r>
      <w:r w:rsidRPr="00447D0E">
        <w:rPr>
          <w:rStyle w:val="FootnoteReference"/>
          <w:lang w:val="en"/>
        </w:rPr>
        <w:footnoteReference w:id="54"/>
      </w:r>
      <w:r w:rsidRPr="00447D0E">
        <w:rPr>
          <w:lang w:val="en"/>
        </w:rPr>
        <w:t xml:space="preserve"> </w:t>
      </w:r>
      <w:r>
        <w:rPr>
          <w:lang w:val="en"/>
        </w:rPr>
        <w:t>This support included</w:t>
      </w:r>
      <w:r w:rsidRPr="00447D0E">
        <w:t xml:space="preserve"> grants for community</w:t>
      </w:r>
      <w:r>
        <w:t>-</w:t>
      </w:r>
      <w:r w:rsidRPr="00447D0E">
        <w:t>generated projects. In 2012, more than 400</w:t>
      </w:r>
      <w:r>
        <w:t> </w:t>
      </w:r>
      <w:r w:rsidRPr="00447D0E">
        <w:t>government officers participated alongside civil society and community</w:t>
      </w:r>
      <w:r>
        <w:t>-</w:t>
      </w:r>
      <w:r w:rsidRPr="00447D0E">
        <w:t>based partners to develop and deliver grants in 19</w:t>
      </w:r>
      <w:r>
        <w:t xml:space="preserve"> PNG</w:t>
      </w:r>
      <w:r w:rsidRPr="00447D0E">
        <w:t xml:space="preserve"> provinces, a</w:t>
      </w:r>
      <w:r>
        <w:t>n</w:t>
      </w:r>
      <w:r w:rsidRPr="00447D0E">
        <w:t xml:space="preserve"> achievement due to the extent and s</w:t>
      </w:r>
      <w:r>
        <w:t xml:space="preserve">cale of government involvement. A </w:t>
      </w:r>
      <w:r w:rsidRPr="00447D0E">
        <w:t>2012 review of Australia</w:t>
      </w:r>
      <w:r>
        <w:t>n support in this area found</w:t>
      </w:r>
      <w:r w:rsidRPr="00447D0E">
        <w:t xml:space="preserve"> weaknesses</w:t>
      </w:r>
      <w:r>
        <w:t xml:space="preserve"> however, stating </w:t>
      </w:r>
      <w:r w:rsidR="00666F5F">
        <w:t xml:space="preserve">that </w:t>
      </w:r>
      <w:r>
        <w:t>t</w:t>
      </w:r>
      <w:r w:rsidRPr="00447D0E">
        <w:t xml:space="preserve">he nationwide spread of the grants program may </w:t>
      </w:r>
      <w:r>
        <w:t>dilute focus</w:t>
      </w:r>
      <w:r w:rsidRPr="00447D0E">
        <w:t xml:space="preserve">, </w:t>
      </w:r>
      <w:r>
        <w:t xml:space="preserve">with the broad program spread potentially limiting </w:t>
      </w:r>
      <w:r w:rsidRPr="00447D0E">
        <w:t>impact</w:t>
      </w:r>
      <w:r>
        <w:t>.</w:t>
      </w:r>
      <w:r w:rsidR="000239B6">
        <w:rPr>
          <w:rStyle w:val="FootnoteReference"/>
        </w:rPr>
        <w:footnoteReference w:id="55"/>
      </w:r>
      <w:r>
        <w:t xml:space="preserve"> </w:t>
      </w:r>
      <w:r w:rsidRPr="00447D0E">
        <w:t xml:space="preserve">The </w:t>
      </w:r>
      <w:r>
        <w:t xml:space="preserve">review also noted the </w:t>
      </w:r>
      <w:r w:rsidRPr="00447D0E">
        <w:t>grants</w:t>
      </w:r>
      <w:r>
        <w:t xml:space="preserve"> may</w:t>
      </w:r>
      <w:r w:rsidRPr="00447D0E">
        <w:t xml:space="preserve"> </w:t>
      </w:r>
      <w:r>
        <w:t>risk increasing</w:t>
      </w:r>
      <w:r w:rsidRPr="00447D0E">
        <w:t xml:space="preserve"> dependency on external assist</w:t>
      </w:r>
      <w:r>
        <w:t xml:space="preserve">ance, rather than building more </w:t>
      </w:r>
      <w:r w:rsidRPr="00447D0E">
        <w:t>sustainable cooperation between communities and local and provincial</w:t>
      </w:r>
      <w:r>
        <w:t xml:space="preserve"> administrations</w:t>
      </w:r>
      <w:r w:rsidRPr="00447D0E">
        <w:t xml:space="preserve">. </w:t>
      </w:r>
    </w:p>
    <w:p w14:paraId="0B70F6AD" w14:textId="77777777" w:rsidR="00BD5A32" w:rsidRPr="00447D0E" w:rsidRDefault="00BD5A32" w:rsidP="00A21C3E">
      <w:pPr>
        <w:pStyle w:val="BodyText"/>
      </w:pPr>
      <w:r w:rsidRPr="00447D0E">
        <w:t>Australia</w:t>
      </w:r>
      <w:r>
        <w:t>n</w:t>
      </w:r>
      <w:r w:rsidRPr="00447D0E">
        <w:t xml:space="preserve"> </w:t>
      </w:r>
      <w:r>
        <w:t>support to</w:t>
      </w:r>
      <w:r w:rsidRPr="00447D0E">
        <w:t xml:space="preserve"> church organisations</w:t>
      </w:r>
      <w:r>
        <w:t xml:space="preserve"> </w:t>
      </w:r>
      <w:r w:rsidRPr="00447D0E">
        <w:t>to assist increased advocacy and engagement with government</w:t>
      </w:r>
      <w:r>
        <w:t xml:space="preserve"> was successful in some respects</w:t>
      </w:r>
      <w:r w:rsidRPr="00447D0E">
        <w:t xml:space="preserve">. </w:t>
      </w:r>
      <w:r>
        <w:t xml:space="preserve">For example, </w:t>
      </w:r>
      <w:r w:rsidRPr="00447D0E">
        <w:t>the United Church has forged a working relationship with district officers and political heads in Milne Bay Province</w:t>
      </w:r>
      <w:r>
        <w:t xml:space="preserve"> to assist service delivery. Under a</w:t>
      </w:r>
      <w:r w:rsidRPr="00447D0E">
        <w:t xml:space="preserve"> Seventh Day Adventist Youth program, 150</w:t>
      </w:r>
      <w:r>
        <w:t> </w:t>
      </w:r>
      <w:r w:rsidRPr="00447D0E">
        <w:t>young people participated in government</w:t>
      </w:r>
      <w:r>
        <w:t>-</w:t>
      </w:r>
      <w:r w:rsidRPr="00447D0E">
        <w:t xml:space="preserve">run training on HIV, health, education, vocational skills and community development. </w:t>
      </w:r>
      <w:r>
        <w:t>S</w:t>
      </w:r>
      <w:r w:rsidRPr="00447D0E">
        <w:t xml:space="preserve">even church partners worked intensively </w:t>
      </w:r>
      <w:r>
        <w:t>with a range of community stakeholders to research</w:t>
      </w:r>
      <w:r w:rsidRPr="00447D0E">
        <w:t xml:space="preserve"> the impact</w:t>
      </w:r>
      <w:r>
        <w:t>s</w:t>
      </w:r>
      <w:r w:rsidRPr="00447D0E">
        <w:t xml:space="preserve"> of the LNG project on Hela Province</w:t>
      </w:r>
      <w:r>
        <w:t>, and followed up by</w:t>
      </w:r>
      <w:r w:rsidRPr="00447D0E">
        <w:t xml:space="preserve"> broker</w:t>
      </w:r>
      <w:r>
        <w:t>ing</w:t>
      </w:r>
      <w:r w:rsidRPr="00447D0E">
        <w:t xml:space="preserve"> </w:t>
      </w:r>
      <w:r>
        <w:t>partnerships with government, the private sector and civil society organisations to work together to improve Hela P</w:t>
      </w:r>
      <w:r w:rsidRPr="00447D0E">
        <w:t>rovince</w:t>
      </w:r>
      <w:r>
        <w:t>’s</w:t>
      </w:r>
      <w:r w:rsidRPr="00447D0E">
        <w:t xml:space="preserve"> </w:t>
      </w:r>
      <w:r>
        <w:t>responses to</w:t>
      </w:r>
      <w:r w:rsidRPr="00447D0E">
        <w:t xml:space="preserve"> LNG project challenges and opportunities</w:t>
      </w:r>
      <w:r>
        <w:t xml:space="preserve">. While progress in each instance has not been rapid, engagement in decision-making affecting communities is evident. </w:t>
      </w:r>
    </w:p>
    <w:p w14:paraId="0B70F6AE" w14:textId="77777777" w:rsidR="00BD5A32" w:rsidRPr="00447D0E" w:rsidRDefault="00BD5A32" w:rsidP="00A21C3E">
      <w:pPr>
        <w:pStyle w:val="BodyText"/>
      </w:pPr>
      <w:r>
        <w:t>Furthermore, a</w:t>
      </w:r>
      <w:r w:rsidRPr="00447D0E">
        <w:t>n independent review found that Australian aid was effective in building church</w:t>
      </w:r>
      <w:r>
        <w:t>es’ capacities</w:t>
      </w:r>
      <w:r w:rsidRPr="00447D0E">
        <w:t xml:space="preserve"> to more effectively plan and manage pro-poor development activities. The democratic governance program has been effective in strengthening church governance</w:t>
      </w:r>
      <w:r>
        <w:t xml:space="preserve">: </w:t>
      </w:r>
      <w:r w:rsidRPr="00447D0E">
        <w:t>Australian NGOs</w:t>
      </w:r>
      <w:r>
        <w:t xml:space="preserve"> were supported to collaborate</w:t>
      </w:r>
      <w:r w:rsidRPr="00447D0E">
        <w:t xml:space="preserve"> wit</w:t>
      </w:r>
      <w:r>
        <w:t>h PNG churches to improve:</w:t>
      </w:r>
      <w:r w:rsidRPr="00447D0E">
        <w:t xml:space="preserve"> corporate planning; conducting governance and leadership training on gender, finance and human resource management; and collaborating to develop a common understanding of their role in pro-poor development</w:t>
      </w:r>
      <w:r>
        <w:t xml:space="preserve">. </w:t>
      </w:r>
      <w:r w:rsidRPr="00447D0E">
        <w:t xml:space="preserve">Churches delivered literacy programs for adults and children in remote </w:t>
      </w:r>
      <w:r w:rsidRPr="00447D0E">
        <w:lastRenderedPageBreak/>
        <w:t>areas and church village health volunteers in rural PNG supported birth attendants, medicine distribution, nutrition and immunisations</w:t>
      </w:r>
      <w:r>
        <w:t>,</w:t>
      </w:r>
      <w:r w:rsidRPr="00447D0E">
        <w:t xml:space="preserve"> contributing to improved health service delivery.</w:t>
      </w:r>
      <w:r w:rsidRPr="00933097">
        <w:rPr>
          <w:rStyle w:val="FootnoteReference"/>
          <w:szCs w:val="16"/>
        </w:rPr>
        <w:footnoteReference w:id="56"/>
      </w:r>
    </w:p>
    <w:p w14:paraId="0B70F6AF" w14:textId="77777777" w:rsidR="00BD5A32" w:rsidRPr="00447D0E" w:rsidRDefault="00BD5A32" w:rsidP="00A21C3E">
      <w:pPr>
        <w:pStyle w:val="BodyText"/>
        <w:rPr>
          <w:lang w:val="en"/>
        </w:rPr>
      </w:pPr>
      <w:r w:rsidRPr="00447D0E">
        <w:rPr>
          <w:lang w:val="en"/>
        </w:rPr>
        <w:t>Milne Bay Counselling trained more than 300 male and female volunteer counsellors (many of whom work in very remote areas in the province) to provide counselling services to women and men affected by FSV</w:t>
      </w:r>
      <w:r>
        <w:rPr>
          <w:lang w:val="en"/>
        </w:rPr>
        <w:t xml:space="preserve">. </w:t>
      </w:r>
      <w:r w:rsidRPr="00447D0E">
        <w:rPr>
          <w:lang w:val="en"/>
        </w:rPr>
        <w:t xml:space="preserve">They also developed PNG’s first counselling competency standards, and a national training manual on counselling best practice. The standards and manual have been endorsed by the National Training Council and National Apprenticeships and Trade Testing Board. Thirty volunteer counsellors are working towards </w:t>
      </w:r>
      <w:r>
        <w:rPr>
          <w:lang w:val="en"/>
        </w:rPr>
        <w:t xml:space="preserve">counsellor </w:t>
      </w:r>
      <w:r w:rsidRPr="00447D0E">
        <w:rPr>
          <w:lang w:val="en"/>
        </w:rPr>
        <w:t>accreditation</w:t>
      </w:r>
      <w:r>
        <w:rPr>
          <w:lang w:val="en"/>
        </w:rPr>
        <w:t xml:space="preserve">. </w:t>
      </w:r>
    </w:p>
    <w:p w14:paraId="0B70F6B0" w14:textId="77777777" w:rsidR="00BD5A32" w:rsidRPr="00447D0E" w:rsidRDefault="00BD5A32" w:rsidP="00A21C3E">
      <w:pPr>
        <w:pStyle w:val="BodyText"/>
      </w:pPr>
      <w:r w:rsidRPr="00447D0E">
        <w:t>Australia continued to support local ownership for service delivery through training of 32</w:t>
      </w:r>
      <w:r>
        <w:t> </w:t>
      </w:r>
      <w:r w:rsidRPr="00447D0E">
        <w:t>village birth attendants throughout the three local level governments in Obura</w:t>
      </w:r>
      <w:r>
        <w:t xml:space="preserve"> – Wonenara District, </w:t>
      </w:r>
      <w:r w:rsidRPr="00447D0E">
        <w:t>a remote rura</w:t>
      </w:r>
      <w:r>
        <w:t xml:space="preserve">l district with no road access and very limited access to services. </w:t>
      </w:r>
    </w:p>
    <w:p w14:paraId="0B70F6B1" w14:textId="77777777" w:rsidR="00BD5A32" w:rsidRPr="00447D0E" w:rsidRDefault="00BD5A32" w:rsidP="00A21C3E">
      <w:pPr>
        <w:pStyle w:val="Heading3"/>
      </w:pPr>
      <w:r w:rsidRPr="00447D0E">
        <w:t>Strengthening electoral governance</w:t>
      </w:r>
    </w:p>
    <w:p w14:paraId="0B70F6B2" w14:textId="77777777" w:rsidR="00BD5A32" w:rsidRDefault="00BD5A32" w:rsidP="00A21C3E">
      <w:pPr>
        <w:pStyle w:val="BodyText"/>
      </w:pPr>
      <w:r w:rsidRPr="00447D0E">
        <w:t xml:space="preserve">While Australia contributed to supporting PNGEC to plan and deliver the 2012 General Election, the overall impact of </w:t>
      </w:r>
      <w:r>
        <w:t>Australia’s</w:t>
      </w:r>
      <w:r w:rsidRPr="00447D0E">
        <w:t xml:space="preserve"> efforts on the </w:t>
      </w:r>
      <w:r w:rsidRPr="00447D0E">
        <w:rPr>
          <w:i/>
        </w:rPr>
        <w:t>credibility</w:t>
      </w:r>
      <w:r w:rsidRPr="00447D0E">
        <w:t xml:space="preserve"> of the election was marginal according to independent election reports. An </w:t>
      </w:r>
      <w:r>
        <w:t>i</w:t>
      </w:r>
      <w:r w:rsidRPr="00447D0E">
        <w:t xml:space="preserve">ndependent </w:t>
      </w:r>
      <w:r>
        <w:t>e</w:t>
      </w:r>
      <w:r w:rsidRPr="00447D0E">
        <w:t>valuation of Australia’s Electoral Support Program noted that short</w:t>
      </w:r>
      <w:r>
        <w:t>-</w:t>
      </w:r>
      <w:r w:rsidRPr="00447D0E">
        <w:t xml:space="preserve">term Australian assistance during the </w:t>
      </w:r>
      <w:r>
        <w:t>e</w:t>
      </w:r>
      <w:r w:rsidRPr="00447D0E">
        <w:t xml:space="preserve">lection helped reduce the risk of violence and disruption. Australian aid was also an important driver of improved voter awareness activities around major election events. However, the broader ambition to develop a national electoral and citizenship education program has not </w:t>
      </w:r>
      <w:r>
        <w:t xml:space="preserve">yet </w:t>
      </w:r>
      <w:r w:rsidRPr="00447D0E">
        <w:t xml:space="preserve">been realised. The review also found that Australia could pay greater attention to strengthening the broader institutional environment for elections, in addition to </w:t>
      </w:r>
      <w:r>
        <w:t>providing</w:t>
      </w:r>
      <w:r w:rsidRPr="00447D0E">
        <w:t xml:space="preserve"> assistance to PNGEC. This report considered that the level of improvement in the election process did not match the effort invested.</w:t>
      </w:r>
      <w:r w:rsidRPr="00933097">
        <w:rPr>
          <w:rStyle w:val="FootnoteReference"/>
          <w:szCs w:val="16"/>
        </w:rPr>
        <w:footnoteReference w:id="57"/>
      </w:r>
      <w:r w:rsidRPr="00447D0E">
        <w:t xml:space="preserve"> Australian Civilian Corps and Australian Defence Force support made Australia’s overall assistance an important, valuable contribution to PNG’s general elections. </w:t>
      </w:r>
    </w:p>
    <w:p w14:paraId="0B70F6B3" w14:textId="77777777" w:rsidR="00BD5A32" w:rsidRPr="00447D0E" w:rsidRDefault="00BD5A32" w:rsidP="00A21C3E">
      <w:pPr>
        <w:pStyle w:val="BodyText"/>
      </w:pPr>
      <w:r w:rsidRPr="00447D0E">
        <w:t>Independent reports refer to money</w:t>
      </w:r>
      <w:r>
        <w:t>,</w:t>
      </w:r>
      <w:r w:rsidRPr="00447D0E">
        <w:t xml:space="preserve"> politics, bribery, violence, and intimidation undermining the legitimacy of the election process. Australia’s support had limited influence over these issues. Despite this, these reports stated that, without Australian support, the elections would have not proceeded on time or would have performed worse</w:t>
      </w:r>
      <w:r>
        <w:t xml:space="preserve">. </w:t>
      </w:r>
      <w:r w:rsidRPr="00447D0E">
        <w:t xml:space="preserve">Australia will start a process </w:t>
      </w:r>
      <w:r>
        <w:t xml:space="preserve">jointly with the PNG Government </w:t>
      </w:r>
      <w:r w:rsidRPr="00447D0E">
        <w:t>to design a program of electoral support to PNG in mid</w:t>
      </w:r>
      <w:r>
        <w:t xml:space="preserve"> to </w:t>
      </w:r>
      <w:r w:rsidRPr="00447D0E">
        <w:t>late 2013. Australia’s engagement will focus on improved delivery and enhanced credibility of the 2017 General Election, the 2018 local level elections and by-elections.</w:t>
      </w:r>
    </w:p>
    <w:p w14:paraId="0B70F6B4" w14:textId="77777777" w:rsidR="00BD5A32" w:rsidRPr="00447D0E" w:rsidRDefault="00BD5A32" w:rsidP="00A21C3E">
      <w:pPr>
        <w:pStyle w:val="BodyText"/>
      </w:pPr>
      <w:r w:rsidRPr="00447D0E">
        <w:t>Australia made effective contributions to electoral governance through its support to the PNGEC</w:t>
      </w:r>
      <w:r>
        <w:t xml:space="preserve">. </w:t>
      </w:r>
      <w:r w:rsidRPr="00447D0E">
        <w:t>The 2012 General Election was an important democratic process</w:t>
      </w:r>
      <w:r>
        <w:t xml:space="preserve">. </w:t>
      </w:r>
      <w:r w:rsidRPr="00447D0E">
        <w:t xml:space="preserve">Australia’s support focused on building the PNGEC’s internal capacity to manage free and fair elections, building electoral civic awareness, and improving electoral research, analysis and coordination:  </w:t>
      </w:r>
    </w:p>
    <w:p w14:paraId="0B70F6B5" w14:textId="77777777" w:rsidR="00BD5A32" w:rsidRPr="00447D0E" w:rsidRDefault="00BD5A32" w:rsidP="00A21C3E">
      <w:pPr>
        <w:pStyle w:val="ListBullet"/>
      </w:pPr>
      <w:r w:rsidRPr="00447D0E">
        <w:t>An independent evaluation found</w:t>
      </w:r>
      <w:r>
        <w:t xml:space="preserve"> that</w:t>
      </w:r>
      <w:r w:rsidRPr="00447D0E">
        <w:t xml:space="preserve"> Australia’s support for recruiting 22 assistant election managers contributed significantly to improving electoral management in provincial offices in 2012.</w:t>
      </w:r>
    </w:p>
    <w:p w14:paraId="0B70F6B6" w14:textId="77777777" w:rsidR="00BD5A32" w:rsidRPr="00447D0E" w:rsidRDefault="00BD5A32" w:rsidP="00A21C3E">
      <w:pPr>
        <w:pStyle w:val="ListBullet"/>
      </w:pPr>
      <w:r w:rsidRPr="00447D0E">
        <w:lastRenderedPageBreak/>
        <w:t xml:space="preserve">Australia’s support for </w:t>
      </w:r>
      <w:r>
        <w:t xml:space="preserve">the development of </w:t>
      </w:r>
      <w:r w:rsidRPr="00447D0E">
        <w:t>a PNGEC website, includ</w:t>
      </w:r>
      <w:r>
        <w:t>ing</w:t>
      </w:r>
      <w:r w:rsidRPr="00447D0E">
        <w:t xml:space="preserve"> a results page </w:t>
      </w:r>
      <w:r>
        <w:t>receiving</w:t>
      </w:r>
      <w:r w:rsidRPr="00447D0E">
        <w:t xml:space="preserve"> more than 4.4 million hits, and an elections results Facebook page, improved the transparency of the 2012 General Election.</w:t>
      </w:r>
    </w:p>
    <w:p w14:paraId="0B70F6B7" w14:textId="77777777" w:rsidR="00BD5A32" w:rsidRPr="00447D0E" w:rsidRDefault="00BD5A32" w:rsidP="00A21C3E">
      <w:pPr>
        <w:pStyle w:val="ListBullet"/>
      </w:pPr>
      <w:r w:rsidRPr="00447D0E">
        <w:t>Election civic awareness sessions were effective in raising awareness of electoral inclusiveness by including messages on HIV/AIDS, gender and disability. These sessions were delivered to approximately 1.6 million PNG nationals through partner</w:t>
      </w:r>
      <w:r>
        <w:t>ships</w:t>
      </w:r>
      <w:r w:rsidRPr="00447D0E">
        <w:t xml:space="preserve"> between the PNGEC and more than 100 civil society organisations. Observer reports, however, found civic awareness sessions suffered from delays and would have been more effective if started earlier, avoiding overlap with candidate campaigning.</w:t>
      </w:r>
    </w:p>
    <w:p w14:paraId="0B70F6B8" w14:textId="77777777" w:rsidR="00BD5A32" w:rsidRPr="00447D0E" w:rsidRDefault="00BD5A32" w:rsidP="00A21C3E">
      <w:pPr>
        <w:pStyle w:val="ListBullet"/>
      </w:pPr>
      <w:r w:rsidRPr="00447D0E">
        <w:t>120 domestic observers across PNG and independent election observer reports were funded by Australia to inform PNGEC reforms and future Australian support.</w:t>
      </w:r>
    </w:p>
    <w:p w14:paraId="0B70F6B9" w14:textId="77777777" w:rsidR="00BD5A32" w:rsidRPr="00447D0E" w:rsidRDefault="00BD5A32" w:rsidP="00A21C3E">
      <w:pPr>
        <w:pStyle w:val="ListBullet"/>
      </w:pPr>
      <w:r w:rsidRPr="00447D0E">
        <w:t xml:space="preserve">New polling stations </w:t>
      </w:r>
      <w:r>
        <w:t xml:space="preserve">were </w:t>
      </w:r>
      <w:r w:rsidRPr="00447D0E">
        <w:t xml:space="preserve">designed to accommodate the needs of voters with a disability were introduced through Australian support. </w:t>
      </w:r>
    </w:p>
    <w:p w14:paraId="0B70F6BA" w14:textId="77777777" w:rsidR="00BD5A32" w:rsidRDefault="00BD5A32" w:rsidP="00A21C3E">
      <w:pPr>
        <w:pStyle w:val="BodyText"/>
        <w:rPr>
          <w:lang w:val="en"/>
        </w:rPr>
      </w:pPr>
      <w:r w:rsidRPr="00447D0E">
        <w:rPr>
          <w:lang w:val="en"/>
        </w:rPr>
        <w:t>While improvements in democratic governance will be long</w:t>
      </w:r>
      <w:r>
        <w:rPr>
          <w:lang w:val="en"/>
        </w:rPr>
        <w:t xml:space="preserve"> </w:t>
      </w:r>
      <w:r w:rsidRPr="00447D0E">
        <w:rPr>
          <w:lang w:val="en"/>
        </w:rPr>
        <w:t xml:space="preserve">term, </w:t>
      </w:r>
      <w:r>
        <w:rPr>
          <w:lang w:val="en"/>
        </w:rPr>
        <w:t>Australia</w:t>
      </w:r>
      <w:r w:rsidRPr="00447D0E">
        <w:rPr>
          <w:lang w:val="en"/>
        </w:rPr>
        <w:t xml:space="preserve"> need</w:t>
      </w:r>
      <w:r>
        <w:rPr>
          <w:lang w:val="en"/>
        </w:rPr>
        <w:t>s</w:t>
      </w:r>
      <w:r w:rsidRPr="00447D0E">
        <w:rPr>
          <w:lang w:val="en"/>
        </w:rPr>
        <w:t xml:space="preserve"> to better articulate </w:t>
      </w:r>
      <w:r>
        <w:rPr>
          <w:lang w:val="en"/>
        </w:rPr>
        <w:t>its</w:t>
      </w:r>
      <w:r w:rsidRPr="00447D0E">
        <w:rPr>
          <w:lang w:val="en"/>
        </w:rPr>
        <w:t xml:space="preserve"> strategy and how it complements programs in public sector governance and other Partnership for Development sectors</w:t>
      </w:r>
      <w:r>
        <w:rPr>
          <w:lang w:val="en"/>
        </w:rPr>
        <w:t xml:space="preserve">. </w:t>
      </w:r>
      <w:r w:rsidRPr="00447D0E">
        <w:rPr>
          <w:lang w:val="en"/>
        </w:rPr>
        <w:t xml:space="preserve">A lack of clear strategy to guide Australia’s </w:t>
      </w:r>
      <w:r>
        <w:rPr>
          <w:lang w:val="en"/>
        </w:rPr>
        <w:t xml:space="preserve">democratic governance </w:t>
      </w:r>
      <w:r w:rsidRPr="00447D0E">
        <w:rPr>
          <w:lang w:val="en"/>
        </w:rPr>
        <w:t>programs</w:t>
      </w:r>
      <w:r>
        <w:rPr>
          <w:lang w:val="en"/>
        </w:rPr>
        <w:t>,</w:t>
      </w:r>
      <w:r w:rsidRPr="00447D0E">
        <w:rPr>
          <w:lang w:val="en"/>
        </w:rPr>
        <w:t xml:space="preserve"> combined with overly broad and ambitious objectives, limits Australia’s and PNG’s ability to accurately m</w:t>
      </w:r>
      <w:r>
        <w:rPr>
          <w:lang w:val="en"/>
        </w:rPr>
        <w:t>easure progress in this area. Australia</w:t>
      </w:r>
      <w:r w:rsidRPr="00447D0E">
        <w:rPr>
          <w:lang w:val="en"/>
        </w:rPr>
        <w:t xml:space="preserve"> will develop a new governance strategy, recasting Australia’s objectives for democratic governance in PNG</w:t>
      </w:r>
      <w:r>
        <w:rPr>
          <w:lang w:val="en"/>
        </w:rPr>
        <w:t xml:space="preserve">. </w:t>
      </w:r>
    </w:p>
    <w:p w14:paraId="0B70F6BB" w14:textId="77777777" w:rsidR="006264ED" w:rsidRDefault="006264ED" w:rsidP="00A21C3E">
      <w:pPr>
        <w:pStyle w:val="BodyText"/>
        <w:rPr>
          <w:lang w:val="en"/>
        </w:rPr>
      </w:pPr>
    </w:p>
    <w:tbl>
      <w:tblPr>
        <w:tblStyle w:val="TableGrid"/>
        <w:tblW w:w="0" w:type="auto"/>
        <w:shd w:val="clear" w:color="auto" w:fill="C6D9F1" w:themeFill="text2" w:themeFillTint="33"/>
        <w:tblLook w:val="04A0" w:firstRow="1" w:lastRow="0" w:firstColumn="1" w:lastColumn="0" w:noHBand="0" w:noVBand="1"/>
      </w:tblPr>
      <w:tblGrid>
        <w:gridCol w:w="8494"/>
      </w:tblGrid>
      <w:tr w:rsidR="00CC1180" w14:paraId="0B70F6C2" w14:textId="77777777" w:rsidTr="001E7728">
        <w:tc>
          <w:tcPr>
            <w:tcW w:w="8494" w:type="dxa"/>
            <w:shd w:val="clear" w:color="auto" w:fill="C6D9F1" w:themeFill="text2" w:themeFillTint="33"/>
          </w:tcPr>
          <w:p w14:paraId="0B70F6BC" w14:textId="77777777" w:rsidR="001864F1" w:rsidRDefault="001864F1" w:rsidP="001864F1">
            <w:pPr>
              <w:pStyle w:val="BoxHeading1"/>
            </w:pPr>
            <w:r w:rsidRPr="008E0A49">
              <w:t xml:space="preserve">Box 3: </w:t>
            </w:r>
            <w:r w:rsidR="00CA6E97">
              <w:t xml:space="preserve">Democratic governance program support for </w:t>
            </w:r>
            <w:r w:rsidRPr="008E0A49">
              <w:t>Mother Child Support Project</w:t>
            </w:r>
            <w:r w:rsidR="00CA6E97">
              <w:t xml:space="preserve"> </w:t>
            </w:r>
          </w:p>
          <w:p w14:paraId="0B70F6BD" w14:textId="77777777" w:rsidR="001864F1" w:rsidRPr="001864F1" w:rsidRDefault="001864F1" w:rsidP="001864F1">
            <w:pPr>
              <w:pStyle w:val="BoxText"/>
            </w:pPr>
            <w:r w:rsidRPr="001864F1">
              <w:t>Ms Velesi Avosa gave up working as a primary school teacher to look after her six children when her husband evicted her and their children from their home. With no job and children to support, Ms Avosa moved back to a settlement on the outskirts of Port Moresby. The family lived in a tin shed with no septic toilet and no running water. They ate, on average, once a day. Although Ms Avosa was emotionally devastated, she realised there were women worse off than she was.</w:t>
            </w:r>
          </w:p>
          <w:p w14:paraId="0B70F6BE" w14:textId="77777777" w:rsidR="001864F1" w:rsidRPr="001864F1" w:rsidRDefault="001864F1" w:rsidP="001864F1">
            <w:pPr>
              <w:pStyle w:val="BoxText"/>
            </w:pPr>
            <w:r w:rsidRPr="001864F1">
              <w:t xml:space="preserve">Ms Avosa founded the Mother Child Support Project to address a ‘poverty of opportunity’ among marginalised women being physically and emotionally abused and intimidated because they were uneducated, had married young, or were jobless. Ms Avosa wanted to help vulnerable women to be emotionally confident and rise out of poverty by providing practical training programs to enhance the skills of mothers, young women and children in daily income-generating activities. </w:t>
            </w:r>
          </w:p>
          <w:p w14:paraId="0B70F6BF" w14:textId="77777777" w:rsidR="001864F1" w:rsidRPr="001864F1" w:rsidRDefault="001864F1" w:rsidP="001864F1">
            <w:pPr>
              <w:pStyle w:val="BoxText"/>
            </w:pPr>
            <w:r w:rsidRPr="001864F1">
              <w:t xml:space="preserve">‘In August 2004, the desire to formalise the group took hold of me and I secured an office space for formal operations,’ said Ms Avosa. ‘It was not easy but I took the risk to do something to motivate the mothers to trust themselves and move on in life by using the skills that I was imparting to them.’   </w:t>
            </w:r>
          </w:p>
          <w:p w14:paraId="0B70F6C0" w14:textId="77777777" w:rsidR="001864F1" w:rsidRPr="001864F1" w:rsidRDefault="001864F1" w:rsidP="001864F1">
            <w:pPr>
              <w:pStyle w:val="BoxText"/>
            </w:pPr>
            <w:r w:rsidRPr="001864F1">
              <w:t xml:space="preserve">The group grew to an estimated 876 women undertaking advocacy and awareness on women’s empowerment and identifying income opportunities. ‘Our activities in the fourth year are focused in evaluating the outcomes of skills learning and how to help the lives of team leaders and members their respective communities.’ </w:t>
            </w:r>
          </w:p>
          <w:p w14:paraId="0B70F6C1" w14:textId="77777777" w:rsidR="00CC1180" w:rsidRPr="001864F1" w:rsidRDefault="001864F1" w:rsidP="001864F1">
            <w:pPr>
              <w:pStyle w:val="BoxText"/>
            </w:pPr>
            <w:r w:rsidRPr="001864F1">
              <w:t>The Church Partnership Program that supported Ms Avosa is an Australian-funded initiative that helps church groups improve services to local communities in PNG, particularly in rural and remote areas. Collectively, churches provide about half of PNG’s health and education services and in many parts of the country they are the only source of such services.</w:t>
            </w:r>
            <w:r w:rsidRPr="00400C4E">
              <w:t xml:space="preserve"> </w:t>
            </w:r>
          </w:p>
        </w:tc>
      </w:tr>
    </w:tbl>
    <w:p w14:paraId="0B70F6C3" w14:textId="77777777" w:rsidR="002F2617" w:rsidRPr="001864F1" w:rsidRDefault="0028658E" w:rsidP="001864F1">
      <w:pPr>
        <w:pStyle w:val="Heading2"/>
      </w:pPr>
      <w:r w:rsidRPr="001864F1">
        <w:lastRenderedPageBreak/>
        <w:t>O</w:t>
      </w:r>
      <w:r w:rsidR="002F2617" w:rsidRPr="001864F1">
        <w:t xml:space="preserve">bjective 7: Gender </w:t>
      </w:r>
      <w:r w:rsidR="008C25F5" w:rsidRPr="001864F1">
        <w:t>e</w:t>
      </w:r>
      <w:r w:rsidR="002F2617" w:rsidRPr="001864F1">
        <w:t xml:space="preserve">quality and </w:t>
      </w:r>
      <w:r w:rsidR="008C25F5" w:rsidRPr="001864F1">
        <w:t>w</w:t>
      </w:r>
      <w:r w:rsidR="002F2617" w:rsidRPr="001864F1">
        <w:t xml:space="preserve">omen’s </w:t>
      </w:r>
      <w:r w:rsidR="008C25F5" w:rsidRPr="001864F1">
        <w:t>e</w:t>
      </w:r>
      <w:r w:rsidR="002F2617" w:rsidRPr="001864F1">
        <w:t>mpowerment</w:t>
      </w:r>
    </w:p>
    <w:tbl>
      <w:tblPr>
        <w:tblStyle w:val="APPR"/>
        <w:tblW w:w="5000" w:type="pct"/>
        <w:tblLook w:val="0000" w:firstRow="0" w:lastRow="0" w:firstColumn="0" w:lastColumn="0" w:noHBand="0" w:noVBand="0"/>
      </w:tblPr>
      <w:tblGrid>
        <w:gridCol w:w="7390"/>
        <w:gridCol w:w="1216"/>
      </w:tblGrid>
      <w:tr w:rsidR="006378F6" w:rsidRPr="006264ED" w14:paraId="0B70F6C6" w14:textId="77777777" w:rsidTr="006264ED">
        <w:trPr>
          <w:cnfStyle w:val="000000010000" w:firstRow="0" w:lastRow="0" w:firstColumn="0" w:lastColumn="0" w:oddVBand="0" w:evenVBand="0" w:oddHBand="0" w:evenHBand="1" w:firstRowFirstColumn="0" w:firstRowLastColumn="0" w:lastRowFirstColumn="0" w:lastRowLastColumn="0"/>
        </w:trPr>
        <w:tc>
          <w:tcPr>
            <w:tcW w:w="7246" w:type="dxa"/>
          </w:tcPr>
          <w:p w14:paraId="0B70F6C4" w14:textId="77777777" w:rsidR="006378F6" w:rsidRPr="006264ED" w:rsidRDefault="006378F6" w:rsidP="006264ED">
            <w:pPr>
              <w:pStyle w:val="TableTextEntries"/>
            </w:pPr>
            <w:r w:rsidRPr="006264ED">
              <w:t>Gender equality and women’s empowerment</w:t>
            </w:r>
          </w:p>
        </w:tc>
        <w:tc>
          <w:tcPr>
            <w:tcW w:w="1158" w:type="dxa"/>
            <w:shd w:val="clear" w:color="auto" w:fill="FF0000"/>
            <w:noWrap/>
          </w:tcPr>
          <w:p w14:paraId="0B70F6C5" w14:textId="77777777" w:rsidR="006378F6" w:rsidRPr="006264ED" w:rsidRDefault="006378F6" w:rsidP="006264ED">
            <w:pPr>
              <w:pStyle w:val="TableTextEntries"/>
            </w:pPr>
            <w:r w:rsidRPr="006264ED">
              <w:t>Red</w:t>
            </w:r>
          </w:p>
        </w:tc>
      </w:tr>
    </w:tbl>
    <w:p w14:paraId="0B70F6C7" w14:textId="77777777" w:rsidR="00A0186E" w:rsidRDefault="00A0186E" w:rsidP="001864F1">
      <w:pPr>
        <w:pStyle w:val="BodyText"/>
      </w:pPr>
    </w:p>
    <w:p w14:paraId="0B70F6C8" w14:textId="77777777" w:rsidR="00FF0F45" w:rsidRDefault="0033050A" w:rsidP="001864F1">
      <w:pPr>
        <w:pStyle w:val="BodyText"/>
      </w:pPr>
      <w:r>
        <w:t xml:space="preserve">Australia has rated </w:t>
      </w:r>
      <w:r w:rsidR="00877D2F">
        <w:t xml:space="preserve">its </w:t>
      </w:r>
      <w:r>
        <w:t xml:space="preserve">progress against </w:t>
      </w:r>
      <w:r w:rsidR="00877D2F">
        <w:t>this objective under the Partnership for Development as red</w:t>
      </w:r>
      <w:r w:rsidR="001B2B81">
        <w:t xml:space="preserve"> in 2012–13</w:t>
      </w:r>
      <w:r w:rsidR="00877D2F">
        <w:t>. This rating was maintained from 2011</w:t>
      </w:r>
      <w:r w:rsidR="00477514">
        <w:t xml:space="preserve">. </w:t>
      </w:r>
      <w:r w:rsidR="00580A48">
        <w:t xml:space="preserve">While progress was made </w:t>
      </w:r>
      <w:r w:rsidR="00877D2F">
        <w:t xml:space="preserve">against some </w:t>
      </w:r>
      <w:r w:rsidR="00334144">
        <w:t xml:space="preserve">gender equality </w:t>
      </w:r>
      <w:r w:rsidR="00580A48">
        <w:t>objectives</w:t>
      </w:r>
      <w:r w:rsidR="00877D2F">
        <w:t>, progress</w:t>
      </w:r>
      <w:r w:rsidR="00580A48">
        <w:t xml:space="preserve"> was </w:t>
      </w:r>
      <w:r w:rsidR="00CA6E97">
        <w:t xml:space="preserve">weaker </w:t>
      </w:r>
      <w:r w:rsidR="00580A48" w:rsidRPr="00580A48">
        <w:t>than expected</w:t>
      </w:r>
      <w:r w:rsidR="0041638B">
        <w:t xml:space="preserve">. </w:t>
      </w:r>
      <w:r w:rsidR="00FF0F45">
        <w:t>More direct emphasis</w:t>
      </w:r>
      <w:r w:rsidR="00580A48" w:rsidRPr="00580A48">
        <w:t xml:space="preserve"> </w:t>
      </w:r>
      <w:r w:rsidR="00580A48">
        <w:t xml:space="preserve">on </w:t>
      </w:r>
      <w:r w:rsidR="00580A48" w:rsidRPr="00580A48">
        <w:t xml:space="preserve">gender equality </w:t>
      </w:r>
      <w:r w:rsidR="00FF0F45">
        <w:t xml:space="preserve">is required </w:t>
      </w:r>
      <w:r w:rsidR="00580A48" w:rsidRPr="00580A48">
        <w:t xml:space="preserve">within sector strategies </w:t>
      </w:r>
      <w:r w:rsidR="00FF0F45">
        <w:t>and</w:t>
      </w:r>
      <w:r w:rsidR="00580A48" w:rsidRPr="00580A48">
        <w:t xml:space="preserve"> more explicit objective</w:t>
      </w:r>
      <w:r w:rsidR="0065233D">
        <w:t>s</w:t>
      </w:r>
      <w:r w:rsidR="00580A48" w:rsidRPr="00580A48">
        <w:t xml:space="preserve"> </w:t>
      </w:r>
      <w:r w:rsidR="00877D2F">
        <w:t>require</w:t>
      </w:r>
      <w:r w:rsidR="0075545F">
        <w:t>d</w:t>
      </w:r>
      <w:r w:rsidR="00877D2F">
        <w:t xml:space="preserve"> in</w:t>
      </w:r>
      <w:r w:rsidR="00877D2F" w:rsidRPr="00580A48">
        <w:t xml:space="preserve"> </w:t>
      </w:r>
      <w:r w:rsidR="00580A48" w:rsidRPr="00580A48">
        <w:t xml:space="preserve">each Partnership for Development schedule. </w:t>
      </w:r>
    </w:p>
    <w:p w14:paraId="0B70F6C9" w14:textId="7A5A2947" w:rsidR="00877D2F" w:rsidRDefault="002F2617" w:rsidP="001864F1">
      <w:pPr>
        <w:pStyle w:val="BodyText"/>
      </w:pPr>
      <w:r w:rsidRPr="00F044AA">
        <w:t>Gender equality and women’s empowerment is critical to PNG’s economic and human development. Australia’s gender objectives in PNG are framed by the</w:t>
      </w:r>
      <w:r w:rsidR="00FF0F45">
        <w:t xml:space="preserve"> Aus</w:t>
      </w:r>
      <w:r w:rsidR="00D21810">
        <w:t>tralia</w:t>
      </w:r>
      <w:r w:rsidR="00877D2F">
        <w:t xml:space="preserve"> –</w:t>
      </w:r>
      <w:r w:rsidR="00FF0F45">
        <w:t xml:space="preserve"> PNG gender strategy, </w:t>
      </w:r>
      <w:r w:rsidR="00FF0F45" w:rsidRPr="008E0A49">
        <w:rPr>
          <w:i/>
        </w:rPr>
        <w:t>Equality Matters</w:t>
      </w:r>
      <w:r w:rsidR="0041638B">
        <w:t xml:space="preserve">. </w:t>
      </w:r>
      <w:r w:rsidR="003B51A5">
        <w:t xml:space="preserve">They are also </w:t>
      </w:r>
      <w:r w:rsidRPr="00F044AA">
        <w:t xml:space="preserve">informed by the four pillars of </w:t>
      </w:r>
      <w:r w:rsidR="00B419C6">
        <w:t>DFAT</w:t>
      </w:r>
      <w:r w:rsidRPr="00F044AA">
        <w:t xml:space="preserve">’s </w:t>
      </w:r>
      <w:r w:rsidR="003B51A5">
        <w:t xml:space="preserve">broader </w:t>
      </w:r>
      <w:r w:rsidRPr="00F044AA">
        <w:t xml:space="preserve">gender strategy </w:t>
      </w:r>
      <w:hyperlink r:id="rId17" w:tgtFrame="_blank" w:history="1">
        <w:r w:rsidRPr="00F044AA">
          <w:rPr>
            <w:i/>
          </w:rPr>
          <w:t>Promoting opportunities for all: Gender equality and women's empowerment</w:t>
        </w:r>
      </w:hyperlink>
      <w:r w:rsidRPr="00F044AA">
        <w:rPr>
          <w:i/>
        </w:rPr>
        <w:t xml:space="preserve"> </w:t>
      </w:r>
      <w:r w:rsidRPr="00F044AA">
        <w:t>and</w:t>
      </w:r>
      <w:r>
        <w:t xml:space="preserve"> </w:t>
      </w:r>
      <w:r w:rsidRPr="00F044AA">
        <w:t xml:space="preserve">the </w:t>
      </w:r>
      <w:r w:rsidRPr="00334144">
        <w:t>Pacific Women Shaping Pacific Development Gender Initiative</w:t>
      </w:r>
      <w:r w:rsidRPr="00597298">
        <w:t>.</w:t>
      </w:r>
      <w:r w:rsidRPr="00F044AA">
        <w:t xml:space="preserve"> </w:t>
      </w:r>
      <w:r w:rsidR="00877D2F" w:rsidRPr="008E0A49">
        <w:rPr>
          <w:i/>
        </w:rPr>
        <w:t>Equality Matters</w:t>
      </w:r>
      <w:r w:rsidR="00877D2F" w:rsidRPr="003B51A5">
        <w:t xml:space="preserve"> </w:t>
      </w:r>
      <w:r w:rsidR="00334144">
        <w:t>will</w:t>
      </w:r>
      <w:r w:rsidR="00877D2F">
        <w:t xml:space="preserve"> be revised </w:t>
      </w:r>
      <w:r w:rsidR="00334144">
        <w:t>to</w:t>
      </w:r>
      <w:r w:rsidR="00877D2F" w:rsidRPr="003B51A5">
        <w:t xml:space="preserve"> align with the</w:t>
      </w:r>
      <w:r w:rsidR="00877D2F">
        <w:t xml:space="preserve"> other</w:t>
      </w:r>
      <w:r w:rsidR="00877D2F" w:rsidRPr="003B51A5">
        <w:t xml:space="preserve"> two </w:t>
      </w:r>
      <w:r w:rsidR="00877D2F">
        <w:t xml:space="preserve">strategy </w:t>
      </w:r>
      <w:r w:rsidR="00877D2F" w:rsidRPr="003B51A5">
        <w:t>documents</w:t>
      </w:r>
      <w:r w:rsidR="00877D2F">
        <w:t>.</w:t>
      </w:r>
    </w:p>
    <w:p w14:paraId="0B70F6CA" w14:textId="77777777" w:rsidR="0075545F" w:rsidRDefault="002F2617" w:rsidP="001864F1">
      <w:pPr>
        <w:pStyle w:val="BodyText"/>
      </w:pPr>
      <w:r w:rsidRPr="00F044AA">
        <w:t xml:space="preserve">Australia’s </w:t>
      </w:r>
      <w:r w:rsidR="00756413">
        <w:t>support aims to:</w:t>
      </w:r>
      <w:r w:rsidRPr="00F044AA">
        <w:t xml:space="preserve"> advance equal access to gender-responsive health and education services; increase women’s voice in decision</w:t>
      </w:r>
      <w:r w:rsidR="00877D2F">
        <w:t xml:space="preserve"> </w:t>
      </w:r>
      <w:r w:rsidRPr="00F044AA">
        <w:t xml:space="preserve">making, leadership and peace-building; empower women economically and improve their livelihood security; end violence against women; and support PNG leadership on gender issues. </w:t>
      </w:r>
    </w:p>
    <w:p w14:paraId="0B70F6CB" w14:textId="77777777" w:rsidR="002F2617" w:rsidRPr="00F044AA" w:rsidRDefault="002F2617" w:rsidP="001864F1">
      <w:pPr>
        <w:pStyle w:val="BodyText"/>
        <w:rPr>
          <w:i/>
        </w:rPr>
      </w:pPr>
      <w:r w:rsidRPr="00F044AA">
        <w:t>From January 2012 to June 2013, Australia w</w:t>
      </w:r>
      <w:r>
        <w:t>ill have spent an estimated $6</w:t>
      </w:r>
      <w:r w:rsidRPr="00F044AA">
        <w:t xml:space="preserve"> million on gender equality and women’s empowerment</w:t>
      </w:r>
      <w:r>
        <w:t xml:space="preserve"> in PNG</w:t>
      </w:r>
      <w:r w:rsidRPr="00F044AA">
        <w:t xml:space="preserve">. Australian expenditure </w:t>
      </w:r>
      <w:r w:rsidR="0002269E">
        <w:t>in this area</w:t>
      </w:r>
      <w:r w:rsidRPr="00F044AA">
        <w:t xml:space="preserve"> will continue to increase. At the Pacific Islands Forum in August 2012, </w:t>
      </w:r>
      <w:r w:rsidR="00597298">
        <w:t xml:space="preserve">Australia’s </w:t>
      </w:r>
      <w:r w:rsidRPr="00F044AA">
        <w:t xml:space="preserve">Prime Minister announced the </w:t>
      </w:r>
      <w:r w:rsidRPr="00334144">
        <w:t>Pacific Women Shaping Pacific Development Gender Initiative</w:t>
      </w:r>
      <w:r w:rsidRPr="00F044AA">
        <w:rPr>
          <w:i/>
        </w:rPr>
        <w:t>.</w:t>
      </w:r>
      <w:r w:rsidR="00B7152F">
        <w:rPr>
          <w:i/>
        </w:rPr>
        <w:t xml:space="preserve"> </w:t>
      </w:r>
      <w:r w:rsidR="00B7152F">
        <w:t>Of th</w:t>
      </w:r>
      <w:r w:rsidR="008E0A49">
        <w:t>is</w:t>
      </w:r>
      <w:r w:rsidR="00B7152F">
        <w:t xml:space="preserve"> $320</w:t>
      </w:r>
      <w:r w:rsidR="008E0A49">
        <w:t> </w:t>
      </w:r>
      <w:r w:rsidR="00B7152F">
        <w:t xml:space="preserve">million commitment, </w:t>
      </w:r>
      <w:r w:rsidR="002A0140">
        <w:t>$</w:t>
      </w:r>
      <w:r w:rsidR="00B7152F">
        <w:t>57.7</w:t>
      </w:r>
      <w:r w:rsidR="002A0140">
        <w:t xml:space="preserve"> million </w:t>
      </w:r>
      <w:r w:rsidR="00334144">
        <w:t xml:space="preserve">is allocated </w:t>
      </w:r>
      <w:r w:rsidR="002A0140">
        <w:t xml:space="preserve">to </w:t>
      </w:r>
      <w:r w:rsidR="00B7152F">
        <w:t>PNG</w:t>
      </w:r>
      <w:r w:rsidR="002A0140">
        <w:t xml:space="preserve"> over</w:t>
      </w:r>
      <w:r w:rsidRPr="00F044AA">
        <w:t xml:space="preserve"> 10 years (2012</w:t>
      </w:r>
      <w:r w:rsidR="00932FB0">
        <w:t>–</w:t>
      </w:r>
      <w:r w:rsidRPr="00F044AA">
        <w:t>22)</w:t>
      </w:r>
      <w:r w:rsidR="00B7152F">
        <w:t>,</w:t>
      </w:r>
      <w:r w:rsidR="00E5303B">
        <w:t xml:space="preserve"> </w:t>
      </w:r>
      <w:r w:rsidR="00286FB8">
        <w:t xml:space="preserve">with the first activities </w:t>
      </w:r>
      <w:r w:rsidR="00597298">
        <w:t>starting</w:t>
      </w:r>
      <w:r w:rsidR="00597298" w:rsidRPr="00F044AA">
        <w:t xml:space="preserve"> </w:t>
      </w:r>
      <w:r w:rsidRPr="00F044AA">
        <w:t>in 2013</w:t>
      </w:r>
      <w:r w:rsidR="0041638B">
        <w:t xml:space="preserve">. </w:t>
      </w:r>
    </w:p>
    <w:p w14:paraId="0B70F6CC" w14:textId="77777777" w:rsidR="00932FB0" w:rsidRDefault="00597298" w:rsidP="001864F1">
      <w:pPr>
        <w:pStyle w:val="BodyText"/>
      </w:pPr>
      <w:r>
        <w:t>W</w:t>
      </w:r>
      <w:r w:rsidR="002F2617" w:rsidRPr="00F044AA">
        <w:t>omen and girls</w:t>
      </w:r>
      <w:r>
        <w:t xml:space="preserve"> face major challenges in PNG,</w:t>
      </w:r>
      <w:r w:rsidR="002F2617" w:rsidRPr="00F044AA">
        <w:t xml:space="preserve"> including: </w:t>
      </w:r>
    </w:p>
    <w:p w14:paraId="0B70F6CD" w14:textId="77777777" w:rsidR="00932FB0" w:rsidRDefault="00286FB8" w:rsidP="001864F1">
      <w:pPr>
        <w:pStyle w:val="ListBullet"/>
      </w:pPr>
      <w:r w:rsidRPr="00932FB0">
        <w:t xml:space="preserve">extremely high levels of </w:t>
      </w:r>
      <w:r w:rsidR="002F2617" w:rsidRPr="00932FB0">
        <w:t>FSV</w:t>
      </w:r>
    </w:p>
    <w:p w14:paraId="0B70F6CE" w14:textId="77777777" w:rsidR="00932FB0" w:rsidRDefault="002F2617" w:rsidP="001864F1">
      <w:pPr>
        <w:pStyle w:val="ListBullet"/>
      </w:pPr>
      <w:r w:rsidRPr="00932FB0">
        <w:t>limited employment opportunities</w:t>
      </w:r>
    </w:p>
    <w:p w14:paraId="0B70F6CF" w14:textId="77777777" w:rsidR="00932FB0" w:rsidRDefault="002F2617" w:rsidP="001864F1">
      <w:pPr>
        <w:pStyle w:val="ListBullet"/>
      </w:pPr>
      <w:r w:rsidRPr="00932FB0">
        <w:t>limited access to health and education services</w:t>
      </w:r>
    </w:p>
    <w:p w14:paraId="0B70F6D0" w14:textId="77777777" w:rsidR="00932FB0" w:rsidRDefault="002F2617" w:rsidP="001864F1">
      <w:pPr>
        <w:pStyle w:val="ListBullet"/>
      </w:pPr>
      <w:r w:rsidRPr="00932FB0">
        <w:t>low levels of representation in political and decision-making roles.</w:t>
      </w:r>
      <w:r>
        <w:rPr>
          <w:rStyle w:val="FootnoteReference"/>
        </w:rPr>
        <w:footnoteReference w:id="58"/>
      </w:r>
      <w:r w:rsidRPr="00932FB0">
        <w:t xml:space="preserve"> </w:t>
      </w:r>
    </w:p>
    <w:p w14:paraId="0B70F6D1" w14:textId="77777777" w:rsidR="002F2617" w:rsidRPr="00932FB0" w:rsidRDefault="002F2617" w:rsidP="001864F1">
      <w:pPr>
        <w:pStyle w:val="BodyText"/>
      </w:pPr>
      <w:r w:rsidRPr="00932FB0">
        <w:t>In the 2013 UNDP Human Development Repor</w:t>
      </w:r>
      <w:r w:rsidR="00597298">
        <w:t>t</w:t>
      </w:r>
      <w:r w:rsidRPr="00932FB0">
        <w:t>, PNG ranked 134 of 148 countries, with a value of 0.617.</w:t>
      </w:r>
      <w:r w:rsidRPr="00932FB0">
        <w:rPr>
          <w:rStyle w:val="FootnoteReference"/>
        </w:rPr>
        <w:footnoteReference w:id="59"/>
      </w:r>
      <w:r w:rsidRPr="00932FB0">
        <w:t xml:space="preserve"> This indicates that gender inequality in PNG has led to a 61.7 per cent loss in potential human development. PNG also ranked 125 of 128 countries in the Economist Intelligence Unit’s Women’s Economic Opportunity Index 2012.</w:t>
      </w:r>
      <w:r w:rsidRPr="00932FB0">
        <w:rPr>
          <w:rStyle w:val="FootnoteReference"/>
        </w:rPr>
        <w:footnoteReference w:id="60"/>
      </w:r>
      <w:r w:rsidRPr="00932FB0">
        <w:rPr>
          <w:rStyle w:val="FootnoteReference"/>
        </w:rPr>
        <w:t xml:space="preserve"> </w:t>
      </w:r>
      <w:r w:rsidRPr="00932FB0">
        <w:t>Th</w:t>
      </w:r>
      <w:r w:rsidR="008E0A49">
        <w:t>is</w:t>
      </w:r>
      <w:r w:rsidRPr="00932FB0">
        <w:t xml:space="preserve"> low ranking </w:t>
      </w:r>
      <w:r w:rsidR="00597298">
        <w:t>resulted from</w:t>
      </w:r>
      <w:r w:rsidRPr="00932FB0">
        <w:t xml:space="preserve"> </w:t>
      </w:r>
      <w:r w:rsidR="00286FB8" w:rsidRPr="00932FB0">
        <w:t xml:space="preserve">generally </w:t>
      </w:r>
      <w:r w:rsidRPr="00932FB0">
        <w:t xml:space="preserve">poor educational achievement for women and minimal legal support in the workplace. </w:t>
      </w:r>
      <w:r w:rsidR="00597298">
        <w:t>PNG has not conducted a</w:t>
      </w:r>
      <w:r w:rsidR="0028658E" w:rsidRPr="00932FB0">
        <w:t xml:space="preserve"> national</w:t>
      </w:r>
      <w:r w:rsidR="00597298">
        <w:t xml:space="preserve">, </w:t>
      </w:r>
      <w:r w:rsidR="0028658E" w:rsidRPr="00932FB0">
        <w:t>comprehensive prevalence study on gender</w:t>
      </w:r>
      <w:r w:rsidR="00D856C5">
        <w:t>-</w:t>
      </w:r>
      <w:r w:rsidR="0028658E" w:rsidRPr="00932FB0">
        <w:lastRenderedPageBreak/>
        <w:t>based violence since the Law Reform Commission’s research in the 1980s</w:t>
      </w:r>
      <w:r w:rsidR="008E0A49">
        <w:t>. In</w:t>
      </w:r>
      <w:r w:rsidR="0028658E" w:rsidRPr="00932FB0">
        <w:t xml:space="preserve"> 2013</w:t>
      </w:r>
      <w:r w:rsidR="008E0A49">
        <w:t xml:space="preserve">, however, </w:t>
      </w:r>
      <w:r w:rsidR="0028658E" w:rsidRPr="00932FB0">
        <w:t xml:space="preserve"> Australia will support </w:t>
      </w:r>
      <w:r w:rsidR="00597298">
        <w:t xml:space="preserve">the </w:t>
      </w:r>
      <w:r w:rsidR="0028658E" w:rsidRPr="00932FB0">
        <w:t>UNDP to conduct a national FSV prevalence study.</w:t>
      </w:r>
      <w:r w:rsidR="0028658E" w:rsidRPr="00932FB0">
        <w:rPr>
          <w:rStyle w:val="FootnoteReference"/>
        </w:rPr>
        <w:footnoteReference w:id="61"/>
      </w:r>
    </w:p>
    <w:p w14:paraId="0B70F6D2" w14:textId="77777777" w:rsidR="002F2617" w:rsidRPr="00F044AA" w:rsidRDefault="00597298" w:rsidP="001864F1">
      <w:pPr>
        <w:pStyle w:val="BodyText"/>
      </w:pPr>
      <w:r>
        <w:t>G</w:t>
      </w:r>
      <w:r w:rsidR="002F2617" w:rsidRPr="00291086">
        <w:t xml:space="preserve">ender equality </w:t>
      </w:r>
      <w:r>
        <w:t>has not progress</w:t>
      </w:r>
      <w:r w:rsidR="008E0A49">
        <w:t>ed</w:t>
      </w:r>
      <w:r>
        <w:t xml:space="preserve"> significantly </w:t>
      </w:r>
      <w:r w:rsidR="002F2617" w:rsidRPr="00291086">
        <w:t>in PNG</w:t>
      </w:r>
      <w:r w:rsidR="002F2617">
        <w:t xml:space="preserve">. </w:t>
      </w:r>
      <w:r w:rsidR="00334144">
        <w:t>T</w:t>
      </w:r>
      <w:r w:rsidR="002F2617" w:rsidRPr="00291086">
        <w:t xml:space="preserve">here is an opportunity </w:t>
      </w:r>
      <w:r w:rsidR="002F2617">
        <w:t xml:space="preserve">for Australia </w:t>
      </w:r>
      <w:r w:rsidR="002F2617" w:rsidRPr="00291086">
        <w:t xml:space="preserve">to harness PNG </w:t>
      </w:r>
      <w:r>
        <w:t>g</w:t>
      </w:r>
      <w:r w:rsidR="002F2617" w:rsidRPr="00291086">
        <w:t xml:space="preserve">overnment support on women’s issues </w:t>
      </w:r>
      <w:r>
        <w:t xml:space="preserve">by </w:t>
      </w:r>
      <w:r w:rsidR="002F2617">
        <w:t>advocating for</w:t>
      </w:r>
      <w:r w:rsidR="002F2617" w:rsidRPr="00291086">
        <w:t xml:space="preserve"> greater </w:t>
      </w:r>
      <w:r>
        <w:t>g</w:t>
      </w:r>
      <w:r w:rsidR="00682345" w:rsidRPr="00291086">
        <w:t xml:space="preserve">overnment </w:t>
      </w:r>
      <w:r w:rsidR="002F2617" w:rsidRPr="00291086">
        <w:t xml:space="preserve">budget commitment to gender equality interventions </w:t>
      </w:r>
      <w:r w:rsidR="002F2617">
        <w:t xml:space="preserve">and </w:t>
      </w:r>
      <w:r w:rsidR="002F2617" w:rsidRPr="00291086">
        <w:t>greater scrutiny on implement</w:t>
      </w:r>
      <w:r>
        <w:t>ing</w:t>
      </w:r>
      <w:r w:rsidR="002F2617" w:rsidRPr="00291086">
        <w:t xml:space="preserve"> agreed interventions</w:t>
      </w:r>
      <w:r w:rsidR="002F2617">
        <w:t>.</w:t>
      </w:r>
      <w:r w:rsidR="002F2617">
        <w:rPr>
          <w:rStyle w:val="FootnoteReference"/>
        </w:rPr>
        <w:footnoteReference w:id="62"/>
      </w:r>
      <w:r w:rsidR="002F2617" w:rsidRPr="00F044AA">
        <w:t xml:space="preserve"> </w:t>
      </w:r>
      <w:r w:rsidR="002F2617">
        <w:t xml:space="preserve"> </w:t>
      </w:r>
    </w:p>
    <w:p w14:paraId="0B70F6D3" w14:textId="77777777" w:rsidR="002F2617" w:rsidRDefault="002F2617" w:rsidP="001864F1">
      <w:pPr>
        <w:pStyle w:val="BodyText"/>
      </w:pPr>
      <w:r w:rsidRPr="00F044AA">
        <w:t xml:space="preserve">Despite positive </w:t>
      </w:r>
      <w:r>
        <w:t>public messages</w:t>
      </w:r>
      <w:r w:rsidRPr="00F044AA">
        <w:t xml:space="preserve"> from the PNG Government on gender equality, Australia has not had much traction </w:t>
      </w:r>
      <w:r>
        <w:t xml:space="preserve">on real changes </w:t>
      </w:r>
      <w:r w:rsidRPr="00F044AA">
        <w:t>and needs</w:t>
      </w:r>
      <w:r w:rsidR="00597298">
        <w:t xml:space="preserve">, which would enable us </w:t>
      </w:r>
      <w:r w:rsidRPr="00F044AA">
        <w:t xml:space="preserve">to continue to raise gender equality as an issue at the highest </w:t>
      </w:r>
      <w:r>
        <w:t xml:space="preserve">level. </w:t>
      </w:r>
      <w:r w:rsidRPr="00F044AA">
        <w:t xml:space="preserve">In particular, Australia will continue to work with the PNG </w:t>
      </w:r>
      <w:r w:rsidR="00877E08">
        <w:t>G</w:t>
      </w:r>
      <w:r w:rsidRPr="00F044AA">
        <w:t>overnment to focus on activity implementation</w:t>
      </w:r>
      <w:r w:rsidR="00286FB8">
        <w:t xml:space="preserve"> in support of public statements</w:t>
      </w:r>
      <w:r>
        <w:t>.</w:t>
      </w:r>
    </w:p>
    <w:p w14:paraId="0B70F6D4" w14:textId="77777777" w:rsidR="002F2617" w:rsidRPr="00F044AA" w:rsidRDefault="002F2617" w:rsidP="001864F1">
      <w:pPr>
        <w:pStyle w:val="Heading3"/>
      </w:pPr>
      <w:r w:rsidRPr="00F044AA">
        <w:t xml:space="preserve">Health and </w:t>
      </w:r>
      <w:r w:rsidR="00932FB0">
        <w:t>e</w:t>
      </w:r>
      <w:r w:rsidRPr="00F044AA">
        <w:t>ducation</w:t>
      </w:r>
    </w:p>
    <w:p w14:paraId="0B70F6D5" w14:textId="77777777" w:rsidR="00734345" w:rsidRDefault="00B71E03" w:rsidP="001864F1">
      <w:pPr>
        <w:pStyle w:val="BodyText"/>
      </w:pPr>
      <w:r>
        <w:t>T</w:t>
      </w:r>
      <w:r w:rsidR="002F2617" w:rsidRPr="00F044AA">
        <w:t xml:space="preserve">wo </w:t>
      </w:r>
      <w:r>
        <w:t xml:space="preserve">Partnership for Development </w:t>
      </w:r>
      <w:r w:rsidR="002F2617" w:rsidRPr="00F044AA">
        <w:t xml:space="preserve">targets specifically </w:t>
      </w:r>
      <w:r w:rsidR="00597298" w:rsidRPr="00F044AA">
        <w:t>relat</w:t>
      </w:r>
      <w:r w:rsidR="00597298">
        <w:t xml:space="preserve">e </w:t>
      </w:r>
      <w:r w:rsidR="002F2617" w:rsidRPr="00F044AA">
        <w:t>to gender</w:t>
      </w:r>
      <w:r w:rsidR="00597298">
        <w:t>. U</w:t>
      </w:r>
      <w:r w:rsidR="002F2617" w:rsidRPr="00F044AA">
        <w:t xml:space="preserve">nder </w:t>
      </w:r>
      <w:r w:rsidR="00734345">
        <w:t>e</w:t>
      </w:r>
      <w:r w:rsidR="002F2617" w:rsidRPr="00F044AA">
        <w:t xml:space="preserve">ducation, </w:t>
      </w:r>
      <w:r w:rsidR="00597298">
        <w:t>the target is to increase</w:t>
      </w:r>
      <w:r w:rsidR="002F2617" w:rsidRPr="00F044AA">
        <w:t xml:space="preserve"> the percentage of </w:t>
      </w:r>
      <w:r w:rsidR="00877E08">
        <w:t xml:space="preserve">female </w:t>
      </w:r>
      <w:r w:rsidR="002F2617" w:rsidRPr="00F044AA">
        <w:t>primary and elementary school pupils</w:t>
      </w:r>
      <w:r w:rsidR="00E5303B">
        <w:t xml:space="preserve"> </w:t>
      </w:r>
      <w:r w:rsidR="002F2617" w:rsidRPr="00F044AA">
        <w:t>to</w:t>
      </w:r>
      <w:r w:rsidR="00334144">
        <w:t>wards gender parity</w:t>
      </w:r>
      <w:r w:rsidR="00734345">
        <w:t>. U</w:t>
      </w:r>
      <w:r w:rsidR="002F2617" w:rsidRPr="00F044AA">
        <w:t xml:space="preserve">nder </w:t>
      </w:r>
      <w:r w:rsidR="00734345">
        <w:t>health, the target is to increase the</w:t>
      </w:r>
      <w:r w:rsidR="002F2617" w:rsidRPr="00F044AA">
        <w:t xml:space="preserve"> percentage of deliveries being supervised by skilled staff. </w:t>
      </w:r>
    </w:p>
    <w:p w14:paraId="0B70F6D6" w14:textId="77777777" w:rsidR="002F2617" w:rsidRPr="00F044AA" w:rsidRDefault="004022A0" w:rsidP="001864F1">
      <w:pPr>
        <w:pStyle w:val="BodyText"/>
      </w:pPr>
      <w:r>
        <w:t>Through the E</w:t>
      </w:r>
      <w:r w:rsidR="00877E08">
        <w:t xml:space="preserve">ducation </w:t>
      </w:r>
      <w:r>
        <w:t>P</w:t>
      </w:r>
      <w:r w:rsidR="00877E08">
        <w:t xml:space="preserve">rogram, </w:t>
      </w:r>
      <w:r w:rsidR="002F2617" w:rsidRPr="00F044AA">
        <w:t xml:space="preserve">Australia is improving equitable access to provision of </w:t>
      </w:r>
      <w:r w:rsidR="002F2617">
        <w:t xml:space="preserve">education </w:t>
      </w:r>
      <w:r w:rsidR="002F2617" w:rsidRPr="00F044AA">
        <w:t xml:space="preserve">infrastructure and school subsidies in support of the PNG </w:t>
      </w:r>
      <w:r w:rsidR="00877E08">
        <w:t>G</w:t>
      </w:r>
      <w:r w:rsidR="002F2617" w:rsidRPr="00F044AA">
        <w:t>overnment’s tuition fee-free policy. In 2012 Australia built 116 new double classroom kit-sets which included ablution blocks,</w:t>
      </w:r>
      <w:r w:rsidR="0028658E">
        <w:t xml:space="preserve"> making it easier for girls to attend</w:t>
      </w:r>
      <w:r w:rsidR="002F2617" w:rsidRPr="00F044AA">
        <w:t xml:space="preserve"> and stay at school. Australia’s Incentive Fund</w:t>
      </w:r>
      <w:r w:rsidR="00A70827">
        <w:t xml:space="preserve"> </w:t>
      </w:r>
      <w:r w:rsidR="00CC02CE">
        <w:t>enabled</w:t>
      </w:r>
      <w:r w:rsidR="002F2617" w:rsidRPr="00F044AA">
        <w:t xml:space="preserve"> the refurbishment and construction of infrastructure at three of the four all-girl schools in PNG under Phase III.</w:t>
      </w:r>
      <w:r w:rsidR="00B71E03">
        <w:t xml:space="preserve"> </w:t>
      </w:r>
      <w:r w:rsidR="002F2617" w:rsidRPr="00F044AA">
        <w:t xml:space="preserve">The Australia </w:t>
      </w:r>
      <w:r w:rsidR="002F2617">
        <w:t xml:space="preserve">Awards </w:t>
      </w:r>
      <w:r w:rsidR="00A03F41">
        <w:t>aim for gender equity</w:t>
      </w:r>
      <w:r w:rsidR="00734345">
        <w:t xml:space="preserve"> and i</w:t>
      </w:r>
      <w:r w:rsidR="002F2617" w:rsidRPr="00F044AA">
        <w:t>n 2012, 77 of</w:t>
      </w:r>
      <w:r w:rsidR="00877E08">
        <w:t xml:space="preserve"> the </w:t>
      </w:r>
      <w:r w:rsidR="002F2617" w:rsidRPr="00F044AA">
        <w:t>152</w:t>
      </w:r>
      <w:r w:rsidR="00E5303B">
        <w:t> </w:t>
      </w:r>
      <w:r w:rsidR="002F2617" w:rsidRPr="00F044AA">
        <w:t xml:space="preserve">Australia Award Scholarships to study at Australian universities were awarded to women. </w:t>
      </w:r>
    </w:p>
    <w:p w14:paraId="0B70F6D7" w14:textId="77777777" w:rsidR="002F2617" w:rsidRDefault="00877E08" w:rsidP="001864F1">
      <w:pPr>
        <w:pStyle w:val="BodyText"/>
      </w:pPr>
      <w:r>
        <w:t>Through t</w:t>
      </w:r>
      <w:r w:rsidR="002F2617" w:rsidRPr="00F044AA">
        <w:t xml:space="preserve">he </w:t>
      </w:r>
      <w:r w:rsidR="00EF4ED7">
        <w:t>Health and HIV/AIDS Program</w:t>
      </w:r>
      <w:r>
        <w:t xml:space="preserve"> </w:t>
      </w:r>
      <w:r w:rsidR="00EF4ED7">
        <w:t>Australia</w:t>
      </w:r>
      <w:r w:rsidR="002F2617" w:rsidRPr="00F044AA">
        <w:t xml:space="preserve"> funded scholarships for 73 new midwifery graduates in 2012 as part of an overall $66 million package to fund 1400 community health worker, nursing and midwifery scholarships by 2015. </w:t>
      </w:r>
      <w:r w:rsidR="00EF4ED7">
        <w:t xml:space="preserve">Australia </w:t>
      </w:r>
      <w:r w:rsidR="002F2617" w:rsidRPr="00F044AA">
        <w:t>has also funded eight clinical midwifery facilitators to work at all four</w:t>
      </w:r>
      <w:r w:rsidR="00B71E03">
        <w:t xml:space="preserve"> PNG</w:t>
      </w:r>
      <w:r w:rsidR="002F2617" w:rsidRPr="00F044AA">
        <w:t xml:space="preserve"> midwifery schools to improve the quality of midwifery </w:t>
      </w:r>
      <w:r w:rsidR="00B71E03">
        <w:t>education</w:t>
      </w:r>
      <w:r w:rsidR="00734345">
        <w:t>,</w:t>
      </w:r>
      <w:r w:rsidR="00B71E03">
        <w:t xml:space="preserve"> and will complete </w:t>
      </w:r>
      <w:r w:rsidR="002F2617" w:rsidRPr="00F044AA">
        <w:t>major refurbishment of all four schools in 2013.</w:t>
      </w:r>
    </w:p>
    <w:p w14:paraId="0B70F6D8" w14:textId="77777777" w:rsidR="002F2617" w:rsidRPr="00F044AA" w:rsidRDefault="002F2617" w:rsidP="001864F1">
      <w:pPr>
        <w:pStyle w:val="Heading3"/>
      </w:pPr>
      <w:r w:rsidRPr="00F044AA">
        <w:t>Women’s voice in decision</w:t>
      </w:r>
      <w:r w:rsidR="00734345">
        <w:t xml:space="preserve"> </w:t>
      </w:r>
      <w:r w:rsidRPr="00F044AA">
        <w:t>making</w:t>
      </w:r>
      <w:r>
        <w:t>, leadership and peace-building</w:t>
      </w:r>
    </w:p>
    <w:p w14:paraId="0B70F6D9" w14:textId="77777777" w:rsidR="002F2617" w:rsidRDefault="002F2617" w:rsidP="001864F1">
      <w:pPr>
        <w:pStyle w:val="BodyText"/>
      </w:pPr>
      <w:r>
        <w:t>Australia also assist</w:t>
      </w:r>
      <w:r w:rsidR="00B71E03">
        <w:t>ed</w:t>
      </w:r>
      <w:r>
        <w:t xml:space="preserve"> women to attain leadership positions</w:t>
      </w:r>
      <w:r w:rsidR="00B71E03">
        <w:t xml:space="preserve"> in PNG</w:t>
      </w:r>
      <w:r>
        <w:t xml:space="preserve">. </w:t>
      </w:r>
      <w:r w:rsidR="00576CD9">
        <w:t>Before</w:t>
      </w:r>
      <w:r w:rsidRPr="00F044AA">
        <w:t xml:space="preserve"> the 2012 national elections, 74 of the 135 women who contested seats </w:t>
      </w:r>
      <w:r w:rsidRPr="008A23AA">
        <w:t>(and their campaign man</w:t>
      </w:r>
      <w:r w:rsidR="00877E08">
        <w:t>a</w:t>
      </w:r>
      <w:r w:rsidRPr="008A23AA">
        <w:t xml:space="preserve">gers) </w:t>
      </w:r>
      <w:r w:rsidRPr="00F044AA">
        <w:t>attended Australian</w:t>
      </w:r>
      <w:r w:rsidR="00734345">
        <w:t>-</w:t>
      </w:r>
      <w:r w:rsidRPr="00F044AA">
        <w:t>fund</w:t>
      </w:r>
      <w:r>
        <w:t>ed</w:t>
      </w:r>
      <w:r w:rsidRPr="00F044AA">
        <w:t xml:space="preserve"> training through the Centre for Democratic Institutions on the fundamentals of election campaigning. Participants included two of the three successful female </w:t>
      </w:r>
      <w:r w:rsidR="00734345">
        <w:t xml:space="preserve">members </w:t>
      </w:r>
      <w:r>
        <w:t xml:space="preserve">elected to </w:t>
      </w:r>
      <w:r w:rsidR="00932FB0">
        <w:t>p</w:t>
      </w:r>
      <w:r w:rsidRPr="00F044AA">
        <w:t>arliament</w:t>
      </w:r>
      <w:r w:rsidR="00932FB0">
        <w:t>—</w:t>
      </w:r>
      <w:r w:rsidRPr="00F044AA">
        <w:t xml:space="preserve">the largest female representation since the first elections in 1977. </w:t>
      </w:r>
    </w:p>
    <w:p w14:paraId="0B70F6DA" w14:textId="77777777" w:rsidR="002F2617" w:rsidRPr="00F044AA" w:rsidRDefault="002F2617" w:rsidP="001864F1">
      <w:pPr>
        <w:pStyle w:val="BodyText"/>
      </w:pPr>
      <w:r w:rsidRPr="00F044AA">
        <w:lastRenderedPageBreak/>
        <w:t xml:space="preserve">In the law and justice sector, </w:t>
      </w:r>
      <w:r w:rsidR="000A1796">
        <w:t>Australia and PNG</w:t>
      </w:r>
      <w:r w:rsidR="00045ADC">
        <w:t xml:space="preserve">’s </w:t>
      </w:r>
      <w:r w:rsidR="00AD6881">
        <w:t>l</w:t>
      </w:r>
      <w:r w:rsidR="00045ADC">
        <w:t xml:space="preserve">aw </w:t>
      </w:r>
      <w:r w:rsidR="00DB5E27">
        <w:t xml:space="preserve">and </w:t>
      </w:r>
      <w:r w:rsidR="00AD6881">
        <w:t>j</w:t>
      </w:r>
      <w:r w:rsidR="00DB5E27">
        <w:t xml:space="preserve">ustice </w:t>
      </w:r>
      <w:r w:rsidR="00AD6881">
        <w:t>p</w:t>
      </w:r>
      <w:r w:rsidR="00DB5E27">
        <w:t xml:space="preserve">artnership </w:t>
      </w:r>
      <w:r w:rsidRPr="00F044AA">
        <w:t xml:space="preserve">supports equal opportunity policies, including the adoption of targets for greater gender representation in workforces and training targets in the law and justice sector. </w:t>
      </w:r>
      <w:r w:rsidR="00734345">
        <w:t>I</w:t>
      </w:r>
      <w:r w:rsidRPr="00F044AA">
        <w:t>n the second half of 2012, 100</w:t>
      </w:r>
      <w:r w:rsidR="00877E08">
        <w:t> </w:t>
      </w:r>
      <w:r w:rsidRPr="00F044AA">
        <w:t xml:space="preserve">women were appointed as magistrates, </w:t>
      </w:r>
      <w:r w:rsidR="00E30E4C">
        <w:t>more than</w:t>
      </w:r>
      <w:r w:rsidR="00877E08">
        <w:t xml:space="preserve"> </w:t>
      </w:r>
      <w:r w:rsidRPr="00F044AA">
        <w:t>100 women nominated as village magistrates and 85 women participated in training (around 15</w:t>
      </w:r>
      <w:r w:rsidR="00B76E9D">
        <w:t xml:space="preserve"> per cent</w:t>
      </w:r>
      <w:r w:rsidRPr="00F044AA">
        <w:t xml:space="preserve"> of all officials trained). There are</w:t>
      </w:r>
      <w:r w:rsidRPr="00F044AA">
        <w:rPr>
          <w:b/>
        </w:rPr>
        <w:t xml:space="preserve"> </w:t>
      </w:r>
      <w:r w:rsidRPr="00F044AA">
        <w:t xml:space="preserve">now </w:t>
      </w:r>
      <w:r w:rsidR="00E30E4C">
        <w:t>more than</w:t>
      </w:r>
      <w:r w:rsidRPr="00F044AA">
        <w:t xml:space="preserve"> 900 female village court magistrates</w:t>
      </w:r>
      <w:r w:rsidR="00E30E4C">
        <w:t>—</w:t>
      </w:r>
      <w:r w:rsidRPr="00F044AA">
        <w:t>up from only 10 in 2007</w:t>
      </w:r>
      <w:r w:rsidR="00E30E4C">
        <w:t>—</w:t>
      </w:r>
      <w:r w:rsidRPr="00F044AA">
        <w:t>but this still only represents approximately 8 per cent of magistrates.</w:t>
      </w:r>
    </w:p>
    <w:p w14:paraId="0B70F6DB" w14:textId="77777777" w:rsidR="002F2617" w:rsidRPr="00F044AA" w:rsidRDefault="002F2617" w:rsidP="001864F1">
      <w:pPr>
        <w:pStyle w:val="Heading3"/>
      </w:pPr>
      <w:r w:rsidRPr="00F044AA">
        <w:t xml:space="preserve">Economic empowerment </w:t>
      </w:r>
    </w:p>
    <w:p w14:paraId="0B70F6DC" w14:textId="77777777" w:rsidR="00815705" w:rsidRDefault="002F2617" w:rsidP="001864F1">
      <w:pPr>
        <w:pStyle w:val="BodyText"/>
      </w:pPr>
      <w:r>
        <w:t>As well as being a</w:t>
      </w:r>
      <w:r w:rsidR="0028658E">
        <w:t>n</w:t>
      </w:r>
      <w:r>
        <w:t xml:space="preserve"> </w:t>
      </w:r>
      <w:r w:rsidR="0028658E">
        <w:t>equal opportunity issue</w:t>
      </w:r>
      <w:r>
        <w:t>, the underutilisation of PNG’s</w:t>
      </w:r>
      <w:r w:rsidR="00B71E03">
        <w:t xml:space="preserve"> female</w:t>
      </w:r>
      <w:r>
        <w:t xml:space="preserve"> population in the workforce significantly inhibits economic growth and development. </w:t>
      </w:r>
      <w:r w:rsidR="00471508">
        <w:t xml:space="preserve">The </w:t>
      </w:r>
      <w:r w:rsidR="00471508" w:rsidRPr="00AD6881">
        <w:rPr>
          <w:i/>
        </w:rPr>
        <w:t>Strongim Pipol Strongim Nesen</w:t>
      </w:r>
      <w:r w:rsidR="00471508">
        <w:t xml:space="preserve"> (</w:t>
      </w:r>
      <w:r w:rsidRPr="00F044AA">
        <w:t>SPSN</w:t>
      </w:r>
      <w:r w:rsidR="00471508">
        <w:t>)</w:t>
      </w:r>
      <w:r w:rsidR="008D3BEB">
        <w:t xml:space="preserve">’s grants, provided under </w:t>
      </w:r>
      <w:r w:rsidR="00734345">
        <w:t>the</w:t>
      </w:r>
      <w:r w:rsidR="008D3BEB">
        <w:t xml:space="preserve"> Australian funded</w:t>
      </w:r>
      <w:r w:rsidR="00734345">
        <w:t xml:space="preserve"> Democratic Governance Program</w:t>
      </w:r>
      <w:r w:rsidR="008D3BEB">
        <w:t xml:space="preserve">, supports </w:t>
      </w:r>
      <w:r w:rsidRPr="00F044AA">
        <w:t xml:space="preserve">local civil society organisations to run projects aimed at increasing women’s economic empowerment and livelihoods, including microfinance and savings activities. In 2012, through SPSN grants, Australia trained nearly 3000 women in technical, vocational or life skills. </w:t>
      </w:r>
      <w:r w:rsidR="00AD6881">
        <w:t xml:space="preserve">Australia’s </w:t>
      </w:r>
      <w:r w:rsidRPr="00F044AA">
        <w:t>C</w:t>
      </w:r>
      <w:r w:rsidR="00471508">
        <w:t xml:space="preserve">hurch Partnership Program </w:t>
      </w:r>
      <w:r w:rsidRPr="00F044AA">
        <w:t>also fund</w:t>
      </w:r>
      <w:r>
        <w:t>ed</w:t>
      </w:r>
      <w:r w:rsidRPr="00F044AA">
        <w:t xml:space="preserve"> church-run activities, which develop women’s capacities and skills through education and training</w:t>
      </w:r>
      <w:r w:rsidR="00CC02CE">
        <w:t xml:space="preserve"> (see Box 3)</w:t>
      </w:r>
      <w:r w:rsidRPr="00F044AA">
        <w:t xml:space="preserve">. </w:t>
      </w:r>
      <w:r w:rsidR="00CC02CE">
        <w:t>While contributing to some positive outcomes</w:t>
      </w:r>
      <w:r w:rsidRPr="00F044AA">
        <w:t>, activities funded through</w:t>
      </w:r>
      <w:r w:rsidR="008E67C4">
        <w:t xml:space="preserve"> the</w:t>
      </w:r>
      <w:r w:rsidRPr="00F044AA">
        <w:t xml:space="preserve"> SPSN and C</w:t>
      </w:r>
      <w:r w:rsidR="00734345">
        <w:t>hurch Partnership Program</w:t>
      </w:r>
      <w:r w:rsidRPr="00F044AA">
        <w:t xml:space="preserve"> are mostly small-scale and ad hoc. </w:t>
      </w:r>
      <w:r w:rsidR="00E46541">
        <w:t>Increasing the capacity of civil society</w:t>
      </w:r>
      <w:r w:rsidR="002A218E">
        <w:t xml:space="preserve">, </w:t>
      </w:r>
      <w:r w:rsidR="00E46541">
        <w:t xml:space="preserve">the </w:t>
      </w:r>
      <w:r w:rsidR="00734345">
        <w:t>c</w:t>
      </w:r>
      <w:r w:rsidR="00E46541">
        <w:t xml:space="preserve">hurches </w:t>
      </w:r>
      <w:r w:rsidR="002A218E">
        <w:t xml:space="preserve">and the private sector </w:t>
      </w:r>
      <w:r w:rsidR="00E46541">
        <w:t>to meet the needs of communities</w:t>
      </w:r>
      <w:r w:rsidR="002A218E">
        <w:t xml:space="preserve">, including </w:t>
      </w:r>
      <w:r w:rsidR="00E46541">
        <w:t>through e</w:t>
      </w:r>
      <w:r w:rsidRPr="00F044AA">
        <w:t>conomic empowerment and livelihood security</w:t>
      </w:r>
      <w:r w:rsidR="002A218E">
        <w:t>,</w:t>
      </w:r>
      <w:r w:rsidRPr="00F044AA">
        <w:t xml:space="preserve"> remain </w:t>
      </w:r>
      <w:r w:rsidR="00E46541">
        <w:t>important</w:t>
      </w:r>
      <w:r w:rsidRPr="00F044AA">
        <w:t xml:space="preserve">. </w:t>
      </w:r>
      <w:r w:rsidR="00E029C6">
        <w:t xml:space="preserve">Australia’s Prime Minister announced, in the visit to PNG of </w:t>
      </w:r>
      <w:r w:rsidRPr="00F044AA">
        <w:t>9</w:t>
      </w:r>
      <w:r w:rsidR="00E029C6">
        <w:t xml:space="preserve"> to </w:t>
      </w:r>
      <w:r w:rsidRPr="00F044AA">
        <w:t xml:space="preserve">10 May 2013, </w:t>
      </w:r>
      <w:r w:rsidR="00AD6881">
        <w:t>Australia’s</w:t>
      </w:r>
      <w:r w:rsidRPr="00F044AA">
        <w:t xml:space="preserve"> support for the Pacific Women in Business </w:t>
      </w:r>
      <w:r w:rsidR="00B71E03">
        <w:t>I</w:t>
      </w:r>
      <w:r w:rsidRPr="00F044AA">
        <w:t>nitiative. Th</w:t>
      </w:r>
      <w:r w:rsidR="008E67C4">
        <w:t>is</w:t>
      </w:r>
      <w:r w:rsidRPr="00F044AA">
        <w:t xml:space="preserve"> </w:t>
      </w:r>
      <w:r w:rsidR="00E029C6">
        <w:t>i</w:t>
      </w:r>
      <w:r w:rsidRPr="00F044AA">
        <w:t>nitiative will further the economic empowerment of women</w:t>
      </w:r>
      <w:r w:rsidR="00B71E03">
        <w:t>,</w:t>
      </w:r>
      <w:r w:rsidRPr="00F044AA">
        <w:t xml:space="preserve"> with an initial focus on developing and implementing policy to improve women’s welfare and safety at work, and supporting and promoting more women leaders in business</w:t>
      </w:r>
      <w:r w:rsidR="00477514">
        <w:t>.</w:t>
      </w:r>
    </w:p>
    <w:tbl>
      <w:tblPr>
        <w:tblStyle w:val="TableGrid"/>
        <w:tblW w:w="0" w:type="auto"/>
        <w:shd w:val="clear" w:color="auto" w:fill="C6D9F1" w:themeFill="text2" w:themeFillTint="33"/>
        <w:tblLook w:val="04A0" w:firstRow="1" w:lastRow="0" w:firstColumn="1" w:lastColumn="0" w:noHBand="0" w:noVBand="1"/>
      </w:tblPr>
      <w:tblGrid>
        <w:gridCol w:w="8494"/>
      </w:tblGrid>
      <w:tr w:rsidR="001864F1" w14:paraId="0B70F6E1" w14:textId="77777777" w:rsidTr="001E7728">
        <w:tc>
          <w:tcPr>
            <w:tcW w:w="8494" w:type="dxa"/>
            <w:shd w:val="clear" w:color="auto" w:fill="C6D9F1" w:themeFill="text2" w:themeFillTint="33"/>
          </w:tcPr>
          <w:p w14:paraId="0B70F6DD" w14:textId="77777777" w:rsidR="001864F1" w:rsidRPr="00B76E9D" w:rsidRDefault="001864F1" w:rsidP="001864F1">
            <w:pPr>
              <w:pStyle w:val="BoxHeading1"/>
            </w:pPr>
            <w:r w:rsidRPr="00E5303B">
              <w:t>Box 4: Papua New Guinean</w:t>
            </w:r>
            <w:r w:rsidRPr="00B76E9D">
              <w:t xml:space="preserve"> Women in Leadership: Governor Julie Soso-Akeke</w:t>
            </w:r>
          </w:p>
          <w:p w14:paraId="0B70F6DE" w14:textId="77777777" w:rsidR="001864F1" w:rsidRPr="00B76E9D" w:rsidRDefault="001864F1" w:rsidP="001864F1">
            <w:pPr>
              <w:pStyle w:val="BoxText"/>
            </w:pPr>
            <w:r w:rsidRPr="00B76E9D">
              <w:t xml:space="preserve">The Hon Julie Soso-Akeke MP is the first woman in </w:t>
            </w:r>
            <w:r>
              <w:t>PNG’s</w:t>
            </w:r>
            <w:r w:rsidRPr="00B76E9D">
              <w:t xml:space="preserve"> history to be elected to the position of Governor. She is also the first woman ever to be elected to </w:t>
            </w:r>
            <w:r>
              <w:t>the n</w:t>
            </w:r>
            <w:r w:rsidRPr="00B76E9D">
              <w:t>ational Parliament in a Highlands province. Her election follows three attempts to enter the PNG National Parliament</w:t>
            </w:r>
            <w:r>
              <w:t>—1</w:t>
            </w:r>
            <w:r w:rsidRPr="00B76E9D">
              <w:t xml:space="preserve">997, 2002 and 2007. </w:t>
            </w:r>
            <w:r>
              <w:t>The Hon Soso</w:t>
            </w:r>
            <w:r w:rsidRPr="00B76E9D">
              <w:t>-Akeke is a member of PNG’s Triumph Heritage Empowerment Party</w:t>
            </w:r>
            <w:r>
              <w:t>. She</w:t>
            </w:r>
            <w:r w:rsidRPr="00B76E9D">
              <w:t xml:space="preserve"> comes from Asariufa </w:t>
            </w:r>
            <w:r>
              <w:t>V</w:t>
            </w:r>
            <w:r w:rsidRPr="00B76E9D">
              <w:t xml:space="preserve">illage near Goroka town. </w:t>
            </w:r>
          </w:p>
          <w:p w14:paraId="0B70F6DF" w14:textId="77777777" w:rsidR="001864F1" w:rsidRPr="00B76E9D" w:rsidRDefault="001864F1" w:rsidP="001864F1">
            <w:pPr>
              <w:pStyle w:val="BoxText"/>
            </w:pPr>
            <w:r w:rsidRPr="00B76E9D">
              <w:t xml:space="preserve">The Governor has a long history of engagement in local and provincial politics, particularly in representing women’s interests at </w:t>
            </w:r>
            <w:r>
              <w:t xml:space="preserve">national and </w:t>
            </w:r>
            <w:r w:rsidRPr="00B76E9D">
              <w:t>provincial level</w:t>
            </w:r>
            <w:r>
              <w:t>s. Her p</w:t>
            </w:r>
            <w:r w:rsidRPr="00B76E9D">
              <w:t>revious key positions include President of the Eastern Highlands Council of Women and Deputy Chair of the Eastern Highlands AIDS Council. Key achievements include establishing and strengthening the Eastern Highlands Provincial Council of Women</w:t>
            </w:r>
            <w:r>
              <w:t xml:space="preserve"> </w:t>
            </w:r>
            <w:r w:rsidRPr="00B76E9D">
              <w:t xml:space="preserve">network into eight </w:t>
            </w:r>
            <w:r>
              <w:t>d</w:t>
            </w:r>
            <w:r w:rsidRPr="00B76E9D">
              <w:t>istricts, through which women are taking up leadership roles and working to improve living standards</w:t>
            </w:r>
            <w:r>
              <w:t xml:space="preserve">. </w:t>
            </w:r>
            <w:r w:rsidRPr="00B76E9D">
              <w:t>In 2000</w:t>
            </w:r>
            <w:r>
              <w:t>,</w:t>
            </w:r>
            <w:r w:rsidRPr="00B76E9D">
              <w:t xml:space="preserve"> the Governor mobili</w:t>
            </w:r>
            <w:r>
              <w:t>s</w:t>
            </w:r>
            <w:r w:rsidRPr="00B76E9D">
              <w:t xml:space="preserve">ed, planned </w:t>
            </w:r>
            <w:r>
              <w:t xml:space="preserve">for </w:t>
            </w:r>
            <w:r w:rsidRPr="00B76E9D">
              <w:t>and staged the Highlands Regional Women’s In</w:t>
            </w:r>
            <w:r>
              <w:t>a</w:t>
            </w:r>
            <w:r w:rsidRPr="00B76E9D">
              <w:t>ugural Cultural Show, and in 2000</w:t>
            </w:r>
            <w:r>
              <w:t xml:space="preserve"> she</w:t>
            </w:r>
            <w:r w:rsidRPr="00B76E9D">
              <w:t xml:space="preserve"> was awarded the Silver Jubilee medal </w:t>
            </w:r>
            <w:r>
              <w:t>in</w:t>
            </w:r>
            <w:r w:rsidRPr="00B76E9D">
              <w:t xml:space="preserve"> recognition of her contributions towards </w:t>
            </w:r>
            <w:r>
              <w:t>PNG’s</w:t>
            </w:r>
            <w:r w:rsidRPr="00B76E9D">
              <w:t xml:space="preserve"> development.</w:t>
            </w:r>
            <w:r>
              <w:t xml:space="preserve"> </w:t>
            </w:r>
          </w:p>
          <w:p w14:paraId="0B70F6E0" w14:textId="77777777" w:rsidR="001864F1" w:rsidRPr="001864F1" w:rsidRDefault="001864F1" w:rsidP="001864F1">
            <w:pPr>
              <w:pStyle w:val="BoxText"/>
            </w:pPr>
            <w:r w:rsidRPr="00B76E9D">
              <w:t>In 2012</w:t>
            </w:r>
            <w:r>
              <w:t>,</w:t>
            </w:r>
            <w:r w:rsidRPr="00B76E9D">
              <w:t xml:space="preserve"> </w:t>
            </w:r>
            <w:r>
              <w:t xml:space="preserve">the Hon </w:t>
            </w:r>
            <w:r w:rsidRPr="00B76E9D">
              <w:t>Soso-Akeke participated in the Australian Government</w:t>
            </w:r>
            <w:r>
              <w:t>-</w:t>
            </w:r>
            <w:r w:rsidRPr="00B76E9D">
              <w:t>supported PNG Political Candidates Training developed by the Australian Centre for Democratic Institutions in partnership with the PNG Office for the Developm</w:t>
            </w:r>
            <w:r>
              <w:t>ent of Women and the UNDP</w:t>
            </w:r>
            <w:r w:rsidRPr="00B76E9D">
              <w:t xml:space="preserve"> (</w:t>
            </w:r>
            <w:r>
              <w:t>t</w:t>
            </w:r>
            <w:r w:rsidRPr="00B76E9D">
              <w:t xml:space="preserve">wo of the three new female Members of Parliament elected in the 2012 elections </w:t>
            </w:r>
            <w:r>
              <w:t>received this training</w:t>
            </w:r>
            <w:r w:rsidRPr="00B76E9D">
              <w:t>)</w:t>
            </w:r>
            <w:r>
              <w:t>.</w:t>
            </w:r>
            <w:r w:rsidRPr="00B76E9D">
              <w:t xml:space="preserve"> PNG has the highest number of women in PNG’s Parliament since the 1977 General Election</w:t>
            </w:r>
            <w:r>
              <w:t xml:space="preserve">. </w:t>
            </w:r>
          </w:p>
        </w:tc>
      </w:tr>
    </w:tbl>
    <w:p w14:paraId="0B70F6E2" w14:textId="77777777" w:rsidR="00666F5F" w:rsidRDefault="002F2617" w:rsidP="001864F1">
      <w:pPr>
        <w:pStyle w:val="Heading3"/>
      </w:pPr>
      <w:r w:rsidRPr="00F044AA">
        <w:lastRenderedPageBreak/>
        <w:t>Violence against women</w:t>
      </w:r>
    </w:p>
    <w:p w14:paraId="0B70F6E3" w14:textId="77777777" w:rsidR="00C546B1" w:rsidRPr="00666F5F" w:rsidRDefault="0028658E" w:rsidP="001864F1">
      <w:pPr>
        <w:pStyle w:val="BodyText"/>
        <w:rPr>
          <w:i/>
        </w:rPr>
      </w:pPr>
      <w:r>
        <w:t>Domestic violence leads to significant social and economic costs in any country.</w:t>
      </w:r>
      <w:r w:rsidR="006264ED">
        <w:rPr>
          <w:rStyle w:val="FootnoteReference"/>
        </w:rPr>
        <w:footnoteReference w:id="63"/>
      </w:r>
      <w:r>
        <w:t xml:space="preserve"> </w:t>
      </w:r>
      <w:r w:rsidR="002F2617" w:rsidRPr="00F044AA">
        <w:t xml:space="preserve">Australia has a </w:t>
      </w:r>
      <w:r w:rsidR="00E029C6">
        <w:t>sharp</w:t>
      </w:r>
      <w:r w:rsidR="00E029C6" w:rsidRPr="00F044AA">
        <w:t xml:space="preserve"> </w:t>
      </w:r>
      <w:r w:rsidR="002F2617" w:rsidRPr="00F044AA">
        <w:t>focus on ending FSV and on</w:t>
      </w:r>
      <w:r w:rsidR="00E029C6">
        <w:t xml:space="preserve"> ensuring</w:t>
      </w:r>
      <w:r w:rsidR="002F2617" w:rsidRPr="00F044AA">
        <w:t xml:space="preserve"> services</w:t>
      </w:r>
      <w:r w:rsidR="00E029C6">
        <w:t xml:space="preserve"> are provided</w:t>
      </w:r>
      <w:r w:rsidR="002F2617" w:rsidRPr="00F044AA">
        <w:t xml:space="preserve"> for survivors. As well as supporting an increase in the number of female</w:t>
      </w:r>
      <w:r w:rsidR="00DB5E27">
        <w:t xml:space="preserve"> magistrates in </w:t>
      </w:r>
      <w:r w:rsidR="00510B44">
        <w:t>v</w:t>
      </w:r>
      <w:r w:rsidR="00DB5E27">
        <w:t xml:space="preserve">illage </w:t>
      </w:r>
      <w:r w:rsidR="00510B44">
        <w:t>c</w:t>
      </w:r>
      <w:r w:rsidR="00DB5E27">
        <w:t>ourts,</w:t>
      </w:r>
      <w:r w:rsidR="00DB5E27" w:rsidRPr="00DB5E27">
        <w:t xml:space="preserve"> </w:t>
      </w:r>
      <w:r w:rsidR="000A1796">
        <w:t>Australia and PNG’s</w:t>
      </w:r>
      <w:r w:rsidR="00DB5E27" w:rsidRPr="00DB5E27">
        <w:t xml:space="preserve"> </w:t>
      </w:r>
      <w:r w:rsidR="00AD6881">
        <w:t>l</w:t>
      </w:r>
      <w:r w:rsidR="00DB5E27" w:rsidRPr="00DB5E27">
        <w:t xml:space="preserve">aw and </w:t>
      </w:r>
      <w:r w:rsidR="00AD6881">
        <w:t>j</w:t>
      </w:r>
      <w:r w:rsidR="00DB5E27" w:rsidRPr="00DB5E27">
        <w:t xml:space="preserve">ustice </w:t>
      </w:r>
      <w:r w:rsidR="00AD6881">
        <w:t>p</w:t>
      </w:r>
      <w:r w:rsidR="00DB5E27" w:rsidRPr="00DB5E27">
        <w:t xml:space="preserve">artnership </w:t>
      </w:r>
      <w:r w:rsidR="002F2617" w:rsidRPr="00F044AA">
        <w:t xml:space="preserve">has supported the establishment of </w:t>
      </w:r>
      <w:r w:rsidR="002F2617">
        <w:t>nine</w:t>
      </w:r>
      <w:r>
        <w:t xml:space="preserve"> FSVUs</w:t>
      </w:r>
      <w:r w:rsidR="002F2617" w:rsidRPr="00F044AA">
        <w:t xml:space="preserve"> in police stations; supported</w:t>
      </w:r>
      <w:r w:rsidR="00E029C6">
        <w:t xml:space="preserve"> the Department of Justice and the Attorney-General</w:t>
      </w:r>
      <w:r w:rsidR="002F2617" w:rsidRPr="00F044AA">
        <w:t xml:space="preserve"> with progressing the Family Protection Bill; and supported the </w:t>
      </w:r>
      <w:r w:rsidR="000A1796">
        <w:t>OPP’s</w:t>
      </w:r>
      <w:r w:rsidR="00504EAC">
        <w:t xml:space="preserve"> </w:t>
      </w:r>
      <w:r w:rsidR="002F2617" w:rsidRPr="00F044AA">
        <w:t>Family and Sexual Offences Unit. In 2013, Australia will support the Highland’s Women’s Human Rights Defenders Network, which focuses on prevention work to end violence against women. Through</w:t>
      </w:r>
      <w:r w:rsidR="008E67C4">
        <w:t xml:space="preserve"> the</w:t>
      </w:r>
      <w:r w:rsidR="002F2617" w:rsidRPr="00F044AA">
        <w:t xml:space="preserve"> SPSN, Australia manages several projects which address FSV at provincial and community level</w:t>
      </w:r>
      <w:r w:rsidR="00E029C6">
        <w:t>s</w:t>
      </w:r>
      <w:r w:rsidR="002F2617" w:rsidRPr="00F044AA">
        <w:t xml:space="preserve">, including the </w:t>
      </w:r>
      <w:r w:rsidR="002F2617" w:rsidRPr="00F044AA">
        <w:rPr>
          <w:i/>
        </w:rPr>
        <w:t xml:space="preserve">Komuniti Lukautim Ol Meri </w:t>
      </w:r>
      <w:r w:rsidR="002F2617" w:rsidRPr="00F044AA">
        <w:t xml:space="preserve">project run by </w:t>
      </w:r>
      <w:r w:rsidR="002F2617">
        <w:t xml:space="preserve">Family Health International </w:t>
      </w:r>
      <w:r w:rsidR="00286FB8">
        <w:t>360</w:t>
      </w:r>
      <w:r w:rsidR="002F2617" w:rsidRPr="00F044AA">
        <w:t xml:space="preserve">; the Family and Sexual Violence Action Committee; NGO Eastern Highlands Family Voice; and projects for strengthening provincial government and civil society capacity </w:t>
      </w:r>
      <w:r w:rsidR="00E029C6">
        <w:t>to</w:t>
      </w:r>
      <w:r w:rsidR="00E029C6" w:rsidRPr="00F044AA">
        <w:t xml:space="preserve"> </w:t>
      </w:r>
      <w:r w:rsidR="002F2617" w:rsidRPr="00F044AA">
        <w:t>addres</w:t>
      </w:r>
      <w:r w:rsidR="00E029C6">
        <w:t>s</w:t>
      </w:r>
      <w:r w:rsidR="002F2617" w:rsidRPr="00F044AA">
        <w:t xml:space="preserve"> FSV. </w:t>
      </w:r>
    </w:p>
    <w:p w14:paraId="0B70F6E4" w14:textId="77777777" w:rsidR="00C546B1" w:rsidRPr="001864F1" w:rsidRDefault="00CF396E" w:rsidP="001864F1">
      <w:pPr>
        <w:pStyle w:val="Heading2"/>
      </w:pPr>
      <w:r w:rsidRPr="001864F1">
        <w:t>O</w:t>
      </w:r>
      <w:r w:rsidR="009957EC" w:rsidRPr="001864F1">
        <w:t>bjective 8</w:t>
      </w:r>
      <w:r w:rsidR="00C546B1" w:rsidRPr="001864F1">
        <w:t>: Bougainville</w:t>
      </w:r>
      <w:r w:rsidR="001B2B81" w:rsidRPr="001864F1">
        <w:t xml:space="preserve"> </w:t>
      </w:r>
    </w:p>
    <w:tbl>
      <w:tblPr>
        <w:tblStyle w:val="APPR"/>
        <w:tblW w:w="4982" w:type="pct"/>
        <w:tblLook w:val="0000" w:firstRow="0" w:lastRow="0" w:firstColumn="0" w:lastColumn="0" w:noHBand="0" w:noVBand="0"/>
      </w:tblPr>
      <w:tblGrid>
        <w:gridCol w:w="7362"/>
        <w:gridCol w:w="1213"/>
      </w:tblGrid>
      <w:tr w:rsidR="006378F6" w:rsidRPr="006264ED" w14:paraId="0B70F6E7" w14:textId="77777777" w:rsidTr="006264ED">
        <w:trPr>
          <w:cnfStyle w:val="000000010000" w:firstRow="0" w:lastRow="0" w:firstColumn="0" w:lastColumn="0" w:oddVBand="0" w:evenVBand="0" w:oddHBand="0" w:evenHBand="1" w:firstRowFirstColumn="0" w:firstRowLastColumn="0" w:lastRowFirstColumn="0" w:lastRowLastColumn="0"/>
        </w:trPr>
        <w:tc>
          <w:tcPr>
            <w:tcW w:w="7272" w:type="dxa"/>
          </w:tcPr>
          <w:p w14:paraId="0B70F6E5" w14:textId="77777777" w:rsidR="006378F6" w:rsidRPr="006264ED" w:rsidRDefault="006378F6" w:rsidP="006264ED">
            <w:pPr>
              <w:pStyle w:val="TableTextEntries"/>
            </w:pPr>
            <w:r w:rsidRPr="006264ED">
              <w:t>Bougainville</w:t>
            </w:r>
          </w:p>
        </w:tc>
        <w:tc>
          <w:tcPr>
            <w:tcW w:w="1163" w:type="dxa"/>
            <w:shd w:val="clear" w:color="auto" w:fill="F79646" w:themeFill="accent6"/>
            <w:noWrap/>
          </w:tcPr>
          <w:p w14:paraId="0B70F6E6" w14:textId="77777777" w:rsidR="006378F6" w:rsidRPr="006264ED" w:rsidRDefault="006378F6" w:rsidP="006264ED">
            <w:pPr>
              <w:pStyle w:val="TableTextEntries"/>
            </w:pPr>
            <w:r w:rsidRPr="006264ED">
              <w:t>Amber</w:t>
            </w:r>
          </w:p>
        </w:tc>
      </w:tr>
    </w:tbl>
    <w:p w14:paraId="0B70F6E8" w14:textId="77777777" w:rsidR="00A0186E" w:rsidRDefault="00A0186E" w:rsidP="001864F1">
      <w:pPr>
        <w:pStyle w:val="BodyText"/>
      </w:pPr>
    </w:p>
    <w:p w14:paraId="0B70F6E9" w14:textId="15DC8EB8" w:rsidR="004A64F7" w:rsidRDefault="00BE0CA9" w:rsidP="001864F1">
      <w:pPr>
        <w:pStyle w:val="BodyText"/>
      </w:pPr>
      <w:r>
        <w:t xml:space="preserve">Australia has rated progress against </w:t>
      </w:r>
      <w:r w:rsidR="00CF396E">
        <w:t>joint</w:t>
      </w:r>
      <w:r w:rsidR="001B2B81">
        <w:t xml:space="preserve"> </w:t>
      </w:r>
      <w:r>
        <w:t>objective</w:t>
      </w:r>
      <w:r w:rsidR="00CF396E">
        <w:t>s</w:t>
      </w:r>
      <w:r>
        <w:t xml:space="preserve"> </w:t>
      </w:r>
      <w:r w:rsidR="00CF396E">
        <w:t>in</w:t>
      </w:r>
      <w:r w:rsidR="00F350EE">
        <w:t xml:space="preserve"> Bougainville </w:t>
      </w:r>
      <w:r>
        <w:t>as amber in 2012</w:t>
      </w:r>
      <w:r w:rsidR="00E30E4C">
        <w:t>–</w:t>
      </w:r>
      <w:r>
        <w:t>13</w:t>
      </w:r>
      <w:r w:rsidR="00451D27">
        <w:t xml:space="preserve">. </w:t>
      </w:r>
      <w:r w:rsidR="00CF396E">
        <w:t xml:space="preserve">Australian aid to Bougainville was not rated in the 2011 </w:t>
      </w:r>
      <w:r w:rsidR="00EC7FC8">
        <w:t>APPR</w:t>
      </w:r>
      <w:r w:rsidR="00EC7FC8">
        <w:rPr>
          <w:rStyle w:val="FootnoteReference"/>
        </w:rPr>
        <w:footnoteReference w:id="64"/>
      </w:r>
      <w:r w:rsidR="00CF396E">
        <w:t xml:space="preserve">. </w:t>
      </w:r>
      <w:r w:rsidR="00451D27" w:rsidRPr="00451D27">
        <w:t>While some Bougainville-specific results are captured by our national sector programs</w:t>
      </w:r>
      <w:r w:rsidR="00D856C5">
        <w:t xml:space="preserve"> (</w:t>
      </w:r>
      <w:r w:rsidR="00451D27">
        <w:t>outlined below</w:t>
      </w:r>
      <w:r w:rsidR="00D856C5">
        <w:t>)</w:t>
      </w:r>
      <w:r w:rsidR="00451D27" w:rsidRPr="00451D27">
        <w:t xml:space="preserve"> </w:t>
      </w:r>
      <w:r w:rsidR="00451D27">
        <w:t xml:space="preserve">it is difficult to obtain </w:t>
      </w:r>
      <w:r w:rsidR="00451D27" w:rsidRPr="00451D27">
        <w:t xml:space="preserve">disaggregated data on Bougainville </w:t>
      </w:r>
      <w:r w:rsidR="00451D27">
        <w:t xml:space="preserve">and a more </w:t>
      </w:r>
      <w:r w:rsidR="00451D27" w:rsidRPr="00451D27">
        <w:t>consistent approach to information collect</w:t>
      </w:r>
      <w:r w:rsidR="00D92511">
        <w:t xml:space="preserve">ion </w:t>
      </w:r>
      <w:r w:rsidR="00451D27">
        <w:t>is required</w:t>
      </w:r>
      <w:r w:rsidR="0041638B">
        <w:t xml:space="preserve">. </w:t>
      </w:r>
      <w:r w:rsidR="00451D27">
        <w:t>A</w:t>
      </w:r>
      <w:r w:rsidR="00451D27" w:rsidRPr="00451D27">
        <w:t xml:space="preserve"> </w:t>
      </w:r>
      <w:r w:rsidR="00D3387F">
        <w:t>M&amp;E</w:t>
      </w:r>
      <w:r w:rsidR="00451D27" w:rsidRPr="00451D27">
        <w:t xml:space="preserve"> </w:t>
      </w:r>
      <w:r w:rsidR="001B2B81">
        <w:t>f</w:t>
      </w:r>
      <w:r w:rsidR="00451D27" w:rsidRPr="00451D27">
        <w:t>ramework</w:t>
      </w:r>
      <w:r w:rsidR="001B2B81">
        <w:t xml:space="preserve"> </w:t>
      </w:r>
      <w:r w:rsidR="00451D27" w:rsidRPr="00451D27">
        <w:t xml:space="preserve">for Bougainville </w:t>
      </w:r>
      <w:r w:rsidR="00451D27">
        <w:t>will be developed to establish clearer</w:t>
      </w:r>
      <w:r w:rsidR="00451D27" w:rsidRPr="00451D27">
        <w:t xml:space="preserve"> baseline indicators from which to measure change</w:t>
      </w:r>
      <w:r w:rsidR="00451D27">
        <w:t>.</w:t>
      </w:r>
    </w:p>
    <w:p w14:paraId="0B70F6EA" w14:textId="77777777" w:rsidR="00C546B1" w:rsidRPr="008B7377" w:rsidRDefault="00C546B1" w:rsidP="001864F1">
      <w:pPr>
        <w:pStyle w:val="BodyText"/>
      </w:pPr>
      <w:r w:rsidRPr="008B7377">
        <w:t>Reflecting Australia’s increased focus on Bougainville, estimated aid expenditure f</w:t>
      </w:r>
      <w:r w:rsidR="00CC02CE">
        <w:t>rom January 2012 to June 2013 was</w:t>
      </w:r>
      <w:r w:rsidRPr="008B7377">
        <w:t xml:space="preserve"> $42 million. Consistent with the Partnership for Development, the bulk of Australia’s aid to Bougainville is provided through Australia’s </w:t>
      </w:r>
      <w:r>
        <w:t xml:space="preserve">priority </w:t>
      </w:r>
      <w:r w:rsidR="004A64F7">
        <w:t>sectors—</w:t>
      </w:r>
      <w:r w:rsidRPr="008B7377">
        <w:t>health, education,</w:t>
      </w:r>
      <w:r w:rsidR="004A64F7">
        <w:t xml:space="preserve"> law and justice, and</w:t>
      </w:r>
      <w:r w:rsidRPr="008B7377">
        <w:t xml:space="preserve"> transport infrastructure. Support in these </w:t>
      </w:r>
      <w:r w:rsidR="004A64F7">
        <w:t xml:space="preserve">priority </w:t>
      </w:r>
      <w:r w:rsidRPr="008B7377">
        <w:t>sectors improv</w:t>
      </w:r>
      <w:r w:rsidR="004A64F7">
        <w:t>es</w:t>
      </w:r>
      <w:r w:rsidRPr="008B7377">
        <w:t xml:space="preserve"> service delivery across Bougainville </w:t>
      </w:r>
      <w:r w:rsidR="004A64F7">
        <w:t>by providing</w:t>
      </w:r>
      <w:r w:rsidRPr="008B7377">
        <w:t xml:space="preserve"> direct delivery in the short term and building Autonomous Bougainville Government</w:t>
      </w:r>
      <w:r>
        <w:t xml:space="preserve"> </w:t>
      </w:r>
      <w:r w:rsidR="001C029F">
        <w:t xml:space="preserve">(ABG) </w:t>
      </w:r>
      <w:r>
        <w:t>capacity in the long term.</w:t>
      </w:r>
      <w:r w:rsidRPr="008B7377">
        <w:t xml:space="preserve"> </w:t>
      </w:r>
    </w:p>
    <w:p w14:paraId="0B70F6EB" w14:textId="77777777" w:rsidR="00C546B1" w:rsidRPr="008B7377" w:rsidRDefault="00C546B1" w:rsidP="001864F1">
      <w:pPr>
        <w:pStyle w:val="BodyText"/>
      </w:pPr>
      <w:r w:rsidRPr="008B7377">
        <w:t xml:space="preserve">Bougainville continues to recover from </w:t>
      </w:r>
      <w:r w:rsidR="004A64F7">
        <w:t>its</w:t>
      </w:r>
      <w:r w:rsidRPr="008B7377">
        <w:t xml:space="preserve"> decade-long, large-scale violent conflict </w:t>
      </w:r>
      <w:r w:rsidR="004A64F7">
        <w:t>(</w:t>
      </w:r>
      <w:r w:rsidRPr="008B7377">
        <w:t xml:space="preserve">1988 </w:t>
      </w:r>
      <w:r w:rsidR="00CC02CE">
        <w:t>to</w:t>
      </w:r>
      <w:r w:rsidRPr="008B7377">
        <w:t xml:space="preserve"> 1997</w:t>
      </w:r>
      <w:r w:rsidR="004A64F7">
        <w:t>)</w:t>
      </w:r>
      <w:r w:rsidRPr="008B7377">
        <w:t xml:space="preserve">. </w:t>
      </w:r>
      <w:r>
        <w:t>T</w:t>
      </w:r>
      <w:r w:rsidRPr="008B7377">
        <w:t xml:space="preserve">he Bougainville Peace Agreement committed to a referendum on </w:t>
      </w:r>
      <w:r w:rsidR="004A64F7">
        <w:t>its</w:t>
      </w:r>
      <w:r w:rsidR="004A64F7" w:rsidRPr="008B7377">
        <w:t xml:space="preserve"> </w:t>
      </w:r>
      <w:r w:rsidRPr="008B7377">
        <w:t>independence</w:t>
      </w:r>
      <w:r w:rsidR="0075545F">
        <w:t xml:space="preserve"> </w:t>
      </w:r>
      <w:r w:rsidRPr="008B7377">
        <w:t>to be held 10 to 15 years after the inauguration of the A</w:t>
      </w:r>
      <w:r w:rsidR="001C029F">
        <w:t>BG</w:t>
      </w:r>
      <w:r w:rsidR="0080225E">
        <w:t xml:space="preserve"> in </w:t>
      </w:r>
      <w:r w:rsidRPr="008B7377">
        <w:t>2005.</w:t>
      </w:r>
      <w:r w:rsidRPr="00EF4ED7">
        <w:rPr>
          <w:rStyle w:val="FootnoteReference"/>
          <w:szCs w:val="16"/>
        </w:rPr>
        <w:footnoteReference w:id="65"/>
      </w:r>
      <w:r w:rsidRPr="008B7377">
        <w:t xml:space="preserve"> </w:t>
      </w:r>
    </w:p>
    <w:p w14:paraId="0B70F6EC" w14:textId="77777777" w:rsidR="00C546B1" w:rsidRPr="00447D0E" w:rsidRDefault="00C546B1" w:rsidP="001864F1">
      <w:pPr>
        <w:pStyle w:val="BodyText"/>
      </w:pPr>
      <w:r w:rsidRPr="008B7377">
        <w:t xml:space="preserve">The </w:t>
      </w:r>
      <w:r w:rsidR="004A64F7">
        <w:t>peace agreement</w:t>
      </w:r>
      <w:r w:rsidR="004A64F7" w:rsidRPr="008B7377">
        <w:t xml:space="preserve"> </w:t>
      </w:r>
      <w:r w:rsidRPr="008B7377">
        <w:t>provided the ABG with the right to assume autonomy</w:t>
      </w:r>
      <w:r w:rsidR="0080225E">
        <w:t xml:space="preserve"> and take</w:t>
      </w:r>
      <w:r w:rsidRPr="008B7377">
        <w:t xml:space="preserve"> control of a wide range of powers, functions, personnel and resources from the </w:t>
      </w:r>
      <w:r w:rsidR="0080225E">
        <w:t>PNG</w:t>
      </w:r>
      <w:r w:rsidRPr="008B7377">
        <w:t xml:space="preserve"> Government. </w:t>
      </w:r>
      <w:r w:rsidR="0080225E">
        <w:t>T</w:t>
      </w:r>
      <w:r w:rsidRPr="008B7377">
        <w:t xml:space="preserve">o exercise these powers, the ABG must develop its own policies and legislation and build relevant capacity (including financial and staffing resources). However, ABG capacity remains weak. </w:t>
      </w:r>
      <w:r w:rsidR="0080225E">
        <w:t>It</w:t>
      </w:r>
      <w:r w:rsidRPr="008B7377">
        <w:t xml:space="preserve"> is struggling to address the challenges of rebuilding and restoring service </w:t>
      </w:r>
      <w:r w:rsidRPr="008B7377">
        <w:lastRenderedPageBreak/>
        <w:t xml:space="preserve">delivery, </w:t>
      </w:r>
      <w:r w:rsidR="0080225E">
        <w:t>a</w:t>
      </w:r>
      <w:r w:rsidR="00D856C5">
        <w:t>nd struggling</w:t>
      </w:r>
      <w:r w:rsidR="0080225E">
        <w:t xml:space="preserve"> with the</w:t>
      </w:r>
      <w:r w:rsidRPr="008B7377">
        <w:t xml:space="preserve"> impact of increased autonomy and how to manage sensitive </w:t>
      </w:r>
      <w:r w:rsidRPr="00447D0E">
        <w:t xml:space="preserve">issues, including mining, peace and reconciliation, and weapons disposal. Despite some improvements, basic service delivery remains uneven across Bougainville. </w:t>
      </w:r>
    </w:p>
    <w:p w14:paraId="0B70F6ED" w14:textId="77777777" w:rsidR="00C546B1" w:rsidRDefault="00C546B1" w:rsidP="001864F1">
      <w:pPr>
        <w:pStyle w:val="BodyText"/>
      </w:pPr>
      <w:r w:rsidRPr="00447D0E">
        <w:t xml:space="preserve">Australia has continued to improve the coherence and impact of the program in Bougainville by developing </w:t>
      </w:r>
      <w:r w:rsidRPr="00447D0E">
        <w:rPr>
          <w:i/>
        </w:rPr>
        <w:t>A Framework for Australian Aid to the Autonomous Region of Bougainville 2013</w:t>
      </w:r>
      <w:r w:rsidR="00E30E4C" w:rsidRPr="00447D0E">
        <w:rPr>
          <w:i/>
        </w:rPr>
        <w:t>–</w:t>
      </w:r>
      <w:r w:rsidRPr="00447D0E">
        <w:rPr>
          <w:i/>
        </w:rPr>
        <w:t>15</w:t>
      </w:r>
      <w:r w:rsidR="0080225E" w:rsidRPr="00447D0E">
        <w:t xml:space="preserve"> </w:t>
      </w:r>
      <w:r w:rsidR="008714C1" w:rsidRPr="00447D0E">
        <w:t xml:space="preserve">in consultation with the </w:t>
      </w:r>
      <w:r w:rsidR="0080225E" w:rsidRPr="00447D0E">
        <w:t>PNG G</w:t>
      </w:r>
      <w:r w:rsidR="008714C1" w:rsidRPr="00447D0E">
        <w:t>overnment and ABG</w:t>
      </w:r>
      <w:r w:rsidR="00AD4D2C" w:rsidRPr="00447D0E">
        <w:t xml:space="preserve">. </w:t>
      </w:r>
      <w:r w:rsidR="008714C1" w:rsidRPr="00447D0E">
        <w:t xml:space="preserve">The </w:t>
      </w:r>
      <w:r w:rsidR="0080225E" w:rsidRPr="00447D0E">
        <w:t>f</w:t>
      </w:r>
      <w:r w:rsidR="002E3E41" w:rsidRPr="00447D0E">
        <w:t>ramework</w:t>
      </w:r>
      <w:r w:rsidR="008714C1" w:rsidRPr="00447D0E">
        <w:t xml:space="preserve"> </w:t>
      </w:r>
      <w:r w:rsidR="00CF54B9" w:rsidRPr="00447D0E">
        <w:t>will guide</w:t>
      </w:r>
      <w:r w:rsidR="0080225E" w:rsidRPr="00447D0E">
        <w:t xml:space="preserve"> </w:t>
      </w:r>
      <w:r w:rsidR="00CF396E" w:rsidRPr="00447D0E">
        <w:t>Australia’s</w:t>
      </w:r>
      <w:r w:rsidRPr="00447D0E">
        <w:t xml:space="preserve"> aid program in Bougainville until the end of 2015. Under</w:t>
      </w:r>
      <w:r w:rsidRPr="00447D0E">
        <w:rPr>
          <w:i/>
        </w:rPr>
        <w:t xml:space="preserve"> </w:t>
      </w:r>
      <w:r w:rsidRPr="00447D0E">
        <w:t xml:space="preserve">the </w:t>
      </w:r>
      <w:r w:rsidR="0080225E" w:rsidRPr="00447D0E">
        <w:t>f</w:t>
      </w:r>
      <w:r w:rsidRPr="00447D0E">
        <w:t>ramework</w:t>
      </w:r>
      <w:r w:rsidRPr="00447D0E">
        <w:rPr>
          <w:i/>
        </w:rPr>
        <w:t>,</w:t>
      </w:r>
      <w:r w:rsidRPr="00447D0E">
        <w:t xml:space="preserve"> </w:t>
      </w:r>
      <w:r w:rsidR="00CF396E" w:rsidRPr="00447D0E">
        <w:t>Australia</w:t>
      </w:r>
      <w:r w:rsidR="00EF4ED7">
        <w:t xml:space="preserve"> is</w:t>
      </w:r>
      <w:r w:rsidR="0080225E" w:rsidRPr="00447D0E">
        <w:t xml:space="preserve"> assisting</w:t>
      </w:r>
      <w:r w:rsidRPr="00447D0E">
        <w:t xml:space="preserve"> </w:t>
      </w:r>
      <w:r w:rsidR="0080225E" w:rsidRPr="00447D0E">
        <w:t xml:space="preserve">with </w:t>
      </w:r>
      <w:r w:rsidRPr="00447D0E">
        <w:t>the implementation of the Bougainville Peace Agreement</w:t>
      </w:r>
      <w:r w:rsidR="0080225E" w:rsidRPr="00447D0E">
        <w:t>,</w:t>
      </w:r>
      <w:r w:rsidRPr="00447D0E">
        <w:t xml:space="preserve"> improv</w:t>
      </w:r>
      <w:r w:rsidR="0080225E" w:rsidRPr="00447D0E">
        <w:t>ing</w:t>
      </w:r>
      <w:r w:rsidRPr="00447D0E">
        <w:t xml:space="preserve"> service delivery</w:t>
      </w:r>
      <w:r w:rsidRPr="008B7377">
        <w:t xml:space="preserve"> and support</w:t>
      </w:r>
      <w:r w:rsidR="0080225E">
        <w:t>ing</w:t>
      </w:r>
      <w:r w:rsidRPr="008B7377">
        <w:t xml:space="preserve"> employment-focused economic development. </w:t>
      </w:r>
      <w:r>
        <w:t>Australia</w:t>
      </w:r>
      <w:r w:rsidRPr="008B7377">
        <w:t xml:space="preserve"> ha</w:t>
      </w:r>
      <w:r>
        <w:t>s</w:t>
      </w:r>
      <w:r w:rsidRPr="008B7377">
        <w:t xml:space="preserve"> also expanded support through </w:t>
      </w:r>
      <w:r>
        <w:t>its</w:t>
      </w:r>
      <w:r w:rsidRPr="008B7377">
        <w:t xml:space="preserve"> sector programs, which are delivering assistance targeting Bougainville-specific needs, including </w:t>
      </w:r>
      <w:r w:rsidR="0080225E">
        <w:t>in</w:t>
      </w:r>
      <w:r w:rsidRPr="008B7377">
        <w:t xml:space="preserve"> health and education. </w:t>
      </w:r>
    </w:p>
    <w:p w14:paraId="0B70F6EE" w14:textId="77777777" w:rsidR="0080225E" w:rsidRDefault="0080225E" w:rsidP="001864F1">
      <w:pPr>
        <w:pStyle w:val="BodyText"/>
      </w:pPr>
      <w:r>
        <w:t xml:space="preserve">The </w:t>
      </w:r>
      <w:r w:rsidR="001625FF">
        <w:t>three</w:t>
      </w:r>
      <w:r>
        <w:t xml:space="preserve"> objectives of the Bougainville Peace Agreement are discussed here. </w:t>
      </w:r>
    </w:p>
    <w:p w14:paraId="0B70F6EF" w14:textId="77777777" w:rsidR="00C546B1" w:rsidRPr="008B7377" w:rsidRDefault="00C546B1" w:rsidP="001864F1">
      <w:pPr>
        <w:pStyle w:val="BodyText"/>
        <w:rPr>
          <w:i/>
        </w:rPr>
      </w:pPr>
      <w:r w:rsidRPr="008B7377">
        <w:rPr>
          <w:i/>
        </w:rPr>
        <w:t>Objective 1: Implementation of the B</w:t>
      </w:r>
      <w:r w:rsidR="0080225E">
        <w:rPr>
          <w:i/>
        </w:rPr>
        <w:t>ougainville Peace Agreement</w:t>
      </w:r>
      <w:r w:rsidRPr="008B7377">
        <w:rPr>
          <w:i/>
        </w:rPr>
        <w:t xml:space="preserve"> (</w:t>
      </w:r>
      <w:r w:rsidR="0080225E">
        <w:rPr>
          <w:i/>
        </w:rPr>
        <w:t>g</w:t>
      </w:r>
      <w:r w:rsidRPr="008B7377">
        <w:rPr>
          <w:i/>
        </w:rPr>
        <w:t xml:space="preserve">ood </w:t>
      </w:r>
      <w:r w:rsidR="00E30E4C">
        <w:rPr>
          <w:i/>
        </w:rPr>
        <w:t>g</w:t>
      </w:r>
      <w:r w:rsidRPr="008B7377">
        <w:rPr>
          <w:i/>
        </w:rPr>
        <w:t xml:space="preserve">overnance, </w:t>
      </w:r>
      <w:r w:rsidR="00E30E4C">
        <w:rPr>
          <w:i/>
        </w:rPr>
        <w:t>w</w:t>
      </w:r>
      <w:r w:rsidRPr="008B7377">
        <w:rPr>
          <w:i/>
        </w:rPr>
        <w:t xml:space="preserve">eapons </w:t>
      </w:r>
      <w:r w:rsidR="00E30E4C">
        <w:rPr>
          <w:i/>
        </w:rPr>
        <w:t>d</w:t>
      </w:r>
      <w:r w:rsidRPr="008B7377">
        <w:rPr>
          <w:i/>
        </w:rPr>
        <w:t xml:space="preserve">isposal </w:t>
      </w:r>
      <w:r w:rsidR="00E30E4C">
        <w:rPr>
          <w:i/>
        </w:rPr>
        <w:t>and</w:t>
      </w:r>
      <w:r w:rsidR="00A70827">
        <w:rPr>
          <w:i/>
        </w:rPr>
        <w:t xml:space="preserve"> </w:t>
      </w:r>
      <w:r w:rsidR="00E30E4C">
        <w:rPr>
          <w:i/>
        </w:rPr>
        <w:t>p</w:t>
      </w:r>
      <w:r w:rsidRPr="008B7377">
        <w:rPr>
          <w:i/>
        </w:rPr>
        <w:t xml:space="preserve">eace building) </w:t>
      </w:r>
    </w:p>
    <w:p w14:paraId="0B70F6F0" w14:textId="77777777" w:rsidR="00C546B1" w:rsidRDefault="00C546B1" w:rsidP="001864F1">
      <w:pPr>
        <w:pStyle w:val="BodyText"/>
      </w:pPr>
      <w:r w:rsidRPr="008B7377">
        <w:t>A</w:t>
      </w:r>
      <w:r w:rsidR="00DA1786">
        <w:t>ustralia and the ABG finalised</w:t>
      </w:r>
      <w:r w:rsidRPr="008B7377">
        <w:t xml:space="preserve"> </w:t>
      </w:r>
      <w:r w:rsidR="00D856C5">
        <w:t xml:space="preserve">a </w:t>
      </w:r>
      <w:r w:rsidRPr="008B7377">
        <w:t>number of infrastructure projects under the Governance and Implementation Fund in 2012 a</w:t>
      </w:r>
      <w:r w:rsidR="0080225E">
        <w:t>nd</w:t>
      </w:r>
      <w:r w:rsidRPr="008B7377">
        <w:t xml:space="preserve"> </w:t>
      </w:r>
      <w:r w:rsidR="00DA1786">
        <w:t xml:space="preserve">established a </w:t>
      </w:r>
      <w:r w:rsidRPr="008B7377">
        <w:t>Program Management Unit, which strengthened project cycle management across ABG.</w:t>
      </w:r>
      <w:r>
        <w:t xml:space="preserve"> </w:t>
      </w:r>
      <w:r w:rsidRPr="008B7377">
        <w:t xml:space="preserve">Through </w:t>
      </w:r>
      <w:r w:rsidR="0080225E">
        <w:t xml:space="preserve">the </w:t>
      </w:r>
      <w:r w:rsidRPr="008B7377">
        <w:t xml:space="preserve">SPSN, Australia </w:t>
      </w:r>
      <w:r w:rsidR="00DA1786">
        <w:t>is</w:t>
      </w:r>
      <w:r w:rsidRPr="008B7377">
        <w:t xml:space="preserve"> working with the ABG and the Panguna District Administration to develop and implement the Panguna Peace Building Strategy. This community-based strategy </w:t>
      </w:r>
      <w:r w:rsidR="0080225E">
        <w:t>will</w:t>
      </w:r>
      <w:r w:rsidR="0080225E" w:rsidRPr="008B7377">
        <w:t xml:space="preserve"> </w:t>
      </w:r>
      <w:r w:rsidRPr="008B7377">
        <w:t xml:space="preserve">build and maintain an environment for peace building and weapons disposal in Bougainville. </w:t>
      </w:r>
      <w:r>
        <w:t>Australia funds a</w:t>
      </w:r>
      <w:r w:rsidRPr="00543947">
        <w:t xml:space="preserve"> Weapons Disposal Adviser </w:t>
      </w:r>
      <w:r>
        <w:t xml:space="preserve">to </w:t>
      </w:r>
      <w:r w:rsidRPr="00543947">
        <w:t>assist the ABG in develop</w:t>
      </w:r>
      <w:r w:rsidR="0080225E">
        <w:t>ing</w:t>
      </w:r>
      <w:r w:rsidRPr="00543947">
        <w:t xml:space="preserve"> plans and programs for dispo</w:t>
      </w:r>
      <w:r w:rsidR="0080225E">
        <w:t>sing</w:t>
      </w:r>
      <w:r w:rsidRPr="00543947">
        <w:t xml:space="preserve"> weapons, including </w:t>
      </w:r>
      <w:r w:rsidR="00D856C5">
        <w:t xml:space="preserve">through </w:t>
      </w:r>
      <w:r w:rsidRPr="00543947">
        <w:t>community-based approaches to peace building, reconciliation and reduc</w:t>
      </w:r>
      <w:r w:rsidR="00D856C5">
        <w:t>ing</w:t>
      </w:r>
      <w:r w:rsidRPr="00543947">
        <w:t xml:space="preserve"> localised armed conflict.</w:t>
      </w:r>
      <w:r>
        <w:t xml:space="preserve"> </w:t>
      </w:r>
      <w:r w:rsidRPr="008B7377">
        <w:t>However, little progress has been made on outstanding reconciliation and weapons disposal issues in Bougainville, despite acknowledgement by the ABG and PNG Government of their importance.</w:t>
      </w:r>
      <w:r w:rsidRPr="00E50DCD">
        <w:rPr>
          <w:rStyle w:val="FootnoteReference"/>
          <w:szCs w:val="16"/>
        </w:rPr>
        <w:footnoteReference w:id="66"/>
      </w:r>
      <w:r w:rsidRPr="008B7377">
        <w:t xml:space="preserve"> </w:t>
      </w:r>
      <w:r w:rsidR="00856DDE">
        <w:br/>
      </w:r>
    </w:p>
    <w:p w14:paraId="0B70F6F1" w14:textId="77777777" w:rsidR="00C546B1" w:rsidRPr="008B7377" w:rsidRDefault="00C546B1" w:rsidP="001864F1">
      <w:pPr>
        <w:pStyle w:val="BodyText"/>
        <w:rPr>
          <w:i/>
        </w:rPr>
      </w:pPr>
      <w:r w:rsidRPr="008B7377">
        <w:rPr>
          <w:i/>
        </w:rPr>
        <w:t xml:space="preserve">Objective 2: Service delivery </w:t>
      </w:r>
    </w:p>
    <w:p w14:paraId="0B70F6F2" w14:textId="77777777" w:rsidR="00C546B1" w:rsidRDefault="00C546B1" w:rsidP="001864F1">
      <w:pPr>
        <w:pStyle w:val="BodyText"/>
      </w:pPr>
      <w:r w:rsidRPr="008B7377">
        <w:t xml:space="preserve">Bougainville’s health statistics are better than </w:t>
      </w:r>
      <w:r w:rsidR="0080225E">
        <w:t xml:space="preserve">the </w:t>
      </w:r>
      <w:r w:rsidRPr="008B7377">
        <w:t xml:space="preserve">average for PNG, although there is </w:t>
      </w:r>
      <w:r w:rsidR="0080225E">
        <w:t>great</w:t>
      </w:r>
      <w:r w:rsidR="0080225E" w:rsidRPr="008B7377">
        <w:t xml:space="preserve"> </w:t>
      </w:r>
      <w:r w:rsidRPr="008B7377">
        <w:t>variance across the region</w:t>
      </w:r>
      <w:r w:rsidR="008D3BEB">
        <w:t>.</w:t>
      </w:r>
      <w:r w:rsidRPr="008B7377">
        <w:t xml:space="preserve"> Australia’s </w:t>
      </w:r>
      <w:r>
        <w:t xml:space="preserve">support has had </w:t>
      </w:r>
      <w:r w:rsidR="00AD4D2C">
        <w:t>mixed</w:t>
      </w:r>
      <w:r>
        <w:t xml:space="preserve"> success</w:t>
      </w:r>
      <w:r w:rsidRPr="008B7377">
        <w:t>.</w:t>
      </w:r>
      <w:r w:rsidRPr="00E50DCD">
        <w:rPr>
          <w:rStyle w:val="FootnoteReference"/>
          <w:szCs w:val="16"/>
        </w:rPr>
        <w:footnoteReference w:id="67"/>
      </w:r>
      <w:r w:rsidRPr="00E50DCD">
        <w:rPr>
          <w:sz w:val="16"/>
          <w:szCs w:val="16"/>
        </w:rPr>
        <w:t xml:space="preserve"> </w:t>
      </w:r>
      <w:r w:rsidRPr="008B7377">
        <w:t>In 2012</w:t>
      </w:r>
      <w:r w:rsidR="00E30E4C">
        <w:t>–</w:t>
      </w:r>
      <w:r w:rsidRPr="008B7377">
        <w:t>13</w:t>
      </w:r>
      <w:r w:rsidR="008D3BEB">
        <w:t>,</w:t>
      </w:r>
      <w:r w:rsidRPr="008B7377">
        <w:t xml:space="preserve"> Australia supported the development and approval of the </w:t>
      </w:r>
      <w:r w:rsidRPr="00E50DCD">
        <w:t>Health Service Master Plan 2012</w:t>
      </w:r>
      <w:r w:rsidR="00E30E4C" w:rsidRPr="00E50DCD">
        <w:t>–</w:t>
      </w:r>
      <w:r w:rsidRPr="00E50DCD">
        <w:t xml:space="preserve">2030 </w:t>
      </w:r>
      <w:r w:rsidRPr="00D856C5">
        <w:t>for</w:t>
      </w:r>
      <w:r w:rsidRPr="008B7377">
        <w:t xml:space="preserve"> Bougainville.</w:t>
      </w:r>
      <w:r w:rsidRPr="00E50DCD">
        <w:rPr>
          <w:rStyle w:val="FootnoteReference"/>
          <w:szCs w:val="16"/>
        </w:rPr>
        <w:footnoteReference w:id="68"/>
      </w:r>
      <w:r w:rsidRPr="00E50DCD">
        <w:rPr>
          <w:sz w:val="16"/>
          <w:szCs w:val="16"/>
        </w:rPr>
        <w:t xml:space="preserve"> </w:t>
      </w:r>
      <w:r w:rsidRPr="008B7377">
        <w:t xml:space="preserve">This plan sets out a </w:t>
      </w:r>
      <w:r w:rsidR="00C66960">
        <w:t>long</w:t>
      </w:r>
      <w:r w:rsidR="0080225E">
        <w:t>-</w:t>
      </w:r>
      <w:r w:rsidR="00C66960">
        <w:t>term</w:t>
      </w:r>
      <w:r w:rsidRPr="008B7377">
        <w:t xml:space="preserve"> vision and identifies four </w:t>
      </w:r>
      <w:r w:rsidR="00C66960">
        <w:t>short</w:t>
      </w:r>
      <w:r w:rsidR="0080225E">
        <w:t>-</w:t>
      </w:r>
      <w:r w:rsidR="00C66960">
        <w:t>term</w:t>
      </w:r>
      <w:r w:rsidRPr="008B7377">
        <w:t xml:space="preserve"> priorities</w:t>
      </w:r>
      <w:r w:rsidR="00D856C5">
        <w:t xml:space="preserve">: </w:t>
      </w:r>
      <w:r w:rsidRPr="008B7377">
        <w:t>improving maternal health; rehabilitating rural health facilities</w:t>
      </w:r>
      <w:r w:rsidR="00D856C5">
        <w:t>;</w:t>
      </w:r>
      <w:r w:rsidRPr="008B7377">
        <w:t xml:space="preserve"> training the current workforce</w:t>
      </w:r>
      <w:r w:rsidR="00D856C5">
        <w:t>;</w:t>
      </w:r>
      <w:r w:rsidRPr="008B7377">
        <w:t xml:space="preserve"> and establishing a Bougainville Health Authority. In 2012</w:t>
      </w:r>
      <w:r w:rsidR="00E30E4C">
        <w:t>–</w:t>
      </w:r>
      <w:r w:rsidRPr="008B7377">
        <w:t>13, Australia also supported a Direct Facility Financing trial to provide one</w:t>
      </w:r>
      <w:r w:rsidR="0080225E">
        <w:t>-</w:t>
      </w:r>
      <w:r w:rsidRPr="008B7377">
        <w:t xml:space="preserve">quarter of health facilities in Bougainville with training and direct funding. </w:t>
      </w:r>
    </w:p>
    <w:p w14:paraId="0B70F6F3" w14:textId="77777777" w:rsidR="00C546B1" w:rsidRPr="008B7377" w:rsidRDefault="00C546B1" w:rsidP="001864F1">
      <w:pPr>
        <w:pStyle w:val="BodyText"/>
      </w:pPr>
      <w:r>
        <w:t>Education is of vital importance to Bougainville with many children growing up during the crisis without any education</w:t>
      </w:r>
      <w:r w:rsidR="0041638B">
        <w:t xml:space="preserve">. </w:t>
      </w:r>
      <w:r w:rsidR="00DA1786">
        <w:t xml:space="preserve">Australia’s </w:t>
      </w:r>
      <w:r>
        <w:t>s</w:t>
      </w:r>
      <w:r w:rsidRPr="008B7377">
        <w:t>upport for education in Bougainville focuse</w:t>
      </w:r>
      <w:r w:rsidR="00D93771">
        <w:t>s</w:t>
      </w:r>
      <w:r w:rsidRPr="008B7377">
        <w:t xml:space="preserve"> on the six key areas of </w:t>
      </w:r>
      <w:r w:rsidR="0080225E">
        <w:t xml:space="preserve">the </w:t>
      </w:r>
      <w:r w:rsidRPr="008B7377">
        <w:t>Partnership for Development commitment</w:t>
      </w:r>
      <w:r w:rsidR="00D856C5">
        <w:t xml:space="preserve">: </w:t>
      </w:r>
      <w:r w:rsidRPr="008B7377">
        <w:t>school subsidies; school infrastructure; education materials; school management; teacher training; and education management</w:t>
      </w:r>
      <w:r w:rsidR="0041638B">
        <w:t xml:space="preserve">. </w:t>
      </w:r>
      <w:r w:rsidRPr="008B7377">
        <w:t>In 2012</w:t>
      </w:r>
      <w:r w:rsidR="00E30E4C">
        <w:t>–</w:t>
      </w:r>
      <w:r w:rsidRPr="008B7377">
        <w:t>13, 25</w:t>
      </w:r>
      <w:r w:rsidR="00E30E4C">
        <w:t xml:space="preserve"> </w:t>
      </w:r>
      <w:r w:rsidRPr="008B7377">
        <w:t xml:space="preserve">000 </w:t>
      </w:r>
      <w:r>
        <w:t xml:space="preserve">Bougainvillean </w:t>
      </w:r>
      <w:r w:rsidRPr="008B7377">
        <w:t>children and their families benefited from Australian support to the School Subsidy Scheme.</w:t>
      </w:r>
      <w:r w:rsidRPr="008B7377">
        <w:rPr>
          <w:rStyle w:val="FootnoteReference"/>
          <w:sz w:val="22"/>
          <w:szCs w:val="22"/>
        </w:rPr>
        <w:t xml:space="preserve"> </w:t>
      </w:r>
      <w:r w:rsidRPr="008B7377">
        <w:t xml:space="preserve">Australian supported teacher training and education infrastructure projects </w:t>
      </w:r>
      <w:r w:rsidR="0080225E">
        <w:t xml:space="preserve">which </w:t>
      </w:r>
      <w:r w:rsidRPr="008B7377">
        <w:t>also improved the learning environment</w:t>
      </w:r>
      <w:r w:rsidR="0080225E">
        <w:t xml:space="preserve"> as well</w:t>
      </w:r>
      <w:r w:rsidR="000F7E6A">
        <w:t xml:space="preserve"> </w:t>
      </w:r>
      <w:r w:rsidR="0080225E">
        <w:t>as</w:t>
      </w:r>
      <w:r w:rsidRPr="008B7377">
        <w:t xml:space="preserve"> health and hygiene in 10 primary schools across Bougainville.</w:t>
      </w:r>
      <w:r w:rsidRPr="008B7377">
        <w:rPr>
          <w:rStyle w:val="FootnoteReference"/>
          <w:sz w:val="22"/>
          <w:szCs w:val="22"/>
        </w:rPr>
        <w:t xml:space="preserve"> </w:t>
      </w:r>
    </w:p>
    <w:p w14:paraId="0B70F6F4" w14:textId="77777777" w:rsidR="00C546B1" w:rsidRDefault="00C546B1" w:rsidP="001864F1">
      <w:pPr>
        <w:pStyle w:val="BodyText"/>
      </w:pPr>
      <w:r w:rsidRPr="008B7377">
        <w:lastRenderedPageBreak/>
        <w:t>Australia</w:t>
      </w:r>
      <w:r>
        <w:t xml:space="preserve"> also</w:t>
      </w:r>
      <w:r w:rsidRPr="008B7377">
        <w:t xml:space="preserve"> helped develop the Bougainville Transport Plan</w:t>
      </w:r>
      <w:r w:rsidR="0080225E">
        <w:t xml:space="preserve"> </w:t>
      </w:r>
      <w:r w:rsidRPr="008B7377">
        <w:t>2012</w:t>
      </w:r>
      <w:r w:rsidR="00E30E4C">
        <w:t>–</w:t>
      </w:r>
      <w:r w:rsidRPr="008B7377">
        <w:t xml:space="preserve">2015. The </w:t>
      </w:r>
      <w:r w:rsidR="00E30E4C">
        <w:t>p</w:t>
      </w:r>
      <w:r w:rsidRPr="008B7377">
        <w:t xml:space="preserve">lan identifies key priorities for transport investment and concentrates on maintaining the feeder road network </w:t>
      </w:r>
      <w:r w:rsidR="0080225E">
        <w:t>so it is</w:t>
      </w:r>
      <w:r w:rsidRPr="008B7377">
        <w:t xml:space="preserve"> accessib</w:t>
      </w:r>
      <w:r w:rsidR="0080225E">
        <w:t>le</w:t>
      </w:r>
      <w:r w:rsidRPr="008B7377">
        <w:t xml:space="preserve"> for all rural dwellers to government services and </w:t>
      </w:r>
      <w:r w:rsidR="00682345" w:rsidRPr="008B7377">
        <w:t>markets</w:t>
      </w:r>
      <w:r w:rsidR="00E5790D">
        <w:t>.</w:t>
      </w:r>
      <w:r w:rsidRPr="00E50DCD">
        <w:rPr>
          <w:rStyle w:val="FootnoteReference"/>
          <w:szCs w:val="16"/>
        </w:rPr>
        <w:footnoteReference w:id="69"/>
      </w:r>
      <w:r w:rsidRPr="00E50DCD">
        <w:rPr>
          <w:sz w:val="16"/>
          <w:szCs w:val="16"/>
        </w:rPr>
        <w:t xml:space="preserve"> </w:t>
      </w:r>
      <w:r w:rsidRPr="008B7377">
        <w:t>Australia also maintained 179</w:t>
      </w:r>
      <w:r w:rsidR="0080225E">
        <w:t xml:space="preserve"> </w:t>
      </w:r>
      <w:r w:rsidRPr="008B7377">
        <w:t>k</w:t>
      </w:r>
      <w:r w:rsidR="00E30E4C">
        <w:t>ilometres</w:t>
      </w:r>
      <w:r w:rsidRPr="008B7377">
        <w:t xml:space="preserve"> of </w:t>
      </w:r>
      <w:r w:rsidR="00E30E4C">
        <w:t>n</w:t>
      </w:r>
      <w:r w:rsidRPr="008B7377">
        <w:t xml:space="preserve">ational </w:t>
      </w:r>
      <w:r w:rsidR="00E30E4C">
        <w:t>p</w:t>
      </w:r>
      <w:r w:rsidRPr="008B7377">
        <w:t xml:space="preserve">riority </w:t>
      </w:r>
      <w:r w:rsidR="00E30E4C">
        <w:t>r</w:t>
      </w:r>
      <w:r w:rsidRPr="008B7377">
        <w:t>oad</w:t>
      </w:r>
      <w:r w:rsidR="008D3BEB">
        <w:t>s</w:t>
      </w:r>
      <w:r w:rsidRPr="008B7377">
        <w:t xml:space="preserve"> and 323.9 k</w:t>
      </w:r>
      <w:r w:rsidR="00E30E4C">
        <w:t>ilometres</w:t>
      </w:r>
      <w:r w:rsidRPr="008B7377">
        <w:t xml:space="preserve"> of other roads in Bougainville.</w:t>
      </w:r>
      <w:r w:rsidRPr="00E50DCD">
        <w:rPr>
          <w:rStyle w:val="FootnoteReference"/>
          <w:szCs w:val="16"/>
        </w:rPr>
        <w:footnoteReference w:id="70"/>
      </w:r>
      <w:r w:rsidRPr="00E50DCD">
        <w:rPr>
          <w:sz w:val="16"/>
          <w:szCs w:val="16"/>
        </w:rPr>
        <w:t xml:space="preserve"> </w:t>
      </w:r>
    </w:p>
    <w:p w14:paraId="0B70F6F5" w14:textId="77777777" w:rsidR="00717847" w:rsidRPr="008B7377" w:rsidRDefault="00DB5E27" w:rsidP="001864F1">
      <w:pPr>
        <w:pStyle w:val="BodyText"/>
      </w:pPr>
      <w:r w:rsidRPr="008B7377">
        <w:t>In 2012</w:t>
      </w:r>
      <w:r w:rsidR="00E30E4C">
        <w:t>–</w:t>
      </w:r>
      <w:r w:rsidRPr="008B7377">
        <w:t>13, Australian law and justice support provided infrastructure work on police stations, housing and correctional facilities.</w:t>
      </w:r>
      <w:r w:rsidRPr="00E50DCD">
        <w:rPr>
          <w:rStyle w:val="FootnoteReference"/>
          <w:szCs w:val="16"/>
        </w:rPr>
        <w:footnoteReference w:id="71"/>
      </w:r>
      <w:r w:rsidRPr="008B7377">
        <w:t xml:space="preserve"> </w:t>
      </w:r>
      <w:r>
        <w:t xml:space="preserve">Australia </w:t>
      </w:r>
      <w:r w:rsidRPr="008B7377">
        <w:t>also provided technical</w:t>
      </w:r>
      <w:r>
        <w:t xml:space="preserve"> </w:t>
      </w:r>
      <w:r w:rsidRPr="008B7377">
        <w:t>assistance to the Bougainville Police Service</w:t>
      </w:r>
      <w:r w:rsidR="00D92511">
        <w:t>, including</w:t>
      </w:r>
      <w:r>
        <w:t xml:space="preserve"> </w:t>
      </w:r>
      <w:r w:rsidR="001625FF">
        <w:t>with</w:t>
      </w:r>
      <w:r>
        <w:t xml:space="preserve"> financial planning and training</w:t>
      </w:r>
      <w:r w:rsidRPr="008B7377">
        <w:t xml:space="preserve">, </w:t>
      </w:r>
      <w:r w:rsidR="001625FF">
        <w:t>and</w:t>
      </w:r>
      <w:r w:rsidR="00C36375">
        <w:t xml:space="preserve"> provided</w:t>
      </w:r>
      <w:r w:rsidR="001625FF">
        <w:t xml:space="preserve"> the </w:t>
      </w:r>
      <w:r w:rsidRPr="008B7377">
        <w:t xml:space="preserve">ABG Law and Justice Division and Correctional Services </w:t>
      </w:r>
      <w:r w:rsidR="00C36375">
        <w:t>with</w:t>
      </w:r>
      <w:r w:rsidR="001625FF" w:rsidRPr="008B7377">
        <w:t xml:space="preserve"> </w:t>
      </w:r>
      <w:r w:rsidRPr="008B7377">
        <w:t xml:space="preserve">short and </w:t>
      </w:r>
      <w:r>
        <w:t>long</w:t>
      </w:r>
      <w:r w:rsidR="001625FF">
        <w:t>-</w:t>
      </w:r>
      <w:r>
        <w:t>term</w:t>
      </w:r>
      <w:r w:rsidRPr="008B7377">
        <w:t xml:space="preserve"> advisers.</w:t>
      </w:r>
      <w:r w:rsidRPr="00E50DCD">
        <w:rPr>
          <w:rStyle w:val="FootnoteReference"/>
          <w:szCs w:val="16"/>
        </w:rPr>
        <w:footnoteReference w:id="72"/>
      </w:r>
      <w:r w:rsidRPr="008B7377">
        <w:t xml:space="preserve"> Australia also supported the National Court to carry out circuits to Arawa and Buin</w:t>
      </w:r>
      <w:r w:rsidRPr="00E50DCD">
        <w:rPr>
          <w:rStyle w:val="FootnoteReference"/>
          <w:szCs w:val="16"/>
        </w:rPr>
        <w:footnoteReference w:id="73"/>
      </w:r>
      <w:r w:rsidR="001625FF">
        <w:t xml:space="preserve">, </w:t>
      </w:r>
      <w:r w:rsidRPr="008B7377">
        <w:t>meaning Bougainvilleans did not have to travel to Port Moresby for court hearings.</w:t>
      </w:r>
      <w:r w:rsidRPr="00E50DCD">
        <w:rPr>
          <w:rStyle w:val="FootnoteReference"/>
          <w:szCs w:val="16"/>
        </w:rPr>
        <w:footnoteReference w:id="74"/>
      </w:r>
      <w:r w:rsidRPr="00E50DCD">
        <w:rPr>
          <w:sz w:val="16"/>
          <w:szCs w:val="16"/>
        </w:rPr>
        <w:t xml:space="preserve"> </w:t>
      </w:r>
      <w:r w:rsidR="00F16607">
        <w:t>In 2013, the law and justice</w:t>
      </w:r>
      <w:r w:rsidR="001625FF">
        <w:t xml:space="preserve"> sector</w:t>
      </w:r>
      <w:r w:rsidR="00F16607">
        <w:t xml:space="preserve"> deliberately shifted </w:t>
      </w:r>
      <w:r w:rsidR="001625FF">
        <w:t xml:space="preserve">its </w:t>
      </w:r>
      <w:r w:rsidR="00F16607">
        <w:t xml:space="preserve">focus </w:t>
      </w:r>
      <w:r w:rsidR="001625FF">
        <w:t xml:space="preserve">to </w:t>
      </w:r>
      <w:r w:rsidR="00F16607">
        <w:t xml:space="preserve">improving the delivery of justice services with renewed </w:t>
      </w:r>
      <w:r w:rsidR="001625FF">
        <w:t xml:space="preserve">emphasis </w:t>
      </w:r>
      <w:r w:rsidR="00F16607">
        <w:t>on support</w:t>
      </w:r>
      <w:r w:rsidR="001625FF">
        <w:t>ing</w:t>
      </w:r>
      <w:r w:rsidR="00F16607">
        <w:t xml:space="preserve"> the effective operations of the village courts, training magistrates on appl</w:t>
      </w:r>
      <w:r w:rsidR="001625FF">
        <w:t>ying</w:t>
      </w:r>
      <w:r w:rsidR="00F16607">
        <w:t xml:space="preserve"> </w:t>
      </w:r>
      <w:r w:rsidR="000F7E6A">
        <w:t>i</w:t>
      </w:r>
      <w:r w:rsidR="00F16607">
        <w:t xml:space="preserve">nterim protection orders and developing direct </w:t>
      </w:r>
      <w:r w:rsidR="00717847">
        <w:t xml:space="preserve">institutional links between the Bougainville police force and the RPNGC national training centre. </w:t>
      </w:r>
    </w:p>
    <w:p w14:paraId="0B70F6F6" w14:textId="77777777" w:rsidR="00717847" w:rsidRPr="008B7377" w:rsidRDefault="00717847" w:rsidP="001864F1">
      <w:pPr>
        <w:pStyle w:val="BodyText"/>
        <w:rPr>
          <w:i/>
        </w:rPr>
      </w:pPr>
      <w:r w:rsidRPr="008B7377">
        <w:rPr>
          <w:i/>
        </w:rPr>
        <w:t>Objective 3: Employment-focused economic development</w:t>
      </w:r>
    </w:p>
    <w:p w14:paraId="0B70F6F7" w14:textId="77777777" w:rsidR="00717847" w:rsidRDefault="00717847" w:rsidP="001864F1">
      <w:pPr>
        <w:pStyle w:val="BodyText"/>
      </w:pPr>
      <w:r w:rsidRPr="008B7377">
        <w:t xml:space="preserve">The Panguna Copper mine presents a </w:t>
      </w:r>
      <w:r>
        <w:t>long-term</w:t>
      </w:r>
      <w:r w:rsidRPr="008B7377">
        <w:t xml:space="preserve"> opportunity for Bougainville’s economic development. However, significant risks need to be worked through and process</w:t>
      </w:r>
      <w:r>
        <w:t>es carefully</w:t>
      </w:r>
      <w:r w:rsidRPr="008B7377">
        <w:t xml:space="preserve"> managed. </w:t>
      </w:r>
      <w:r w:rsidRPr="00EF6871">
        <w:t xml:space="preserve">Decisions about the mining sector are for the ABG, the </w:t>
      </w:r>
      <w:r>
        <w:t>PNG</w:t>
      </w:r>
      <w:r w:rsidRPr="00EF6871">
        <w:t xml:space="preserve"> Government and the people of Bougainville to determine</w:t>
      </w:r>
      <w:r>
        <w:t xml:space="preserve">. </w:t>
      </w:r>
      <w:r w:rsidRPr="00F47983">
        <w:t>At the ABG’s request, Australia has provided modest technical advisory support to help with mining policy development and planning.</w:t>
      </w:r>
      <w:r w:rsidDel="00E206D5">
        <w:t xml:space="preserve"> </w:t>
      </w:r>
      <w:r w:rsidRPr="008B7377">
        <w:t>Through the Governance and Implementation Fund</w:t>
      </w:r>
      <w:r>
        <w:t>, Australia</w:t>
      </w:r>
      <w:r w:rsidRPr="008B7377">
        <w:t xml:space="preserve"> fund</w:t>
      </w:r>
      <w:r>
        <w:t>s</w:t>
      </w:r>
      <w:r w:rsidRPr="008B7377">
        <w:t xml:space="preserve"> advisory assistance for the upcoming review of the Bougainville Copper Agreement. This has helped </w:t>
      </w:r>
      <w:r>
        <w:t>form</w:t>
      </w:r>
      <w:r w:rsidRPr="008B7377">
        <w:t xml:space="preserve"> landowner associations</w:t>
      </w:r>
      <w:r>
        <w:t>, including</w:t>
      </w:r>
      <w:r w:rsidRPr="008B7377">
        <w:t xml:space="preserve"> an umbrella </w:t>
      </w:r>
      <w:r>
        <w:t>one</w:t>
      </w:r>
      <w:r w:rsidRPr="008B7377">
        <w:t xml:space="preserve"> in the Panguna area. Under</w:t>
      </w:r>
      <w:r>
        <w:t xml:space="preserve"> the Provincial and Local Level Governments Program Phase II</w:t>
      </w:r>
      <w:r w:rsidRPr="008B7377">
        <w:t xml:space="preserve">, </w:t>
      </w:r>
      <w:r>
        <w:t>Australia</w:t>
      </w:r>
      <w:r w:rsidRPr="008B7377">
        <w:t xml:space="preserve"> fund</w:t>
      </w:r>
      <w:r>
        <w:t>s</w:t>
      </w:r>
      <w:r w:rsidRPr="008B7377">
        <w:t xml:space="preserve"> other advisory assistance to help the ABG translate its mining policy into legislation. Australia</w:t>
      </w:r>
      <w:r w:rsidRPr="008B7377">
        <w:rPr>
          <w:noProof/>
          <w:color w:val="000000"/>
        </w:rPr>
        <w:t xml:space="preserve"> also funded an ABG</w:t>
      </w:r>
      <w:r>
        <w:rPr>
          <w:noProof/>
          <w:color w:val="000000"/>
        </w:rPr>
        <w:t>-</w:t>
      </w:r>
      <w:r w:rsidRPr="008B7377">
        <w:rPr>
          <w:noProof/>
          <w:color w:val="000000"/>
        </w:rPr>
        <w:t xml:space="preserve">led mining workshop in </w:t>
      </w:r>
      <w:r>
        <w:rPr>
          <w:noProof/>
          <w:color w:val="000000"/>
        </w:rPr>
        <w:t>Australia (Canberra)</w:t>
      </w:r>
      <w:r w:rsidRPr="008B7377">
        <w:rPr>
          <w:noProof/>
          <w:color w:val="000000"/>
        </w:rPr>
        <w:t xml:space="preserve"> in February 2013. The workshop </w:t>
      </w:r>
      <w:r>
        <w:rPr>
          <w:noProof/>
          <w:color w:val="000000"/>
        </w:rPr>
        <w:t>brought</w:t>
      </w:r>
      <w:r w:rsidRPr="008B7377">
        <w:rPr>
          <w:noProof/>
          <w:color w:val="000000"/>
        </w:rPr>
        <w:t xml:space="preserve"> together representatives of the ABG, the PNG mining sector and academia to discuss how to frame mineral ownership in ABG’s draft </w:t>
      </w:r>
      <w:r w:rsidRPr="00DA1786">
        <w:rPr>
          <w:noProof/>
          <w:color w:val="000000"/>
        </w:rPr>
        <w:t>Bougainville Mining Transitional Act</w:t>
      </w:r>
      <w:r w:rsidRPr="001625FF">
        <w:rPr>
          <w:noProof/>
          <w:color w:val="000000"/>
        </w:rPr>
        <w:t>.</w:t>
      </w:r>
    </w:p>
    <w:p w14:paraId="57EFA0A3" w14:textId="77777777" w:rsidR="001E7728" w:rsidRDefault="001E7728">
      <w:pPr>
        <w:spacing w:after="200" w:line="276" w:lineRule="auto"/>
        <w:rPr>
          <w:rFonts w:ascii="Franklin Gothic Demi" w:eastAsia="Times New Roman" w:hAnsi="Franklin Gothic Demi" w:cs="Arial"/>
          <w:color w:val="AD495D"/>
          <w:kern w:val="28"/>
          <w:sz w:val="24"/>
          <w:szCs w:val="28"/>
        </w:rPr>
      </w:pPr>
      <w:r>
        <w:br w:type="page"/>
      </w:r>
    </w:p>
    <w:p w14:paraId="0B70F6F8" w14:textId="18F05B6A" w:rsidR="00717847" w:rsidRDefault="00717847" w:rsidP="001864F1">
      <w:pPr>
        <w:pStyle w:val="Heading2"/>
      </w:pPr>
      <w:r w:rsidRPr="00A26AFB">
        <w:lastRenderedPageBreak/>
        <w:t xml:space="preserve">Objective </w:t>
      </w:r>
      <w:r>
        <w:t>9</w:t>
      </w:r>
      <w:r w:rsidRPr="00A26AFB">
        <w:t xml:space="preserve">: </w:t>
      </w:r>
      <w:r>
        <w:t>Crosscutting support</w:t>
      </w:r>
    </w:p>
    <w:tbl>
      <w:tblPr>
        <w:tblStyle w:val="APPR"/>
        <w:tblW w:w="5000" w:type="pct"/>
        <w:tblLook w:val="0000" w:firstRow="0" w:lastRow="0" w:firstColumn="0" w:lastColumn="0" w:noHBand="0" w:noVBand="0"/>
      </w:tblPr>
      <w:tblGrid>
        <w:gridCol w:w="7389"/>
        <w:gridCol w:w="1217"/>
      </w:tblGrid>
      <w:tr w:rsidR="00717847" w:rsidRPr="00443639" w14:paraId="0B70F6FB" w14:textId="77777777" w:rsidTr="006264ED">
        <w:trPr>
          <w:cnfStyle w:val="000000010000" w:firstRow="0" w:lastRow="0" w:firstColumn="0" w:lastColumn="0" w:oddVBand="0" w:evenVBand="0" w:oddHBand="0" w:evenHBand="1" w:firstRowFirstColumn="0" w:firstRowLastColumn="0" w:lastRowFirstColumn="0" w:lastRowLastColumn="0"/>
        </w:trPr>
        <w:tc>
          <w:tcPr>
            <w:tcW w:w="7310" w:type="dxa"/>
          </w:tcPr>
          <w:p w14:paraId="0B70F6F9" w14:textId="77777777" w:rsidR="00717847" w:rsidRPr="006264ED" w:rsidRDefault="00717847" w:rsidP="006264ED">
            <w:pPr>
              <w:pStyle w:val="TableTextEntries"/>
            </w:pPr>
            <w:r w:rsidRPr="006264ED">
              <w:t>Crosscutting:</w:t>
            </w:r>
          </w:p>
        </w:tc>
        <w:tc>
          <w:tcPr>
            <w:tcW w:w="1169" w:type="dxa"/>
            <w:shd w:val="clear" w:color="auto" w:fill="auto"/>
            <w:noWrap/>
          </w:tcPr>
          <w:p w14:paraId="0B70F6FA" w14:textId="77777777" w:rsidR="00717847" w:rsidRPr="00443639" w:rsidRDefault="00717847" w:rsidP="008E0AE1">
            <w:pPr>
              <w:pStyle w:val="TableTextEntries"/>
              <w:jc w:val="center"/>
              <w:rPr>
                <w:color w:val="FFFFFF" w:themeColor="background1"/>
              </w:rPr>
            </w:pPr>
          </w:p>
        </w:tc>
      </w:tr>
      <w:tr w:rsidR="00717847" w14:paraId="0B70F6FE" w14:textId="77777777" w:rsidTr="006264ED">
        <w:trPr>
          <w:cnfStyle w:val="000000010000" w:firstRow="0" w:lastRow="0" w:firstColumn="0" w:lastColumn="0" w:oddVBand="0" w:evenVBand="0" w:oddHBand="0" w:evenHBand="1" w:firstRowFirstColumn="0" w:firstRowLastColumn="0" w:lastRowFirstColumn="0" w:lastRowLastColumn="0"/>
        </w:trPr>
        <w:tc>
          <w:tcPr>
            <w:tcW w:w="7310" w:type="dxa"/>
          </w:tcPr>
          <w:p w14:paraId="0B70F6FC" w14:textId="77777777" w:rsidR="00717847" w:rsidRDefault="00717847" w:rsidP="006264ED">
            <w:pPr>
              <w:pStyle w:val="TableListBullet"/>
            </w:pPr>
            <w:r>
              <w:t>climate change, disaster risk reduction and disaster responsiveness</w:t>
            </w:r>
          </w:p>
        </w:tc>
        <w:tc>
          <w:tcPr>
            <w:tcW w:w="1169" w:type="dxa"/>
            <w:shd w:val="clear" w:color="auto" w:fill="F79646" w:themeFill="accent6"/>
            <w:noWrap/>
          </w:tcPr>
          <w:p w14:paraId="0B70F6FD" w14:textId="77777777" w:rsidR="00717847" w:rsidRPr="006264ED" w:rsidRDefault="00717847" w:rsidP="006264ED">
            <w:pPr>
              <w:pStyle w:val="TableTextEntries"/>
            </w:pPr>
            <w:r w:rsidRPr="006264ED">
              <w:t>Amber</w:t>
            </w:r>
          </w:p>
        </w:tc>
      </w:tr>
      <w:tr w:rsidR="00717847" w:rsidRPr="00443639" w14:paraId="0B70F701" w14:textId="77777777" w:rsidTr="006264ED">
        <w:trPr>
          <w:cnfStyle w:val="000000010000" w:firstRow="0" w:lastRow="0" w:firstColumn="0" w:lastColumn="0" w:oddVBand="0" w:evenVBand="0" w:oddHBand="0" w:evenHBand="1" w:firstRowFirstColumn="0" w:firstRowLastColumn="0" w:lastRowFirstColumn="0" w:lastRowLastColumn="0"/>
        </w:trPr>
        <w:tc>
          <w:tcPr>
            <w:tcW w:w="7310" w:type="dxa"/>
          </w:tcPr>
          <w:p w14:paraId="0B70F6FF" w14:textId="77777777" w:rsidR="00717847" w:rsidRDefault="00717847" w:rsidP="006264ED">
            <w:pPr>
              <w:pStyle w:val="TableListBullet"/>
            </w:pPr>
            <w:r>
              <w:t>disability-inclusive development</w:t>
            </w:r>
          </w:p>
        </w:tc>
        <w:tc>
          <w:tcPr>
            <w:tcW w:w="1169" w:type="dxa"/>
            <w:shd w:val="clear" w:color="auto" w:fill="F79646" w:themeFill="accent6"/>
            <w:noWrap/>
          </w:tcPr>
          <w:p w14:paraId="0B70F700" w14:textId="77777777" w:rsidR="00717847" w:rsidRPr="006264ED" w:rsidRDefault="00717847" w:rsidP="006264ED">
            <w:pPr>
              <w:pStyle w:val="TableTextEntries"/>
            </w:pPr>
            <w:r w:rsidRPr="006264ED">
              <w:t>Amber</w:t>
            </w:r>
          </w:p>
        </w:tc>
      </w:tr>
    </w:tbl>
    <w:p w14:paraId="0B70F702" w14:textId="77777777" w:rsidR="00717847" w:rsidRPr="001864F1" w:rsidRDefault="001864F1" w:rsidP="001864F1">
      <w:pPr>
        <w:pStyle w:val="Heading3"/>
      </w:pPr>
      <w:r>
        <w:t>9</w:t>
      </w:r>
      <w:r w:rsidR="00717847" w:rsidRPr="001864F1">
        <w:t>a Climate change, disaster risk reduction and disaster responsiveness</w:t>
      </w:r>
    </w:p>
    <w:p w14:paraId="0B70F703" w14:textId="77777777" w:rsidR="00717847" w:rsidRDefault="00717847" w:rsidP="001864F1">
      <w:pPr>
        <w:pStyle w:val="BodyText"/>
      </w:pPr>
      <w:r>
        <w:t>Australia’s</w:t>
      </w:r>
      <w:r w:rsidRPr="004161A9">
        <w:t xml:space="preserve"> Disaster Risk Management Program is rated </w:t>
      </w:r>
      <w:r>
        <w:t>as</w:t>
      </w:r>
      <w:r w:rsidRPr="004161A9">
        <w:t xml:space="preserve"> amber because an independent review in March 2013 found </w:t>
      </w:r>
      <w:r>
        <w:t>its</w:t>
      </w:r>
      <w:r w:rsidRPr="004161A9">
        <w:t xml:space="preserve"> approach </w:t>
      </w:r>
      <w:r>
        <w:t>was</w:t>
      </w:r>
      <w:r w:rsidRPr="004161A9">
        <w:t xml:space="preserve"> not </w:t>
      </w:r>
      <w:r>
        <w:t>fully effective</w:t>
      </w:r>
      <w:r w:rsidRPr="004161A9">
        <w:t xml:space="preserve"> and d</w:t>
      </w:r>
      <w:r>
        <w:t>id</w:t>
      </w:r>
      <w:r w:rsidRPr="004161A9">
        <w:t xml:space="preserve"> not meet Australia’s overarching commitment to focus effort in areas where Australia can make a difference and where resources can be most effectively and efficiently deployed. Other recommendations included the need to better integrate </w:t>
      </w:r>
      <w:r>
        <w:t xml:space="preserve">disaster risk reduction </w:t>
      </w:r>
      <w:r w:rsidRPr="004161A9">
        <w:t xml:space="preserve">with other sectors and climate change activities. </w:t>
      </w:r>
      <w:r>
        <w:t xml:space="preserve">Disasters can set back development by many years in any country. Minimising their negative impacts is an important part of Australia’s aid program in PNG. </w:t>
      </w:r>
    </w:p>
    <w:p w14:paraId="0B70F704" w14:textId="77777777" w:rsidR="00717847" w:rsidRDefault="00717847" w:rsidP="001864F1">
      <w:pPr>
        <w:pStyle w:val="BodyText"/>
      </w:pPr>
      <w:r w:rsidRPr="00BA31F5">
        <w:t>Australia</w:t>
      </w:r>
      <w:r>
        <w:t>n</w:t>
      </w:r>
      <w:r w:rsidRPr="00BA31F5">
        <w:t xml:space="preserve"> support aims to contribute to PNG’s goal of safe and resilient communities in high</w:t>
      </w:r>
      <w:r>
        <w:t>-</w:t>
      </w:r>
      <w:r w:rsidRPr="00BA31F5">
        <w:t xml:space="preserve">risk provinces through: </w:t>
      </w:r>
    </w:p>
    <w:p w14:paraId="0B70F705" w14:textId="77777777" w:rsidR="00717847" w:rsidRPr="00092F6E" w:rsidRDefault="00717847" w:rsidP="001864F1">
      <w:pPr>
        <w:pStyle w:val="ListBullet"/>
      </w:pPr>
      <w:r w:rsidRPr="00092F6E">
        <w:t xml:space="preserve">increasing the capacity of government and </w:t>
      </w:r>
      <w:r>
        <w:t>NGOs</w:t>
      </w:r>
      <w:r w:rsidRPr="00092F6E">
        <w:t xml:space="preserve"> to manag</w:t>
      </w:r>
      <w:r>
        <w:t>e</w:t>
      </w:r>
      <w:r w:rsidRPr="00092F6E">
        <w:t xml:space="preserve"> disaster risks and respond effectively</w:t>
      </w:r>
    </w:p>
    <w:p w14:paraId="0B70F706" w14:textId="77777777" w:rsidR="00717847" w:rsidRDefault="00717847" w:rsidP="001864F1">
      <w:pPr>
        <w:pStyle w:val="ListBullet"/>
      </w:pPr>
      <w:r>
        <w:t xml:space="preserve">supporting </w:t>
      </w:r>
      <w:r w:rsidRPr="00291086">
        <w:t xml:space="preserve">better informed and better prepared high-risk communities </w:t>
      </w:r>
      <w:r>
        <w:t xml:space="preserve">so they are </w:t>
      </w:r>
      <w:r w:rsidRPr="00291086">
        <w:t>able to re</w:t>
      </w:r>
      <w:r>
        <w:t>spond to disasters</w:t>
      </w:r>
    </w:p>
    <w:p w14:paraId="0B70F707" w14:textId="77777777" w:rsidR="00717847" w:rsidRPr="00291086" w:rsidRDefault="00717847" w:rsidP="001864F1">
      <w:pPr>
        <w:pStyle w:val="ListBullet"/>
      </w:pPr>
      <w:r>
        <w:t>improving</w:t>
      </w:r>
      <w:r w:rsidRPr="00291086">
        <w:t xml:space="preserve"> livelihoods through better management of forest resources and communit</w:t>
      </w:r>
      <w:r>
        <w:t>y resilience</w:t>
      </w:r>
      <w:r w:rsidRPr="00291086">
        <w:t xml:space="preserve"> to</w:t>
      </w:r>
      <w:r>
        <w:t xml:space="preserve"> the</w:t>
      </w:r>
      <w:r w:rsidRPr="00291086">
        <w:t xml:space="preserve"> impact of climate change.</w:t>
      </w:r>
    </w:p>
    <w:p w14:paraId="0B70F708" w14:textId="77777777" w:rsidR="00717847" w:rsidRPr="00020433" w:rsidRDefault="00717847" w:rsidP="001864F1">
      <w:pPr>
        <w:pStyle w:val="BodyText"/>
      </w:pPr>
      <w:r>
        <w:t>The PNG Government will finalise its climate change policy in 2013.</w:t>
      </w:r>
      <w:r w:rsidRPr="00020433">
        <w:t xml:space="preserve"> </w:t>
      </w:r>
      <w:r>
        <w:t>It</w:t>
      </w:r>
      <w:r w:rsidRPr="00020433">
        <w:t xml:space="preserve"> has </w:t>
      </w:r>
      <w:r>
        <w:t xml:space="preserve">also </w:t>
      </w:r>
      <w:r w:rsidRPr="00020433">
        <w:t xml:space="preserve">strengthened </w:t>
      </w:r>
      <w:r>
        <w:t xml:space="preserve">its </w:t>
      </w:r>
      <w:r w:rsidRPr="00020433">
        <w:t>commitment for emergency response</w:t>
      </w:r>
      <w:r>
        <w:t>,</w:t>
      </w:r>
      <w:r w:rsidRPr="00020433">
        <w:t xml:space="preserve"> </w:t>
      </w:r>
      <w:r>
        <w:t xml:space="preserve">pledging </w:t>
      </w:r>
      <w:r w:rsidRPr="00020433">
        <w:t>K50 million</w:t>
      </w:r>
      <w:r>
        <w:t xml:space="preserve"> </w:t>
      </w:r>
      <w:r w:rsidRPr="00020433">
        <w:t>in January 2013 to resp</w:t>
      </w:r>
      <w:r>
        <w:t>ond to disasters</w:t>
      </w:r>
      <w:r w:rsidRPr="00020433">
        <w:t xml:space="preserve">. </w:t>
      </w:r>
    </w:p>
    <w:p w14:paraId="0B70F709" w14:textId="77777777" w:rsidR="00717847" w:rsidRDefault="00717847" w:rsidP="001864F1">
      <w:pPr>
        <w:pStyle w:val="BodyText"/>
      </w:pPr>
      <w:r w:rsidRPr="00020433">
        <w:t>In 2012</w:t>
      </w:r>
      <w:r>
        <w:t>,</w:t>
      </w:r>
      <w:r w:rsidRPr="00020433">
        <w:t xml:space="preserve"> Australia contribut</w:t>
      </w:r>
      <w:r>
        <w:t xml:space="preserve">ed $3.6 million </w:t>
      </w:r>
      <w:r w:rsidRPr="00020433">
        <w:t xml:space="preserve">to disaster risk management </w:t>
      </w:r>
      <w:r>
        <w:t xml:space="preserve">in PNG </w:t>
      </w:r>
      <w:r w:rsidRPr="00020433">
        <w:t>through:</w:t>
      </w:r>
    </w:p>
    <w:p w14:paraId="0B70F70A" w14:textId="77777777" w:rsidR="00717847" w:rsidRPr="00020433" w:rsidRDefault="00717847" w:rsidP="001864F1">
      <w:pPr>
        <w:pStyle w:val="ListBullet"/>
      </w:pPr>
      <w:r>
        <w:t>s</w:t>
      </w:r>
      <w:r w:rsidRPr="00020433">
        <w:t>upport</w:t>
      </w:r>
      <w:r>
        <w:t>ing</w:t>
      </w:r>
      <w:r w:rsidRPr="00020433">
        <w:t xml:space="preserve"> the Rabaul Vulcanological Observatory’s public awareness campaigns</w:t>
      </w:r>
      <w:r>
        <w:rPr>
          <w:rStyle w:val="FootnoteReference"/>
        </w:rPr>
        <w:footnoteReference w:id="75"/>
      </w:r>
      <w:r w:rsidRPr="00020433">
        <w:t xml:space="preserve"> </w:t>
      </w:r>
    </w:p>
    <w:p w14:paraId="0B70F70B" w14:textId="77777777" w:rsidR="00717847" w:rsidRDefault="00717847" w:rsidP="001864F1">
      <w:pPr>
        <w:pStyle w:val="ListBullet"/>
      </w:pPr>
      <w:r>
        <w:t>m</w:t>
      </w:r>
      <w:r w:rsidRPr="00B57C17">
        <w:t>aintaining pre-positioning of relief supplies</w:t>
      </w:r>
      <w:r>
        <w:rPr>
          <w:rStyle w:val="FootnoteReference"/>
        </w:rPr>
        <w:footnoteReference w:id="76"/>
      </w:r>
      <w:r w:rsidRPr="00B57C17">
        <w:t xml:space="preserve"> </w:t>
      </w:r>
    </w:p>
    <w:p w14:paraId="0B70F70C" w14:textId="6FEE7C1B" w:rsidR="00717847" w:rsidRPr="00B57C17" w:rsidRDefault="00717847" w:rsidP="001864F1">
      <w:pPr>
        <w:pStyle w:val="ListBullet"/>
      </w:pPr>
      <w:r>
        <w:t>e</w:t>
      </w:r>
      <w:r w:rsidRPr="00B57C17">
        <w:t xml:space="preserve">nsuring 25 fully trained </w:t>
      </w:r>
      <w:r w:rsidR="00D55D14">
        <w:t>Australian Government</w:t>
      </w:r>
      <w:r w:rsidR="00D55D14" w:rsidRPr="00B57C17">
        <w:t xml:space="preserve"> </w:t>
      </w:r>
      <w:r>
        <w:t xml:space="preserve">emergency response team members were </w:t>
      </w:r>
      <w:r w:rsidRPr="00B57C17">
        <w:t xml:space="preserve">available for immediate deployment </w:t>
      </w:r>
      <w:r>
        <w:t>to</w:t>
      </w:r>
      <w:r w:rsidRPr="00B57C17">
        <w:t xml:space="preserve"> support PNG </w:t>
      </w:r>
      <w:r>
        <w:t>g</w:t>
      </w:r>
      <w:r w:rsidRPr="00B57C17">
        <w:t>overnment emer</w:t>
      </w:r>
      <w:r>
        <w:t>gency responses</w:t>
      </w:r>
      <w:r w:rsidRPr="00B57C17">
        <w:t xml:space="preserve"> </w:t>
      </w:r>
    </w:p>
    <w:p w14:paraId="0B70F70D" w14:textId="77777777" w:rsidR="00717847" w:rsidRPr="00020433" w:rsidRDefault="00717847" w:rsidP="001864F1">
      <w:pPr>
        <w:pStyle w:val="ListBullet"/>
      </w:pPr>
      <w:r>
        <w:t>providing t</w:t>
      </w:r>
      <w:r w:rsidRPr="00020433">
        <w:t>echnical support to West New Britain’s Provincial Disaster Multi</w:t>
      </w:r>
      <w:r>
        <w:t>-</w:t>
      </w:r>
      <w:r w:rsidRPr="00020433">
        <w:t xml:space="preserve">Hazard Contingency </w:t>
      </w:r>
      <w:r>
        <w:t>P</w:t>
      </w:r>
      <w:r w:rsidRPr="00020433">
        <w:t>lan and technical support to N</w:t>
      </w:r>
      <w:r>
        <w:t>ational Capital District</w:t>
      </w:r>
      <w:r w:rsidRPr="00020433">
        <w:t xml:space="preserve"> in the development of the </w:t>
      </w:r>
      <w:r w:rsidRPr="00E80658">
        <w:t>Community Based Disaster Risk Management</w:t>
      </w:r>
      <w:r>
        <w:t xml:space="preserve"> Manual and Procedure</w:t>
      </w:r>
    </w:p>
    <w:p w14:paraId="0B70F70E" w14:textId="77777777" w:rsidR="00717847" w:rsidRPr="00020433" w:rsidRDefault="00717847" w:rsidP="001864F1">
      <w:pPr>
        <w:pStyle w:val="ListBullet"/>
      </w:pPr>
      <w:r>
        <w:t>s</w:t>
      </w:r>
      <w:r w:rsidRPr="00020433">
        <w:t>upport</w:t>
      </w:r>
      <w:r>
        <w:t>ing</w:t>
      </w:r>
      <w:r w:rsidRPr="00020433">
        <w:t xml:space="preserve"> the PNG Red Cross </w:t>
      </w:r>
      <w:r>
        <w:t>to provide</w:t>
      </w:r>
      <w:r w:rsidRPr="00020433">
        <w:t xml:space="preserve"> a </w:t>
      </w:r>
      <w:r>
        <w:t>d</w:t>
      </w:r>
      <w:r w:rsidRPr="00020433">
        <w:t xml:space="preserve">isaster </w:t>
      </w:r>
      <w:r>
        <w:t>m</w:t>
      </w:r>
      <w:r w:rsidRPr="00020433">
        <w:t xml:space="preserve">anagement </w:t>
      </w:r>
      <w:r>
        <w:t>s</w:t>
      </w:r>
      <w:r w:rsidRPr="00020433">
        <w:t>pecialist to build capability at nationa</w:t>
      </w:r>
      <w:r>
        <w:t xml:space="preserve">l and provincial headquarters </w:t>
      </w:r>
      <w:r w:rsidRPr="00020433">
        <w:t xml:space="preserve">and </w:t>
      </w:r>
      <w:r>
        <w:t>contribute</w:t>
      </w:r>
      <w:r w:rsidRPr="00020433">
        <w:t xml:space="preserve"> to strengthening 14</w:t>
      </w:r>
      <w:r>
        <w:t> </w:t>
      </w:r>
      <w:r w:rsidRPr="00020433">
        <w:t>branches across PNG</w:t>
      </w:r>
      <w:r>
        <w:t>,</w:t>
      </w:r>
      <w:r w:rsidRPr="00020433">
        <w:t xml:space="preserve"> and increas</w:t>
      </w:r>
      <w:r>
        <w:t>ing</w:t>
      </w:r>
      <w:r w:rsidRPr="00020433">
        <w:t xml:space="preserve"> the number of volunteers from 200 in 2011 to 700 in 2012</w:t>
      </w:r>
      <w:r>
        <w:t xml:space="preserve">, increasing the capacity of the Red Cross </w:t>
      </w:r>
      <w:r w:rsidRPr="00020433">
        <w:t xml:space="preserve">to assist </w:t>
      </w:r>
      <w:r>
        <w:t>more than</w:t>
      </w:r>
      <w:r w:rsidRPr="00020433">
        <w:t xml:space="preserve"> 40</w:t>
      </w:r>
      <w:r>
        <w:t xml:space="preserve"> </w:t>
      </w:r>
      <w:r w:rsidRPr="00020433">
        <w:t>000 people affected by the</w:t>
      </w:r>
      <w:r>
        <w:t xml:space="preserve"> January 2013</w:t>
      </w:r>
      <w:r w:rsidRPr="00020433">
        <w:t xml:space="preserve"> floods, par</w:t>
      </w:r>
      <w:r>
        <w:t>ticularly in Oro Province</w:t>
      </w:r>
      <w:r w:rsidRPr="00020433">
        <w:t xml:space="preserve"> </w:t>
      </w:r>
    </w:p>
    <w:p w14:paraId="0B70F70F" w14:textId="77777777" w:rsidR="00717847" w:rsidRDefault="00717847" w:rsidP="001864F1">
      <w:pPr>
        <w:pStyle w:val="ListBullet"/>
      </w:pPr>
      <w:r>
        <w:t>providing timely emergency aid to victims of several disasters.</w:t>
      </w:r>
      <w:r>
        <w:rPr>
          <w:rStyle w:val="FootnoteReference"/>
        </w:rPr>
        <w:footnoteReference w:id="77"/>
      </w:r>
      <w:r>
        <w:t xml:space="preserve"> </w:t>
      </w:r>
    </w:p>
    <w:p w14:paraId="0B70F710" w14:textId="77777777" w:rsidR="00717847" w:rsidRPr="00020433" w:rsidRDefault="00717847" w:rsidP="001864F1">
      <w:pPr>
        <w:pStyle w:val="BodyText"/>
      </w:pPr>
      <w:r>
        <w:lastRenderedPageBreak/>
        <w:t>Australia’s</w:t>
      </w:r>
      <w:r w:rsidRPr="00020433">
        <w:t xml:space="preserve"> climate change program in PNG is</w:t>
      </w:r>
      <w:r>
        <w:t xml:space="preserve"> small scale,</w:t>
      </w:r>
      <w:r w:rsidRPr="00020433">
        <w:t xml:space="preserve"> and progress on some </w:t>
      </w:r>
      <w:r>
        <w:t>p</w:t>
      </w:r>
      <w:r w:rsidRPr="00020433">
        <w:t>rograms has been slow. However, some encouraging results have been achieved through NGO</w:t>
      </w:r>
      <w:r>
        <w:t>-</w:t>
      </w:r>
      <w:r w:rsidRPr="00020433">
        <w:t>led community-based programs</w:t>
      </w:r>
      <w:r>
        <w:t>.</w:t>
      </w:r>
      <w:r w:rsidRPr="00020433">
        <w:t xml:space="preserve"> Challenges include the small number of NGOs working in </w:t>
      </w:r>
      <w:r>
        <w:t xml:space="preserve">the </w:t>
      </w:r>
      <w:r w:rsidRPr="00020433">
        <w:t xml:space="preserve">climate change sector </w:t>
      </w:r>
      <w:r>
        <w:t>that have</w:t>
      </w:r>
      <w:r w:rsidRPr="00020433">
        <w:t xml:space="preserve"> capacity to deliver </w:t>
      </w:r>
      <w:r>
        <w:t>effective program</w:t>
      </w:r>
      <w:r w:rsidRPr="00020433">
        <w:t>s</w:t>
      </w:r>
      <w:r>
        <w:t>.</w:t>
      </w:r>
    </w:p>
    <w:p w14:paraId="0B70F711" w14:textId="77777777" w:rsidR="00717847" w:rsidRDefault="00717847" w:rsidP="001864F1">
      <w:pPr>
        <w:pStyle w:val="BodyText"/>
      </w:pPr>
      <w:r>
        <w:t xml:space="preserve">In 2012–13, </w:t>
      </w:r>
      <w:r w:rsidRPr="00020433">
        <w:t>Australia supported activities contributing to improved climate change mitigation and adaptation in vulnerable communities in PNG</w:t>
      </w:r>
      <w:r>
        <w:t xml:space="preserve"> including</w:t>
      </w:r>
      <w:r w:rsidRPr="00020433">
        <w:t>:</w:t>
      </w:r>
    </w:p>
    <w:p w14:paraId="0B70F712" w14:textId="77777777" w:rsidR="00717847" w:rsidRPr="00020433" w:rsidRDefault="00717847" w:rsidP="001864F1">
      <w:pPr>
        <w:pStyle w:val="ListBullet"/>
      </w:pPr>
      <w:r>
        <w:t>c</w:t>
      </w:r>
      <w:r w:rsidRPr="00020433">
        <w:t>ommunity-based grant funding for adaptation project</w:t>
      </w:r>
      <w:r>
        <w:t>s</w:t>
      </w:r>
      <w:r w:rsidRPr="00020433">
        <w:t xml:space="preserve"> in Manus Island </w:t>
      </w:r>
      <w:r>
        <w:t xml:space="preserve">and Milne Bay, </w:t>
      </w:r>
      <w:r w:rsidRPr="00020433">
        <w:t>resulting in communit</w:t>
      </w:r>
      <w:r>
        <w:t xml:space="preserve">y access to </w:t>
      </w:r>
      <w:r w:rsidRPr="00020433">
        <w:t>drought</w:t>
      </w:r>
      <w:r>
        <w:t>-</w:t>
      </w:r>
      <w:r w:rsidRPr="00020433">
        <w:t>resista</w:t>
      </w:r>
      <w:r>
        <w:t>nt crops for food security, greater climate change awareness and village adaptation</w:t>
      </w:r>
      <w:r w:rsidRPr="00020433">
        <w:t xml:space="preserve"> plan</w:t>
      </w:r>
      <w:r>
        <w:t>s</w:t>
      </w:r>
    </w:p>
    <w:p w14:paraId="0B70F713" w14:textId="77777777" w:rsidR="00717847" w:rsidRDefault="00717847" w:rsidP="001864F1">
      <w:pPr>
        <w:pStyle w:val="ListBullet"/>
      </w:pPr>
      <w:r>
        <w:t>e</w:t>
      </w:r>
      <w:r w:rsidRPr="00020433">
        <w:t>xpan</w:t>
      </w:r>
      <w:r>
        <w:t>ding</w:t>
      </w:r>
      <w:r w:rsidRPr="00020433">
        <w:t xml:space="preserve"> </w:t>
      </w:r>
      <w:r>
        <w:t xml:space="preserve">the </w:t>
      </w:r>
      <w:r w:rsidRPr="00020433">
        <w:t>capacity of the P</w:t>
      </w:r>
      <w:r>
        <w:t>NG</w:t>
      </w:r>
      <w:r w:rsidRPr="00020433">
        <w:t xml:space="preserve"> Meteorological Service</w:t>
      </w:r>
      <w:r>
        <w:t xml:space="preserve"> to provide</w:t>
      </w:r>
      <w:r w:rsidRPr="00020433">
        <w:t xml:space="preserve"> essential meteo</w:t>
      </w:r>
      <w:r>
        <w:t>rological and climate services.</w:t>
      </w:r>
      <w:r>
        <w:rPr>
          <w:rStyle w:val="FootnoteReference"/>
        </w:rPr>
        <w:footnoteReference w:id="78"/>
      </w:r>
      <w:r w:rsidRPr="00020433">
        <w:t xml:space="preserve"> </w:t>
      </w:r>
    </w:p>
    <w:p w14:paraId="0B70F714" w14:textId="77777777" w:rsidR="00717847" w:rsidRPr="00A26AFB" w:rsidDel="00515D1D" w:rsidRDefault="001864F1" w:rsidP="001864F1">
      <w:pPr>
        <w:pStyle w:val="Heading3"/>
      </w:pPr>
      <w:r>
        <w:t>9</w:t>
      </w:r>
      <w:r w:rsidR="00717847">
        <w:t xml:space="preserve">b </w:t>
      </w:r>
      <w:r w:rsidR="00717847" w:rsidRPr="00A26AFB" w:rsidDel="00515D1D">
        <w:t xml:space="preserve">Disability </w:t>
      </w:r>
      <w:r w:rsidR="00717847">
        <w:t>i</w:t>
      </w:r>
      <w:r w:rsidR="00717847" w:rsidRPr="00A26AFB" w:rsidDel="00515D1D">
        <w:t>nclusiveness</w:t>
      </w:r>
    </w:p>
    <w:p w14:paraId="0B70F715" w14:textId="77777777" w:rsidR="00717847" w:rsidRPr="007A5EE9" w:rsidDel="00515D1D" w:rsidRDefault="00717847" w:rsidP="001864F1">
      <w:pPr>
        <w:pStyle w:val="BodyText"/>
      </w:pPr>
      <w:r w:rsidDel="00515D1D">
        <w:t>Disability inclusiveness is a social equity and an economic enabling issue</w:t>
      </w:r>
      <w:r>
        <w:t xml:space="preserve"> in any country</w:t>
      </w:r>
      <w:r w:rsidDel="00515D1D">
        <w:t xml:space="preserve">. It contributes to greater workforce participation and less reliance on social welfare and services. </w:t>
      </w:r>
      <w:r w:rsidRPr="007A5EE9" w:rsidDel="00515D1D">
        <w:t xml:space="preserve">PNG is a focus country under </w:t>
      </w:r>
      <w:r w:rsidRPr="007A5EE9" w:rsidDel="00515D1D">
        <w:rPr>
          <w:i/>
        </w:rPr>
        <w:t>Development for All</w:t>
      </w:r>
      <w:r>
        <w:rPr>
          <w:i/>
        </w:rPr>
        <w:t xml:space="preserve">: </w:t>
      </w:r>
      <w:r w:rsidRPr="007A5EE9" w:rsidDel="00515D1D">
        <w:rPr>
          <w:i/>
        </w:rPr>
        <w:t xml:space="preserve">Towards a </w:t>
      </w:r>
      <w:r>
        <w:rPr>
          <w:i/>
        </w:rPr>
        <w:t>d</w:t>
      </w:r>
      <w:r w:rsidRPr="007A5EE9" w:rsidDel="00515D1D">
        <w:rPr>
          <w:i/>
        </w:rPr>
        <w:t>isability</w:t>
      </w:r>
      <w:r>
        <w:rPr>
          <w:i/>
        </w:rPr>
        <w:t>-</w:t>
      </w:r>
      <w:r w:rsidRPr="007A5EE9" w:rsidDel="00515D1D">
        <w:rPr>
          <w:i/>
        </w:rPr>
        <w:t>inclusive Australian aid progra</w:t>
      </w:r>
      <w:r w:rsidRPr="00F77978" w:rsidDel="00515D1D">
        <w:rPr>
          <w:i/>
        </w:rPr>
        <w:t>m</w:t>
      </w:r>
      <w:r w:rsidRPr="00F77978">
        <w:rPr>
          <w:i/>
        </w:rPr>
        <w:t>.</w:t>
      </w:r>
      <w:r w:rsidRPr="00F77978" w:rsidDel="00515D1D">
        <w:t xml:space="preserve"> </w:t>
      </w:r>
      <w:r w:rsidRPr="00F77978">
        <w:t>T</w:t>
      </w:r>
      <w:r w:rsidRPr="007A5EE9" w:rsidDel="00515D1D">
        <w:t xml:space="preserve">he first year of implementation </w:t>
      </w:r>
      <w:r>
        <w:t>for the</w:t>
      </w:r>
      <w:r w:rsidRPr="007A5EE9" w:rsidDel="00515D1D">
        <w:t xml:space="preserve"> </w:t>
      </w:r>
      <w:r>
        <w:t>d</w:t>
      </w:r>
      <w:r w:rsidRPr="007A5EE9" w:rsidDel="00515D1D">
        <w:t>isability-</w:t>
      </w:r>
      <w:r>
        <w:t>i</w:t>
      </w:r>
      <w:r w:rsidRPr="007A5EE9" w:rsidDel="00515D1D">
        <w:t xml:space="preserve">nclusive </w:t>
      </w:r>
      <w:r>
        <w:t>d</w:t>
      </w:r>
      <w:r w:rsidRPr="007A5EE9" w:rsidDel="00515D1D">
        <w:t xml:space="preserve">evelopment </w:t>
      </w:r>
      <w:r>
        <w:t xml:space="preserve">program was 2012. It </w:t>
      </w:r>
      <w:r w:rsidRPr="007A5EE9" w:rsidDel="00515D1D">
        <w:t>support</w:t>
      </w:r>
      <w:r>
        <w:t>s</w:t>
      </w:r>
      <w:r w:rsidRPr="007A5EE9" w:rsidDel="00515D1D">
        <w:t xml:space="preserve"> PNG’s capacity to deliver on national disability </w:t>
      </w:r>
      <w:r>
        <w:t>efforts. D</w:t>
      </w:r>
      <w:r w:rsidRPr="007A5EE9" w:rsidDel="00515D1D">
        <w:t>isability inclusiveness has been integrated in</w:t>
      </w:r>
      <w:r>
        <w:t>to</w:t>
      </w:r>
      <w:r w:rsidRPr="007A5EE9" w:rsidDel="00515D1D">
        <w:t xml:space="preserve"> some </w:t>
      </w:r>
      <w:r>
        <w:t xml:space="preserve">components </w:t>
      </w:r>
      <w:r w:rsidRPr="007A5EE9" w:rsidDel="00515D1D">
        <w:t>of</w:t>
      </w:r>
      <w:r>
        <w:t xml:space="preserve"> our aid program in PNG.</w:t>
      </w:r>
      <w:r w:rsidRPr="007A5EE9" w:rsidDel="00515D1D">
        <w:t xml:space="preserve"> </w:t>
      </w:r>
      <w:r>
        <w:t>H</w:t>
      </w:r>
      <w:r w:rsidRPr="007A5EE9" w:rsidDel="00515D1D">
        <w:t>oweve</w:t>
      </w:r>
      <w:r w:rsidDel="00515D1D">
        <w:t>r</w:t>
      </w:r>
      <w:r>
        <w:t>,</w:t>
      </w:r>
      <w:r w:rsidDel="00515D1D">
        <w:t xml:space="preserve"> there </w:t>
      </w:r>
      <w:r>
        <w:t>are</w:t>
      </w:r>
      <w:r w:rsidDel="00515D1D">
        <w:t xml:space="preserve"> </w:t>
      </w:r>
      <w:r>
        <w:t>further</w:t>
      </w:r>
      <w:r w:rsidDel="00515D1D">
        <w:t xml:space="preserve"> opportunit</w:t>
      </w:r>
      <w:r>
        <w:t>ies</w:t>
      </w:r>
      <w:r w:rsidRPr="007A5EE9" w:rsidDel="00515D1D">
        <w:t xml:space="preserve"> to </w:t>
      </w:r>
      <w:r>
        <w:t>mainstream</w:t>
      </w:r>
      <w:r w:rsidRPr="007A5EE9" w:rsidDel="00515D1D">
        <w:t xml:space="preserve"> disability inclusion.</w:t>
      </w:r>
      <w:r w:rsidRPr="00E50DCD" w:rsidDel="00515D1D">
        <w:rPr>
          <w:rStyle w:val="FootnoteReference"/>
          <w:szCs w:val="16"/>
        </w:rPr>
        <w:footnoteReference w:id="79"/>
      </w:r>
      <w:r w:rsidRPr="00E50DCD" w:rsidDel="00515D1D">
        <w:rPr>
          <w:sz w:val="16"/>
          <w:szCs w:val="16"/>
        </w:rPr>
        <w:t xml:space="preserve">  </w:t>
      </w:r>
      <w:r w:rsidRPr="007A5EE9" w:rsidDel="00515D1D">
        <w:t xml:space="preserve">  </w:t>
      </w:r>
    </w:p>
    <w:p w14:paraId="0B70F716" w14:textId="77777777" w:rsidR="00717847" w:rsidRPr="007A5EE9" w:rsidDel="00515D1D" w:rsidRDefault="00717847" w:rsidP="001864F1">
      <w:pPr>
        <w:pStyle w:val="BodyText"/>
      </w:pPr>
      <w:r w:rsidRPr="007A5EE9" w:rsidDel="00515D1D">
        <w:t xml:space="preserve">An independent review </w:t>
      </w:r>
      <w:r>
        <w:t xml:space="preserve">of </w:t>
      </w:r>
      <w:r w:rsidRPr="007A5EE9">
        <w:t xml:space="preserve">Australia’s </w:t>
      </w:r>
      <w:r w:rsidRPr="007A5EE9" w:rsidDel="00515D1D">
        <w:t xml:space="preserve">support for electoral governance found the PNGEC </w:t>
      </w:r>
      <w:r>
        <w:t>to be</w:t>
      </w:r>
      <w:r w:rsidRPr="007A5EE9" w:rsidDel="00515D1D">
        <w:t xml:space="preserve"> among world leaders in working to ensure disability is not a barrier to election participation. </w:t>
      </w:r>
      <w:r>
        <w:t>Papua New Guineans</w:t>
      </w:r>
      <w:r w:rsidRPr="007A5EE9" w:rsidDel="00515D1D">
        <w:t xml:space="preserve"> were able to enrol and vote at disability-enabled locations for the first </w:t>
      </w:r>
      <w:r w:rsidDel="00515D1D">
        <w:t xml:space="preserve">time during the 2012 </w:t>
      </w:r>
      <w:r>
        <w:t>General E</w:t>
      </w:r>
      <w:r w:rsidDel="00515D1D">
        <w:t>lection</w:t>
      </w:r>
      <w:r>
        <w:t>.</w:t>
      </w:r>
    </w:p>
    <w:p w14:paraId="0B70F717" w14:textId="77777777" w:rsidR="00717847" w:rsidDel="00515D1D" w:rsidRDefault="00717847" w:rsidP="001864F1">
      <w:pPr>
        <w:pStyle w:val="BodyText"/>
        <w:rPr>
          <w:color w:val="000000"/>
        </w:rPr>
      </w:pPr>
      <w:r>
        <w:t>Under the Education Program, a</w:t>
      </w:r>
      <w:r w:rsidRPr="007A5EE9" w:rsidDel="00515D1D">
        <w:t xml:space="preserve"> cost</w:t>
      </w:r>
      <w:r>
        <w:t>-</w:t>
      </w:r>
      <w:r w:rsidRPr="007A5EE9" w:rsidDel="00515D1D">
        <w:t xml:space="preserve">effective ramp design </w:t>
      </w:r>
      <w:r>
        <w:t>was</w:t>
      </w:r>
      <w:r w:rsidRPr="007A5EE9" w:rsidDel="00515D1D">
        <w:t xml:space="preserve"> </w:t>
      </w:r>
      <w:r>
        <w:t>developed</w:t>
      </w:r>
      <w:r w:rsidDel="00515D1D">
        <w:t xml:space="preserve"> and is included with</w:t>
      </w:r>
      <w:r w:rsidRPr="007A5EE9" w:rsidDel="00515D1D">
        <w:t xml:space="preserve"> new Aus</w:t>
      </w:r>
      <w:r w:rsidDel="00515D1D">
        <w:t xml:space="preserve">tralian </w:t>
      </w:r>
      <w:r w:rsidRPr="007A5EE9" w:rsidDel="00515D1D">
        <w:t>classroom infrastructure.</w:t>
      </w:r>
    </w:p>
    <w:p w14:paraId="0B70F718" w14:textId="2B1C06A1" w:rsidR="00717847" w:rsidRPr="009957EC" w:rsidRDefault="00B419C6" w:rsidP="001864F1">
      <w:pPr>
        <w:pStyle w:val="BodyText"/>
      </w:pPr>
      <w:r>
        <w:rPr>
          <w:color w:val="000000"/>
        </w:rPr>
        <w:t>The Australian Government</w:t>
      </w:r>
      <w:r w:rsidRPr="003D02CD" w:rsidDel="00515D1D">
        <w:rPr>
          <w:color w:val="000000"/>
        </w:rPr>
        <w:t xml:space="preserve"> </w:t>
      </w:r>
      <w:r w:rsidR="00717847">
        <w:rPr>
          <w:color w:val="000000"/>
        </w:rPr>
        <w:t>also</w:t>
      </w:r>
      <w:r w:rsidR="00717847" w:rsidRPr="003D02CD" w:rsidDel="00515D1D">
        <w:rPr>
          <w:color w:val="000000"/>
        </w:rPr>
        <w:t xml:space="preserve"> fund</w:t>
      </w:r>
      <w:r w:rsidR="00717847">
        <w:rPr>
          <w:color w:val="000000"/>
        </w:rPr>
        <w:t>s</w:t>
      </w:r>
      <w:r w:rsidR="00717847" w:rsidRPr="003D02CD" w:rsidDel="00515D1D">
        <w:rPr>
          <w:color w:val="000000"/>
        </w:rPr>
        <w:t xml:space="preserve"> disability projects </w:t>
      </w:r>
      <w:r w:rsidR="00717847" w:rsidDel="00515D1D">
        <w:rPr>
          <w:color w:val="000000"/>
        </w:rPr>
        <w:t xml:space="preserve">by </w:t>
      </w:r>
      <w:r w:rsidR="00717847" w:rsidRPr="003D02CD" w:rsidDel="00515D1D">
        <w:rPr>
          <w:color w:val="000000"/>
        </w:rPr>
        <w:t>partnering with Motivation Australia, PNG Assembly of Disabled Persons, Department for Community Development, National Disability Resource and Advocacy Centre, Oro Kinse &amp; Disabled Association, Hoskins Disability Sports Organization, Manus Disability Sports Association, Ches</w:t>
      </w:r>
      <w:r w:rsidR="00717847">
        <w:rPr>
          <w:color w:val="000000"/>
        </w:rPr>
        <w:t>h</w:t>
      </w:r>
      <w:r w:rsidR="00717847" w:rsidRPr="003D02CD" w:rsidDel="00515D1D">
        <w:rPr>
          <w:color w:val="000000"/>
        </w:rPr>
        <w:t>ire Disability Services of P</w:t>
      </w:r>
      <w:r w:rsidR="00717847">
        <w:rPr>
          <w:color w:val="000000"/>
        </w:rPr>
        <w:t>NG,</w:t>
      </w:r>
      <w:r w:rsidR="00717847" w:rsidRPr="003D02CD" w:rsidDel="00515D1D">
        <w:rPr>
          <w:color w:val="000000"/>
        </w:rPr>
        <w:t xml:space="preserve"> and Women with Disability</w:t>
      </w:r>
      <w:r w:rsidR="00717847">
        <w:rPr>
          <w:color w:val="000000"/>
        </w:rPr>
        <w:t xml:space="preserve">. </w:t>
      </w:r>
      <w:r w:rsidR="00717847" w:rsidRPr="003D02CD" w:rsidDel="00515D1D">
        <w:rPr>
          <w:color w:val="000000"/>
        </w:rPr>
        <w:t xml:space="preserve"> </w:t>
      </w:r>
    </w:p>
    <w:p w14:paraId="0B70F719" w14:textId="77777777" w:rsidR="00717847" w:rsidRPr="001864F1" w:rsidRDefault="00717847" w:rsidP="001864F1">
      <w:pPr>
        <w:pStyle w:val="Heading2"/>
      </w:pPr>
      <w:r w:rsidRPr="001864F1">
        <w:t>Monitoring and evaluation</w:t>
      </w:r>
    </w:p>
    <w:p w14:paraId="0B70F71A" w14:textId="2D51F00F" w:rsidR="00717847" w:rsidRDefault="00B419C6" w:rsidP="001864F1">
      <w:pPr>
        <w:pStyle w:val="BodyText"/>
      </w:pPr>
      <w:r>
        <w:t xml:space="preserve">The department’s </w:t>
      </w:r>
      <w:r w:rsidR="00717847">
        <w:t xml:space="preserve">Performance Management and Evaluation Policy requires an independent evaluation for investments of more than $3 million. This is complemented by independent reviews by </w:t>
      </w:r>
      <w:r>
        <w:t>the</w:t>
      </w:r>
      <w:r w:rsidR="00717847">
        <w:t xml:space="preserve"> Office of Development Effectiveness and an annual monitoring system with which any Australian investment worth $3 million or more must comply. The annual monitoring system and independent evaluations are the primary information source for </w:t>
      </w:r>
      <w:r w:rsidR="00EC7FC8">
        <w:t>APPR</w:t>
      </w:r>
      <w:r w:rsidR="00717847">
        <w:t xml:space="preserve">s prepared by </w:t>
      </w:r>
      <w:r w:rsidR="00D55D14">
        <w:t>DFAT</w:t>
      </w:r>
      <w:r w:rsidR="00717847">
        <w:t xml:space="preserve">. </w:t>
      </w:r>
    </w:p>
    <w:p w14:paraId="0B70F71B" w14:textId="37A1676E" w:rsidR="00717847" w:rsidRDefault="00717847" w:rsidP="001864F1">
      <w:pPr>
        <w:pStyle w:val="BodyText"/>
      </w:pPr>
      <w:r>
        <w:t>The limitations of any self-ratings system make it</w:t>
      </w:r>
      <w:r w:rsidRPr="003B4A85">
        <w:t xml:space="preserve"> important</w:t>
      </w:r>
      <w:r>
        <w:t xml:space="preserve"> to</w:t>
      </w:r>
      <w:r w:rsidRPr="003B4A85">
        <w:t xml:space="preserve"> </w:t>
      </w:r>
      <w:r>
        <w:t xml:space="preserve">be careful when interpreting </w:t>
      </w:r>
      <w:r w:rsidRPr="003B4A85">
        <w:t>trends</w:t>
      </w:r>
      <w:r>
        <w:t>, such as with</w:t>
      </w:r>
      <w:r w:rsidRPr="003B4A85">
        <w:t xml:space="preserve"> Quality at Implementation (QAI) data.</w:t>
      </w:r>
      <w:r>
        <w:t xml:space="preserve"> The PNG Program has been making changes to further strengthen its moderation process to ensure highly robust ratings. The number of ‘unsatisfactory’ ratings (3 and below) for M&amp;E in PNG QAIs increased significantly from 18 per cent in 2011 to 67 per cent in 2012. This may be partly explained by the raised standards, skills </w:t>
      </w:r>
      <w:r w:rsidRPr="00C90857">
        <w:t xml:space="preserve">and expectations </w:t>
      </w:r>
      <w:r>
        <w:t xml:space="preserve">in </w:t>
      </w:r>
      <w:r w:rsidR="00272B30">
        <w:t>the Australia</w:t>
      </w:r>
      <w:r w:rsidR="00755273">
        <w:t>n Government’s</w:t>
      </w:r>
      <w:r w:rsidR="00272B30">
        <w:t xml:space="preserve"> aid program </w:t>
      </w:r>
      <w:r>
        <w:t>in recent years in respect to</w:t>
      </w:r>
      <w:r w:rsidRPr="00C90857">
        <w:t xml:space="preserve"> performance moni</w:t>
      </w:r>
      <w:r>
        <w:t xml:space="preserve">toring. Program managers acknowledge difficulties in monitoring performance in PNG and this is reflected in a shift from stronger judgments to more moderate effectiveness ratings (ratings of ‘good or better’ effectiveness decreased from 55 per cent in 2011 to 23 per cent in 2012, while ratings of ‘satisfactory’ effectiveness increased from 39 per cent in 2011 to 74 per cent in 2012). </w:t>
      </w:r>
    </w:p>
    <w:p w14:paraId="0B70F71C" w14:textId="77777777" w:rsidR="00717847" w:rsidRDefault="00717847" w:rsidP="001864F1">
      <w:pPr>
        <w:pStyle w:val="BodyText"/>
      </w:pPr>
      <w:r>
        <w:t>In 2012, the QAI moderation team noted the following M&amp;E challenges for the PNG Program:</w:t>
      </w:r>
    </w:p>
    <w:p w14:paraId="0B70F71D" w14:textId="77777777" w:rsidR="00717847" w:rsidRPr="00C90857" w:rsidRDefault="00717847" w:rsidP="001864F1">
      <w:pPr>
        <w:pStyle w:val="ListBullet"/>
        <w:rPr>
          <w:szCs w:val="22"/>
        </w:rPr>
      </w:pPr>
      <w:r>
        <w:t xml:space="preserve">significant variation in the extent to which </w:t>
      </w:r>
      <w:r w:rsidRPr="00413E21">
        <w:t xml:space="preserve">M&amp;E systems across programs are generating the data necessary to monitor </w:t>
      </w:r>
      <w:r>
        <w:t xml:space="preserve">program </w:t>
      </w:r>
      <w:r w:rsidRPr="00413E21">
        <w:t xml:space="preserve">effectiveness </w:t>
      </w:r>
    </w:p>
    <w:p w14:paraId="0B70F71E" w14:textId="77777777" w:rsidR="00717847" w:rsidRPr="00C90857" w:rsidRDefault="00717847" w:rsidP="001864F1">
      <w:pPr>
        <w:pStyle w:val="ListBullet"/>
        <w:rPr>
          <w:szCs w:val="22"/>
        </w:rPr>
      </w:pPr>
      <w:r>
        <w:t xml:space="preserve">sector teams </w:t>
      </w:r>
      <w:r w:rsidRPr="00413E21">
        <w:t>regularly</w:t>
      </w:r>
      <w:r>
        <w:t xml:space="preserve"> and extensively collecting</w:t>
      </w:r>
      <w:r w:rsidRPr="00413E21">
        <w:t xml:space="preserve"> information from outside their stated M&amp;E systems </w:t>
      </w:r>
      <w:r>
        <w:t xml:space="preserve">to monitor progress, </w:t>
      </w:r>
      <w:r w:rsidRPr="00413E21">
        <w:t>bring</w:t>
      </w:r>
      <w:r>
        <w:t>ing</w:t>
      </w:r>
      <w:r w:rsidRPr="00413E21">
        <w:t xml:space="preserve"> into question the </w:t>
      </w:r>
      <w:r>
        <w:t>usefulness</w:t>
      </w:r>
      <w:r w:rsidRPr="00413E21">
        <w:t xml:space="preserve"> of some M&amp;E systems, and go</w:t>
      </w:r>
      <w:r>
        <w:t>ing</w:t>
      </w:r>
      <w:r w:rsidRPr="00413E21">
        <w:t xml:space="preserve"> some way to explaining the overall low scores against this criterion</w:t>
      </w:r>
    </w:p>
    <w:p w14:paraId="0B70F71F" w14:textId="77777777" w:rsidR="00717847" w:rsidRPr="00C90857" w:rsidRDefault="00717847" w:rsidP="001864F1">
      <w:pPr>
        <w:pStyle w:val="ListBullet"/>
        <w:rPr>
          <w:szCs w:val="22"/>
        </w:rPr>
      </w:pPr>
      <w:r>
        <w:t xml:space="preserve">the </w:t>
      </w:r>
      <w:r w:rsidRPr="00413E21">
        <w:t>operating environment</w:t>
      </w:r>
      <w:r>
        <w:t>, which can</w:t>
      </w:r>
      <w:r w:rsidRPr="00413E21">
        <w:t xml:space="preserve"> imped</w:t>
      </w:r>
      <w:r>
        <w:t>e</w:t>
      </w:r>
      <w:r w:rsidRPr="00413E21">
        <w:t xml:space="preserve"> the ability of teams to ded</w:t>
      </w:r>
      <w:r>
        <w:t>icate the time needed</w:t>
      </w:r>
      <w:r w:rsidRPr="00413E21">
        <w:t xml:space="preserve"> to monitor </w:t>
      </w:r>
      <w:r>
        <w:t>outcomes</w:t>
      </w:r>
    </w:p>
    <w:p w14:paraId="0B70F720" w14:textId="77777777" w:rsidR="00717847" w:rsidRDefault="00717847" w:rsidP="001864F1">
      <w:pPr>
        <w:pStyle w:val="ListBullet"/>
      </w:pPr>
      <w:r>
        <w:t>t</w:t>
      </w:r>
      <w:r w:rsidRPr="00413E21">
        <w:t>he</w:t>
      </w:r>
      <w:r>
        <w:t xml:space="preserve"> inconsistent availability and</w:t>
      </w:r>
      <w:r w:rsidRPr="00413E21">
        <w:t xml:space="preserve"> use of</w:t>
      </w:r>
      <w:r>
        <w:t xml:space="preserve"> credible</w:t>
      </w:r>
      <w:r w:rsidRPr="00413E21">
        <w:t xml:space="preserve"> statistical information</w:t>
      </w:r>
      <w:r>
        <w:t xml:space="preserve"> with data</w:t>
      </w:r>
      <w:r w:rsidRPr="00413E21">
        <w:t xml:space="preserve"> </w:t>
      </w:r>
      <w:r>
        <w:t xml:space="preserve">rarely disaggregated by gender </w:t>
      </w:r>
    </w:p>
    <w:p w14:paraId="0B70F721" w14:textId="77777777" w:rsidR="00717847" w:rsidRPr="00413E21" w:rsidRDefault="00717847" w:rsidP="001864F1">
      <w:pPr>
        <w:pStyle w:val="ListBullet"/>
      </w:pPr>
      <w:r>
        <w:t>the absence of</w:t>
      </w:r>
      <w:r w:rsidRPr="00413E21">
        <w:t xml:space="preserve"> disability disaggregated data provided in QAI reports</w:t>
      </w:r>
      <w:r>
        <w:t xml:space="preserve">. </w:t>
      </w:r>
      <w:r w:rsidRPr="00413E21">
        <w:t xml:space="preserve"> </w:t>
      </w:r>
    </w:p>
    <w:p w14:paraId="0B70F722" w14:textId="77777777" w:rsidR="00717847" w:rsidRDefault="00717847" w:rsidP="001864F1">
      <w:pPr>
        <w:pStyle w:val="BodyText"/>
      </w:pPr>
      <w:r w:rsidRPr="000E2A56">
        <w:t xml:space="preserve">More positively, a number of </w:t>
      </w:r>
      <w:r>
        <w:t xml:space="preserve">Australia’s </w:t>
      </w:r>
      <w:r w:rsidRPr="000E2A56">
        <w:t>sector</w:t>
      </w:r>
      <w:r w:rsidRPr="004161A9">
        <w:t xml:space="preserve"> programs have undertaken, or are planning</w:t>
      </w:r>
      <w:r>
        <w:t xml:space="preserve"> to undertake</w:t>
      </w:r>
      <w:r w:rsidRPr="004161A9">
        <w:t>, impact studies which will yield more useful data on program outcomes and impact. There are</w:t>
      </w:r>
      <w:r>
        <w:t xml:space="preserve"> also</w:t>
      </w:r>
      <w:r w:rsidRPr="004161A9">
        <w:t xml:space="preserve"> positive signs in PNG of an increasing awareness of, and a willingness to</w:t>
      </w:r>
      <w:r>
        <w:t>,</w:t>
      </w:r>
      <w:r w:rsidRPr="004161A9">
        <w:t xml:space="preserve"> improve </w:t>
      </w:r>
      <w:r>
        <w:t>M&amp;E</w:t>
      </w:r>
      <w:r w:rsidRPr="004161A9">
        <w:t>.</w:t>
      </w:r>
    </w:p>
    <w:p w14:paraId="0B70F723" w14:textId="77777777" w:rsidR="00717847" w:rsidRPr="001864F1" w:rsidRDefault="00717847" w:rsidP="001864F1">
      <w:pPr>
        <w:pStyle w:val="Heading1"/>
      </w:pPr>
      <w:r w:rsidRPr="001864F1">
        <w:t>Management consequences</w:t>
      </w:r>
    </w:p>
    <w:p w14:paraId="0B70F724" w14:textId="77777777" w:rsidR="00717847" w:rsidRPr="00CE3C3F" w:rsidRDefault="00717847" w:rsidP="001864F1">
      <w:pPr>
        <w:pStyle w:val="BodyText"/>
      </w:pPr>
      <w:r>
        <w:t xml:space="preserve">A number of </w:t>
      </w:r>
      <w:r w:rsidRPr="00CE3C3F">
        <w:t>priorities emerge</w:t>
      </w:r>
      <w:r>
        <w:t xml:space="preserve">d in Australia’s aid program to PNG in </w:t>
      </w:r>
      <w:r w:rsidRPr="00CE3C3F">
        <w:t>2012</w:t>
      </w:r>
      <w:r>
        <w:t>–</w:t>
      </w:r>
      <w:r w:rsidRPr="00CE3C3F">
        <w:t>13</w:t>
      </w:r>
      <w:r>
        <w:t xml:space="preserve"> that need</w:t>
      </w:r>
      <w:r w:rsidRPr="00CE3C3F">
        <w:t xml:space="preserve"> attention at senior and sector management levels.</w:t>
      </w:r>
    </w:p>
    <w:p w14:paraId="0B70F725" w14:textId="77777777" w:rsidR="00717847" w:rsidRPr="00CE3C3F" w:rsidRDefault="00717847" w:rsidP="001864F1">
      <w:pPr>
        <w:pStyle w:val="BodyText"/>
      </w:pPr>
      <w:r>
        <w:t>Australia</w:t>
      </w:r>
      <w:r w:rsidRPr="00CE3C3F">
        <w:t xml:space="preserve"> will:</w:t>
      </w:r>
    </w:p>
    <w:p w14:paraId="0B70F726" w14:textId="77777777" w:rsidR="00717847" w:rsidRPr="00841EE1" w:rsidRDefault="00717847" w:rsidP="001864F1">
      <w:pPr>
        <w:pStyle w:val="ListNumber"/>
        <w:numPr>
          <w:ilvl w:val="0"/>
          <w:numId w:val="78"/>
        </w:numPr>
      </w:pPr>
      <w:r>
        <w:t>Complete a</w:t>
      </w:r>
      <w:r w:rsidRPr="00841EE1">
        <w:t xml:space="preserve"> </w:t>
      </w:r>
      <w:r>
        <w:t>c</w:t>
      </w:r>
      <w:r w:rsidRPr="00841EE1">
        <w:t xml:space="preserve">ountry </w:t>
      </w:r>
      <w:r>
        <w:t>s</w:t>
      </w:r>
      <w:r w:rsidRPr="00841EE1">
        <w:t xml:space="preserve">ituation </w:t>
      </w:r>
      <w:r>
        <w:t>a</w:t>
      </w:r>
      <w:r w:rsidRPr="00841EE1">
        <w:t xml:space="preserve">nalysis and associated analytical work to </w:t>
      </w:r>
      <w:r>
        <w:t xml:space="preserve">consider the </w:t>
      </w:r>
      <w:r w:rsidRPr="00841EE1">
        <w:t>PNG country context</w:t>
      </w:r>
      <w:r>
        <w:t xml:space="preserve"> and inform</w:t>
      </w:r>
      <w:r w:rsidRPr="00841EE1">
        <w:t xml:space="preserve"> </w:t>
      </w:r>
      <w:r>
        <w:t>discussions between the Australian and</w:t>
      </w:r>
      <w:r w:rsidRPr="00841EE1">
        <w:t xml:space="preserve"> PNG </w:t>
      </w:r>
      <w:r>
        <w:t>g</w:t>
      </w:r>
      <w:r w:rsidRPr="00841EE1">
        <w:t>overnment</w:t>
      </w:r>
      <w:r>
        <w:t>s</w:t>
      </w:r>
      <w:r w:rsidRPr="00841EE1">
        <w:t xml:space="preserve"> and other donors. The </w:t>
      </w:r>
      <w:r>
        <w:t>situation analysis</w:t>
      </w:r>
      <w:r w:rsidRPr="00841EE1">
        <w:t xml:space="preserve"> is an Australian </w:t>
      </w:r>
      <w:r>
        <w:t>G</w:t>
      </w:r>
      <w:r w:rsidRPr="00841EE1">
        <w:t>overnment tool used to inform high-level development assistance priorities.</w:t>
      </w:r>
      <w:r>
        <w:t xml:space="preserve"> Based on wide consultation and assessment of development, it will inform the program’s future direction.</w:t>
      </w:r>
      <w:r w:rsidRPr="00841EE1">
        <w:t xml:space="preserve"> </w:t>
      </w:r>
    </w:p>
    <w:p w14:paraId="0B70F727" w14:textId="77777777" w:rsidR="001864F1" w:rsidRPr="001864F1" w:rsidRDefault="00717847" w:rsidP="001864F1">
      <w:pPr>
        <w:pStyle w:val="ListNumber"/>
      </w:pPr>
      <w:r>
        <w:t xml:space="preserve">Continue to work on jointly identifying and supporting agreed priorities through the budget engagement process in 2013. Australia will provide technical assistance to PNG for proposed budget reforms (including introducing multi-year budgeting and integrating development and recurrent budgets). </w:t>
      </w:r>
    </w:p>
    <w:p w14:paraId="0B70F728" w14:textId="77777777" w:rsidR="00717847" w:rsidRPr="00841EE1" w:rsidRDefault="00717847" w:rsidP="001864F1">
      <w:pPr>
        <w:pStyle w:val="ListNumber"/>
      </w:pPr>
      <w:r w:rsidRPr="00841EE1">
        <w:t xml:space="preserve">Progress a reform agenda with the Government of PNG to support </w:t>
      </w:r>
      <w:r>
        <w:t xml:space="preserve">improved </w:t>
      </w:r>
      <w:r w:rsidRPr="00841EE1">
        <w:t xml:space="preserve">service delivery outcomes for </w:t>
      </w:r>
      <w:r>
        <w:t>Papua New Guineans,</w:t>
      </w:r>
      <w:r w:rsidRPr="00841EE1">
        <w:t xml:space="preserve"> including</w:t>
      </w:r>
      <w:r>
        <w:t xml:space="preserve"> through</w:t>
      </w:r>
      <w:r w:rsidRPr="00841EE1">
        <w:t>:</w:t>
      </w:r>
    </w:p>
    <w:p w14:paraId="0B70F729" w14:textId="77777777" w:rsidR="00717847" w:rsidRPr="00841EE1" w:rsidRDefault="00717847" w:rsidP="001864F1">
      <w:pPr>
        <w:pStyle w:val="ListBullet2"/>
      </w:pPr>
      <w:r w:rsidRPr="00841EE1">
        <w:t>procurement systems reform</w:t>
      </w:r>
    </w:p>
    <w:p w14:paraId="0B70F72A" w14:textId="77777777" w:rsidR="00717847" w:rsidRPr="00841EE1" w:rsidRDefault="00717847" w:rsidP="001864F1">
      <w:pPr>
        <w:pStyle w:val="ListBullet2"/>
      </w:pPr>
      <w:r w:rsidRPr="00841EE1">
        <w:t xml:space="preserve">greater, more targeted and effective investment in PNG’s service delivery workforce </w:t>
      </w:r>
    </w:p>
    <w:p w14:paraId="0B70F72B" w14:textId="77777777" w:rsidR="00717847" w:rsidRPr="00841EE1" w:rsidRDefault="00717847" w:rsidP="001864F1">
      <w:pPr>
        <w:pStyle w:val="ListBullet2"/>
      </w:pPr>
      <w:r w:rsidRPr="00841EE1">
        <w:t>strengthened sub-national capacity to spend increased budgets effectively</w:t>
      </w:r>
    </w:p>
    <w:p w14:paraId="0B70F72C" w14:textId="77777777" w:rsidR="00717847" w:rsidRPr="00841EE1" w:rsidRDefault="00717847" w:rsidP="001864F1">
      <w:pPr>
        <w:pStyle w:val="ListBullet2"/>
      </w:pPr>
      <w:r w:rsidRPr="00841EE1">
        <w:t>minimis</w:t>
      </w:r>
      <w:r>
        <w:t>ed</w:t>
      </w:r>
      <w:r w:rsidRPr="00841EE1">
        <w:t xml:space="preserve"> risks and maximis</w:t>
      </w:r>
      <w:r>
        <w:t>ed</w:t>
      </w:r>
      <w:r w:rsidRPr="00841EE1">
        <w:t xml:space="preserve"> opportunities </w:t>
      </w:r>
      <w:r>
        <w:t>in</w:t>
      </w:r>
      <w:r w:rsidRPr="00841EE1">
        <w:t xml:space="preserve"> </w:t>
      </w:r>
      <w:r>
        <w:t xml:space="preserve">the </w:t>
      </w:r>
      <w:r w:rsidRPr="00841EE1">
        <w:t>Go</w:t>
      </w:r>
      <w:r>
        <w:t xml:space="preserve">vernment of </w:t>
      </w:r>
      <w:r w:rsidRPr="00841EE1">
        <w:t>PNG’s infrastructure and education agendas</w:t>
      </w:r>
    </w:p>
    <w:p w14:paraId="0B70F72D" w14:textId="77777777" w:rsidR="00717847" w:rsidRDefault="00717847" w:rsidP="001864F1">
      <w:pPr>
        <w:pStyle w:val="ListBullet2"/>
      </w:pPr>
      <w:r w:rsidRPr="00841EE1">
        <w:t>greater progress on anti-corruption.</w:t>
      </w:r>
    </w:p>
    <w:p w14:paraId="0B70F72E" w14:textId="77777777" w:rsidR="00717847" w:rsidRPr="00841EE1" w:rsidRDefault="00717847" w:rsidP="001864F1">
      <w:pPr>
        <w:pStyle w:val="ListNumber"/>
      </w:pPr>
      <w:r w:rsidRPr="00841EE1">
        <w:t>Embed deeper poverty impact analysis to inform better programming decisions.</w:t>
      </w:r>
    </w:p>
    <w:p w14:paraId="0B70F72F" w14:textId="550DD62B" w:rsidR="00717847" w:rsidRDefault="00717847" w:rsidP="001864F1">
      <w:pPr>
        <w:pStyle w:val="ListNumber"/>
      </w:pPr>
      <w:r w:rsidRPr="00841EE1">
        <w:t xml:space="preserve">Continue to strengthen </w:t>
      </w:r>
      <w:r w:rsidR="005C4C48">
        <w:t>the department</w:t>
      </w:r>
      <w:r>
        <w:t xml:space="preserve">’s </w:t>
      </w:r>
      <w:r w:rsidRPr="00841EE1">
        <w:t xml:space="preserve">analytical capability </w:t>
      </w:r>
      <w:r>
        <w:t>to better</w:t>
      </w:r>
      <w:r w:rsidRPr="00841EE1">
        <w:t>:</w:t>
      </w:r>
    </w:p>
    <w:p w14:paraId="0B70F730" w14:textId="77777777" w:rsidR="00717847" w:rsidRPr="00CE3C3F" w:rsidRDefault="00717847" w:rsidP="001864F1">
      <w:pPr>
        <w:pStyle w:val="ListBullet2"/>
      </w:pPr>
      <w:r>
        <w:t xml:space="preserve">engage in </w:t>
      </w:r>
      <w:r w:rsidRPr="00CE3C3F">
        <w:t xml:space="preserve">economic policy </w:t>
      </w:r>
      <w:r>
        <w:t>discussion with the PNG Government</w:t>
      </w:r>
      <w:r w:rsidRPr="00CE3C3F">
        <w:t xml:space="preserve"> </w:t>
      </w:r>
    </w:p>
    <w:p w14:paraId="0B70F731" w14:textId="77777777" w:rsidR="00717847" w:rsidRPr="00386676" w:rsidRDefault="00717847" w:rsidP="001864F1">
      <w:pPr>
        <w:pStyle w:val="ListBullet2"/>
      </w:pPr>
      <w:r>
        <w:t>improve</w:t>
      </w:r>
      <w:r w:rsidRPr="00386676">
        <w:t xml:space="preserve"> </w:t>
      </w:r>
      <w:r>
        <w:t xml:space="preserve">understanding of the </w:t>
      </w:r>
      <w:r w:rsidRPr="00386676">
        <w:t xml:space="preserve">political economy </w:t>
      </w:r>
      <w:r>
        <w:t xml:space="preserve">to </w:t>
      </w:r>
      <w:r w:rsidRPr="00386676">
        <w:t>identify where there is political will to support reforms</w:t>
      </w:r>
      <w:r w:rsidRPr="00386676">
        <w:rPr>
          <w:i/>
          <w:iCs/>
        </w:rPr>
        <w:t xml:space="preserve"> </w:t>
      </w:r>
      <w:r w:rsidRPr="004161A9">
        <w:rPr>
          <w:iCs/>
        </w:rPr>
        <w:t>and where Australia can opportunistically engage</w:t>
      </w:r>
      <w:r w:rsidRPr="00386676">
        <w:t xml:space="preserve"> </w:t>
      </w:r>
    </w:p>
    <w:p w14:paraId="0B70F732" w14:textId="77777777" w:rsidR="00717847" w:rsidRPr="001864F1" w:rsidRDefault="00717847" w:rsidP="001864F1">
      <w:pPr>
        <w:pStyle w:val="ListBullet2"/>
      </w:pPr>
      <w:r>
        <w:t>identify opportunities to support civil society to work more effectively with the PNG Government</w:t>
      </w:r>
      <w:r w:rsidRPr="00CE3C3F">
        <w:t>.</w:t>
      </w:r>
    </w:p>
    <w:p w14:paraId="0B70F733" w14:textId="77777777" w:rsidR="001864F1" w:rsidRDefault="00717847" w:rsidP="001864F1">
      <w:pPr>
        <w:pStyle w:val="ListNumber"/>
      </w:pPr>
      <w:r>
        <w:t>Prioritise partnerships with civil society, NGOs, the private sector and other coalitions to support drivers of positive change in PNG.</w:t>
      </w:r>
      <w:r w:rsidR="001864F1">
        <w:t xml:space="preserve"> </w:t>
      </w:r>
    </w:p>
    <w:p w14:paraId="0B70F734" w14:textId="77777777" w:rsidR="00717847" w:rsidRDefault="00717847" w:rsidP="001864F1">
      <w:pPr>
        <w:pStyle w:val="ListNumber"/>
      </w:pPr>
      <w:r>
        <w:t>Introduce regular coordination mechanisms between Australia’s governance and sector programs, to ensure investments complement one another and ultimately reduce poverty.</w:t>
      </w:r>
    </w:p>
    <w:p w14:paraId="0B70F735" w14:textId="77777777" w:rsidR="00717847" w:rsidRDefault="00717847" w:rsidP="001864F1">
      <w:pPr>
        <w:pStyle w:val="ListNumber"/>
      </w:pPr>
      <w:r>
        <w:t xml:space="preserve">Strengthen coordination mechanisms between Australia and other donors to ensure policy messages and investments complement one another. </w:t>
      </w:r>
    </w:p>
    <w:p w14:paraId="0B70F736" w14:textId="0EDE0604" w:rsidR="00717847" w:rsidRDefault="00717847" w:rsidP="001864F1">
      <w:pPr>
        <w:pStyle w:val="ListNumber"/>
      </w:pPr>
      <w:r>
        <w:t xml:space="preserve">Continue to strengthen the M&amp;E capacity and systems of </w:t>
      </w:r>
      <w:r w:rsidR="005C4C48">
        <w:t>DFAT</w:t>
      </w:r>
      <w:r>
        <w:t>, other Australian Government agencies and the PNG Government. This will include steps to measure program impact and outcomes. It will also support a whole-of-PNG-government commitment to improved monitoring and data collection.</w:t>
      </w:r>
    </w:p>
    <w:p w14:paraId="0B70F737" w14:textId="77777777" w:rsidR="00717847" w:rsidRDefault="00717847" w:rsidP="001864F1">
      <w:pPr>
        <w:pStyle w:val="ListNumber"/>
      </w:pPr>
      <w:r>
        <w:t>C</w:t>
      </w:r>
      <w:r w:rsidRPr="00B240D3">
        <w:t xml:space="preserve">omplete </w:t>
      </w:r>
      <w:r>
        <w:t>a</w:t>
      </w:r>
      <w:r w:rsidRPr="00B240D3">
        <w:t xml:space="preserve"> </w:t>
      </w:r>
      <w:r>
        <w:t>performance assessment framework</w:t>
      </w:r>
      <w:r w:rsidRPr="00B240D3">
        <w:t xml:space="preserve"> </w:t>
      </w:r>
      <w:r>
        <w:t>by December 2013,</w:t>
      </w:r>
      <w:r w:rsidRPr="00B240D3">
        <w:t xml:space="preserve"> in consultation with the PNG Government</w:t>
      </w:r>
      <w:r>
        <w:t xml:space="preserve">, to support joint performance monitoring against partnership targets. </w:t>
      </w:r>
    </w:p>
    <w:p w14:paraId="0B70F738" w14:textId="77777777" w:rsidR="00717847" w:rsidRPr="001864F1" w:rsidRDefault="00717847" w:rsidP="001864F1">
      <w:pPr>
        <w:pStyle w:val="ListNumber"/>
      </w:pPr>
      <w:r>
        <w:t xml:space="preserve">Continue to hold high-level discussions with the PNG Government on the </w:t>
      </w:r>
      <w:r w:rsidRPr="000F7284">
        <w:rPr>
          <w:rFonts w:cstheme="minorHAnsi"/>
          <w:szCs w:val="22"/>
        </w:rPr>
        <w:t>Infrastructure Development Authority</w:t>
      </w:r>
      <w:r>
        <w:t xml:space="preserve">, </w:t>
      </w:r>
      <w:r w:rsidRPr="002845B1">
        <w:rPr>
          <w:szCs w:val="22"/>
        </w:rPr>
        <w:t>Sovereign Wealth Fu</w:t>
      </w:r>
      <w:r w:rsidRPr="002A12F2">
        <w:rPr>
          <w:szCs w:val="22"/>
        </w:rPr>
        <w:t>nd</w:t>
      </w:r>
      <w:r>
        <w:t xml:space="preserve"> and Independent Health Procurement Authority, and provide technical assistance to ensure the effective planning and implementation of these mechanisms. </w:t>
      </w:r>
    </w:p>
    <w:p w14:paraId="0B70F739" w14:textId="77777777" w:rsidR="00717847" w:rsidRPr="00CE3C3F" w:rsidRDefault="00717847" w:rsidP="001864F1">
      <w:pPr>
        <w:pStyle w:val="BodyText"/>
      </w:pPr>
      <w:r w:rsidRPr="00CE3C3F">
        <w:t>In addition to these priorities, a number of sector management priorities</w:t>
      </w:r>
      <w:r>
        <w:t xml:space="preserve"> have emerged</w:t>
      </w:r>
      <w:r w:rsidRPr="00CE3C3F">
        <w:t xml:space="preserve"> for 2013</w:t>
      </w:r>
      <w:r>
        <w:t>–</w:t>
      </w:r>
      <w:r w:rsidRPr="00CE3C3F">
        <w:t>14, including</w:t>
      </w:r>
      <w:r>
        <w:t xml:space="preserve"> in the following areas.</w:t>
      </w:r>
      <w:r w:rsidRPr="00CE3C3F">
        <w:t xml:space="preserve"> </w:t>
      </w:r>
    </w:p>
    <w:p w14:paraId="0B70F73A" w14:textId="77777777" w:rsidR="00717847" w:rsidRPr="00447D0E" w:rsidRDefault="00717847" w:rsidP="001864F1">
      <w:pPr>
        <w:pStyle w:val="ListNumber"/>
        <w:numPr>
          <w:ilvl w:val="0"/>
          <w:numId w:val="79"/>
        </w:numPr>
      </w:pPr>
      <w:r w:rsidRPr="001864F1">
        <w:rPr>
          <w:i/>
        </w:rPr>
        <w:t>Health—</w:t>
      </w:r>
      <w:r>
        <w:t>Developing</w:t>
      </w:r>
      <w:r w:rsidRPr="00841EE1">
        <w:t xml:space="preserve"> </w:t>
      </w:r>
      <w:r>
        <w:t>whole-of-government</w:t>
      </w:r>
      <w:r w:rsidRPr="00841EE1">
        <w:t xml:space="preserve"> strategies for financing and </w:t>
      </w:r>
      <w:r>
        <w:t xml:space="preserve">reforming </w:t>
      </w:r>
      <w:r w:rsidRPr="00841EE1">
        <w:t>medical supply; deploying technical assistance to priority provinces; and addressing performance of multilateral partners through high-level forums.</w:t>
      </w:r>
      <w:r>
        <w:t xml:space="preserve"> Continuing to advocate for the PNG Government to prioritise and adequately fund its National TB </w:t>
      </w:r>
      <w:r w:rsidR="00352B18">
        <w:t xml:space="preserve">Strategy. </w:t>
      </w:r>
    </w:p>
    <w:p w14:paraId="0B70F73B" w14:textId="77777777" w:rsidR="00717847" w:rsidRPr="00447D0E" w:rsidRDefault="00717847" w:rsidP="001864F1">
      <w:pPr>
        <w:pStyle w:val="ListNumber"/>
        <w:numPr>
          <w:ilvl w:val="0"/>
          <w:numId w:val="79"/>
        </w:numPr>
      </w:pPr>
      <w:r w:rsidRPr="001864F1">
        <w:rPr>
          <w:i/>
        </w:rPr>
        <w:t>Education</w:t>
      </w:r>
      <w:r>
        <w:t>—</w:t>
      </w:r>
      <w:r w:rsidRPr="00447D0E">
        <w:t>Through regular discussion</w:t>
      </w:r>
      <w:r>
        <w:t>s</w:t>
      </w:r>
      <w:r w:rsidRPr="00447D0E">
        <w:t xml:space="preserve"> between senior Australian and PNG </w:t>
      </w:r>
      <w:r>
        <w:t>g</w:t>
      </w:r>
      <w:r w:rsidRPr="00447D0E">
        <w:t>overnment officials, Australia will:</w:t>
      </w:r>
    </w:p>
    <w:p w14:paraId="0B70F73C" w14:textId="77777777" w:rsidR="00717847" w:rsidRPr="00447D0E" w:rsidRDefault="00717847" w:rsidP="001864F1">
      <w:pPr>
        <w:pStyle w:val="ListNumber2"/>
      </w:pPr>
      <w:r w:rsidRPr="00447D0E">
        <w:t xml:space="preserve">Progress a basic and secondary education quality agenda </w:t>
      </w:r>
      <w:r>
        <w:t>focusing on</w:t>
      </w:r>
      <w:r w:rsidRPr="00447D0E">
        <w:t xml:space="preserve"> critical issues such as training teacher</w:t>
      </w:r>
      <w:r>
        <w:t>s</w:t>
      </w:r>
      <w:r w:rsidRPr="00447D0E">
        <w:t>, developing curriculum and enhancing accountability of the School Subsidies Scheme. Australia will contract M&amp;E for the Education Program to improve collection of program performance data</w:t>
      </w:r>
      <w:r>
        <w:t xml:space="preserve">. </w:t>
      </w:r>
      <w:r w:rsidRPr="00447D0E">
        <w:t xml:space="preserve"> </w:t>
      </w:r>
    </w:p>
    <w:p w14:paraId="0B70F73D" w14:textId="77777777" w:rsidR="00717847" w:rsidRPr="001864F1" w:rsidRDefault="00717847" w:rsidP="001864F1">
      <w:pPr>
        <w:pStyle w:val="ListNumber2"/>
      </w:pPr>
      <w:r w:rsidRPr="00447D0E">
        <w:t>Support PNG’s quality agenda for higher education and discuss ways to support post</w:t>
      </w:r>
      <w:r w:rsidRPr="00447D0E">
        <w:noBreakHyphen/>
        <w:t xml:space="preserve">secondary institutions to expand places to </w:t>
      </w:r>
      <w:r>
        <w:t>better meet demand</w:t>
      </w:r>
      <w:r w:rsidRPr="00447D0E">
        <w:t>, subject to quality assessments. This approach will make use of existing institutions, allow steady building of academic capacity and provide sufficient time to improve institutional readiness for increased enrolments.</w:t>
      </w:r>
    </w:p>
    <w:p w14:paraId="0B70F73E" w14:textId="76998B7C" w:rsidR="00717847" w:rsidRPr="00841EE1" w:rsidRDefault="00717847" w:rsidP="001864F1">
      <w:pPr>
        <w:pStyle w:val="ListNumber"/>
      </w:pPr>
      <w:r w:rsidRPr="00447D0E">
        <w:rPr>
          <w:i/>
        </w:rPr>
        <w:t>Law and justice—</w:t>
      </w:r>
      <w:r w:rsidRPr="00447D0E">
        <w:t>Developing a whole-of-government sector delivery strategy to frame the designs of new programs for Australia’s support to this sector throug</w:t>
      </w:r>
      <w:r>
        <w:t>h three agencies—</w:t>
      </w:r>
      <w:r w:rsidR="005C4C48">
        <w:t>the Depar</w:t>
      </w:r>
      <w:r w:rsidR="00311C88">
        <w:t>t</w:t>
      </w:r>
      <w:r w:rsidR="005C4C48">
        <w:t>ment of Foreign Affairs and Trade</w:t>
      </w:r>
      <w:r>
        <w:t>, Australian Federal Police and Attorney General’s Department. These agencies will share a focus on supporting the delivery</w:t>
      </w:r>
      <w:r w:rsidRPr="00841EE1">
        <w:t xml:space="preserve"> </w:t>
      </w:r>
      <w:r>
        <w:t xml:space="preserve">of </w:t>
      </w:r>
      <w:r w:rsidRPr="00841EE1">
        <w:t xml:space="preserve">more effective </w:t>
      </w:r>
      <w:r>
        <w:t xml:space="preserve">law and justice </w:t>
      </w:r>
      <w:r w:rsidRPr="00841EE1">
        <w:t xml:space="preserve">services to </w:t>
      </w:r>
      <w:r>
        <w:t>Papua New Guineans</w:t>
      </w:r>
      <w:r w:rsidRPr="00841EE1">
        <w:t>, reduc</w:t>
      </w:r>
      <w:r>
        <w:t>ing</w:t>
      </w:r>
      <w:r w:rsidRPr="00841EE1">
        <w:t xml:space="preserve"> the impact of violence and conflict</w:t>
      </w:r>
      <w:r>
        <w:t xml:space="preserve">. They will also focus on </w:t>
      </w:r>
      <w:r w:rsidRPr="00841EE1">
        <w:t>improv</w:t>
      </w:r>
      <w:r>
        <w:t>ing M&amp;E</w:t>
      </w:r>
      <w:r w:rsidRPr="00841EE1">
        <w:t xml:space="preserve"> of sector impacts</w:t>
      </w:r>
      <w:r>
        <w:t xml:space="preserve">. </w:t>
      </w:r>
    </w:p>
    <w:p w14:paraId="0B70F73F" w14:textId="77777777" w:rsidR="00717847" w:rsidRDefault="00717847" w:rsidP="001864F1">
      <w:pPr>
        <w:pStyle w:val="ListNumber"/>
      </w:pPr>
      <w:r w:rsidRPr="009C18DD">
        <w:rPr>
          <w:i/>
        </w:rPr>
        <w:t xml:space="preserve">Transport </w:t>
      </w:r>
      <w:r>
        <w:rPr>
          <w:i/>
        </w:rPr>
        <w:t>i</w:t>
      </w:r>
      <w:r w:rsidRPr="009C18DD">
        <w:rPr>
          <w:i/>
        </w:rPr>
        <w:t>nfrastructure</w:t>
      </w:r>
      <w:r>
        <w:rPr>
          <w:i/>
        </w:rPr>
        <w:t>—</w:t>
      </w:r>
      <w:r w:rsidRPr="00841EE1">
        <w:t>Advocat</w:t>
      </w:r>
      <w:r>
        <w:t>ing</w:t>
      </w:r>
      <w:r w:rsidRPr="00841EE1">
        <w:t xml:space="preserve"> for more </w:t>
      </w:r>
      <w:r>
        <w:t xml:space="preserve">PNG government </w:t>
      </w:r>
      <w:r w:rsidRPr="00841EE1">
        <w:t>recurrent funding for road maintenance; address</w:t>
      </w:r>
      <w:r>
        <w:t>ing issues with the predictability of</w:t>
      </w:r>
      <w:r w:rsidRPr="00841EE1">
        <w:t xml:space="preserve"> multi-year fund</w:t>
      </w:r>
      <w:r>
        <w:t>ing</w:t>
      </w:r>
      <w:r w:rsidRPr="00841EE1">
        <w:t xml:space="preserve"> flow</w:t>
      </w:r>
      <w:r>
        <w:t>s</w:t>
      </w:r>
      <w:r w:rsidRPr="00841EE1">
        <w:t xml:space="preserve"> and systemic procurement constraints</w:t>
      </w:r>
      <w:r>
        <w:t xml:space="preserve">; </w:t>
      </w:r>
      <w:r w:rsidRPr="00841EE1">
        <w:t>secur</w:t>
      </w:r>
      <w:r>
        <w:t>ing</w:t>
      </w:r>
      <w:r w:rsidRPr="00841EE1">
        <w:t xml:space="preserve"> commitment to enhanced performance monitoring of road maintenance</w:t>
      </w:r>
      <w:r>
        <w:t>;</w:t>
      </w:r>
      <w:r w:rsidRPr="00841EE1">
        <w:t xml:space="preserve"> improv</w:t>
      </w:r>
      <w:r>
        <w:t>ing</w:t>
      </w:r>
      <w:r w:rsidRPr="00841EE1">
        <w:t xml:space="preserve"> procurement </w:t>
      </w:r>
      <w:r>
        <w:t xml:space="preserve">processes and road safety; and ensuring Australia has </w:t>
      </w:r>
      <w:r w:rsidRPr="00841EE1">
        <w:t>capacity to manage larg</w:t>
      </w:r>
      <w:r>
        <w:t>e</w:t>
      </w:r>
      <w:r w:rsidRPr="00841EE1">
        <w:t xml:space="preserve"> infrastructure projects and associated procurement reforms</w:t>
      </w:r>
      <w:r>
        <w:t>.</w:t>
      </w:r>
    </w:p>
    <w:p w14:paraId="0B70F740" w14:textId="77777777" w:rsidR="00717847" w:rsidRPr="00841EE1" w:rsidRDefault="00717847" w:rsidP="001864F1">
      <w:pPr>
        <w:pStyle w:val="ListNumber"/>
      </w:pPr>
      <w:r w:rsidRPr="009C18DD">
        <w:rPr>
          <w:i/>
        </w:rPr>
        <w:t>Governance</w:t>
      </w:r>
      <w:r>
        <w:rPr>
          <w:i/>
        </w:rPr>
        <w:t>—</w:t>
      </w:r>
      <w:r w:rsidRPr="00841EE1">
        <w:t>Implement</w:t>
      </w:r>
      <w:r>
        <w:t>ing</w:t>
      </w:r>
      <w:r w:rsidRPr="00841EE1">
        <w:t xml:space="preserve"> a new governance strategy </w:t>
      </w:r>
      <w:r>
        <w:t>including: focusing more on</w:t>
      </w:r>
      <w:r w:rsidRPr="00841EE1">
        <w:t xml:space="preserve"> service delivery </w:t>
      </w:r>
      <w:r>
        <w:t>bottlenecks;</w:t>
      </w:r>
      <w:r w:rsidRPr="00841EE1">
        <w:t xml:space="preserve"> </w:t>
      </w:r>
      <w:r>
        <w:t xml:space="preserve">developing </w:t>
      </w:r>
      <w:r w:rsidRPr="00841EE1">
        <w:t>in</w:t>
      </w:r>
      <w:r>
        <w:t>centives and accountability;</w:t>
      </w:r>
      <w:r w:rsidRPr="00841EE1">
        <w:t xml:space="preserve"> expan</w:t>
      </w:r>
      <w:r>
        <w:t>ding</w:t>
      </w:r>
      <w:r w:rsidRPr="00841EE1">
        <w:t xml:space="preserve"> community</w:t>
      </w:r>
      <w:r>
        <w:t>-</w:t>
      </w:r>
      <w:r w:rsidRPr="00841EE1">
        <w:t>level governance interventions; and redesign</w:t>
      </w:r>
      <w:r>
        <w:t xml:space="preserve">ing </w:t>
      </w:r>
      <w:r w:rsidRPr="00841EE1">
        <w:t xml:space="preserve">Australian electoral assistance. </w:t>
      </w:r>
      <w:r>
        <w:t>We will develop the new governance strategy in consultation with government and non-government actors using an approach that works within and beyond government.</w:t>
      </w:r>
    </w:p>
    <w:p w14:paraId="0B70F741" w14:textId="77777777" w:rsidR="00717847" w:rsidRDefault="00717847" w:rsidP="001864F1">
      <w:pPr>
        <w:pStyle w:val="ListNumber"/>
      </w:pPr>
      <w:r w:rsidRPr="004161A9">
        <w:rPr>
          <w:i/>
        </w:rPr>
        <w:t>Gender</w:t>
      </w:r>
      <w:r>
        <w:rPr>
          <w:i/>
        </w:rPr>
        <w:t>—</w:t>
      </w:r>
      <w:r>
        <w:t xml:space="preserve">More directly emphasising gender equality in sector strategies and making gender a more explicit objective in each Partnership for Development schedule. </w:t>
      </w:r>
      <w:r w:rsidRPr="00841EE1">
        <w:t>Advocat</w:t>
      </w:r>
      <w:r>
        <w:t>ing</w:t>
      </w:r>
      <w:r w:rsidRPr="00841EE1">
        <w:t xml:space="preserve"> for greater PNG </w:t>
      </w:r>
      <w:r>
        <w:t xml:space="preserve">Government </w:t>
      </w:r>
      <w:r w:rsidRPr="00841EE1">
        <w:t xml:space="preserve">budget commitment to gender equality interventions; </w:t>
      </w:r>
      <w:r>
        <w:t xml:space="preserve">applying </w:t>
      </w:r>
      <w:r w:rsidRPr="00841EE1">
        <w:t xml:space="preserve">greater scrutiny </w:t>
      </w:r>
      <w:r>
        <w:t>to</w:t>
      </w:r>
      <w:r w:rsidRPr="00841EE1">
        <w:t xml:space="preserve"> </w:t>
      </w:r>
      <w:r>
        <w:t xml:space="preserve">the </w:t>
      </w:r>
      <w:r w:rsidRPr="00841EE1">
        <w:t>implement</w:t>
      </w:r>
      <w:r>
        <w:t>ation of</w:t>
      </w:r>
      <w:r w:rsidRPr="00841EE1">
        <w:t xml:space="preserve"> agreed interventions; and improv</w:t>
      </w:r>
      <w:r>
        <w:t xml:space="preserve">ing our </w:t>
      </w:r>
      <w:r w:rsidRPr="00841EE1">
        <w:t>coordination and capacity for effective gender equality interventions in PNG.</w:t>
      </w:r>
    </w:p>
    <w:p w14:paraId="0B70F742" w14:textId="77777777" w:rsidR="00717847" w:rsidRPr="001864F1" w:rsidRDefault="00717847" w:rsidP="00717847">
      <w:pPr>
        <w:pStyle w:val="ListNumber"/>
      </w:pPr>
      <w:r w:rsidRPr="004161A9">
        <w:rPr>
          <w:i/>
        </w:rPr>
        <w:t>Bougainville</w:t>
      </w:r>
      <w:r>
        <w:rPr>
          <w:i/>
        </w:rPr>
        <w:t>—</w:t>
      </w:r>
      <w:r>
        <w:t>Improving coordination between sector programs and the Bougainville Aid Framework to ensure programs are adapted to the Bougainville context. Monitoring progress against target outcomes in Bougainville;</w:t>
      </w:r>
      <w:r w:rsidRPr="0048469A">
        <w:t xml:space="preserve"> </w:t>
      </w:r>
      <w:r>
        <w:t>and e</w:t>
      </w:r>
      <w:r w:rsidRPr="0048469A">
        <w:t xml:space="preserve">xpanding </w:t>
      </w:r>
      <w:r>
        <w:t xml:space="preserve">the program’s </w:t>
      </w:r>
      <w:r w:rsidRPr="0048469A">
        <w:t xml:space="preserve">focus from reconstruction and peace-building to </w:t>
      </w:r>
      <w:r>
        <w:t xml:space="preserve">include </w:t>
      </w:r>
      <w:r w:rsidRPr="0048469A">
        <w:t xml:space="preserve">stronger </w:t>
      </w:r>
      <w:r>
        <w:t xml:space="preserve">emphasis </w:t>
      </w:r>
      <w:r w:rsidRPr="0048469A">
        <w:t xml:space="preserve">on </w:t>
      </w:r>
      <w:r>
        <w:t xml:space="preserve">enhancing </w:t>
      </w:r>
      <w:r w:rsidRPr="0048469A">
        <w:t>service delivery</w:t>
      </w:r>
      <w:r>
        <w:t xml:space="preserve"> in Bougainville. </w:t>
      </w:r>
    </w:p>
    <w:p w14:paraId="0B70F743" w14:textId="77777777" w:rsidR="00717847" w:rsidRPr="00CE3C3F" w:rsidRDefault="00717847" w:rsidP="001864F1">
      <w:pPr>
        <w:pStyle w:val="BodyText"/>
      </w:pPr>
      <w:r w:rsidRPr="00CE3C3F">
        <w:t>Progress against 2011 management consequences is reported</w:t>
      </w:r>
      <w:r>
        <w:t xml:space="preserve"> on in</w:t>
      </w:r>
      <w:r w:rsidRPr="00CE3C3F">
        <w:t xml:space="preserve"> Annex </w:t>
      </w:r>
      <w:r>
        <w:t>A</w:t>
      </w:r>
      <w:r w:rsidRPr="00CE3C3F">
        <w:t>.</w:t>
      </w:r>
    </w:p>
    <w:p w14:paraId="55DB2513" w14:textId="77777777" w:rsidR="001E7728" w:rsidRDefault="001E7728">
      <w:pPr>
        <w:spacing w:after="200" w:line="276" w:lineRule="auto"/>
        <w:rPr>
          <w:rFonts w:ascii="Arial" w:eastAsia="Times New Roman" w:hAnsi="Arial" w:cs="Arial"/>
          <w:color w:val="7E6D5F"/>
          <w:szCs w:val="19"/>
        </w:rPr>
      </w:pPr>
      <w:r>
        <w:br w:type="page"/>
      </w:r>
    </w:p>
    <w:p w14:paraId="0B70F744" w14:textId="1EF270B9" w:rsidR="00717847" w:rsidRPr="001864F1" w:rsidRDefault="00717847" w:rsidP="001E7728">
      <w:pPr>
        <w:pStyle w:val="Caption"/>
      </w:pPr>
      <w:r w:rsidRPr="001864F1">
        <w:t xml:space="preserve">Table </w:t>
      </w:r>
      <w:r w:rsidR="00087412">
        <w:fldChar w:fldCharType="begin"/>
      </w:r>
      <w:r w:rsidR="00087412">
        <w:instrText xml:space="preserve"> SEQ Table \* ARABIC </w:instrText>
      </w:r>
      <w:r w:rsidR="00087412">
        <w:fldChar w:fldCharType="separate"/>
      </w:r>
      <w:r w:rsidRPr="001864F1">
        <w:t>3</w:t>
      </w:r>
      <w:r w:rsidR="00087412">
        <w:fldChar w:fldCharType="end"/>
      </w:r>
      <w:r w:rsidRPr="001864F1">
        <w:t xml:space="preserve"> Risks associated with the program and management actions </w:t>
      </w:r>
    </w:p>
    <w:tbl>
      <w:tblPr>
        <w:tblStyle w:val="APPR"/>
        <w:tblW w:w="5000" w:type="pct"/>
        <w:tblLook w:val="01E0" w:firstRow="1" w:lastRow="1" w:firstColumn="1" w:lastColumn="1" w:noHBand="0" w:noVBand="0"/>
      </w:tblPr>
      <w:tblGrid>
        <w:gridCol w:w="4433"/>
        <w:gridCol w:w="4173"/>
      </w:tblGrid>
      <w:tr w:rsidR="00717847" w:rsidRPr="00F53655" w14:paraId="0B70F749" w14:textId="77777777" w:rsidTr="006264ED">
        <w:trPr>
          <w:cnfStyle w:val="100000000000" w:firstRow="1" w:lastRow="0" w:firstColumn="0" w:lastColumn="0" w:oddVBand="0" w:evenVBand="0" w:oddHBand="0" w:evenHBand="0" w:firstRowFirstColumn="0" w:firstRowLastColumn="0" w:lastRowFirstColumn="0" w:lastRowLastColumn="0"/>
        </w:trPr>
        <w:tc>
          <w:tcPr>
            <w:tcW w:w="4491" w:type="dxa"/>
            <w:hideMark/>
          </w:tcPr>
          <w:p w14:paraId="0B70F745" w14:textId="77777777" w:rsidR="00717847" w:rsidRPr="00352B18" w:rsidRDefault="00717847" w:rsidP="00352B18">
            <w:pPr>
              <w:pStyle w:val="TableTextColumnHeading"/>
              <w:rPr>
                <w:b/>
              </w:rPr>
            </w:pPr>
            <w:r w:rsidRPr="00352B18">
              <w:rPr>
                <w:b/>
              </w:rPr>
              <w:t>Most significant risks</w:t>
            </w:r>
          </w:p>
        </w:tc>
        <w:tc>
          <w:tcPr>
            <w:tcW w:w="4213" w:type="dxa"/>
          </w:tcPr>
          <w:p w14:paraId="0B70F746" w14:textId="77777777" w:rsidR="00717847" w:rsidRPr="00352B18" w:rsidRDefault="00717847" w:rsidP="00352B18">
            <w:pPr>
              <w:pStyle w:val="TableTextColumnHeading"/>
              <w:rPr>
                <w:b/>
              </w:rPr>
            </w:pPr>
            <w:r w:rsidRPr="00352B18">
              <w:rPr>
                <w:b/>
              </w:rPr>
              <w:t>Management response—</w:t>
            </w:r>
          </w:p>
          <w:p w14:paraId="0B70F747" w14:textId="77777777" w:rsidR="00717847" w:rsidRPr="00352B18" w:rsidRDefault="00717847" w:rsidP="00352B18">
            <w:pPr>
              <w:pStyle w:val="TableTextColumnHeading"/>
              <w:rPr>
                <w:b/>
              </w:rPr>
            </w:pPr>
            <w:r w:rsidRPr="00352B18">
              <w:rPr>
                <w:b/>
              </w:rPr>
              <w:t xml:space="preserve">What? Who? How? When? </w:t>
            </w:r>
          </w:p>
          <w:p w14:paraId="0B70F748" w14:textId="77777777" w:rsidR="00717847" w:rsidRPr="00352B18" w:rsidRDefault="00717847" w:rsidP="00352B18">
            <w:pPr>
              <w:pStyle w:val="TableTextColumnHeading"/>
              <w:rPr>
                <w:b/>
              </w:rPr>
            </w:pPr>
          </w:p>
        </w:tc>
      </w:tr>
      <w:tr w:rsidR="00717847" w:rsidRPr="00F53655" w14:paraId="0B70F74F" w14:textId="77777777" w:rsidTr="00352B18">
        <w:trPr>
          <w:tblHeader w:val="0"/>
        </w:trPr>
        <w:tc>
          <w:tcPr>
            <w:tcW w:w="4491" w:type="dxa"/>
            <w:hideMark/>
          </w:tcPr>
          <w:p w14:paraId="0B70F74A" w14:textId="77777777" w:rsidR="00717847" w:rsidRPr="00352B18" w:rsidRDefault="00717847" w:rsidP="00352B18">
            <w:pPr>
              <w:pStyle w:val="TableTextEntries"/>
            </w:pPr>
            <w:r w:rsidRPr="00352B18">
              <w:t xml:space="preserve">Security environment in PNG continues to present serious concerns for staff safety. Workplace health and safety risks compel vigilance to manage risks for all aid personnel. </w:t>
            </w:r>
          </w:p>
        </w:tc>
        <w:tc>
          <w:tcPr>
            <w:tcW w:w="4213" w:type="dxa"/>
          </w:tcPr>
          <w:p w14:paraId="0B70F74B" w14:textId="77777777" w:rsidR="00717847" w:rsidRDefault="00717847" w:rsidP="00352B18">
            <w:pPr>
              <w:pStyle w:val="TableListBullet"/>
            </w:pPr>
            <w:r w:rsidRPr="00342FBB">
              <w:t>Robust security policies and security risk assessment frameworks in place along with procedures to be followed at all times</w:t>
            </w:r>
            <w:r>
              <w:t xml:space="preserve">. </w:t>
            </w:r>
          </w:p>
          <w:p w14:paraId="0B70F74C" w14:textId="77777777" w:rsidR="00352B18" w:rsidRDefault="00717847" w:rsidP="00352B18">
            <w:pPr>
              <w:pStyle w:val="TableListBullet"/>
            </w:pPr>
            <w:r w:rsidRPr="00342FBB">
              <w:t>Security awareness training provided to staff in Canberra and those deployed at Post</w:t>
            </w:r>
            <w:r w:rsidR="00352B18">
              <w:t>.</w:t>
            </w:r>
          </w:p>
          <w:p w14:paraId="0B70F74D" w14:textId="77777777" w:rsidR="00717847" w:rsidRDefault="00717847" w:rsidP="00352B18">
            <w:pPr>
              <w:pStyle w:val="TableListBullet"/>
            </w:pPr>
            <w:r w:rsidRPr="00342FBB">
              <w:t>Executive sign-off required for all staff travelling to highly dangerous areas</w:t>
            </w:r>
            <w:r>
              <w:t xml:space="preserve">. </w:t>
            </w:r>
          </w:p>
          <w:p w14:paraId="0B70F74E" w14:textId="77777777" w:rsidR="00717847" w:rsidRPr="00F53655" w:rsidRDefault="00717847" w:rsidP="00352B18">
            <w:pPr>
              <w:pStyle w:val="TableListBullet"/>
            </w:pPr>
            <w:r>
              <w:t xml:space="preserve">All aid personnel trained to identify and report workplace health and safety risks in their workplaces. </w:t>
            </w:r>
          </w:p>
        </w:tc>
      </w:tr>
      <w:tr w:rsidR="00717847" w:rsidRPr="00F53655" w14:paraId="0B70F755" w14:textId="77777777" w:rsidTr="00352B18">
        <w:trPr>
          <w:cnfStyle w:val="000000010000" w:firstRow="0" w:lastRow="0" w:firstColumn="0" w:lastColumn="0" w:oddVBand="0" w:evenVBand="0" w:oddHBand="0" w:evenHBand="1" w:firstRowFirstColumn="0" w:firstRowLastColumn="0" w:lastRowFirstColumn="0" w:lastRowLastColumn="0"/>
          <w:tblHeader w:val="0"/>
        </w:trPr>
        <w:tc>
          <w:tcPr>
            <w:tcW w:w="4491" w:type="dxa"/>
            <w:hideMark/>
          </w:tcPr>
          <w:p w14:paraId="0B70F750" w14:textId="547331A7" w:rsidR="00717847" w:rsidRPr="00352B18" w:rsidRDefault="00311C88" w:rsidP="00311C88">
            <w:pPr>
              <w:pStyle w:val="TableTextEntries"/>
            </w:pPr>
            <w:r>
              <w:t>Australian Government</w:t>
            </w:r>
            <w:r w:rsidRPr="00352B18">
              <w:t xml:space="preserve"> </w:t>
            </w:r>
            <w:r w:rsidR="00717847" w:rsidRPr="00352B18">
              <w:t xml:space="preserve">funds are mismanaged or lost through fraudulent means, not reported to </w:t>
            </w:r>
            <w:r>
              <w:t>DFAT</w:t>
            </w:r>
            <w:r w:rsidR="00717847" w:rsidRPr="00352B18">
              <w:t xml:space="preserve"> until very late or discovered through commissioned audits.</w:t>
            </w:r>
          </w:p>
        </w:tc>
        <w:tc>
          <w:tcPr>
            <w:tcW w:w="4213" w:type="dxa"/>
          </w:tcPr>
          <w:p w14:paraId="0B70F751" w14:textId="77777777" w:rsidR="00717847" w:rsidRDefault="00717847" w:rsidP="00352B18">
            <w:pPr>
              <w:pStyle w:val="TableListBullet"/>
            </w:pPr>
            <w:r>
              <w:t>PNG and Australia governments signed a joint statement on Zero Tolerance to Fraud in aid activities on 4 October 2012.</w:t>
            </w:r>
          </w:p>
          <w:p w14:paraId="0B70F752" w14:textId="77777777" w:rsidR="00717847" w:rsidRDefault="00717847" w:rsidP="00352B18">
            <w:pPr>
              <w:pStyle w:val="TableListBullet"/>
            </w:pPr>
            <w:r>
              <w:t>Implementation of Fraud Control Implementation Strategy in collaboration with program areas.</w:t>
            </w:r>
          </w:p>
          <w:p w14:paraId="0B70F753" w14:textId="77777777" w:rsidR="00717847" w:rsidRDefault="00717847" w:rsidP="00352B18">
            <w:pPr>
              <w:pStyle w:val="TableListBullet"/>
            </w:pPr>
            <w:r>
              <w:t>High-level support to Government of PNG departments, NGOs, Implementing Service Providers to fight fraud and corruption.</w:t>
            </w:r>
          </w:p>
          <w:p w14:paraId="0B70F754" w14:textId="6244AF01" w:rsidR="00717847" w:rsidRPr="00F53655" w:rsidRDefault="00717847" w:rsidP="00311C88">
            <w:pPr>
              <w:pStyle w:val="TableListBullet"/>
            </w:pPr>
            <w:r>
              <w:t>Bi-annual fraud training at Post by Fraud Control Strategy team in Canberra.</w:t>
            </w:r>
          </w:p>
        </w:tc>
      </w:tr>
      <w:tr w:rsidR="00717847" w:rsidRPr="00F53655" w14:paraId="0B70F759" w14:textId="77777777" w:rsidTr="00352B18">
        <w:trPr>
          <w:tblHeader w:val="0"/>
        </w:trPr>
        <w:tc>
          <w:tcPr>
            <w:tcW w:w="4491" w:type="dxa"/>
          </w:tcPr>
          <w:p w14:paraId="0B70F756" w14:textId="77777777" w:rsidR="00717847" w:rsidRPr="00352B18" w:rsidRDefault="00717847" w:rsidP="00352B18">
            <w:pPr>
              <w:pStyle w:val="TableTextEntries"/>
            </w:pPr>
            <w:r w:rsidRPr="00352B18">
              <w:t>Despite positive messages from PNG’s Prime Minister, governance in PNG remains weak, reducing quality of engagement between Australia and PNG and increasing development and reputational risks.</w:t>
            </w:r>
          </w:p>
        </w:tc>
        <w:tc>
          <w:tcPr>
            <w:tcW w:w="4213" w:type="dxa"/>
          </w:tcPr>
          <w:p w14:paraId="0B70F757" w14:textId="452E7345" w:rsidR="00717847" w:rsidRDefault="00717847" w:rsidP="00352B18">
            <w:pPr>
              <w:pStyle w:val="TableListBullet"/>
            </w:pPr>
            <w:r>
              <w:t>Engagement</w:t>
            </w:r>
            <w:r w:rsidRPr="005C22E1">
              <w:t xml:space="preserve"> with</w:t>
            </w:r>
            <w:r>
              <w:t xml:space="preserve"> </w:t>
            </w:r>
            <w:r w:rsidRPr="005C22E1">
              <w:t>Go</w:t>
            </w:r>
            <w:r>
              <w:t xml:space="preserve">vernment of </w:t>
            </w:r>
            <w:r w:rsidRPr="005C22E1">
              <w:t xml:space="preserve">PNG </w:t>
            </w:r>
            <w:r>
              <w:t>and</w:t>
            </w:r>
            <w:r w:rsidRPr="005C22E1">
              <w:t xml:space="preserve"> central agencies</w:t>
            </w:r>
            <w:r>
              <w:t xml:space="preserve"> including</w:t>
            </w:r>
            <w:r w:rsidRPr="005C22E1">
              <w:t xml:space="preserve"> through </w:t>
            </w:r>
            <w:r w:rsidRPr="00E5303B">
              <w:rPr>
                <w:i/>
              </w:rPr>
              <w:t>Strongim Gavman</w:t>
            </w:r>
            <w:r w:rsidRPr="005E1D69">
              <w:t xml:space="preserve"> Program</w:t>
            </w:r>
            <w:r w:rsidRPr="005C22E1">
              <w:t xml:space="preserve"> advisers</w:t>
            </w:r>
            <w:r>
              <w:t>. U</w:t>
            </w:r>
            <w:r w:rsidRPr="005C22E1">
              <w:t>ndertak</w:t>
            </w:r>
            <w:r>
              <w:t>e</w:t>
            </w:r>
            <w:r w:rsidRPr="005C22E1">
              <w:t xml:space="preserve"> a review of governance to inform a new governance framework </w:t>
            </w:r>
            <w:r>
              <w:t>and</w:t>
            </w:r>
            <w:r w:rsidRPr="005C22E1">
              <w:t xml:space="preserve"> </w:t>
            </w:r>
            <w:r>
              <w:t xml:space="preserve">the </w:t>
            </w:r>
            <w:r w:rsidRPr="005C22E1">
              <w:t xml:space="preserve">new program </w:t>
            </w:r>
            <w:r w:rsidR="00311C88">
              <w:t xml:space="preserve">design to be prepared </w:t>
            </w:r>
            <w:r>
              <w:t>in 2013.</w:t>
            </w:r>
          </w:p>
          <w:p w14:paraId="0B70F758" w14:textId="77777777" w:rsidR="00717847" w:rsidRPr="00F53655" w:rsidRDefault="00717847" w:rsidP="00352B18">
            <w:pPr>
              <w:pStyle w:val="TableListBullet"/>
            </w:pPr>
            <w:r>
              <w:t>Australian aid program to improve capacity to undertake political economy analysis.</w:t>
            </w:r>
          </w:p>
        </w:tc>
      </w:tr>
      <w:tr w:rsidR="00717847" w:rsidRPr="00F53655" w14:paraId="0B70F75C" w14:textId="77777777" w:rsidTr="00352B18">
        <w:trPr>
          <w:cnfStyle w:val="000000010000" w:firstRow="0" w:lastRow="0" w:firstColumn="0" w:lastColumn="0" w:oddVBand="0" w:evenVBand="0" w:oddHBand="0" w:evenHBand="1" w:firstRowFirstColumn="0" w:firstRowLastColumn="0" w:lastRowFirstColumn="0" w:lastRowLastColumn="0"/>
          <w:tblHeader w:val="0"/>
        </w:trPr>
        <w:tc>
          <w:tcPr>
            <w:tcW w:w="4491" w:type="dxa"/>
          </w:tcPr>
          <w:p w14:paraId="0B70F75A" w14:textId="4CFBB260" w:rsidR="00717847" w:rsidRPr="00352B18" w:rsidRDefault="00717847" w:rsidP="00311C88">
            <w:pPr>
              <w:pStyle w:val="TableTextEntries"/>
            </w:pPr>
            <w:r w:rsidRPr="00352B18">
              <w:t xml:space="preserve">Not able to assess in detail progress against development indicators due to lack of development data, weak statistics and M&amp;E capacity; weak methodology for measuring results making it difficult to publicly demonstrating progress; difficulty measuring progress leads to pursuance of measurable rather than transformative activities. </w:t>
            </w:r>
          </w:p>
        </w:tc>
        <w:tc>
          <w:tcPr>
            <w:tcW w:w="4213" w:type="dxa"/>
          </w:tcPr>
          <w:p w14:paraId="0B70F75B" w14:textId="6D7BCA1E" w:rsidR="00717847" w:rsidRPr="00F53655" w:rsidRDefault="00717847" w:rsidP="00311C88">
            <w:pPr>
              <w:pStyle w:val="TableListBullet"/>
            </w:pPr>
            <w:r>
              <w:t>Partnership for Development</w:t>
            </w:r>
            <w:r w:rsidRPr="005C22E1">
              <w:t xml:space="preserve"> and </w:t>
            </w:r>
            <w:r>
              <w:t>performance assessment framework</w:t>
            </w:r>
            <w:r w:rsidRPr="005C22E1">
              <w:t xml:space="preserve"> to align with </w:t>
            </w:r>
            <w:r w:rsidR="004D3677">
              <w:t>a s</w:t>
            </w:r>
            <w:r w:rsidR="00DE42E9">
              <w:t>e</w:t>
            </w:r>
            <w:r w:rsidR="004D3677">
              <w:t>lection of key performance indicators</w:t>
            </w:r>
            <w:r w:rsidRPr="005C22E1">
              <w:t xml:space="preserve"> and support better M&amp;E and data collection; building sector specialists cadre to support this work</w:t>
            </w:r>
            <w:r>
              <w:t>.</w:t>
            </w:r>
          </w:p>
        </w:tc>
      </w:tr>
      <w:tr w:rsidR="00717847" w:rsidRPr="00F53655" w14:paraId="0B70F75F" w14:textId="77777777" w:rsidTr="00352B18">
        <w:trPr>
          <w:tblHeader w:val="0"/>
        </w:trPr>
        <w:tc>
          <w:tcPr>
            <w:tcW w:w="4491" w:type="dxa"/>
          </w:tcPr>
          <w:p w14:paraId="0B70F75D" w14:textId="4105D6B0" w:rsidR="00717847" w:rsidRPr="00352B18" w:rsidRDefault="004D3677" w:rsidP="00352B18">
            <w:pPr>
              <w:pStyle w:val="TableTextEntries"/>
            </w:pPr>
            <w:r>
              <w:t>The depar</w:t>
            </w:r>
            <w:r w:rsidR="00DE42E9">
              <w:t>t</w:t>
            </w:r>
            <w:r>
              <w:t xml:space="preserve">ment </w:t>
            </w:r>
            <w:r w:rsidR="00717847" w:rsidRPr="00352B18">
              <w:t xml:space="preserve">not equipped to conduct or manage research and analysis, and interpret it to inform strategies and lead policy discussion. </w:t>
            </w:r>
          </w:p>
        </w:tc>
        <w:tc>
          <w:tcPr>
            <w:tcW w:w="4213" w:type="dxa"/>
          </w:tcPr>
          <w:p w14:paraId="0B70F75E" w14:textId="1809E619" w:rsidR="00717847" w:rsidRPr="00F53655" w:rsidRDefault="00717847" w:rsidP="00352B18">
            <w:pPr>
              <w:pStyle w:val="TableListBullet"/>
            </w:pPr>
            <w:r>
              <w:t>Pacific Division</w:t>
            </w:r>
            <w:r w:rsidRPr="005C22E1">
              <w:t xml:space="preserve"> developing an analytical agenda to prioritise analys</w:t>
            </w:r>
            <w:r>
              <w:t>e</w:t>
            </w:r>
            <w:r w:rsidRPr="005C22E1">
              <w:t>s; engag</w:t>
            </w:r>
            <w:r>
              <w:t>ing</w:t>
            </w:r>
            <w:r w:rsidRPr="005C22E1">
              <w:t xml:space="preserve"> sector specialists to support program managers in policy </w:t>
            </w:r>
            <w:r>
              <w:t>discussions</w:t>
            </w:r>
            <w:r w:rsidRPr="005C22E1">
              <w:t xml:space="preserve"> and strengthen staff specialist capabilities. </w:t>
            </w:r>
            <w:r>
              <w:t>The n</w:t>
            </w:r>
            <w:r w:rsidRPr="005C22E1">
              <w:t xml:space="preserve">ext phase of </w:t>
            </w:r>
            <w:r>
              <w:t>the w</w:t>
            </w:r>
            <w:r w:rsidRPr="005C22E1">
              <w:t xml:space="preserve">orkforce </w:t>
            </w:r>
            <w:r>
              <w:t>p</w:t>
            </w:r>
            <w:r w:rsidRPr="005C22E1">
              <w:t>lan to set directions for long</w:t>
            </w:r>
            <w:r>
              <w:t>-</w:t>
            </w:r>
            <w:r w:rsidRPr="005C22E1">
              <w:t>term specialist skills development</w:t>
            </w:r>
            <w:r>
              <w:t xml:space="preserve"> (</w:t>
            </w:r>
            <w:r w:rsidRPr="005C22E1">
              <w:t>first draft</w:t>
            </w:r>
            <w:r>
              <w:t xml:space="preserve"> expected</w:t>
            </w:r>
            <w:r w:rsidRPr="005C22E1">
              <w:t xml:space="preserve"> in</w:t>
            </w:r>
            <w:r>
              <w:t xml:space="preserve"> the last quarter of 2013).</w:t>
            </w:r>
          </w:p>
        </w:tc>
      </w:tr>
      <w:tr w:rsidR="00717847" w:rsidRPr="00F53655" w14:paraId="0B70F762" w14:textId="77777777" w:rsidTr="00352B18">
        <w:trPr>
          <w:cnfStyle w:val="000000010000" w:firstRow="0" w:lastRow="0" w:firstColumn="0" w:lastColumn="0" w:oddVBand="0" w:evenVBand="0" w:oddHBand="0" w:evenHBand="1" w:firstRowFirstColumn="0" w:firstRowLastColumn="0" w:lastRowFirstColumn="0" w:lastRowLastColumn="0"/>
          <w:tblHeader w:val="0"/>
        </w:trPr>
        <w:tc>
          <w:tcPr>
            <w:tcW w:w="4491" w:type="dxa"/>
          </w:tcPr>
          <w:p w14:paraId="0B70F760" w14:textId="77777777" w:rsidR="00717847" w:rsidRPr="00352B18" w:rsidRDefault="00717847" w:rsidP="00352B18">
            <w:pPr>
              <w:pStyle w:val="TableTextEntries"/>
            </w:pPr>
            <w:r w:rsidRPr="00352B18">
              <w:t xml:space="preserve">Australia’s support to PNG’s efforts to reduce TB in Western Province fails to adequately reduce risks of transmissions; time and resources diverted from reducing TB due to competing issues. </w:t>
            </w:r>
          </w:p>
        </w:tc>
        <w:tc>
          <w:tcPr>
            <w:tcW w:w="4213" w:type="dxa"/>
          </w:tcPr>
          <w:p w14:paraId="0B70F761" w14:textId="4ECCFD7C" w:rsidR="00717847" w:rsidRPr="00F53655" w:rsidRDefault="00717847" w:rsidP="004D3677">
            <w:pPr>
              <w:pStyle w:val="TableListBullet"/>
            </w:pPr>
            <w:r w:rsidRPr="005C22E1">
              <w:t>Effective detection, treatment and control of sensitive and multidrug resistant TB</w:t>
            </w:r>
            <w:r>
              <w:t xml:space="preserve">. </w:t>
            </w:r>
            <w:r w:rsidRPr="005C22E1">
              <w:t xml:space="preserve">WHO review of progress in developing TB </w:t>
            </w:r>
            <w:r>
              <w:t xml:space="preserve">services (November 2012). Review </w:t>
            </w:r>
            <w:r w:rsidRPr="005C22E1">
              <w:t>long</w:t>
            </w:r>
            <w:r>
              <w:t>-</w:t>
            </w:r>
            <w:r w:rsidRPr="005C22E1">
              <w:t>term strategy with key stakeholders</w:t>
            </w:r>
            <w:r>
              <w:t xml:space="preserve"> in 2013.</w:t>
            </w:r>
          </w:p>
        </w:tc>
      </w:tr>
    </w:tbl>
    <w:p w14:paraId="0B70F763" w14:textId="77777777" w:rsidR="006264ED" w:rsidRDefault="006264ED" w:rsidP="006264ED">
      <w:pPr>
        <w:rPr>
          <w:rFonts w:ascii="Franklin Gothic Demi" w:eastAsia="Times New Roman" w:hAnsi="Franklin Gothic Demi" w:cs="Arial"/>
          <w:color w:val="AD495D"/>
          <w:kern w:val="28"/>
          <w:sz w:val="28"/>
          <w:szCs w:val="28"/>
        </w:rPr>
      </w:pPr>
      <w:r>
        <w:br w:type="page"/>
      </w:r>
    </w:p>
    <w:p w14:paraId="0B70F764" w14:textId="77777777" w:rsidR="001864F1" w:rsidRDefault="00717847" w:rsidP="001864F1">
      <w:pPr>
        <w:pStyle w:val="Heading1"/>
      </w:pPr>
      <w:r>
        <w:t>Acronym</w:t>
      </w:r>
      <w:r w:rsidR="001864F1">
        <w:t>s</w:t>
      </w:r>
    </w:p>
    <w:p w14:paraId="0B70F765" w14:textId="77777777" w:rsidR="001864F1" w:rsidRDefault="001864F1" w:rsidP="001864F1"/>
    <w:p w14:paraId="0B70F766" w14:textId="77777777" w:rsidR="001864F1" w:rsidRDefault="001864F1" w:rsidP="001864F1">
      <w:pPr>
        <w:pStyle w:val="BodyText"/>
      </w:pPr>
      <w:r>
        <w:t>ABG</w:t>
      </w:r>
      <w:r>
        <w:tab/>
      </w:r>
      <w:r>
        <w:tab/>
        <w:t>Autonomous Bougainville Government</w:t>
      </w:r>
    </w:p>
    <w:p w14:paraId="0B70F767" w14:textId="77777777" w:rsidR="001864F1" w:rsidRDefault="001864F1" w:rsidP="001864F1">
      <w:pPr>
        <w:pStyle w:val="BodyText"/>
      </w:pPr>
      <w:r>
        <w:t>ADB</w:t>
      </w:r>
      <w:r>
        <w:tab/>
      </w:r>
      <w:r>
        <w:tab/>
        <w:t>Asian Development Bank</w:t>
      </w:r>
    </w:p>
    <w:p w14:paraId="67A0253D" w14:textId="54532C6F" w:rsidR="00F4256E" w:rsidRDefault="00EC7FC8" w:rsidP="001864F1">
      <w:pPr>
        <w:pStyle w:val="BodyText"/>
      </w:pPr>
      <w:r>
        <w:t>APPR</w:t>
      </w:r>
      <w:r>
        <w:tab/>
      </w:r>
      <w:r>
        <w:tab/>
      </w:r>
      <w:r w:rsidR="00F4256E">
        <w:t>Aid Program Performance Report</w:t>
      </w:r>
    </w:p>
    <w:p w14:paraId="0B70F768" w14:textId="64C42051" w:rsidR="001864F1" w:rsidRDefault="00EC7FC8" w:rsidP="001864F1">
      <w:pPr>
        <w:pStyle w:val="BodyText"/>
      </w:pPr>
      <w:r>
        <w:t>APPR</w:t>
      </w:r>
      <w:r>
        <w:tab/>
      </w:r>
      <w:r>
        <w:tab/>
        <w:t>Annual Program P</w:t>
      </w:r>
      <w:r w:rsidR="001864F1">
        <w:t>erformance report</w:t>
      </w:r>
    </w:p>
    <w:p w14:paraId="0B70F769" w14:textId="77777777" w:rsidR="001864F1" w:rsidRDefault="001864F1" w:rsidP="001864F1">
      <w:pPr>
        <w:pStyle w:val="BodyText"/>
      </w:pPr>
      <w:r>
        <w:t>APTC</w:t>
      </w:r>
      <w:r>
        <w:tab/>
      </w:r>
      <w:r>
        <w:tab/>
        <w:t>Australia-Pacific Technical College</w:t>
      </w:r>
    </w:p>
    <w:p w14:paraId="0B70F76A" w14:textId="77777777" w:rsidR="001864F1" w:rsidRDefault="001864F1" w:rsidP="001864F1">
      <w:pPr>
        <w:pStyle w:val="BodyText"/>
      </w:pPr>
      <w:r>
        <w:t>AusAID</w:t>
      </w:r>
      <w:r>
        <w:tab/>
        <w:t>Australian Agency for International Development</w:t>
      </w:r>
    </w:p>
    <w:p w14:paraId="0B70F76B" w14:textId="77777777" w:rsidR="001864F1" w:rsidRDefault="001864F1" w:rsidP="001864F1">
      <w:pPr>
        <w:pStyle w:val="BodyText"/>
      </w:pPr>
      <w:r>
        <w:t>CHASI</w:t>
      </w:r>
      <w:r>
        <w:tab/>
      </w:r>
      <w:r>
        <w:tab/>
        <w:t>Catholic HIV and AIDS Services Inc</w:t>
      </w:r>
    </w:p>
    <w:p w14:paraId="0B70F76C" w14:textId="77777777" w:rsidR="001864F1" w:rsidRDefault="001864F1" w:rsidP="001864F1">
      <w:pPr>
        <w:pStyle w:val="BodyText"/>
      </w:pPr>
      <w:r>
        <w:t>DoE</w:t>
      </w:r>
      <w:r>
        <w:tab/>
      </w:r>
      <w:r>
        <w:tab/>
        <w:t>Department of Education</w:t>
      </w:r>
    </w:p>
    <w:p w14:paraId="0B70F76D" w14:textId="77777777" w:rsidR="001864F1" w:rsidRDefault="001864F1" w:rsidP="001864F1">
      <w:pPr>
        <w:pStyle w:val="BodyText"/>
      </w:pPr>
      <w:r>
        <w:t>FSV</w:t>
      </w:r>
      <w:r>
        <w:tab/>
      </w:r>
      <w:r>
        <w:tab/>
        <w:t>Family and sexual violence</w:t>
      </w:r>
    </w:p>
    <w:p w14:paraId="0B70F76E" w14:textId="77777777" w:rsidR="001864F1" w:rsidRDefault="001864F1" w:rsidP="001864F1">
      <w:pPr>
        <w:pStyle w:val="BodyText"/>
      </w:pPr>
      <w:r>
        <w:t>FSVUs</w:t>
      </w:r>
      <w:r>
        <w:tab/>
      </w:r>
      <w:r>
        <w:tab/>
        <w:t>Family Sexual Violence Units</w:t>
      </w:r>
    </w:p>
    <w:p w14:paraId="0B70F76F" w14:textId="77777777" w:rsidR="001864F1" w:rsidRDefault="001864F1" w:rsidP="001864F1">
      <w:pPr>
        <w:pStyle w:val="BodyText"/>
      </w:pPr>
      <w:r>
        <w:t>LNG</w:t>
      </w:r>
      <w:r>
        <w:tab/>
      </w:r>
      <w:r>
        <w:tab/>
        <w:t>Liquefied natural gas</w:t>
      </w:r>
    </w:p>
    <w:p w14:paraId="0B70F770" w14:textId="77777777" w:rsidR="001864F1" w:rsidRDefault="001864F1" w:rsidP="001864F1">
      <w:pPr>
        <w:pStyle w:val="BodyText"/>
      </w:pPr>
      <w:r>
        <w:t>MDR-TB</w:t>
      </w:r>
      <w:r>
        <w:tab/>
        <w:t>Multi-drug-resistant TB</w:t>
      </w:r>
    </w:p>
    <w:p w14:paraId="0B70F771" w14:textId="77777777" w:rsidR="001864F1" w:rsidRDefault="001864F1" w:rsidP="001864F1">
      <w:pPr>
        <w:pStyle w:val="BodyText"/>
      </w:pPr>
      <w:r>
        <w:t>NGO</w:t>
      </w:r>
      <w:r>
        <w:tab/>
      </w:r>
      <w:r>
        <w:tab/>
        <w:t>Non-government organisation</w:t>
      </w:r>
    </w:p>
    <w:p w14:paraId="0B70F772" w14:textId="77777777" w:rsidR="001864F1" w:rsidRDefault="001864F1" w:rsidP="001864F1">
      <w:pPr>
        <w:pStyle w:val="BodyText"/>
      </w:pPr>
      <w:r>
        <w:t>OPP</w:t>
      </w:r>
      <w:r>
        <w:tab/>
      </w:r>
      <w:r>
        <w:tab/>
        <w:t>Office of Public Prosecutor</w:t>
      </w:r>
    </w:p>
    <w:p w14:paraId="0B70F773" w14:textId="77777777" w:rsidR="001864F1" w:rsidRDefault="001864F1" w:rsidP="001864F1">
      <w:pPr>
        <w:pStyle w:val="BodyText"/>
      </w:pPr>
      <w:r>
        <w:t>PNG</w:t>
      </w:r>
      <w:r>
        <w:tab/>
      </w:r>
      <w:r>
        <w:tab/>
        <w:t>Papua New Guinea</w:t>
      </w:r>
    </w:p>
    <w:p w14:paraId="0B70F774" w14:textId="77777777" w:rsidR="001864F1" w:rsidRDefault="001864F1" w:rsidP="001864F1">
      <w:pPr>
        <w:pStyle w:val="BodyText"/>
      </w:pPr>
      <w:r>
        <w:t>PNGEC</w:t>
      </w:r>
      <w:r>
        <w:tab/>
        <w:t>PNG Electoral Commission</w:t>
      </w:r>
    </w:p>
    <w:p w14:paraId="0B70F775" w14:textId="77777777" w:rsidR="001864F1" w:rsidRDefault="001864F1" w:rsidP="001864F1">
      <w:pPr>
        <w:pStyle w:val="BodyText"/>
      </w:pPr>
      <w:r>
        <w:t>QAI</w:t>
      </w:r>
      <w:r>
        <w:tab/>
      </w:r>
      <w:r>
        <w:tab/>
        <w:t>Quality at implementation</w:t>
      </w:r>
    </w:p>
    <w:p w14:paraId="0B70F776" w14:textId="77777777" w:rsidR="001864F1" w:rsidRDefault="001864F1" w:rsidP="001864F1">
      <w:pPr>
        <w:pStyle w:val="BodyText"/>
      </w:pPr>
      <w:r>
        <w:t>RPNGC</w:t>
      </w:r>
      <w:r>
        <w:tab/>
        <w:t>Royal PNG Constabulary</w:t>
      </w:r>
    </w:p>
    <w:p w14:paraId="0B70F777" w14:textId="77777777" w:rsidR="001864F1" w:rsidRDefault="001864F1" w:rsidP="001864F1">
      <w:pPr>
        <w:pStyle w:val="BodyText"/>
      </w:pPr>
      <w:r>
        <w:t>SPSN</w:t>
      </w:r>
      <w:r>
        <w:tab/>
      </w:r>
      <w:r>
        <w:tab/>
        <w:t>Strongim Pipol Strongim Nesen</w:t>
      </w:r>
    </w:p>
    <w:p w14:paraId="0B70F778" w14:textId="77777777" w:rsidR="001864F1" w:rsidRDefault="001864F1" w:rsidP="001864F1">
      <w:pPr>
        <w:pStyle w:val="BodyText"/>
      </w:pPr>
      <w:r>
        <w:t>TB</w:t>
      </w:r>
      <w:r>
        <w:tab/>
      </w:r>
      <w:r>
        <w:tab/>
        <w:t>Tuberculosis</w:t>
      </w:r>
    </w:p>
    <w:p w14:paraId="0B70F779" w14:textId="77777777" w:rsidR="001864F1" w:rsidRDefault="001864F1" w:rsidP="001864F1">
      <w:pPr>
        <w:pStyle w:val="BodyText"/>
      </w:pPr>
      <w:r>
        <w:t>TVET</w:t>
      </w:r>
      <w:r>
        <w:tab/>
      </w:r>
      <w:r>
        <w:tab/>
        <w:t>Technical and vocational education training</w:t>
      </w:r>
    </w:p>
    <w:p w14:paraId="0B70F77A" w14:textId="77777777" w:rsidR="001864F1" w:rsidRDefault="001864F1" w:rsidP="001864F1">
      <w:pPr>
        <w:pStyle w:val="BodyText"/>
      </w:pPr>
      <w:r>
        <w:t>TB</w:t>
      </w:r>
      <w:r>
        <w:tab/>
      </w:r>
      <w:r>
        <w:tab/>
        <w:t>Tuberculosis</w:t>
      </w:r>
    </w:p>
    <w:p w14:paraId="0B70F77B" w14:textId="77777777" w:rsidR="001864F1" w:rsidRDefault="001864F1" w:rsidP="001864F1">
      <w:pPr>
        <w:pStyle w:val="BodyText"/>
      </w:pPr>
      <w:r>
        <w:t>UN</w:t>
      </w:r>
      <w:r>
        <w:tab/>
      </w:r>
      <w:r>
        <w:tab/>
        <w:t>United Nations</w:t>
      </w:r>
    </w:p>
    <w:p w14:paraId="0B70F77C" w14:textId="77777777" w:rsidR="001864F1" w:rsidRDefault="001864F1" w:rsidP="001864F1">
      <w:pPr>
        <w:pStyle w:val="BodyText"/>
      </w:pPr>
      <w:r>
        <w:t>UNDP</w:t>
      </w:r>
      <w:r>
        <w:tab/>
      </w:r>
      <w:r>
        <w:tab/>
        <w:t>United Nations Development Programme</w:t>
      </w:r>
    </w:p>
    <w:p w14:paraId="0B70F77D" w14:textId="77777777" w:rsidR="001864F1" w:rsidRPr="001864F1" w:rsidRDefault="001864F1" w:rsidP="001864F1">
      <w:pPr>
        <w:pStyle w:val="BodyText"/>
        <w:sectPr w:rsidR="001864F1" w:rsidRPr="001864F1" w:rsidSect="001E7728">
          <w:headerReference w:type="even" r:id="rId18"/>
          <w:headerReference w:type="default" r:id="rId19"/>
          <w:footerReference w:type="even" r:id="rId20"/>
          <w:footerReference w:type="default" r:id="rId21"/>
          <w:headerReference w:type="first" r:id="rId22"/>
          <w:footerReference w:type="first" r:id="rId23"/>
          <w:pgSz w:w="11906" w:h="16838" w:code="9"/>
          <w:pgMar w:top="2268" w:right="1701" w:bottom="907" w:left="1871" w:header="709" w:footer="454" w:gutter="0"/>
          <w:cols w:space="708"/>
          <w:titlePg/>
          <w:docGrid w:linePitch="360"/>
        </w:sectPr>
      </w:pPr>
      <w:r>
        <w:t>WHO</w:t>
      </w:r>
      <w:r>
        <w:tab/>
      </w:r>
      <w:r>
        <w:tab/>
        <w:t>World Health Organization</w:t>
      </w:r>
    </w:p>
    <w:p w14:paraId="0B70F77E" w14:textId="77777777" w:rsidR="00717847" w:rsidRDefault="00717847" w:rsidP="00717847">
      <w:pPr>
        <w:pStyle w:val="BodyText"/>
      </w:pPr>
    </w:p>
    <w:p w14:paraId="0B70F77F" w14:textId="77777777" w:rsidR="00717847" w:rsidRPr="006264ED" w:rsidRDefault="00717847" w:rsidP="006264ED">
      <w:pPr>
        <w:pStyle w:val="Heading1"/>
      </w:pPr>
      <w:r w:rsidRPr="006264ED">
        <w:t xml:space="preserve">Annex A </w:t>
      </w:r>
    </w:p>
    <w:p w14:paraId="0B70F780" w14:textId="77777777" w:rsidR="00717847" w:rsidRPr="006264ED" w:rsidRDefault="00717847" w:rsidP="006264ED">
      <w:pPr>
        <w:pStyle w:val="Heading2"/>
      </w:pPr>
      <w:r w:rsidRPr="006264ED">
        <w:t>Progress in addressing 2011 management consequences</w:t>
      </w:r>
    </w:p>
    <w:tbl>
      <w:tblPr>
        <w:tblStyle w:val="APPR"/>
        <w:tblW w:w="5000" w:type="pct"/>
        <w:tblLayout w:type="fixed"/>
        <w:tblLook w:val="0000" w:firstRow="0" w:lastRow="0" w:firstColumn="0" w:lastColumn="0" w:noHBand="0" w:noVBand="0"/>
      </w:tblPr>
      <w:tblGrid>
        <w:gridCol w:w="6515"/>
        <w:gridCol w:w="851"/>
        <w:gridCol w:w="7079"/>
      </w:tblGrid>
      <w:tr w:rsidR="00717847" w:rsidRPr="00180B19" w14:paraId="0B70F784" w14:textId="77777777" w:rsidTr="006264ED">
        <w:trPr>
          <w:cnfStyle w:val="000000010000" w:firstRow="0" w:lastRow="0" w:firstColumn="0" w:lastColumn="0" w:oddVBand="0" w:evenVBand="0" w:oddHBand="0" w:evenHBand="1" w:firstRowFirstColumn="0" w:firstRowLastColumn="0" w:lastRowFirstColumn="0" w:lastRowLastColumn="0"/>
        </w:trPr>
        <w:tc>
          <w:tcPr>
            <w:tcW w:w="6473" w:type="dxa"/>
          </w:tcPr>
          <w:p w14:paraId="0B70F781" w14:textId="77777777" w:rsidR="00717847" w:rsidRPr="006264ED" w:rsidRDefault="00717847" w:rsidP="006264ED">
            <w:pPr>
              <w:pStyle w:val="TableTextColumnHeading"/>
            </w:pPr>
            <w:r w:rsidRPr="006264ED">
              <w:t>Management consequences identified in 2011 APPR</w:t>
            </w:r>
            <w:r w:rsidRPr="006264ED">
              <w:tab/>
            </w:r>
          </w:p>
        </w:tc>
        <w:tc>
          <w:tcPr>
            <w:tcW w:w="823" w:type="dxa"/>
          </w:tcPr>
          <w:p w14:paraId="0B70F782" w14:textId="77777777" w:rsidR="00717847" w:rsidRPr="006264ED" w:rsidRDefault="00717847" w:rsidP="006264ED">
            <w:pPr>
              <w:pStyle w:val="TableTextColumnHeading"/>
            </w:pPr>
            <w:r w:rsidRPr="006264ED">
              <w:t>Rating</w:t>
            </w:r>
          </w:p>
        </w:tc>
        <w:tc>
          <w:tcPr>
            <w:tcW w:w="7037" w:type="dxa"/>
          </w:tcPr>
          <w:p w14:paraId="0B70F783" w14:textId="77777777" w:rsidR="00717847" w:rsidRPr="006264ED" w:rsidRDefault="00717847" w:rsidP="006264ED">
            <w:pPr>
              <w:pStyle w:val="TableTextColumnHeading"/>
            </w:pPr>
            <w:r w:rsidRPr="006264ED">
              <w:t>Progress made in 2012–13</w:t>
            </w:r>
          </w:p>
        </w:tc>
      </w:tr>
      <w:tr w:rsidR="00717847" w:rsidRPr="00180B19" w14:paraId="0B70F78F" w14:textId="77777777" w:rsidTr="006264ED">
        <w:trPr>
          <w:tblHeader w:val="0"/>
        </w:trPr>
        <w:tc>
          <w:tcPr>
            <w:tcW w:w="6473" w:type="dxa"/>
          </w:tcPr>
          <w:p w14:paraId="0B70F785" w14:textId="77777777" w:rsidR="00717847" w:rsidRPr="006264ED" w:rsidRDefault="00717847" w:rsidP="006264ED">
            <w:pPr>
              <w:pStyle w:val="TableTextEntries"/>
              <w:rPr>
                <w:i/>
              </w:rPr>
            </w:pPr>
            <w:r w:rsidRPr="006264ED">
              <w:rPr>
                <w:i/>
              </w:rPr>
              <w:t xml:space="preserve">Consolidation and coherence of Australia’s support </w:t>
            </w:r>
          </w:p>
          <w:p w14:paraId="0B70F786" w14:textId="77777777" w:rsidR="00717847" w:rsidRPr="00BC489D" w:rsidRDefault="00717847" w:rsidP="006264ED">
            <w:pPr>
              <w:pStyle w:val="TableTextEntries"/>
            </w:pPr>
            <w:r w:rsidRPr="00BC489D">
              <w:t xml:space="preserve">To influence the changes necessary for strengthened service delivery, public sector governance and democratic governance, Australia’s aid program is working simultaneously across national, provincial, district and community levels. For these efforts to collectively produce service delivery results, we will need to work more consistently and coherently as an aid program. </w:t>
            </w:r>
          </w:p>
          <w:p w14:paraId="0B70F787" w14:textId="77777777" w:rsidR="00717847" w:rsidRPr="00BC489D" w:rsidRDefault="00717847" w:rsidP="006264ED">
            <w:pPr>
              <w:pStyle w:val="TableTextEntries"/>
            </w:pPr>
            <w:r w:rsidRPr="00BC489D">
              <w:t xml:space="preserve">We will build on the strong consolidation efforts of 2011, with a focus on finalising the health and HIV/AID integration already underway. </w:t>
            </w:r>
          </w:p>
          <w:p w14:paraId="0B70F788" w14:textId="77777777" w:rsidR="00717847" w:rsidRDefault="00717847" w:rsidP="006264ED">
            <w:pPr>
              <w:pStyle w:val="TableTextEntries"/>
            </w:pPr>
            <w:r w:rsidRPr="00BC489D">
              <w:t>We will also continue to strengthen our focus on the provinces</w:t>
            </w:r>
            <w:r>
              <w:t>,</w:t>
            </w:r>
            <w:r w:rsidRPr="00BC489D">
              <w:t xml:space="preserve"> and particularly the Autonomous Region of Bougainville</w:t>
            </w:r>
            <w:r>
              <w:t>,</w:t>
            </w:r>
            <w:r w:rsidRPr="00BC489D">
              <w:t xml:space="preserve"> to improve the coherence and impact of our program. In 2012, we will re-invigorate the roles and expand the presence of our provincial teams, and will develop an implementation plan for the Australian engagement strategy in Bougainville.</w:t>
            </w:r>
          </w:p>
          <w:p w14:paraId="0B70F789" w14:textId="77777777" w:rsidR="00717847" w:rsidRPr="00100AA2" w:rsidRDefault="00717847" w:rsidP="006264ED">
            <w:pPr>
              <w:pStyle w:val="TableTextEntries"/>
            </w:pPr>
          </w:p>
        </w:tc>
        <w:tc>
          <w:tcPr>
            <w:tcW w:w="823" w:type="dxa"/>
            <w:shd w:val="clear" w:color="auto" w:fill="92D050"/>
          </w:tcPr>
          <w:p w14:paraId="0B70F78A" w14:textId="77777777" w:rsidR="00717847" w:rsidRPr="006264ED" w:rsidRDefault="00717847" w:rsidP="006264ED">
            <w:pPr>
              <w:pStyle w:val="TableTextEntries"/>
            </w:pPr>
            <w:r w:rsidRPr="006264ED">
              <w:t>Green</w:t>
            </w:r>
          </w:p>
        </w:tc>
        <w:tc>
          <w:tcPr>
            <w:tcW w:w="7037" w:type="dxa"/>
          </w:tcPr>
          <w:p w14:paraId="0B70F78B" w14:textId="77777777" w:rsidR="00717847" w:rsidRPr="00D07800" w:rsidRDefault="00717847" w:rsidP="006264ED">
            <w:pPr>
              <w:pStyle w:val="TableTextEntries"/>
              <w:rPr>
                <w:rFonts w:eastAsia="Calibri"/>
              </w:rPr>
            </w:pPr>
            <w:r w:rsidRPr="00D07800">
              <w:rPr>
                <w:rFonts w:eastAsia="Calibri"/>
              </w:rPr>
              <w:t>A new PNG governance stra</w:t>
            </w:r>
            <w:r>
              <w:rPr>
                <w:rFonts w:eastAsia="Calibri"/>
              </w:rPr>
              <w:t>tegy (due for completion in</w:t>
            </w:r>
            <w:r w:rsidRPr="00D07800">
              <w:rPr>
                <w:rFonts w:eastAsia="Calibri"/>
              </w:rPr>
              <w:t xml:space="preserve"> 2013) was progressed in 2012</w:t>
            </w:r>
            <w:r>
              <w:rPr>
                <w:rFonts w:eastAsia="Calibri"/>
              </w:rPr>
              <w:t>–</w:t>
            </w:r>
            <w:r w:rsidRPr="00D07800">
              <w:rPr>
                <w:rFonts w:eastAsia="Calibri"/>
              </w:rPr>
              <w:t>13 to present a clear, shared understanding of governance for greater program cohesion</w:t>
            </w:r>
            <w:r>
              <w:rPr>
                <w:rFonts w:eastAsia="Calibri"/>
              </w:rPr>
              <w:t>. This includes</w:t>
            </w:r>
            <w:r w:rsidRPr="00D07800">
              <w:rPr>
                <w:rFonts w:eastAsia="Calibri"/>
              </w:rPr>
              <w:t xml:space="preserve"> between the suite of governance programs and between governance and sectoral programs.</w:t>
            </w:r>
          </w:p>
          <w:p w14:paraId="0B70F78C" w14:textId="77777777" w:rsidR="00717847" w:rsidRPr="00D07800" w:rsidRDefault="00717847" w:rsidP="006264ED">
            <w:pPr>
              <w:pStyle w:val="TableTextEntries"/>
              <w:rPr>
                <w:rFonts w:eastAsia="Calibri"/>
              </w:rPr>
            </w:pPr>
            <w:r w:rsidRPr="00D07800">
              <w:rPr>
                <w:rFonts w:eastAsia="Calibri"/>
              </w:rPr>
              <w:t xml:space="preserve">Health and HIV teams were effectively integrated in 2012, including </w:t>
            </w:r>
            <w:r>
              <w:rPr>
                <w:rFonts w:eastAsia="Calibri"/>
              </w:rPr>
              <w:t xml:space="preserve">through </w:t>
            </w:r>
            <w:r w:rsidRPr="00D07800">
              <w:rPr>
                <w:rFonts w:eastAsia="Calibri"/>
              </w:rPr>
              <w:t>staffing, work sites and a joint health and HIV implementing service provider</w:t>
            </w:r>
            <w:r>
              <w:rPr>
                <w:rFonts w:eastAsia="Calibri"/>
              </w:rPr>
              <w:t xml:space="preserve">. </w:t>
            </w:r>
          </w:p>
          <w:p w14:paraId="0B70F78D" w14:textId="7EBAAFB4" w:rsidR="00717847" w:rsidRPr="00D07800" w:rsidRDefault="00717847" w:rsidP="006264ED">
            <w:pPr>
              <w:pStyle w:val="TableTextEntries"/>
              <w:rPr>
                <w:rFonts w:eastAsia="Calibri"/>
              </w:rPr>
            </w:pPr>
            <w:r w:rsidRPr="00D07800">
              <w:rPr>
                <w:rFonts w:eastAsia="Calibri"/>
              </w:rPr>
              <w:t xml:space="preserve">Australia continued </w:t>
            </w:r>
            <w:r>
              <w:rPr>
                <w:rFonts w:eastAsia="Calibri"/>
              </w:rPr>
              <w:t xml:space="preserve">to engage </w:t>
            </w:r>
            <w:r w:rsidRPr="00D07800">
              <w:rPr>
                <w:rFonts w:eastAsia="Calibri"/>
              </w:rPr>
              <w:t xml:space="preserve">at provincial level to support decentralised government agencies through the Provincial </w:t>
            </w:r>
            <w:r>
              <w:rPr>
                <w:rFonts w:eastAsia="Calibri"/>
              </w:rPr>
              <w:t>and</w:t>
            </w:r>
            <w:r w:rsidRPr="00D07800">
              <w:rPr>
                <w:rFonts w:eastAsia="Calibri"/>
              </w:rPr>
              <w:t xml:space="preserve"> Local Government Program with </w:t>
            </w:r>
            <w:r>
              <w:rPr>
                <w:rFonts w:eastAsia="Calibri"/>
              </w:rPr>
              <w:t>nine</w:t>
            </w:r>
            <w:r w:rsidRPr="00D07800">
              <w:rPr>
                <w:rFonts w:eastAsia="Calibri"/>
              </w:rPr>
              <w:t xml:space="preserve"> </w:t>
            </w:r>
            <w:r w:rsidR="00272B30">
              <w:rPr>
                <w:rFonts w:eastAsia="Calibri"/>
              </w:rPr>
              <w:t xml:space="preserve">Australian </w:t>
            </w:r>
            <w:r w:rsidR="00755273">
              <w:rPr>
                <w:rFonts w:eastAsia="Calibri"/>
              </w:rPr>
              <w:t>Government</w:t>
            </w:r>
            <w:r w:rsidR="00272B30" w:rsidRPr="00D07800">
              <w:rPr>
                <w:rFonts w:eastAsia="Calibri"/>
              </w:rPr>
              <w:t xml:space="preserve"> </w:t>
            </w:r>
            <w:r w:rsidRPr="00D07800">
              <w:rPr>
                <w:rFonts w:eastAsia="Calibri"/>
              </w:rPr>
              <w:t xml:space="preserve">staff in </w:t>
            </w:r>
            <w:r>
              <w:rPr>
                <w:rFonts w:eastAsia="Calibri"/>
              </w:rPr>
              <w:t>five</w:t>
            </w:r>
            <w:r w:rsidRPr="00D07800">
              <w:rPr>
                <w:rFonts w:eastAsia="Calibri"/>
              </w:rPr>
              <w:t xml:space="preserve"> provincial offices (Eastern Highlands, Western Highlands, Milne Bay, East New Britain and Bougainville) and</w:t>
            </w:r>
            <w:r w:rsidRPr="00D07800">
              <w:rPr>
                <w:rFonts w:eastAsia="Calibri"/>
                <w:color w:val="000000"/>
                <w:sz w:val="24"/>
              </w:rPr>
              <w:t xml:space="preserve"> </w:t>
            </w:r>
            <w:r w:rsidRPr="00D07800">
              <w:rPr>
                <w:rFonts w:eastAsia="Calibri"/>
              </w:rPr>
              <w:t>36 advisers</w:t>
            </w:r>
            <w:r>
              <w:rPr>
                <w:rFonts w:eastAsia="Calibri"/>
              </w:rPr>
              <w:t xml:space="preserve">. </w:t>
            </w:r>
          </w:p>
          <w:p w14:paraId="0B70F78E" w14:textId="77777777" w:rsidR="00717847" w:rsidRPr="00B30E77" w:rsidRDefault="00717847" w:rsidP="006264ED">
            <w:pPr>
              <w:pStyle w:val="TableTextEntries"/>
              <w:rPr>
                <w:color w:val="92D050"/>
              </w:rPr>
            </w:pPr>
            <w:r w:rsidRPr="00F030A6">
              <w:rPr>
                <w:rFonts w:eastAsia="Calibri"/>
              </w:rPr>
              <w:t>Australia has continued to improve the coherence and impact of the program in Bougainville by developing A Framework for Australian Aid to the Autonomous Region of Bougainville 2013–15 in consultation with the PNG Government and ABG. The framework is guiding Australia’s aid program in Bougainville until the end of 2015. Under the framework, Australia’s assistance to Bougainville is assisting with the implementation of the Bougainville Peace Agreement, improving service delivery</w:t>
            </w:r>
            <w:r>
              <w:rPr>
                <w:rFonts w:eastAsia="Calibri"/>
              </w:rPr>
              <w:t>,</w:t>
            </w:r>
            <w:r w:rsidRPr="00F030A6">
              <w:rPr>
                <w:rFonts w:eastAsia="Calibri"/>
              </w:rPr>
              <w:t xml:space="preserve"> and supporting employment-focused economic development. Australia has also expanded support through its sector programs, which are delivering assistance targeting Bougainville-specific needs, including in health and education. There is no M&amp;E framework for Bougainville. We will contract</w:t>
            </w:r>
            <w:r>
              <w:rPr>
                <w:rFonts w:eastAsia="Calibri"/>
              </w:rPr>
              <w:t xml:space="preserve"> </w:t>
            </w:r>
            <w:r w:rsidRPr="00F030A6">
              <w:rPr>
                <w:rFonts w:eastAsia="Calibri"/>
              </w:rPr>
              <w:t>a</w:t>
            </w:r>
            <w:r>
              <w:rPr>
                <w:rFonts w:eastAsia="Calibri"/>
              </w:rPr>
              <w:t>n</w:t>
            </w:r>
            <w:r w:rsidRPr="00F030A6">
              <w:rPr>
                <w:rFonts w:eastAsia="Calibri"/>
              </w:rPr>
              <w:t xml:space="preserve"> M&amp;E specialist to work on one in 2013–14.</w:t>
            </w:r>
          </w:p>
        </w:tc>
      </w:tr>
      <w:tr w:rsidR="00717847" w:rsidRPr="00180B19" w14:paraId="0B70F798" w14:textId="77777777" w:rsidTr="006264ED">
        <w:trPr>
          <w:cnfStyle w:val="000000010000" w:firstRow="0" w:lastRow="0" w:firstColumn="0" w:lastColumn="0" w:oddVBand="0" w:evenVBand="0" w:oddHBand="0" w:evenHBand="1" w:firstRowFirstColumn="0" w:firstRowLastColumn="0" w:lastRowFirstColumn="0" w:lastRowLastColumn="0"/>
          <w:tblHeader w:val="0"/>
        </w:trPr>
        <w:tc>
          <w:tcPr>
            <w:tcW w:w="6473" w:type="dxa"/>
          </w:tcPr>
          <w:p w14:paraId="0B70F790" w14:textId="77777777" w:rsidR="00717847" w:rsidRPr="006264ED" w:rsidRDefault="00717847" w:rsidP="006264ED">
            <w:pPr>
              <w:pStyle w:val="TableTextEntries"/>
              <w:rPr>
                <w:i/>
              </w:rPr>
            </w:pPr>
            <w:r w:rsidRPr="006264ED">
              <w:rPr>
                <w:i/>
              </w:rPr>
              <w:t xml:space="preserve">Greater analysis of incentives and mechanisms to affect positive change </w:t>
            </w:r>
          </w:p>
          <w:p w14:paraId="0B70F791" w14:textId="77777777" w:rsidR="00717847" w:rsidRPr="00BC489D" w:rsidRDefault="00717847" w:rsidP="006264ED">
            <w:pPr>
              <w:pStyle w:val="TableTextEntries"/>
            </w:pPr>
            <w:r w:rsidRPr="00BC489D">
              <w:t xml:space="preserve">Understanding where to place our efforts to have the greatest influence in the current operating environment is driving the program’s need for greater analysis. Drawing on new and existing analysis to develop a country situational analysis is a priority, as is gaining a deeper understanding of the incentives and mechanisms to increase political will and public demand to address blockages in service delivery chains. </w:t>
            </w:r>
          </w:p>
          <w:p w14:paraId="0B70F792" w14:textId="77777777" w:rsidR="00717847" w:rsidRPr="00BC489D" w:rsidRDefault="00717847" w:rsidP="006264ED">
            <w:pPr>
              <w:pStyle w:val="TableTextEntries"/>
            </w:pPr>
            <w:r w:rsidRPr="00BC489D">
              <w:t xml:space="preserve">Effective governance is particularly important in an environment of narrowly based resource revenues and heightened expectations of windfall LNG revenues. However, building the capacity of the public sector to help Papua New Guinea translate the economic growth into improved livelihoods remains a significant challenge. In 2012 we will undertake an in-depth analysis of governance in Papua New Guinea to enable a more effective program of support to be designed for the future. We will also strengthen the economic capability of the Post to enhance analytical capacity and economic policy engagement. </w:t>
            </w:r>
          </w:p>
          <w:p w14:paraId="0B70F793" w14:textId="77777777" w:rsidR="00717847" w:rsidRPr="00100AA2" w:rsidRDefault="00717847" w:rsidP="006264ED">
            <w:pPr>
              <w:pStyle w:val="TableTextEntries"/>
            </w:pPr>
            <w:r w:rsidRPr="00BC489D">
              <w:t>Following the outcomes of the elections, we will review the assistance provided by Australia to consider future engagement in the sector.</w:t>
            </w:r>
          </w:p>
        </w:tc>
        <w:tc>
          <w:tcPr>
            <w:tcW w:w="823" w:type="dxa"/>
            <w:shd w:val="clear" w:color="auto" w:fill="F79646" w:themeFill="accent6"/>
          </w:tcPr>
          <w:p w14:paraId="0B70F794" w14:textId="77777777" w:rsidR="00717847" w:rsidRPr="006264ED" w:rsidRDefault="00717847" w:rsidP="006264ED">
            <w:pPr>
              <w:pStyle w:val="TableTextEntries"/>
            </w:pPr>
            <w:r w:rsidRPr="006264ED">
              <w:t>Amber</w:t>
            </w:r>
            <w:r w:rsidRPr="006264ED">
              <w:fldChar w:fldCharType="begin"/>
            </w:r>
            <w:r w:rsidRPr="006264ED">
              <w:instrText xml:space="preserve"> AUTOTEXTLIST  \s "Rating bullet"\t "Right click to choose a rating" \* MERGEFORMAT </w:instrText>
            </w:r>
            <w:r w:rsidRPr="006264ED">
              <w:fldChar w:fldCharType="end"/>
            </w:r>
          </w:p>
        </w:tc>
        <w:tc>
          <w:tcPr>
            <w:tcW w:w="7037" w:type="dxa"/>
          </w:tcPr>
          <w:p w14:paraId="0B70F795" w14:textId="77777777" w:rsidR="00717847" w:rsidRDefault="00717847" w:rsidP="006264ED">
            <w:pPr>
              <w:pStyle w:val="TableTextEntries"/>
            </w:pPr>
            <w:r>
              <w:t xml:space="preserve">Australia-commissioned analytical papers on sectoral issues in 2012 that were used to generate a draft country strategic analysis. This work will be finalised in 2013. </w:t>
            </w:r>
          </w:p>
          <w:p w14:paraId="0B70F796" w14:textId="5AF37D88" w:rsidR="00717847" w:rsidRDefault="00717847" w:rsidP="006264ED">
            <w:pPr>
              <w:pStyle w:val="TableTextEntries"/>
            </w:pPr>
            <w:r>
              <w:t xml:space="preserve">Throughout 2012 and early 2013, PNG governance programs underwent a series of reviews, including of the overall PNG governance program through the </w:t>
            </w:r>
            <w:r w:rsidR="00272B30">
              <w:t>Australian Government</w:t>
            </w:r>
            <w:r>
              <w:t xml:space="preserve">-commissioned Morris Review. Through the design of the new PNG governance strategy (due for completion in 2013) the program will work towards developing a clear, shared understanding of governance; program cohesion between the suite of governance programs and the governance and sectoral programs; and realistic, achievable, program objectives. </w:t>
            </w:r>
          </w:p>
          <w:p w14:paraId="0B70F797" w14:textId="77777777" w:rsidR="00717847" w:rsidRDefault="00717847" w:rsidP="006264ED">
            <w:pPr>
              <w:pStyle w:val="TableTextEntries"/>
            </w:pPr>
            <w:r>
              <w:t xml:space="preserve">In 2012, Australia’s electoral assistance was independently evaluated. The Australian Government will begin to design a program of electoral support to PNG in mid-late 2013. The new design will bear in mind delivery and credibility of the 2017 General Election and 2018 local-level elections. It will also support electoral system reform, as it relates to improved delivery of credible elections. This new program of support is expected to start by 2015. Other existing reports, such as election observer reports and reports by PNG academics, will inform future support. </w:t>
            </w:r>
          </w:p>
        </w:tc>
      </w:tr>
      <w:tr w:rsidR="00717847" w:rsidRPr="00180B19" w14:paraId="0B70F7A0" w14:textId="77777777" w:rsidTr="006264ED">
        <w:trPr>
          <w:tblHeader w:val="0"/>
        </w:trPr>
        <w:tc>
          <w:tcPr>
            <w:tcW w:w="6473" w:type="dxa"/>
          </w:tcPr>
          <w:p w14:paraId="0B70F799" w14:textId="77777777" w:rsidR="00717847" w:rsidRPr="006264ED" w:rsidRDefault="00717847" w:rsidP="006264ED">
            <w:pPr>
              <w:pStyle w:val="TableTextEntries"/>
              <w:rPr>
                <w:i/>
              </w:rPr>
            </w:pPr>
            <w:r w:rsidRPr="006264ED">
              <w:rPr>
                <w:i/>
              </w:rPr>
              <w:t xml:space="preserve">Improve our ability to define and measure results and impacts </w:t>
            </w:r>
          </w:p>
          <w:p w14:paraId="0B70F79A" w14:textId="77777777" w:rsidR="00717847" w:rsidRPr="00BC489D" w:rsidRDefault="00717847" w:rsidP="006264ED">
            <w:pPr>
              <w:pStyle w:val="TableTextEntries"/>
            </w:pPr>
            <w:r w:rsidRPr="00BC489D">
              <w:t xml:space="preserve">The partnership dialogue with Papua New Guinea’s government in 2012 will seek to refine indicators and targets to ensure we are measuring the right results to know how we are tracking to meet the partnership priority outcomes. Australia will place particular emphasis on the flagship sector, education, to assist Papua New Guinea address underlying issues with measuring progress towards universal basic education. Specific focus will also be given to achieving and measuring results in education quality. </w:t>
            </w:r>
          </w:p>
          <w:p w14:paraId="0B70F79B" w14:textId="77777777" w:rsidR="00717847" w:rsidRDefault="00717847" w:rsidP="006264ED">
            <w:pPr>
              <w:pStyle w:val="TableTextEntries"/>
            </w:pPr>
            <w:r w:rsidRPr="00BC489D">
              <w:t xml:space="preserve">The Papua New Guinea performance assessment framework will be further refined in 2012 to include </w:t>
            </w:r>
            <w:r>
              <w:t>the measurement of</w:t>
            </w:r>
            <w:r w:rsidRPr="00BC489D">
              <w:t xml:space="preserve"> impacts of Australia’s aid program. Through this work, the program will further position itself to report against the agency-wide results in the com</w:t>
            </w:r>
            <w:r>
              <w:t>prehensive aid policy framework.</w:t>
            </w:r>
          </w:p>
          <w:p w14:paraId="0B70F79C" w14:textId="77777777" w:rsidR="00717847" w:rsidRPr="00100AA2" w:rsidRDefault="00717847" w:rsidP="006264ED">
            <w:pPr>
              <w:pStyle w:val="TableTextEntries"/>
            </w:pPr>
          </w:p>
        </w:tc>
        <w:tc>
          <w:tcPr>
            <w:tcW w:w="823" w:type="dxa"/>
            <w:shd w:val="clear" w:color="auto" w:fill="FF0000"/>
          </w:tcPr>
          <w:p w14:paraId="0B70F79D" w14:textId="77777777" w:rsidR="00717847" w:rsidRPr="006264ED" w:rsidRDefault="00717847" w:rsidP="006264ED">
            <w:pPr>
              <w:pStyle w:val="TableTextEntries"/>
            </w:pPr>
            <w:r w:rsidRPr="006264ED">
              <w:t>Red</w:t>
            </w:r>
          </w:p>
        </w:tc>
        <w:tc>
          <w:tcPr>
            <w:tcW w:w="7037" w:type="dxa"/>
          </w:tcPr>
          <w:p w14:paraId="0B70F79E" w14:textId="77777777" w:rsidR="00717847" w:rsidRDefault="00717847" w:rsidP="006264ED">
            <w:pPr>
              <w:pStyle w:val="TableTextEntries"/>
            </w:pPr>
            <w:r>
              <w:t xml:space="preserve">During the 2012 Partnership Talks, PNG and Australia revised the partnership schedules for the four priority sectors. These revised schedules included new indicators and targets to support better performance measurement. Lack of progress was made on addressing underlying issues with measuring progress toward education targets. There continues to be a lack of credible and reliable enrolment data from the Department of Education, due in part to inflation of enrolment figures under the new tuition fee-free education policy. In 2012, the program secured joint partnership commitments to education quality through new targets in the revised Partnership for Development schedule. </w:t>
            </w:r>
          </w:p>
          <w:p w14:paraId="0B70F79F" w14:textId="77777777" w:rsidR="00717847" w:rsidRDefault="00717847" w:rsidP="006264ED">
            <w:pPr>
              <w:pStyle w:val="TableTextEntries"/>
            </w:pPr>
            <w:r>
              <w:t>Australia’s performance assessment framework was used in 2012 as a planning and management tool to support performance assessment for the APPR and reporting against comprehensive aid policy framework results. Australia will complete the performance assessment framework for the PNG country program by December 2013, in consultation with partners, to support measuring progress towards outcomes and help managers determine how the program is performing and the factors involved.</w:t>
            </w:r>
          </w:p>
        </w:tc>
      </w:tr>
      <w:tr w:rsidR="00717847" w:rsidRPr="00180B19" w14:paraId="0B70F7A9" w14:textId="77777777" w:rsidTr="006264ED">
        <w:trPr>
          <w:cnfStyle w:val="000000010000" w:firstRow="0" w:lastRow="0" w:firstColumn="0" w:lastColumn="0" w:oddVBand="0" w:evenVBand="0" w:oddHBand="0" w:evenHBand="1" w:firstRowFirstColumn="0" w:firstRowLastColumn="0" w:lastRowFirstColumn="0" w:lastRowLastColumn="0"/>
          <w:tblHeader w:val="0"/>
        </w:trPr>
        <w:tc>
          <w:tcPr>
            <w:tcW w:w="6473" w:type="dxa"/>
          </w:tcPr>
          <w:p w14:paraId="0B70F7A1" w14:textId="77777777" w:rsidR="00717847" w:rsidRPr="006264ED" w:rsidRDefault="00717847" w:rsidP="006264ED">
            <w:pPr>
              <w:pStyle w:val="TableTextEntries"/>
              <w:rPr>
                <w:i/>
              </w:rPr>
            </w:pPr>
            <w:r w:rsidRPr="006264ED">
              <w:rPr>
                <w:i/>
              </w:rPr>
              <w:t xml:space="preserve">Further efforts to address gender equality </w:t>
            </w:r>
          </w:p>
          <w:p w14:paraId="0B70F7A2" w14:textId="77777777" w:rsidR="00717847" w:rsidRDefault="00717847" w:rsidP="006264ED">
            <w:pPr>
              <w:pStyle w:val="TableTextEntries"/>
            </w:pPr>
            <w:r w:rsidRPr="00BC489D">
              <w:t>Australia remains deeply concerned about the lack of progress on gender equality in Papua New Guinea. Acknowledging the difficulty of measuring the impact of stand-alone awareness raising activities, the aid program will undertake to clearly articulate, in advance, the intended results of gender equality activities. In addition to expanding support to address family and sexual violence, more effort will be directed to addressing issues of women’s leadership, economic empowerment, education and promoting livelihood development.</w:t>
            </w:r>
          </w:p>
          <w:p w14:paraId="0B70F7A3" w14:textId="77777777" w:rsidR="00717847" w:rsidRPr="00100AA2" w:rsidRDefault="00717847" w:rsidP="006264ED">
            <w:pPr>
              <w:pStyle w:val="TableTextEntries"/>
            </w:pPr>
          </w:p>
        </w:tc>
        <w:tc>
          <w:tcPr>
            <w:tcW w:w="823" w:type="dxa"/>
            <w:shd w:val="clear" w:color="auto" w:fill="FF0000"/>
          </w:tcPr>
          <w:p w14:paraId="0B70F7A4" w14:textId="77777777" w:rsidR="00717847" w:rsidRPr="006264ED" w:rsidRDefault="00717847" w:rsidP="006264ED">
            <w:pPr>
              <w:pStyle w:val="TableTextEntries"/>
            </w:pPr>
            <w:r w:rsidRPr="006264ED">
              <w:t>Red</w:t>
            </w:r>
          </w:p>
        </w:tc>
        <w:tc>
          <w:tcPr>
            <w:tcW w:w="7037" w:type="dxa"/>
          </w:tcPr>
          <w:p w14:paraId="0B70F7A5" w14:textId="77777777" w:rsidR="00717847" w:rsidRPr="00D07800" w:rsidRDefault="00717847" w:rsidP="006264ED">
            <w:pPr>
              <w:pStyle w:val="TableTextEntries"/>
            </w:pPr>
            <w:r w:rsidRPr="00D07800">
              <w:t xml:space="preserve">The development, in late 2012, of the PNG </w:t>
            </w:r>
            <w:r>
              <w:t>work plan</w:t>
            </w:r>
            <w:r w:rsidRPr="00D07800">
              <w:t xml:space="preserve"> under the Pacific Women Shaping Pacific Development was a major milestone for the </w:t>
            </w:r>
            <w:r>
              <w:t>g</w:t>
            </w:r>
            <w:r w:rsidRPr="00D07800">
              <w:t xml:space="preserve">ender </w:t>
            </w:r>
            <w:r>
              <w:t>t</w:t>
            </w:r>
            <w:r w:rsidRPr="00D07800">
              <w:t xml:space="preserve">eam in articulating program plans and goals. It outlines the gender-specific programs which will variously be led by </w:t>
            </w:r>
            <w:r>
              <w:t xml:space="preserve">the </w:t>
            </w:r>
            <w:r w:rsidRPr="00D07800">
              <w:t xml:space="preserve">Democratic Governance Unit, the Pacific Regional Gender Team in Canberra and the Gender Team at Post. The </w:t>
            </w:r>
            <w:r>
              <w:t>w</w:t>
            </w:r>
            <w:r w:rsidRPr="00D07800">
              <w:t>ork</w:t>
            </w:r>
            <w:r>
              <w:t xml:space="preserve"> p</w:t>
            </w:r>
            <w:r w:rsidRPr="00D07800">
              <w:t>lan was developed following consultations with representatives of women’s community organisations and governments in PNG.</w:t>
            </w:r>
          </w:p>
          <w:p w14:paraId="0B70F7A6" w14:textId="77777777" w:rsidR="00717847" w:rsidRPr="00D07800" w:rsidRDefault="00717847" w:rsidP="006264ED">
            <w:pPr>
              <w:pStyle w:val="TableTextEntries"/>
            </w:pPr>
            <w:r w:rsidRPr="00D07800">
              <w:t xml:space="preserve">The </w:t>
            </w:r>
            <w:r>
              <w:t>w</w:t>
            </w:r>
            <w:r w:rsidRPr="00D07800">
              <w:t>ork</w:t>
            </w:r>
            <w:r>
              <w:t xml:space="preserve"> plan</w:t>
            </w:r>
            <w:r w:rsidRPr="00D07800">
              <w:t xml:space="preserve"> team will return</w:t>
            </w:r>
            <w:r>
              <w:t xml:space="preserve"> to PNG</w:t>
            </w:r>
            <w:r w:rsidRPr="00D07800">
              <w:t xml:space="preserve"> in 2013 </w:t>
            </w:r>
            <w:r>
              <w:t>for more</w:t>
            </w:r>
            <w:r w:rsidRPr="00D07800">
              <w:t xml:space="preserve"> consultation</w:t>
            </w:r>
            <w:r>
              <w:t>s</w:t>
            </w:r>
            <w:r w:rsidRPr="00D07800">
              <w:t xml:space="preserve"> and to develop a </w:t>
            </w:r>
            <w:r>
              <w:t>t</w:t>
            </w:r>
            <w:r w:rsidRPr="00D07800">
              <w:t>heory</w:t>
            </w:r>
            <w:r>
              <w:t>-</w:t>
            </w:r>
            <w:r w:rsidRPr="00D07800">
              <w:t>of</w:t>
            </w:r>
            <w:r>
              <w:t>-c</w:t>
            </w:r>
            <w:r w:rsidRPr="00D07800">
              <w:t>hange</w:t>
            </w:r>
            <w:r>
              <w:t xml:space="preserve"> and program logic</w:t>
            </w:r>
            <w:r w:rsidRPr="00717847">
              <w:rPr>
                <w:rStyle w:val="FootnoteReference"/>
                <w:rFonts w:ascii="Franklin Gothic Book" w:hAnsi="Franklin Gothic Book"/>
                <w:sz w:val="12"/>
              </w:rPr>
              <w:footnoteReference w:id="80"/>
            </w:r>
            <w:r w:rsidRPr="00717847">
              <w:rPr>
                <w:rFonts w:ascii="Arial Black" w:hAnsi="Arial Black"/>
                <w:sz w:val="12"/>
                <w:szCs w:val="12"/>
              </w:rPr>
              <w:t xml:space="preserve"> </w:t>
            </w:r>
            <w:r w:rsidRPr="00D07800">
              <w:t>for the</w:t>
            </w:r>
            <w:r>
              <w:t xml:space="preserve"> PNG g</w:t>
            </w:r>
            <w:r w:rsidRPr="00D07800">
              <w:t>ender program.</w:t>
            </w:r>
          </w:p>
          <w:p w14:paraId="0B70F7A7" w14:textId="4A23AF09" w:rsidR="00717847" w:rsidRPr="00D07800" w:rsidRDefault="00717847" w:rsidP="006264ED">
            <w:pPr>
              <w:pStyle w:val="TableTextEntries"/>
            </w:pPr>
            <w:r w:rsidRPr="00D07800">
              <w:t>The activities scheduled under the P</w:t>
            </w:r>
            <w:r>
              <w:t>acific Women Shaping Pacific Development Initiative</w:t>
            </w:r>
            <w:r w:rsidRPr="00D07800">
              <w:t xml:space="preserve"> address </w:t>
            </w:r>
            <w:r>
              <w:t>issues such as</w:t>
            </w:r>
            <w:r w:rsidRPr="00D07800">
              <w:t xml:space="preserve"> FSV, women’s leadership, economic empowerment and livelihood development</w:t>
            </w:r>
            <w:r>
              <w:t>. They also focus</w:t>
            </w:r>
            <w:r w:rsidRPr="00D07800">
              <w:t xml:space="preserve"> on research and data collection to inform projects by </w:t>
            </w:r>
            <w:r w:rsidR="00272B30">
              <w:t>the Australian Government</w:t>
            </w:r>
            <w:r w:rsidR="00272B30" w:rsidRPr="00D07800">
              <w:t xml:space="preserve"> </w:t>
            </w:r>
            <w:r w:rsidRPr="00D07800">
              <w:t>and development partners.</w:t>
            </w:r>
          </w:p>
          <w:p w14:paraId="0B70F7A8" w14:textId="77777777" w:rsidR="00717847" w:rsidRPr="00B30E77" w:rsidRDefault="00717847" w:rsidP="006264ED">
            <w:pPr>
              <w:pStyle w:val="TableTextEntries"/>
              <w:rPr>
                <w:color w:val="F79646" w:themeColor="accent6"/>
              </w:rPr>
            </w:pPr>
          </w:p>
        </w:tc>
      </w:tr>
      <w:tr w:rsidR="00717847" w:rsidRPr="00180B19" w14:paraId="0B70F7B2" w14:textId="77777777" w:rsidTr="006264ED">
        <w:trPr>
          <w:tblHeader w:val="0"/>
        </w:trPr>
        <w:tc>
          <w:tcPr>
            <w:tcW w:w="6473" w:type="dxa"/>
          </w:tcPr>
          <w:p w14:paraId="0B70F7AA" w14:textId="77777777" w:rsidR="00717847" w:rsidRPr="006264ED" w:rsidRDefault="00717847" w:rsidP="006264ED">
            <w:pPr>
              <w:pStyle w:val="TableTextEntries"/>
              <w:rPr>
                <w:i/>
              </w:rPr>
            </w:pPr>
            <w:r w:rsidRPr="006264ED">
              <w:rPr>
                <w:i/>
              </w:rPr>
              <w:t xml:space="preserve">Managing risks, with a particular emphasis on fraud risk </w:t>
            </w:r>
          </w:p>
          <w:p w14:paraId="0B70F7AB" w14:textId="77777777" w:rsidR="00717847" w:rsidRPr="00BC489D" w:rsidRDefault="00717847" w:rsidP="006264ED">
            <w:pPr>
              <w:pStyle w:val="TableTextEntries"/>
            </w:pPr>
            <w:r w:rsidRPr="00BC489D">
              <w:t>Australia’s aid program in P</w:t>
            </w:r>
            <w:r>
              <w:t>NG</w:t>
            </w:r>
            <w:r w:rsidRPr="00BC489D">
              <w:t xml:space="preserve"> uses an annual risk and fraud management plan to ensure that risks are appropriately managed, including the escalation of certain risks to senior management attention. Implementation of risk strategies is regularly reported and the results submitted to an internal audit committee each year. </w:t>
            </w:r>
          </w:p>
          <w:p w14:paraId="0B70F7AC" w14:textId="77777777" w:rsidR="00717847" w:rsidRPr="00BC489D" w:rsidRDefault="00717847" w:rsidP="006264ED">
            <w:pPr>
              <w:pStyle w:val="TableTextEntries"/>
              <w:rPr>
                <w:i/>
                <w:iCs/>
              </w:rPr>
            </w:pPr>
            <w:r w:rsidRPr="00BC489D">
              <w:t>The joint statement on zero tolerance to fraud in Australia’s aid program in P</w:t>
            </w:r>
            <w:r>
              <w:t>NG</w:t>
            </w:r>
            <w:r w:rsidRPr="00BC489D">
              <w:t xml:space="preserve"> has resulted in a fraud control management strategy. Throughout 2012 we will focus our efforts on strengthening fraud management resourcing and skills within the program, supporting Papua New Guinea’s government to reduce corruption, demanding better performance from contractors, and strengthening the ability of civil society and church organisations to detect and manage fraud.</w:t>
            </w:r>
          </w:p>
        </w:tc>
        <w:tc>
          <w:tcPr>
            <w:tcW w:w="823" w:type="dxa"/>
            <w:shd w:val="clear" w:color="auto" w:fill="F79646" w:themeFill="accent6"/>
          </w:tcPr>
          <w:p w14:paraId="0B70F7AD" w14:textId="77777777" w:rsidR="00717847" w:rsidRPr="006264ED" w:rsidRDefault="00717847" w:rsidP="006264ED">
            <w:pPr>
              <w:pStyle w:val="TableTextEntries"/>
            </w:pPr>
            <w:r w:rsidRPr="006264ED">
              <w:t>Amber</w:t>
            </w:r>
          </w:p>
        </w:tc>
        <w:tc>
          <w:tcPr>
            <w:tcW w:w="7037" w:type="dxa"/>
          </w:tcPr>
          <w:p w14:paraId="0B70F7AE" w14:textId="500AC607" w:rsidR="00717847" w:rsidRPr="00D07800" w:rsidRDefault="00717847" w:rsidP="006264ED">
            <w:pPr>
              <w:pStyle w:val="TableTextEntries"/>
              <w:rPr>
                <w:rFonts w:eastAsia="Calibri"/>
                <w:color w:val="000000"/>
              </w:rPr>
            </w:pPr>
            <w:r w:rsidRPr="00D07800">
              <w:rPr>
                <w:rFonts w:eastAsia="Calibri"/>
                <w:color w:val="000000"/>
              </w:rPr>
              <w:t xml:space="preserve">PNG comprises 10 per cent of our global aid spend, and is responsible for about 30 per cent of </w:t>
            </w:r>
            <w:r>
              <w:rPr>
                <w:rFonts w:eastAsia="Calibri"/>
                <w:color w:val="000000"/>
              </w:rPr>
              <w:t xml:space="preserve">the </w:t>
            </w:r>
            <w:r w:rsidRPr="00D07800">
              <w:rPr>
                <w:rFonts w:eastAsia="Calibri"/>
                <w:color w:val="000000"/>
              </w:rPr>
              <w:t>active cases (not including physical theft) reported in 2012</w:t>
            </w:r>
            <w:r>
              <w:rPr>
                <w:rFonts w:eastAsia="Calibri"/>
                <w:color w:val="000000"/>
              </w:rPr>
              <w:t>–</w:t>
            </w:r>
            <w:r w:rsidRPr="00D07800">
              <w:rPr>
                <w:rFonts w:eastAsia="Calibri"/>
                <w:color w:val="000000"/>
              </w:rPr>
              <w:t>13.</w:t>
            </w:r>
            <w:r>
              <w:rPr>
                <w:rFonts w:eastAsia="Calibri"/>
                <w:color w:val="000000"/>
              </w:rPr>
              <w:t xml:space="preserve"> Sixty-six</w:t>
            </w:r>
            <w:r w:rsidRPr="00D07800">
              <w:rPr>
                <w:rFonts w:eastAsia="Calibri"/>
                <w:color w:val="000000"/>
              </w:rPr>
              <w:t xml:space="preserve"> fraud cases </w:t>
            </w:r>
            <w:r>
              <w:rPr>
                <w:rFonts w:eastAsia="Calibri"/>
                <w:color w:val="000000"/>
              </w:rPr>
              <w:t xml:space="preserve">are </w:t>
            </w:r>
            <w:r w:rsidRPr="00D07800">
              <w:rPr>
                <w:rFonts w:eastAsia="Calibri"/>
                <w:color w:val="000000"/>
              </w:rPr>
              <w:t xml:space="preserve">being investigated (not including physical theft) </w:t>
            </w:r>
            <w:r>
              <w:rPr>
                <w:rFonts w:eastAsia="Calibri"/>
                <w:color w:val="000000"/>
              </w:rPr>
              <w:t xml:space="preserve">with </w:t>
            </w:r>
            <w:r w:rsidRPr="00D07800">
              <w:rPr>
                <w:rFonts w:eastAsia="Calibri"/>
                <w:color w:val="000000"/>
              </w:rPr>
              <w:t xml:space="preserve">a </w:t>
            </w:r>
            <w:r>
              <w:rPr>
                <w:rFonts w:eastAsia="Calibri"/>
                <w:color w:val="000000"/>
              </w:rPr>
              <w:t xml:space="preserve">potential and/or actual </w:t>
            </w:r>
            <w:r w:rsidRPr="00D07800">
              <w:rPr>
                <w:rFonts w:eastAsia="Calibri"/>
                <w:color w:val="000000"/>
              </w:rPr>
              <w:t xml:space="preserve">estimated </w:t>
            </w:r>
            <w:r>
              <w:rPr>
                <w:rFonts w:eastAsia="Calibri"/>
                <w:color w:val="000000"/>
              </w:rPr>
              <w:t>loss</w:t>
            </w:r>
            <w:r w:rsidRPr="00D07800">
              <w:rPr>
                <w:rFonts w:eastAsia="Calibri"/>
                <w:color w:val="000000"/>
              </w:rPr>
              <w:t xml:space="preserve"> to </w:t>
            </w:r>
            <w:r w:rsidR="00272B30">
              <w:rPr>
                <w:rFonts w:eastAsia="Calibri"/>
                <w:color w:val="000000"/>
              </w:rPr>
              <w:t>the Australian Government</w:t>
            </w:r>
            <w:r w:rsidRPr="00D07800">
              <w:rPr>
                <w:rFonts w:eastAsia="Calibri"/>
                <w:color w:val="000000"/>
              </w:rPr>
              <w:t xml:space="preserve"> of $1</w:t>
            </w:r>
            <w:r>
              <w:rPr>
                <w:rFonts w:eastAsia="Calibri"/>
                <w:color w:val="000000"/>
              </w:rPr>
              <w:t xml:space="preserve"> </w:t>
            </w:r>
            <w:r w:rsidRPr="00D07800">
              <w:rPr>
                <w:rFonts w:eastAsia="Calibri"/>
                <w:color w:val="000000"/>
              </w:rPr>
              <w:t>319</w:t>
            </w:r>
            <w:r>
              <w:rPr>
                <w:rFonts w:eastAsia="Calibri"/>
                <w:color w:val="000000"/>
              </w:rPr>
              <w:t xml:space="preserve"> </w:t>
            </w:r>
            <w:r w:rsidRPr="00D07800">
              <w:rPr>
                <w:rFonts w:eastAsia="Calibri"/>
                <w:color w:val="000000"/>
              </w:rPr>
              <w:t>089</w:t>
            </w:r>
            <w:r>
              <w:rPr>
                <w:rFonts w:eastAsia="Calibri"/>
                <w:color w:val="000000"/>
              </w:rPr>
              <w:t>. Thirty-seven active</w:t>
            </w:r>
            <w:r w:rsidRPr="00D07800">
              <w:rPr>
                <w:rFonts w:eastAsia="Calibri"/>
                <w:color w:val="000000"/>
              </w:rPr>
              <w:t xml:space="preserve"> cases involv</w:t>
            </w:r>
            <w:r>
              <w:rPr>
                <w:rFonts w:eastAsia="Calibri"/>
                <w:color w:val="000000"/>
              </w:rPr>
              <w:t>e</w:t>
            </w:r>
            <w:r w:rsidRPr="00D07800">
              <w:rPr>
                <w:rFonts w:eastAsia="Calibri"/>
                <w:color w:val="000000"/>
              </w:rPr>
              <w:t xml:space="preserve"> physical theft </w:t>
            </w:r>
            <w:r>
              <w:rPr>
                <w:rFonts w:eastAsia="Calibri"/>
                <w:color w:val="000000"/>
              </w:rPr>
              <w:t>(with</w:t>
            </w:r>
            <w:r w:rsidRPr="00D07800">
              <w:rPr>
                <w:rFonts w:eastAsia="Calibri"/>
                <w:color w:val="000000"/>
              </w:rPr>
              <w:t xml:space="preserve"> potential </w:t>
            </w:r>
            <w:r>
              <w:rPr>
                <w:rFonts w:eastAsia="Calibri"/>
                <w:color w:val="000000"/>
              </w:rPr>
              <w:t xml:space="preserve">estimated </w:t>
            </w:r>
            <w:r w:rsidRPr="00D07800">
              <w:rPr>
                <w:rFonts w:eastAsia="Calibri"/>
                <w:color w:val="000000"/>
              </w:rPr>
              <w:t>loss</w:t>
            </w:r>
            <w:r>
              <w:rPr>
                <w:rFonts w:eastAsia="Calibri"/>
                <w:color w:val="000000"/>
              </w:rPr>
              <w:t xml:space="preserve"> to </w:t>
            </w:r>
            <w:r w:rsidR="00272B30">
              <w:rPr>
                <w:rFonts w:eastAsia="Calibri"/>
                <w:color w:val="000000"/>
              </w:rPr>
              <w:t>the Australian Government</w:t>
            </w:r>
            <w:r w:rsidR="00272B30" w:rsidRPr="00D07800">
              <w:rPr>
                <w:rFonts w:eastAsia="Calibri"/>
                <w:color w:val="000000"/>
              </w:rPr>
              <w:t xml:space="preserve"> </w:t>
            </w:r>
            <w:r w:rsidRPr="00D07800">
              <w:rPr>
                <w:rFonts w:eastAsia="Calibri"/>
                <w:color w:val="000000"/>
              </w:rPr>
              <w:t>of $57</w:t>
            </w:r>
            <w:r>
              <w:rPr>
                <w:rFonts w:eastAsia="Calibri"/>
                <w:color w:val="000000"/>
              </w:rPr>
              <w:t xml:space="preserve"> </w:t>
            </w:r>
            <w:r w:rsidRPr="00D07800">
              <w:rPr>
                <w:rFonts w:eastAsia="Calibri"/>
                <w:color w:val="000000"/>
              </w:rPr>
              <w:t>801 (armed robberies, theft of vehicles, laptops and other assets)</w:t>
            </w:r>
            <w:r>
              <w:rPr>
                <w:rFonts w:eastAsia="Calibri"/>
                <w:color w:val="000000"/>
              </w:rPr>
              <w:t>. Most physical theft</w:t>
            </w:r>
            <w:r w:rsidRPr="00D07800">
              <w:rPr>
                <w:rFonts w:eastAsia="Calibri"/>
                <w:color w:val="000000"/>
              </w:rPr>
              <w:t xml:space="preserve"> cases are relatively small</w:t>
            </w:r>
            <w:r>
              <w:rPr>
                <w:rFonts w:eastAsia="Calibri"/>
                <w:color w:val="000000"/>
              </w:rPr>
              <w:t xml:space="preserve"> (</w:t>
            </w:r>
            <w:r w:rsidRPr="00D07800">
              <w:rPr>
                <w:rFonts w:eastAsia="Calibri"/>
                <w:color w:val="000000"/>
              </w:rPr>
              <w:t>24 are less than $10</w:t>
            </w:r>
            <w:r>
              <w:rPr>
                <w:rFonts w:eastAsia="Calibri"/>
                <w:color w:val="000000"/>
              </w:rPr>
              <w:t xml:space="preserve"> </w:t>
            </w:r>
            <w:r w:rsidRPr="00D07800">
              <w:rPr>
                <w:rFonts w:eastAsia="Calibri"/>
                <w:color w:val="000000"/>
              </w:rPr>
              <w:t>000</w:t>
            </w:r>
            <w:r>
              <w:rPr>
                <w:rFonts w:eastAsia="Calibri"/>
                <w:color w:val="000000"/>
              </w:rPr>
              <w:t xml:space="preserve"> each)</w:t>
            </w:r>
            <w:r w:rsidRPr="00D07800">
              <w:rPr>
                <w:rFonts w:eastAsia="Calibri"/>
                <w:color w:val="000000"/>
              </w:rPr>
              <w:t>.</w:t>
            </w:r>
          </w:p>
          <w:p w14:paraId="0B70F7AF" w14:textId="232858A4" w:rsidR="00717847" w:rsidRPr="00D07800" w:rsidRDefault="00272B30" w:rsidP="006264ED">
            <w:pPr>
              <w:pStyle w:val="TableTextEntries"/>
              <w:rPr>
                <w:rFonts w:eastAsia="Calibri"/>
                <w:color w:val="000000"/>
              </w:rPr>
            </w:pPr>
            <w:r>
              <w:rPr>
                <w:rFonts w:eastAsia="Calibri"/>
                <w:color w:val="000000"/>
              </w:rPr>
              <w:t xml:space="preserve">The Australian </w:t>
            </w:r>
            <w:r w:rsidR="00755273">
              <w:rPr>
                <w:rFonts w:eastAsia="Calibri"/>
                <w:color w:val="000000"/>
              </w:rPr>
              <w:t xml:space="preserve">Government’s </w:t>
            </w:r>
            <w:r>
              <w:rPr>
                <w:rFonts w:eastAsia="Calibri"/>
                <w:color w:val="000000"/>
              </w:rPr>
              <w:t>aid program</w:t>
            </w:r>
            <w:r w:rsidRPr="00D07800">
              <w:rPr>
                <w:rFonts w:eastAsia="Calibri"/>
                <w:color w:val="000000"/>
              </w:rPr>
              <w:t xml:space="preserve"> </w:t>
            </w:r>
            <w:r w:rsidR="00717847" w:rsidRPr="00D07800">
              <w:rPr>
                <w:rFonts w:eastAsia="Calibri"/>
                <w:color w:val="000000"/>
              </w:rPr>
              <w:t xml:space="preserve">protects Australian funds in PNG through strict accounting and reporting requirements; careful selection of implementing partners; regular reviews, spot checks and audits from a Port Moresby-based team of </w:t>
            </w:r>
            <w:r w:rsidR="00717847">
              <w:rPr>
                <w:rFonts w:eastAsia="Calibri"/>
                <w:color w:val="000000"/>
              </w:rPr>
              <w:t>more than</w:t>
            </w:r>
            <w:r w:rsidR="00717847" w:rsidRPr="00D07800">
              <w:rPr>
                <w:rFonts w:eastAsia="Calibri"/>
                <w:color w:val="000000"/>
              </w:rPr>
              <w:t xml:space="preserve"> 120 staff; and proactive management of fraud cases through monthly updates and follow-up on active cases.</w:t>
            </w:r>
          </w:p>
          <w:p w14:paraId="0B70F7B0" w14:textId="7BA2F3E5" w:rsidR="00717847" w:rsidRPr="00D07800" w:rsidRDefault="00272B30" w:rsidP="006264ED">
            <w:pPr>
              <w:pStyle w:val="TableTextEntries"/>
              <w:rPr>
                <w:rFonts w:eastAsia="Calibri"/>
                <w:color w:val="000000"/>
              </w:rPr>
            </w:pPr>
            <w:r>
              <w:rPr>
                <w:rFonts w:eastAsia="Calibri"/>
                <w:color w:val="000000"/>
              </w:rPr>
              <w:t xml:space="preserve">The Australian </w:t>
            </w:r>
            <w:r w:rsidR="00755273">
              <w:rPr>
                <w:rFonts w:eastAsia="Calibri"/>
                <w:color w:val="000000"/>
              </w:rPr>
              <w:t xml:space="preserve">Government </w:t>
            </w:r>
            <w:r w:rsidR="00717847" w:rsidRPr="00D07800">
              <w:rPr>
                <w:rFonts w:eastAsia="Calibri"/>
                <w:color w:val="000000"/>
              </w:rPr>
              <w:t xml:space="preserve">continues to deliver annual </w:t>
            </w:r>
            <w:r w:rsidR="00717847">
              <w:rPr>
                <w:rFonts w:eastAsia="Calibri"/>
                <w:color w:val="000000"/>
              </w:rPr>
              <w:t>f</w:t>
            </w:r>
            <w:r w:rsidR="00717847" w:rsidRPr="00D07800">
              <w:rPr>
                <w:rFonts w:eastAsia="Calibri"/>
                <w:color w:val="000000"/>
              </w:rPr>
              <w:t xml:space="preserve">raud </w:t>
            </w:r>
            <w:r w:rsidR="00717847">
              <w:rPr>
                <w:rFonts w:eastAsia="Calibri"/>
                <w:color w:val="000000"/>
              </w:rPr>
              <w:t>c</w:t>
            </w:r>
            <w:r w:rsidR="00717847" w:rsidRPr="00D07800">
              <w:rPr>
                <w:rFonts w:eastAsia="Calibri"/>
                <w:color w:val="000000"/>
              </w:rPr>
              <w:t xml:space="preserve">ontrol training to all </w:t>
            </w:r>
            <w:r w:rsidR="00717847">
              <w:rPr>
                <w:rFonts w:eastAsia="Calibri"/>
                <w:color w:val="000000"/>
              </w:rPr>
              <w:t>of its</w:t>
            </w:r>
            <w:r w:rsidR="00717847" w:rsidRPr="00D07800">
              <w:rPr>
                <w:rFonts w:eastAsia="Calibri"/>
                <w:color w:val="000000"/>
              </w:rPr>
              <w:t xml:space="preserve"> officers, managing contractors, NGOs and</w:t>
            </w:r>
            <w:r w:rsidR="00717847">
              <w:rPr>
                <w:rFonts w:eastAsia="Calibri"/>
                <w:color w:val="000000"/>
              </w:rPr>
              <w:t>,</w:t>
            </w:r>
            <w:r w:rsidR="00717847" w:rsidRPr="00D07800">
              <w:rPr>
                <w:rFonts w:eastAsia="Calibri"/>
                <w:color w:val="000000"/>
              </w:rPr>
              <w:t xml:space="preserve"> recently</w:t>
            </w:r>
            <w:r w:rsidR="00717847">
              <w:rPr>
                <w:rFonts w:eastAsia="Calibri"/>
                <w:color w:val="000000"/>
              </w:rPr>
              <w:t>,</w:t>
            </w:r>
            <w:r w:rsidR="00717847" w:rsidRPr="00D07800">
              <w:rPr>
                <w:rFonts w:eastAsia="Calibri"/>
                <w:color w:val="000000"/>
              </w:rPr>
              <w:t xml:space="preserve"> to PNG government officials. A forum was held in May 2013 with </w:t>
            </w:r>
            <w:r w:rsidR="00717847">
              <w:rPr>
                <w:rFonts w:eastAsia="Calibri"/>
                <w:color w:val="000000"/>
              </w:rPr>
              <w:t>f</w:t>
            </w:r>
            <w:r w:rsidR="00717847" w:rsidRPr="00D07800">
              <w:rPr>
                <w:rFonts w:eastAsia="Calibri"/>
                <w:color w:val="000000"/>
              </w:rPr>
              <w:t xml:space="preserve">raud and </w:t>
            </w:r>
            <w:r w:rsidR="00717847">
              <w:rPr>
                <w:rFonts w:eastAsia="Calibri"/>
                <w:color w:val="000000"/>
              </w:rPr>
              <w:t>r</w:t>
            </w:r>
            <w:r w:rsidR="00717847" w:rsidRPr="00D07800">
              <w:rPr>
                <w:rFonts w:eastAsia="Calibri"/>
                <w:color w:val="000000"/>
              </w:rPr>
              <w:t xml:space="preserve">isk </w:t>
            </w:r>
            <w:r w:rsidR="00717847">
              <w:rPr>
                <w:rFonts w:eastAsia="Calibri"/>
                <w:color w:val="000000"/>
              </w:rPr>
              <w:t>m</w:t>
            </w:r>
            <w:r w:rsidR="00717847" w:rsidRPr="00D07800">
              <w:rPr>
                <w:rFonts w:eastAsia="Calibri"/>
                <w:color w:val="000000"/>
              </w:rPr>
              <w:t>anagement experts from PNG’s banking sector.</w:t>
            </w:r>
          </w:p>
          <w:p w14:paraId="0B70F7B1" w14:textId="2E7EDA25" w:rsidR="00717847" w:rsidRPr="00B30E77" w:rsidRDefault="00272B30" w:rsidP="00755273">
            <w:pPr>
              <w:pStyle w:val="TableTextEntries"/>
              <w:rPr>
                <w:color w:val="F79646" w:themeColor="accent6"/>
              </w:rPr>
            </w:pPr>
            <w:r>
              <w:rPr>
                <w:rFonts w:eastAsia="SimSun"/>
                <w:lang w:eastAsia="en-AU"/>
              </w:rPr>
              <w:t>The Australia</w:t>
            </w:r>
            <w:r w:rsidR="00755273">
              <w:rPr>
                <w:rFonts w:eastAsia="SimSun"/>
                <w:lang w:eastAsia="en-AU"/>
              </w:rPr>
              <w:t>n</w:t>
            </w:r>
            <w:r>
              <w:rPr>
                <w:rFonts w:eastAsia="SimSun"/>
                <w:lang w:eastAsia="en-AU"/>
              </w:rPr>
              <w:t xml:space="preserve"> </w:t>
            </w:r>
            <w:r w:rsidR="00755273">
              <w:rPr>
                <w:rFonts w:eastAsia="SimSun"/>
                <w:lang w:eastAsia="en-AU"/>
              </w:rPr>
              <w:t>Government</w:t>
            </w:r>
            <w:r w:rsidRPr="00D07800">
              <w:rPr>
                <w:rFonts w:eastAsia="SimSun"/>
                <w:lang w:eastAsia="en-AU"/>
              </w:rPr>
              <w:t xml:space="preserve"> </w:t>
            </w:r>
            <w:r w:rsidR="00717847" w:rsidRPr="00D07800">
              <w:rPr>
                <w:rFonts w:eastAsia="SimSun"/>
                <w:lang w:eastAsia="en-AU"/>
              </w:rPr>
              <w:t xml:space="preserve">uses PNG government systems to a limited extent in the health, education, law and justice, transport and subnational governance sectors (approximately 4 per cent). However, use of partner government systems can also entail risks. </w:t>
            </w:r>
            <w:r>
              <w:rPr>
                <w:rFonts w:eastAsia="SimSun"/>
                <w:lang w:eastAsia="en-AU"/>
              </w:rPr>
              <w:t>The Australia</w:t>
            </w:r>
            <w:r w:rsidR="00755273">
              <w:rPr>
                <w:rFonts w:eastAsia="SimSun"/>
                <w:lang w:eastAsia="en-AU"/>
              </w:rPr>
              <w:t>n</w:t>
            </w:r>
            <w:r>
              <w:rPr>
                <w:rFonts w:eastAsia="SimSun"/>
                <w:lang w:eastAsia="en-AU"/>
              </w:rPr>
              <w:t xml:space="preserve"> </w:t>
            </w:r>
            <w:r w:rsidR="00755273">
              <w:rPr>
                <w:rFonts w:eastAsia="SimSun"/>
                <w:lang w:eastAsia="en-AU"/>
              </w:rPr>
              <w:t xml:space="preserve">Government </w:t>
            </w:r>
            <w:r w:rsidR="00717847" w:rsidRPr="00D07800">
              <w:rPr>
                <w:rFonts w:eastAsia="SimSun"/>
                <w:lang w:eastAsia="en-AU"/>
              </w:rPr>
              <w:t xml:space="preserve">will only use PNG </w:t>
            </w:r>
            <w:r w:rsidR="00717847">
              <w:rPr>
                <w:rFonts w:eastAsia="SimSun"/>
                <w:lang w:eastAsia="en-AU"/>
              </w:rPr>
              <w:t xml:space="preserve">government systems </w:t>
            </w:r>
            <w:r w:rsidR="00717847" w:rsidRPr="00D07800">
              <w:rPr>
                <w:rFonts w:eastAsia="SimSun"/>
                <w:lang w:eastAsia="en-AU"/>
              </w:rPr>
              <w:t xml:space="preserve">when there is a strong development reason to do so and after careful risk assessment. </w:t>
            </w:r>
            <w:r w:rsidR="00717847">
              <w:rPr>
                <w:rFonts w:eastAsia="SimSun"/>
                <w:lang w:eastAsia="en-AU"/>
              </w:rPr>
              <w:t>Most of Australia’s</w:t>
            </w:r>
            <w:r w:rsidR="00717847" w:rsidRPr="00D07800">
              <w:rPr>
                <w:rFonts w:eastAsia="SimSun"/>
                <w:lang w:eastAsia="en-AU"/>
              </w:rPr>
              <w:t xml:space="preserve"> aid in PNG (57 per cent) is delivered through managing contractors which ensures strong control prosecuting offenders where appropriate (when individuals are not at risk of harm); and seeking the recovery of misappropriated funds or assets and the application of appropriate penalties</w:t>
            </w:r>
            <w:r w:rsidR="00717847">
              <w:rPr>
                <w:rFonts w:eastAsia="SimSun"/>
                <w:lang w:eastAsia="en-AU"/>
              </w:rPr>
              <w:t xml:space="preserve">. </w:t>
            </w:r>
          </w:p>
        </w:tc>
      </w:tr>
    </w:tbl>
    <w:p w14:paraId="0B70F7B3" w14:textId="77777777" w:rsidR="00717847" w:rsidRPr="00230E3F" w:rsidRDefault="00717847" w:rsidP="00717847">
      <w:pPr>
        <w:pStyle w:val="Note"/>
      </w:pPr>
      <w:r w:rsidRPr="00FE4491">
        <w:t xml:space="preserve">Note: </w:t>
      </w:r>
    </w:p>
    <w:p w14:paraId="0B70F7B4" w14:textId="77777777" w:rsidR="00717847" w:rsidRPr="00FE4491" w:rsidRDefault="00717847" w:rsidP="00717847">
      <w:pPr>
        <w:pStyle w:val="Note"/>
      </w:pPr>
      <w:r w:rsidRPr="00FE4491">
        <w:rPr>
          <w:color w:val="92D050"/>
        </w:rPr>
        <w:sym w:font="Webdings" w:char="F067"/>
      </w:r>
      <w:r w:rsidRPr="00FE4491">
        <w:t> </w:t>
      </w:r>
      <w:r w:rsidRPr="00FE4491">
        <w:t xml:space="preserve"> </w:t>
      </w:r>
      <w:r>
        <w:t>Green.</w:t>
      </w:r>
      <w:r>
        <w:rPr>
          <w:rFonts w:ascii="Times New Roman" w:hAnsi="Times New Roman"/>
        </w:rPr>
        <w:t xml:space="preserve"> </w:t>
      </w:r>
      <w:r w:rsidRPr="00EC3C88">
        <w:t>Progress is as expected for this point in time and it is likely that the objective will be achieved. Standard program management practices are sufficient.</w:t>
      </w:r>
    </w:p>
    <w:p w14:paraId="0B70F7B5" w14:textId="77777777" w:rsidR="00717847" w:rsidRDefault="00717847" w:rsidP="00717847">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14:paraId="0B70F7B6" w14:textId="77777777" w:rsidR="00717847" w:rsidRDefault="00717847" w:rsidP="00717847">
      <w:pPr>
        <w:pStyle w:val="Note"/>
        <w:sectPr w:rsidR="00717847" w:rsidSect="001E7728">
          <w:headerReference w:type="default" r:id="rId24"/>
          <w:footerReference w:type="default" r:id="rId25"/>
          <w:headerReference w:type="first" r:id="rId26"/>
          <w:footerReference w:type="first" r:id="rId27"/>
          <w:pgSz w:w="16838" w:h="11906" w:orient="landscape" w:code="9"/>
          <w:pgMar w:top="1814" w:right="1814" w:bottom="1814" w:left="851" w:header="709" w:footer="425" w:gutter="0"/>
          <w:cols w:space="708"/>
          <w:docGrid w:linePitch="360"/>
        </w:sectPr>
      </w:pPr>
      <w:r w:rsidRPr="00FE4491">
        <w:rPr>
          <w:color w:val="FF0000"/>
        </w:rPr>
        <w:sym w:font="Webdings" w:char="F067"/>
      </w:r>
      <w:r w:rsidRPr="00FE4491">
        <w:t> </w:t>
      </w:r>
      <w:r w:rsidRPr="00FE4491">
        <w:t xml:space="preserve"> </w:t>
      </w:r>
      <w:r>
        <w:t>Red.</w:t>
      </w:r>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w:t>
      </w:r>
      <w:r>
        <w:t>g the objective may be required</w:t>
      </w:r>
    </w:p>
    <w:p w14:paraId="0B70F7B7" w14:textId="77777777" w:rsidR="00717847" w:rsidRPr="006264ED" w:rsidRDefault="00717847" w:rsidP="006264ED">
      <w:pPr>
        <w:pStyle w:val="Heading1"/>
      </w:pPr>
      <w:r w:rsidRPr="006264ED">
        <w:t xml:space="preserve">Annex B </w:t>
      </w:r>
    </w:p>
    <w:p w14:paraId="0B70F7B8" w14:textId="77777777" w:rsidR="00717847" w:rsidRPr="006264ED" w:rsidRDefault="00717847" w:rsidP="006264ED">
      <w:pPr>
        <w:pStyle w:val="Heading2"/>
      </w:pPr>
      <w:r w:rsidRPr="006264ED">
        <w:t>Quality at implementation ratings</w:t>
      </w:r>
    </w:p>
    <w:tbl>
      <w:tblPr>
        <w:tblStyle w:val="APPR"/>
        <w:tblW w:w="5000" w:type="pct"/>
        <w:tblLayout w:type="fixed"/>
        <w:tblLook w:val="0000" w:firstRow="0" w:lastRow="0" w:firstColumn="0" w:lastColumn="0" w:noHBand="0" w:noVBand="0"/>
      </w:tblPr>
      <w:tblGrid>
        <w:gridCol w:w="1655"/>
        <w:gridCol w:w="1878"/>
        <w:gridCol w:w="957"/>
        <w:gridCol w:w="586"/>
        <w:gridCol w:w="586"/>
        <w:gridCol w:w="586"/>
        <w:gridCol w:w="586"/>
        <w:gridCol w:w="586"/>
        <w:gridCol w:w="586"/>
        <w:gridCol w:w="600"/>
      </w:tblGrid>
      <w:tr w:rsidR="006264ED" w:rsidRPr="009D53C4" w14:paraId="0B70F7C3" w14:textId="77777777" w:rsidTr="003D1754">
        <w:trPr>
          <w:cnfStyle w:val="000000010000" w:firstRow="0" w:lastRow="0" w:firstColumn="0" w:lastColumn="0" w:oddVBand="0" w:evenVBand="0" w:oddHBand="0" w:evenHBand="1" w:firstRowFirstColumn="0" w:firstRowLastColumn="0" w:lastRowFirstColumn="0" w:lastRowLastColumn="0"/>
          <w:trHeight w:val="2608"/>
        </w:trPr>
        <w:tc>
          <w:tcPr>
            <w:tcW w:w="867" w:type="pct"/>
          </w:tcPr>
          <w:p w14:paraId="0B70F7B9" w14:textId="77777777" w:rsidR="00717847" w:rsidRPr="00FE4491" w:rsidRDefault="00717847" w:rsidP="003D1754">
            <w:pPr>
              <w:pStyle w:val="TableTextColumnHeading"/>
            </w:pPr>
            <w:r w:rsidRPr="00FE4491">
              <w:rPr>
                <w:noProof/>
                <w:lang w:eastAsia="en-AU"/>
              </w:rPr>
              <w:drawing>
                <wp:anchor distT="0" distB="0" distL="114300" distR="114300" simplePos="0" relativeHeight="251697152" behindDoc="0" locked="0" layoutInCell="1" allowOverlap="1" wp14:anchorId="0B70FB7C" wp14:editId="0B70FB7D">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491">
              <w:t>Initiative name</w:t>
            </w:r>
          </w:p>
        </w:tc>
        <w:tc>
          <w:tcPr>
            <w:tcW w:w="995" w:type="pct"/>
            <w:textDirection w:val="btLr"/>
          </w:tcPr>
          <w:p w14:paraId="0B70F7BA" w14:textId="77777777" w:rsidR="00717847" w:rsidRPr="00FE4491" w:rsidRDefault="00717847" w:rsidP="003D1754">
            <w:pPr>
              <w:pStyle w:val="TableTextColumnHeading"/>
            </w:pPr>
            <w:r w:rsidRPr="00FE4491">
              <w:t>Approved budget and duration</w:t>
            </w:r>
          </w:p>
        </w:tc>
        <w:tc>
          <w:tcPr>
            <w:tcW w:w="500" w:type="pct"/>
            <w:textDirection w:val="btLr"/>
          </w:tcPr>
          <w:p w14:paraId="0B70F7BB" w14:textId="77777777" w:rsidR="00717847" w:rsidRPr="00FE4491" w:rsidRDefault="00717847" w:rsidP="003D1754">
            <w:pPr>
              <w:pStyle w:val="TableTextColumnHeading"/>
            </w:pPr>
            <w:r>
              <w:t>QAI</w:t>
            </w:r>
            <w:r w:rsidRPr="00FE4491">
              <w:t xml:space="preserve"> year</w:t>
            </w:r>
          </w:p>
        </w:tc>
        <w:tc>
          <w:tcPr>
            <w:tcW w:w="300" w:type="pct"/>
            <w:textDirection w:val="btLr"/>
          </w:tcPr>
          <w:p w14:paraId="0B70F7BC" w14:textId="77777777" w:rsidR="00717847" w:rsidRPr="00FE4491" w:rsidRDefault="00717847" w:rsidP="003D1754">
            <w:pPr>
              <w:pStyle w:val="TableTextColumnHeading"/>
            </w:pPr>
            <w:r w:rsidRPr="00FE4491">
              <w:t>Relevance</w:t>
            </w:r>
          </w:p>
        </w:tc>
        <w:tc>
          <w:tcPr>
            <w:tcW w:w="300" w:type="pct"/>
            <w:textDirection w:val="btLr"/>
          </w:tcPr>
          <w:p w14:paraId="0B70F7BD" w14:textId="77777777" w:rsidR="00717847" w:rsidRPr="00FE4491" w:rsidRDefault="00717847" w:rsidP="003D1754">
            <w:pPr>
              <w:pStyle w:val="TableTextColumnHeading"/>
            </w:pPr>
            <w:r w:rsidRPr="00FE4491">
              <w:t>Effectiveness</w:t>
            </w:r>
          </w:p>
        </w:tc>
        <w:tc>
          <w:tcPr>
            <w:tcW w:w="300" w:type="pct"/>
            <w:textDirection w:val="btLr"/>
          </w:tcPr>
          <w:p w14:paraId="0B70F7BE" w14:textId="77777777" w:rsidR="00717847" w:rsidRPr="00FE4491" w:rsidRDefault="00717847" w:rsidP="003D1754">
            <w:pPr>
              <w:pStyle w:val="TableTextColumnHeading"/>
            </w:pPr>
            <w:r w:rsidRPr="00FE4491">
              <w:t>Efficiency</w:t>
            </w:r>
          </w:p>
        </w:tc>
        <w:tc>
          <w:tcPr>
            <w:tcW w:w="300" w:type="pct"/>
            <w:textDirection w:val="btLr"/>
          </w:tcPr>
          <w:p w14:paraId="0B70F7BF" w14:textId="77777777" w:rsidR="00717847" w:rsidRPr="00FE4491" w:rsidRDefault="00717847" w:rsidP="003D1754">
            <w:pPr>
              <w:pStyle w:val="TableTextColumnHeading"/>
            </w:pPr>
            <w:r w:rsidRPr="00FE4491">
              <w:t xml:space="preserve">Monitoring and </w:t>
            </w:r>
            <w:r>
              <w:t>e</w:t>
            </w:r>
            <w:r w:rsidRPr="00FE4491">
              <w:t>valuation</w:t>
            </w:r>
          </w:p>
        </w:tc>
        <w:tc>
          <w:tcPr>
            <w:tcW w:w="300" w:type="pct"/>
            <w:textDirection w:val="btLr"/>
          </w:tcPr>
          <w:p w14:paraId="0B70F7C0" w14:textId="77777777" w:rsidR="00717847" w:rsidRPr="00FE4491" w:rsidRDefault="00717847" w:rsidP="003D1754">
            <w:pPr>
              <w:pStyle w:val="TableTextColumnHeading"/>
            </w:pPr>
            <w:r w:rsidRPr="00FE4491">
              <w:t>Sustainability</w:t>
            </w:r>
          </w:p>
        </w:tc>
        <w:tc>
          <w:tcPr>
            <w:tcW w:w="300" w:type="pct"/>
            <w:textDirection w:val="btLr"/>
          </w:tcPr>
          <w:p w14:paraId="0B70F7C1" w14:textId="77777777" w:rsidR="00717847" w:rsidRPr="00FE4491" w:rsidRDefault="00717847" w:rsidP="003D1754">
            <w:pPr>
              <w:pStyle w:val="TableTextColumnHeading"/>
            </w:pPr>
            <w:r w:rsidRPr="00FE4491">
              <w:t>Gender equality</w:t>
            </w:r>
          </w:p>
        </w:tc>
        <w:tc>
          <w:tcPr>
            <w:tcW w:w="300" w:type="pct"/>
            <w:textDirection w:val="btLr"/>
          </w:tcPr>
          <w:p w14:paraId="0B70F7C2" w14:textId="77777777" w:rsidR="00717847" w:rsidRPr="00FE4491" w:rsidRDefault="00717847" w:rsidP="003D1754">
            <w:pPr>
              <w:pStyle w:val="TableTextColumnHeading"/>
            </w:pPr>
            <w:r w:rsidRPr="00FE4491">
              <w:t xml:space="preserve">Risk </w:t>
            </w:r>
            <w:r>
              <w:t>m</w:t>
            </w:r>
            <w:r w:rsidRPr="00FE4491">
              <w:t>anagement</w:t>
            </w:r>
          </w:p>
        </w:tc>
      </w:tr>
      <w:tr w:rsidR="006264ED" w:rsidRPr="009D53C4" w14:paraId="0B70F7CF" w14:textId="77777777" w:rsidTr="007923A5">
        <w:trPr>
          <w:tblHeader w:val="0"/>
        </w:trPr>
        <w:tc>
          <w:tcPr>
            <w:tcW w:w="867" w:type="pct"/>
            <w:vMerge w:val="restart"/>
          </w:tcPr>
          <w:p w14:paraId="0B70F7C4" w14:textId="77777777" w:rsidR="00717847" w:rsidRPr="00E50DCD" w:rsidRDefault="00717847" w:rsidP="008E0AE1">
            <w:pPr>
              <w:pStyle w:val="TableTextEntries"/>
              <w:rPr>
                <w:i/>
              </w:rPr>
            </w:pPr>
            <w:r w:rsidRPr="00E50DCD">
              <w:rPr>
                <w:i/>
              </w:rPr>
              <w:t>Strongim Pipol Strongim Nesen</w:t>
            </w:r>
          </w:p>
        </w:tc>
        <w:tc>
          <w:tcPr>
            <w:tcW w:w="995" w:type="pct"/>
            <w:vMerge w:val="restart"/>
          </w:tcPr>
          <w:p w14:paraId="0B70F7C5" w14:textId="77777777" w:rsidR="00717847" w:rsidRDefault="00717847" w:rsidP="003D1754">
            <w:pPr>
              <w:pStyle w:val="TableTextEntries"/>
            </w:pPr>
            <w:r>
              <w:t>$105 000,000</w:t>
            </w:r>
          </w:p>
          <w:p w14:paraId="0B70F7C6" w14:textId="77777777" w:rsidR="00717847" w:rsidRPr="009D53C4" w:rsidRDefault="00717847" w:rsidP="003D1754">
            <w:pPr>
              <w:pStyle w:val="TableTextEntries"/>
            </w:pPr>
            <w:r>
              <w:t>01/07/2009– 30/06/2014</w:t>
            </w:r>
          </w:p>
        </w:tc>
        <w:tc>
          <w:tcPr>
            <w:tcW w:w="500" w:type="pct"/>
          </w:tcPr>
          <w:p w14:paraId="0B70F7C7"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7C8" w14:textId="77777777" w:rsidR="00717847" w:rsidRPr="009D53C4" w:rsidRDefault="00717847" w:rsidP="003D1754">
            <w:pPr>
              <w:pStyle w:val="TableTextEntries"/>
              <w:jc w:val="center"/>
              <w:rPr>
                <w:bCs/>
              </w:rPr>
            </w:pPr>
            <w:r>
              <w:rPr>
                <w:bCs/>
              </w:rPr>
              <w:t>5</w:t>
            </w:r>
          </w:p>
        </w:tc>
        <w:tc>
          <w:tcPr>
            <w:tcW w:w="300" w:type="pct"/>
            <w:tcBorders>
              <w:top w:val="nil"/>
              <w:bottom w:val="nil"/>
            </w:tcBorders>
            <w:shd w:val="clear" w:color="auto" w:fill="FFFF00"/>
            <w:noWrap/>
          </w:tcPr>
          <w:p w14:paraId="0B70F7C9" w14:textId="77777777" w:rsidR="00717847" w:rsidRPr="009D53C4" w:rsidRDefault="00717847" w:rsidP="003D1754">
            <w:pPr>
              <w:pStyle w:val="TableTextEntries"/>
              <w:jc w:val="center"/>
              <w:rPr>
                <w:bCs/>
              </w:rPr>
            </w:pPr>
            <w:r>
              <w:rPr>
                <w:bCs/>
              </w:rPr>
              <w:t>4</w:t>
            </w:r>
          </w:p>
        </w:tc>
        <w:tc>
          <w:tcPr>
            <w:tcW w:w="300" w:type="pct"/>
            <w:tcBorders>
              <w:top w:val="nil"/>
              <w:bottom w:val="nil"/>
            </w:tcBorders>
            <w:shd w:val="clear" w:color="auto" w:fill="F79646" w:themeFill="accent6"/>
            <w:noWrap/>
          </w:tcPr>
          <w:p w14:paraId="0B70F7CA" w14:textId="77777777" w:rsidR="00717847" w:rsidRPr="009D53C4" w:rsidRDefault="00717847" w:rsidP="003D1754">
            <w:pPr>
              <w:pStyle w:val="TableTextEntries"/>
              <w:jc w:val="center"/>
              <w:rPr>
                <w:bCs/>
              </w:rPr>
            </w:pPr>
            <w:r>
              <w:rPr>
                <w:bCs/>
              </w:rPr>
              <w:t>3</w:t>
            </w:r>
          </w:p>
        </w:tc>
        <w:tc>
          <w:tcPr>
            <w:tcW w:w="300" w:type="pct"/>
            <w:tcBorders>
              <w:top w:val="nil"/>
              <w:bottom w:val="nil"/>
            </w:tcBorders>
            <w:shd w:val="clear" w:color="auto" w:fill="F79646" w:themeFill="accent6"/>
            <w:noWrap/>
          </w:tcPr>
          <w:p w14:paraId="0B70F7CB" w14:textId="77777777" w:rsidR="00717847" w:rsidRPr="009D53C4" w:rsidRDefault="00717847" w:rsidP="003D1754">
            <w:pPr>
              <w:pStyle w:val="TableTextEntries"/>
              <w:jc w:val="center"/>
              <w:rPr>
                <w:bCs/>
              </w:rPr>
            </w:pPr>
            <w:r>
              <w:rPr>
                <w:bCs/>
              </w:rPr>
              <w:t>3</w:t>
            </w:r>
          </w:p>
        </w:tc>
        <w:tc>
          <w:tcPr>
            <w:tcW w:w="300" w:type="pct"/>
            <w:tcBorders>
              <w:top w:val="nil"/>
              <w:bottom w:val="nil"/>
            </w:tcBorders>
            <w:shd w:val="clear" w:color="auto" w:fill="FFFF00"/>
            <w:noWrap/>
          </w:tcPr>
          <w:p w14:paraId="0B70F7CC" w14:textId="77777777" w:rsidR="00717847" w:rsidRPr="009D53C4" w:rsidRDefault="00717847" w:rsidP="003D1754">
            <w:pPr>
              <w:pStyle w:val="TableTextEntries"/>
              <w:jc w:val="center"/>
              <w:rPr>
                <w:bCs/>
              </w:rPr>
            </w:pPr>
            <w:r>
              <w:rPr>
                <w:bCs/>
              </w:rPr>
              <w:t>4</w:t>
            </w:r>
          </w:p>
        </w:tc>
        <w:tc>
          <w:tcPr>
            <w:tcW w:w="300" w:type="pct"/>
            <w:tcBorders>
              <w:top w:val="nil"/>
              <w:bottom w:val="nil"/>
            </w:tcBorders>
            <w:shd w:val="clear" w:color="auto" w:fill="92D050"/>
            <w:noWrap/>
          </w:tcPr>
          <w:p w14:paraId="0B70F7CD" w14:textId="77777777" w:rsidR="00717847" w:rsidRPr="009D53C4" w:rsidRDefault="00717847" w:rsidP="003D1754">
            <w:pPr>
              <w:pStyle w:val="TableTextEntries"/>
              <w:jc w:val="center"/>
              <w:rPr>
                <w:bCs/>
              </w:rPr>
            </w:pPr>
            <w:r>
              <w:rPr>
                <w:bCs/>
              </w:rPr>
              <w:t>5</w:t>
            </w:r>
          </w:p>
        </w:tc>
        <w:tc>
          <w:tcPr>
            <w:tcW w:w="300" w:type="pct"/>
            <w:noWrap/>
          </w:tcPr>
          <w:p w14:paraId="0B70F7CE" w14:textId="77777777" w:rsidR="00717847" w:rsidRPr="00FE4491" w:rsidRDefault="00717847" w:rsidP="008E0AE1">
            <w:pPr>
              <w:pStyle w:val="TableTextEntries"/>
              <w:jc w:val="center"/>
            </w:pPr>
          </w:p>
        </w:tc>
      </w:tr>
      <w:tr w:rsidR="006264ED" w:rsidRPr="009D53C4" w14:paraId="0B70F7DA"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vMerge/>
          </w:tcPr>
          <w:p w14:paraId="0B70F7D0" w14:textId="77777777" w:rsidR="00717847" w:rsidRPr="007545FC" w:rsidRDefault="00717847" w:rsidP="008E0AE1">
            <w:pPr>
              <w:pStyle w:val="TableTextEntries"/>
            </w:pPr>
          </w:p>
        </w:tc>
        <w:tc>
          <w:tcPr>
            <w:tcW w:w="995" w:type="pct"/>
            <w:vMerge/>
          </w:tcPr>
          <w:p w14:paraId="0B70F7D1" w14:textId="77777777" w:rsidR="00717847" w:rsidRPr="00FE4491" w:rsidRDefault="00717847" w:rsidP="003D1754">
            <w:pPr>
              <w:pStyle w:val="TableTextEntries"/>
            </w:pPr>
          </w:p>
        </w:tc>
        <w:tc>
          <w:tcPr>
            <w:tcW w:w="500" w:type="pct"/>
          </w:tcPr>
          <w:p w14:paraId="0B70F7D2" w14:textId="77777777" w:rsidR="00717847" w:rsidRPr="00FE4491" w:rsidRDefault="00717847" w:rsidP="003D1754">
            <w:pPr>
              <w:pStyle w:val="TableTextEntries"/>
            </w:pPr>
            <w:r>
              <w:t>2011</w:t>
            </w:r>
          </w:p>
        </w:tc>
        <w:tc>
          <w:tcPr>
            <w:tcW w:w="300" w:type="pct"/>
            <w:shd w:val="clear" w:color="auto" w:fill="92D050"/>
            <w:noWrap/>
          </w:tcPr>
          <w:p w14:paraId="0B70F7D3" w14:textId="77777777" w:rsidR="00717847" w:rsidRPr="0024084C" w:rsidRDefault="00717847" w:rsidP="003D1754">
            <w:pPr>
              <w:pStyle w:val="TableTextEntries"/>
              <w:jc w:val="center"/>
              <w:rPr>
                <w:bCs/>
              </w:rPr>
            </w:pPr>
            <w:r>
              <w:rPr>
                <w:bCs/>
              </w:rPr>
              <w:t>6</w:t>
            </w:r>
          </w:p>
        </w:tc>
        <w:tc>
          <w:tcPr>
            <w:tcW w:w="300" w:type="pct"/>
            <w:shd w:val="clear" w:color="auto" w:fill="92D050"/>
            <w:noWrap/>
          </w:tcPr>
          <w:p w14:paraId="0B70F7D4" w14:textId="77777777" w:rsidR="00717847" w:rsidRPr="009D53C4" w:rsidRDefault="00717847" w:rsidP="003D1754">
            <w:pPr>
              <w:pStyle w:val="TableTextEntries"/>
              <w:jc w:val="center"/>
              <w:rPr>
                <w:bCs/>
              </w:rPr>
            </w:pPr>
            <w:r>
              <w:rPr>
                <w:bCs/>
              </w:rPr>
              <w:t>5</w:t>
            </w:r>
          </w:p>
        </w:tc>
        <w:tc>
          <w:tcPr>
            <w:tcW w:w="300" w:type="pct"/>
            <w:shd w:val="clear" w:color="auto" w:fill="FFFF00"/>
            <w:noWrap/>
          </w:tcPr>
          <w:p w14:paraId="0B70F7D5" w14:textId="77777777" w:rsidR="00717847" w:rsidRPr="00FE4491" w:rsidRDefault="00717847" w:rsidP="003D1754">
            <w:pPr>
              <w:pStyle w:val="TableTextEntries"/>
              <w:jc w:val="center"/>
            </w:pPr>
            <w:r>
              <w:rPr>
                <w:bCs/>
              </w:rPr>
              <w:t>4</w:t>
            </w:r>
          </w:p>
        </w:tc>
        <w:tc>
          <w:tcPr>
            <w:tcW w:w="300" w:type="pct"/>
            <w:shd w:val="clear" w:color="auto" w:fill="92D050"/>
            <w:noWrap/>
          </w:tcPr>
          <w:p w14:paraId="0B70F7D6" w14:textId="77777777" w:rsidR="00717847" w:rsidRPr="00FE4491" w:rsidRDefault="00717847" w:rsidP="003D1754">
            <w:pPr>
              <w:pStyle w:val="TableTextEntries"/>
              <w:jc w:val="center"/>
            </w:pPr>
            <w:r>
              <w:rPr>
                <w:bCs/>
              </w:rPr>
              <w:t>5</w:t>
            </w:r>
          </w:p>
        </w:tc>
        <w:tc>
          <w:tcPr>
            <w:tcW w:w="300" w:type="pct"/>
            <w:shd w:val="clear" w:color="auto" w:fill="92D050"/>
            <w:noWrap/>
          </w:tcPr>
          <w:p w14:paraId="0B70F7D7" w14:textId="77777777" w:rsidR="00717847" w:rsidRPr="00FE4491" w:rsidRDefault="00717847" w:rsidP="003D1754">
            <w:pPr>
              <w:pStyle w:val="TableTextEntries"/>
              <w:jc w:val="center"/>
            </w:pPr>
            <w:r>
              <w:rPr>
                <w:bCs/>
              </w:rPr>
              <w:t>5</w:t>
            </w:r>
          </w:p>
        </w:tc>
        <w:tc>
          <w:tcPr>
            <w:tcW w:w="300" w:type="pct"/>
            <w:shd w:val="clear" w:color="auto" w:fill="92D050"/>
            <w:noWrap/>
          </w:tcPr>
          <w:p w14:paraId="0B70F7D8" w14:textId="77777777" w:rsidR="00717847" w:rsidRPr="00FE4491" w:rsidRDefault="00717847" w:rsidP="003D1754">
            <w:pPr>
              <w:pStyle w:val="TableTextEntries"/>
              <w:jc w:val="center"/>
            </w:pPr>
            <w:r>
              <w:rPr>
                <w:bCs/>
              </w:rPr>
              <w:t>5</w:t>
            </w:r>
          </w:p>
        </w:tc>
        <w:tc>
          <w:tcPr>
            <w:tcW w:w="300" w:type="pct"/>
            <w:noWrap/>
          </w:tcPr>
          <w:p w14:paraId="0B70F7D9" w14:textId="77777777" w:rsidR="00717847" w:rsidRPr="00FE4491" w:rsidRDefault="00717847" w:rsidP="008E0AE1">
            <w:pPr>
              <w:pStyle w:val="TableTextEntries"/>
              <w:jc w:val="center"/>
            </w:pPr>
          </w:p>
        </w:tc>
      </w:tr>
      <w:tr w:rsidR="006264ED" w:rsidRPr="009D53C4" w14:paraId="0B70F7E7" w14:textId="77777777" w:rsidTr="007923A5">
        <w:trPr>
          <w:tblHeader w:val="0"/>
        </w:trPr>
        <w:tc>
          <w:tcPr>
            <w:tcW w:w="867" w:type="pct"/>
            <w:vMerge w:val="restart"/>
          </w:tcPr>
          <w:p w14:paraId="0B70F7DB" w14:textId="77777777" w:rsidR="00717847" w:rsidRPr="007545FC" w:rsidRDefault="00717847" w:rsidP="008E0AE1">
            <w:pPr>
              <w:pStyle w:val="TableTextEntries"/>
            </w:pPr>
            <w:r w:rsidRPr="007545FC">
              <w:t>CARE Integrated Community Development Program</w:t>
            </w:r>
          </w:p>
        </w:tc>
        <w:tc>
          <w:tcPr>
            <w:tcW w:w="995" w:type="pct"/>
            <w:vMerge w:val="restart"/>
          </w:tcPr>
          <w:p w14:paraId="0B70F7DC" w14:textId="77777777" w:rsidR="00717847" w:rsidRDefault="00717847" w:rsidP="003D1754">
            <w:pPr>
              <w:pStyle w:val="TableTextEntries"/>
            </w:pPr>
            <w:r>
              <w:t xml:space="preserve">$6,390,000  </w:t>
            </w:r>
          </w:p>
          <w:p w14:paraId="0B70F7DD" w14:textId="77777777" w:rsidR="00717847" w:rsidRDefault="00717847" w:rsidP="003D1754">
            <w:pPr>
              <w:pStyle w:val="TableTextEntries"/>
            </w:pPr>
            <w:r>
              <w:t>01/02/2010–</w:t>
            </w:r>
          </w:p>
          <w:p w14:paraId="0B70F7DE" w14:textId="77777777" w:rsidR="00717847" w:rsidRPr="009D53C4" w:rsidRDefault="00717847" w:rsidP="003D1754">
            <w:pPr>
              <w:pStyle w:val="TableTextEntries"/>
            </w:pPr>
            <w:r>
              <w:t>30/06/2013</w:t>
            </w:r>
          </w:p>
        </w:tc>
        <w:tc>
          <w:tcPr>
            <w:tcW w:w="500" w:type="pct"/>
          </w:tcPr>
          <w:p w14:paraId="0B70F7DF"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7E0"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7E1"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7E2" w14:textId="77777777" w:rsidR="00717847" w:rsidRPr="009D53C4" w:rsidRDefault="00717847" w:rsidP="003D1754">
            <w:pPr>
              <w:pStyle w:val="TableTextEntries"/>
              <w:jc w:val="center"/>
            </w:pPr>
            <w:r>
              <w:t>3</w:t>
            </w:r>
          </w:p>
        </w:tc>
        <w:tc>
          <w:tcPr>
            <w:tcW w:w="300" w:type="pct"/>
            <w:tcBorders>
              <w:top w:val="nil"/>
              <w:bottom w:val="nil"/>
            </w:tcBorders>
            <w:shd w:val="clear" w:color="auto" w:fill="F79646" w:themeFill="accent6"/>
            <w:noWrap/>
          </w:tcPr>
          <w:p w14:paraId="0B70F7E3"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7E4"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7E5" w14:textId="77777777" w:rsidR="00717847" w:rsidRPr="009D53C4" w:rsidRDefault="00717847" w:rsidP="003D1754">
            <w:pPr>
              <w:pStyle w:val="TableTextEntries"/>
              <w:jc w:val="center"/>
            </w:pPr>
            <w:r>
              <w:t>5</w:t>
            </w:r>
          </w:p>
        </w:tc>
        <w:tc>
          <w:tcPr>
            <w:tcW w:w="300" w:type="pct"/>
            <w:noWrap/>
          </w:tcPr>
          <w:p w14:paraId="0B70F7E6" w14:textId="77777777" w:rsidR="00717847" w:rsidRPr="00FE4491" w:rsidRDefault="00717847" w:rsidP="008E0AE1">
            <w:pPr>
              <w:pStyle w:val="TableTextEntries"/>
              <w:jc w:val="center"/>
            </w:pPr>
          </w:p>
        </w:tc>
      </w:tr>
      <w:tr w:rsidR="006264ED" w:rsidRPr="009D53C4" w14:paraId="0B70F7F2"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vMerge/>
          </w:tcPr>
          <w:p w14:paraId="0B70F7E8" w14:textId="77777777" w:rsidR="00717847" w:rsidRPr="00FE4491" w:rsidRDefault="00717847" w:rsidP="008E0AE1">
            <w:pPr>
              <w:pStyle w:val="TableTextEntries"/>
            </w:pPr>
          </w:p>
        </w:tc>
        <w:tc>
          <w:tcPr>
            <w:tcW w:w="995" w:type="pct"/>
            <w:vMerge/>
          </w:tcPr>
          <w:p w14:paraId="0B70F7E9" w14:textId="77777777" w:rsidR="00717847" w:rsidRPr="00FE4491" w:rsidRDefault="00717847" w:rsidP="003D1754">
            <w:pPr>
              <w:pStyle w:val="TableTextEntries"/>
            </w:pPr>
          </w:p>
        </w:tc>
        <w:tc>
          <w:tcPr>
            <w:tcW w:w="500" w:type="pct"/>
          </w:tcPr>
          <w:p w14:paraId="0B70F7EA" w14:textId="77777777" w:rsidR="00717847" w:rsidRPr="00FE4491" w:rsidRDefault="00717847" w:rsidP="003D1754">
            <w:pPr>
              <w:pStyle w:val="TableTextEntries"/>
            </w:pPr>
            <w:r>
              <w:t>2011</w:t>
            </w:r>
          </w:p>
        </w:tc>
        <w:tc>
          <w:tcPr>
            <w:tcW w:w="300" w:type="pct"/>
            <w:shd w:val="clear" w:color="auto" w:fill="92D050"/>
            <w:noWrap/>
          </w:tcPr>
          <w:p w14:paraId="0B70F7EB" w14:textId="77777777" w:rsidR="00717847" w:rsidRPr="00FE4491" w:rsidRDefault="00717847" w:rsidP="003D1754">
            <w:pPr>
              <w:pStyle w:val="TableTextEntries"/>
              <w:jc w:val="center"/>
            </w:pPr>
            <w:r>
              <w:t>6</w:t>
            </w:r>
          </w:p>
        </w:tc>
        <w:tc>
          <w:tcPr>
            <w:tcW w:w="300" w:type="pct"/>
            <w:shd w:val="clear" w:color="auto" w:fill="92D050"/>
            <w:noWrap/>
          </w:tcPr>
          <w:p w14:paraId="0B70F7EC" w14:textId="77777777" w:rsidR="00717847" w:rsidRPr="00FE4491" w:rsidRDefault="00717847" w:rsidP="003D1754">
            <w:pPr>
              <w:pStyle w:val="TableTextEntries"/>
              <w:jc w:val="center"/>
            </w:pPr>
            <w:r>
              <w:t>5</w:t>
            </w:r>
          </w:p>
        </w:tc>
        <w:tc>
          <w:tcPr>
            <w:tcW w:w="300" w:type="pct"/>
            <w:shd w:val="clear" w:color="auto" w:fill="FFFF00"/>
            <w:noWrap/>
          </w:tcPr>
          <w:p w14:paraId="0B70F7ED" w14:textId="77777777" w:rsidR="00717847" w:rsidRPr="00FE4491" w:rsidRDefault="00717847" w:rsidP="003D1754">
            <w:pPr>
              <w:pStyle w:val="TableTextEntries"/>
              <w:jc w:val="center"/>
            </w:pPr>
            <w:r>
              <w:t>4</w:t>
            </w:r>
          </w:p>
        </w:tc>
        <w:tc>
          <w:tcPr>
            <w:tcW w:w="300" w:type="pct"/>
            <w:shd w:val="clear" w:color="auto" w:fill="92D050"/>
            <w:noWrap/>
          </w:tcPr>
          <w:p w14:paraId="0B70F7EE" w14:textId="77777777" w:rsidR="00717847" w:rsidRPr="00FE4491" w:rsidRDefault="00717847" w:rsidP="003D1754">
            <w:pPr>
              <w:pStyle w:val="TableTextEntries"/>
              <w:jc w:val="center"/>
            </w:pPr>
            <w:r>
              <w:t>5</w:t>
            </w:r>
          </w:p>
        </w:tc>
        <w:tc>
          <w:tcPr>
            <w:tcW w:w="300" w:type="pct"/>
            <w:shd w:val="clear" w:color="auto" w:fill="92D050"/>
            <w:noWrap/>
          </w:tcPr>
          <w:p w14:paraId="0B70F7EF" w14:textId="77777777" w:rsidR="00717847" w:rsidRPr="00FE4491" w:rsidRDefault="00717847" w:rsidP="003D1754">
            <w:pPr>
              <w:pStyle w:val="TableTextEntries"/>
              <w:jc w:val="center"/>
            </w:pPr>
            <w:r>
              <w:t>5</w:t>
            </w:r>
          </w:p>
        </w:tc>
        <w:tc>
          <w:tcPr>
            <w:tcW w:w="300" w:type="pct"/>
            <w:shd w:val="clear" w:color="auto" w:fill="92D050"/>
            <w:noWrap/>
          </w:tcPr>
          <w:p w14:paraId="0B70F7F0" w14:textId="77777777" w:rsidR="00717847" w:rsidRPr="00FE4491" w:rsidRDefault="00717847" w:rsidP="003D1754">
            <w:pPr>
              <w:pStyle w:val="TableTextEntries"/>
              <w:jc w:val="center"/>
            </w:pPr>
            <w:r>
              <w:t>5</w:t>
            </w:r>
          </w:p>
        </w:tc>
        <w:tc>
          <w:tcPr>
            <w:tcW w:w="300" w:type="pct"/>
            <w:noWrap/>
          </w:tcPr>
          <w:p w14:paraId="0B70F7F1" w14:textId="77777777" w:rsidR="00717847" w:rsidRPr="00FE4491" w:rsidRDefault="00717847" w:rsidP="008E0AE1">
            <w:pPr>
              <w:pStyle w:val="TableTextEntries"/>
              <w:jc w:val="center"/>
            </w:pPr>
          </w:p>
        </w:tc>
      </w:tr>
      <w:tr w:rsidR="006264ED" w:rsidRPr="009D53C4" w14:paraId="0B70F7FE" w14:textId="77777777" w:rsidTr="007923A5">
        <w:trPr>
          <w:tblHeader w:val="0"/>
        </w:trPr>
        <w:tc>
          <w:tcPr>
            <w:tcW w:w="867" w:type="pct"/>
          </w:tcPr>
          <w:p w14:paraId="0B70F7F3" w14:textId="77777777" w:rsidR="00717847" w:rsidRPr="009D53C4" w:rsidRDefault="00717847" w:rsidP="008E0AE1">
            <w:pPr>
              <w:pStyle w:val="TableTextEntries"/>
            </w:pPr>
            <w:r>
              <w:t>Church Partnership Program Phase 2</w:t>
            </w:r>
          </w:p>
        </w:tc>
        <w:tc>
          <w:tcPr>
            <w:tcW w:w="995" w:type="pct"/>
          </w:tcPr>
          <w:p w14:paraId="0B70F7F4" w14:textId="77777777" w:rsidR="00717847" w:rsidRDefault="00717847" w:rsidP="003D1754">
            <w:pPr>
              <w:pStyle w:val="TableTextEntries"/>
            </w:pPr>
            <w:r>
              <w:t>$50,000,000</w:t>
            </w:r>
          </w:p>
          <w:p w14:paraId="0B70F7F5" w14:textId="77777777" w:rsidR="00717847" w:rsidRPr="009D53C4" w:rsidRDefault="00717847" w:rsidP="003D1754">
            <w:pPr>
              <w:pStyle w:val="TableTextEntries"/>
            </w:pPr>
            <w:r>
              <w:t>01/07/2010–30/06/2016</w:t>
            </w:r>
          </w:p>
        </w:tc>
        <w:tc>
          <w:tcPr>
            <w:tcW w:w="500" w:type="pct"/>
          </w:tcPr>
          <w:p w14:paraId="0B70F7F6"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7F7" w14:textId="77777777" w:rsidR="00717847" w:rsidRPr="009D53C4" w:rsidRDefault="00717847" w:rsidP="003D1754">
            <w:pPr>
              <w:pStyle w:val="TableTextEntries"/>
              <w:jc w:val="center"/>
            </w:pPr>
            <w:r>
              <w:t>6</w:t>
            </w:r>
          </w:p>
        </w:tc>
        <w:tc>
          <w:tcPr>
            <w:tcW w:w="300" w:type="pct"/>
            <w:tcBorders>
              <w:top w:val="nil"/>
              <w:bottom w:val="nil"/>
            </w:tcBorders>
            <w:shd w:val="clear" w:color="auto" w:fill="92D050"/>
            <w:noWrap/>
          </w:tcPr>
          <w:p w14:paraId="0B70F7F8"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7F9"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7FA" w14:textId="77777777" w:rsidR="00717847" w:rsidRPr="009D53C4" w:rsidRDefault="00717847" w:rsidP="003D1754">
            <w:pPr>
              <w:pStyle w:val="TableTextEntries"/>
              <w:jc w:val="center"/>
            </w:pPr>
            <w:r>
              <w:t>3</w:t>
            </w:r>
          </w:p>
        </w:tc>
        <w:tc>
          <w:tcPr>
            <w:tcW w:w="300" w:type="pct"/>
            <w:tcBorders>
              <w:top w:val="nil"/>
              <w:bottom w:val="nil"/>
            </w:tcBorders>
            <w:shd w:val="clear" w:color="auto" w:fill="92D050"/>
            <w:noWrap/>
          </w:tcPr>
          <w:p w14:paraId="0B70F7FB"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7FC" w14:textId="77777777" w:rsidR="00717847" w:rsidRPr="009D53C4" w:rsidRDefault="00717847" w:rsidP="003D1754">
            <w:pPr>
              <w:pStyle w:val="TableTextEntries"/>
              <w:jc w:val="center"/>
            </w:pPr>
            <w:r>
              <w:t>4</w:t>
            </w:r>
          </w:p>
        </w:tc>
        <w:tc>
          <w:tcPr>
            <w:tcW w:w="300" w:type="pct"/>
            <w:noWrap/>
          </w:tcPr>
          <w:p w14:paraId="0B70F7FD" w14:textId="77777777" w:rsidR="00717847" w:rsidRPr="00FE4491" w:rsidRDefault="00717847" w:rsidP="008E0AE1">
            <w:pPr>
              <w:pStyle w:val="TableTextEntries"/>
              <w:jc w:val="center"/>
            </w:pPr>
          </w:p>
        </w:tc>
      </w:tr>
      <w:tr w:rsidR="006264ED" w:rsidRPr="009D53C4" w14:paraId="0B70F809"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7FF" w14:textId="77777777" w:rsidR="00717847" w:rsidRPr="009D53C4" w:rsidRDefault="00717847" w:rsidP="008E0AE1">
            <w:pPr>
              <w:pStyle w:val="TableTextEntries"/>
            </w:pPr>
          </w:p>
        </w:tc>
        <w:tc>
          <w:tcPr>
            <w:tcW w:w="995" w:type="pct"/>
          </w:tcPr>
          <w:p w14:paraId="0B70F800" w14:textId="77777777" w:rsidR="00717847" w:rsidRPr="009D53C4" w:rsidRDefault="00717847" w:rsidP="003D1754">
            <w:pPr>
              <w:pStyle w:val="TableTextEntries"/>
            </w:pPr>
          </w:p>
        </w:tc>
        <w:tc>
          <w:tcPr>
            <w:tcW w:w="500" w:type="pct"/>
          </w:tcPr>
          <w:p w14:paraId="0B70F801" w14:textId="77777777" w:rsidR="00717847" w:rsidRPr="009D53C4" w:rsidRDefault="00717847" w:rsidP="003D1754">
            <w:pPr>
              <w:pStyle w:val="TableTextEntries"/>
            </w:pPr>
            <w:r>
              <w:t>2011</w:t>
            </w:r>
          </w:p>
        </w:tc>
        <w:tc>
          <w:tcPr>
            <w:tcW w:w="300" w:type="pct"/>
            <w:shd w:val="clear" w:color="auto" w:fill="FFFF00"/>
            <w:noWrap/>
          </w:tcPr>
          <w:p w14:paraId="0B70F802" w14:textId="77777777" w:rsidR="00717847" w:rsidRPr="009D53C4" w:rsidRDefault="00717847" w:rsidP="003D1754">
            <w:pPr>
              <w:pStyle w:val="TableTextEntries"/>
              <w:jc w:val="center"/>
            </w:pPr>
            <w:r>
              <w:t>4</w:t>
            </w:r>
          </w:p>
        </w:tc>
        <w:tc>
          <w:tcPr>
            <w:tcW w:w="300" w:type="pct"/>
            <w:shd w:val="clear" w:color="auto" w:fill="FFFF00"/>
            <w:noWrap/>
          </w:tcPr>
          <w:p w14:paraId="0B70F803" w14:textId="77777777" w:rsidR="00717847" w:rsidRPr="009D53C4" w:rsidRDefault="00717847" w:rsidP="003D1754">
            <w:pPr>
              <w:pStyle w:val="TableTextEntries"/>
              <w:jc w:val="center"/>
            </w:pPr>
            <w:r>
              <w:t>4</w:t>
            </w:r>
          </w:p>
        </w:tc>
        <w:tc>
          <w:tcPr>
            <w:tcW w:w="300" w:type="pct"/>
            <w:shd w:val="clear" w:color="auto" w:fill="F79646" w:themeFill="accent6"/>
            <w:noWrap/>
          </w:tcPr>
          <w:p w14:paraId="0B70F804" w14:textId="77777777" w:rsidR="00717847" w:rsidRPr="009D53C4" w:rsidRDefault="00717847" w:rsidP="003D1754">
            <w:pPr>
              <w:pStyle w:val="TableTextEntries"/>
              <w:jc w:val="center"/>
            </w:pPr>
            <w:r>
              <w:t>3</w:t>
            </w:r>
          </w:p>
        </w:tc>
        <w:tc>
          <w:tcPr>
            <w:tcW w:w="300" w:type="pct"/>
            <w:shd w:val="clear" w:color="auto" w:fill="FFFF00"/>
            <w:noWrap/>
          </w:tcPr>
          <w:p w14:paraId="0B70F805" w14:textId="77777777" w:rsidR="00717847" w:rsidRPr="009D53C4" w:rsidRDefault="00717847" w:rsidP="003D1754">
            <w:pPr>
              <w:pStyle w:val="TableTextEntries"/>
              <w:jc w:val="center"/>
            </w:pPr>
            <w:r>
              <w:t>4</w:t>
            </w:r>
          </w:p>
        </w:tc>
        <w:tc>
          <w:tcPr>
            <w:tcW w:w="300" w:type="pct"/>
            <w:shd w:val="clear" w:color="auto" w:fill="FFFF00"/>
            <w:noWrap/>
          </w:tcPr>
          <w:p w14:paraId="0B70F806" w14:textId="77777777" w:rsidR="00717847" w:rsidRPr="009D53C4" w:rsidRDefault="00717847" w:rsidP="003D1754">
            <w:pPr>
              <w:pStyle w:val="TableTextEntries"/>
              <w:jc w:val="center"/>
            </w:pPr>
            <w:r>
              <w:t>4</w:t>
            </w:r>
          </w:p>
        </w:tc>
        <w:tc>
          <w:tcPr>
            <w:tcW w:w="300" w:type="pct"/>
            <w:shd w:val="clear" w:color="auto" w:fill="F79646" w:themeFill="accent6"/>
            <w:noWrap/>
          </w:tcPr>
          <w:p w14:paraId="0B70F807" w14:textId="77777777" w:rsidR="00717847" w:rsidRPr="009D53C4" w:rsidRDefault="00717847" w:rsidP="003D1754">
            <w:pPr>
              <w:pStyle w:val="TableTextEntries"/>
              <w:jc w:val="center"/>
            </w:pPr>
            <w:r>
              <w:t>3</w:t>
            </w:r>
          </w:p>
        </w:tc>
        <w:tc>
          <w:tcPr>
            <w:tcW w:w="300" w:type="pct"/>
            <w:noWrap/>
          </w:tcPr>
          <w:p w14:paraId="0B70F808" w14:textId="77777777" w:rsidR="00717847" w:rsidRPr="00FE4491" w:rsidRDefault="00717847" w:rsidP="008E0AE1">
            <w:pPr>
              <w:pStyle w:val="TableTextEntries"/>
              <w:jc w:val="center"/>
            </w:pPr>
          </w:p>
        </w:tc>
      </w:tr>
      <w:tr w:rsidR="006264ED" w:rsidRPr="009D53C4" w14:paraId="0B70F815" w14:textId="77777777" w:rsidTr="007923A5">
        <w:trPr>
          <w:tblHeader w:val="0"/>
        </w:trPr>
        <w:tc>
          <w:tcPr>
            <w:tcW w:w="867" w:type="pct"/>
          </w:tcPr>
          <w:p w14:paraId="0B70F80A" w14:textId="77777777" w:rsidR="00717847" w:rsidRPr="009D53C4" w:rsidRDefault="00717847" w:rsidP="008E0AE1">
            <w:pPr>
              <w:pStyle w:val="TableTextEntries"/>
            </w:pPr>
            <w:r>
              <w:t>PNG Electoral Support Program</w:t>
            </w:r>
          </w:p>
        </w:tc>
        <w:tc>
          <w:tcPr>
            <w:tcW w:w="995" w:type="pct"/>
          </w:tcPr>
          <w:p w14:paraId="0B70F80B" w14:textId="77777777" w:rsidR="00717847" w:rsidRDefault="00717847" w:rsidP="003D1754">
            <w:pPr>
              <w:pStyle w:val="TableTextEntries"/>
            </w:pPr>
            <w:r>
              <w:t>$20,562,143</w:t>
            </w:r>
          </w:p>
          <w:p w14:paraId="0B70F80C" w14:textId="77777777" w:rsidR="00717847" w:rsidRPr="009D53C4" w:rsidRDefault="00717847" w:rsidP="003D1754">
            <w:pPr>
              <w:pStyle w:val="TableTextEntries"/>
            </w:pPr>
            <w:r>
              <w:t>01/01/2011–30/06/2015</w:t>
            </w:r>
          </w:p>
        </w:tc>
        <w:tc>
          <w:tcPr>
            <w:tcW w:w="500" w:type="pct"/>
          </w:tcPr>
          <w:p w14:paraId="0B70F80D"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80E"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80F"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10"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811"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812"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813" w14:textId="77777777" w:rsidR="00717847" w:rsidRPr="009D53C4" w:rsidRDefault="00717847" w:rsidP="003D1754">
            <w:pPr>
              <w:pStyle w:val="TableTextEntries"/>
              <w:jc w:val="center"/>
            </w:pPr>
            <w:r>
              <w:t>5</w:t>
            </w:r>
          </w:p>
        </w:tc>
        <w:tc>
          <w:tcPr>
            <w:tcW w:w="300" w:type="pct"/>
            <w:noWrap/>
          </w:tcPr>
          <w:p w14:paraId="0B70F814" w14:textId="77777777" w:rsidR="00717847" w:rsidRPr="00FE4491" w:rsidRDefault="00717847" w:rsidP="008E0AE1">
            <w:pPr>
              <w:pStyle w:val="TableTextEntries"/>
              <w:jc w:val="center"/>
            </w:pPr>
          </w:p>
        </w:tc>
      </w:tr>
      <w:tr w:rsidR="006264ED" w:rsidRPr="009D53C4" w14:paraId="0B70F820"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816" w14:textId="77777777" w:rsidR="00717847" w:rsidRPr="009D53C4" w:rsidRDefault="00717847" w:rsidP="008E0AE1">
            <w:pPr>
              <w:pStyle w:val="TableTextEntries"/>
            </w:pPr>
          </w:p>
        </w:tc>
        <w:tc>
          <w:tcPr>
            <w:tcW w:w="995" w:type="pct"/>
          </w:tcPr>
          <w:p w14:paraId="0B70F817" w14:textId="77777777" w:rsidR="00717847" w:rsidRPr="009D53C4" w:rsidRDefault="00717847" w:rsidP="003D1754">
            <w:pPr>
              <w:pStyle w:val="TableTextEntries"/>
            </w:pPr>
          </w:p>
        </w:tc>
        <w:tc>
          <w:tcPr>
            <w:tcW w:w="500" w:type="pct"/>
          </w:tcPr>
          <w:p w14:paraId="0B70F818" w14:textId="77777777" w:rsidR="00717847" w:rsidRPr="009D53C4" w:rsidRDefault="00717847" w:rsidP="003D1754">
            <w:pPr>
              <w:pStyle w:val="TableTextEntries"/>
            </w:pPr>
            <w:r>
              <w:t>2011</w:t>
            </w:r>
          </w:p>
        </w:tc>
        <w:tc>
          <w:tcPr>
            <w:tcW w:w="300" w:type="pct"/>
            <w:shd w:val="clear" w:color="auto" w:fill="92D050"/>
            <w:noWrap/>
          </w:tcPr>
          <w:p w14:paraId="0B70F819" w14:textId="77777777" w:rsidR="00717847" w:rsidRPr="009D53C4" w:rsidRDefault="00717847" w:rsidP="003D1754">
            <w:pPr>
              <w:pStyle w:val="TableTextEntries"/>
              <w:jc w:val="center"/>
            </w:pPr>
            <w:r>
              <w:t>5</w:t>
            </w:r>
          </w:p>
        </w:tc>
        <w:tc>
          <w:tcPr>
            <w:tcW w:w="300" w:type="pct"/>
            <w:shd w:val="clear" w:color="auto" w:fill="92D050"/>
            <w:noWrap/>
          </w:tcPr>
          <w:p w14:paraId="0B70F81A" w14:textId="77777777" w:rsidR="00717847" w:rsidRPr="009D53C4" w:rsidRDefault="00717847" w:rsidP="003D1754">
            <w:pPr>
              <w:pStyle w:val="TableTextEntries"/>
              <w:jc w:val="center"/>
            </w:pPr>
            <w:r>
              <w:t>5</w:t>
            </w:r>
          </w:p>
        </w:tc>
        <w:tc>
          <w:tcPr>
            <w:tcW w:w="300" w:type="pct"/>
            <w:shd w:val="clear" w:color="auto" w:fill="92D050"/>
            <w:noWrap/>
          </w:tcPr>
          <w:p w14:paraId="0B70F81B" w14:textId="77777777" w:rsidR="00717847" w:rsidRPr="009D53C4" w:rsidRDefault="00717847" w:rsidP="003D1754">
            <w:pPr>
              <w:pStyle w:val="TableTextEntries"/>
              <w:jc w:val="center"/>
            </w:pPr>
            <w:r>
              <w:t>5</w:t>
            </w:r>
          </w:p>
        </w:tc>
        <w:tc>
          <w:tcPr>
            <w:tcW w:w="300" w:type="pct"/>
            <w:shd w:val="clear" w:color="auto" w:fill="92D050"/>
            <w:noWrap/>
          </w:tcPr>
          <w:p w14:paraId="0B70F81C" w14:textId="77777777" w:rsidR="00717847" w:rsidRPr="009D53C4" w:rsidRDefault="00717847" w:rsidP="003D1754">
            <w:pPr>
              <w:pStyle w:val="TableTextEntries"/>
              <w:jc w:val="center"/>
            </w:pPr>
            <w:r>
              <w:t>5</w:t>
            </w:r>
          </w:p>
        </w:tc>
        <w:tc>
          <w:tcPr>
            <w:tcW w:w="300" w:type="pct"/>
            <w:shd w:val="clear" w:color="auto" w:fill="FFFF00"/>
            <w:noWrap/>
          </w:tcPr>
          <w:p w14:paraId="0B70F81D" w14:textId="77777777" w:rsidR="00717847" w:rsidRPr="009D53C4" w:rsidRDefault="00717847" w:rsidP="003D1754">
            <w:pPr>
              <w:pStyle w:val="TableTextEntries"/>
              <w:jc w:val="center"/>
            </w:pPr>
            <w:r>
              <w:t>4</w:t>
            </w:r>
          </w:p>
        </w:tc>
        <w:tc>
          <w:tcPr>
            <w:tcW w:w="300" w:type="pct"/>
            <w:shd w:val="clear" w:color="auto" w:fill="92D050"/>
            <w:noWrap/>
          </w:tcPr>
          <w:p w14:paraId="0B70F81E" w14:textId="77777777" w:rsidR="00717847" w:rsidRPr="009D53C4" w:rsidRDefault="00717847" w:rsidP="003D1754">
            <w:pPr>
              <w:pStyle w:val="TableTextEntries"/>
              <w:jc w:val="center"/>
            </w:pPr>
            <w:r>
              <w:t>5</w:t>
            </w:r>
          </w:p>
        </w:tc>
        <w:tc>
          <w:tcPr>
            <w:tcW w:w="300" w:type="pct"/>
            <w:noWrap/>
          </w:tcPr>
          <w:p w14:paraId="0B70F81F" w14:textId="77777777" w:rsidR="00717847" w:rsidRPr="00FE4491" w:rsidRDefault="00717847" w:rsidP="008E0AE1">
            <w:pPr>
              <w:pStyle w:val="TableTextEntries"/>
              <w:jc w:val="center"/>
            </w:pPr>
          </w:p>
        </w:tc>
      </w:tr>
      <w:tr w:rsidR="006264ED" w:rsidRPr="009D53C4" w14:paraId="0B70F82C" w14:textId="77777777" w:rsidTr="007923A5">
        <w:trPr>
          <w:tblHeader w:val="0"/>
        </w:trPr>
        <w:tc>
          <w:tcPr>
            <w:tcW w:w="867" w:type="pct"/>
          </w:tcPr>
          <w:p w14:paraId="0B70F821" w14:textId="77777777" w:rsidR="00717847" w:rsidRPr="009D53C4" w:rsidRDefault="00717847" w:rsidP="008E0AE1">
            <w:pPr>
              <w:pStyle w:val="TableTextEntries"/>
            </w:pPr>
            <w:r>
              <w:t>Scholarships PNG</w:t>
            </w:r>
          </w:p>
        </w:tc>
        <w:tc>
          <w:tcPr>
            <w:tcW w:w="995" w:type="pct"/>
          </w:tcPr>
          <w:p w14:paraId="0B70F822" w14:textId="77777777" w:rsidR="00717847" w:rsidRDefault="00717847" w:rsidP="003D1754">
            <w:pPr>
              <w:pStyle w:val="TableTextEntries"/>
            </w:pPr>
            <w:r>
              <w:t>$48,458,250</w:t>
            </w:r>
          </w:p>
          <w:p w14:paraId="0B70F823" w14:textId="77777777" w:rsidR="00717847" w:rsidRPr="009D53C4" w:rsidRDefault="00717847" w:rsidP="003D1754">
            <w:pPr>
              <w:pStyle w:val="TableTextEntries"/>
            </w:pPr>
            <w:r w:rsidRPr="00974B22">
              <w:t>01/07/2009 - 30/06/2015</w:t>
            </w:r>
          </w:p>
        </w:tc>
        <w:tc>
          <w:tcPr>
            <w:tcW w:w="500" w:type="pct"/>
          </w:tcPr>
          <w:p w14:paraId="0B70F824"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825"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826"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827"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828"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29"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2A" w14:textId="77777777" w:rsidR="00717847" w:rsidRPr="009D53C4" w:rsidRDefault="00717847" w:rsidP="003D1754">
            <w:pPr>
              <w:pStyle w:val="TableTextEntries"/>
              <w:jc w:val="center"/>
            </w:pPr>
            <w:r>
              <w:t>4</w:t>
            </w:r>
          </w:p>
        </w:tc>
        <w:tc>
          <w:tcPr>
            <w:tcW w:w="300" w:type="pct"/>
            <w:noWrap/>
          </w:tcPr>
          <w:p w14:paraId="0B70F82B" w14:textId="77777777" w:rsidR="00717847" w:rsidRPr="00FE4491" w:rsidRDefault="00717847" w:rsidP="008E0AE1">
            <w:pPr>
              <w:pStyle w:val="TableTextEntries"/>
              <w:jc w:val="center"/>
            </w:pPr>
          </w:p>
        </w:tc>
      </w:tr>
      <w:tr w:rsidR="006264ED" w:rsidRPr="009D53C4" w14:paraId="0B70F837"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82D" w14:textId="77777777" w:rsidR="00717847" w:rsidRPr="009D53C4" w:rsidRDefault="00717847" w:rsidP="008E0AE1">
            <w:pPr>
              <w:pStyle w:val="TableTextEntries"/>
            </w:pPr>
          </w:p>
        </w:tc>
        <w:tc>
          <w:tcPr>
            <w:tcW w:w="995" w:type="pct"/>
          </w:tcPr>
          <w:p w14:paraId="0B70F82E" w14:textId="77777777" w:rsidR="00717847" w:rsidRPr="009D53C4" w:rsidRDefault="00717847" w:rsidP="003D1754">
            <w:pPr>
              <w:pStyle w:val="TableTextEntries"/>
            </w:pPr>
          </w:p>
        </w:tc>
        <w:tc>
          <w:tcPr>
            <w:tcW w:w="500" w:type="pct"/>
          </w:tcPr>
          <w:p w14:paraId="0B70F82F" w14:textId="77777777" w:rsidR="00717847" w:rsidRPr="009D53C4" w:rsidRDefault="00717847" w:rsidP="003D1754">
            <w:pPr>
              <w:pStyle w:val="TableTextEntries"/>
            </w:pPr>
            <w:r>
              <w:t>2011</w:t>
            </w:r>
          </w:p>
        </w:tc>
        <w:tc>
          <w:tcPr>
            <w:tcW w:w="300" w:type="pct"/>
            <w:shd w:val="clear" w:color="auto" w:fill="FFFF00"/>
            <w:noWrap/>
          </w:tcPr>
          <w:p w14:paraId="0B70F830" w14:textId="77777777" w:rsidR="00717847" w:rsidRPr="009D53C4" w:rsidRDefault="00717847" w:rsidP="003D1754">
            <w:pPr>
              <w:pStyle w:val="TableTextEntries"/>
              <w:jc w:val="center"/>
            </w:pPr>
            <w:r>
              <w:t>4</w:t>
            </w:r>
          </w:p>
        </w:tc>
        <w:tc>
          <w:tcPr>
            <w:tcW w:w="300" w:type="pct"/>
            <w:shd w:val="clear" w:color="auto" w:fill="FFFF00"/>
            <w:noWrap/>
          </w:tcPr>
          <w:p w14:paraId="0B70F831" w14:textId="77777777" w:rsidR="00717847" w:rsidRPr="009D53C4" w:rsidRDefault="00717847" w:rsidP="003D1754">
            <w:pPr>
              <w:pStyle w:val="TableTextEntries"/>
              <w:jc w:val="center"/>
            </w:pPr>
            <w:r>
              <w:t>4</w:t>
            </w:r>
          </w:p>
        </w:tc>
        <w:tc>
          <w:tcPr>
            <w:tcW w:w="300" w:type="pct"/>
            <w:shd w:val="clear" w:color="auto" w:fill="F79646" w:themeFill="accent6"/>
            <w:noWrap/>
          </w:tcPr>
          <w:p w14:paraId="0B70F832" w14:textId="77777777" w:rsidR="00717847" w:rsidRPr="009D53C4" w:rsidRDefault="00717847" w:rsidP="003D1754">
            <w:pPr>
              <w:pStyle w:val="TableTextEntries"/>
              <w:jc w:val="center"/>
            </w:pPr>
            <w:r>
              <w:t>3</w:t>
            </w:r>
          </w:p>
        </w:tc>
        <w:tc>
          <w:tcPr>
            <w:tcW w:w="300" w:type="pct"/>
            <w:shd w:val="clear" w:color="auto" w:fill="92D050"/>
            <w:noWrap/>
          </w:tcPr>
          <w:p w14:paraId="0B70F833" w14:textId="77777777" w:rsidR="00717847" w:rsidRPr="009D53C4" w:rsidRDefault="00717847" w:rsidP="003D1754">
            <w:pPr>
              <w:pStyle w:val="TableTextEntries"/>
              <w:jc w:val="center"/>
            </w:pPr>
            <w:r>
              <w:t>5</w:t>
            </w:r>
          </w:p>
        </w:tc>
        <w:tc>
          <w:tcPr>
            <w:tcW w:w="300" w:type="pct"/>
            <w:shd w:val="clear" w:color="auto" w:fill="92D050"/>
            <w:noWrap/>
          </w:tcPr>
          <w:p w14:paraId="0B70F834" w14:textId="77777777" w:rsidR="00717847" w:rsidRPr="009D53C4" w:rsidRDefault="00717847" w:rsidP="003D1754">
            <w:pPr>
              <w:pStyle w:val="TableTextEntries"/>
              <w:jc w:val="center"/>
            </w:pPr>
            <w:r>
              <w:t>5</w:t>
            </w:r>
          </w:p>
        </w:tc>
        <w:tc>
          <w:tcPr>
            <w:tcW w:w="300" w:type="pct"/>
            <w:shd w:val="clear" w:color="auto" w:fill="92D050"/>
            <w:noWrap/>
          </w:tcPr>
          <w:p w14:paraId="0B70F835" w14:textId="77777777" w:rsidR="00717847" w:rsidRPr="009D53C4" w:rsidRDefault="00717847" w:rsidP="003D1754">
            <w:pPr>
              <w:pStyle w:val="TableTextEntries"/>
              <w:jc w:val="center"/>
            </w:pPr>
            <w:r>
              <w:t>5</w:t>
            </w:r>
          </w:p>
        </w:tc>
        <w:tc>
          <w:tcPr>
            <w:tcW w:w="300" w:type="pct"/>
            <w:noWrap/>
          </w:tcPr>
          <w:p w14:paraId="0B70F836" w14:textId="77777777" w:rsidR="00717847" w:rsidRPr="00FE4491" w:rsidRDefault="00717847" w:rsidP="008E0AE1">
            <w:pPr>
              <w:pStyle w:val="TableTextEntries"/>
              <w:jc w:val="center"/>
            </w:pPr>
          </w:p>
        </w:tc>
      </w:tr>
      <w:tr w:rsidR="006264ED" w:rsidRPr="009D53C4" w14:paraId="0B70F844" w14:textId="77777777" w:rsidTr="007923A5">
        <w:trPr>
          <w:tblHeader w:val="0"/>
        </w:trPr>
        <w:tc>
          <w:tcPr>
            <w:tcW w:w="867" w:type="pct"/>
          </w:tcPr>
          <w:p w14:paraId="0B70F838" w14:textId="77777777" w:rsidR="00717847" w:rsidRPr="009D53C4" w:rsidRDefault="00717847" w:rsidP="008E0AE1">
            <w:pPr>
              <w:pStyle w:val="TableTextEntries"/>
            </w:pPr>
            <w:r>
              <w:t>Interim Support to the PNG TVET &amp; Higher Education</w:t>
            </w:r>
          </w:p>
        </w:tc>
        <w:tc>
          <w:tcPr>
            <w:tcW w:w="995" w:type="pct"/>
          </w:tcPr>
          <w:p w14:paraId="0B70F839" w14:textId="77777777" w:rsidR="00717847" w:rsidRPr="00D11A8B" w:rsidRDefault="00717847" w:rsidP="003D1754">
            <w:pPr>
              <w:pStyle w:val="TableTextEntries"/>
            </w:pPr>
            <w:r w:rsidRPr="00D11A8B">
              <w:t>$10,384,192</w:t>
            </w:r>
          </w:p>
          <w:p w14:paraId="0B70F83A" w14:textId="77777777" w:rsidR="00717847" w:rsidRPr="00974B22" w:rsidRDefault="00717847" w:rsidP="003D1754">
            <w:pPr>
              <w:pStyle w:val="TableTextEntries"/>
            </w:pPr>
            <w:r w:rsidRPr="00974B22">
              <w:t>01/08/2010</w:t>
            </w:r>
            <w:r>
              <w:t xml:space="preserve"> -</w:t>
            </w:r>
          </w:p>
          <w:p w14:paraId="0B70F83B" w14:textId="77777777" w:rsidR="00717847" w:rsidRPr="009D53C4" w:rsidRDefault="00717847" w:rsidP="003D1754">
            <w:pPr>
              <w:pStyle w:val="TableTextEntries"/>
            </w:pPr>
            <w:r w:rsidRPr="00974B22">
              <w:t>31/01/2014</w:t>
            </w:r>
          </w:p>
        </w:tc>
        <w:tc>
          <w:tcPr>
            <w:tcW w:w="500" w:type="pct"/>
          </w:tcPr>
          <w:p w14:paraId="0B70F83C"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83D" w14:textId="77777777" w:rsidR="00717847" w:rsidRPr="009D53C4" w:rsidRDefault="00717847" w:rsidP="003D1754">
            <w:pPr>
              <w:pStyle w:val="TableTextEntries"/>
              <w:jc w:val="center"/>
            </w:pPr>
            <w:r>
              <w:t>6</w:t>
            </w:r>
          </w:p>
        </w:tc>
        <w:tc>
          <w:tcPr>
            <w:tcW w:w="300" w:type="pct"/>
            <w:tcBorders>
              <w:top w:val="nil"/>
              <w:bottom w:val="nil"/>
            </w:tcBorders>
            <w:shd w:val="clear" w:color="auto" w:fill="92D050"/>
            <w:noWrap/>
          </w:tcPr>
          <w:p w14:paraId="0B70F83E"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83F"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840"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841"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42" w14:textId="77777777" w:rsidR="00717847" w:rsidRPr="009D53C4" w:rsidRDefault="00717847" w:rsidP="003D1754">
            <w:pPr>
              <w:pStyle w:val="TableTextEntries"/>
              <w:jc w:val="center"/>
            </w:pPr>
            <w:r>
              <w:t>4</w:t>
            </w:r>
          </w:p>
        </w:tc>
        <w:tc>
          <w:tcPr>
            <w:tcW w:w="300" w:type="pct"/>
            <w:noWrap/>
          </w:tcPr>
          <w:p w14:paraId="0B70F843" w14:textId="77777777" w:rsidR="00717847" w:rsidRPr="00FE4491" w:rsidRDefault="00717847" w:rsidP="008E0AE1">
            <w:pPr>
              <w:pStyle w:val="TableTextEntries"/>
              <w:jc w:val="center"/>
            </w:pPr>
          </w:p>
        </w:tc>
      </w:tr>
      <w:tr w:rsidR="006264ED" w:rsidRPr="009D53C4" w14:paraId="0B70F84F"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845" w14:textId="77777777" w:rsidR="00717847" w:rsidRPr="009D53C4" w:rsidRDefault="00717847" w:rsidP="008E0AE1">
            <w:pPr>
              <w:pStyle w:val="TableTextEntries"/>
            </w:pPr>
          </w:p>
        </w:tc>
        <w:tc>
          <w:tcPr>
            <w:tcW w:w="995" w:type="pct"/>
          </w:tcPr>
          <w:p w14:paraId="0B70F846" w14:textId="77777777" w:rsidR="00717847" w:rsidRPr="009D53C4" w:rsidRDefault="00717847" w:rsidP="003D1754">
            <w:pPr>
              <w:pStyle w:val="TableTextEntries"/>
            </w:pPr>
          </w:p>
        </w:tc>
        <w:tc>
          <w:tcPr>
            <w:tcW w:w="500" w:type="pct"/>
          </w:tcPr>
          <w:p w14:paraId="0B70F847" w14:textId="77777777" w:rsidR="00717847" w:rsidRPr="009D53C4" w:rsidRDefault="00717847" w:rsidP="003D1754">
            <w:pPr>
              <w:pStyle w:val="TableTextEntries"/>
            </w:pPr>
            <w:r>
              <w:t>2011</w:t>
            </w:r>
          </w:p>
        </w:tc>
        <w:tc>
          <w:tcPr>
            <w:tcW w:w="300" w:type="pct"/>
            <w:shd w:val="clear" w:color="auto" w:fill="92D050"/>
            <w:noWrap/>
          </w:tcPr>
          <w:p w14:paraId="0B70F848" w14:textId="77777777" w:rsidR="00717847" w:rsidRPr="009D53C4" w:rsidRDefault="00717847" w:rsidP="003D1754">
            <w:pPr>
              <w:pStyle w:val="TableTextEntries"/>
              <w:jc w:val="center"/>
            </w:pPr>
            <w:r>
              <w:t>6</w:t>
            </w:r>
          </w:p>
        </w:tc>
        <w:tc>
          <w:tcPr>
            <w:tcW w:w="300" w:type="pct"/>
            <w:shd w:val="clear" w:color="auto" w:fill="92D050"/>
            <w:noWrap/>
          </w:tcPr>
          <w:p w14:paraId="0B70F849" w14:textId="77777777" w:rsidR="00717847" w:rsidRPr="009D53C4" w:rsidRDefault="00717847" w:rsidP="003D1754">
            <w:pPr>
              <w:pStyle w:val="TableTextEntries"/>
              <w:jc w:val="center"/>
            </w:pPr>
            <w:r>
              <w:t>5</w:t>
            </w:r>
          </w:p>
        </w:tc>
        <w:tc>
          <w:tcPr>
            <w:tcW w:w="300" w:type="pct"/>
            <w:shd w:val="clear" w:color="auto" w:fill="92D050"/>
            <w:noWrap/>
          </w:tcPr>
          <w:p w14:paraId="0B70F84A" w14:textId="77777777" w:rsidR="00717847" w:rsidRPr="009D53C4" w:rsidRDefault="00717847" w:rsidP="003D1754">
            <w:pPr>
              <w:pStyle w:val="TableTextEntries"/>
              <w:jc w:val="center"/>
            </w:pPr>
            <w:r>
              <w:t>5</w:t>
            </w:r>
          </w:p>
        </w:tc>
        <w:tc>
          <w:tcPr>
            <w:tcW w:w="300" w:type="pct"/>
            <w:shd w:val="clear" w:color="auto" w:fill="92D050"/>
            <w:noWrap/>
          </w:tcPr>
          <w:p w14:paraId="0B70F84B" w14:textId="77777777" w:rsidR="00717847" w:rsidRPr="009D53C4" w:rsidRDefault="00717847" w:rsidP="003D1754">
            <w:pPr>
              <w:pStyle w:val="TableTextEntries"/>
              <w:jc w:val="center"/>
            </w:pPr>
            <w:r>
              <w:t>5</w:t>
            </w:r>
          </w:p>
        </w:tc>
        <w:tc>
          <w:tcPr>
            <w:tcW w:w="300" w:type="pct"/>
            <w:shd w:val="clear" w:color="auto" w:fill="92D050"/>
            <w:noWrap/>
          </w:tcPr>
          <w:p w14:paraId="0B70F84C" w14:textId="77777777" w:rsidR="00717847" w:rsidRPr="009D53C4" w:rsidRDefault="00717847" w:rsidP="003D1754">
            <w:pPr>
              <w:pStyle w:val="TableTextEntries"/>
              <w:jc w:val="center"/>
            </w:pPr>
            <w:r>
              <w:t>5</w:t>
            </w:r>
          </w:p>
        </w:tc>
        <w:tc>
          <w:tcPr>
            <w:tcW w:w="300" w:type="pct"/>
            <w:shd w:val="clear" w:color="auto" w:fill="FFFF00"/>
            <w:noWrap/>
          </w:tcPr>
          <w:p w14:paraId="0B70F84D" w14:textId="77777777" w:rsidR="00717847" w:rsidRPr="009D53C4" w:rsidRDefault="00717847" w:rsidP="003D1754">
            <w:pPr>
              <w:pStyle w:val="TableTextEntries"/>
              <w:jc w:val="center"/>
            </w:pPr>
            <w:r>
              <w:t>4</w:t>
            </w:r>
          </w:p>
        </w:tc>
        <w:tc>
          <w:tcPr>
            <w:tcW w:w="300" w:type="pct"/>
            <w:noWrap/>
          </w:tcPr>
          <w:p w14:paraId="0B70F84E" w14:textId="77777777" w:rsidR="00717847" w:rsidRPr="00FE4491" w:rsidRDefault="00717847" w:rsidP="008E0AE1">
            <w:pPr>
              <w:pStyle w:val="TableTextEntries"/>
              <w:jc w:val="center"/>
            </w:pPr>
          </w:p>
        </w:tc>
      </w:tr>
      <w:tr w:rsidR="006264ED" w:rsidRPr="009D53C4" w14:paraId="0B70F85C" w14:textId="77777777" w:rsidTr="007923A5">
        <w:trPr>
          <w:tblHeader w:val="0"/>
        </w:trPr>
        <w:tc>
          <w:tcPr>
            <w:tcW w:w="867" w:type="pct"/>
          </w:tcPr>
          <w:p w14:paraId="0B70F850" w14:textId="77777777" w:rsidR="00717847" w:rsidRPr="009D53C4" w:rsidRDefault="00717847" w:rsidP="008E0AE1">
            <w:pPr>
              <w:pStyle w:val="TableTextEntries"/>
            </w:pPr>
            <w:r>
              <w:t>Scholarships Port Moresby ADS 2011 Intake</w:t>
            </w:r>
          </w:p>
        </w:tc>
        <w:tc>
          <w:tcPr>
            <w:tcW w:w="995" w:type="pct"/>
          </w:tcPr>
          <w:p w14:paraId="0B70F851" w14:textId="77777777" w:rsidR="00717847" w:rsidRPr="00D11A8B" w:rsidRDefault="00717847" w:rsidP="003D1754">
            <w:pPr>
              <w:pStyle w:val="TableTextEntries"/>
            </w:pPr>
            <w:r w:rsidRPr="00D11A8B">
              <w:t>$14,730,061</w:t>
            </w:r>
          </w:p>
          <w:p w14:paraId="0B70F852" w14:textId="77777777" w:rsidR="00717847" w:rsidRPr="00974B22" w:rsidRDefault="00717847" w:rsidP="003D1754">
            <w:pPr>
              <w:pStyle w:val="TableTextEntries"/>
            </w:pPr>
            <w:r w:rsidRPr="00974B22">
              <w:t>01/07/2010</w:t>
            </w:r>
            <w:r>
              <w:t xml:space="preserve"> -</w:t>
            </w:r>
          </w:p>
          <w:p w14:paraId="0B70F853" w14:textId="77777777" w:rsidR="00717847" w:rsidRPr="009D53C4" w:rsidRDefault="00717847" w:rsidP="003D1754">
            <w:pPr>
              <w:pStyle w:val="TableTextEntries"/>
            </w:pPr>
            <w:r w:rsidRPr="00974B22">
              <w:t>30/06/2017</w:t>
            </w:r>
          </w:p>
        </w:tc>
        <w:tc>
          <w:tcPr>
            <w:tcW w:w="500" w:type="pct"/>
          </w:tcPr>
          <w:p w14:paraId="0B70F854"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855"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856"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857"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858"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59"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85A" w14:textId="77777777" w:rsidR="00717847" w:rsidRPr="009D53C4" w:rsidRDefault="00717847" w:rsidP="003D1754">
            <w:pPr>
              <w:pStyle w:val="TableTextEntries"/>
              <w:jc w:val="center"/>
            </w:pPr>
            <w:r>
              <w:t>5</w:t>
            </w:r>
          </w:p>
        </w:tc>
        <w:tc>
          <w:tcPr>
            <w:tcW w:w="300" w:type="pct"/>
            <w:noWrap/>
          </w:tcPr>
          <w:p w14:paraId="0B70F85B" w14:textId="77777777" w:rsidR="00717847" w:rsidRPr="00FE4491" w:rsidRDefault="00717847" w:rsidP="008E0AE1">
            <w:pPr>
              <w:pStyle w:val="TableTextEntries"/>
              <w:jc w:val="center"/>
            </w:pPr>
          </w:p>
        </w:tc>
      </w:tr>
      <w:tr w:rsidR="006264ED" w:rsidRPr="009D53C4" w14:paraId="0B70F867"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85D" w14:textId="77777777" w:rsidR="00717847" w:rsidRPr="009D53C4" w:rsidRDefault="00717847" w:rsidP="008E0AE1">
            <w:pPr>
              <w:pStyle w:val="TableTextEntries"/>
            </w:pPr>
          </w:p>
        </w:tc>
        <w:tc>
          <w:tcPr>
            <w:tcW w:w="995" w:type="pct"/>
          </w:tcPr>
          <w:p w14:paraId="0B70F85E" w14:textId="77777777" w:rsidR="00717847" w:rsidRPr="009D53C4" w:rsidRDefault="00717847" w:rsidP="003D1754">
            <w:pPr>
              <w:pStyle w:val="TableTextEntries"/>
            </w:pPr>
          </w:p>
        </w:tc>
        <w:tc>
          <w:tcPr>
            <w:tcW w:w="500" w:type="pct"/>
          </w:tcPr>
          <w:p w14:paraId="0B70F85F" w14:textId="77777777" w:rsidR="00717847" w:rsidRPr="009D53C4" w:rsidRDefault="00717847" w:rsidP="003D1754">
            <w:pPr>
              <w:pStyle w:val="TableTextEntries"/>
            </w:pPr>
            <w:r>
              <w:t>2011</w:t>
            </w:r>
          </w:p>
        </w:tc>
        <w:tc>
          <w:tcPr>
            <w:tcW w:w="300" w:type="pct"/>
            <w:shd w:val="clear" w:color="auto" w:fill="FFFF00"/>
            <w:noWrap/>
          </w:tcPr>
          <w:p w14:paraId="0B70F860" w14:textId="77777777" w:rsidR="00717847" w:rsidRPr="009D53C4" w:rsidRDefault="00717847" w:rsidP="003D1754">
            <w:pPr>
              <w:pStyle w:val="TableTextEntries"/>
              <w:jc w:val="center"/>
            </w:pPr>
            <w:r>
              <w:t>4</w:t>
            </w:r>
          </w:p>
        </w:tc>
        <w:tc>
          <w:tcPr>
            <w:tcW w:w="300" w:type="pct"/>
            <w:shd w:val="clear" w:color="auto" w:fill="FFFF00"/>
            <w:noWrap/>
          </w:tcPr>
          <w:p w14:paraId="0B70F861" w14:textId="77777777" w:rsidR="00717847" w:rsidRPr="009D53C4" w:rsidRDefault="00717847" w:rsidP="003D1754">
            <w:pPr>
              <w:pStyle w:val="TableTextEntries"/>
              <w:jc w:val="center"/>
            </w:pPr>
            <w:r>
              <w:t>4</w:t>
            </w:r>
          </w:p>
        </w:tc>
        <w:tc>
          <w:tcPr>
            <w:tcW w:w="300" w:type="pct"/>
            <w:shd w:val="clear" w:color="auto" w:fill="F79646" w:themeFill="accent6"/>
            <w:noWrap/>
          </w:tcPr>
          <w:p w14:paraId="0B70F862" w14:textId="77777777" w:rsidR="00717847" w:rsidRPr="009D53C4" w:rsidRDefault="00717847" w:rsidP="003D1754">
            <w:pPr>
              <w:pStyle w:val="TableTextEntries"/>
              <w:jc w:val="center"/>
            </w:pPr>
            <w:r>
              <w:t>3</w:t>
            </w:r>
          </w:p>
        </w:tc>
        <w:tc>
          <w:tcPr>
            <w:tcW w:w="300" w:type="pct"/>
            <w:shd w:val="clear" w:color="auto" w:fill="92D050"/>
            <w:noWrap/>
          </w:tcPr>
          <w:p w14:paraId="0B70F863" w14:textId="77777777" w:rsidR="00717847" w:rsidRPr="009D53C4" w:rsidRDefault="00717847" w:rsidP="003D1754">
            <w:pPr>
              <w:pStyle w:val="TableTextEntries"/>
              <w:jc w:val="center"/>
            </w:pPr>
            <w:r>
              <w:t>5</w:t>
            </w:r>
          </w:p>
        </w:tc>
        <w:tc>
          <w:tcPr>
            <w:tcW w:w="300" w:type="pct"/>
            <w:shd w:val="clear" w:color="auto" w:fill="92D050"/>
            <w:noWrap/>
          </w:tcPr>
          <w:p w14:paraId="0B70F864" w14:textId="77777777" w:rsidR="00717847" w:rsidRPr="009D53C4" w:rsidRDefault="00717847" w:rsidP="003D1754">
            <w:pPr>
              <w:pStyle w:val="TableTextEntries"/>
              <w:jc w:val="center"/>
            </w:pPr>
            <w:r>
              <w:t>5</w:t>
            </w:r>
          </w:p>
        </w:tc>
        <w:tc>
          <w:tcPr>
            <w:tcW w:w="300" w:type="pct"/>
            <w:shd w:val="clear" w:color="auto" w:fill="92D050"/>
            <w:noWrap/>
          </w:tcPr>
          <w:p w14:paraId="0B70F865" w14:textId="77777777" w:rsidR="00717847" w:rsidRPr="009D53C4" w:rsidRDefault="00717847" w:rsidP="003D1754">
            <w:pPr>
              <w:pStyle w:val="TableTextEntries"/>
              <w:jc w:val="center"/>
            </w:pPr>
            <w:r>
              <w:t>5</w:t>
            </w:r>
          </w:p>
        </w:tc>
        <w:tc>
          <w:tcPr>
            <w:tcW w:w="300" w:type="pct"/>
            <w:noWrap/>
          </w:tcPr>
          <w:p w14:paraId="0B70F866" w14:textId="77777777" w:rsidR="00717847" w:rsidRPr="00FE4491" w:rsidRDefault="00717847" w:rsidP="008E0AE1">
            <w:pPr>
              <w:pStyle w:val="TableTextEntries"/>
              <w:jc w:val="center"/>
            </w:pPr>
          </w:p>
        </w:tc>
      </w:tr>
      <w:tr w:rsidR="006264ED" w:rsidRPr="009D53C4" w14:paraId="0B70F874" w14:textId="77777777" w:rsidTr="007923A5">
        <w:trPr>
          <w:tblHeader w:val="0"/>
        </w:trPr>
        <w:tc>
          <w:tcPr>
            <w:tcW w:w="867" w:type="pct"/>
          </w:tcPr>
          <w:p w14:paraId="0B70F868" w14:textId="77777777" w:rsidR="00717847" w:rsidRPr="009D53C4" w:rsidRDefault="00717847" w:rsidP="008E0AE1">
            <w:pPr>
              <w:pStyle w:val="TableTextEntries"/>
            </w:pPr>
            <w:r>
              <w:t>PNG Education Program</w:t>
            </w:r>
          </w:p>
        </w:tc>
        <w:tc>
          <w:tcPr>
            <w:tcW w:w="995" w:type="pct"/>
          </w:tcPr>
          <w:p w14:paraId="0B70F869" w14:textId="77777777" w:rsidR="00717847" w:rsidRPr="00D11A8B" w:rsidRDefault="00717847" w:rsidP="003D1754">
            <w:pPr>
              <w:pStyle w:val="TableTextEntries"/>
            </w:pPr>
            <w:r w:rsidRPr="00D11A8B">
              <w:t>$499,654,735</w:t>
            </w:r>
          </w:p>
          <w:p w14:paraId="0B70F86A" w14:textId="77777777" w:rsidR="00717847" w:rsidRPr="00974B22" w:rsidRDefault="00717847" w:rsidP="003D1754">
            <w:pPr>
              <w:pStyle w:val="TableTextEntries"/>
            </w:pPr>
            <w:r w:rsidRPr="00974B22">
              <w:t>01/07/2011</w:t>
            </w:r>
            <w:r>
              <w:t xml:space="preserve"> -</w:t>
            </w:r>
          </w:p>
          <w:p w14:paraId="0B70F86B" w14:textId="77777777" w:rsidR="00717847" w:rsidRPr="009D53C4" w:rsidRDefault="00717847" w:rsidP="003D1754">
            <w:pPr>
              <w:pStyle w:val="TableTextEntries"/>
            </w:pPr>
            <w:r w:rsidRPr="00974B22">
              <w:t>30/06/2016</w:t>
            </w:r>
          </w:p>
        </w:tc>
        <w:tc>
          <w:tcPr>
            <w:tcW w:w="500" w:type="pct"/>
          </w:tcPr>
          <w:p w14:paraId="0B70F86C"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86D" w14:textId="77777777" w:rsidR="00717847" w:rsidRPr="009D53C4" w:rsidRDefault="00717847" w:rsidP="003D1754">
            <w:pPr>
              <w:pStyle w:val="TableTextEntries"/>
              <w:jc w:val="center"/>
            </w:pPr>
            <w:r>
              <w:t>6</w:t>
            </w:r>
          </w:p>
        </w:tc>
        <w:tc>
          <w:tcPr>
            <w:tcW w:w="300" w:type="pct"/>
            <w:tcBorders>
              <w:top w:val="nil"/>
              <w:bottom w:val="nil"/>
            </w:tcBorders>
            <w:shd w:val="clear" w:color="auto" w:fill="92D050"/>
            <w:noWrap/>
          </w:tcPr>
          <w:p w14:paraId="0B70F86E"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86F"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870"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871"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72" w14:textId="77777777" w:rsidR="00717847" w:rsidRPr="009D53C4" w:rsidRDefault="00717847" w:rsidP="003D1754">
            <w:pPr>
              <w:pStyle w:val="TableTextEntries"/>
              <w:jc w:val="center"/>
            </w:pPr>
            <w:r>
              <w:t>4</w:t>
            </w:r>
          </w:p>
        </w:tc>
        <w:tc>
          <w:tcPr>
            <w:tcW w:w="300" w:type="pct"/>
            <w:noWrap/>
          </w:tcPr>
          <w:p w14:paraId="0B70F873" w14:textId="77777777" w:rsidR="00717847" w:rsidRPr="00FE4491" w:rsidRDefault="00717847" w:rsidP="008E0AE1">
            <w:pPr>
              <w:pStyle w:val="TableTextEntries"/>
              <w:jc w:val="center"/>
            </w:pPr>
          </w:p>
        </w:tc>
      </w:tr>
      <w:tr w:rsidR="006264ED" w:rsidRPr="009D53C4" w14:paraId="0B70F87F"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875" w14:textId="77777777" w:rsidR="00717847" w:rsidRPr="009D53C4" w:rsidRDefault="00717847" w:rsidP="008E0AE1">
            <w:pPr>
              <w:pStyle w:val="TableTextEntries"/>
            </w:pPr>
          </w:p>
        </w:tc>
        <w:tc>
          <w:tcPr>
            <w:tcW w:w="995" w:type="pct"/>
          </w:tcPr>
          <w:p w14:paraId="0B70F876" w14:textId="77777777" w:rsidR="00717847" w:rsidRPr="009D53C4" w:rsidRDefault="00717847" w:rsidP="003D1754">
            <w:pPr>
              <w:pStyle w:val="TableTextEntries"/>
            </w:pPr>
          </w:p>
        </w:tc>
        <w:tc>
          <w:tcPr>
            <w:tcW w:w="500" w:type="pct"/>
          </w:tcPr>
          <w:p w14:paraId="0B70F877" w14:textId="77777777" w:rsidR="00717847" w:rsidRPr="009D53C4" w:rsidRDefault="00717847" w:rsidP="003D1754">
            <w:pPr>
              <w:pStyle w:val="TableTextEntries"/>
            </w:pPr>
            <w:r>
              <w:t>2011</w:t>
            </w:r>
          </w:p>
        </w:tc>
        <w:tc>
          <w:tcPr>
            <w:tcW w:w="300" w:type="pct"/>
            <w:shd w:val="clear" w:color="auto" w:fill="92D050"/>
            <w:noWrap/>
          </w:tcPr>
          <w:p w14:paraId="0B70F878" w14:textId="77777777" w:rsidR="00717847" w:rsidRPr="009D53C4" w:rsidRDefault="00717847" w:rsidP="003D1754">
            <w:pPr>
              <w:pStyle w:val="TableTextEntries"/>
              <w:jc w:val="center"/>
            </w:pPr>
            <w:r>
              <w:t>6</w:t>
            </w:r>
          </w:p>
        </w:tc>
        <w:tc>
          <w:tcPr>
            <w:tcW w:w="300" w:type="pct"/>
            <w:shd w:val="clear" w:color="auto" w:fill="92D050"/>
            <w:noWrap/>
          </w:tcPr>
          <w:p w14:paraId="0B70F879" w14:textId="77777777" w:rsidR="00717847" w:rsidRPr="009D53C4" w:rsidRDefault="00717847" w:rsidP="003D1754">
            <w:pPr>
              <w:pStyle w:val="TableTextEntries"/>
              <w:jc w:val="center"/>
            </w:pPr>
            <w:r>
              <w:t>5</w:t>
            </w:r>
          </w:p>
        </w:tc>
        <w:tc>
          <w:tcPr>
            <w:tcW w:w="300" w:type="pct"/>
            <w:shd w:val="clear" w:color="auto" w:fill="92D050"/>
            <w:noWrap/>
          </w:tcPr>
          <w:p w14:paraId="0B70F87A" w14:textId="77777777" w:rsidR="00717847" w:rsidRPr="009D53C4" w:rsidRDefault="00717847" w:rsidP="003D1754">
            <w:pPr>
              <w:pStyle w:val="TableTextEntries"/>
              <w:jc w:val="center"/>
            </w:pPr>
            <w:r>
              <w:t>5</w:t>
            </w:r>
          </w:p>
        </w:tc>
        <w:tc>
          <w:tcPr>
            <w:tcW w:w="300" w:type="pct"/>
            <w:shd w:val="clear" w:color="auto" w:fill="92D050"/>
            <w:noWrap/>
          </w:tcPr>
          <w:p w14:paraId="0B70F87B" w14:textId="77777777" w:rsidR="00717847" w:rsidRPr="009D53C4" w:rsidRDefault="00717847" w:rsidP="003D1754">
            <w:pPr>
              <w:pStyle w:val="TableTextEntries"/>
              <w:jc w:val="center"/>
            </w:pPr>
            <w:r>
              <w:t>5</w:t>
            </w:r>
          </w:p>
        </w:tc>
        <w:tc>
          <w:tcPr>
            <w:tcW w:w="300" w:type="pct"/>
            <w:shd w:val="clear" w:color="auto" w:fill="92D050"/>
            <w:noWrap/>
          </w:tcPr>
          <w:p w14:paraId="0B70F87C" w14:textId="77777777" w:rsidR="00717847" w:rsidRPr="009D53C4" w:rsidRDefault="00717847" w:rsidP="003D1754">
            <w:pPr>
              <w:pStyle w:val="TableTextEntries"/>
              <w:jc w:val="center"/>
            </w:pPr>
            <w:r>
              <w:t>5</w:t>
            </w:r>
          </w:p>
        </w:tc>
        <w:tc>
          <w:tcPr>
            <w:tcW w:w="300" w:type="pct"/>
            <w:shd w:val="clear" w:color="auto" w:fill="FFFF00"/>
            <w:noWrap/>
          </w:tcPr>
          <w:p w14:paraId="0B70F87D" w14:textId="77777777" w:rsidR="00717847" w:rsidRPr="009D53C4" w:rsidRDefault="00717847" w:rsidP="003D1754">
            <w:pPr>
              <w:pStyle w:val="TableTextEntries"/>
              <w:jc w:val="center"/>
            </w:pPr>
            <w:r>
              <w:t>4</w:t>
            </w:r>
          </w:p>
        </w:tc>
        <w:tc>
          <w:tcPr>
            <w:tcW w:w="300" w:type="pct"/>
            <w:noWrap/>
          </w:tcPr>
          <w:p w14:paraId="0B70F87E" w14:textId="77777777" w:rsidR="00717847" w:rsidRPr="00FE4491" w:rsidRDefault="00717847" w:rsidP="008E0AE1">
            <w:pPr>
              <w:pStyle w:val="TableTextEntries"/>
              <w:jc w:val="center"/>
            </w:pPr>
          </w:p>
        </w:tc>
      </w:tr>
      <w:tr w:rsidR="006264ED" w:rsidRPr="009D53C4" w14:paraId="0B70F88C" w14:textId="77777777" w:rsidTr="007923A5">
        <w:trPr>
          <w:tblHeader w:val="0"/>
        </w:trPr>
        <w:tc>
          <w:tcPr>
            <w:tcW w:w="867" w:type="pct"/>
          </w:tcPr>
          <w:p w14:paraId="0B70F880" w14:textId="77777777" w:rsidR="00717847" w:rsidRPr="009D53C4" w:rsidRDefault="00717847" w:rsidP="008E0AE1">
            <w:pPr>
              <w:pStyle w:val="TableTextEntries"/>
            </w:pPr>
            <w:r w:rsidRPr="007545FC">
              <w:rPr>
                <w:i/>
              </w:rPr>
              <w:t>Strongim Gavman</w:t>
            </w:r>
            <w:r>
              <w:t xml:space="preserve"> Program</w:t>
            </w:r>
          </w:p>
        </w:tc>
        <w:tc>
          <w:tcPr>
            <w:tcW w:w="995" w:type="pct"/>
          </w:tcPr>
          <w:p w14:paraId="0B70F881" w14:textId="77777777" w:rsidR="00717847" w:rsidRPr="00D11A8B" w:rsidRDefault="00717847" w:rsidP="003D1754">
            <w:pPr>
              <w:pStyle w:val="TableTextEntries"/>
            </w:pPr>
            <w:r w:rsidRPr="00D11A8B">
              <w:t>$128,922,716</w:t>
            </w:r>
          </w:p>
          <w:p w14:paraId="0B70F882" w14:textId="77777777" w:rsidR="00717847" w:rsidRPr="00974B22" w:rsidRDefault="00717847" w:rsidP="003D1754">
            <w:pPr>
              <w:pStyle w:val="TableTextEntries"/>
            </w:pPr>
            <w:r w:rsidRPr="00974B22">
              <w:t>01/07/2009</w:t>
            </w:r>
            <w:r>
              <w:t xml:space="preserve"> -</w:t>
            </w:r>
          </w:p>
          <w:p w14:paraId="0B70F883" w14:textId="77777777" w:rsidR="00717847" w:rsidRPr="009D53C4" w:rsidRDefault="00717847" w:rsidP="003D1754">
            <w:pPr>
              <w:pStyle w:val="TableTextEntries"/>
            </w:pPr>
            <w:r w:rsidRPr="00974B22">
              <w:t>30/06/2015</w:t>
            </w:r>
          </w:p>
        </w:tc>
        <w:tc>
          <w:tcPr>
            <w:tcW w:w="500" w:type="pct"/>
          </w:tcPr>
          <w:p w14:paraId="0B70F884"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885"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886"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87"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888" w14:textId="77777777" w:rsidR="00717847" w:rsidRPr="009D53C4" w:rsidRDefault="00717847" w:rsidP="003D1754">
            <w:pPr>
              <w:pStyle w:val="TableTextEntries"/>
              <w:jc w:val="center"/>
            </w:pPr>
            <w:r>
              <w:t>3</w:t>
            </w:r>
          </w:p>
        </w:tc>
        <w:tc>
          <w:tcPr>
            <w:tcW w:w="300" w:type="pct"/>
            <w:tcBorders>
              <w:top w:val="nil"/>
              <w:bottom w:val="nil"/>
            </w:tcBorders>
            <w:shd w:val="clear" w:color="auto" w:fill="F79646" w:themeFill="accent6"/>
            <w:noWrap/>
          </w:tcPr>
          <w:p w14:paraId="0B70F889"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88A" w14:textId="77777777" w:rsidR="00717847" w:rsidRPr="009D53C4" w:rsidRDefault="00717847" w:rsidP="003D1754">
            <w:pPr>
              <w:pStyle w:val="TableTextEntries"/>
              <w:jc w:val="center"/>
            </w:pPr>
            <w:r>
              <w:t>4</w:t>
            </w:r>
          </w:p>
        </w:tc>
        <w:tc>
          <w:tcPr>
            <w:tcW w:w="300" w:type="pct"/>
            <w:noWrap/>
          </w:tcPr>
          <w:p w14:paraId="0B70F88B" w14:textId="77777777" w:rsidR="00717847" w:rsidRPr="00FE4491" w:rsidRDefault="00717847" w:rsidP="008E0AE1">
            <w:pPr>
              <w:pStyle w:val="TableTextEntries"/>
              <w:jc w:val="center"/>
            </w:pPr>
          </w:p>
        </w:tc>
      </w:tr>
      <w:tr w:rsidR="006264ED" w:rsidRPr="009D53C4" w14:paraId="0B70F897"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88D" w14:textId="77777777" w:rsidR="00717847" w:rsidRPr="009D53C4" w:rsidRDefault="00717847" w:rsidP="008E0AE1">
            <w:pPr>
              <w:pStyle w:val="TableTextEntries"/>
            </w:pPr>
          </w:p>
        </w:tc>
        <w:tc>
          <w:tcPr>
            <w:tcW w:w="995" w:type="pct"/>
          </w:tcPr>
          <w:p w14:paraId="0B70F88E" w14:textId="77777777" w:rsidR="00717847" w:rsidRPr="009D53C4" w:rsidRDefault="00717847" w:rsidP="003D1754">
            <w:pPr>
              <w:pStyle w:val="TableTextEntries"/>
            </w:pPr>
          </w:p>
        </w:tc>
        <w:tc>
          <w:tcPr>
            <w:tcW w:w="500" w:type="pct"/>
          </w:tcPr>
          <w:p w14:paraId="0B70F88F" w14:textId="77777777" w:rsidR="00717847" w:rsidRPr="009D53C4" w:rsidRDefault="00717847" w:rsidP="003D1754">
            <w:pPr>
              <w:pStyle w:val="TableTextEntries"/>
            </w:pPr>
            <w:r>
              <w:t>2011</w:t>
            </w:r>
          </w:p>
        </w:tc>
        <w:tc>
          <w:tcPr>
            <w:tcW w:w="300" w:type="pct"/>
            <w:shd w:val="clear" w:color="auto" w:fill="92D050"/>
            <w:noWrap/>
          </w:tcPr>
          <w:p w14:paraId="0B70F890" w14:textId="77777777" w:rsidR="00717847" w:rsidRPr="009D53C4" w:rsidRDefault="00717847" w:rsidP="003D1754">
            <w:pPr>
              <w:pStyle w:val="TableTextEntries"/>
              <w:jc w:val="center"/>
            </w:pPr>
            <w:r>
              <w:t>5</w:t>
            </w:r>
          </w:p>
        </w:tc>
        <w:tc>
          <w:tcPr>
            <w:tcW w:w="300" w:type="pct"/>
            <w:shd w:val="clear" w:color="auto" w:fill="FFFF00"/>
            <w:noWrap/>
          </w:tcPr>
          <w:p w14:paraId="0B70F891" w14:textId="77777777" w:rsidR="00717847" w:rsidRPr="009D53C4" w:rsidRDefault="00717847" w:rsidP="003D1754">
            <w:pPr>
              <w:pStyle w:val="TableTextEntries"/>
              <w:jc w:val="center"/>
            </w:pPr>
            <w:r>
              <w:t>4</w:t>
            </w:r>
          </w:p>
        </w:tc>
        <w:tc>
          <w:tcPr>
            <w:tcW w:w="300" w:type="pct"/>
            <w:shd w:val="clear" w:color="auto" w:fill="F79646" w:themeFill="accent6"/>
            <w:noWrap/>
          </w:tcPr>
          <w:p w14:paraId="0B70F892" w14:textId="77777777" w:rsidR="00717847" w:rsidRPr="009D53C4" w:rsidRDefault="00717847" w:rsidP="003D1754">
            <w:pPr>
              <w:pStyle w:val="TableTextEntries"/>
              <w:jc w:val="center"/>
            </w:pPr>
            <w:r>
              <w:t>3</w:t>
            </w:r>
          </w:p>
        </w:tc>
        <w:tc>
          <w:tcPr>
            <w:tcW w:w="300" w:type="pct"/>
            <w:shd w:val="clear" w:color="auto" w:fill="FFFF00"/>
            <w:noWrap/>
          </w:tcPr>
          <w:p w14:paraId="0B70F893" w14:textId="77777777" w:rsidR="00717847" w:rsidRPr="009D53C4" w:rsidRDefault="00717847" w:rsidP="003D1754">
            <w:pPr>
              <w:pStyle w:val="TableTextEntries"/>
              <w:jc w:val="center"/>
            </w:pPr>
            <w:r>
              <w:t>4</w:t>
            </w:r>
          </w:p>
        </w:tc>
        <w:tc>
          <w:tcPr>
            <w:tcW w:w="300" w:type="pct"/>
            <w:shd w:val="clear" w:color="auto" w:fill="FFFF00"/>
            <w:noWrap/>
          </w:tcPr>
          <w:p w14:paraId="0B70F894" w14:textId="77777777" w:rsidR="00717847" w:rsidRPr="009D53C4" w:rsidRDefault="00717847" w:rsidP="003D1754">
            <w:pPr>
              <w:pStyle w:val="TableTextEntries"/>
              <w:jc w:val="center"/>
            </w:pPr>
            <w:r>
              <w:t>4</w:t>
            </w:r>
          </w:p>
        </w:tc>
        <w:tc>
          <w:tcPr>
            <w:tcW w:w="300" w:type="pct"/>
            <w:shd w:val="clear" w:color="auto" w:fill="FFFF00"/>
            <w:noWrap/>
          </w:tcPr>
          <w:p w14:paraId="0B70F895" w14:textId="77777777" w:rsidR="00717847" w:rsidRPr="009D53C4" w:rsidRDefault="00717847" w:rsidP="003D1754">
            <w:pPr>
              <w:pStyle w:val="TableTextEntries"/>
              <w:jc w:val="center"/>
            </w:pPr>
            <w:r>
              <w:t>4</w:t>
            </w:r>
          </w:p>
        </w:tc>
        <w:tc>
          <w:tcPr>
            <w:tcW w:w="300" w:type="pct"/>
            <w:noWrap/>
          </w:tcPr>
          <w:p w14:paraId="0B70F896" w14:textId="77777777" w:rsidR="00717847" w:rsidRPr="00FE4491" w:rsidRDefault="00717847" w:rsidP="008E0AE1">
            <w:pPr>
              <w:pStyle w:val="TableTextEntries"/>
              <w:jc w:val="center"/>
            </w:pPr>
          </w:p>
        </w:tc>
      </w:tr>
      <w:tr w:rsidR="006264ED" w:rsidRPr="009D53C4" w14:paraId="0B70F8A4" w14:textId="77777777" w:rsidTr="007923A5">
        <w:trPr>
          <w:tblHeader w:val="0"/>
        </w:trPr>
        <w:tc>
          <w:tcPr>
            <w:tcW w:w="867" w:type="pct"/>
          </w:tcPr>
          <w:p w14:paraId="0B70F898" w14:textId="77777777" w:rsidR="00717847" w:rsidRPr="009D53C4" w:rsidRDefault="00717847" w:rsidP="008E0AE1">
            <w:pPr>
              <w:pStyle w:val="TableTextEntries"/>
            </w:pPr>
            <w:r>
              <w:t>Economic and Public Sector Program</w:t>
            </w:r>
          </w:p>
        </w:tc>
        <w:tc>
          <w:tcPr>
            <w:tcW w:w="995" w:type="pct"/>
          </w:tcPr>
          <w:p w14:paraId="0B70F899" w14:textId="77777777" w:rsidR="00717847" w:rsidRPr="00D11A8B" w:rsidRDefault="00717847" w:rsidP="003D1754">
            <w:pPr>
              <w:pStyle w:val="TableTextEntries"/>
            </w:pPr>
            <w:r w:rsidRPr="00D11A8B">
              <w:t>$100,000,000</w:t>
            </w:r>
          </w:p>
          <w:p w14:paraId="0B70F89A" w14:textId="77777777" w:rsidR="00717847" w:rsidRPr="00175002" w:rsidRDefault="00717847" w:rsidP="003D1754">
            <w:pPr>
              <w:pStyle w:val="TableTextEntries"/>
            </w:pPr>
            <w:r w:rsidRPr="00175002">
              <w:t>01/05/2009</w:t>
            </w:r>
            <w:r>
              <w:t xml:space="preserve"> - </w:t>
            </w:r>
          </w:p>
          <w:p w14:paraId="0B70F89B" w14:textId="77777777" w:rsidR="00717847" w:rsidRPr="009D53C4" w:rsidRDefault="00717847" w:rsidP="003D1754">
            <w:pPr>
              <w:pStyle w:val="TableTextEntries"/>
            </w:pPr>
            <w:r w:rsidRPr="00175002">
              <w:t>31/03/2015</w:t>
            </w:r>
          </w:p>
        </w:tc>
        <w:tc>
          <w:tcPr>
            <w:tcW w:w="500" w:type="pct"/>
          </w:tcPr>
          <w:p w14:paraId="0B70F89C" w14:textId="77777777" w:rsidR="00717847" w:rsidRPr="009D53C4" w:rsidRDefault="00717847" w:rsidP="003D1754">
            <w:pPr>
              <w:pStyle w:val="TableTextEntries"/>
            </w:pPr>
            <w:r>
              <w:t>2012</w:t>
            </w:r>
          </w:p>
        </w:tc>
        <w:tc>
          <w:tcPr>
            <w:tcW w:w="300" w:type="pct"/>
            <w:tcBorders>
              <w:top w:val="nil"/>
              <w:bottom w:val="nil"/>
            </w:tcBorders>
            <w:shd w:val="clear" w:color="auto" w:fill="FFFF00"/>
            <w:noWrap/>
          </w:tcPr>
          <w:p w14:paraId="0B70F89D"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9E"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9F"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A0"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A1"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8A2" w14:textId="77777777" w:rsidR="00717847" w:rsidRPr="009D53C4" w:rsidRDefault="00717847" w:rsidP="003D1754">
            <w:pPr>
              <w:pStyle w:val="TableTextEntries"/>
              <w:jc w:val="center"/>
            </w:pPr>
            <w:r>
              <w:t>5</w:t>
            </w:r>
          </w:p>
        </w:tc>
        <w:tc>
          <w:tcPr>
            <w:tcW w:w="300" w:type="pct"/>
            <w:noWrap/>
          </w:tcPr>
          <w:p w14:paraId="0B70F8A3" w14:textId="77777777" w:rsidR="00717847" w:rsidRPr="00FE4491" w:rsidRDefault="00717847" w:rsidP="008E0AE1">
            <w:pPr>
              <w:pStyle w:val="TableTextEntries"/>
              <w:jc w:val="center"/>
            </w:pPr>
          </w:p>
        </w:tc>
      </w:tr>
      <w:tr w:rsidR="006264ED" w:rsidRPr="009D53C4" w14:paraId="0B70F8AF"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8A5" w14:textId="77777777" w:rsidR="00717847" w:rsidRPr="009D53C4" w:rsidRDefault="00717847" w:rsidP="008E0AE1">
            <w:pPr>
              <w:pStyle w:val="TableTextEntries"/>
            </w:pPr>
          </w:p>
        </w:tc>
        <w:tc>
          <w:tcPr>
            <w:tcW w:w="995" w:type="pct"/>
          </w:tcPr>
          <w:p w14:paraId="0B70F8A6" w14:textId="77777777" w:rsidR="00717847" w:rsidRPr="009D53C4" w:rsidRDefault="00717847" w:rsidP="003D1754">
            <w:pPr>
              <w:pStyle w:val="TableTextEntries"/>
            </w:pPr>
          </w:p>
        </w:tc>
        <w:tc>
          <w:tcPr>
            <w:tcW w:w="500" w:type="pct"/>
          </w:tcPr>
          <w:p w14:paraId="0B70F8A7" w14:textId="77777777" w:rsidR="00717847" w:rsidRPr="009D53C4" w:rsidRDefault="00717847" w:rsidP="003D1754">
            <w:pPr>
              <w:pStyle w:val="TableTextEntries"/>
            </w:pPr>
            <w:r>
              <w:t>2011</w:t>
            </w:r>
          </w:p>
        </w:tc>
        <w:tc>
          <w:tcPr>
            <w:tcW w:w="300" w:type="pct"/>
            <w:shd w:val="clear" w:color="auto" w:fill="92D050"/>
            <w:noWrap/>
          </w:tcPr>
          <w:p w14:paraId="0B70F8A8" w14:textId="77777777" w:rsidR="00717847" w:rsidRPr="009D53C4" w:rsidRDefault="00717847" w:rsidP="003D1754">
            <w:pPr>
              <w:pStyle w:val="TableTextEntries"/>
              <w:jc w:val="center"/>
            </w:pPr>
            <w:r>
              <w:t>5</w:t>
            </w:r>
          </w:p>
        </w:tc>
        <w:tc>
          <w:tcPr>
            <w:tcW w:w="300" w:type="pct"/>
            <w:shd w:val="clear" w:color="auto" w:fill="92D050"/>
            <w:noWrap/>
          </w:tcPr>
          <w:p w14:paraId="0B70F8A9" w14:textId="77777777" w:rsidR="00717847" w:rsidRPr="009D53C4" w:rsidRDefault="00717847" w:rsidP="003D1754">
            <w:pPr>
              <w:pStyle w:val="TableTextEntries"/>
              <w:jc w:val="center"/>
            </w:pPr>
            <w:r>
              <w:t>5</w:t>
            </w:r>
          </w:p>
        </w:tc>
        <w:tc>
          <w:tcPr>
            <w:tcW w:w="300" w:type="pct"/>
            <w:shd w:val="clear" w:color="auto" w:fill="FFFF00"/>
            <w:noWrap/>
          </w:tcPr>
          <w:p w14:paraId="0B70F8AA" w14:textId="77777777" w:rsidR="00717847" w:rsidRPr="009D53C4" w:rsidRDefault="00717847" w:rsidP="003D1754">
            <w:pPr>
              <w:pStyle w:val="TableTextEntries"/>
              <w:jc w:val="center"/>
            </w:pPr>
            <w:r>
              <w:t>4</w:t>
            </w:r>
          </w:p>
        </w:tc>
        <w:tc>
          <w:tcPr>
            <w:tcW w:w="300" w:type="pct"/>
            <w:shd w:val="clear" w:color="auto" w:fill="92D050"/>
            <w:noWrap/>
          </w:tcPr>
          <w:p w14:paraId="0B70F8AB" w14:textId="77777777" w:rsidR="00717847" w:rsidRPr="009D53C4" w:rsidRDefault="00717847" w:rsidP="003D1754">
            <w:pPr>
              <w:pStyle w:val="TableTextEntries"/>
              <w:jc w:val="center"/>
            </w:pPr>
            <w:r>
              <w:t>5</w:t>
            </w:r>
          </w:p>
        </w:tc>
        <w:tc>
          <w:tcPr>
            <w:tcW w:w="300" w:type="pct"/>
            <w:shd w:val="clear" w:color="auto" w:fill="FFFF00"/>
            <w:noWrap/>
          </w:tcPr>
          <w:p w14:paraId="0B70F8AC" w14:textId="77777777" w:rsidR="00717847" w:rsidRPr="009D53C4" w:rsidRDefault="00717847" w:rsidP="003D1754">
            <w:pPr>
              <w:pStyle w:val="TableTextEntries"/>
              <w:jc w:val="center"/>
            </w:pPr>
            <w:r>
              <w:t>4</w:t>
            </w:r>
          </w:p>
        </w:tc>
        <w:tc>
          <w:tcPr>
            <w:tcW w:w="300" w:type="pct"/>
            <w:shd w:val="clear" w:color="auto" w:fill="92D050"/>
            <w:noWrap/>
          </w:tcPr>
          <w:p w14:paraId="0B70F8AD" w14:textId="77777777" w:rsidR="00717847" w:rsidRPr="009D53C4" w:rsidRDefault="00717847" w:rsidP="003D1754">
            <w:pPr>
              <w:pStyle w:val="TableTextEntries"/>
              <w:jc w:val="center"/>
            </w:pPr>
            <w:r>
              <w:t>5</w:t>
            </w:r>
          </w:p>
        </w:tc>
        <w:tc>
          <w:tcPr>
            <w:tcW w:w="300" w:type="pct"/>
            <w:noWrap/>
          </w:tcPr>
          <w:p w14:paraId="0B70F8AE" w14:textId="77777777" w:rsidR="00717847" w:rsidRPr="00FE4491" w:rsidRDefault="00717847" w:rsidP="008E0AE1">
            <w:pPr>
              <w:pStyle w:val="TableTextEntries"/>
              <w:jc w:val="center"/>
            </w:pPr>
          </w:p>
        </w:tc>
      </w:tr>
      <w:tr w:rsidR="006264ED" w:rsidRPr="009D53C4" w14:paraId="0B70F8BC" w14:textId="77777777" w:rsidTr="007923A5">
        <w:trPr>
          <w:tblHeader w:val="0"/>
        </w:trPr>
        <w:tc>
          <w:tcPr>
            <w:tcW w:w="867" w:type="pct"/>
          </w:tcPr>
          <w:p w14:paraId="0B70F8B0" w14:textId="77777777" w:rsidR="00717847" w:rsidRPr="00502850" w:rsidRDefault="00717847" w:rsidP="008E0AE1">
            <w:pPr>
              <w:pStyle w:val="TableTextEntries"/>
              <w:rPr>
                <w:i/>
              </w:rPr>
            </w:pPr>
            <w:r>
              <w:rPr>
                <w:i/>
              </w:rPr>
              <w:t>PNG-Australia Economic &amp; Public Sector Governance  Twinning Initiative Phase II</w:t>
            </w:r>
          </w:p>
        </w:tc>
        <w:tc>
          <w:tcPr>
            <w:tcW w:w="995" w:type="pct"/>
          </w:tcPr>
          <w:p w14:paraId="0B70F8B1" w14:textId="77777777" w:rsidR="00717847" w:rsidRPr="00D11A8B" w:rsidRDefault="00717847" w:rsidP="003D1754">
            <w:pPr>
              <w:pStyle w:val="TableTextEntries"/>
            </w:pPr>
            <w:r w:rsidRPr="00D11A8B">
              <w:t>$6,244,852</w:t>
            </w:r>
          </w:p>
          <w:p w14:paraId="0B70F8B2" w14:textId="77777777" w:rsidR="00717847" w:rsidRPr="00175002" w:rsidRDefault="00717847" w:rsidP="003D1754">
            <w:pPr>
              <w:pStyle w:val="TableTextEntries"/>
            </w:pPr>
            <w:r w:rsidRPr="00175002">
              <w:t>01/07/2010</w:t>
            </w:r>
          </w:p>
          <w:p w14:paraId="0B70F8B3" w14:textId="77777777" w:rsidR="00717847" w:rsidRPr="009D53C4" w:rsidRDefault="00717847" w:rsidP="003D1754">
            <w:pPr>
              <w:pStyle w:val="TableTextEntries"/>
            </w:pPr>
            <w:r w:rsidRPr="00175002">
              <w:t>30/06/2013</w:t>
            </w:r>
          </w:p>
        </w:tc>
        <w:tc>
          <w:tcPr>
            <w:tcW w:w="500" w:type="pct"/>
          </w:tcPr>
          <w:p w14:paraId="0B70F8B4"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8B5" w14:textId="77777777" w:rsidR="00717847" w:rsidRPr="009D53C4" w:rsidRDefault="00717847" w:rsidP="003D1754">
            <w:pPr>
              <w:pStyle w:val="TableTextEntries"/>
              <w:jc w:val="center"/>
              <w:rPr>
                <w:bCs/>
              </w:rPr>
            </w:pPr>
            <w:r>
              <w:rPr>
                <w:bCs/>
              </w:rPr>
              <w:t>5</w:t>
            </w:r>
          </w:p>
        </w:tc>
        <w:tc>
          <w:tcPr>
            <w:tcW w:w="300" w:type="pct"/>
            <w:tcBorders>
              <w:top w:val="nil"/>
              <w:bottom w:val="nil"/>
            </w:tcBorders>
            <w:shd w:val="clear" w:color="auto" w:fill="FFFF00"/>
            <w:noWrap/>
          </w:tcPr>
          <w:p w14:paraId="0B70F8B6" w14:textId="77777777" w:rsidR="00717847" w:rsidRPr="009D53C4" w:rsidRDefault="00717847" w:rsidP="003D1754">
            <w:pPr>
              <w:pStyle w:val="TableTextEntries"/>
              <w:jc w:val="center"/>
              <w:rPr>
                <w:bCs/>
              </w:rPr>
            </w:pPr>
            <w:r>
              <w:rPr>
                <w:bCs/>
              </w:rPr>
              <w:t>4</w:t>
            </w:r>
          </w:p>
        </w:tc>
        <w:tc>
          <w:tcPr>
            <w:tcW w:w="300" w:type="pct"/>
            <w:tcBorders>
              <w:top w:val="nil"/>
              <w:bottom w:val="nil"/>
            </w:tcBorders>
            <w:shd w:val="clear" w:color="auto" w:fill="FFFF00"/>
            <w:noWrap/>
          </w:tcPr>
          <w:p w14:paraId="0B70F8B7" w14:textId="77777777" w:rsidR="00717847" w:rsidRPr="009D53C4" w:rsidRDefault="00717847" w:rsidP="003D1754">
            <w:pPr>
              <w:pStyle w:val="TableTextEntries"/>
              <w:jc w:val="center"/>
              <w:rPr>
                <w:bCs/>
              </w:rPr>
            </w:pPr>
            <w:r>
              <w:rPr>
                <w:bCs/>
              </w:rPr>
              <w:t>4</w:t>
            </w:r>
          </w:p>
        </w:tc>
        <w:tc>
          <w:tcPr>
            <w:tcW w:w="300" w:type="pct"/>
            <w:tcBorders>
              <w:top w:val="nil"/>
              <w:bottom w:val="nil"/>
            </w:tcBorders>
            <w:shd w:val="clear" w:color="auto" w:fill="F79646" w:themeFill="accent6"/>
            <w:noWrap/>
          </w:tcPr>
          <w:p w14:paraId="0B70F8B8" w14:textId="77777777" w:rsidR="00717847" w:rsidRPr="009D53C4" w:rsidRDefault="00717847" w:rsidP="003D1754">
            <w:pPr>
              <w:pStyle w:val="TableTextEntries"/>
              <w:jc w:val="center"/>
              <w:rPr>
                <w:bCs/>
              </w:rPr>
            </w:pPr>
            <w:r>
              <w:rPr>
                <w:bCs/>
              </w:rPr>
              <w:t>3</w:t>
            </w:r>
          </w:p>
        </w:tc>
        <w:tc>
          <w:tcPr>
            <w:tcW w:w="300" w:type="pct"/>
            <w:tcBorders>
              <w:top w:val="nil"/>
              <w:bottom w:val="nil"/>
            </w:tcBorders>
            <w:shd w:val="clear" w:color="auto" w:fill="F79646" w:themeFill="accent6"/>
            <w:noWrap/>
          </w:tcPr>
          <w:p w14:paraId="0B70F8B9" w14:textId="77777777" w:rsidR="00717847" w:rsidRPr="009D53C4" w:rsidRDefault="00717847" w:rsidP="003D1754">
            <w:pPr>
              <w:pStyle w:val="TableTextEntries"/>
              <w:jc w:val="center"/>
              <w:rPr>
                <w:bCs/>
              </w:rPr>
            </w:pPr>
            <w:r>
              <w:rPr>
                <w:bCs/>
              </w:rPr>
              <w:t>3</w:t>
            </w:r>
          </w:p>
        </w:tc>
        <w:tc>
          <w:tcPr>
            <w:tcW w:w="300" w:type="pct"/>
            <w:tcBorders>
              <w:top w:val="nil"/>
              <w:bottom w:val="nil"/>
            </w:tcBorders>
            <w:shd w:val="clear" w:color="auto" w:fill="FFFF00"/>
            <w:noWrap/>
          </w:tcPr>
          <w:p w14:paraId="0B70F8BA" w14:textId="77777777" w:rsidR="00717847" w:rsidRPr="009D53C4" w:rsidRDefault="00717847" w:rsidP="003D1754">
            <w:pPr>
              <w:pStyle w:val="TableTextEntries"/>
              <w:jc w:val="center"/>
              <w:rPr>
                <w:bCs/>
              </w:rPr>
            </w:pPr>
            <w:r>
              <w:rPr>
                <w:bCs/>
              </w:rPr>
              <w:t>4</w:t>
            </w:r>
          </w:p>
        </w:tc>
        <w:tc>
          <w:tcPr>
            <w:tcW w:w="300" w:type="pct"/>
            <w:noWrap/>
          </w:tcPr>
          <w:p w14:paraId="0B70F8BB" w14:textId="77777777" w:rsidR="00717847" w:rsidRPr="00FE4491" w:rsidRDefault="00717847" w:rsidP="008E0AE1">
            <w:pPr>
              <w:pStyle w:val="TableTextEntries"/>
              <w:jc w:val="center"/>
            </w:pPr>
          </w:p>
        </w:tc>
      </w:tr>
      <w:tr w:rsidR="006264ED" w:rsidRPr="009D53C4" w14:paraId="0B70F8C7"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8BD" w14:textId="77777777" w:rsidR="00717847" w:rsidRPr="009D53C4" w:rsidRDefault="00717847" w:rsidP="008E0AE1">
            <w:pPr>
              <w:pStyle w:val="TableTextEntries"/>
            </w:pPr>
          </w:p>
        </w:tc>
        <w:tc>
          <w:tcPr>
            <w:tcW w:w="995" w:type="pct"/>
          </w:tcPr>
          <w:p w14:paraId="0B70F8BE" w14:textId="77777777" w:rsidR="00717847" w:rsidRPr="009D53C4" w:rsidRDefault="00717847" w:rsidP="003D1754">
            <w:pPr>
              <w:pStyle w:val="TableTextEntries"/>
            </w:pPr>
          </w:p>
        </w:tc>
        <w:tc>
          <w:tcPr>
            <w:tcW w:w="500" w:type="pct"/>
          </w:tcPr>
          <w:p w14:paraId="0B70F8BF" w14:textId="77777777" w:rsidR="00717847" w:rsidRPr="009D53C4" w:rsidRDefault="00717847" w:rsidP="003D1754">
            <w:pPr>
              <w:pStyle w:val="TableTextEntries"/>
            </w:pPr>
            <w:r>
              <w:t>2011</w:t>
            </w:r>
          </w:p>
        </w:tc>
        <w:tc>
          <w:tcPr>
            <w:tcW w:w="300" w:type="pct"/>
            <w:shd w:val="clear" w:color="auto" w:fill="92D050"/>
            <w:noWrap/>
          </w:tcPr>
          <w:p w14:paraId="0B70F8C0" w14:textId="77777777" w:rsidR="00717847" w:rsidRPr="009D53C4" w:rsidRDefault="00717847" w:rsidP="003D1754">
            <w:pPr>
              <w:pStyle w:val="TableTextEntries"/>
              <w:jc w:val="center"/>
              <w:rPr>
                <w:bCs/>
              </w:rPr>
            </w:pPr>
            <w:r>
              <w:rPr>
                <w:bCs/>
              </w:rPr>
              <w:t>5</w:t>
            </w:r>
          </w:p>
        </w:tc>
        <w:tc>
          <w:tcPr>
            <w:tcW w:w="300" w:type="pct"/>
            <w:shd w:val="clear" w:color="auto" w:fill="FFFF00"/>
            <w:noWrap/>
          </w:tcPr>
          <w:p w14:paraId="0B70F8C1" w14:textId="77777777" w:rsidR="00717847" w:rsidRPr="009D53C4" w:rsidRDefault="00717847" w:rsidP="003D1754">
            <w:pPr>
              <w:pStyle w:val="TableTextEntries"/>
              <w:jc w:val="center"/>
              <w:rPr>
                <w:bCs/>
              </w:rPr>
            </w:pPr>
            <w:r>
              <w:rPr>
                <w:bCs/>
              </w:rPr>
              <w:t>4</w:t>
            </w:r>
          </w:p>
        </w:tc>
        <w:tc>
          <w:tcPr>
            <w:tcW w:w="300" w:type="pct"/>
            <w:shd w:val="clear" w:color="auto" w:fill="F79646" w:themeFill="accent6"/>
            <w:noWrap/>
          </w:tcPr>
          <w:p w14:paraId="0B70F8C2" w14:textId="77777777" w:rsidR="00717847" w:rsidRPr="009D53C4" w:rsidRDefault="00717847" w:rsidP="003D1754">
            <w:pPr>
              <w:pStyle w:val="TableTextEntries"/>
              <w:jc w:val="center"/>
              <w:rPr>
                <w:bCs/>
              </w:rPr>
            </w:pPr>
            <w:r>
              <w:rPr>
                <w:bCs/>
              </w:rPr>
              <w:t>3</w:t>
            </w:r>
          </w:p>
        </w:tc>
        <w:tc>
          <w:tcPr>
            <w:tcW w:w="300" w:type="pct"/>
            <w:shd w:val="clear" w:color="auto" w:fill="F79646" w:themeFill="accent6"/>
            <w:noWrap/>
          </w:tcPr>
          <w:p w14:paraId="0B70F8C3" w14:textId="77777777" w:rsidR="00717847" w:rsidRPr="009D53C4" w:rsidRDefault="00717847" w:rsidP="003D1754">
            <w:pPr>
              <w:pStyle w:val="TableTextEntries"/>
              <w:jc w:val="center"/>
              <w:rPr>
                <w:bCs/>
              </w:rPr>
            </w:pPr>
            <w:r>
              <w:rPr>
                <w:bCs/>
              </w:rPr>
              <w:t>3</w:t>
            </w:r>
          </w:p>
        </w:tc>
        <w:tc>
          <w:tcPr>
            <w:tcW w:w="300" w:type="pct"/>
            <w:shd w:val="clear" w:color="auto" w:fill="FFFF00"/>
            <w:noWrap/>
          </w:tcPr>
          <w:p w14:paraId="0B70F8C4" w14:textId="77777777" w:rsidR="00717847" w:rsidRPr="009D53C4" w:rsidRDefault="00717847" w:rsidP="003D1754">
            <w:pPr>
              <w:pStyle w:val="TableTextEntries"/>
              <w:jc w:val="center"/>
              <w:rPr>
                <w:bCs/>
              </w:rPr>
            </w:pPr>
            <w:r>
              <w:rPr>
                <w:bCs/>
              </w:rPr>
              <w:t>4</w:t>
            </w:r>
          </w:p>
        </w:tc>
        <w:tc>
          <w:tcPr>
            <w:tcW w:w="300" w:type="pct"/>
            <w:shd w:val="clear" w:color="auto" w:fill="F79646" w:themeFill="accent6"/>
            <w:noWrap/>
          </w:tcPr>
          <w:p w14:paraId="0B70F8C5" w14:textId="77777777" w:rsidR="00717847" w:rsidRPr="009D53C4" w:rsidRDefault="00717847" w:rsidP="003D1754">
            <w:pPr>
              <w:pStyle w:val="TableTextEntries"/>
              <w:jc w:val="center"/>
              <w:rPr>
                <w:bCs/>
              </w:rPr>
            </w:pPr>
            <w:r>
              <w:rPr>
                <w:bCs/>
              </w:rPr>
              <w:t>3</w:t>
            </w:r>
          </w:p>
        </w:tc>
        <w:tc>
          <w:tcPr>
            <w:tcW w:w="300" w:type="pct"/>
            <w:noWrap/>
          </w:tcPr>
          <w:p w14:paraId="0B70F8C6" w14:textId="77777777" w:rsidR="00717847" w:rsidRPr="00FE4491" w:rsidRDefault="00717847" w:rsidP="008E0AE1">
            <w:pPr>
              <w:pStyle w:val="TableTextEntries"/>
              <w:jc w:val="center"/>
            </w:pPr>
          </w:p>
        </w:tc>
      </w:tr>
      <w:tr w:rsidR="006264ED" w:rsidRPr="009D53C4" w14:paraId="0B70F8D4" w14:textId="77777777" w:rsidTr="007923A5">
        <w:trPr>
          <w:tblHeader w:val="0"/>
        </w:trPr>
        <w:tc>
          <w:tcPr>
            <w:tcW w:w="867" w:type="pct"/>
          </w:tcPr>
          <w:p w14:paraId="0B70F8C8" w14:textId="77777777" w:rsidR="00717847" w:rsidRPr="006D4949" w:rsidRDefault="00717847" w:rsidP="008E0AE1">
            <w:pPr>
              <w:pStyle w:val="TableTextEntries"/>
              <w:rPr>
                <w:i/>
              </w:rPr>
            </w:pPr>
            <w:r>
              <w:rPr>
                <w:i/>
              </w:rPr>
              <w:t>Health Program Response to HIV/AIDS</w:t>
            </w:r>
          </w:p>
        </w:tc>
        <w:tc>
          <w:tcPr>
            <w:tcW w:w="995" w:type="pct"/>
          </w:tcPr>
          <w:p w14:paraId="0B70F8C9" w14:textId="77777777" w:rsidR="00717847" w:rsidRPr="00D11A8B" w:rsidRDefault="00717847" w:rsidP="003D1754">
            <w:pPr>
              <w:pStyle w:val="TableTextEntries"/>
            </w:pPr>
            <w:r w:rsidRPr="00D11A8B">
              <w:t>$47,366,182</w:t>
            </w:r>
          </w:p>
          <w:p w14:paraId="0B70F8CA" w14:textId="77777777" w:rsidR="00717847" w:rsidRPr="00175002" w:rsidRDefault="00717847" w:rsidP="003D1754">
            <w:pPr>
              <w:pStyle w:val="TableTextEntries"/>
            </w:pPr>
            <w:r w:rsidRPr="00175002">
              <w:t>01/08/2006</w:t>
            </w:r>
          </w:p>
          <w:p w14:paraId="0B70F8CB" w14:textId="77777777" w:rsidR="00717847" w:rsidRPr="00175002" w:rsidRDefault="00717847" w:rsidP="003D1754">
            <w:pPr>
              <w:pStyle w:val="TableTextEntries"/>
            </w:pPr>
            <w:r w:rsidRPr="00175002">
              <w:t>30/06/2013</w:t>
            </w:r>
          </w:p>
        </w:tc>
        <w:tc>
          <w:tcPr>
            <w:tcW w:w="500" w:type="pct"/>
          </w:tcPr>
          <w:p w14:paraId="0B70F8CC"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8CD"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8CE"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CF"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8D0"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8D1"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8D2" w14:textId="77777777" w:rsidR="00717847" w:rsidRPr="009D53C4" w:rsidRDefault="00717847" w:rsidP="003D1754">
            <w:pPr>
              <w:pStyle w:val="TableTextEntries"/>
              <w:jc w:val="center"/>
            </w:pPr>
            <w:r>
              <w:t>5</w:t>
            </w:r>
          </w:p>
        </w:tc>
        <w:tc>
          <w:tcPr>
            <w:tcW w:w="300" w:type="pct"/>
            <w:noWrap/>
          </w:tcPr>
          <w:p w14:paraId="0B70F8D3" w14:textId="77777777" w:rsidR="00717847" w:rsidRPr="00FE4491" w:rsidRDefault="00717847" w:rsidP="008E0AE1">
            <w:pPr>
              <w:pStyle w:val="TableTextEntries"/>
              <w:jc w:val="center"/>
            </w:pPr>
          </w:p>
        </w:tc>
      </w:tr>
      <w:tr w:rsidR="006264ED" w:rsidRPr="009D53C4" w14:paraId="0B70F8DF"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8D5" w14:textId="77777777" w:rsidR="00717847" w:rsidRPr="009D53C4" w:rsidRDefault="00717847" w:rsidP="008E0AE1">
            <w:pPr>
              <w:pStyle w:val="TableTextEntries"/>
            </w:pPr>
          </w:p>
        </w:tc>
        <w:tc>
          <w:tcPr>
            <w:tcW w:w="995" w:type="pct"/>
          </w:tcPr>
          <w:p w14:paraId="0B70F8D6" w14:textId="77777777" w:rsidR="00717847" w:rsidRPr="009D53C4" w:rsidRDefault="00717847" w:rsidP="003D1754">
            <w:pPr>
              <w:pStyle w:val="TableTextEntries"/>
            </w:pPr>
          </w:p>
        </w:tc>
        <w:tc>
          <w:tcPr>
            <w:tcW w:w="500" w:type="pct"/>
          </w:tcPr>
          <w:p w14:paraId="0B70F8D7" w14:textId="77777777" w:rsidR="00717847" w:rsidRPr="009D53C4" w:rsidRDefault="00717847" w:rsidP="003D1754">
            <w:pPr>
              <w:pStyle w:val="TableTextEntries"/>
            </w:pPr>
            <w:r>
              <w:t>2011</w:t>
            </w:r>
          </w:p>
        </w:tc>
        <w:tc>
          <w:tcPr>
            <w:tcW w:w="300" w:type="pct"/>
            <w:shd w:val="clear" w:color="auto" w:fill="92D050"/>
            <w:noWrap/>
          </w:tcPr>
          <w:p w14:paraId="0B70F8D8" w14:textId="77777777" w:rsidR="00717847" w:rsidRPr="009D53C4" w:rsidRDefault="00717847" w:rsidP="003D1754">
            <w:pPr>
              <w:pStyle w:val="TableTextEntries"/>
              <w:jc w:val="center"/>
            </w:pPr>
            <w:r>
              <w:t>5</w:t>
            </w:r>
          </w:p>
        </w:tc>
        <w:tc>
          <w:tcPr>
            <w:tcW w:w="300" w:type="pct"/>
            <w:shd w:val="clear" w:color="auto" w:fill="92D050"/>
            <w:noWrap/>
          </w:tcPr>
          <w:p w14:paraId="0B70F8D9" w14:textId="77777777" w:rsidR="00717847" w:rsidRPr="009D53C4" w:rsidRDefault="00717847" w:rsidP="003D1754">
            <w:pPr>
              <w:pStyle w:val="TableTextEntries"/>
              <w:jc w:val="center"/>
            </w:pPr>
            <w:r>
              <w:t>5</w:t>
            </w:r>
          </w:p>
        </w:tc>
        <w:tc>
          <w:tcPr>
            <w:tcW w:w="300" w:type="pct"/>
            <w:shd w:val="clear" w:color="auto" w:fill="FFFF00"/>
            <w:noWrap/>
          </w:tcPr>
          <w:p w14:paraId="0B70F8DA" w14:textId="77777777" w:rsidR="00717847" w:rsidRPr="009D53C4" w:rsidRDefault="00717847" w:rsidP="003D1754">
            <w:pPr>
              <w:pStyle w:val="TableTextEntries"/>
              <w:jc w:val="center"/>
            </w:pPr>
            <w:r>
              <w:t>4</w:t>
            </w:r>
          </w:p>
        </w:tc>
        <w:tc>
          <w:tcPr>
            <w:tcW w:w="300" w:type="pct"/>
            <w:shd w:val="clear" w:color="auto" w:fill="92D050"/>
            <w:noWrap/>
          </w:tcPr>
          <w:p w14:paraId="0B70F8DB" w14:textId="77777777" w:rsidR="00717847" w:rsidRPr="009D53C4" w:rsidRDefault="00717847" w:rsidP="003D1754">
            <w:pPr>
              <w:pStyle w:val="TableTextEntries"/>
              <w:jc w:val="center"/>
            </w:pPr>
            <w:r>
              <w:t>5</w:t>
            </w:r>
          </w:p>
        </w:tc>
        <w:tc>
          <w:tcPr>
            <w:tcW w:w="300" w:type="pct"/>
            <w:shd w:val="clear" w:color="auto" w:fill="92D050"/>
            <w:noWrap/>
          </w:tcPr>
          <w:p w14:paraId="0B70F8DC" w14:textId="77777777" w:rsidR="00717847" w:rsidRPr="009D53C4" w:rsidRDefault="00717847" w:rsidP="003D1754">
            <w:pPr>
              <w:pStyle w:val="TableTextEntries"/>
              <w:jc w:val="center"/>
            </w:pPr>
            <w:r>
              <w:t>5</w:t>
            </w:r>
          </w:p>
        </w:tc>
        <w:tc>
          <w:tcPr>
            <w:tcW w:w="300" w:type="pct"/>
            <w:shd w:val="clear" w:color="auto" w:fill="92D050"/>
            <w:noWrap/>
          </w:tcPr>
          <w:p w14:paraId="0B70F8DD" w14:textId="77777777" w:rsidR="00717847" w:rsidRPr="009D53C4" w:rsidRDefault="00717847" w:rsidP="003D1754">
            <w:pPr>
              <w:pStyle w:val="TableTextEntries"/>
              <w:jc w:val="center"/>
            </w:pPr>
            <w:r>
              <w:t>5</w:t>
            </w:r>
          </w:p>
        </w:tc>
        <w:tc>
          <w:tcPr>
            <w:tcW w:w="300" w:type="pct"/>
            <w:noWrap/>
          </w:tcPr>
          <w:p w14:paraId="0B70F8DE" w14:textId="77777777" w:rsidR="00717847" w:rsidRPr="00FE4491" w:rsidRDefault="00717847" w:rsidP="008E0AE1">
            <w:pPr>
              <w:pStyle w:val="TableTextEntries"/>
              <w:jc w:val="center"/>
            </w:pPr>
          </w:p>
        </w:tc>
      </w:tr>
      <w:tr w:rsidR="006264ED" w:rsidRPr="009D53C4" w14:paraId="0B70F8EC" w14:textId="77777777" w:rsidTr="007923A5">
        <w:trPr>
          <w:tblHeader w:val="0"/>
        </w:trPr>
        <w:tc>
          <w:tcPr>
            <w:tcW w:w="867" w:type="pct"/>
          </w:tcPr>
          <w:p w14:paraId="0B70F8E0" w14:textId="77777777" w:rsidR="00717847" w:rsidRPr="009D53C4" w:rsidRDefault="00717847" w:rsidP="008E0AE1">
            <w:pPr>
              <w:pStyle w:val="TableTextEntries"/>
            </w:pPr>
            <w:r>
              <w:t>Sanap Wantaim – PNG-Australia HIV and AIDS Program</w:t>
            </w:r>
          </w:p>
        </w:tc>
        <w:tc>
          <w:tcPr>
            <w:tcW w:w="995" w:type="pct"/>
          </w:tcPr>
          <w:p w14:paraId="0B70F8E1" w14:textId="77777777" w:rsidR="00717847" w:rsidRPr="00D11A8B" w:rsidRDefault="00717847" w:rsidP="003D1754">
            <w:pPr>
              <w:pStyle w:val="TableTextEntries"/>
            </w:pPr>
            <w:r w:rsidRPr="00D11A8B">
              <w:t>$185,000,000</w:t>
            </w:r>
          </w:p>
          <w:p w14:paraId="0B70F8E2" w14:textId="77777777" w:rsidR="00717847" w:rsidRPr="00175002" w:rsidRDefault="00717847" w:rsidP="003D1754">
            <w:pPr>
              <w:pStyle w:val="TableTextEntries"/>
            </w:pPr>
            <w:r w:rsidRPr="00175002">
              <w:t>01/11/2006</w:t>
            </w:r>
          </w:p>
          <w:p w14:paraId="0B70F8E3" w14:textId="77777777" w:rsidR="00717847" w:rsidRPr="00175002" w:rsidRDefault="00717847" w:rsidP="003D1754">
            <w:pPr>
              <w:pStyle w:val="TableTextEntries"/>
            </w:pPr>
            <w:r w:rsidRPr="00175002">
              <w:t>28/02/2013</w:t>
            </w:r>
          </w:p>
        </w:tc>
        <w:tc>
          <w:tcPr>
            <w:tcW w:w="500" w:type="pct"/>
          </w:tcPr>
          <w:p w14:paraId="0B70F8E4"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8E5"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8E6"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E7"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8E8"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8E9"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8EA" w14:textId="77777777" w:rsidR="00717847" w:rsidRPr="009D53C4" w:rsidRDefault="00717847" w:rsidP="003D1754">
            <w:pPr>
              <w:pStyle w:val="TableTextEntries"/>
              <w:jc w:val="center"/>
            </w:pPr>
            <w:r>
              <w:t>5</w:t>
            </w:r>
          </w:p>
        </w:tc>
        <w:tc>
          <w:tcPr>
            <w:tcW w:w="300" w:type="pct"/>
            <w:noWrap/>
          </w:tcPr>
          <w:p w14:paraId="0B70F8EB" w14:textId="77777777" w:rsidR="00717847" w:rsidRPr="00FE4491" w:rsidRDefault="00717847" w:rsidP="008E0AE1">
            <w:pPr>
              <w:pStyle w:val="TableTextEntries"/>
              <w:jc w:val="center"/>
            </w:pPr>
          </w:p>
        </w:tc>
      </w:tr>
      <w:tr w:rsidR="006264ED" w:rsidRPr="009D53C4" w14:paraId="0B70F8F7"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8ED" w14:textId="77777777" w:rsidR="00717847" w:rsidRPr="009D53C4" w:rsidRDefault="00717847" w:rsidP="008E0AE1">
            <w:pPr>
              <w:pStyle w:val="TableTextEntries"/>
            </w:pPr>
          </w:p>
        </w:tc>
        <w:tc>
          <w:tcPr>
            <w:tcW w:w="995" w:type="pct"/>
          </w:tcPr>
          <w:p w14:paraId="0B70F8EE" w14:textId="77777777" w:rsidR="00717847" w:rsidRPr="009D53C4" w:rsidRDefault="00717847" w:rsidP="003D1754">
            <w:pPr>
              <w:pStyle w:val="TableTextEntries"/>
            </w:pPr>
          </w:p>
        </w:tc>
        <w:tc>
          <w:tcPr>
            <w:tcW w:w="500" w:type="pct"/>
          </w:tcPr>
          <w:p w14:paraId="0B70F8EF" w14:textId="77777777" w:rsidR="00717847" w:rsidRPr="009D53C4" w:rsidRDefault="00717847" w:rsidP="003D1754">
            <w:pPr>
              <w:pStyle w:val="TableTextEntries"/>
            </w:pPr>
            <w:r>
              <w:t>2011</w:t>
            </w:r>
          </w:p>
        </w:tc>
        <w:tc>
          <w:tcPr>
            <w:tcW w:w="300" w:type="pct"/>
            <w:shd w:val="clear" w:color="auto" w:fill="92D050"/>
            <w:noWrap/>
          </w:tcPr>
          <w:p w14:paraId="0B70F8F0" w14:textId="77777777" w:rsidR="00717847" w:rsidRPr="009D53C4" w:rsidRDefault="00717847" w:rsidP="003D1754">
            <w:pPr>
              <w:pStyle w:val="TableTextEntries"/>
              <w:jc w:val="center"/>
            </w:pPr>
            <w:r>
              <w:t>5</w:t>
            </w:r>
          </w:p>
        </w:tc>
        <w:tc>
          <w:tcPr>
            <w:tcW w:w="300" w:type="pct"/>
            <w:shd w:val="clear" w:color="auto" w:fill="92D050"/>
            <w:noWrap/>
          </w:tcPr>
          <w:p w14:paraId="0B70F8F1" w14:textId="77777777" w:rsidR="00717847" w:rsidRPr="009D53C4" w:rsidRDefault="00717847" w:rsidP="003D1754">
            <w:pPr>
              <w:pStyle w:val="TableTextEntries"/>
              <w:jc w:val="center"/>
            </w:pPr>
            <w:r>
              <w:t>5</w:t>
            </w:r>
          </w:p>
        </w:tc>
        <w:tc>
          <w:tcPr>
            <w:tcW w:w="300" w:type="pct"/>
            <w:shd w:val="clear" w:color="auto" w:fill="FFFF00"/>
            <w:noWrap/>
          </w:tcPr>
          <w:p w14:paraId="0B70F8F2" w14:textId="77777777" w:rsidR="00717847" w:rsidRPr="009D53C4" w:rsidRDefault="00717847" w:rsidP="003D1754">
            <w:pPr>
              <w:pStyle w:val="TableTextEntries"/>
              <w:jc w:val="center"/>
            </w:pPr>
            <w:r>
              <w:t>4</w:t>
            </w:r>
          </w:p>
        </w:tc>
        <w:tc>
          <w:tcPr>
            <w:tcW w:w="300" w:type="pct"/>
            <w:shd w:val="clear" w:color="auto" w:fill="92D050"/>
            <w:noWrap/>
          </w:tcPr>
          <w:p w14:paraId="0B70F8F3" w14:textId="77777777" w:rsidR="00717847" w:rsidRPr="009D53C4" w:rsidRDefault="00717847" w:rsidP="003D1754">
            <w:pPr>
              <w:pStyle w:val="TableTextEntries"/>
              <w:jc w:val="center"/>
            </w:pPr>
            <w:r>
              <w:t>5</w:t>
            </w:r>
          </w:p>
        </w:tc>
        <w:tc>
          <w:tcPr>
            <w:tcW w:w="300" w:type="pct"/>
            <w:shd w:val="clear" w:color="auto" w:fill="92D050"/>
            <w:noWrap/>
          </w:tcPr>
          <w:p w14:paraId="0B70F8F4" w14:textId="77777777" w:rsidR="00717847" w:rsidRPr="009D53C4" w:rsidRDefault="00717847" w:rsidP="003D1754">
            <w:pPr>
              <w:pStyle w:val="TableTextEntries"/>
              <w:jc w:val="center"/>
            </w:pPr>
            <w:r>
              <w:t>5</w:t>
            </w:r>
          </w:p>
        </w:tc>
        <w:tc>
          <w:tcPr>
            <w:tcW w:w="300" w:type="pct"/>
            <w:shd w:val="clear" w:color="auto" w:fill="92D050"/>
            <w:noWrap/>
          </w:tcPr>
          <w:p w14:paraId="0B70F8F5" w14:textId="77777777" w:rsidR="00717847" w:rsidRPr="009D53C4" w:rsidRDefault="00717847" w:rsidP="003D1754">
            <w:pPr>
              <w:pStyle w:val="TableTextEntries"/>
              <w:jc w:val="center"/>
            </w:pPr>
            <w:r>
              <w:t>5</w:t>
            </w:r>
          </w:p>
        </w:tc>
        <w:tc>
          <w:tcPr>
            <w:tcW w:w="300" w:type="pct"/>
            <w:noWrap/>
          </w:tcPr>
          <w:p w14:paraId="0B70F8F6" w14:textId="77777777" w:rsidR="00717847" w:rsidRPr="00FE4491" w:rsidRDefault="00717847" w:rsidP="008E0AE1">
            <w:pPr>
              <w:pStyle w:val="TableTextEntries"/>
              <w:jc w:val="center"/>
            </w:pPr>
          </w:p>
        </w:tc>
      </w:tr>
      <w:tr w:rsidR="006264ED" w:rsidRPr="009D53C4" w14:paraId="0B70F904" w14:textId="77777777" w:rsidTr="007923A5">
        <w:trPr>
          <w:tblHeader w:val="0"/>
        </w:trPr>
        <w:tc>
          <w:tcPr>
            <w:tcW w:w="867" w:type="pct"/>
          </w:tcPr>
          <w:p w14:paraId="0B70F8F8" w14:textId="77777777" w:rsidR="00717847" w:rsidRPr="009D53C4" w:rsidRDefault="00717847" w:rsidP="008E0AE1">
            <w:pPr>
              <w:pStyle w:val="TableTextEntries"/>
            </w:pPr>
            <w:r>
              <w:t>Western Province Package of Measures</w:t>
            </w:r>
          </w:p>
        </w:tc>
        <w:tc>
          <w:tcPr>
            <w:tcW w:w="995" w:type="pct"/>
          </w:tcPr>
          <w:p w14:paraId="0B70F8F9" w14:textId="77777777" w:rsidR="00717847" w:rsidRDefault="00717847" w:rsidP="003D1754">
            <w:pPr>
              <w:pStyle w:val="TableTextEntries"/>
            </w:pPr>
            <w:r w:rsidRPr="00D11A8B">
              <w:t>$4,617,649</w:t>
            </w:r>
          </w:p>
          <w:p w14:paraId="0B70F8FA" w14:textId="77777777" w:rsidR="00717847" w:rsidRPr="00175002" w:rsidRDefault="00717847" w:rsidP="003D1754">
            <w:pPr>
              <w:pStyle w:val="TableTextEntries"/>
            </w:pPr>
            <w:r w:rsidRPr="00175002">
              <w:t>25/06/2008</w:t>
            </w:r>
          </w:p>
          <w:p w14:paraId="0B70F8FB" w14:textId="77777777" w:rsidR="00717847" w:rsidRPr="00175002" w:rsidRDefault="00717847" w:rsidP="003D1754">
            <w:pPr>
              <w:pStyle w:val="TableTextEntries"/>
            </w:pPr>
            <w:r w:rsidRPr="00175002">
              <w:t>30/06/2015</w:t>
            </w:r>
          </w:p>
        </w:tc>
        <w:tc>
          <w:tcPr>
            <w:tcW w:w="500" w:type="pct"/>
          </w:tcPr>
          <w:p w14:paraId="0B70F8FC"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8FD"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8FE"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8FF"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900"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901"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902" w14:textId="77777777" w:rsidR="00717847" w:rsidRPr="009D53C4" w:rsidRDefault="00717847" w:rsidP="003D1754">
            <w:pPr>
              <w:pStyle w:val="TableTextEntries"/>
              <w:jc w:val="center"/>
            </w:pPr>
            <w:r>
              <w:t>5</w:t>
            </w:r>
          </w:p>
        </w:tc>
        <w:tc>
          <w:tcPr>
            <w:tcW w:w="300" w:type="pct"/>
            <w:noWrap/>
          </w:tcPr>
          <w:p w14:paraId="0B70F903" w14:textId="77777777" w:rsidR="00717847" w:rsidRPr="00FE4491" w:rsidRDefault="00717847" w:rsidP="008E0AE1">
            <w:pPr>
              <w:pStyle w:val="TableTextEntries"/>
              <w:jc w:val="center"/>
            </w:pPr>
          </w:p>
        </w:tc>
      </w:tr>
      <w:tr w:rsidR="006264ED" w:rsidRPr="009D53C4" w14:paraId="0B70F90F" w14:textId="77777777" w:rsidTr="003D1754">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905" w14:textId="77777777" w:rsidR="00717847" w:rsidRPr="009D53C4" w:rsidRDefault="00717847" w:rsidP="008E0AE1">
            <w:pPr>
              <w:pStyle w:val="TableTextEntries"/>
            </w:pPr>
          </w:p>
        </w:tc>
        <w:tc>
          <w:tcPr>
            <w:tcW w:w="995" w:type="pct"/>
          </w:tcPr>
          <w:p w14:paraId="0B70F906" w14:textId="77777777" w:rsidR="00717847" w:rsidRPr="009D53C4" w:rsidRDefault="00717847" w:rsidP="003D1754">
            <w:pPr>
              <w:pStyle w:val="TableTextEntries"/>
            </w:pPr>
          </w:p>
        </w:tc>
        <w:tc>
          <w:tcPr>
            <w:tcW w:w="500" w:type="pct"/>
          </w:tcPr>
          <w:p w14:paraId="0B70F907" w14:textId="77777777" w:rsidR="00717847" w:rsidRPr="009D53C4" w:rsidRDefault="00717847" w:rsidP="003D1754">
            <w:pPr>
              <w:pStyle w:val="TableTextEntries"/>
            </w:pPr>
            <w:r>
              <w:t>2011^</w:t>
            </w:r>
          </w:p>
        </w:tc>
        <w:tc>
          <w:tcPr>
            <w:tcW w:w="300" w:type="pct"/>
            <w:noWrap/>
          </w:tcPr>
          <w:p w14:paraId="0B70F908" w14:textId="77777777" w:rsidR="00717847" w:rsidRPr="009D53C4" w:rsidRDefault="00717847" w:rsidP="003D1754">
            <w:pPr>
              <w:pStyle w:val="TableTextEntries"/>
              <w:jc w:val="center"/>
            </w:pPr>
            <w:r>
              <w:t>N/A</w:t>
            </w:r>
          </w:p>
        </w:tc>
        <w:tc>
          <w:tcPr>
            <w:tcW w:w="300" w:type="pct"/>
            <w:noWrap/>
          </w:tcPr>
          <w:p w14:paraId="0B70F909" w14:textId="77777777" w:rsidR="00717847" w:rsidRPr="009D53C4" w:rsidRDefault="00717847" w:rsidP="003D1754">
            <w:pPr>
              <w:pStyle w:val="TableTextEntries"/>
              <w:jc w:val="center"/>
            </w:pPr>
            <w:r>
              <w:t>N/A</w:t>
            </w:r>
          </w:p>
        </w:tc>
        <w:tc>
          <w:tcPr>
            <w:tcW w:w="300" w:type="pct"/>
            <w:noWrap/>
          </w:tcPr>
          <w:p w14:paraId="0B70F90A" w14:textId="77777777" w:rsidR="00717847" w:rsidRPr="009D53C4" w:rsidRDefault="00717847" w:rsidP="003D1754">
            <w:pPr>
              <w:pStyle w:val="TableTextEntries"/>
              <w:jc w:val="center"/>
            </w:pPr>
            <w:r>
              <w:t>N/A</w:t>
            </w:r>
          </w:p>
        </w:tc>
        <w:tc>
          <w:tcPr>
            <w:tcW w:w="300" w:type="pct"/>
            <w:noWrap/>
          </w:tcPr>
          <w:p w14:paraId="0B70F90B" w14:textId="77777777" w:rsidR="00717847" w:rsidRPr="009D53C4" w:rsidRDefault="00717847" w:rsidP="003D1754">
            <w:pPr>
              <w:pStyle w:val="TableTextEntries"/>
              <w:jc w:val="center"/>
            </w:pPr>
            <w:r>
              <w:t>N/A</w:t>
            </w:r>
          </w:p>
        </w:tc>
        <w:tc>
          <w:tcPr>
            <w:tcW w:w="300" w:type="pct"/>
            <w:noWrap/>
          </w:tcPr>
          <w:p w14:paraId="0B70F90C" w14:textId="77777777" w:rsidR="00717847" w:rsidRPr="009D53C4" w:rsidRDefault="00717847" w:rsidP="003D1754">
            <w:pPr>
              <w:pStyle w:val="TableTextEntries"/>
              <w:jc w:val="center"/>
            </w:pPr>
            <w:r>
              <w:t>N/A</w:t>
            </w:r>
          </w:p>
        </w:tc>
        <w:tc>
          <w:tcPr>
            <w:tcW w:w="300" w:type="pct"/>
            <w:noWrap/>
          </w:tcPr>
          <w:p w14:paraId="0B70F90D" w14:textId="77777777" w:rsidR="00717847" w:rsidRPr="009D53C4" w:rsidRDefault="00717847" w:rsidP="003D1754">
            <w:pPr>
              <w:pStyle w:val="TableTextEntries"/>
              <w:jc w:val="center"/>
            </w:pPr>
            <w:r>
              <w:t>N/A</w:t>
            </w:r>
          </w:p>
        </w:tc>
        <w:tc>
          <w:tcPr>
            <w:tcW w:w="300" w:type="pct"/>
            <w:noWrap/>
          </w:tcPr>
          <w:p w14:paraId="0B70F90E" w14:textId="77777777" w:rsidR="00717847" w:rsidRPr="00FE4491" w:rsidRDefault="00717847" w:rsidP="008E0AE1">
            <w:pPr>
              <w:pStyle w:val="TableTextEntries"/>
              <w:jc w:val="center"/>
            </w:pPr>
          </w:p>
        </w:tc>
      </w:tr>
      <w:tr w:rsidR="006264ED" w:rsidRPr="009D53C4" w14:paraId="0B70F91C" w14:textId="77777777" w:rsidTr="007923A5">
        <w:trPr>
          <w:tblHeader w:val="0"/>
        </w:trPr>
        <w:tc>
          <w:tcPr>
            <w:tcW w:w="867" w:type="pct"/>
          </w:tcPr>
          <w:p w14:paraId="0B70F910" w14:textId="77777777" w:rsidR="00717847" w:rsidRPr="009D53C4" w:rsidRDefault="00717847" w:rsidP="008E0AE1">
            <w:pPr>
              <w:pStyle w:val="TableTextEntries"/>
            </w:pPr>
            <w:r>
              <w:t>PNG Health Education and Clinical Services</w:t>
            </w:r>
          </w:p>
        </w:tc>
        <w:tc>
          <w:tcPr>
            <w:tcW w:w="995" w:type="pct"/>
          </w:tcPr>
          <w:p w14:paraId="0B70F911" w14:textId="77777777" w:rsidR="00717847" w:rsidRDefault="00717847" w:rsidP="003D1754">
            <w:pPr>
              <w:pStyle w:val="TableTextEntries"/>
            </w:pPr>
            <w:r w:rsidRPr="00D11A8B">
              <w:t>$8,700,000</w:t>
            </w:r>
          </w:p>
          <w:p w14:paraId="0B70F912" w14:textId="77777777" w:rsidR="00717847" w:rsidRPr="00175002" w:rsidRDefault="00717847" w:rsidP="003D1754">
            <w:pPr>
              <w:pStyle w:val="TableTextEntries"/>
            </w:pPr>
            <w:r w:rsidRPr="00175002">
              <w:t>01/03/2009</w:t>
            </w:r>
          </w:p>
          <w:p w14:paraId="0B70F913" w14:textId="77777777" w:rsidR="00717847" w:rsidRPr="009D53C4" w:rsidRDefault="00717847" w:rsidP="003D1754">
            <w:pPr>
              <w:pStyle w:val="TableTextEntries"/>
            </w:pPr>
            <w:r w:rsidRPr="00175002">
              <w:t>30/12/2012</w:t>
            </w:r>
          </w:p>
        </w:tc>
        <w:tc>
          <w:tcPr>
            <w:tcW w:w="500" w:type="pct"/>
          </w:tcPr>
          <w:p w14:paraId="0B70F914"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915"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916"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917"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918"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919"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91A" w14:textId="77777777" w:rsidR="00717847" w:rsidRPr="009D53C4" w:rsidRDefault="00717847" w:rsidP="003D1754">
            <w:pPr>
              <w:pStyle w:val="TableTextEntries"/>
              <w:jc w:val="center"/>
            </w:pPr>
            <w:r>
              <w:t>5</w:t>
            </w:r>
          </w:p>
        </w:tc>
        <w:tc>
          <w:tcPr>
            <w:tcW w:w="300" w:type="pct"/>
            <w:noWrap/>
          </w:tcPr>
          <w:p w14:paraId="0B70F91B" w14:textId="77777777" w:rsidR="00717847" w:rsidRPr="00FE4491" w:rsidRDefault="00717847" w:rsidP="008E0AE1">
            <w:pPr>
              <w:pStyle w:val="TableTextEntries"/>
              <w:jc w:val="center"/>
            </w:pPr>
          </w:p>
        </w:tc>
      </w:tr>
      <w:tr w:rsidR="006264ED" w:rsidRPr="009D53C4" w14:paraId="0B70F927"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91D" w14:textId="77777777" w:rsidR="00717847" w:rsidRPr="009D53C4" w:rsidRDefault="00717847" w:rsidP="008E0AE1">
            <w:pPr>
              <w:pStyle w:val="TableTextEntries"/>
            </w:pPr>
          </w:p>
        </w:tc>
        <w:tc>
          <w:tcPr>
            <w:tcW w:w="995" w:type="pct"/>
          </w:tcPr>
          <w:p w14:paraId="0B70F91E" w14:textId="77777777" w:rsidR="00717847" w:rsidRPr="009D53C4" w:rsidRDefault="00717847" w:rsidP="003D1754">
            <w:pPr>
              <w:pStyle w:val="TableTextEntries"/>
            </w:pPr>
          </w:p>
        </w:tc>
        <w:tc>
          <w:tcPr>
            <w:tcW w:w="500" w:type="pct"/>
          </w:tcPr>
          <w:p w14:paraId="0B70F91F" w14:textId="77777777" w:rsidR="00717847" w:rsidRPr="009D53C4" w:rsidRDefault="00717847" w:rsidP="003D1754">
            <w:pPr>
              <w:pStyle w:val="TableTextEntries"/>
            </w:pPr>
            <w:r>
              <w:t>2011</w:t>
            </w:r>
          </w:p>
        </w:tc>
        <w:tc>
          <w:tcPr>
            <w:tcW w:w="300" w:type="pct"/>
            <w:shd w:val="clear" w:color="auto" w:fill="FFFF00"/>
            <w:noWrap/>
          </w:tcPr>
          <w:p w14:paraId="0B70F920" w14:textId="77777777" w:rsidR="00717847" w:rsidRPr="009D53C4" w:rsidRDefault="00717847" w:rsidP="003D1754">
            <w:pPr>
              <w:pStyle w:val="TableTextEntries"/>
              <w:jc w:val="center"/>
            </w:pPr>
            <w:r>
              <w:t>4</w:t>
            </w:r>
          </w:p>
        </w:tc>
        <w:tc>
          <w:tcPr>
            <w:tcW w:w="300" w:type="pct"/>
            <w:shd w:val="clear" w:color="auto" w:fill="FFFF00"/>
            <w:noWrap/>
          </w:tcPr>
          <w:p w14:paraId="0B70F921" w14:textId="77777777" w:rsidR="00717847" w:rsidRPr="009D53C4" w:rsidRDefault="00717847" w:rsidP="003D1754">
            <w:pPr>
              <w:pStyle w:val="TableTextEntries"/>
              <w:jc w:val="center"/>
            </w:pPr>
            <w:r>
              <w:t>4</w:t>
            </w:r>
          </w:p>
        </w:tc>
        <w:tc>
          <w:tcPr>
            <w:tcW w:w="300" w:type="pct"/>
            <w:shd w:val="clear" w:color="auto" w:fill="F79646" w:themeFill="accent6"/>
            <w:noWrap/>
          </w:tcPr>
          <w:p w14:paraId="0B70F922" w14:textId="77777777" w:rsidR="00717847" w:rsidRPr="009D53C4" w:rsidRDefault="00717847" w:rsidP="003D1754">
            <w:pPr>
              <w:pStyle w:val="TableTextEntries"/>
              <w:jc w:val="center"/>
            </w:pPr>
            <w:r>
              <w:t>3</w:t>
            </w:r>
          </w:p>
        </w:tc>
        <w:tc>
          <w:tcPr>
            <w:tcW w:w="300" w:type="pct"/>
            <w:shd w:val="clear" w:color="auto" w:fill="F79646" w:themeFill="accent6"/>
            <w:noWrap/>
          </w:tcPr>
          <w:p w14:paraId="0B70F923" w14:textId="77777777" w:rsidR="00717847" w:rsidRPr="009D53C4" w:rsidRDefault="00717847" w:rsidP="003D1754">
            <w:pPr>
              <w:pStyle w:val="TableTextEntries"/>
              <w:jc w:val="center"/>
            </w:pPr>
            <w:r>
              <w:t>3</w:t>
            </w:r>
          </w:p>
        </w:tc>
        <w:tc>
          <w:tcPr>
            <w:tcW w:w="300" w:type="pct"/>
            <w:shd w:val="clear" w:color="auto" w:fill="FFFF00"/>
            <w:noWrap/>
          </w:tcPr>
          <w:p w14:paraId="0B70F924" w14:textId="77777777" w:rsidR="00717847" w:rsidRPr="009D53C4" w:rsidRDefault="00717847" w:rsidP="003D1754">
            <w:pPr>
              <w:pStyle w:val="TableTextEntries"/>
              <w:jc w:val="center"/>
            </w:pPr>
            <w:r>
              <w:t>4</w:t>
            </w:r>
          </w:p>
        </w:tc>
        <w:tc>
          <w:tcPr>
            <w:tcW w:w="300" w:type="pct"/>
            <w:shd w:val="clear" w:color="auto" w:fill="FFFF00"/>
            <w:noWrap/>
          </w:tcPr>
          <w:p w14:paraId="0B70F925" w14:textId="77777777" w:rsidR="00717847" w:rsidRPr="009D53C4" w:rsidRDefault="00717847" w:rsidP="003D1754">
            <w:pPr>
              <w:pStyle w:val="TableTextEntries"/>
              <w:jc w:val="center"/>
            </w:pPr>
            <w:r>
              <w:t>4</w:t>
            </w:r>
          </w:p>
        </w:tc>
        <w:tc>
          <w:tcPr>
            <w:tcW w:w="300" w:type="pct"/>
            <w:noWrap/>
          </w:tcPr>
          <w:p w14:paraId="0B70F926" w14:textId="77777777" w:rsidR="00717847" w:rsidRPr="00FE4491" w:rsidRDefault="00717847" w:rsidP="008E0AE1">
            <w:pPr>
              <w:pStyle w:val="TableTextEntries"/>
              <w:jc w:val="center"/>
            </w:pPr>
          </w:p>
        </w:tc>
      </w:tr>
      <w:tr w:rsidR="006264ED" w:rsidRPr="009D53C4" w14:paraId="0B70F934" w14:textId="77777777" w:rsidTr="007923A5">
        <w:trPr>
          <w:tblHeader w:val="0"/>
        </w:trPr>
        <w:tc>
          <w:tcPr>
            <w:tcW w:w="867" w:type="pct"/>
          </w:tcPr>
          <w:p w14:paraId="0B70F928" w14:textId="77777777" w:rsidR="00717847" w:rsidRPr="009D53C4" w:rsidRDefault="00717847" w:rsidP="008E0AE1">
            <w:pPr>
              <w:pStyle w:val="TableTextEntries"/>
            </w:pPr>
            <w:r>
              <w:t>Health Service Provision Facility</w:t>
            </w:r>
          </w:p>
        </w:tc>
        <w:tc>
          <w:tcPr>
            <w:tcW w:w="995" w:type="pct"/>
          </w:tcPr>
          <w:p w14:paraId="0B70F929" w14:textId="77777777" w:rsidR="00717847" w:rsidRDefault="00717847" w:rsidP="003D1754">
            <w:pPr>
              <w:pStyle w:val="TableTextEntries"/>
            </w:pPr>
            <w:r w:rsidRPr="00D11A8B">
              <w:t>$65,327,188</w:t>
            </w:r>
          </w:p>
          <w:p w14:paraId="0B70F92A" w14:textId="77777777" w:rsidR="00717847" w:rsidRPr="00175002" w:rsidRDefault="00717847" w:rsidP="003D1754">
            <w:pPr>
              <w:pStyle w:val="TableTextEntries"/>
            </w:pPr>
            <w:r w:rsidRPr="00175002">
              <w:t>16/02/2011</w:t>
            </w:r>
          </w:p>
          <w:p w14:paraId="0B70F92B" w14:textId="77777777" w:rsidR="00717847" w:rsidRPr="00175002" w:rsidRDefault="00717847" w:rsidP="003D1754">
            <w:pPr>
              <w:pStyle w:val="TableTextEntries"/>
            </w:pPr>
            <w:r w:rsidRPr="00175002">
              <w:t>30/06/2013</w:t>
            </w:r>
          </w:p>
        </w:tc>
        <w:tc>
          <w:tcPr>
            <w:tcW w:w="500" w:type="pct"/>
          </w:tcPr>
          <w:p w14:paraId="0B70F92C"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92D" w14:textId="77777777" w:rsidR="00717847" w:rsidRPr="009D53C4" w:rsidRDefault="00717847" w:rsidP="003D1754">
            <w:pPr>
              <w:pStyle w:val="TableTextEntries"/>
              <w:jc w:val="center"/>
            </w:pPr>
            <w:r>
              <w:t>6</w:t>
            </w:r>
          </w:p>
        </w:tc>
        <w:tc>
          <w:tcPr>
            <w:tcW w:w="300" w:type="pct"/>
            <w:tcBorders>
              <w:top w:val="nil"/>
              <w:bottom w:val="nil"/>
            </w:tcBorders>
            <w:shd w:val="clear" w:color="auto" w:fill="92D050"/>
            <w:noWrap/>
          </w:tcPr>
          <w:p w14:paraId="0B70F92E" w14:textId="77777777" w:rsidR="00717847" w:rsidRPr="009D53C4" w:rsidRDefault="00717847" w:rsidP="003D1754">
            <w:pPr>
              <w:pStyle w:val="TableTextEntries"/>
              <w:jc w:val="center"/>
            </w:pPr>
            <w:r>
              <w:t>5</w:t>
            </w:r>
          </w:p>
        </w:tc>
        <w:tc>
          <w:tcPr>
            <w:tcW w:w="300" w:type="pct"/>
            <w:tcBorders>
              <w:top w:val="nil"/>
              <w:bottom w:val="nil"/>
            </w:tcBorders>
            <w:shd w:val="clear" w:color="auto" w:fill="F79646" w:themeFill="accent6"/>
            <w:noWrap/>
          </w:tcPr>
          <w:p w14:paraId="0B70F92F"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930"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931"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932" w14:textId="77777777" w:rsidR="00717847" w:rsidRPr="009D53C4" w:rsidRDefault="00717847" w:rsidP="003D1754">
            <w:pPr>
              <w:pStyle w:val="TableTextEntries"/>
              <w:jc w:val="center"/>
            </w:pPr>
            <w:r>
              <w:t>5</w:t>
            </w:r>
          </w:p>
        </w:tc>
        <w:tc>
          <w:tcPr>
            <w:tcW w:w="300" w:type="pct"/>
            <w:noWrap/>
          </w:tcPr>
          <w:p w14:paraId="0B70F933" w14:textId="77777777" w:rsidR="00717847" w:rsidRPr="00FE4491" w:rsidRDefault="00717847" w:rsidP="008E0AE1">
            <w:pPr>
              <w:pStyle w:val="TableTextEntries"/>
              <w:jc w:val="center"/>
            </w:pPr>
          </w:p>
        </w:tc>
      </w:tr>
      <w:tr w:rsidR="006264ED" w:rsidRPr="009D53C4" w14:paraId="0B70F93F"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935" w14:textId="77777777" w:rsidR="00717847" w:rsidRPr="009D53C4" w:rsidRDefault="00717847" w:rsidP="008E0AE1">
            <w:pPr>
              <w:pStyle w:val="TableTextEntries"/>
            </w:pPr>
          </w:p>
        </w:tc>
        <w:tc>
          <w:tcPr>
            <w:tcW w:w="995" w:type="pct"/>
          </w:tcPr>
          <w:p w14:paraId="0B70F936" w14:textId="77777777" w:rsidR="00717847" w:rsidRPr="009D53C4" w:rsidRDefault="00717847" w:rsidP="003D1754">
            <w:pPr>
              <w:pStyle w:val="TableTextEntries"/>
            </w:pPr>
          </w:p>
        </w:tc>
        <w:tc>
          <w:tcPr>
            <w:tcW w:w="500" w:type="pct"/>
          </w:tcPr>
          <w:p w14:paraId="0B70F937" w14:textId="77777777" w:rsidR="00717847" w:rsidRPr="009D53C4" w:rsidRDefault="00717847" w:rsidP="003D1754">
            <w:pPr>
              <w:pStyle w:val="TableTextEntries"/>
            </w:pPr>
            <w:r>
              <w:t>2011</w:t>
            </w:r>
          </w:p>
        </w:tc>
        <w:tc>
          <w:tcPr>
            <w:tcW w:w="300" w:type="pct"/>
            <w:shd w:val="clear" w:color="auto" w:fill="92D050"/>
            <w:noWrap/>
          </w:tcPr>
          <w:p w14:paraId="0B70F938" w14:textId="77777777" w:rsidR="00717847" w:rsidRPr="009D53C4" w:rsidRDefault="00717847" w:rsidP="003D1754">
            <w:pPr>
              <w:pStyle w:val="TableTextEntries"/>
              <w:jc w:val="center"/>
            </w:pPr>
            <w:r>
              <w:t>6</w:t>
            </w:r>
          </w:p>
        </w:tc>
        <w:tc>
          <w:tcPr>
            <w:tcW w:w="300" w:type="pct"/>
            <w:shd w:val="clear" w:color="auto" w:fill="92D050"/>
            <w:noWrap/>
          </w:tcPr>
          <w:p w14:paraId="0B70F939" w14:textId="77777777" w:rsidR="00717847" w:rsidRPr="009D53C4" w:rsidRDefault="00717847" w:rsidP="003D1754">
            <w:pPr>
              <w:pStyle w:val="TableTextEntries"/>
              <w:jc w:val="center"/>
            </w:pPr>
            <w:r>
              <w:t>5</w:t>
            </w:r>
          </w:p>
        </w:tc>
        <w:tc>
          <w:tcPr>
            <w:tcW w:w="300" w:type="pct"/>
            <w:shd w:val="clear" w:color="auto" w:fill="92D050"/>
            <w:noWrap/>
          </w:tcPr>
          <w:p w14:paraId="0B70F93A" w14:textId="77777777" w:rsidR="00717847" w:rsidRPr="009D53C4" w:rsidRDefault="00717847" w:rsidP="003D1754">
            <w:pPr>
              <w:pStyle w:val="TableTextEntries"/>
              <w:jc w:val="center"/>
            </w:pPr>
            <w:r>
              <w:t>5</w:t>
            </w:r>
          </w:p>
        </w:tc>
        <w:tc>
          <w:tcPr>
            <w:tcW w:w="300" w:type="pct"/>
            <w:shd w:val="clear" w:color="auto" w:fill="FFFF00"/>
            <w:noWrap/>
          </w:tcPr>
          <w:p w14:paraId="0B70F93B" w14:textId="77777777" w:rsidR="00717847" w:rsidRPr="009D53C4" w:rsidRDefault="00717847" w:rsidP="003D1754">
            <w:pPr>
              <w:pStyle w:val="TableTextEntries"/>
              <w:jc w:val="center"/>
            </w:pPr>
            <w:r>
              <w:t>4</w:t>
            </w:r>
          </w:p>
        </w:tc>
        <w:tc>
          <w:tcPr>
            <w:tcW w:w="300" w:type="pct"/>
            <w:shd w:val="clear" w:color="auto" w:fill="92D050"/>
            <w:noWrap/>
          </w:tcPr>
          <w:p w14:paraId="0B70F93C" w14:textId="77777777" w:rsidR="00717847" w:rsidRPr="009D53C4" w:rsidRDefault="00717847" w:rsidP="003D1754">
            <w:pPr>
              <w:pStyle w:val="TableTextEntries"/>
              <w:jc w:val="center"/>
            </w:pPr>
            <w:r>
              <w:t>5</w:t>
            </w:r>
          </w:p>
        </w:tc>
        <w:tc>
          <w:tcPr>
            <w:tcW w:w="300" w:type="pct"/>
            <w:shd w:val="clear" w:color="auto" w:fill="92D050"/>
            <w:noWrap/>
          </w:tcPr>
          <w:p w14:paraId="0B70F93D" w14:textId="77777777" w:rsidR="00717847" w:rsidRPr="009D53C4" w:rsidRDefault="00717847" w:rsidP="003D1754">
            <w:pPr>
              <w:pStyle w:val="TableTextEntries"/>
              <w:jc w:val="center"/>
            </w:pPr>
            <w:r>
              <w:t>5</w:t>
            </w:r>
          </w:p>
        </w:tc>
        <w:tc>
          <w:tcPr>
            <w:tcW w:w="300" w:type="pct"/>
            <w:noWrap/>
          </w:tcPr>
          <w:p w14:paraId="0B70F93E" w14:textId="77777777" w:rsidR="00717847" w:rsidRPr="00FE4491" w:rsidRDefault="00717847" w:rsidP="008E0AE1">
            <w:pPr>
              <w:pStyle w:val="TableTextEntries"/>
              <w:jc w:val="center"/>
            </w:pPr>
          </w:p>
        </w:tc>
      </w:tr>
      <w:tr w:rsidR="006264ED" w:rsidRPr="009D53C4" w14:paraId="0B70F94C" w14:textId="77777777" w:rsidTr="007923A5">
        <w:trPr>
          <w:tblHeader w:val="0"/>
        </w:trPr>
        <w:tc>
          <w:tcPr>
            <w:tcW w:w="867" w:type="pct"/>
          </w:tcPr>
          <w:p w14:paraId="0B70F940" w14:textId="77777777" w:rsidR="00717847" w:rsidRPr="009D53C4" w:rsidRDefault="00717847" w:rsidP="008E0AE1">
            <w:pPr>
              <w:pStyle w:val="TableTextEntries"/>
            </w:pPr>
            <w:r>
              <w:t>PNG Health and HIV Multilateral Partnerships</w:t>
            </w:r>
          </w:p>
        </w:tc>
        <w:tc>
          <w:tcPr>
            <w:tcW w:w="995" w:type="pct"/>
          </w:tcPr>
          <w:p w14:paraId="0B70F941" w14:textId="77777777" w:rsidR="00717847" w:rsidRDefault="00717847" w:rsidP="003D1754">
            <w:pPr>
              <w:pStyle w:val="TableTextEntries"/>
            </w:pPr>
            <w:r w:rsidRPr="00D11A8B">
              <w:t>$68,428,278</w:t>
            </w:r>
          </w:p>
          <w:p w14:paraId="0B70F942" w14:textId="77777777" w:rsidR="00717847" w:rsidRPr="00175002" w:rsidRDefault="00717847" w:rsidP="003D1754">
            <w:pPr>
              <w:pStyle w:val="TableTextEntries"/>
            </w:pPr>
            <w:r w:rsidRPr="00175002">
              <w:t>02/05/2011</w:t>
            </w:r>
          </w:p>
          <w:p w14:paraId="0B70F943" w14:textId="77777777" w:rsidR="00717847" w:rsidRPr="00175002" w:rsidRDefault="00717847" w:rsidP="003D1754">
            <w:pPr>
              <w:pStyle w:val="TableTextEntries"/>
            </w:pPr>
            <w:r w:rsidRPr="00175002">
              <w:t>30/06/2016</w:t>
            </w:r>
          </w:p>
        </w:tc>
        <w:tc>
          <w:tcPr>
            <w:tcW w:w="500" w:type="pct"/>
          </w:tcPr>
          <w:p w14:paraId="0B70F944"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945"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946"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947"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948"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949"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94A" w14:textId="77777777" w:rsidR="00717847" w:rsidRPr="009D53C4" w:rsidRDefault="00717847" w:rsidP="003D1754">
            <w:pPr>
              <w:pStyle w:val="TableTextEntries"/>
              <w:jc w:val="center"/>
            </w:pPr>
            <w:r>
              <w:t>5</w:t>
            </w:r>
          </w:p>
        </w:tc>
        <w:tc>
          <w:tcPr>
            <w:tcW w:w="300" w:type="pct"/>
            <w:noWrap/>
          </w:tcPr>
          <w:p w14:paraId="0B70F94B" w14:textId="77777777" w:rsidR="00717847" w:rsidRPr="00FE4491" w:rsidRDefault="00717847" w:rsidP="008E0AE1">
            <w:pPr>
              <w:pStyle w:val="TableTextEntries"/>
              <w:jc w:val="center"/>
            </w:pPr>
          </w:p>
        </w:tc>
      </w:tr>
      <w:tr w:rsidR="006264ED" w:rsidRPr="009D53C4" w14:paraId="0B70F957" w14:textId="77777777" w:rsidTr="003D1754">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94D" w14:textId="77777777" w:rsidR="00717847" w:rsidRPr="009D53C4" w:rsidRDefault="00717847" w:rsidP="008E0AE1">
            <w:pPr>
              <w:pStyle w:val="TableTextEntries"/>
            </w:pPr>
          </w:p>
        </w:tc>
        <w:tc>
          <w:tcPr>
            <w:tcW w:w="995" w:type="pct"/>
          </w:tcPr>
          <w:p w14:paraId="0B70F94E" w14:textId="77777777" w:rsidR="00717847" w:rsidRPr="009D53C4" w:rsidRDefault="00717847" w:rsidP="003D1754">
            <w:pPr>
              <w:pStyle w:val="TableTextEntries"/>
            </w:pPr>
          </w:p>
        </w:tc>
        <w:tc>
          <w:tcPr>
            <w:tcW w:w="500" w:type="pct"/>
          </w:tcPr>
          <w:p w14:paraId="0B70F94F" w14:textId="77777777" w:rsidR="00717847" w:rsidRPr="009D53C4" w:rsidRDefault="00717847" w:rsidP="003D1754">
            <w:pPr>
              <w:pStyle w:val="TableTextEntries"/>
            </w:pPr>
            <w:r>
              <w:t>2011*</w:t>
            </w:r>
          </w:p>
        </w:tc>
        <w:tc>
          <w:tcPr>
            <w:tcW w:w="300" w:type="pct"/>
            <w:noWrap/>
          </w:tcPr>
          <w:p w14:paraId="0B70F950" w14:textId="77777777" w:rsidR="00717847" w:rsidRPr="00D9612B" w:rsidRDefault="00717847" w:rsidP="003D1754">
            <w:pPr>
              <w:pStyle w:val="TableTextEntries"/>
              <w:jc w:val="center"/>
            </w:pPr>
            <w:r w:rsidRPr="00D9612B">
              <w:t>N/A</w:t>
            </w:r>
          </w:p>
        </w:tc>
        <w:tc>
          <w:tcPr>
            <w:tcW w:w="300" w:type="pct"/>
            <w:noWrap/>
          </w:tcPr>
          <w:p w14:paraId="0B70F951" w14:textId="77777777" w:rsidR="00717847" w:rsidRPr="00D9612B" w:rsidRDefault="00717847" w:rsidP="003D1754">
            <w:pPr>
              <w:pStyle w:val="TableTextEntries"/>
              <w:jc w:val="center"/>
            </w:pPr>
            <w:r w:rsidRPr="00D9612B">
              <w:t>N/A</w:t>
            </w:r>
          </w:p>
        </w:tc>
        <w:tc>
          <w:tcPr>
            <w:tcW w:w="300" w:type="pct"/>
            <w:noWrap/>
          </w:tcPr>
          <w:p w14:paraId="0B70F952" w14:textId="77777777" w:rsidR="00717847" w:rsidRPr="00D9612B" w:rsidRDefault="00717847" w:rsidP="003D1754">
            <w:pPr>
              <w:pStyle w:val="TableTextEntries"/>
              <w:jc w:val="center"/>
            </w:pPr>
            <w:r w:rsidRPr="00D9612B">
              <w:t>N/A</w:t>
            </w:r>
          </w:p>
        </w:tc>
        <w:tc>
          <w:tcPr>
            <w:tcW w:w="300" w:type="pct"/>
            <w:noWrap/>
          </w:tcPr>
          <w:p w14:paraId="0B70F953" w14:textId="77777777" w:rsidR="00717847" w:rsidRPr="00D9612B" w:rsidRDefault="00717847" w:rsidP="003D1754">
            <w:pPr>
              <w:pStyle w:val="TableTextEntries"/>
              <w:jc w:val="center"/>
            </w:pPr>
            <w:r w:rsidRPr="00D9612B">
              <w:t>N/A</w:t>
            </w:r>
          </w:p>
        </w:tc>
        <w:tc>
          <w:tcPr>
            <w:tcW w:w="300" w:type="pct"/>
            <w:noWrap/>
          </w:tcPr>
          <w:p w14:paraId="0B70F954" w14:textId="77777777" w:rsidR="00717847" w:rsidRPr="00D9612B" w:rsidRDefault="00717847" w:rsidP="003D1754">
            <w:pPr>
              <w:pStyle w:val="TableTextEntries"/>
              <w:jc w:val="center"/>
            </w:pPr>
            <w:r w:rsidRPr="00D9612B">
              <w:t>N/A</w:t>
            </w:r>
          </w:p>
        </w:tc>
        <w:tc>
          <w:tcPr>
            <w:tcW w:w="300" w:type="pct"/>
            <w:noWrap/>
          </w:tcPr>
          <w:p w14:paraId="0B70F955" w14:textId="77777777" w:rsidR="00717847" w:rsidRPr="00D9612B" w:rsidRDefault="00717847" w:rsidP="003D1754">
            <w:pPr>
              <w:pStyle w:val="TableTextEntries"/>
              <w:jc w:val="center"/>
            </w:pPr>
            <w:r w:rsidRPr="00D9612B">
              <w:t>N/A</w:t>
            </w:r>
          </w:p>
        </w:tc>
        <w:tc>
          <w:tcPr>
            <w:tcW w:w="300" w:type="pct"/>
            <w:noWrap/>
          </w:tcPr>
          <w:p w14:paraId="0B70F956" w14:textId="77777777" w:rsidR="00717847" w:rsidRPr="00FE4491" w:rsidRDefault="00717847" w:rsidP="008E0AE1">
            <w:pPr>
              <w:pStyle w:val="TableTextEntries"/>
              <w:jc w:val="center"/>
            </w:pPr>
          </w:p>
        </w:tc>
      </w:tr>
      <w:tr w:rsidR="006264ED" w:rsidRPr="009D53C4" w14:paraId="0B70F964" w14:textId="77777777" w:rsidTr="007923A5">
        <w:trPr>
          <w:tblHeader w:val="0"/>
        </w:trPr>
        <w:tc>
          <w:tcPr>
            <w:tcW w:w="867" w:type="pct"/>
          </w:tcPr>
          <w:p w14:paraId="0B70F958" w14:textId="77777777" w:rsidR="00717847" w:rsidRPr="009D53C4" w:rsidRDefault="00717847" w:rsidP="008E0AE1">
            <w:pPr>
              <w:pStyle w:val="TableTextEntries"/>
            </w:pPr>
            <w:r>
              <w:t>PNG Health Procurement Program 2011-2015</w:t>
            </w:r>
          </w:p>
        </w:tc>
        <w:tc>
          <w:tcPr>
            <w:tcW w:w="995" w:type="pct"/>
          </w:tcPr>
          <w:p w14:paraId="0B70F959" w14:textId="77777777" w:rsidR="00717847" w:rsidRDefault="00717847" w:rsidP="003D1754">
            <w:pPr>
              <w:pStyle w:val="TableTextEntries"/>
            </w:pPr>
            <w:r w:rsidRPr="00D11A8B">
              <w:t>$26,000,000</w:t>
            </w:r>
          </w:p>
          <w:p w14:paraId="0B70F95A" w14:textId="77777777" w:rsidR="00717847" w:rsidRPr="00175002" w:rsidRDefault="00717847" w:rsidP="003D1754">
            <w:pPr>
              <w:pStyle w:val="TableTextEntries"/>
            </w:pPr>
            <w:r w:rsidRPr="00175002">
              <w:t>28/09/2011</w:t>
            </w:r>
            <w:r>
              <w:t xml:space="preserve"> -</w:t>
            </w:r>
          </w:p>
          <w:p w14:paraId="0B70F95B" w14:textId="77777777" w:rsidR="00717847" w:rsidRPr="00175002" w:rsidRDefault="00717847" w:rsidP="003D1754">
            <w:pPr>
              <w:pStyle w:val="TableTextEntries"/>
            </w:pPr>
            <w:r w:rsidRPr="00175002">
              <w:t>30/06/2013</w:t>
            </w:r>
          </w:p>
        </w:tc>
        <w:tc>
          <w:tcPr>
            <w:tcW w:w="500" w:type="pct"/>
          </w:tcPr>
          <w:p w14:paraId="0B70F95C"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95D" w14:textId="77777777" w:rsidR="00717847" w:rsidRPr="009D53C4" w:rsidRDefault="00717847" w:rsidP="003D1754">
            <w:pPr>
              <w:pStyle w:val="TableTextEntries"/>
              <w:jc w:val="center"/>
            </w:pPr>
            <w:r>
              <w:t>6</w:t>
            </w:r>
          </w:p>
        </w:tc>
        <w:tc>
          <w:tcPr>
            <w:tcW w:w="300" w:type="pct"/>
            <w:tcBorders>
              <w:top w:val="nil"/>
              <w:bottom w:val="nil"/>
            </w:tcBorders>
            <w:shd w:val="clear" w:color="auto" w:fill="92D050"/>
            <w:noWrap/>
          </w:tcPr>
          <w:p w14:paraId="0B70F95E" w14:textId="77777777" w:rsidR="00717847" w:rsidRPr="009D53C4" w:rsidRDefault="00717847" w:rsidP="003D1754">
            <w:pPr>
              <w:pStyle w:val="TableTextEntries"/>
              <w:jc w:val="center"/>
            </w:pPr>
            <w:r>
              <w:t>5</w:t>
            </w:r>
          </w:p>
        </w:tc>
        <w:tc>
          <w:tcPr>
            <w:tcW w:w="300" w:type="pct"/>
            <w:tcBorders>
              <w:top w:val="nil"/>
              <w:bottom w:val="nil"/>
            </w:tcBorders>
            <w:shd w:val="clear" w:color="auto" w:fill="F79646" w:themeFill="accent6"/>
            <w:noWrap/>
          </w:tcPr>
          <w:p w14:paraId="0B70F95F"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960"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961"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962" w14:textId="77777777" w:rsidR="00717847" w:rsidRPr="009D53C4" w:rsidRDefault="00717847" w:rsidP="003D1754">
            <w:pPr>
              <w:pStyle w:val="TableTextEntries"/>
              <w:jc w:val="center"/>
            </w:pPr>
            <w:r>
              <w:t>5</w:t>
            </w:r>
          </w:p>
        </w:tc>
        <w:tc>
          <w:tcPr>
            <w:tcW w:w="300" w:type="pct"/>
            <w:noWrap/>
          </w:tcPr>
          <w:p w14:paraId="0B70F963" w14:textId="77777777" w:rsidR="00717847" w:rsidRPr="00FE4491" w:rsidRDefault="00717847" w:rsidP="008E0AE1">
            <w:pPr>
              <w:pStyle w:val="TableTextEntries"/>
              <w:jc w:val="center"/>
            </w:pPr>
          </w:p>
        </w:tc>
      </w:tr>
      <w:tr w:rsidR="006264ED" w:rsidRPr="009D53C4" w14:paraId="0B70F96F" w14:textId="77777777" w:rsidTr="003D1754">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965" w14:textId="77777777" w:rsidR="00717847" w:rsidRPr="009D53C4" w:rsidRDefault="00717847" w:rsidP="008E0AE1">
            <w:pPr>
              <w:pStyle w:val="TableTextEntries"/>
            </w:pPr>
          </w:p>
        </w:tc>
        <w:tc>
          <w:tcPr>
            <w:tcW w:w="995" w:type="pct"/>
          </w:tcPr>
          <w:p w14:paraId="0B70F966" w14:textId="77777777" w:rsidR="00717847" w:rsidRPr="009D53C4" w:rsidRDefault="00717847" w:rsidP="003D1754">
            <w:pPr>
              <w:pStyle w:val="TableTextEntries"/>
            </w:pPr>
          </w:p>
        </w:tc>
        <w:tc>
          <w:tcPr>
            <w:tcW w:w="500" w:type="pct"/>
          </w:tcPr>
          <w:p w14:paraId="0B70F967" w14:textId="77777777" w:rsidR="00717847" w:rsidRPr="009D53C4" w:rsidRDefault="00717847" w:rsidP="003D1754">
            <w:pPr>
              <w:pStyle w:val="TableTextEntries"/>
            </w:pPr>
            <w:r>
              <w:t>2011*</w:t>
            </w:r>
          </w:p>
        </w:tc>
        <w:tc>
          <w:tcPr>
            <w:tcW w:w="300" w:type="pct"/>
            <w:noWrap/>
          </w:tcPr>
          <w:p w14:paraId="0B70F968" w14:textId="77777777" w:rsidR="00717847" w:rsidRPr="009D53C4" w:rsidRDefault="00717847" w:rsidP="003D1754">
            <w:pPr>
              <w:pStyle w:val="TableTextEntries"/>
              <w:jc w:val="center"/>
            </w:pPr>
            <w:r>
              <w:t>N/A</w:t>
            </w:r>
          </w:p>
        </w:tc>
        <w:tc>
          <w:tcPr>
            <w:tcW w:w="300" w:type="pct"/>
            <w:noWrap/>
          </w:tcPr>
          <w:p w14:paraId="0B70F969" w14:textId="77777777" w:rsidR="00717847" w:rsidRPr="009D53C4" w:rsidRDefault="00717847" w:rsidP="003D1754">
            <w:pPr>
              <w:pStyle w:val="TableTextEntries"/>
              <w:jc w:val="center"/>
            </w:pPr>
            <w:r>
              <w:t>N/A</w:t>
            </w:r>
          </w:p>
        </w:tc>
        <w:tc>
          <w:tcPr>
            <w:tcW w:w="300" w:type="pct"/>
            <w:noWrap/>
          </w:tcPr>
          <w:p w14:paraId="0B70F96A" w14:textId="77777777" w:rsidR="00717847" w:rsidRPr="009D53C4" w:rsidRDefault="00717847" w:rsidP="003D1754">
            <w:pPr>
              <w:pStyle w:val="TableTextEntries"/>
              <w:jc w:val="center"/>
            </w:pPr>
            <w:r>
              <w:t>N/A</w:t>
            </w:r>
          </w:p>
        </w:tc>
        <w:tc>
          <w:tcPr>
            <w:tcW w:w="300" w:type="pct"/>
            <w:noWrap/>
          </w:tcPr>
          <w:p w14:paraId="0B70F96B" w14:textId="77777777" w:rsidR="00717847" w:rsidRPr="009D53C4" w:rsidRDefault="00717847" w:rsidP="003D1754">
            <w:pPr>
              <w:pStyle w:val="TableTextEntries"/>
              <w:jc w:val="center"/>
            </w:pPr>
            <w:r>
              <w:t>N/A</w:t>
            </w:r>
          </w:p>
        </w:tc>
        <w:tc>
          <w:tcPr>
            <w:tcW w:w="300" w:type="pct"/>
            <w:noWrap/>
          </w:tcPr>
          <w:p w14:paraId="0B70F96C" w14:textId="77777777" w:rsidR="00717847" w:rsidRPr="009D53C4" w:rsidRDefault="00717847" w:rsidP="003D1754">
            <w:pPr>
              <w:pStyle w:val="TableTextEntries"/>
              <w:jc w:val="center"/>
            </w:pPr>
            <w:r>
              <w:t>N/A</w:t>
            </w:r>
          </w:p>
        </w:tc>
        <w:tc>
          <w:tcPr>
            <w:tcW w:w="300" w:type="pct"/>
            <w:noWrap/>
          </w:tcPr>
          <w:p w14:paraId="0B70F96D" w14:textId="77777777" w:rsidR="00717847" w:rsidRPr="009D53C4" w:rsidRDefault="00717847" w:rsidP="003D1754">
            <w:pPr>
              <w:pStyle w:val="TableTextEntries"/>
              <w:jc w:val="center"/>
            </w:pPr>
            <w:r>
              <w:t>N/A</w:t>
            </w:r>
          </w:p>
        </w:tc>
        <w:tc>
          <w:tcPr>
            <w:tcW w:w="300" w:type="pct"/>
            <w:noWrap/>
          </w:tcPr>
          <w:p w14:paraId="0B70F96E" w14:textId="77777777" w:rsidR="00717847" w:rsidRPr="00FE4491" w:rsidRDefault="00717847" w:rsidP="008E0AE1">
            <w:pPr>
              <w:pStyle w:val="TableTextEntries"/>
              <w:jc w:val="center"/>
            </w:pPr>
          </w:p>
        </w:tc>
      </w:tr>
      <w:tr w:rsidR="006264ED" w:rsidRPr="009D53C4" w14:paraId="0B70F97C" w14:textId="77777777" w:rsidTr="007923A5">
        <w:trPr>
          <w:tblHeader w:val="0"/>
        </w:trPr>
        <w:tc>
          <w:tcPr>
            <w:tcW w:w="867" w:type="pct"/>
          </w:tcPr>
          <w:p w14:paraId="0B70F970" w14:textId="77777777" w:rsidR="00717847" w:rsidRPr="009D53C4" w:rsidRDefault="00717847" w:rsidP="008E0AE1">
            <w:pPr>
              <w:pStyle w:val="TableTextEntries"/>
            </w:pPr>
            <w:r>
              <w:t>Health Capacity Development &amp; Service Delivery</w:t>
            </w:r>
          </w:p>
        </w:tc>
        <w:tc>
          <w:tcPr>
            <w:tcW w:w="995" w:type="pct"/>
          </w:tcPr>
          <w:p w14:paraId="0B70F971" w14:textId="77777777" w:rsidR="00717847" w:rsidRDefault="00717847" w:rsidP="003D1754">
            <w:pPr>
              <w:pStyle w:val="TableTextEntries"/>
            </w:pPr>
            <w:r w:rsidRPr="00D11A8B">
              <w:t>$234,909,467</w:t>
            </w:r>
          </w:p>
          <w:p w14:paraId="0B70F972" w14:textId="77777777" w:rsidR="00717847" w:rsidRPr="00175002" w:rsidRDefault="00717847" w:rsidP="003D1754">
            <w:pPr>
              <w:pStyle w:val="TableTextEntries"/>
            </w:pPr>
            <w:r w:rsidRPr="00175002">
              <w:t>03/10/2011</w:t>
            </w:r>
            <w:r>
              <w:t xml:space="preserve"> -</w:t>
            </w:r>
          </w:p>
          <w:p w14:paraId="0B70F973" w14:textId="77777777" w:rsidR="00717847" w:rsidRPr="00175002" w:rsidRDefault="00717847" w:rsidP="003D1754">
            <w:pPr>
              <w:pStyle w:val="TableTextEntries"/>
            </w:pPr>
            <w:r w:rsidRPr="00175002">
              <w:t>30/06/2015</w:t>
            </w:r>
          </w:p>
        </w:tc>
        <w:tc>
          <w:tcPr>
            <w:tcW w:w="500" w:type="pct"/>
          </w:tcPr>
          <w:p w14:paraId="0B70F974"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975"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976"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977"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978"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979"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97A" w14:textId="77777777" w:rsidR="00717847" w:rsidRPr="009D53C4" w:rsidRDefault="00717847" w:rsidP="003D1754">
            <w:pPr>
              <w:pStyle w:val="TableTextEntries"/>
              <w:jc w:val="center"/>
            </w:pPr>
            <w:r>
              <w:t>5</w:t>
            </w:r>
          </w:p>
        </w:tc>
        <w:tc>
          <w:tcPr>
            <w:tcW w:w="300" w:type="pct"/>
            <w:noWrap/>
          </w:tcPr>
          <w:p w14:paraId="0B70F97B" w14:textId="77777777" w:rsidR="00717847" w:rsidRPr="00FE4491" w:rsidRDefault="00717847" w:rsidP="008E0AE1">
            <w:pPr>
              <w:pStyle w:val="TableTextEntries"/>
              <w:jc w:val="center"/>
            </w:pPr>
          </w:p>
        </w:tc>
      </w:tr>
      <w:tr w:rsidR="006264ED" w:rsidRPr="009D53C4" w14:paraId="0B70F987" w14:textId="77777777" w:rsidTr="003D1754">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97D" w14:textId="77777777" w:rsidR="00717847" w:rsidRPr="009D53C4" w:rsidRDefault="00717847" w:rsidP="008E0AE1">
            <w:pPr>
              <w:pStyle w:val="TableTextEntries"/>
            </w:pPr>
          </w:p>
        </w:tc>
        <w:tc>
          <w:tcPr>
            <w:tcW w:w="995" w:type="pct"/>
          </w:tcPr>
          <w:p w14:paraId="0B70F97E" w14:textId="77777777" w:rsidR="00717847" w:rsidRPr="009D53C4" w:rsidRDefault="00717847" w:rsidP="003D1754">
            <w:pPr>
              <w:pStyle w:val="TableTextEntries"/>
            </w:pPr>
          </w:p>
        </w:tc>
        <w:tc>
          <w:tcPr>
            <w:tcW w:w="500" w:type="pct"/>
          </w:tcPr>
          <w:p w14:paraId="0B70F97F" w14:textId="77777777" w:rsidR="00717847" w:rsidRPr="009D53C4" w:rsidRDefault="00717847" w:rsidP="003D1754">
            <w:pPr>
              <w:pStyle w:val="TableTextEntries"/>
            </w:pPr>
            <w:r>
              <w:t>2011*</w:t>
            </w:r>
          </w:p>
        </w:tc>
        <w:tc>
          <w:tcPr>
            <w:tcW w:w="300" w:type="pct"/>
            <w:noWrap/>
          </w:tcPr>
          <w:p w14:paraId="0B70F980" w14:textId="77777777" w:rsidR="00717847" w:rsidRPr="009D53C4" w:rsidRDefault="00717847" w:rsidP="003D1754">
            <w:pPr>
              <w:pStyle w:val="TableTextEntries"/>
              <w:jc w:val="center"/>
            </w:pPr>
            <w:r>
              <w:t>N/A</w:t>
            </w:r>
          </w:p>
        </w:tc>
        <w:tc>
          <w:tcPr>
            <w:tcW w:w="300" w:type="pct"/>
            <w:noWrap/>
          </w:tcPr>
          <w:p w14:paraId="0B70F981" w14:textId="77777777" w:rsidR="00717847" w:rsidRPr="009D53C4" w:rsidRDefault="00717847" w:rsidP="003D1754">
            <w:pPr>
              <w:pStyle w:val="TableTextEntries"/>
              <w:jc w:val="center"/>
            </w:pPr>
            <w:r>
              <w:t>N/A</w:t>
            </w:r>
          </w:p>
        </w:tc>
        <w:tc>
          <w:tcPr>
            <w:tcW w:w="300" w:type="pct"/>
            <w:noWrap/>
          </w:tcPr>
          <w:p w14:paraId="0B70F982" w14:textId="77777777" w:rsidR="00717847" w:rsidRPr="009D53C4" w:rsidRDefault="00717847" w:rsidP="003D1754">
            <w:pPr>
              <w:pStyle w:val="TableTextEntries"/>
              <w:jc w:val="center"/>
            </w:pPr>
            <w:r>
              <w:t>N/A</w:t>
            </w:r>
          </w:p>
        </w:tc>
        <w:tc>
          <w:tcPr>
            <w:tcW w:w="300" w:type="pct"/>
            <w:noWrap/>
          </w:tcPr>
          <w:p w14:paraId="0B70F983" w14:textId="77777777" w:rsidR="00717847" w:rsidRPr="009D53C4" w:rsidRDefault="00717847" w:rsidP="003D1754">
            <w:pPr>
              <w:pStyle w:val="TableTextEntries"/>
              <w:jc w:val="center"/>
            </w:pPr>
            <w:r>
              <w:t>N/A</w:t>
            </w:r>
          </w:p>
        </w:tc>
        <w:tc>
          <w:tcPr>
            <w:tcW w:w="300" w:type="pct"/>
            <w:noWrap/>
          </w:tcPr>
          <w:p w14:paraId="0B70F984" w14:textId="77777777" w:rsidR="00717847" w:rsidRPr="009D53C4" w:rsidRDefault="00717847" w:rsidP="003D1754">
            <w:pPr>
              <w:pStyle w:val="TableTextEntries"/>
              <w:jc w:val="center"/>
            </w:pPr>
            <w:r>
              <w:t>N/A</w:t>
            </w:r>
          </w:p>
        </w:tc>
        <w:tc>
          <w:tcPr>
            <w:tcW w:w="300" w:type="pct"/>
            <w:noWrap/>
          </w:tcPr>
          <w:p w14:paraId="0B70F985" w14:textId="77777777" w:rsidR="00717847" w:rsidRPr="009D53C4" w:rsidRDefault="00717847" w:rsidP="003D1754">
            <w:pPr>
              <w:pStyle w:val="TableTextEntries"/>
              <w:jc w:val="center"/>
            </w:pPr>
            <w:r>
              <w:t>N/A</w:t>
            </w:r>
          </w:p>
        </w:tc>
        <w:tc>
          <w:tcPr>
            <w:tcW w:w="300" w:type="pct"/>
            <w:noWrap/>
          </w:tcPr>
          <w:p w14:paraId="0B70F986" w14:textId="77777777" w:rsidR="00717847" w:rsidRPr="00FE4491" w:rsidRDefault="00717847" w:rsidP="008E0AE1">
            <w:pPr>
              <w:pStyle w:val="TableTextEntries"/>
              <w:jc w:val="center"/>
            </w:pPr>
          </w:p>
        </w:tc>
      </w:tr>
      <w:tr w:rsidR="006264ED" w:rsidRPr="009D53C4" w14:paraId="0B70F994" w14:textId="77777777" w:rsidTr="007923A5">
        <w:trPr>
          <w:tblHeader w:val="0"/>
        </w:trPr>
        <w:tc>
          <w:tcPr>
            <w:tcW w:w="867" w:type="pct"/>
          </w:tcPr>
          <w:p w14:paraId="0B70F988" w14:textId="77777777" w:rsidR="00717847" w:rsidRPr="009D53C4" w:rsidRDefault="00717847" w:rsidP="008E0AE1">
            <w:pPr>
              <w:pStyle w:val="TableTextEntries"/>
            </w:pPr>
            <w:r>
              <w:t>PNG-Australia Law and Justice Partnership</w:t>
            </w:r>
          </w:p>
        </w:tc>
        <w:tc>
          <w:tcPr>
            <w:tcW w:w="995" w:type="pct"/>
          </w:tcPr>
          <w:p w14:paraId="0B70F989" w14:textId="77777777" w:rsidR="00717847" w:rsidRDefault="00717847" w:rsidP="003D1754">
            <w:pPr>
              <w:pStyle w:val="TableTextEntries"/>
            </w:pPr>
            <w:r w:rsidRPr="00D11A8B">
              <w:t>$150,000,000</w:t>
            </w:r>
          </w:p>
          <w:p w14:paraId="0B70F98A" w14:textId="77777777" w:rsidR="00717847" w:rsidRPr="00175002" w:rsidRDefault="00717847" w:rsidP="003D1754">
            <w:pPr>
              <w:pStyle w:val="TableTextEntries"/>
            </w:pPr>
            <w:r w:rsidRPr="00175002">
              <w:t>30/01/2009</w:t>
            </w:r>
            <w:r>
              <w:t xml:space="preserve"> -</w:t>
            </w:r>
          </w:p>
          <w:p w14:paraId="0B70F98B" w14:textId="77777777" w:rsidR="00717847" w:rsidRPr="00175002" w:rsidRDefault="00717847" w:rsidP="003D1754">
            <w:pPr>
              <w:pStyle w:val="TableTextEntries"/>
            </w:pPr>
            <w:r w:rsidRPr="00175002">
              <w:t>30/06/2014</w:t>
            </w:r>
          </w:p>
        </w:tc>
        <w:tc>
          <w:tcPr>
            <w:tcW w:w="500" w:type="pct"/>
          </w:tcPr>
          <w:p w14:paraId="0B70F98C" w14:textId="77777777" w:rsidR="00717847" w:rsidRPr="009D53C4" w:rsidRDefault="00717847" w:rsidP="003D1754">
            <w:pPr>
              <w:pStyle w:val="TableTextEntries"/>
            </w:pPr>
            <w:r>
              <w:t>2012</w:t>
            </w:r>
          </w:p>
        </w:tc>
        <w:tc>
          <w:tcPr>
            <w:tcW w:w="300" w:type="pct"/>
            <w:tcBorders>
              <w:top w:val="nil"/>
              <w:bottom w:val="nil"/>
            </w:tcBorders>
            <w:shd w:val="clear" w:color="auto" w:fill="FFFF00"/>
            <w:noWrap/>
          </w:tcPr>
          <w:p w14:paraId="0B70F98D"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98E"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98F"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990"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991"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992" w14:textId="77777777" w:rsidR="00717847" w:rsidRPr="009D53C4" w:rsidRDefault="00717847" w:rsidP="003D1754">
            <w:pPr>
              <w:pStyle w:val="TableTextEntries"/>
              <w:jc w:val="center"/>
            </w:pPr>
            <w:r>
              <w:t>5</w:t>
            </w:r>
          </w:p>
        </w:tc>
        <w:tc>
          <w:tcPr>
            <w:tcW w:w="300" w:type="pct"/>
            <w:noWrap/>
          </w:tcPr>
          <w:p w14:paraId="0B70F993" w14:textId="77777777" w:rsidR="00717847" w:rsidRPr="00FE4491" w:rsidRDefault="00717847" w:rsidP="008E0AE1">
            <w:pPr>
              <w:pStyle w:val="TableTextEntries"/>
              <w:jc w:val="center"/>
            </w:pPr>
          </w:p>
        </w:tc>
      </w:tr>
      <w:tr w:rsidR="006264ED" w:rsidRPr="009D53C4" w14:paraId="0B70F99F"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995" w14:textId="77777777" w:rsidR="00717847" w:rsidRPr="009D53C4" w:rsidRDefault="00717847" w:rsidP="008E0AE1">
            <w:pPr>
              <w:pStyle w:val="TableTextEntries"/>
            </w:pPr>
          </w:p>
        </w:tc>
        <w:tc>
          <w:tcPr>
            <w:tcW w:w="995" w:type="pct"/>
          </w:tcPr>
          <w:p w14:paraId="0B70F996" w14:textId="77777777" w:rsidR="00717847" w:rsidRPr="009D53C4" w:rsidRDefault="00717847" w:rsidP="003D1754">
            <w:pPr>
              <w:pStyle w:val="TableTextEntries"/>
            </w:pPr>
          </w:p>
        </w:tc>
        <w:tc>
          <w:tcPr>
            <w:tcW w:w="500" w:type="pct"/>
          </w:tcPr>
          <w:p w14:paraId="0B70F997" w14:textId="77777777" w:rsidR="00717847" w:rsidRPr="009D53C4" w:rsidRDefault="00717847" w:rsidP="003D1754">
            <w:pPr>
              <w:pStyle w:val="TableTextEntries"/>
            </w:pPr>
            <w:r>
              <w:t>2011</w:t>
            </w:r>
          </w:p>
        </w:tc>
        <w:tc>
          <w:tcPr>
            <w:tcW w:w="300" w:type="pct"/>
            <w:shd w:val="clear" w:color="auto" w:fill="FFFF00"/>
            <w:noWrap/>
          </w:tcPr>
          <w:p w14:paraId="0B70F998" w14:textId="77777777" w:rsidR="00717847" w:rsidRPr="009D53C4" w:rsidRDefault="00717847" w:rsidP="003D1754">
            <w:pPr>
              <w:pStyle w:val="TableTextEntries"/>
              <w:jc w:val="center"/>
            </w:pPr>
            <w:r>
              <w:t>4</w:t>
            </w:r>
          </w:p>
        </w:tc>
        <w:tc>
          <w:tcPr>
            <w:tcW w:w="300" w:type="pct"/>
            <w:shd w:val="clear" w:color="auto" w:fill="FFFF00"/>
            <w:noWrap/>
          </w:tcPr>
          <w:p w14:paraId="0B70F999" w14:textId="77777777" w:rsidR="00717847" w:rsidRPr="009D53C4" w:rsidRDefault="00717847" w:rsidP="003D1754">
            <w:pPr>
              <w:pStyle w:val="TableTextEntries"/>
              <w:jc w:val="center"/>
            </w:pPr>
            <w:r>
              <w:t>4</w:t>
            </w:r>
          </w:p>
        </w:tc>
        <w:tc>
          <w:tcPr>
            <w:tcW w:w="300" w:type="pct"/>
            <w:shd w:val="clear" w:color="auto" w:fill="92D050"/>
            <w:noWrap/>
          </w:tcPr>
          <w:p w14:paraId="0B70F99A" w14:textId="77777777" w:rsidR="00717847" w:rsidRPr="009D53C4" w:rsidRDefault="00717847" w:rsidP="003D1754">
            <w:pPr>
              <w:pStyle w:val="TableTextEntries"/>
              <w:jc w:val="center"/>
            </w:pPr>
            <w:r>
              <w:t>5</w:t>
            </w:r>
          </w:p>
        </w:tc>
        <w:tc>
          <w:tcPr>
            <w:tcW w:w="300" w:type="pct"/>
            <w:shd w:val="clear" w:color="auto" w:fill="F79646" w:themeFill="accent6"/>
            <w:noWrap/>
          </w:tcPr>
          <w:p w14:paraId="0B70F99B" w14:textId="77777777" w:rsidR="00717847" w:rsidRPr="009D53C4" w:rsidRDefault="00717847" w:rsidP="003D1754">
            <w:pPr>
              <w:pStyle w:val="TableTextEntries"/>
              <w:jc w:val="center"/>
            </w:pPr>
            <w:r>
              <w:t>3</w:t>
            </w:r>
          </w:p>
        </w:tc>
        <w:tc>
          <w:tcPr>
            <w:tcW w:w="300" w:type="pct"/>
            <w:shd w:val="clear" w:color="auto" w:fill="F79646" w:themeFill="accent6"/>
            <w:noWrap/>
          </w:tcPr>
          <w:p w14:paraId="0B70F99C" w14:textId="77777777" w:rsidR="00717847" w:rsidRPr="009D53C4" w:rsidRDefault="00717847" w:rsidP="003D1754">
            <w:pPr>
              <w:pStyle w:val="TableTextEntries"/>
              <w:jc w:val="center"/>
            </w:pPr>
            <w:r>
              <w:t>3</w:t>
            </w:r>
          </w:p>
        </w:tc>
        <w:tc>
          <w:tcPr>
            <w:tcW w:w="300" w:type="pct"/>
            <w:shd w:val="clear" w:color="auto" w:fill="FFFF00"/>
            <w:noWrap/>
          </w:tcPr>
          <w:p w14:paraId="0B70F99D" w14:textId="77777777" w:rsidR="00717847" w:rsidRPr="009D53C4" w:rsidRDefault="00717847" w:rsidP="003D1754">
            <w:pPr>
              <w:pStyle w:val="TableTextEntries"/>
              <w:jc w:val="center"/>
            </w:pPr>
            <w:r>
              <w:t>4</w:t>
            </w:r>
          </w:p>
        </w:tc>
        <w:tc>
          <w:tcPr>
            <w:tcW w:w="300" w:type="pct"/>
            <w:noWrap/>
          </w:tcPr>
          <w:p w14:paraId="0B70F99E" w14:textId="77777777" w:rsidR="00717847" w:rsidRPr="00FE4491" w:rsidRDefault="00717847" w:rsidP="008E0AE1">
            <w:pPr>
              <w:pStyle w:val="TableTextEntries"/>
              <w:jc w:val="center"/>
            </w:pPr>
          </w:p>
        </w:tc>
      </w:tr>
      <w:tr w:rsidR="006264ED" w:rsidRPr="009D53C4" w14:paraId="0B70F9AC" w14:textId="77777777" w:rsidTr="007923A5">
        <w:trPr>
          <w:tblHeader w:val="0"/>
        </w:trPr>
        <w:tc>
          <w:tcPr>
            <w:tcW w:w="867" w:type="pct"/>
          </w:tcPr>
          <w:p w14:paraId="0B70F9A0" w14:textId="77777777" w:rsidR="00717847" w:rsidRPr="009D53C4" w:rsidRDefault="00717847" w:rsidP="008E0AE1">
            <w:pPr>
              <w:pStyle w:val="TableTextEntries"/>
            </w:pPr>
            <w:r>
              <w:t>Incentive Fund Phase II</w:t>
            </w:r>
          </w:p>
        </w:tc>
        <w:tc>
          <w:tcPr>
            <w:tcW w:w="995" w:type="pct"/>
          </w:tcPr>
          <w:p w14:paraId="0B70F9A1" w14:textId="77777777" w:rsidR="00717847" w:rsidRDefault="00717847" w:rsidP="003D1754">
            <w:pPr>
              <w:pStyle w:val="TableTextEntries"/>
            </w:pPr>
            <w:r w:rsidRPr="00D11A8B">
              <w:t>$87,000,000</w:t>
            </w:r>
          </w:p>
          <w:p w14:paraId="0B70F9A2" w14:textId="77777777" w:rsidR="00717847" w:rsidRPr="00175002" w:rsidRDefault="00717847" w:rsidP="003D1754">
            <w:pPr>
              <w:pStyle w:val="TableTextEntries"/>
            </w:pPr>
            <w:r w:rsidRPr="00175002">
              <w:t>01/07/2009</w:t>
            </w:r>
            <w:r>
              <w:t xml:space="preserve"> -</w:t>
            </w:r>
          </w:p>
          <w:p w14:paraId="0B70F9A3" w14:textId="77777777" w:rsidR="00717847" w:rsidRPr="00175002" w:rsidRDefault="00717847" w:rsidP="003D1754">
            <w:pPr>
              <w:pStyle w:val="TableTextEntries"/>
            </w:pPr>
            <w:r w:rsidRPr="00175002">
              <w:t>30/06/2014</w:t>
            </w:r>
          </w:p>
        </w:tc>
        <w:tc>
          <w:tcPr>
            <w:tcW w:w="500" w:type="pct"/>
          </w:tcPr>
          <w:p w14:paraId="0B70F9A4"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9A5"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9A6"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9A7"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9A8"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9A9"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9AA" w14:textId="77777777" w:rsidR="00717847" w:rsidRPr="009D53C4" w:rsidRDefault="00717847" w:rsidP="003D1754">
            <w:pPr>
              <w:pStyle w:val="TableTextEntries"/>
              <w:jc w:val="center"/>
            </w:pPr>
            <w:r>
              <w:t>4</w:t>
            </w:r>
          </w:p>
        </w:tc>
        <w:tc>
          <w:tcPr>
            <w:tcW w:w="300" w:type="pct"/>
            <w:noWrap/>
          </w:tcPr>
          <w:p w14:paraId="0B70F9AB" w14:textId="77777777" w:rsidR="00717847" w:rsidRPr="00FE4491" w:rsidRDefault="00717847" w:rsidP="008E0AE1">
            <w:pPr>
              <w:pStyle w:val="TableTextEntries"/>
              <w:jc w:val="center"/>
            </w:pPr>
          </w:p>
        </w:tc>
      </w:tr>
      <w:tr w:rsidR="006264ED" w:rsidRPr="009D53C4" w14:paraId="0B70F9B7"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9AD" w14:textId="77777777" w:rsidR="00717847" w:rsidRPr="009D53C4" w:rsidRDefault="00717847" w:rsidP="008E0AE1">
            <w:pPr>
              <w:pStyle w:val="TableTextEntries"/>
            </w:pPr>
          </w:p>
        </w:tc>
        <w:tc>
          <w:tcPr>
            <w:tcW w:w="995" w:type="pct"/>
          </w:tcPr>
          <w:p w14:paraId="0B70F9AE" w14:textId="77777777" w:rsidR="00717847" w:rsidRPr="009D53C4" w:rsidRDefault="00717847" w:rsidP="003D1754">
            <w:pPr>
              <w:pStyle w:val="TableTextEntries"/>
            </w:pPr>
          </w:p>
        </w:tc>
        <w:tc>
          <w:tcPr>
            <w:tcW w:w="500" w:type="pct"/>
          </w:tcPr>
          <w:p w14:paraId="0B70F9AF" w14:textId="77777777" w:rsidR="00717847" w:rsidRPr="009D53C4" w:rsidRDefault="00717847" w:rsidP="003D1754">
            <w:pPr>
              <w:pStyle w:val="TableTextEntries"/>
            </w:pPr>
            <w:r>
              <w:t>2011</w:t>
            </w:r>
          </w:p>
        </w:tc>
        <w:tc>
          <w:tcPr>
            <w:tcW w:w="300" w:type="pct"/>
            <w:shd w:val="clear" w:color="auto" w:fill="92D050"/>
            <w:noWrap/>
          </w:tcPr>
          <w:p w14:paraId="0B70F9B0" w14:textId="77777777" w:rsidR="00717847" w:rsidRPr="009D53C4" w:rsidRDefault="00717847" w:rsidP="003D1754">
            <w:pPr>
              <w:pStyle w:val="TableTextEntries"/>
              <w:jc w:val="center"/>
            </w:pPr>
            <w:r>
              <w:t>6</w:t>
            </w:r>
          </w:p>
        </w:tc>
        <w:tc>
          <w:tcPr>
            <w:tcW w:w="300" w:type="pct"/>
            <w:shd w:val="clear" w:color="auto" w:fill="92D050"/>
            <w:noWrap/>
          </w:tcPr>
          <w:p w14:paraId="0B70F9B1" w14:textId="77777777" w:rsidR="00717847" w:rsidRPr="009D53C4" w:rsidRDefault="00717847" w:rsidP="003D1754">
            <w:pPr>
              <w:pStyle w:val="TableTextEntries"/>
              <w:jc w:val="center"/>
            </w:pPr>
            <w:r>
              <w:t>5</w:t>
            </w:r>
          </w:p>
        </w:tc>
        <w:tc>
          <w:tcPr>
            <w:tcW w:w="300" w:type="pct"/>
            <w:shd w:val="clear" w:color="auto" w:fill="92D050"/>
            <w:noWrap/>
          </w:tcPr>
          <w:p w14:paraId="0B70F9B2" w14:textId="77777777" w:rsidR="00717847" w:rsidRPr="009D53C4" w:rsidRDefault="00717847" w:rsidP="003D1754">
            <w:pPr>
              <w:pStyle w:val="TableTextEntries"/>
              <w:jc w:val="center"/>
            </w:pPr>
            <w:r>
              <w:t>5</w:t>
            </w:r>
          </w:p>
        </w:tc>
        <w:tc>
          <w:tcPr>
            <w:tcW w:w="300" w:type="pct"/>
            <w:shd w:val="clear" w:color="auto" w:fill="92D050"/>
            <w:noWrap/>
          </w:tcPr>
          <w:p w14:paraId="0B70F9B3" w14:textId="77777777" w:rsidR="00717847" w:rsidRPr="009D53C4" w:rsidRDefault="00717847" w:rsidP="003D1754">
            <w:pPr>
              <w:pStyle w:val="TableTextEntries"/>
              <w:jc w:val="center"/>
            </w:pPr>
            <w:r>
              <w:t>5</w:t>
            </w:r>
          </w:p>
        </w:tc>
        <w:tc>
          <w:tcPr>
            <w:tcW w:w="300" w:type="pct"/>
            <w:shd w:val="clear" w:color="auto" w:fill="92D050"/>
            <w:noWrap/>
          </w:tcPr>
          <w:p w14:paraId="0B70F9B4" w14:textId="77777777" w:rsidR="00717847" w:rsidRPr="009D53C4" w:rsidRDefault="00717847" w:rsidP="003D1754">
            <w:pPr>
              <w:pStyle w:val="TableTextEntries"/>
              <w:jc w:val="center"/>
            </w:pPr>
            <w:r>
              <w:t>5</w:t>
            </w:r>
          </w:p>
        </w:tc>
        <w:tc>
          <w:tcPr>
            <w:tcW w:w="300" w:type="pct"/>
            <w:shd w:val="clear" w:color="auto" w:fill="92D050"/>
            <w:noWrap/>
          </w:tcPr>
          <w:p w14:paraId="0B70F9B5" w14:textId="77777777" w:rsidR="00717847" w:rsidRPr="009D53C4" w:rsidRDefault="00717847" w:rsidP="003D1754">
            <w:pPr>
              <w:pStyle w:val="TableTextEntries"/>
              <w:jc w:val="center"/>
            </w:pPr>
            <w:r>
              <w:t>5</w:t>
            </w:r>
          </w:p>
        </w:tc>
        <w:tc>
          <w:tcPr>
            <w:tcW w:w="300" w:type="pct"/>
            <w:noWrap/>
          </w:tcPr>
          <w:p w14:paraId="0B70F9B6" w14:textId="77777777" w:rsidR="00717847" w:rsidRPr="00FE4491" w:rsidRDefault="00717847" w:rsidP="008E0AE1">
            <w:pPr>
              <w:pStyle w:val="TableTextEntries"/>
              <w:jc w:val="center"/>
            </w:pPr>
          </w:p>
        </w:tc>
      </w:tr>
      <w:tr w:rsidR="006264ED" w:rsidRPr="009D53C4" w14:paraId="0B70F9C4" w14:textId="77777777" w:rsidTr="007923A5">
        <w:trPr>
          <w:tblHeader w:val="0"/>
        </w:trPr>
        <w:tc>
          <w:tcPr>
            <w:tcW w:w="867" w:type="pct"/>
          </w:tcPr>
          <w:p w14:paraId="0B70F9B8" w14:textId="77777777" w:rsidR="00717847" w:rsidRPr="009D53C4" w:rsidRDefault="00717847" w:rsidP="008E0AE1">
            <w:pPr>
              <w:pStyle w:val="TableTextEntries"/>
            </w:pPr>
            <w:r>
              <w:t>PNG Disaster Risk Management Program (2010–2014)</w:t>
            </w:r>
          </w:p>
        </w:tc>
        <w:tc>
          <w:tcPr>
            <w:tcW w:w="995" w:type="pct"/>
          </w:tcPr>
          <w:p w14:paraId="0B70F9B9" w14:textId="77777777" w:rsidR="00717847" w:rsidRDefault="00717847" w:rsidP="003D1754">
            <w:pPr>
              <w:pStyle w:val="TableTextEntries"/>
            </w:pPr>
            <w:r w:rsidRPr="00D11A8B">
              <w:t>$8,986,500</w:t>
            </w:r>
            <w:r>
              <w:t xml:space="preserve"> </w:t>
            </w:r>
          </w:p>
          <w:p w14:paraId="0B70F9BA" w14:textId="77777777" w:rsidR="00717847" w:rsidRPr="00175002" w:rsidRDefault="00717847" w:rsidP="003D1754">
            <w:pPr>
              <w:pStyle w:val="TableTextEntries"/>
            </w:pPr>
            <w:r w:rsidRPr="00175002">
              <w:t>01/07/2010</w:t>
            </w:r>
            <w:r>
              <w:t xml:space="preserve"> -</w:t>
            </w:r>
          </w:p>
          <w:p w14:paraId="0B70F9BB" w14:textId="77777777" w:rsidR="00717847" w:rsidRPr="009D53C4" w:rsidRDefault="00717847" w:rsidP="003D1754">
            <w:pPr>
              <w:pStyle w:val="TableTextEntries"/>
            </w:pPr>
            <w:r w:rsidRPr="00175002">
              <w:t>31/12/2014</w:t>
            </w:r>
          </w:p>
        </w:tc>
        <w:tc>
          <w:tcPr>
            <w:tcW w:w="500" w:type="pct"/>
          </w:tcPr>
          <w:p w14:paraId="0B70F9BC" w14:textId="77777777" w:rsidR="00717847" w:rsidRPr="009D53C4" w:rsidRDefault="00717847" w:rsidP="003D1754">
            <w:pPr>
              <w:pStyle w:val="TableTextEntries"/>
            </w:pPr>
            <w:r>
              <w:t>2012</w:t>
            </w:r>
          </w:p>
        </w:tc>
        <w:tc>
          <w:tcPr>
            <w:tcW w:w="300" w:type="pct"/>
            <w:tcBorders>
              <w:top w:val="nil"/>
              <w:bottom w:val="nil"/>
            </w:tcBorders>
            <w:shd w:val="clear" w:color="auto" w:fill="F79646" w:themeFill="accent6"/>
            <w:noWrap/>
          </w:tcPr>
          <w:p w14:paraId="0B70F9BD" w14:textId="77777777" w:rsidR="00717847" w:rsidRPr="009D53C4" w:rsidRDefault="00717847" w:rsidP="003D1754">
            <w:pPr>
              <w:pStyle w:val="TableTextEntries"/>
              <w:jc w:val="center"/>
            </w:pPr>
            <w:r>
              <w:t>3</w:t>
            </w:r>
          </w:p>
        </w:tc>
        <w:tc>
          <w:tcPr>
            <w:tcW w:w="300" w:type="pct"/>
            <w:tcBorders>
              <w:top w:val="nil"/>
              <w:bottom w:val="nil"/>
            </w:tcBorders>
            <w:shd w:val="clear" w:color="auto" w:fill="F79646" w:themeFill="accent6"/>
            <w:noWrap/>
          </w:tcPr>
          <w:p w14:paraId="0B70F9BE"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9BF" w14:textId="77777777" w:rsidR="00717847" w:rsidRPr="009D53C4" w:rsidRDefault="00717847" w:rsidP="003D1754">
            <w:pPr>
              <w:pStyle w:val="TableTextEntries"/>
              <w:jc w:val="center"/>
            </w:pPr>
            <w:r>
              <w:t>4</w:t>
            </w:r>
          </w:p>
        </w:tc>
        <w:tc>
          <w:tcPr>
            <w:tcW w:w="300" w:type="pct"/>
            <w:tcBorders>
              <w:top w:val="nil"/>
              <w:bottom w:val="nil"/>
            </w:tcBorders>
            <w:shd w:val="clear" w:color="auto" w:fill="FF0000"/>
            <w:noWrap/>
          </w:tcPr>
          <w:p w14:paraId="0B70F9C0" w14:textId="77777777" w:rsidR="00717847" w:rsidRPr="009D53C4" w:rsidRDefault="00717847" w:rsidP="003D1754">
            <w:pPr>
              <w:pStyle w:val="TableTextEntries"/>
              <w:jc w:val="center"/>
            </w:pPr>
            <w:r>
              <w:t>2</w:t>
            </w:r>
          </w:p>
        </w:tc>
        <w:tc>
          <w:tcPr>
            <w:tcW w:w="300" w:type="pct"/>
            <w:tcBorders>
              <w:top w:val="nil"/>
              <w:bottom w:val="nil"/>
            </w:tcBorders>
            <w:shd w:val="clear" w:color="auto" w:fill="FF0000"/>
            <w:noWrap/>
          </w:tcPr>
          <w:p w14:paraId="0B70F9C1" w14:textId="77777777" w:rsidR="00717847" w:rsidRPr="009D53C4" w:rsidRDefault="00717847" w:rsidP="003D1754">
            <w:pPr>
              <w:pStyle w:val="TableTextEntries"/>
              <w:jc w:val="center"/>
            </w:pPr>
            <w:r>
              <w:t>2</w:t>
            </w:r>
          </w:p>
        </w:tc>
        <w:tc>
          <w:tcPr>
            <w:tcW w:w="300" w:type="pct"/>
            <w:tcBorders>
              <w:top w:val="nil"/>
              <w:bottom w:val="nil"/>
            </w:tcBorders>
            <w:shd w:val="clear" w:color="auto" w:fill="92D050"/>
            <w:noWrap/>
          </w:tcPr>
          <w:p w14:paraId="0B70F9C2" w14:textId="77777777" w:rsidR="00717847" w:rsidRPr="009D53C4" w:rsidRDefault="00717847" w:rsidP="003D1754">
            <w:pPr>
              <w:pStyle w:val="TableTextEntries"/>
              <w:jc w:val="center"/>
            </w:pPr>
            <w:r>
              <w:t>5</w:t>
            </w:r>
          </w:p>
        </w:tc>
        <w:tc>
          <w:tcPr>
            <w:tcW w:w="300" w:type="pct"/>
            <w:noWrap/>
          </w:tcPr>
          <w:p w14:paraId="0B70F9C3" w14:textId="77777777" w:rsidR="00717847" w:rsidRPr="00FE4491" w:rsidRDefault="00717847" w:rsidP="008E0AE1">
            <w:pPr>
              <w:pStyle w:val="TableTextEntries"/>
              <w:jc w:val="center"/>
            </w:pPr>
          </w:p>
        </w:tc>
      </w:tr>
      <w:tr w:rsidR="006264ED" w:rsidRPr="009D53C4" w14:paraId="0B70F9CF"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9C5" w14:textId="77777777" w:rsidR="00717847" w:rsidRPr="009D53C4" w:rsidRDefault="00717847" w:rsidP="008E0AE1">
            <w:pPr>
              <w:pStyle w:val="TableTextEntries"/>
            </w:pPr>
          </w:p>
        </w:tc>
        <w:tc>
          <w:tcPr>
            <w:tcW w:w="995" w:type="pct"/>
          </w:tcPr>
          <w:p w14:paraId="0B70F9C6" w14:textId="77777777" w:rsidR="00717847" w:rsidRPr="009D53C4" w:rsidRDefault="00717847" w:rsidP="003D1754">
            <w:pPr>
              <w:pStyle w:val="TableTextEntries"/>
            </w:pPr>
          </w:p>
        </w:tc>
        <w:tc>
          <w:tcPr>
            <w:tcW w:w="500" w:type="pct"/>
          </w:tcPr>
          <w:p w14:paraId="0B70F9C7" w14:textId="77777777" w:rsidR="00717847" w:rsidRPr="009D53C4" w:rsidRDefault="00717847" w:rsidP="003D1754">
            <w:pPr>
              <w:pStyle w:val="TableTextEntries"/>
            </w:pPr>
            <w:r>
              <w:t>2011</w:t>
            </w:r>
          </w:p>
        </w:tc>
        <w:tc>
          <w:tcPr>
            <w:tcW w:w="300" w:type="pct"/>
            <w:shd w:val="clear" w:color="auto" w:fill="92D050"/>
            <w:noWrap/>
          </w:tcPr>
          <w:p w14:paraId="0B70F9C8" w14:textId="77777777" w:rsidR="00717847" w:rsidRPr="009D53C4" w:rsidRDefault="00717847" w:rsidP="003D1754">
            <w:pPr>
              <w:pStyle w:val="TableTextEntries"/>
              <w:jc w:val="center"/>
            </w:pPr>
            <w:r>
              <w:t>5</w:t>
            </w:r>
          </w:p>
        </w:tc>
        <w:tc>
          <w:tcPr>
            <w:tcW w:w="300" w:type="pct"/>
            <w:shd w:val="clear" w:color="auto" w:fill="92D050"/>
            <w:noWrap/>
          </w:tcPr>
          <w:p w14:paraId="0B70F9C9" w14:textId="77777777" w:rsidR="00717847" w:rsidRPr="009D53C4" w:rsidRDefault="00717847" w:rsidP="003D1754">
            <w:pPr>
              <w:pStyle w:val="TableTextEntries"/>
              <w:jc w:val="center"/>
            </w:pPr>
            <w:r>
              <w:t>5</w:t>
            </w:r>
          </w:p>
        </w:tc>
        <w:tc>
          <w:tcPr>
            <w:tcW w:w="300" w:type="pct"/>
            <w:shd w:val="clear" w:color="auto" w:fill="92D050"/>
            <w:noWrap/>
          </w:tcPr>
          <w:p w14:paraId="0B70F9CA" w14:textId="77777777" w:rsidR="00717847" w:rsidRPr="009D53C4" w:rsidRDefault="00717847" w:rsidP="003D1754">
            <w:pPr>
              <w:pStyle w:val="TableTextEntries"/>
              <w:jc w:val="center"/>
            </w:pPr>
            <w:r>
              <w:t>5</w:t>
            </w:r>
          </w:p>
        </w:tc>
        <w:tc>
          <w:tcPr>
            <w:tcW w:w="300" w:type="pct"/>
            <w:shd w:val="clear" w:color="auto" w:fill="92D050"/>
            <w:noWrap/>
          </w:tcPr>
          <w:p w14:paraId="0B70F9CB" w14:textId="77777777" w:rsidR="00717847" w:rsidRPr="009D53C4" w:rsidRDefault="00717847" w:rsidP="003D1754">
            <w:pPr>
              <w:pStyle w:val="TableTextEntries"/>
              <w:jc w:val="center"/>
            </w:pPr>
            <w:r>
              <w:t>5</w:t>
            </w:r>
          </w:p>
        </w:tc>
        <w:tc>
          <w:tcPr>
            <w:tcW w:w="300" w:type="pct"/>
            <w:shd w:val="clear" w:color="auto" w:fill="92D050"/>
            <w:noWrap/>
          </w:tcPr>
          <w:p w14:paraId="0B70F9CC" w14:textId="77777777" w:rsidR="00717847" w:rsidRPr="009D53C4" w:rsidRDefault="00717847" w:rsidP="003D1754">
            <w:pPr>
              <w:pStyle w:val="TableTextEntries"/>
              <w:jc w:val="center"/>
            </w:pPr>
            <w:r>
              <w:t>5</w:t>
            </w:r>
          </w:p>
        </w:tc>
        <w:tc>
          <w:tcPr>
            <w:tcW w:w="300" w:type="pct"/>
            <w:shd w:val="clear" w:color="auto" w:fill="92D050"/>
            <w:noWrap/>
          </w:tcPr>
          <w:p w14:paraId="0B70F9CD" w14:textId="77777777" w:rsidR="00717847" w:rsidRPr="009D53C4" w:rsidRDefault="00717847" w:rsidP="003D1754">
            <w:pPr>
              <w:pStyle w:val="TableTextEntries"/>
              <w:jc w:val="center"/>
            </w:pPr>
            <w:r>
              <w:t>5</w:t>
            </w:r>
          </w:p>
        </w:tc>
        <w:tc>
          <w:tcPr>
            <w:tcW w:w="300" w:type="pct"/>
            <w:noWrap/>
          </w:tcPr>
          <w:p w14:paraId="0B70F9CE" w14:textId="77777777" w:rsidR="00717847" w:rsidRPr="00FE4491" w:rsidRDefault="00717847" w:rsidP="008E0AE1">
            <w:pPr>
              <w:pStyle w:val="TableTextEntries"/>
              <w:jc w:val="center"/>
            </w:pPr>
          </w:p>
        </w:tc>
      </w:tr>
      <w:tr w:rsidR="006264ED" w:rsidRPr="009D53C4" w14:paraId="0B70F9DC" w14:textId="77777777" w:rsidTr="007923A5">
        <w:trPr>
          <w:tblHeader w:val="0"/>
        </w:trPr>
        <w:tc>
          <w:tcPr>
            <w:tcW w:w="867" w:type="pct"/>
          </w:tcPr>
          <w:p w14:paraId="0B70F9D0" w14:textId="77777777" w:rsidR="00717847" w:rsidRPr="009D53C4" w:rsidRDefault="00717847" w:rsidP="008E0AE1">
            <w:pPr>
              <w:pStyle w:val="TableTextEntries"/>
            </w:pPr>
            <w:r>
              <w:t>PNG Transport Sector Support Program</w:t>
            </w:r>
          </w:p>
        </w:tc>
        <w:tc>
          <w:tcPr>
            <w:tcW w:w="995" w:type="pct"/>
          </w:tcPr>
          <w:p w14:paraId="0B70F9D1" w14:textId="77777777" w:rsidR="00717847" w:rsidRDefault="00717847" w:rsidP="003D1754">
            <w:pPr>
              <w:pStyle w:val="TableTextEntries"/>
            </w:pPr>
            <w:r w:rsidRPr="00D11A8B">
              <w:t>$355,000,000</w:t>
            </w:r>
          </w:p>
          <w:p w14:paraId="0B70F9D2" w14:textId="77777777" w:rsidR="00717847" w:rsidRPr="00175002" w:rsidRDefault="00717847" w:rsidP="003D1754">
            <w:pPr>
              <w:pStyle w:val="TableTextEntries"/>
            </w:pPr>
            <w:r w:rsidRPr="00175002">
              <w:t>22/05/2006</w:t>
            </w:r>
            <w:r>
              <w:t xml:space="preserve"> -</w:t>
            </w:r>
          </w:p>
          <w:p w14:paraId="0B70F9D3" w14:textId="77777777" w:rsidR="00717847" w:rsidRPr="00175002" w:rsidRDefault="00717847" w:rsidP="003D1754">
            <w:pPr>
              <w:pStyle w:val="TableTextEntries"/>
            </w:pPr>
            <w:r w:rsidRPr="00175002">
              <w:t>30/06/2013</w:t>
            </w:r>
          </w:p>
        </w:tc>
        <w:tc>
          <w:tcPr>
            <w:tcW w:w="500" w:type="pct"/>
          </w:tcPr>
          <w:p w14:paraId="0B70F9D4"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9D5" w14:textId="77777777" w:rsidR="00717847" w:rsidRPr="009D53C4" w:rsidRDefault="00717847" w:rsidP="003D1754">
            <w:pPr>
              <w:pStyle w:val="TableTextEntries"/>
              <w:jc w:val="center"/>
            </w:pPr>
            <w:r>
              <w:t>6</w:t>
            </w:r>
          </w:p>
        </w:tc>
        <w:tc>
          <w:tcPr>
            <w:tcW w:w="300" w:type="pct"/>
            <w:tcBorders>
              <w:top w:val="nil"/>
              <w:bottom w:val="nil"/>
            </w:tcBorders>
            <w:shd w:val="clear" w:color="auto" w:fill="FFFF00"/>
            <w:noWrap/>
          </w:tcPr>
          <w:p w14:paraId="0B70F9D6"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9D7" w14:textId="77777777" w:rsidR="00717847" w:rsidRPr="009D53C4" w:rsidRDefault="00717847" w:rsidP="003D1754">
            <w:pPr>
              <w:pStyle w:val="TableTextEntries"/>
              <w:jc w:val="center"/>
            </w:pPr>
            <w:r>
              <w:t>4</w:t>
            </w:r>
          </w:p>
        </w:tc>
        <w:tc>
          <w:tcPr>
            <w:tcW w:w="300" w:type="pct"/>
            <w:tcBorders>
              <w:top w:val="nil"/>
              <w:bottom w:val="nil"/>
            </w:tcBorders>
            <w:shd w:val="clear" w:color="auto" w:fill="92D050"/>
            <w:noWrap/>
          </w:tcPr>
          <w:p w14:paraId="0B70F9D8"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9D9"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9DA" w14:textId="77777777" w:rsidR="00717847" w:rsidRPr="009D53C4" w:rsidRDefault="00717847" w:rsidP="003D1754">
            <w:pPr>
              <w:pStyle w:val="TableTextEntries"/>
              <w:jc w:val="center"/>
            </w:pPr>
            <w:r>
              <w:t>4</w:t>
            </w:r>
          </w:p>
        </w:tc>
        <w:tc>
          <w:tcPr>
            <w:tcW w:w="300" w:type="pct"/>
            <w:noWrap/>
          </w:tcPr>
          <w:p w14:paraId="0B70F9DB" w14:textId="77777777" w:rsidR="00717847" w:rsidRPr="00FE4491" w:rsidRDefault="00717847" w:rsidP="008E0AE1">
            <w:pPr>
              <w:pStyle w:val="TableTextEntries"/>
              <w:jc w:val="center"/>
            </w:pPr>
          </w:p>
        </w:tc>
      </w:tr>
      <w:tr w:rsidR="006264ED" w:rsidRPr="009D53C4" w14:paraId="0B70F9E7"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9DD" w14:textId="77777777" w:rsidR="00717847" w:rsidRPr="009D53C4" w:rsidRDefault="00717847" w:rsidP="008E0AE1">
            <w:pPr>
              <w:pStyle w:val="TableTextEntries"/>
            </w:pPr>
          </w:p>
        </w:tc>
        <w:tc>
          <w:tcPr>
            <w:tcW w:w="995" w:type="pct"/>
          </w:tcPr>
          <w:p w14:paraId="0B70F9DE" w14:textId="77777777" w:rsidR="00717847" w:rsidRPr="009D53C4" w:rsidRDefault="00717847" w:rsidP="003D1754">
            <w:pPr>
              <w:pStyle w:val="TableTextEntries"/>
            </w:pPr>
          </w:p>
        </w:tc>
        <w:tc>
          <w:tcPr>
            <w:tcW w:w="500" w:type="pct"/>
          </w:tcPr>
          <w:p w14:paraId="0B70F9DF" w14:textId="77777777" w:rsidR="00717847" w:rsidRPr="009D53C4" w:rsidRDefault="00717847" w:rsidP="003D1754">
            <w:pPr>
              <w:pStyle w:val="TableTextEntries"/>
            </w:pPr>
            <w:r>
              <w:t>2011</w:t>
            </w:r>
          </w:p>
        </w:tc>
        <w:tc>
          <w:tcPr>
            <w:tcW w:w="300" w:type="pct"/>
            <w:shd w:val="clear" w:color="auto" w:fill="92D050"/>
            <w:noWrap/>
          </w:tcPr>
          <w:p w14:paraId="0B70F9E0" w14:textId="77777777" w:rsidR="00717847" w:rsidRPr="009D53C4" w:rsidRDefault="00717847" w:rsidP="003D1754">
            <w:pPr>
              <w:pStyle w:val="TableTextEntries"/>
              <w:jc w:val="center"/>
            </w:pPr>
            <w:r>
              <w:t>5</w:t>
            </w:r>
          </w:p>
        </w:tc>
        <w:tc>
          <w:tcPr>
            <w:tcW w:w="300" w:type="pct"/>
            <w:shd w:val="clear" w:color="auto" w:fill="92D050"/>
            <w:noWrap/>
          </w:tcPr>
          <w:p w14:paraId="0B70F9E1" w14:textId="77777777" w:rsidR="00717847" w:rsidRPr="009D53C4" w:rsidRDefault="00717847" w:rsidP="003D1754">
            <w:pPr>
              <w:pStyle w:val="TableTextEntries"/>
              <w:jc w:val="center"/>
            </w:pPr>
            <w:r>
              <w:t>5</w:t>
            </w:r>
          </w:p>
        </w:tc>
        <w:tc>
          <w:tcPr>
            <w:tcW w:w="300" w:type="pct"/>
            <w:shd w:val="clear" w:color="auto" w:fill="92D050"/>
            <w:noWrap/>
          </w:tcPr>
          <w:p w14:paraId="0B70F9E2" w14:textId="77777777" w:rsidR="00717847" w:rsidRPr="009D53C4" w:rsidRDefault="00717847" w:rsidP="003D1754">
            <w:pPr>
              <w:pStyle w:val="TableTextEntries"/>
              <w:jc w:val="center"/>
            </w:pPr>
            <w:r>
              <w:t>5</w:t>
            </w:r>
          </w:p>
        </w:tc>
        <w:tc>
          <w:tcPr>
            <w:tcW w:w="300" w:type="pct"/>
            <w:shd w:val="clear" w:color="auto" w:fill="92D050"/>
            <w:noWrap/>
          </w:tcPr>
          <w:p w14:paraId="0B70F9E3" w14:textId="77777777" w:rsidR="00717847" w:rsidRPr="009D53C4" w:rsidRDefault="00717847" w:rsidP="003D1754">
            <w:pPr>
              <w:pStyle w:val="TableTextEntries"/>
              <w:jc w:val="center"/>
            </w:pPr>
            <w:r>
              <w:t>5</w:t>
            </w:r>
          </w:p>
        </w:tc>
        <w:tc>
          <w:tcPr>
            <w:tcW w:w="300" w:type="pct"/>
            <w:shd w:val="clear" w:color="auto" w:fill="92D050"/>
            <w:noWrap/>
          </w:tcPr>
          <w:p w14:paraId="0B70F9E4" w14:textId="77777777" w:rsidR="00717847" w:rsidRPr="009D53C4" w:rsidRDefault="00717847" w:rsidP="003D1754">
            <w:pPr>
              <w:pStyle w:val="TableTextEntries"/>
              <w:jc w:val="center"/>
            </w:pPr>
            <w:r>
              <w:t>5</w:t>
            </w:r>
          </w:p>
        </w:tc>
        <w:tc>
          <w:tcPr>
            <w:tcW w:w="300" w:type="pct"/>
            <w:shd w:val="clear" w:color="auto" w:fill="FFFF00"/>
            <w:noWrap/>
          </w:tcPr>
          <w:p w14:paraId="0B70F9E5" w14:textId="77777777" w:rsidR="00717847" w:rsidRPr="009D53C4" w:rsidRDefault="00717847" w:rsidP="003D1754">
            <w:pPr>
              <w:pStyle w:val="TableTextEntries"/>
              <w:jc w:val="center"/>
            </w:pPr>
            <w:r>
              <w:t>4</w:t>
            </w:r>
          </w:p>
        </w:tc>
        <w:tc>
          <w:tcPr>
            <w:tcW w:w="300" w:type="pct"/>
            <w:noWrap/>
          </w:tcPr>
          <w:p w14:paraId="0B70F9E6" w14:textId="77777777" w:rsidR="00717847" w:rsidRPr="00FE4491" w:rsidRDefault="00717847" w:rsidP="008E0AE1">
            <w:pPr>
              <w:pStyle w:val="TableTextEntries"/>
              <w:jc w:val="center"/>
            </w:pPr>
          </w:p>
        </w:tc>
      </w:tr>
      <w:tr w:rsidR="006264ED" w:rsidRPr="009D53C4" w14:paraId="0B70F9F4" w14:textId="77777777" w:rsidTr="007923A5">
        <w:trPr>
          <w:tblHeader w:val="0"/>
        </w:trPr>
        <w:tc>
          <w:tcPr>
            <w:tcW w:w="867" w:type="pct"/>
          </w:tcPr>
          <w:p w14:paraId="0B70F9E8" w14:textId="01761447" w:rsidR="00717847" w:rsidRPr="009D53C4" w:rsidRDefault="00717847" w:rsidP="00D55D14">
            <w:pPr>
              <w:pStyle w:val="TableTextEntries"/>
            </w:pPr>
            <w:r>
              <w:t>PNG Transport – RoU AusAID and Infrastructure</w:t>
            </w:r>
          </w:p>
        </w:tc>
        <w:tc>
          <w:tcPr>
            <w:tcW w:w="995" w:type="pct"/>
          </w:tcPr>
          <w:p w14:paraId="0B70F9E9" w14:textId="77777777" w:rsidR="00717847" w:rsidRDefault="00717847" w:rsidP="003D1754">
            <w:pPr>
              <w:pStyle w:val="TableTextEntries"/>
            </w:pPr>
            <w:r w:rsidRPr="00D11A8B">
              <w:t>$3,000,000</w:t>
            </w:r>
          </w:p>
          <w:p w14:paraId="0B70F9EA" w14:textId="77777777" w:rsidR="00717847" w:rsidRPr="00175002" w:rsidRDefault="00717847" w:rsidP="003D1754">
            <w:pPr>
              <w:pStyle w:val="TableTextEntries"/>
            </w:pPr>
            <w:r w:rsidRPr="00175002">
              <w:t>19/02/2010</w:t>
            </w:r>
            <w:r>
              <w:t xml:space="preserve"> -</w:t>
            </w:r>
          </w:p>
          <w:p w14:paraId="0B70F9EB" w14:textId="77777777" w:rsidR="00717847" w:rsidRPr="00175002" w:rsidRDefault="00717847" w:rsidP="003D1754">
            <w:pPr>
              <w:pStyle w:val="TableTextEntries"/>
            </w:pPr>
            <w:r w:rsidRPr="00175002">
              <w:t>31/07/2013</w:t>
            </w:r>
          </w:p>
        </w:tc>
        <w:tc>
          <w:tcPr>
            <w:tcW w:w="500" w:type="pct"/>
          </w:tcPr>
          <w:p w14:paraId="0B70F9EC"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9ED"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9EE"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9EF"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9F0" w14:textId="77777777" w:rsidR="00717847" w:rsidRPr="009D53C4" w:rsidRDefault="00717847" w:rsidP="003D1754">
            <w:pPr>
              <w:pStyle w:val="TableTextEntries"/>
              <w:jc w:val="center"/>
            </w:pPr>
            <w:r>
              <w:t>3</w:t>
            </w:r>
          </w:p>
        </w:tc>
        <w:tc>
          <w:tcPr>
            <w:tcW w:w="300" w:type="pct"/>
            <w:tcBorders>
              <w:top w:val="nil"/>
              <w:bottom w:val="nil"/>
            </w:tcBorders>
            <w:shd w:val="clear" w:color="auto" w:fill="F79646" w:themeFill="accent6"/>
            <w:noWrap/>
          </w:tcPr>
          <w:p w14:paraId="0B70F9F1" w14:textId="77777777" w:rsidR="00717847" w:rsidRPr="009D53C4" w:rsidRDefault="00717847" w:rsidP="003D1754">
            <w:pPr>
              <w:pStyle w:val="TableTextEntries"/>
              <w:jc w:val="center"/>
            </w:pPr>
            <w:r>
              <w:t>3</w:t>
            </w:r>
          </w:p>
        </w:tc>
        <w:tc>
          <w:tcPr>
            <w:tcW w:w="300" w:type="pct"/>
            <w:tcBorders>
              <w:top w:val="nil"/>
              <w:bottom w:val="nil"/>
            </w:tcBorders>
            <w:shd w:val="clear" w:color="auto" w:fill="F79646" w:themeFill="accent6"/>
            <w:noWrap/>
          </w:tcPr>
          <w:p w14:paraId="0B70F9F2" w14:textId="77777777" w:rsidR="00717847" w:rsidRPr="009D53C4" w:rsidRDefault="00717847" w:rsidP="003D1754">
            <w:pPr>
              <w:pStyle w:val="TableTextEntries"/>
              <w:jc w:val="center"/>
            </w:pPr>
            <w:r>
              <w:t>3</w:t>
            </w:r>
          </w:p>
        </w:tc>
        <w:tc>
          <w:tcPr>
            <w:tcW w:w="300" w:type="pct"/>
            <w:noWrap/>
          </w:tcPr>
          <w:p w14:paraId="0B70F9F3" w14:textId="77777777" w:rsidR="00717847" w:rsidRPr="00FE4491" w:rsidRDefault="00717847" w:rsidP="008E0AE1">
            <w:pPr>
              <w:pStyle w:val="TableTextEntries"/>
              <w:jc w:val="center"/>
            </w:pPr>
          </w:p>
        </w:tc>
      </w:tr>
      <w:tr w:rsidR="006264ED" w:rsidRPr="009D53C4" w14:paraId="0B70F9FF"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9F5" w14:textId="77777777" w:rsidR="00717847" w:rsidRPr="009D53C4" w:rsidRDefault="00717847" w:rsidP="008E0AE1">
            <w:pPr>
              <w:pStyle w:val="TableTextEntries"/>
            </w:pPr>
          </w:p>
        </w:tc>
        <w:tc>
          <w:tcPr>
            <w:tcW w:w="995" w:type="pct"/>
          </w:tcPr>
          <w:p w14:paraId="0B70F9F6" w14:textId="77777777" w:rsidR="00717847" w:rsidRPr="009D53C4" w:rsidRDefault="00717847" w:rsidP="003D1754">
            <w:pPr>
              <w:pStyle w:val="TableTextEntries"/>
            </w:pPr>
          </w:p>
        </w:tc>
        <w:tc>
          <w:tcPr>
            <w:tcW w:w="500" w:type="pct"/>
          </w:tcPr>
          <w:p w14:paraId="0B70F9F7" w14:textId="77777777" w:rsidR="00717847" w:rsidRPr="009D53C4" w:rsidRDefault="00717847" w:rsidP="003D1754">
            <w:pPr>
              <w:pStyle w:val="TableTextEntries"/>
            </w:pPr>
            <w:r>
              <w:t>2011</w:t>
            </w:r>
          </w:p>
        </w:tc>
        <w:tc>
          <w:tcPr>
            <w:tcW w:w="300" w:type="pct"/>
            <w:shd w:val="clear" w:color="auto" w:fill="FFFF00"/>
            <w:noWrap/>
          </w:tcPr>
          <w:p w14:paraId="0B70F9F8" w14:textId="77777777" w:rsidR="00717847" w:rsidRPr="009D53C4" w:rsidRDefault="00717847" w:rsidP="003D1754">
            <w:pPr>
              <w:pStyle w:val="TableTextEntries"/>
              <w:jc w:val="center"/>
            </w:pPr>
            <w:r>
              <w:t>4</w:t>
            </w:r>
          </w:p>
        </w:tc>
        <w:tc>
          <w:tcPr>
            <w:tcW w:w="300" w:type="pct"/>
            <w:shd w:val="clear" w:color="auto" w:fill="FFFF00"/>
            <w:noWrap/>
          </w:tcPr>
          <w:p w14:paraId="0B70F9F9" w14:textId="77777777" w:rsidR="00717847" w:rsidRPr="009D53C4" w:rsidRDefault="00717847" w:rsidP="003D1754">
            <w:pPr>
              <w:pStyle w:val="TableTextEntries"/>
              <w:jc w:val="center"/>
            </w:pPr>
            <w:r>
              <w:t>4</w:t>
            </w:r>
          </w:p>
        </w:tc>
        <w:tc>
          <w:tcPr>
            <w:tcW w:w="300" w:type="pct"/>
            <w:shd w:val="clear" w:color="auto" w:fill="FFFF00"/>
            <w:noWrap/>
          </w:tcPr>
          <w:p w14:paraId="0B70F9FA" w14:textId="77777777" w:rsidR="00717847" w:rsidRPr="009D53C4" w:rsidRDefault="00717847" w:rsidP="003D1754">
            <w:pPr>
              <w:pStyle w:val="TableTextEntries"/>
              <w:jc w:val="center"/>
            </w:pPr>
            <w:r>
              <w:t>4</w:t>
            </w:r>
          </w:p>
        </w:tc>
        <w:tc>
          <w:tcPr>
            <w:tcW w:w="300" w:type="pct"/>
            <w:shd w:val="clear" w:color="auto" w:fill="F79646" w:themeFill="accent6"/>
            <w:noWrap/>
          </w:tcPr>
          <w:p w14:paraId="0B70F9FB" w14:textId="77777777" w:rsidR="00717847" w:rsidRPr="009D53C4" w:rsidRDefault="00717847" w:rsidP="003D1754">
            <w:pPr>
              <w:pStyle w:val="TableTextEntries"/>
              <w:jc w:val="center"/>
            </w:pPr>
            <w:r>
              <w:t>3</w:t>
            </w:r>
          </w:p>
        </w:tc>
        <w:tc>
          <w:tcPr>
            <w:tcW w:w="300" w:type="pct"/>
            <w:shd w:val="clear" w:color="auto" w:fill="F79646" w:themeFill="accent6"/>
            <w:noWrap/>
          </w:tcPr>
          <w:p w14:paraId="0B70F9FC" w14:textId="77777777" w:rsidR="00717847" w:rsidRPr="009D53C4" w:rsidRDefault="00717847" w:rsidP="003D1754">
            <w:pPr>
              <w:pStyle w:val="TableTextEntries"/>
              <w:jc w:val="center"/>
            </w:pPr>
            <w:r>
              <w:t>3</w:t>
            </w:r>
          </w:p>
        </w:tc>
        <w:tc>
          <w:tcPr>
            <w:tcW w:w="300" w:type="pct"/>
            <w:shd w:val="clear" w:color="auto" w:fill="F79646" w:themeFill="accent6"/>
            <w:noWrap/>
          </w:tcPr>
          <w:p w14:paraId="0B70F9FD" w14:textId="77777777" w:rsidR="00717847" w:rsidRPr="009D53C4" w:rsidRDefault="00717847" w:rsidP="003D1754">
            <w:pPr>
              <w:pStyle w:val="TableTextEntries"/>
              <w:jc w:val="center"/>
            </w:pPr>
            <w:r>
              <w:t>3</w:t>
            </w:r>
          </w:p>
        </w:tc>
        <w:tc>
          <w:tcPr>
            <w:tcW w:w="300" w:type="pct"/>
            <w:noWrap/>
          </w:tcPr>
          <w:p w14:paraId="0B70F9FE" w14:textId="77777777" w:rsidR="00717847" w:rsidRPr="00FE4491" w:rsidRDefault="00717847" w:rsidP="008E0AE1">
            <w:pPr>
              <w:pStyle w:val="TableTextEntries"/>
              <w:jc w:val="center"/>
            </w:pPr>
          </w:p>
        </w:tc>
      </w:tr>
      <w:tr w:rsidR="006264ED" w:rsidRPr="009D53C4" w14:paraId="0B70FA0C" w14:textId="77777777" w:rsidTr="007923A5">
        <w:trPr>
          <w:tblHeader w:val="0"/>
        </w:trPr>
        <w:tc>
          <w:tcPr>
            <w:tcW w:w="867" w:type="pct"/>
          </w:tcPr>
          <w:p w14:paraId="0B70FA00" w14:textId="77777777" w:rsidR="00717847" w:rsidRPr="009D53C4" w:rsidRDefault="00717847" w:rsidP="008E0AE1">
            <w:pPr>
              <w:pStyle w:val="TableTextEntries"/>
            </w:pPr>
            <w:r>
              <w:t>Kokoda Track Initiative</w:t>
            </w:r>
          </w:p>
        </w:tc>
        <w:tc>
          <w:tcPr>
            <w:tcW w:w="995" w:type="pct"/>
          </w:tcPr>
          <w:p w14:paraId="0B70FA01" w14:textId="77777777" w:rsidR="00717847" w:rsidRPr="00175002" w:rsidRDefault="00717847" w:rsidP="003D1754">
            <w:pPr>
              <w:pStyle w:val="TableTextEntries"/>
            </w:pPr>
            <w:r w:rsidRPr="00175002">
              <w:t>$17,587,348</w:t>
            </w:r>
          </w:p>
          <w:p w14:paraId="0B70FA02" w14:textId="77777777" w:rsidR="00717847" w:rsidRPr="00175002" w:rsidRDefault="00717847" w:rsidP="003D1754">
            <w:pPr>
              <w:pStyle w:val="TableTextEntries"/>
            </w:pPr>
            <w:r w:rsidRPr="00175002">
              <w:t>21/03/2008</w:t>
            </w:r>
            <w:r>
              <w:t xml:space="preserve"> -</w:t>
            </w:r>
          </w:p>
          <w:p w14:paraId="0B70FA03" w14:textId="77777777" w:rsidR="00717847" w:rsidRPr="00175002" w:rsidRDefault="00717847" w:rsidP="003D1754">
            <w:pPr>
              <w:pStyle w:val="TableTextEntries"/>
            </w:pPr>
            <w:r w:rsidRPr="00175002">
              <w:t>31/03/2013</w:t>
            </w:r>
          </w:p>
        </w:tc>
        <w:tc>
          <w:tcPr>
            <w:tcW w:w="500" w:type="pct"/>
          </w:tcPr>
          <w:p w14:paraId="0B70FA04"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A05" w14:textId="77777777" w:rsidR="00717847" w:rsidRPr="009D53C4" w:rsidRDefault="00717847" w:rsidP="003D1754">
            <w:pPr>
              <w:pStyle w:val="TableTextEntries"/>
              <w:jc w:val="center"/>
            </w:pPr>
            <w:r>
              <w:t>5</w:t>
            </w:r>
          </w:p>
        </w:tc>
        <w:tc>
          <w:tcPr>
            <w:tcW w:w="300" w:type="pct"/>
            <w:tcBorders>
              <w:top w:val="nil"/>
              <w:bottom w:val="nil"/>
            </w:tcBorders>
            <w:shd w:val="clear" w:color="auto" w:fill="FFFF00"/>
            <w:noWrap/>
          </w:tcPr>
          <w:p w14:paraId="0B70FA06" w14:textId="77777777" w:rsidR="00717847" w:rsidRPr="009D53C4" w:rsidRDefault="00717847" w:rsidP="003D1754">
            <w:pPr>
              <w:pStyle w:val="TableTextEntries"/>
              <w:jc w:val="center"/>
            </w:pPr>
            <w:r>
              <w:t>4</w:t>
            </w:r>
          </w:p>
        </w:tc>
        <w:tc>
          <w:tcPr>
            <w:tcW w:w="300" w:type="pct"/>
            <w:tcBorders>
              <w:top w:val="nil"/>
              <w:bottom w:val="nil"/>
            </w:tcBorders>
            <w:shd w:val="clear" w:color="auto" w:fill="FFFF00"/>
            <w:noWrap/>
          </w:tcPr>
          <w:p w14:paraId="0B70FA07" w14:textId="77777777" w:rsidR="00717847" w:rsidRPr="009D53C4" w:rsidRDefault="00717847" w:rsidP="003D1754">
            <w:pPr>
              <w:pStyle w:val="TableTextEntries"/>
              <w:jc w:val="center"/>
            </w:pPr>
            <w:r>
              <w:t>4</w:t>
            </w:r>
          </w:p>
        </w:tc>
        <w:tc>
          <w:tcPr>
            <w:tcW w:w="300" w:type="pct"/>
            <w:tcBorders>
              <w:top w:val="nil"/>
              <w:bottom w:val="nil"/>
            </w:tcBorders>
            <w:shd w:val="clear" w:color="auto" w:fill="F79646" w:themeFill="accent6"/>
            <w:noWrap/>
          </w:tcPr>
          <w:p w14:paraId="0B70FA08" w14:textId="77777777" w:rsidR="00717847" w:rsidRPr="009D53C4" w:rsidRDefault="00717847" w:rsidP="003D1754">
            <w:pPr>
              <w:pStyle w:val="TableTextEntries"/>
              <w:jc w:val="center"/>
            </w:pPr>
            <w:r>
              <w:t>3</w:t>
            </w:r>
          </w:p>
        </w:tc>
        <w:tc>
          <w:tcPr>
            <w:tcW w:w="300" w:type="pct"/>
            <w:tcBorders>
              <w:top w:val="nil"/>
              <w:bottom w:val="nil"/>
            </w:tcBorders>
            <w:shd w:val="clear" w:color="auto" w:fill="F79646" w:themeFill="accent6"/>
            <w:noWrap/>
          </w:tcPr>
          <w:p w14:paraId="0B70FA09" w14:textId="77777777" w:rsidR="00717847" w:rsidRPr="009D53C4" w:rsidRDefault="00717847" w:rsidP="003D1754">
            <w:pPr>
              <w:pStyle w:val="TableTextEntries"/>
              <w:jc w:val="center"/>
            </w:pPr>
            <w:r>
              <w:t>3</w:t>
            </w:r>
          </w:p>
        </w:tc>
        <w:tc>
          <w:tcPr>
            <w:tcW w:w="300" w:type="pct"/>
            <w:tcBorders>
              <w:top w:val="nil"/>
              <w:bottom w:val="nil"/>
            </w:tcBorders>
            <w:shd w:val="clear" w:color="auto" w:fill="FFFF00"/>
            <w:noWrap/>
          </w:tcPr>
          <w:p w14:paraId="0B70FA0A" w14:textId="77777777" w:rsidR="00717847" w:rsidRPr="009D53C4" w:rsidRDefault="00717847" w:rsidP="003D1754">
            <w:pPr>
              <w:pStyle w:val="TableTextEntries"/>
              <w:jc w:val="center"/>
            </w:pPr>
            <w:r>
              <w:t>4</w:t>
            </w:r>
          </w:p>
        </w:tc>
        <w:tc>
          <w:tcPr>
            <w:tcW w:w="300" w:type="pct"/>
            <w:noWrap/>
          </w:tcPr>
          <w:p w14:paraId="0B70FA0B" w14:textId="77777777" w:rsidR="00717847" w:rsidRPr="00FE4491" w:rsidRDefault="00717847" w:rsidP="008E0AE1">
            <w:pPr>
              <w:pStyle w:val="TableTextEntries"/>
              <w:jc w:val="center"/>
            </w:pPr>
          </w:p>
        </w:tc>
      </w:tr>
      <w:tr w:rsidR="006264ED" w:rsidRPr="009D53C4" w14:paraId="0B70FA17" w14:textId="77777777" w:rsidTr="007923A5">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A0D" w14:textId="77777777" w:rsidR="00717847" w:rsidRPr="009D53C4" w:rsidRDefault="00717847" w:rsidP="008E0AE1">
            <w:pPr>
              <w:pStyle w:val="TableTextEntries"/>
            </w:pPr>
          </w:p>
        </w:tc>
        <w:tc>
          <w:tcPr>
            <w:tcW w:w="995" w:type="pct"/>
          </w:tcPr>
          <w:p w14:paraId="0B70FA0E" w14:textId="77777777" w:rsidR="00717847" w:rsidRPr="00175002" w:rsidRDefault="00717847" w:rsidP="003D1754">
            <w:pPr>
              <w:pStyle w:val="TableTextEntries"/>
            </w:pPr>
          </w:p>
        </w:tc>
        <w:tc>
          <w:tcPr>
            <w:tcW w:w="500" w:type="pct"/>
          </w:tcPr>
          <w:p w14:paraId="0B70FA0F" w14:textId="77777777" w:rsidR="00717847" w:rsidRPr="009D53C4" w:rsidRDefault="00717847" w:rsidP="003D1754">
            <w:pPr>
              <w:pStyle w:val="TableTextEntries"/>
            </w:pPr>
            <w:r>
              <w:t>2011</w:t>
            </w:r>
          </w:p>
        </w:tc>
        <w:tc>
          <w:tcPr>
            <w:tcW w:w="300" w:type="pct"/>
            <w:shd w:val="clear" w:color="auto" w:fill="92D050"/>
            <w:noWrap/>
          </w:tcPr>
          <w:p w14:paraId="0B70FA10" w14:textId="77777777" w:rsidR="00717847" w:rsidRPr="009D53C4" w:rsidRDefault="00717847" w:rsidP="003D1754">
            <w:pPr>
              <w:pStyle w:val="TableTextEntries"/>
              <w:jc w:val="center"/>
            </w:pPr>
            <w:r>
              <w:t>5</w:t>
            </w:r>
          </w:p>
        </w:tc>
        <w:tc>
          <w:tcPr>
            <w:tcW w:w="300" w:type="pct"/>
            <w:shd w:val="clear" w:color="auto" w:fill="92D050"/>
            <w:noWrap/>
          </w:tcPr>
          <w:p w14:paraId="0B70FA11" w14:textId="77777777" w:rsidR="00717847" w:rsidRPr="009D53C4" w:rsidRDefault="00717847" w:rsidP="003D1754">
            <w:pPr>
              <w:pStyle w:val="TableTextEntries"/>
              <w:jc w:val="center"/>
            </w:pPr>
            <w:r>
              <w:t>5</w:t>
            </w:r>
          </w:p>
        </w:tc>
        <w:tc>
          <w:tcPr>
            <w:tcW w:w="300" w:type="pct"/>
            <w:shd w:val="clear" w:color="auto" w:fill="FFFF00"/>
            <w:noWrap/>
          </w:tcPr>
          <w:p w14:paraId="0B70FA12" w14:textId="77777777" w:rsidR="00717847" w:rsidRPr="009D53C4" w:rsidRDefault="00717847" w:rsidP="003D1754">
            <w:pPr>
              <w:pStyle w:val="TableTextEntries"/>
              <w:jc w:val="center"/>
            </w:pPr>
            <w:r>
              <w:t>4</w:t>
            </w:r>
          </w:p>
        </w:tc>
        <w:tc>
          <w:tcPr>
            <w:tcW w:w="300" w:type="pct"/>
            <w:shd w:val="clear" w:color="auto" w:fill="FFFF00"/>
            <w:noWrap/>
          </w:tcPr>
          <w:p w14:paraId="0B70FA13" w14:textId="77777777" w:rsidR="00717847" w:rsidRPr="009D53C4" w:rsidRDefault="00717847" w:rsidP="003D1754">
            <w:pPr>
              <w:pStyle w:val="TableTextEntries"/>
              <w:jc w:val="center"/>
            </w:pPr>
            <w:r>
              <w:t>4</w:t>
            </w:r>
          </w:p>
        </w:tc>
        <w:tc>
          <w:tcPr>
            <w:tcW w:w="300" w:type="pct"/>
            <w:shd w:val="clear" w:color="auto" w:fill="FFFF00"/>
            <w:noWrap/>
          </w:tcPr>
          <w:p w14:paraId="0B70FA14" w14:textId="77777777" w:rsidR="00717847" w:rsidRPr="009D53C4" w:rsidRDefault="00717847" w:rsidP="003D1754">
            <w:pPr>
              <w:pStyle w:val="TableTextEntries"/>
              <w:jc w:val="center"/>
            </w:pPr>
            <w:r>
              <w:t>4</w:t>
            </w:r>
          </w:p>
        </w:tc>
        <w:tc>
          <w:tcPr>
            <w:tcW w:w="300" w:type="pct"/>
            <w:shd w:val="clear" w:color="auto" w:fill="FFFF00"/>
            <w:noWrap/>
          </w:tcPr>
          <w:p w14:paraId="0B70FA15" w14:textId="77777777" w:rsidR="00717847" w:rsidRPr="009D53C4" w:rsidRDefault="00717847" w:rsidP="003D1754">
            <w:pPr>
              <w:pStyle w:val="TableTextEntries"/>
              <w:jc w:val="center"/>
            </w:pPr>
            <w:r>
              <w:t>4</w:t>
            </w:r>
          </w:p>
        </w:tc>
        <w:tc>
          <w:tcPr>
            <w:tcW w:w="300" w:type="pct"/>
            <w:noWrap/>
          </w:tcPr>
          <w:p w14:paraId="0B70FA16" w14:textId="77777777" w:rsidR="00717847" w:rsidRPr="00FE4491" w:rsidRDefault="00717847" w:rsidP="008E0AE1">
            <w:pPr>
              <w:pStyle w:val="TableTextEntries"/>
              <w:jc w:val="center"/>
            </w:pPr>
          </w:p>
        </w:tc>
      </w:tr>
      <w:tr w:rsidR="006264ED" w:rsidRPr="009D53C4" w14:paraId="0B70FA24" w14:textId="77777777" w:rsidTr="007923A5">
        <w:trPr>
          <w:tblHeader w:val="0"/>
        </w:trPr>
        <w:tc>
          <w:tcPr>
            <w:tcW w:w="867" w:type="pct"/>
          </w:tcPr>
          <w:p w14:paraId="0B70FA18" w14:textId="77777777" w:rsidR="00717847" w:rsidRPr="009D53C4" w:rsidRDefault="00717847" w:rsidP="008E0AE1">
            <w:pPr>
              <w:pStyle w:val="TableTextEntries"/>
            </w:pPr>
            <w:r>
              <w:t>Commonwealth Local Government GPS – Phase II</w:t>
            </w:r>
          </w:p>
        </w:tc>
        <w:tc>
          <w:tcPr>
            <w:tcW w:w="995" w:type="pct"/>
          </w:tcPr>
          <w:p w14:paraId="0B70FA19" w14:textId="77777777" w:rsidR="00717847" w:rsidRPr="00175002" w:rsidRDefault="00717847" w:rsidP="003D1754">
            <w:pPr>
              <w:pStyle w:val="TableTextEntries"/>
            </w:pPr>
            <w:r w:rsidRPr="00175002">
              <w:t>$3,468,151</w:t>
            </w:r>
          </w:p>
          <w:p w14:paraId="0B70FA1A" w14:textId="77777777" w:rsidR="00717847" w:rsidRPr="00175002" w:rsidRDefault="00717847" w:rsidP="003D1754">
            <w:pPr>
              <w:pStyle w:val="TableTextEntries"/>
            </w:pPr>
            <w:r w:rsidRPr="00175002">
              <w:t xml:space="preserve">12/10/2009 - </w:t>
            </w:r>
          </w:p>
          <w:p w14:paraId="0B70FA1B" w14:textId="77777777" w:rsidR="00717847" w:rsidRPr="00175002" w:rsidRDefault="00717847" w:rsidP="003D1754">
            <w:pPr>
              <w:pStyle w:val="TableTextEntries"/>
            </w:pPr>
            <w:r w:rsidRPr="00175002">
              <w:t>30/06/2013</w:t>
            </w:r>
          </w:p>
        </w:tc>
        <w:tc>
          <w:tcPr>
            <w:tcW w:w="500" w:type="pct"/>
          </w:tcPr>
          <w:p w14:paraId="0B70FA1C" w14:textId="77777777" w:rsidR="00717847" w:rsidRPr="009D53C4" w:rsidRDefault="00717847" w:rsidP="003D1754">
            <w:pPr>
              <w:pStyle w:val="TableTextEntries"/>
            </w:pPr>
            <w:r>
              <w:t>2012</w:t>
            </w:r>
          </w:p>
        </w:tc>
        <w:tc>
          <w:tcPr>
            <w:tcW w:w="300" w:type="pct"/>
            <w:tcBorders>
              <w:top w:val="nil"/>
              <w:bottom w:val="nil"/>
            </w:tcBorders>
            <w:shd w:val="clear" w:color="auto" w:fill="FF0000"/>
            <w:noWrap/>
          </w:tcPr>
          <w:p w14:paraId="0B70FA1D" w14:textId="77777777" w:rsidR="00717847" w:rsidRPr="009D53C4" w:rsidRDefault="00717847" w:rsidP="003D1754">
            <w:pPr>
              <w:pStyle w:val="TableTextEntries"/>
              <w:jc w:val="center"/>
            </w:pPr>
            <w:r>
              <w:t>2</w:t>
            </w:r>
          </w:p>
        </w:tc>
        <w:tc>
          <w:tcPr>
            <w:tcW w:w="300" w:type="pct"/>
            <w:tcBorders>
              <w:top w:val="nil"/>
              <w:bottom w:val="nil"/>
            </w:tcBorders>
            <w:shd w:val="clear" w:color="auto" w:fill="F79646" w:themeFill="accent6"/>
            <w:noWrap/>
          </w:tcPr>
          <w:p w14:paraId="0B70FA1E" w14:textId="77777777" w:rsidR="00717847" w:rsidRPr="009D53C4" w:rsidRDefault="00717847" w:rsidP="003D1754">
            <w:pPr>
              <w:pStyle w:val="TableTextEntries"/>
              <w:jc w:val="center"/>
            </w:pPr>
            <w:r>
              <w:t>3</w:t>
            </w:r>
          </w:p>
        </w:tc>
        <w:tc>
          <w:tcPr>
            <w:tcW w:w="300" w:type="pct"/>
            <w:tcBorders>
              <w:top w:val="nil"/>
              <w:bottom w:val="nil"/>
            </w:tcBorders>
            <w:shd w:val="clear" w:color="auto" w:fill="FF0000"/>
            <w:noWrap/>
          </w:tcPr>
          <w:p w14:paraId="0B70FA1F" w14:textId="77777777" w:rsidR="00717847" w:rsidRPr="009D53C4" w:rsidRDefault="00717847" w:rsidP="003D1754">
            <w:pPr>
              <w:pStyle w:val="TableTextEntries"/>
              <w:jc w:val="center"/>
            </w:pPr>
            <w:r>
              <w:t>2</w:t>
            </w:r>
          </w:p>
        </w:tc>
        <w:tc>
          <w:tcPr>
            <w:tcW w:w="300" w:type="pct"/>
            <w:tcBorders>
              <w:top w:val="nil"/>
              <w:bottom w:val="nil"/>
            </w:tcBorders>
            <w:shd w:val="clear" w:color="auto" w:fill="FF0000"/>
            <w:noWrap/>
          </w:tcPr>
          <w:p w14:paraId="0B70FA20" w14:textId="77777777" w:rsidR="00717847" w:rsidRPr="009D53C4" w:rsidRDefault="00717847" w:rsidP="003D1754">
            <w:pPr>
              <w:pStyle w:val="TableTextEntries"/>
              <w:jc w:val="center"/>
            </w:pPr>
            <w:r>
              <w:t>2</w:t>
            </w:r>
          </w:p>
        </w:tc>
        <w:tc>
          <w:tcPr>
            <w:tcW w:w="300" w:type="pct"/>
            <w:tcBorders>
              <w:top w:val="nil"/>
              <w:bottom w:val="nil"/>
            </w:tcBorders>
            <w:shd w:val="clear" w:color="auto" w:fill="FFFF00"/>
            <w:noWrap/>
          </w:tcPr>
          <w:p w14:paraId="0B70FA21" w14:textId="77777777" w:rsidR="00717847" w:rsidRPr="009D53C4" w:rsidRDefault="00717847" w:rsidP="003D1754">
            <w:pPr>
              <w:pStyle w:val="TableTextEntries"/>
              <w:jc w:val="center"/>
            </w:pPr>
            <w:r>
              <w:t>4</w:t>
            </w:r>
          </w:p>
        </w:tc>
        <w:tc>
          <w:tcPr>
            <w:tcW w:w="300" w:type="pct"/>
            <w:tcBorders>
              <w:top w:val="nil"/>
              <w:bottom w:val="nil"/>
            </w:tcBorders>
            <w:shd w:val="clear" w:color="auto" w:fill="FF0000"/>
            <w:noWrap/>
          </w:tcPr>
          <w:p w14:paraId="0B70FA22" w14:textId="77777777" w:rsidR="00717847" w:rsidRPr="009D53C4" w:rsidRDefault="00717847" w:rsidP="003D1754">
            <w:pPr>
              <w:pStyle w:val="TableTextEntries"/>
              <w:jc w:val="center"/>
            </w:pPr>
            <w:r>
              <w:t>2</w:t>
            </w:r>
          </w:p>
        </w:tc>
        <w:tc>
          <w:tcPr>
            <w:tcW w:w="300" w:type="pct"/>
            <w:noWrap/>
          </w:tcPr>
          <w:p w14:paraId="0B70FA23" w14:textId="77777777" w:rsidR="00717847" w:rsidRPr="00FE4491" w:rsidRDefault="00717847" w:rsidP="008E0AE1">
            <w:pPr>
              <w:pStyle w:val="TableTextEntries"/>
              <w:jc w:val="center"/>
            </w:pPr>
          </w:p>
        </w:tc>
      </w:tr>
      <w:tr w:rsidR="006264ED" w:rsidRPr="009D53C4" w14:paraId="0B70FA2F" w14:textId="77777777" w:rsidTr="003D1754">
        <w:trPr>
          <w:cnfStyle w:val="000000010000" w:firstRow="0" w:lastRow="0" w:firstColumn="0" w:lastColumn="0" w:oddVBand="0" w:evenVBand="0" w:oddHBand="0" w:evenHBand="1" w:firstRowFirstColumn="0" w:firstRowLastColumn="0" w:lastRowFirstColumn="0" w:lastRowLastColumn="0"/>
          <w:tblHeader w:val="0"/>
        </w:trPr>
        <w:tc>
          <w:tcPr>
            <w:tcW w:w="867" w:type="pct"/>
          </w:tcPr>
          <w:p w14:paraId="0B70FA25" w14:textId="77777777" w:rsidR="00717847" w:rsidRPr="009D53C4" w:rsidRDefault="00717847" w:rsidP="008E0AE1">
            <w:pPr>
              <w:pStyle w:val="TableTextEntries"/>
            </w:pPr>
          </w:p>
        </w:tc>
        <w:tc>
          <w:tcPr>
            <w:tcW w:w="995" w:type="pct"/>
          </w:tcPr>
          <w:p w14:paraId="0B70FA26" w14:textId="77777777" w:rsidR="00717847" w:rsidRPr="00175002" w:rsidRDefault="00717847" w:rsidP="003D1754">
            <w:pPr>
              <w:pStyle w:val="TableTextEntries"/>
            </w:pPr>
          </w:p>
        </w:tc>
        <w:tc>
          <w:tcPr>
            <w:tcW w:w="500" w:type="pct"/>
          </w:tcPr>
          <w:p w14:paraId="0B70FA27" w14:textId="77777777" w:rsidR="00717847" w:rsidRPr="009D53C4" w:rsidRDefault="00717847" w:rsidP="003D1754">
            <w:pPr>
              <w:pStyle w:val="TableTextEntries"/>
            </w:pPr>
            <w:r>
              <w:t>2011^</w:t>
            </w:r>
          </w:p>
        </w:tc>
        <w:tc>
          <w:tcPr>
            <w:tcW w:w="300" w:type="pct"/>
            <w:noWrap/>
          </w:tcPr>
          <w:p w14:paraId="0B70FA28" w14:textId="77777777" w:rsidR="00717847" w:rsidRPr="009D53C4" w:rsidRDefault="00717847" w:rsidP="003D1754">
            <w:pPr>
              <w:pStyle w:val="TableTextEntries"/>
              <w:jc w:val="center"/>
            </w:pPr>
            <w:r>
              <w:t>N/A</w:t>
            </w:r>
          </w:p>
        </w:tc>
        <w:tc>
          <w:tcPr>
            <w:tcW w:w="300" w:type="pct"/>
            <w:noWrap/>
          </w:tcPr>
          <w:p w14:paraId="0B70FA29" w14:textId="77777777" w:rsidR="00717847" w:rsidRPr="009D53C4" w:rsidRDefault="00717847" w:rsidP="003D1754">
            <w:pPr>
              <w:pStyle w:val="TableTextEntries"/>
              <w:jc w:val="center"/>
            </w:pPr>
            <w:r>
              <w:t>N/A</w:t>
            </w:r>
          </w:p>
        </w:tc>
        <w:tc>
          <w:tcPr>
            <w:tcW w:w="300" w:type="pct"/>
            <w:noWrap/>
          </w:tcPr>
          <w:p w14:paraId="0B70FA2A" w14:textId="77777777" w:rsidR="00717847" w:rsidRPr="009D53C4" w:rsidRDefault="00717847" w:rsidP="003D1754">
            <w:pPr>
              <w:pStyle w:val="TableTextEntries"/>
              <w:jc w:val="center"/>
            </w:pPr>
            <w:r>
              <w:t>N/A</w:t>
            </w:r>
          </w:p>
        </w:tc>
        <w:tc>
          <w:tcPr>
            <w:tcW w:w="300" w:type="pct"/>
            <w:noWrap/>
          </w:tcPr>
          <w:p w14:paraId="0B70FA2B" w14:textId="77777777" w:rsidR="00717847" w:rsidRPr="009D53C4" w:rsidRDefault="00717847" w:rsidP="003D1754">
            <w:pPr>
              <w:pStyle w:val="TableTextEntries"/>
              <w:jc w:val="center"/>
            </w:pPr>
            <w:r>
              <w:t>N/A</w:t>
            </w:r>
          </w:p>
        </w:tc>
        <w:tc>
          <w:tcPr>
            <w:tcW w:w="300" w:type="pct"/>
            <w:noWrap/>
          </w:tcPr>
          <w:p w14:paraId="0B70FA2C" w14:textId="77777777" w:rsidR="00717847" w:rsidRPr="009D53C4" w:rsidRDefault="00717847" w:rsidP="003D1754">
            <w:pPr>
              <w:pStyle w:val="TableTextEntries"/>
              <w:jc w:val="center"/>
            </w:pPr>
            <w:r>
              <w:t>N/A</w:t>
            </w:r>
          </w:p>
        </w:tc>
        <w:tc>
          <w:tcPr>
            <w:tcW w:w="300" w:type="pct"/>
            <w:noWrap/>
          </w:tcPr>
          <w:p w14:paraId="0B70FA2D" w14:textId="77777777" w:rsidR="00717847" w:rsidRPr="009D53C4" w:rsidRDefault="00717847" w:rsidP="003D1754">
            <w:pPr>
              <w:pStyle w:val="TableTextEntries"/>
              <w:jc w:val="center"/>
            </w:pPr>
            <w:r>
              <w:t>N/A</w:t>
            </w:r>
          </w:p>
        </w:tc>
        <w:tc>
          <w:tcPr>
            <w:tcW w:w="300" w:type="pct"/>
            <w:noWrap/>
          </w:tcPr>
          <w:p w14:paraId="0B70FA2E" w14:textId="77777777" w:rsidR="00717847" w:rsidRPr="00FE4491" w:rsidRDefault="00717847" w:rsidP="008E0AE1">
            <w:pPr>
              <w:pStyle w:val="TableTextEntries"/>
              <w:jc w:val="center"/>
            </w:pPr>
          </w:p>
        </w:tc>
      </w:tr>
      <w:tr w:rsidR="006264ED" w:rsidRPr="009D53C4" w14:paraId="0B70FA3C" w14:textId="77777777" w:rsidTr="007923A5">
        <w:trPr>
          <w:tblHeader w:val="0"/>
        </w:trPr>
        <w:tc>
          <w:tcPr>
            <w:tcW w:w="867" w:type="pct"/>
          </w:tcPr>
          <w:p w14:paraId="0B70FA30" w14:textId="77777777" w:rsidR="00717847" w:rsidRPr="009D53C4" w:rsidRDefault="00717847" w:rsidP="008E0AE1">
            <w:pPr>
              <w:pStyle w:val="TableTextEntries"/>
            </w:pPr>
            <w:r>
              <w:t>PNG Provincial and Local-level Governments Program</w:t>
            </w:r>
          </w:p>
        </w:tc>
        <w:tc>
          <w:tcPr>
            <w:tcW w:w="995" w:type="pct"/>
          </w:tcPr>
          <w:p w14:paraId="0B70FA31" w14:textId="77777777" w:rsidR="00717847" w:rsidRPr="00175002" w:rsidRDefault="00717847" w:rsidP="003D1754">
            <w:pPr>
              <w:pStyle w:val="TableTextEntries"/>
            </w:pPr>
            <w:r w:rsidRPr="00175002">
              <w:t>$47,250,000</w:t>
            </w:r>
          </w:p>
          <w:p w14:paraId="0B70FA32" w14:textId="77777777" w:rsidR="00717847" w:rsidRPr="00175002" w:rsidRDefault="00717847" w:rsidP="003D1754">
            <w:pPr>
              <w:pStyle w:val="TableTextEntries"/>
            </w:pPr>
            <w:r w:rsidRPr="00175002">
              <w:t>01/06/2012 –</w:t>
            </w:r>
          </w:p>
          <w:p w14:paraId="0B70FA33" w14:textId="77777777" w:rsidR="00717847" w:rsidRPr="00175002" w:rsidRDefault="00717847" w:rsidP="003D1754">
            <w:pPr>
              <w:pStyle w:val="TableTextEntries"/>
            </w:pPr>
            <w:r w:rsidRPr="00175002">
              <w:t>31/03/2014</w:t>
            </w:r>
          </w:p>
        </w:tc>
        <w:tc>
          <w:tcPr>
            <w:tcW w:w="500" w:type="pct"/>
          </w:tcPr>
          <w:p w14:paraId="0B70FA34" w14:textId="77777777" w:rsidR="00717847" w:rsidRPr="009D53C4" w:rsidRDefault="00717847" w:rsidP="003D1754">
            <w:pPr>
              <w:pStyle w:val="TableTextEntries"/>
            </w:pPr>
            <w:r>
              <w:t>2012</w:t>
            </w:r>
          </w:p>
        </w:tc>
        <w:tc>
          <w:tcPr>
            <w:tcW w:w="300" w:type="pct"/>
            <w:tcBorders>
              <w:top w:val="nil"/>
              <w:bottom w:val="nil"/>
            </w:tcBorders>
            <w:shd w:val="clear" w:color="auto" w:fill="92D050"/>
            <w:noWrap/>
          </w:tcPr>
          <w:p w14:paraId="0B70FA35" w14:textId="77777777" w:rsidR="00717847" w:rsidRPr="009D53C4" w:rsidRDefault="00717847" w:rsidP="003D1754">
            <w:pPr>
              <w:pStyle w:val="TableTextEntries"/>
              <w:jc w:val="center"/>
            </w:pPr>
            <w:r>
              <w:t>6</w:t>
            </w:r>
          </w:p>
        </w:tc>
        <w:tc>
          <w:tcPr>
            <w:tcW w:w="300" w:type="pct"/>
            <w:tcBorders>
              <w:top w:val="nil"/>
              <w:bottom w:val="nil"/>
            </w:tcBorders>
            <w:shd w:val="clear" w:color="auto" w:fill="92D050"/>
            <w:noWrap/>
          </w:tcPr>
          <w:p w14:paraId="0B70FA36" w14:textId="77777777" w:rsidR="00717847" w:rsidRPr="009D53C4" w:rsidRDefault="00717847" w:rsidP="003D1754">
            <w:pPr>
              <w:pStyle w:val="TableTextEntries"/>
              <w:jc w:val="center"/>
            </w:pPr>
            <w:r>
              <w:t>5</w:t>
            </w:r>
          </w:p>
        </w:tc>
        <w:tc>
          <w:tcPr>
            <w:tcW w:w="300" w:type="pct"/>
            <w:tcBorders>
              <w:top w:val="nil"/>
              <w:bottom w:val="nil"/>
            </w:tcBorders>
            <w:shd w:val="clear" w:color="auto" w:fill="92D050"/>
            <w:noWrap/>
          </w:tcPr>
          <w:p w14:paraId="0B70FA37" w14:textId="77777777" w:rsidR="00717847" w:rsidRPr="009D53C4" w:rsidRDefault="00717847" w:rsidP="003D1754">
            <w:pPr>
              <w:pStyle w:val="TableTextEntries"/>
              <w:jc w:val="center"/>
            </w:pPr>
            <w:r>
              <w:t>5</w:t>
            </w:r>
          </w:p>
        </w:tc>
        <w:tc>
          <w:tcPr>
            <w:tcW w:w="300" w:type="pct"/>
            <w:tcBorders>
              <w:top w:val="nil"/>
              <w:bottom w:val="nil"/>
            </w:tcBorders>
            <w:shd w:val="clear" w:color="auto" w:fill="92D050"/>
            <w:noWrap/>
          </w:tcPr>
          <w:p w14:paraId="0B70FA38" w14:textId="77777777" w:rsidR="00717847" w:rsidRPr="009D53C4" w:rsidRDefault="00717847" w:rsidP="003D1754">
            <w:pPr>
              <w:pStyle w:val="TableTextEntries"/>
              <w:jc w:val="center"/>
            </w:pPr>
            <w:r>
              <w:t>5</w:t>
            </w:r>
          </w:p>
        </w:tc>
        <w:tc>
          <w:tcPr>
            <w:tcW w:w="300" w:type="pct"/>
            <w:tcBorders>
              <w:top w:val="nil"/>
              <w:bottom w:val="nil"/>
            </w:tcBorders>
            <w:shd w:val="clear" w:color="auto" w:fill="92D050"/>
            <w:noWrap/>
          </w:tcPr>
          <w:p w14:paraId="0B70FA39" w14:textId="77777777" w:rsidR="00717847" w:rsidRPr="009D53C4" w:rsidRDefault="00717847" w:rsidP="003D1754">
            <w:pPr>
              <w:pStyle w:val="TableTextEntries"/>
              <w:jc w:val="center"/>
            </w:pPr>
            <w:r>
              <w:t>5</w:t>
            </w:r>
          </w:p>
        </w:tc>
        <w:tc>
          <w:tcPr>
            <w:tcW w:w="300" w:type="pct"/>
            <w:tcBorders>
              <w:top w:val="nil"/>
              <w:bottom w:val="nil"/>
            </w:tcBorders>
            <w:shd w:val="clear" w:color="auto" w:fill="F79646" w:themeFill="accent6"/>
            <w:noWrap/>
          </w:tcPr>
          <w:p w14:paraId="0B70FA3A" w14:textId="77777777" w:rsidR="00717847" w:rsidRPr="009D53C4" w:rsidRDefault="00717847" w:rsidP="003D1754">
            <w:pPr>
              <w:pStyle w:val="TableTextEntries"/>
              <w:jc w:val="center"/>
            </w:pPr>
            <w:r>
              <w:t>3</w:t>
            </w:r>
          </w:p>
        </w:tc>
        <w:tc>
          <w:tcPr>
            <w:tcW w:w="300" w:type="pct"/>
            <w:noWrap/>
          </w:tcPr>
          <w:p w14:paraId="0B70FA3B" w14:textId="77777777" w:rsidR="00717847" w:rsidRPr="00FE4491" w:rsidRDefault="00717847" w:rsidP="008E0AE1">
            <w:pPr>
              <w:pStyle w:val="TableTextEntries"/>
              <w:jc w:val="center"/>
            </w:pPr>
          </w:p>
        </w:tc>
      </w:tr>
    </w:tbl>
    <w:p w14:paraId="0B70FA3D" w14:textId="77777777" w:rsidR="00717847" w:rsidRDefault="00717847" w:rsidP="00717847">
      <w:pPr>
        <w:pStyle w:val="Note"/>
      </w:pPr>
      <w:r>
        <w:t>* In 2012 Australia’s heath and HIV programs were integrated, restructuring the 2011 initiatives.</w:t>
      </w:r>
    </w:p>
    <w:p w14:paraId="0B70FA3E" w14:textId="77777777" w:rsidR="00717847" w:rsidRDefault="00717847" w:rsidP="00717847">
      <w:pPr>
        <w:pStyle w:val="Note"/>
      </w:pPr>
      <w:r>
        <w:t xml:space="preserve">^ These initiative has been finalised  </w:t>
      </w:r>
    </w:p>
    <w:p w14:paraId="0B70FA3F" w14:textId="77777777" w:rsidR="00717847" w:rsidRDefault="00717847" w:rsidP="00717847">
      <w:pPr>
        <w:pStyle w:val="Note"/>
      </w:pPr>
      <w:r>
        <w:t>Definitions of rating scale:</w:t>
      </w:r>
      <w:r>
        <w:tab/>
      </w:r>
    </w:p>
    <w:p w14:paraId="0B70FA40" w14:textId="77777777" w:rsidR="00717847" w:rsidRDefault="00717847" w:rsidP="00717847">
      <w:pPr>
        <w:pStyle w:val="Note"/>
      </w:pPr>
      <w:r>
        <w:t>Satisfactory (4, 5 and 6)</w:t>
      </w:r>
    </w:p>
    <w:p w14:paraId="0B70FA41" w14:textId="77777777" w:rsidR="00717847" w:rsidRDefault="00717847" w:rsidP="00717847">
      <w:pPr>
        <w:pStyle w:val="Note"/>
      </w:pPr>
      <w:r w:rsidRPr="00FE4491">
        <w:rPr>
          <w:color w:val="92D050"/>
        </w:rPr>
        <w:sym w:font="Webdings" w:char="F067"/>
      </w:r>
      <w:r>
        <w:t xml:space="preserve"> = 6 = Very high quality</w:t>
      </w:r>
    </w:p>
    <w:p w14:paraId="0B70FA42" w14:textId="77777777" w:rsidR="00717847" w:rsidRDefault="00717847" w:rsidP="00717847">
      <w:pPr>
        <w:pStyle w:val="Note"/>
      </w:pPr>
      <w:r w:rsidRPr="00FE4491">
        <w:rPr>
          <w:color w:val="92D050"/>
        </w:rPr>
        <w:sym w:font="Webdings" w:char="F067"/>
      </w:r>
      <w:r>
        <w:t xml:space="preserve"> = 5 = Good quality</w:t>
      </w:r>
    </w:p>
    <w:p w14:paraId="0B70FA43" w14:textId="77777777" w:rsidR="00717847" w:rsidRDefault="00717847" w:rsidP="00717847">
      <w:pPr>
        <w:pStyle w:val="Note"/>
      </w:pPr>
      <w:r w:rsidRPr="000774FD">
        <w:rPr>
          <w:color w:val="FFFF00"/>
        </w:rPr>
        <w:sym w:font="Webdings" w:char="F067"/>
      </w:r>
      <w:r>
        <w:t xml:space="preserve"> = 4 = Adequate quality, needs some work</w:t>
      </w:r>
    </w:p>
    <w:p w14:paraId="0B70FA44" w14:textId="77777777" w:rsidR="00717847" w:rsidRDefault="00717847" w:rsidP="00717847">
      <w:pPr>
        <w:pStyle w:val="Note"/>
      </w:pPr>
      <w:r>
        <w:t>Less than satisfactory (1, 2 and 3)</w:t>
      </w:r>
    </w:p>
    <w:p w14:paraId="0B70FA45" w14:textId="77777777" w:rsidR="00717847" w:rsidRDefault="00717847" w:rsidP="00717847">
      <w:pPr>
        <w:pStyle w:val="Note"/>
      </w:pPr>
      <w:r w:rsidRPr="00FD710F">
        <w:rPr>
          <w:color w:val="F79646"/>
        </w:rPr>
        <w:sym w:font="Webdings" w:char="F067"/>
      </w:r>
      <w:r>
        <w:t xml:space="preserve"> = 3 = Less than adequate quality; needs significant work</w:t>
      </w:r>
    </w:p>
    <w:p w14:paraId="0B70FA46" w14:textId="77777777" w:rsidR="00717847" w:rsidRDefault="00717847" w:rsidP="00717847">
      <w:pPr>
        <w:pStyle w:val="Note"/>
      </w:pPr>
      <w:r w:rsidRPr="000774FD">
        <w:rPr>
          <w:color w:val="FF0000"/>
        </w:rPr>
        <w:sym w:font="Webdings" w:char="F067"/>
      </w:r>
      <w:r>
        <w:t xml:space="preserve"> = 2 = Poor quality; needs major work to improve</w:t>
      </w:r>
    </w:p>
    <w:p w14:paraId="0B70FA47" w14:textId="77777777" w:rsidR="00717847" w:rsidRDefault="00717847" w:rsidP="00717847">
      <w:pPr>
        <w:pStyle w:val="Note"/>
      </w:pPr>
      <w:r w:rsidRPr="000774FD">
        <w:rPr>
          <w:color w:val="FF0000"/>
        </w:rPr>
        <w:sym w:font="Webdings" w:char="F067"/>
      </w:r>
      <w:r>
        <w:t xml:space="preserve"> = 1 = Very poor quality; needs major overhaul</w:t>
      </w:r>
    </w:p>
    <w:p w14:paraId="0B70FA48" w14:textId="77777777" w:rsidR="00717847" w:rsidRDefault="00717847" w:rsidP="00717847">
      <w:pPr>
        <w:pStyle w:val="Note"/>
      </w:pPr>
    </w:p>
    <w:p w14:paraId="0B70FA49" w14:textId="77777777" w:rsidR="00717847" w:rsidRDefault="00717847" w:rsidP="00717847">
      <w:pPr>
        <w:pStyle w:val="Note"/>
      </w:pPr>
      <w:r>
        <w:t>Risk Management scale:</w:t>
      </w:r>
    </w:p>
    <w:p w14:paraId="0B70FA4A" w14:textId="77777777" w:rsidR="00717847" w:rsidRDefault="00717847" w:rsidP="00717847">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 </w:t>
      </w:r>
    </w:p>
    <w:p w14:paraId="0B70FA4B" w14:textId="77777777" w:rsidR="00717847" w:rsidRDefault="00717847" w:rsidP="00717847">
      <w:pPr>
        <w:pStyle w:val="Note"/>
      </w:pPr>
      <w:r w:rsidRPr="00FD710F">
        <w:rPr>
          <w:color w:val="F79646"/>
        </w:rPr>
        <w:sym w:font="Webdings" w:char="F067"/>
      </w:r>
      <w:r>
        <w:t xml:space="preserve">  Intermediate (I). Indicates the initiative manager conducts ad-hoc risk discussion and updates the risk register occasionally. </w:t>
      </w:r>
    </w:p>
    <w:p w14:paraId="0B70FA4C" w14:textId="77777777" w:rsidR="00717847" w:rsidRDefault="00717847" w:rsidP="00717847">
      <w:pPr>
        <w:pStyle w:val="Note"/>
        <w:sectPr w:rsidR="00717847" w:rsidSect="001E7728">
          <w:headerReference w:type="default" r:id="rId28"/>
          <w:footerReference w:type="default" r:id="rId29"/>
          <w:headerReference w:type="first" r:id="rId30"/>
          <w:footerReference w:type="first" r:id="rId31"/>
          <w:pgSz w:w="11906" w:h="16838" w:code="9"/>
          <w:pgMar w:top="2268" w:right="1701" w:bottom="907" w:left="1871" w:header="709" w:footer="425" w:gutter="0"/>
          <w:cols w:space="708"/>
          <w:docGrid w:linePitch="360"/>
        </w:sectPr>
      </w:pPr>
      <w:r w:rsidRPr="000774FD">
        <w:rPr>
          <w:color w:val="FF0000"/>
        </w:rPr>
        <w:sym w:font="Webdings" w:char="F067"/>
      </w:r>
      <w:r>
        <w:t xml:space="preserve">  Basic (B). Indicates there are limited or few risk discussions and the risk register has not been updated in the past 12 months.</w:t>
      </w:r>
    </w:p>
    <w:p w14:paraId="0B70FA4D" w14:textId="77777777" w:rsidR="00717847" w:rsidRPr="00895E07" w:rsidRDefault="00717847" w:rsidP="00895E07">
      <w:pPr>
        <w:pStyle w:val="Heading1"/>
      </w:pPr>
      <w:r w:rsidRPr="00895E07">
        <w:t>Annex C</w:t>
      </w:r>
    </w:p>
    <w:p w14:paraId="0B70FA4E" w14:textId="77777777" w:rsidR="00717847" w:rsidRPr="00071B95" w:rsidRDefault="00717847" w:rsidP="00717847">
      <w:pPr>
        <w:pStyle w:val="Heading2"/>
      </w:pPr>
      <w:r w:rsidRPr="00071B95">
        <w:t xml:space="preserve">Evaluation and </w:t>
      </w:r>
      <w:r>
        <w:t>r</w:t>
      </w:r>
      <w:r w:rsidRPr="00071B95">
        <w:t xml:space="preserve">eview </w:t>
      </w:r>
      <w:r w:rsidRPr="00895E07">
        <w:t>pipeline</w:t>
      </w:r>
      <w:r w:rsidRPr="00071B95">
        <w:t xml:space="preserve"> </w:t>
      </w:r>
      <w:r>
        <w:t>p</w:t>
      </w:r>
      <w:r w:rsidRPr="00071B95">
        <w:t>lanning</w:t>
      </w:r>
    </w:p>
    <w:p w14:paraId="0B70FA4F" w14:textId="77777777" w:rsidR="00717847" w:rsidRPr="00071B95" w:rsidRDefault="00717847" w:rsidP="001E7728">
      <w:pPr>
        <w:pStyle w:val="Caption"/>
      </w:pPr>
      <w:r w:rsidRPr="00071B95">
        <w:t xml:space="preserve">List of </w:t>
      </w:r>
      <w:r>
        <w:t>e</w:t>
      </w:r>
      <w:r w:rsidRPr="00071B95">
        <w:t>valuations completed</w:t>
      </w:r>
      <w:r w:rsidRPr="00071B95">
        <w:rPr>
          <w:vertAlign w:val="superscript"/>
        </w:rPr>
        <w:footnoteReference w:id="81"/>
      </w:r>
      <w:r w:rsidRPr="00071B95">
        <w:t xml:space="preserve"> in the reporting period </w:t>
      </w:r>
    </w:p>
    <w:tbl>
      <w:tblPr>
        <w:tblStyle w:val="APPR"/>
        <w:tblW w:w="5000" w:type="pct"/>
        <w:tblLook w:val="04A0" w:firstRow="1" w:lastRow="0" w:firstColumn="1" w:lastColumn="0" w:noHBand="0" w:noVBand="1"/>
      </w:tblPr>
      <w:tblGrid>
        <w:gridCol w:w="2053"/>
        <w:gridCol w:w="2071"/>
        <w:gridCol w:w="2175"/>
        <w:gridCol w:w="2077"/>
        <w:gridCol w:w="2058"/>
        <w:gridCol w:w="1870"/>
        <w:gridCol w:w="1631"/>
      </w:tblGrid>
      <w:tr w:rsidR="00717847" w:rsidRPr="00071B95" w14:paraId="0B70FA57" w14:textId="77777777" w:rsidTr="00895E07">
        <w:trPr>
          <w:cnfStyle w:val="100000000000" w:firstRow="1" w:lastRow="0" w:firstColumn="0" w:lastColumn="0" w:oddVBand="0" w:evenVBand="0" w:oddHBand="0" w:evenHBand="0" w:firstRowFirstColumn="0" w:firstRowLastColumn="0" w:lastRowFirstColumn="0" w:lastRowLastColumn="0"/>
        </w:trPr>
        <w:tc>
          <w:tcPr>
            <w:tcW w:w="1902" w:type="dxa"/>
          </w:tcPr>
          <w:p w14:paraId="0B70FA50" w14:textId="77777777" w:rsidR="00717847" w:rsidRPr="00895E07" w:rsidRDefault="00717847" w:rsidP="00895E07">
            <w:pPr>
              <w:pStyle w:val="TableTextColumnHeading"/>
              <w:rPr>
                <w:b/>
              </w:rPr>
            </w:pPr>
            <w:r w:rsidRPr="00895E07">
              <w:rPr>
                <w:b/>
              </w:rPr>
              <w:t>Name of initiative</w:t>
            </w:r>
          </w:p>
        </w:tc>
        <w:tc>
          <w:tcPr>
            <w:tcW w:w="1933" w:type="dxa"/>
          </w:tcPr>
          <w:p w14:paraId="0B70FA51" w14:textId="77777777" w:rsidR="00717847" w:rsidRPr="00895E07" w:rsidRDefault="00717847" w:rsidP="00895E07">
            <w:pPr>
              <w:pStyle w:val="TableTextColumnHeading"/>
              <w:rPr>
                <w:b/>
              </w:rPr>
            </w:pPr>
            <w:r w:rsidRPr="00895E07">
              <w:rPr>
                <w:b/>
              </w:rPr>
              <w:t>AidWorks number</w:t>
            </w:r>
          </w:p>
        </w:tc>
        <w:tc>
          <w:tcPr>
            <w:tcW w:w="2031" w:type="dxa"/>
          </w:tcPr>
          <w:p w14:paraId="0B70FA52" w14:textId="77777777" w:rsidR="00717847" w:rsidRPr="00895E07" w:rsidRDefault="00717847" w:rsidP="00895E07">
            <w:pPr>
              <w:pStyle w:val="TableTextColumnHeading"/>
              <w:rPr>
                <w:b/>
              </w:rPr>
            </w:pPr>
            <w:r w:rsidRPr="00895E07">
              <w:rPr>
                <w:b/>
              </w:rPr>
              <w:t>Type of evaluation</w:t>
            </w:r>
            <w:r w:rsidRPr="00895E07">
              <w:rPr>
                <w:b/>
                <w:vertAlign w:val="superscript"/>
              </w:rPr>
              <w:footnoteReference w:id="82"/>
            </w:r>
          </w:p>
        </w:tc>
        <w:tc>
          <w:tcPr>
            <w:tcW w:w="1939" w:type="dxa"/>
          </w:tcPr>
          <w:p w14:paraId="0B70FA53" w14:textId="77777777" w:rsidR="00717847" w:rsidRPr="00895E07" w:rsidRDefault="00717847" w:rsidP="00895E07">
            <w:pPr>
              <w:pStyle w:val="TableTextColumnHeading"/>
              <w:rPr>
                <w:b/>
              </w:rPr>
            </w:pPr>
            <w:r w:rsidRPr="00895E07">
              <w:rPr>
                <w:b/>
              </w:rPr>
              <w:t>Date evaluation report received</w:t>
            </w:r>
          </w:p>
        </w:tc>
        <w:tc>
          <w:tcPr>
            <w:tcW w:w="1921" w:type="dxa"/>
          </w:tcPr>
          <w:p w14:paraId="0B70FA54" w14:textId="77777777" w:rsidR="00717847" w:rsidRPr="00895E07" w:rsidRDefault="00717847" w:rsidP="00895E07">
            <w:pPr>
              <w:pStyle w:val="TableTextColumnHeading"/>
              <w:rPr>
                <w:b/>
              </w:rPr>
            </w:pPr>
            <w:r w:rsidRPr="00895E07">
              <w:rPr>
                <w:b/>
              </w:rPr>
              <w:t>Date evaluation report uploaded into AidWorks</w:t>
            </w:r>
          </w:p>
        </w:tc>
        <w:tc>
          <w:tcPr>
            <w:tcW w:w="1743" w:type="dxa"/>
          </w:tcPr>
          <w:p w14:paraId="0B70FA55" w14:textId="77777777" w:rsidR="00717847" w:rsidRPr="00895E07" w:rsidRDefault="00717847" w:rsidP="00895E07">
            <w:pPr>
              <w:pStyle w:val="TableTextColumnHeading"/>
              <w:rPr>
                <w:b/>
              </w:rPr>
            </w:pPr>
            <w:r w:rsidRPr="00895E07">
              <w:rPr>
                <w:b/>
              </w:rPr>
              <w:t>Date management response uploaded into AidWorks</w:t>
            </w:r>
          </w:p>
        </w:tc>
        <w:tc>
          <w:tcPr>
            <w:tcW w:w="1503" w:type="dxa"/>
          </w:tcPr>
          <w:p w14:paraId="0B70FA56" w14:textId="77777777" w:rsidR="00717847" w:rsidRPr="00895E07" w:rsidRDefault="00717847" w:rsidP="00895E07">
            <w:pPr>
              <w:pStyle w:val="TableTextColumnHeading"/>
              <w:rPr>
                <w:b/>
              </w:rPr>
            </w:pPr>
            <w:r w:rsidRPr="00895E07">
              <w:rPr>
                <w:b/>
              </w:rPr>
              <w:t>Published on website</w:t>
            </w:r>
          </w:p>
        </w:tc>
      </w:tr>
      <w:tr w:rsidR="00717847" w:rsidRPr="00071B95" w14:paraId="0B70FA5F" w14:textId="77777777" w:rsidTr="00895E07">
        <w:trPr>
          <w:tblHeader w:val="0"/>
        </w:trPr>
        <w:tc>
          <w:tcPr>
            <w:tcW w:w="1902" w:type="dxa"/>
          </w:tcPr>
          <w:p w14:paraId="0B70FA58" w14:textId="77777777" w:rsidR="00717847" w:rsidRPr="00B67551" w:rsidRDefault="00717847" w:rsidP="00895E07">
            <w:pPr>
              <w:pStyle w:val="TableTextEntries"/>
            </w:pPr>
            <w:r w:rsidRPr="00B67551">
              <w:t>PNG Media for Development Initiative</w:t>
            </w:r>
          </w:p>
        </w:tc>
        <w:tc>
          <w:tcPr>
            <w:tcW w:w="1933" w:type="dxa"/>
            <w:vAlign w:val="bottom"/>
          </w:tcPr>
          <w:p w14:paraId="0B70FA59" w14:textId="77777777" w:rsidR="00717847" w:rsidRPr="00B67551" w:rsidRDefault="00717847" w:rsidP="00895E07">
            <w:pPr>
              <w:pStyle w:val="TableTextEntries"/>
              <w:rPr>
                <w:rFonts w:cs="Calibri"/>
              </w:rPr>
            </w:pPr>
            <w:r w:rsidRPr="00B67551">
              <w:rPr>
                <w:rFonts w:cs="Calibri"/>
              </w:rPr>
              <w:t>INF759</w:t>
            </w:r>
          </w:p>
        </w:tc>
        <w:tc>
          <w:tcPr>
            <w:tcW w:w="2031" w:type="dxa"/>
          </w:tcPr>
          <w:p w14:paraId="0B70FA5A" w14:textId="77777777" w:rsidR="00717847" w:rsidRPr="00B67551" w:rsidRDefault="00717847" w:rsidP="00895E07">
            <w:pPr>
              <w:pStyle w:val="TableTextEntries"/>
            </w:pPr>
            <w:r w:rsidRPr="00B67551">
              <w:t>I</w:t>
            </w:r>
            <w:r>
              <w:t>ndependent completion report</w:t>
            </w:r>
          </w:p>
        </w:tc>
        <w:tc>
          <w:tcPr>
            <w:tcW w:w="1939" w:type="dxa"/>
          </w:tcPr>
          <w:p w14:paraId="0B70FA5B" w14:textId="77777777" w:rsidR="00717847" w:rsidRPr="00B67551" w:rsidRDefault="00717847" w:rsidP="00895E07">
            <w:pPr>
              <w:pStyle w:val="TableTextEntries"/>
            </w:pPr>
            <w:r>
              <w:t>March 2012</w:t>
            </w:r>
          </w:p>
        </w:tc>
        <w:tc>
          <w:tcPr>
            <w:tcW w:w="1921" w:type="dxa"/>
          </w:tcPr>
          <w:p w14:paraId="0B70FA5C" w14:textId="77777777" w:rsidR="00717847" w:rsidRPr="00B67551" w:rsidRDefault="00717847" w:rsidP="00895E07">
            <w:pPr>
              <w:pStyle w:val="TableTextEntries"/>
            </w:pPr>
            <w:r>
              <w:t>July 2012</w:t>
            </w:r>
          </w:p>
        </w:tc>
        <w:tc>
          <w:tcPr>
            <w:tcW w:w="1743" w:type="dxa"/>
          </w:tcPr>
          <w:p w14:paraId="0B70FA5D" w14:textId="77777777" w:rsidR="00717847" w:rsidRPr="00B67551" w:rsidRDefault="00717847" w:rsidP="00895E07">
            <w:pPr>
              <w:pStyle w:val="TableTextEntries"/>
            </w:pPr>
            <w:r>
              <w:t>July 2012</w:t>
            </w:r>
          </w:p>
        </w:tc>
        <w:tc>
          <w:tcPr>
            <w:tcW w:w="1503" w:type="dxa"/>
          </w:tcPr>
          <w:p w14:paraId="0B70FA5E" w14:textId="77777777" w:rsidR="00717847" w:rsidRPr="00B67551" w:rsidRDefault="00717847" w:rsidP="00895E07">
            <w:pPr>
              <w:pStyle w:val="TableTextEntries"/>
            </w:pPr>
            <w:r>
              <w:t>Yes</w:t>
            </w:r>
          </w:p>
        </w:tc>
      </w:tr>
      <w:tr w:rsidR="00717847" w:rsidRPr="00071B95" w14:paraId="0B70FA67" w14:textId="77777777" w:rsidTr="00895E07">
        <w:trPr>
          <w:cnfStyle w:val="000000010000" w:firstRow="0" w:lastRow="0" w:firstColumn="0" w:lastColumn="0" w:oddVBand="0" w:evenVBand="0" w:oddHBand="0" w:evenHBand="1" w:firstRowFirstColumn="0" w:firstRowLastColumn="0" w:lastRowFirstColumn="0" w:lastRowLastColumn="0"/>
          <w:tblHeader w:val="0"/>
        </w:trPr>
        <w:tc>
          <w:tcPr>
            <w:tcW w:w="1902" w:type="dxa"/>
          </w:tcPr>
          <w:p w14:paraId="0B70FA60" w14:textId="77777777" w:rsidR="00717847" w:rsidRPr="00E50DCD" w:rsidRDefault="00717847" w:rsidP="00895E07">
            <w:pPr>
              <w:pStyle w:val="TableTextEntries"/>
            </w:pPr>
            <w:r w:rsidRPr="00E50DCD">
              <w:t>Strongim Gavman Program</w:t>
            </w:r>
          </w:p>
        </w:tc>
        <w:tc>
          <w:tcPr>
            <w:tcW w:w="1933" w:type="dxa"/>
            <w:vAlign w:val="bottom"/>
          </w:tcPr>
          <w:p w14:paraId="0B70FA61" w14:textId="77777777" w:rsidR="00717847" w:rsidRPr="00B67551" w:rsidRDefault="00717847" w:rsidP="00895E07">
            <w:pPr>
              <w:pStyle w:val="TableTextEntries"/>
              <w:rPr>
                <w:rFonts w:cs="Calibri"/>
              </w:rPr>
            </w:pPr>
            <w:r w:rsidRPr="00B67551">
              <w:rPr>
                <w:rFonts w:cs="Calibri"/>
              </w:rPr>
              <w:t>INI767</w:t>
            </w:r>
          </w:p>
        </w:tc>
        <w:tc>
          <w:tcPr>
            <w:tcW w:w="2031" w:type="dxa"/>
          </w:tcPr>
          <w:p w14:paraId="0B70FA62" w14:textId="77777777" w:rsidR="00717847" w:rsidRPr="00B67551" w:rsidRDefault="00717847" w:rsidP="00895E07">
            <w:pPr>
              <w:pStyle w:val="TableTextEntries"/>
            </w:pPr>
            <w:r>
              <w:t>Independent progress report</w:t>
            </w:r>
          </w:p>
        </w:tc>
        <w:tc>
          <w:tcPr>
            <w:tcW w:w="1939" w:type="dxa"/>
          </w:tcPr>
          <w:p w14:paraId="0B70FA63" w14:textId="77777777" w:rsidR="00717847" w:rsidRPr="00B67551" w:rsidRDefault="00717847" w:rsidP="00895E07">
            <w:pPr>
              <w:pStyle w:val="TableTextEntries"/>
            </w:pPr>
            <w:r>
              <w:t>March 2012</w:t>
            </w:r>
          </w:p>
        </w:tc>
        <w:tc>
          <w:tcPr>
            <w:tcW w:w="1921" w:type="dxa"/>
          </w:tcPr>
          <w:p w14:paraId="0B70FA64" w14:textId="77777777" w:rsidR="00717847" w:rsidRPr="00B67551" w:rsidRDefault="00717847" w:rsidP="00895E07">
            <w:pPr>
              <w:pStyle w:val="TableTextEntries"/>
            </w:pPr>
            <w:r>
              <w:t>April 2012</w:t>
            </w:r>
          </w:p>
        </w:tc>
        <w:tc>
          <w:tcPr>
            <w:tcW w:w="1743" w:type="dxa"/>
          </w:tcPr>
          <w:p w14:paraId="0B70FA65" w14:textId="77777777" w:rsidR="00717847" w:rsidRPr="00B67551" w:rsidRDefault="00717847" w:rsidP="00895E07">
            <w:pPr>
              <w:pStyle w:val="TableTextEntries"/>
            </w:pPr>
            <w:r>
              <w:t>Not uploaded but available on website</w:t>
            </w:r>
          </w:p>
        </w:tc>
        <w:tc>
          <w:tcPr>
            <w:tcW w:w="1503" w:type="dxa"/>
          </w:tcPr>
          <w:p w14:paraId="0B70FA66" w14:textId="77777777" w:rsidR="00717847" w:rsidRPr="00B67551" w:rsidRDefault="00717847" w:rsidP="00895E07">
            <w:pPr>
              <w:pStyle w:val="TableTextEntries"/>
            </w:pPr>
            <w:r>
              <w:t>Yes</w:t>
            </w:r>
          </w:p>
        </w:tc>
      </w:tr>
      <w:tr w:rsidR="00717847" w:rsidRPr="00071B95" w14:paraId="0B70FA6F" w14:textId="77777777" w:rsidTr="00895E07">
        <w:trPr>
          <w:tblHeader w:val="0"/>
        </w:trPr>
        <w:tc>
          <w:tcPr>
            <w:tcW w:w="1902" w:type="dxa"/>
          </w:tcPr>
          <w:p w14:paraId="0B70FA68" w14:textId="77777777" w:rsidR="00717847" w:rsidRPr="00B67551" w:rsidRDefault="00717847" w:rsidP="00895E07">
            <w:pPr>
              <w:pStyle w:val="TableTextEntries"/>
            </w:pPr>
            <w:r w:rsidRPr="00B67551">
              <w:t xml:space="preserve">PNG-Australia Law </w:t>
            </w:r>
            <w:r>
              <w:t>and</w:t>
            </w:r>
            <w:r w:rsidRPr="00B67551">
              <w:t xml:space="preserve"> Justice Program (PALJP)</w:t>
            </w:r>
          </w:p>
        </w:tc>
        <w:tc>
          <w:tcPr>
            <w:tcW w:w="1933" w:type="dxa"/>
            <w:vAlign w:val="bottom"/>
          </w:tcPr>
          <w:p w14:paraId="0B70FA69" w14:textId="77777777" w:rsidR="00717847" w:rsidRPr="00B67551" w:rsidRDefault="00717847" w:rsidP="00895E07">
            <w:pPr>
              <w:pStyle w:val="TableTextEntries"/>
              <w:rPr>
                <w:rFonts w:cs="Calibri"/>
              </w:rPr>
            </w:pPr>
            <w:r w:rsidRPr="00B67551">
              <w:rPr>
                <w:rFonts w:cs="Calibri"/>
              </w:rPr>
              <w:t>INI194</w:t>
            </w:r>
          </w:p>
        </w:tc>
        <w:tc>
          <w:tcPr>
            <w:tcW w:w="2031" w:type="dxa"/>
          </w:tcPr>
          <w:p w14:paraId="0B70FA6A" w14:textId="77777777" w:rsidR="00717847" w:rsidRPr="00B67551" w:rsidRDefault="00717847" w:rsidP="00895E07">
            <w:pPr>
              <w:pStyle w:val="TableTextEntries"/>
            </w:pPr>
            <w:r>
              <w:t>Independent progress report</w:t>
            </w:r>
          </w:p>
        </w:tc>
        <w:tc>
          <w:tcPr>
            <w:tcW w:w="1939" w:type="dxa"/>
          </w:tcPr>
          <w:p w14:paraId="0B70FA6B" w14:textId="77777777" w:rsidR="00717847" w:rsidRPr="00B67551" w:rsidRDefault="00717847" w:rsidP="00895E07">
            <w:pPr>
              <w:pStyle w:val="TableTextEntries"/>
            </w:pPr>
            <w:r>
              <w:t>March 2012</w:t>
            </w:r>
          </w:p>
        </w:tc>
        <w:tc>
          <w:tcPr>
            <w:tcW w:w="1921" w:type="dxa"/>
          </w:tcPr>
          <w:p w14:paraId="0B70FA6C" w14:textId="77777777" w:rsidR="00717847" w:rsidRPr="00B67551" w:rsidRDefault="00717847" w:rsidP="00895E07">
            <w:pPr>
              <w:pStyle w:val="TableTextEntries"/>
            </w:pPr>
            <w:r>
              <w:t>March 2013</w:t>
            </w:r>
          </w:p>
        </w:tc>
        <w:tc>
          <w:tcPr>
            <w:tcW w:w="1743" w:type="dxa"/>
          </w:tcPr>
          <w:p w14:paraId="0B70FA6D" w14:textId="77777777" w:rsidR="00717847" w:rsidRPr="00B67551" w:rsidRDefault="00717847" w:rsidP="00895E07">
            <w:pPr>
              <w:pStyle w:val="TableTextEntries"/>
            </w:pPr>
            <w:r>
              <w:t>March 2013</w:t>
            </w:r>
          </w:p>
        </w:tc>
        <w:tc>
          <w:tcPr>
            <w:tcW w:w="1503" w:type="dxa"/>
          </w:tcPr>
          <w:p w14:paraId="0B70FA6E" w14:textId="77777777" w:rsidR="00717847" w:rsidRPr="00B67551" w:rsidRDefault="00717847" w:rsidP="00895E07">
            <w:pPr>
              <w:pStyle w:val="TableTextEntries"/>
            </w:pPr>
            <w:r>
              <w:t>Yes</w:t>
            </w:r>
          </w:p>
        </w:tc>
      </w:tr>
      <w:tr w:rsidR="00717847" w:rsidRPr="00071B95" w14:paraId="0B70FA77" w14:textId="77777777" w:rsidTr="00895E07">
        <w:trPr>
          <w:cnfStyle w:val="000000010000" w:firstRow="0" w:lastRow="0" w:firstColumn="0" w:lastColumn="0" w:oddVBand="0" w:evenVBand="0" w:oddHBand="0" w:evenHBand="1" w:firstRowFirstColumn="0" w:firstRowLastColumn="0" w:lastRowFirstColumn="0" w:lastRowLastColumn="0"/>
          <w:tblHeader w:val="0"/>
        </w:trPr>
        <w:tc>
          <w:tcPr>
            <w:tcW w:w="1902" w:type="dxa"/>
          </w:tcPr>
          <w:p w14:paraId="0B70FA70" w14:textId="29F4A250" w:rsidR="00717847" w:rsidRPr="00B67551" w:rsidRDefault="00717847" w:rsidP="00B3755D">
            <w:pPr>
              <w:pStyle w:val="TableTextEntries"/>
            </w:pPr>
            <w:r w:rsidRPr="001B43F5">
              <w:t xml:space="preserve">AusAID’s </w:t>
            </w:r>
            <w:r>
              <w:t>s</w:t>
            </w:r>
            <w:r w:rsidRPr="001B43F5">
              <w:t>upport to the UN in PNG through the PNG UN Country Fund</w:t>
            </w:r>
          </w:p>
        </w:tc>
        <w:tc>
          <w:tcPr>
            <w:tcW w:w="1933" w:type="dxa"/>
            <w:vAlign w:val="bottom"/>
          </w:tcPr>
          <w:p w14:paraId="0B70FA71" w14:textId="77777777" w:rsidR="00717847" w:rsidRPr="00B67551" w:rsidRDefault="00717847" w:rsidP="00895E07">
            <w:pPr>
              <w:pStyle w:val="TableTextEntries"/>
              <w:rPr>
                <w:rFonts w:cs="Calibri"/>
              </w:rPr>
            </w:pPr>
            <w:r w:rsidRPr="00B67551">
              <w:rPr>
                <w:rFonts w:cs="Calibri"/>
              </w:rPr>
              <w:t>INJ321</w:t>
            </w:r>
          </w:p>
        </w:tc>
        <w:tc>
          <w:tcPr>
            <w:tcW w:w="2031" w:type="dxa"/>
          </w:tcPr>
          <w:p w14:paraId="0B70FA72" w14:textId="77777777" w:rsidR="00717847" w:rsidRPr="00B67551" w:rsidRDefault="00717847" w:rsidP="00895E07">
            <w:pPr>
              <w:pStyle w:val="TableTextEntries"/>
            </w:pPr>
            <w:r>
              <w:t>Independent progress report</w:t>
            </w:r>
          </w:p>
        </w:tc>
        <w:tc>
          <w:tcPr>
            <w:tcW w:w="1939" w:type="dxa"/>
          </w:tcPr>
          <w:p w14:paraId="0B70FA73" w14:textId="77777777" w:rsidR="00717847" w:rsidRPr="00B67551" w:rsidRDefault="00717847" w:rsidP="00895E07">
            <w:pPr>
              <w:pStyle w:val="TableTextEntries"/>
            </w:pPr>
            <w:r>
              <w:t>August 2012</w:t>
            </w:r>
          </w:p>
        </w:tc>
        <w:tc>
          <w:tcPr>
            <w:tcW w:w="1921" w:type="dxa"/>
          </w:tcPr>
          <w:p w14:paraId="0B70FA74" w14:textId="77777777" w:rsidR="00717847" w:rsidRPr="00B67551" w:rsidRDefault="00717847" w:rsidP="00895E07">
            <w:pPr>
              <w:pStyle w:val="TableTextEntries"/>
            </w:pPr>
            <w:r>
              <w:t>November 2012</w:t>
            </w:r>
          </w:p>
        </w:tc>
        <w:tc>
          <w:tcPr>
            <w:tcW w:w="1743" w:type="dxa"/>
          </w:tcPr>
          <w:p w14:paraId="0B70FA75" w14:textId="77777777" w:rsidR="00717847" w:rsidRPr="00B67551" w:rsidRDefault="00717847" w:rsidP="00895E07">
            <w:pPr>
              <w:pStyle w:val="TableTextEntries"/>
            </w:pPr>
            <w:r>
              <w:t>November 2012</w:t>
            </w:r>
          </w:p>
        </w:tc>
        <w:tc>
          <w:tcPr>
            <w:tcW w:w="1503" w:type="dxa"/>
          </w:tcPr>
          <w:p w14:paraId="0B70FA76" w14:textId="77777777" w:rsidR="00717847" w:rsidRPr="00B67551" w:rsidRDefault="00717847" w:rsidP="00895E07">
            <w:pPr>
              <w:pStyle w:val="TableTextEntries"/>
            </w:pPr>
          </w:p>
        </w:tc>
      </w:tr>
      <w:tr w:rsidR="00717847" w:rsidRPr="00071B95" w14:paraId="0B70FA7F" w14:textId="77777777" w:rsidTr="00895E07">
        <w:trPr>
          <w:tblHeader w:val="0"/>
        </w:trPr>
        <w:tc>
          <w:tcPr>
            <w:tcW w:w="1902" w:type="dxa"/>
          </w:tcPr>
          <w:p w14:paraId="0B70FA78" w14:textId="77777777" w:rsidR="00717847" w:rsidRPr="00B67551" w:rsidRDefault="00717847" w:rsidP="00895E07">
            <w:pPr>
              <w:pStyle w:val="TableTextEntries"/>
            </w:pPr>
            <w:r w:rsidRPr="001B43F5">
              <w:t>ACIAR-AusAID Partnership for PNG Agriculture</w:t>
            </w:r>
          </w:p>
        </w:tc>
        <w:tc>
          <w:tcPr>
            <w:tcW w:w="1933" w:type="dxa"/>
            <w:vAlign w:val="bottom"/>
          </w:tcPr>
          <w:p w14:paraId="0B70FA79" w14:textId="77777777" w:rsidR="00717847" w:rsidRPr="00B67551" w:rsidRDefault="00717847" w:rsidP="00895E07">
            <w:pPr>
              <w:pStyle w:val="TableTextEntries"/>
              <w:rPr>
                <w:rFonts w:cs="Calibri"/>
              </w:rPr>
            </w:pPr>
            <w:r w:rsidRPr="00B67551">
              <w:rPr>
                <w:rFonts w:cs="Calibri"/>
              </w:rPr>
              <w:t>INI220</w:t>
            </w:r>
          </w:p>
        </w:tc>
        <w:tc>
          <w:tcPr>
            <w:tcW w:w="2031" w:type="dxa"/>
          </w:tcPr>
          <w:p w14:paraId="0B70FA7A" w14:textId="77777777" w:rsidR="00717847" w:rsidRPr="00B67551" w:rsidRDefault="00717847" w:rsidP="00895E07">
            <w:pPr>
              <w:pStyle w:val="TableTextEntries"/>
            </w:pPr>
            <w:r w:rsidRPr="00B67551">
              <w:t>I</w:t>
            </w:r>
            <w:r>
              <w:t>ndependent completion report</w:t>
            </w:r>
          </w:p>
        </w:tc>
        <w:tc>
          <w:tcPr>
            <w:tcW w:w="1939" w:type="dxa"/>
          </w:tcPr>
          <w:p w14:paraId="0B70FA7B" w14:textId="77777777" w:rsidR="00717847" w:rsidRPr="00B67551" w:rsidRDefault="00717847" w:rsidP="00895E07">
            <w:pPr>
              <w:pStyle w:val="TableTextEntries"/>
            </w:pPr>
            <w:r>
              <w:t>April 2012</w:t>
            </w:r>
          </w:p>
        </w:tc>
        <w:tc>
          <w:tcPr>
            <w:tcW w:w="1921" w:type="dxa"/>
          </w:tcPr>
          <w:p w14:paraId="0B70FA7C" w14:textId="77777777" w:rsidR="00717847" w:rsidRPr="00B67551" w:rsidRDefault="00717847" w:rsidP="00895E07">
            <w:pPr>
              <w:pStyle w:val="TableTextEntries"/>
            </w:pPr>
            <w:r>
              <w:t>August 2012</w:t>
            </w:r>
          </w:p>
        </w:tc>
        <w:tc>
          <w:tcPr>
            <w:tcW w:w="1743" w:type="dxa"/>
          </w:tcPr>
          <w:p w14:paraId="0B70FA7D" w14:textId="77777777" w:rsidR="00717847" w:rsidRPr="00B67551" w:rsidRDefault="00717847" w:rsidP="00895E07">
            <w:pPr>
              <w:pStyle w:val="TableTextEntries"/>
            </w:pPr>
            <w:r>
              <w:t>August 2012</w:t>
            </w:r>
          </w:p>
        </w:tc>
        <w:tc>
          <w:tcPr>
            <w:tcW w:w="1503" w:type="dxa"/>
          </w:tcPr>
          <w:p w14:paraId="0B70FA7E" w14:textId="77777777" w:rsidR="00717847" w:rsidRPr="00B67551" w:rsidRDefault="00717847" w:rsidP="00895E07">
            <w:pPr>
              <w:pStyle w:val="TableTextEntries"/>
            </w:pPr>
            <w:r>
              <w:t>No</w:t>
            </w:r>
          </w:p>
        </w:tc>
      </w:tr>
      <w:tr w:rsidR="00717847" w:rsidRPr="00071B95" w14:paraId="0B70FA87" w14:textId="77777777" w:rsidTr="00895E07">
        <w:trPr>
          <w:cnfStyle w:val="000000010000" w:firstRow="0" w:lastRow="0" w:firstColumn="0" w:lastColumn="0" w:oddVBand="0" w:evenVBand="0" w:oddHBand="0" w:evenHBand="1" w:firstRowFirstColumn="0" w:firstRowLastColumn="0" w:lastRowFirstColumn="0" w:lastRowLastColumn="0"/>
          <w:tblHeader w:val="0"/>
        </w:trPr>
        <w:tc>
          <w:tcPr>
            <w:tcW w:w="1902" w:type="dxa"/>
          </w:tcPr>
          <w:p w14:paraId="0B70FA80" w14:textId="77777777" w:rsidR="00717847" w:rsidRPr="00B67551" w:rsidRDefault="00717847" w:rsidP="00895E07">
            <w:pPr>
              <w:pStyle w:val="TableTextEntries"/>
            </w:pPr>
            <w:r w:rsidRPr="001B43F5">
              <w:t>Kokoda Track Initiative</w:t>
            </w:r>
          </w:p>
        </w:tc>
        <w:tc>
          <w:tcPr>
            <w:tcW w:w="1933" w:type="dxa"/>
            <w:vAlign w:val="bottom"/>
          </w:tcPr>
          <w:p w14:paraId="0B70FA81" w14:textId="77777777" w:rsidR="00717847" w:rsidRPr="00B67551" w:rsidRDefault="00717847" w:rsidP="00895E07">
            <w:pPr>
              <w:pStyle w:val="TableTextEntries"/>
              <w:rPr>
                <w:rFonts w:cs="Calibri"/>
              </w:rPr>
            </w:pPr>
            <w:r w:rsidRPr="00B67551">
              <w:rPr>
                <w:rFonts w:cs="Calibri"/>
              </w:rPr>
              <w:t>INH843</w:t>
            </w:r>
          </w:p>
        </w:tc>
        <w:tc>
          <w:tcPr>
            <w:tcW w:w="2031" w:type="dxa"/>
          </w:tcPr>
          <w:p w14:paraId="0B70FA82" w14:textId="77777777" w:rsidR="00717847" w:rsidRPr="00B67551" w:rsidRDefault="00717847" w:rsidP="00895E07">
            <w:pPr>
              <w:pStyle w:val="TableTextEntries"/>
            </w:pPr>
            <w:r>
              <w:t>Cluster review</w:t>
            </w:r>
          </w:p>
        </w:tc>
        <w:tc>
          <w:tcPr>
            <w:tcW w:w="1939" w:type="dxa"/>
          </w:tcPr>
          <w:p w14:paraId="0B70FA83" w14:textId="77777777" w:rsidR="00717847" w:rsidRPr="00B67551" w:rsidRDefault="00717847" w:rsidP="00895E07">
            <w:pPr>
              <w:pStyle w:val="TableTextEntries"/>
            </w:pPr>
            <w:r>
              <w:t>August 2012</w:t>
            </w:r>
          </w:p>
        </w:tc>
        <w:tc>
          <w:tcPr>
            <w:tcW w:w="1921" w:type="dxa"/>
          </w:tcPr>
          <w:p w14:paraId="0B70FA84" w14:textId="77777777" w:rsidR="00717847" w:rsidRPr="00B67551" w:rsidRDefault="00717847" w:rsidP="00895E07">
            <w:pPr>
              <w:pStyle w:val="TableTextEntries"/>
            </w:pPr>
            <w:r>
              <w:t>November 2012</w:t>
            </w:r>
          </w:p>
        </w:tc>
        <w:tc>
          <w:tcPr>
            <w:tcW w:w="1743" w:type="dxa"/>
          </w:tcPr>
          <w:p w14:paraId="0B70FA85" w14:textId="77777777" w:rsidR="00717847" w:rsidRPr="00B67551" w:rsidRDefault="00717847" w:rsidP="00895E07">
            <w:pPr>
              <w:pStyle w:val="TableTextEntries"/>
            </w:pPr>
            <w:r>
              <w:t>Not uploaded</w:t>
            </w:r>
          </w:p>
        </w:tc>
        <w:tc>
          <w:tcPr>
            <w:tcW w:w="1503" w:type="dxa"/>
          </w:tcPr>
          <w:p w14:paraId="0B70FA86" w14:textId="77777777" w:rsidR="00717847" w:rsidRPr="00B67551" w:rsidRDefault="00717847" w:rsidP="00895E07">
            <w:pPr>
              <w:pStyle w:val="TableTextEntries"/>
            </w:pPr>
            <w:r>
              <w:t>No</w:t>
            </w:r>
          </w:p>
        </w:tc>
      </w:tr>
      <w:tr w:rsidR="00717847" w:rsidRPr="00071B95" w14:paraId="0B70FA8F" w14:textId="77777777" w:rsidTr="00895E07">
        <w:trPr>
          <w:tblHeader w:val="0"/>
        </w:trPr>
        <w:tc>
          <w:tcPr>
            <w:tcW w:w="1902" w:type="dxa"/>
          </w:tcPr>
          <w:p w14:paraId="0B70FA88" w14:textId="77777777" w:rsidR="00717847" w:rsidRPr="00B67551" w:rsidRDefault="00717847" w:rsidP="00895E07">
            <w:pPr>
              <w:pStyle w:val="TableTextEntries"/>
            </w:pPr>
            <w:r w:rsidRPr="001B43F5">
              <w:t>CARE Integrated Community Development Program</w:t>
            </w:r>
          </w:p>
        </w:tc>
        <w:tc>
          <w:tcPr>
            <w:tcW w:w="1933" w:type="dxa"/>
            <w:vAlign w:val="bottom"/>
          </w:tcPr>
          <w:p w14:paraId="0B70FA89" w14:textId="77777777" w:rsidR="00717847" w:rsidRPr="00B67551" w:rsidRDefault="00717847" w:rsidP="00895E07">
            <w:pPr>
              <w:pStyle w:val="TableTextEntries"/>
              <w:rPr>
                <w:rFonts w:cs="Calibri"/>
              </w:rPr>
            </w:pPr>
            <w:r w:rsidRPr="00B67551">
              <w:rPr>
                <w:rFonts w:cs="Calibri"/>
              </w:rPr>
              <w:t>INJ153</w:t>
            </w:r>
          </w:p>
        </w:tc>
        <w:tc>
          <w:tcPr>
            <w:tcW w:w="2031" w:type="dxa"/>
          </w:tcPr>
          <w:p w14:paraId="0B70FA8A" w14:textId="77777777" w:rsidR="00717847" w:rsidRPr="00B67551" w:rsidRDefault="00717847" w:rsidP="00895E07">
            <w:pPr>
              <w:pStyle w:val="TableTextEntries"/>
            </w:pPr>
            <w:r>
              <w:t>Cluster review</w:t>
            </w:r>
          </w:p>
        </w:tc>
        <w:tc>
          <w:tcPr>
            <w:tcW w:w="1939" w:type="dxa"/>
          </w:tcPr>
          <w:p w14:paraId="0B70FA8B" w14:textId="77777777" w:rsidR="00717847" w:rsidRPr="00B67551" w:rsidRDefault="00717847" w:rsidP="00895E07">
            <w:pPr>
              <w:pStyle w:val="TableTextEntries"/>
            </w:pPr>
            <w:r>
              <w:t>August 2012</w:t>
            </w:r>
          </w:p>
        </w:tc>
        <w:tc>
          <w:tcPr>
            <w:tcW w:w="1921" w:type="dxa"/>
          </w:tcPr>
          <w:p w14:paraId="0B70FA8C" w14:textId="77777777" w:rsidR="00717847" w:rsidRPr="00B67551" w:rsidRDefault="00717847" w:rsidP="00895E07">
            <w:pPr>
              <w:pStyle w:val="TableTextEntries"/>
            </w:pPr>
            <w:r>
              <w:t>November 2012</w:t>
            </w:r>
          </w:p>
        </w:tc>
        <w:tc>
          <w:tcPr>
            <w:tcW w:w="1743" w:type="dxa"/>
          </w:tcPr>
          <w:p w14:paraId="0B70FA8D" w14:textId="77777777" w:rsidR="00717847" w:rsidRPr="00B67551" w:rsidRDefault="00717847" w:rsidP="00895E07">
            <w:pPr>
              <w:pStyle w:val="TableTextEntries"/>
            </w:pPr>
            <w:r>
              <w:t>Not uploaded</w:t>
            </w:r>
          </w:p>
        </w:tc>
        <w:tc>
          <w:tcPr>
            <w:tcW w:w="1503" w:type="dxa"/>
          </w:tcPr>
          <w:p w14:paraId="0B70FA8E" w14:textId="77777777" w:rsidR="00717847" w:rsidRPr="00B67551" w:rsidRDefault="00717847" w:rsidP="00895E07">
            <w:pPr>
              <w:pStyle w:val="TableTextEntries"/>
            </w:pPr>
            <w:r>
              <w:t>No</w:t>
            </w:r>
          </w:p>
        </w:tc>
      </w:tr>
      <w:tr w:rsidR="00717847" w:rsidRPr="00071B95" w14:paraId="0B70FA97" w14:textId="77777777" w:rsidTr="00895E07">
        <w:trPr>
          <w:cnfStyle w:val="000000010000" w:firstRow="0" w:lastRow="0" w:firstColumn="0" w:lastColumn="0" w:oddVBand="0" w:evenVBand="0" w:oddHBand="0" w:evenHBand="1" w:firstRowFirstColumn="0" w:firstRowLastColumn="0" w:lastRowFirstColumn="0" w:lastRowLastColumn="0"/>
          <w:tblHeader w:val="0"/>
        </w:trPr>
        <w:tc>
          <w:tcPr>
            <w:tcW w:w="1902" w:type="dxa"/>
          </w:tcPr>
          <w:p w14:paraId="0B70FA90" w14:textId="77777777" w:rsidR="00717847" w:rsidRPr="00B67551" w:rsidRDefault="00717847" w:rsidP="00895E07">
            <w:pPr>
              <w:pStyle w:val="TableTextEntries"/>
            </w:pPr>
            <w:r w:rsidRPr="001B43F5">
              <w:t>Commonwealth Local Government Phase II</w:t>
            </w:r>
          </w:p>
        </w:tc>
        <w:tc>
          <w:tcPr>
            <w:tcW w:w="1933" w:type="dxa"/>
            <w:vAlign w:val="bottom"/>
          </w:tcPr>
          <w:p w14:paraId="0B70FA91" w14:textId="77777777" w:rsidR="00717847" w:rsidRPr="00B67551" w:rsidRDefault="00717847" w:rsidP="00895E07">
            <w:pPr>
              <w:pStyle w:val="TableTextEntries"/>
              <w:rPr>
                <w:rFonts w:cs="Calibri"/>
              </w:rPr>
            </w:pPr>
            <w:r w:rsidRPr="00B67551">
              <w:rPr>
                <w:rFonts w:cs="Calibri"/>
              </w:rPr>
              <w:t>INI988</w:t>
            </w:r>
          </w:p>
        </w:tc>
        <w:tc>
          <w:tcPr>
            <w:tcW w:w="2031" w:type="dxa"/>
          </w:tcPr>
          <w:p w14:paraId="0B70FA92" w14:textId="77777777" w:rsidR="00717847" w:rsidRPr="00B67551" w:rsidRDefault="00717847" w:rsidP="00895E07">
            <w:pPr>
              <w:pStyle w:val="TableTextEntries"/>
            </w:pPr>
            <w:r>
              <w:t>Independent progress report</w:t>
            </w:r>
          </w:p>
        </w:tc>
        <w:tc>
          <w:tcPr>
            <w:tcW w:w="1939" w:type="dxa"/>
          </w:tcPr>
          <w:p w14:paraId="0B70FA93" w14:textId="77777777" w:rsidR="00717847" w:rsidRPr="00B67551" w:rsidRDefault="00717847" w:rsidP="00895E07">
            <w:pPr>
              <w:pStyle w:val="TableTextEntries"/>
            </w:pPr>
            <w:r>
              <w:t>May 2012</w:t>
            </w:r>
          </w:p>
        </w:tc>
        <w:tc>
          <w:tcPr>
            <w:tcW w:w="1921" w:type="dxa"/>
          </w:tcPr>
          <w:p w14:paraId="0B70FA94" w14:textId="77777777" w:rsidR="00717847" w:rsidRPr="00B67551" w:rsidRDefault="00717847" w:rsidP="00895E07">
            <w:pPr>
              <w:pStyle w:val="TableTextEntries"/>
            </w:pPr>
            <w:r>
              <w:t>December 2012</w:t>
            </w:r>
          </w:p>
        </w:tc>
        <w:tc>
          <w:tcPr>
            <w:tcW w:w="1743" w:type="dxa"/>
          </w:tcPr>
          <w:p w14:paraId="0B70FA95" w14:textId="77777777" w:rsidR="00717847" w:rsidRPr="00B67551" w:rsidRDefault="00717847" w:rsidP="00895E07">
            <w:pPr>
              <w:pStyle w:val="TableTextEntries"/>
            </w:pPr>
            <w:r>
              <w:t>Not uploaded</w:t>
            </w:r>
          </w:p>
        </w:tc>
        <w:tc>
          <w:tcPr>
            <w:tcW w:w="1503" w:type="dxa"/>
          </w:tcPr>
          <w:p w14:paraId="0B70FA96" w14:textId="77777777" w:rsidR="00717847" w:rsidRPr="00B67551" w:rsidRDefault="00717847" w:rsidP="00895E07">
            <w:pPr>
              <w:pStyle w:val="TableTextEntries"/>
            </w:pPr>
            <w:r>
              <w:t>No</w:t>
            </w:r>
          </w:p>
        </w:tc>
      </w:tr>
      <w:tr w:rsidR="00717847" w:rsidRPr="00071B95" w14:paraId="0B70FA9F" w14:textId="77777777" w:rsidTr="00895E07">
        <w:trPr>
          <w:tblHeader w:val="0"/>
        </w:trPr>
        <w:tc>
          <w:tcPr>
            <w:tcW w:w="1902" w:type="dxa"/>
          </w:tcPr>
          <w:p w14:paraId="0B70FA98" w14:textId="77777777" w:rsidR="00717847" w:rsidRPr="00B67551" w:rsidRDefault="00717847" w:rsidP="00895E07">
            <w:pPr>
              <w:pStyle w:val="TableTextEntries"/>
            </w:pPr>
            <w:r w:rsidRPr="00FA03CF">
              <w:t>Tingim Laip</w:t>
            </w:r>
          </w:p>
        </w:tc>
        <w:tc>
          <w:tcPr>
            <w:tcW w:w="1933" w:type="dxa"/>
            <w:vAlign w:val="bottom"/>
          </w:tcPr>
          <w:p w14:paraId="0B70FA99" w14:textId="77777777" w:rsidR="00717847" w:rsidRPr="00B67551" w:rsidRDefault="00717847" w:rsidP="00895E07">
            <w:pPr>
              <w:pStyle w:val="TableTextEntries"/>
              <w:rPr>
                <w:rFonts w:cs="Calibri"/>
              </w:rPr>
            </w:pPr>
            <w:r w:rsidRPr="00B67551">
              <w:rPr>
                <w:rFonts w:cs="Calibri"/>
              </w:rPr>
              <w:t>ING953</w:t>
            </w:r>
          </w:p>
        </w:tc>
        <w:tc>
          <w:tcPr>
            <w:tcW w:w="2031" w:type="dxa"/>
          </w:tcPr>
          <w:p w14:paraId="0B70FA9A" w14:textId="77777777" w:rsidR="00717847" w:rsidRPr="00B67551" w:rsidRDefault="00717847" w:rsidP="00895E07">
            <w:pPr>
              <w:pStyle w:val="TableTextEntries"/>
            </w:pPr>
            <w:r w:rsidRPr="00B67551">
              <w:t>I</w:t>
            </w:r>
            <w:r>
              <w:t>ndependent completion report</w:t>
            </w:r>
          </w:p>
        </w:tc>
        <w:tc>
          <w:tcPr>
            <w:tcW w:w="1939" w:type="dxa"/>
          </w:tcPr>
          <w:p w14:paraId="0B70FA9B" w14:textId="77777777" w:rsidR="00717847" w:rsidRPr="00B67551" w:rsidRDefault="00717847" w:rsidP="00895E07">
            <w:pPr>
              <w:pStyle w:val="TableTextEntries"/>
            </w:pPr>
            <w:r>
              <w:t>May 2012</w:t>
            </w:r>
          </w:p>
        </w:tc>
        <w:tc>
          <w:tcPr>
            <w:tcW w:w="1921" w:type="dxa"/>
          </w:tcPr>
          <w:p w14:paraId="0B70FA9C" w14:textId="77777777" w:rsidR="00717847" w:rsidRPr="00B67551" w:rsidRDefault="00717847" w:rsidP="00895E07">
            <w:pPr>
              <w:pStyle w:val="TableTextEntries"/>
            </w:pPr>
            <w:r>
              <w:t>March 2013</w:t>
            </w:r>
          </w:p>
        </w:tc>
        <w:tc>
          <w:tcPr>
            <w:tcW w:w="1743" w:type="dxa"/>
          </w:tcPr>
          <w:p w14:paraId="0B70FA9D" w14:textId="77777777" w:rsidR="00717847" w:rsidRPr="00B67551" w:rsidRDefault="00717847" w:rsidP="00895E07">
            <w:pPr>
              <w:pStyle w:val="TableTextEntries"/>
            </w:pPr>
            <w:r>
              <w:t>March 2013</w:t>
            </w:r>
          </w:p>
        </w:tc>
        <w:tc>
          <w:tcPr>
            <w:tcW w:w="1503" w:type="dxa"/>
          </w:tcPr>
          <w:p w14:paraId="0B70FA9E" w14:textId="77777777" w:rsidR="00717847" w:rsidRPr="00B67551" w:rsidRDefault="00717847" w:rsidP="00895E07">
            <w:pPr>
              <w:pStyle w:val="TableTextEntries"/>
            </w:pPr>
            <w:r>
              <w:t>Yes</w:t>
            </w:r>
          </w:p>
        </w:tc>
      </w:tr>
      <w:tr w:rsidR="00717847" w:rsidRPr="00071B95" w14:paraId="0B70FAA7" w14:textId="77777777" w:rsidTr="00895E07">
        <w:trPr>
          <w:cnfStyle w:val="000000010000" w:firstRow="0" w:lastRow="0" w:firstColumn="0" w:lastColumn="0" w:oddVBand="0" w:evenVBand="0" w:oddHBand="0" w:evenHBand="1" w:firstRowFirstColumn="0" w:firstRowLastColumn="0" w:lastRowFirstColumn="0" w:lastRowLastColumn="0"/>
          <w:tblHeader w:val="0"/>
        </w:trPr>
        <w:tc>
          <w:tcPr>
            <w:tcW w:w="1902" w:type="dxa"/>
          </w:tcPr>
          <w:p w14:paraId="0B70FAA0" w14:textId="77777777" w:rsidR="00717847" w:rsidRPr="00B67551" w:rsidRDefault="00717847" w:rsidP="00895E07">
            <w:pPr>
              <w:pStyle w:val="TableTextEntries"/>
            </w:pPr>
            <w:r w:rsidRPr="00FA03CF">
              <w:t>PNG-Australia Sexual Health Improvement Program</w:t>
            </w:r>
          </w:p>
        </w:tc>
        <w:tc>
          <w:tcPr>
            <w:tcW w:w="1933" w:type="dxa"/>
            <w:vAlign w:val="bottom"/>
          </w:tcPr>
          <w:p w14:paraId="0B70FAA1" w14:textId="77777777" w:rsidR="00717847" w:rsidRPr="00B67551" w:rsidRDefault="00717847" w:rsidP="00895E07">
            <w:pPr>
              <w:pStyle w:val="TableTextEntries"/>
              <w:rPr>
                <w:rFonts w:cs="Calibri"/>
              </w:rPr>
            </w:pPr>
            <w:r w:rsidRPr="00B67551">
              <w:rPr>
                <w:rFonts w:cs="Calibri"/>
              </w:rPr>
              <w:t>ING918</w:t>
            </w:r>
          </w:p>
        </w:tc>
        <w:tc>
          <w:tcPr>
            <w:tcW w:w="2031" w:type="dxa"/>
          </w:tcPr>
          <w:p w14:paraId="0B70FAA2" w14:textId="77777777" w:rsidR="00717847" w:rsidRPr="00B67551" w:rsidRDefault="00717847" w:rsidP="00895E07">
            <w:pPr>
              <w:pStyle w:val="TableTextEntries"/>
            </w:pPr>
            <w:r w:rsidRPr="00B67551">
              <w:t>I</w:t>
            </w:r>
            <w:r>
              <w:t>ndependent completion report</w:t>
            </w:r>
          </w:p>
        </w:tc>
        <w:tc>
          <w:tcPr>
            <w:tcW w:w="1939" w:type="dxa"/>
          </w:tcPr>
          <w:p w14:paraId="0B70FAA3" w14:textId="77777777" w:rsidR="00717847" w:rsidRPr="00B67551" w:rsidRDefault="00717847" w:rsidP="00895E07">
            <w:pPr>
              <w:pStyle w:val="TableTextEntries"/>
            </w:pPr>
            <w:r>
              <w:t>November 2012</w:t>
            </w:r>
          </w:p>
        </w:tc>
        <w:tc>
          <w:tcPr>
            <w:tcW w:w="1921" w:type="dxa"/>
          </w:tcPr>
          <w:p w14:paraId="0B70FAA4" w14:textId="77777777" w:rsidR="00717847" w:rsidRPr="00B67551" w:rsidRDefault="00717847" w:rsidP="00895E07">
            <w:pPr>
              <w:pStyle w:val="TableTextEntries"/>
            </w:pPr>
            <w:r>
              <w:t>March 2013</w:t>
            </w:r>
          </w:p>
        </w:tc>
        <w:tc>
          <w:tcPr>
            <w:tcW w:w="1743" w:type="dxa"/>
          </w:tcPr>
          <w:p w14:paraId="0B70FAA5" w14:textId="77777777" w:rsidR="00717847" w:rsidRPr="00B67551" w:rsidRDefault="00717847" w:rsidP="00895E07">
            <w:pPr>
              <w:pStyle w:val="TableTextEntries"/>
            </w:pPr>
            <w:r>
              <w:t>March 2013</w:t>
            </w:r>
          </w:p>
        </w:tc>
        <w:tc>
          <w:tcPr>
            <w:tcW w:w="1503" w:type="dxa"/>
          </w:tcPr>
          <w:p w14:paraId="0B70FAA6" w14:textId="77777777" w:rsidR="00717847" w:rsidRPr="00B67551" w:rsidRDefault="00717847" w:rsidP="00895E07">
            <w:pPr>
              <w:pStyle w:val="TableTextEntries"/>
            </w:pPr>
            <w:r>
              <w:t>Yes</w:t>
            </w:r>
          </w:p>
        </w:tc>
      </w:tr>
      <w:tr w:rsidR="00717847" w:rsidRPr="00071B95" w14:paraId="0B70FAAF" w14:textId="77777777" w:rsidTr="00895E07">
        <w:trPr>
          <w:tblHeader w:val="0"/>
        </w:trPr>
        <w:tc>
          <w:tcPr>
            <w:tcW w:w="1902" w:type="dxa"/>
          </w:tcPr>
          <w:p w14:paraId="0B70FAA8" w14:textId="77777777" w:rsidR="00717847" w:rsidRPr="00B67551" w:rsidRDefault="00717847" w:rsidP="00895E07">
            <w:pPr>
              <w:pStyle w:val="TableTextEntries"/>
            </w:pPr>
            <w:r w:rsidRPr="00FA03CF">
              <w:t>Clinton Foundation HIV/AIDS Initiative</w:t>
            </w:r>
          </w:p>
        </w:tc>
        <w:tc>
          <w:tcPr>
            <w:tcW w:w="1933" w:type="dxa"/>
            <w:vAlign w:val="bottom"/>
          </w:tcPr>
          <w:p w14:paraId="0B70FAA9" w14:textId="77777777" w:rsidR="00717847" w:rsidRPr="00B67551" w:rsidRDefault="00717847" w:rsidP="00895E07">
            <w:pPr>
              <w:pStyle w:val="TableTextEntries"/>
              <w:rPr>
                <w:rFonts w:cs="Calibri"/>
              </w:rPr>
            </w:pPr>
            <w:r w:rsidRPr="00B67551">
              <w:rPr>
                <w:rFonts w:cs="Calibri"/>
              </w:rPr>
              <w:t>06B191</w:t>
            </w:r>
          </w:p>
        </w:tc>
        <w:tc>
          <w:tcPr>
            <w:tcW w:w="2031" w:type="dxa"/>
          </w:tcPr>
          <w:p w14:paraId="0B70FAAA" w14:textId="77777777" w:rsidR="00717847" w:rsidRPr="00B67551" w:rsidRDefault="00717847" w:rsidP="00895E07">
            <w:pPr>
              <w:pStyle w:val="TableTextEntries"/>
            </w:pPr>
            <w:r w:rsidRPr="00B67551">
              <w:t>I</w:t>
            </w:r>
            <w:r>
              <w:t>ndependent completion report</w:t>
            </w:r>
          </w:p>
        </w:tc>
        <w:tc>
          <w:tcPr>
            <w:tcW w:w="1939" w:type="dxa"/>
          </w:tcPr>
          <w:p w14:paraId="0B70FAAB" w14:textId="77777777" w:rsidR="00717847" w:rsidRPr="00B67551" w:rsidRDefault="00717847" w:rsidP="00895E07">
            <w:pPr>
              <w:pStyle w:val="TableTextEntries"/>
            </w:pPr>
            <w:r>
              <w:t>December 2012</w:t>
            </w:r>
          </w:p>
        </w:tc>
        <w:tc>
          <w:tcPr>
            <w:tcW w:w="1921" w:type="dxa"/>
          </w:tcPr>
          <w:p w14:paraId="0B70FAAC" w14:textId="77777777" w:rsidR="00717847" w:rsidRPr="00B67551" w:rsidRDefault="00717847" w:rsidP="00895E07">
            <w:pPr>
              <w:pStyle w:val="TableTextEntries"/>
            </w:pPr>
            <w:r>
              <w:t>March 2013</w:t>
            </w:r>
          </w:p>
        </w:tc>
        <w:tc>
          <w:tcPr>
            <w:tcW w:w="1743" w:type="dxa"/>
          </w:tcPr>
          <w:p w14:paraId="0B70FAAD" w14:textId="77777777" w:rsidR="00717847" w:rsidRPr="00B67551" w:rsidRDefault="00717847" w:rsidP="00895E07">
            <w:pPr>
              <w:pStyle w:val="TableTextEntries"/>
            </w:pPr>
            <w:r>
              <w:t>March 2013</w:t>
            </w:r>
          </w:p>
        </w:tc>
        <w:tc>
          <w:tcPr>
            <w:tcW w:w="1503" w:type="dxa"/>
          </w:tcPr>
          <w:p w14:paraId="0B70FAAE" w14:textId="77777777" w:rsidR="00717847" w:rsidRPr="00B67551" w:rsidRDefault="00717847" w:rsidP="00895E07">
            <w:pPr>
              <w:pStyle w:val="TableTextEntries"/>
            </w:pPr>
            <w:r>
              <w:t>No</w:t>
            </w:r>
          </w:p>
        </w:tc>
      </w:tr>
      <w:tr w:rsidR="00717847" w:rsidRPr="00071B95" w14:paraId="0B70FAB7" w14:textId="77777777" w:rsidTr="00895E07">
        <w:trPr>
          <w:cnfStyle w:val="000000010000" w:firstRow="0" w:lastRow="0" w:firstColumn="0" w:lastColumn="0" w:oddVBand="0" w:evenVBand="0" w:oddHBand="0" w:evenHBand="1" w:firstRowFirstColumn="0" w:firstRowLastColumn="0" w:lastRowFirstColumn="0" w:lastRowLastColumn="0"/>
          <w:tblHeader w:val="0"/>
        </w:trPr>
        <w:tc>
          <w:tcPr>
            <w:tcW w:w="1902" w:type="dxa"/>
          </w:tcPr>
          <w:p w14:paraId="0B70FAB0" w14:textId="77777777" w:rsidR="00717847" w:rsidRPr="00B67551" w:rsidRDefault="00717847" w:rsidP="00895E07">
            <w:pPr>
              <w:pStyle w:val="TableTextEntries"/>
            </w:pPr>
            <w:r w:rsidRPr="00AF5773">
              <w:t>Economic and Public Sector Program</w:t>
            </w:r>
          </w:p>
        </w:tc>
        <w:tc>
          <w:tcPr>
            <w:tcW w:w="1933" w:type="dxa"/>
            <w:vAlign w:val="bottom"/>
          </w:tcPr>
          <w:p w14:paraId="0B70FAB1" w14:textId="77777777" w:rsidR="00717847" w:rsidRPr="00B67551" w:rsidRDefault="00717847" w:rsidP="00895E07">
            <w:pPr>
              <w:pStyle w:val="TableTextEntries"/>
              <w:rPr>
                <w:rFonts w:cs="Calibri"/>
              </w:rPr>
            </w:pPr>
            <w:r w:rsidRPr="00B67551">
              <w:rPr>
                <w:rFonts w:cs="Calibri"/>
              </w:rPr>
              <w:t>INI903</w:t>
            </w:r>
          </w:p>
        </w:tc>
        <w:tc>
          <w:tcPr>
            <w:tcW w:w="2031" w:type="dxa"/>
          </w:tcPr>
          <w:p w14:paraId="0B70FAB2" w14:textId="77777777" w:rsidR="00717847" w:rsidRPr="00B67551" w:rsidRDefault="00717847" w:rsidP="00895E07">
            <w:pPr>
              <w:pStyle w:val="TableTextEntries"/>
            </w:pPr>
            <w:r>
              <w:t>Independent progress report</w:t>
            </w:r>
          </w:p>
        </w:tc>
        <w:tc>
          <w:tcPr>
            <w:tcW w:w="1939" w:type="dxa"/>
          </w:tcPr>
          <w:p w14:paraId="0B70FAB3" w14:textId="77777777" w:rsidR="00717847" w:rsidRPr="00B67551" w:rsidRDefault="00717847" w:rsidP="00895E07">
            <w:pPr>
              <w:pStyle w:val="TableTextEntries"/>
            </w:pPr>
            <w:r>
              <w:t>December 2012</w:t>
            </w:r>
          </w:p>
        </w:tc>
        <w:tc>
          <w:tcPr>
            <w:tcW w:w="1921" w:type="dxa"/>
          </w:tcPr>
          <w:p w14:paraId="0B70FAB4" w14:textId="77777777" w:rsidR="00717847" w:rsidRPr="00B67551" w:rsidRDefault="00717847" w:rsidP="00895E07">
            <w:pPr>
              <w:pStyle w:val="TableTextEntries"/>
            </w:pPr>
            <w:r>
              <w:t>April 2013</w:t>
            </w:r>
          </w:p>
        </w:tc>
        <w:tc>
          <w:tcPr>
            <w:tcW w:w="1743" w:type="dxa"/>
          </w:tcPr>
          <w:p w14:paraId="0B70FAB5" w14:textId="77777777" w:rsidR="00717847" w:rsidRPr="00B67551" w:rsidRDefault="00717847" w:rsidP="00895E07">
            <w:pPr>
              <w:pStyle w:val="TableTextEntries"/>
            </w:pPr>
            <w:r>
              <w:t>Not uploaded</w:t>
            </w:r>
          </w:p>
        </w:tc>
        <w:tc>
          <w:tcPr>
            <w:tcW w:w="1503" w:type="dxa"/>
          </w:tcPr>
          <w:p w14:paraId="0B70FAB6" w14:textId="77777777" w:rsidR="00717847" w:rsidRPr="00B67551" w:rsidRDefault="00717847" w:rsidP="00895E07">
            <w:pPr>
              <w:pStyle w:val="TableTextEntries"/>
            </w:pPr>
            <w:r>
              <w:t>No</w:t>
            </w:r>
          </w:p>
        </w:tc>
      </w:tr>
      <w:tr w:rsidR="00717847" w:rsidRPr="00071B95" w14:paraId="0B70FABF" w14:textId="77777777" w:rsidTr="00895E07">
        <w:trPr>
          <w:tblHeader w:val="0"/>
        </w:trPr>
        <w:tc>
          <w:tcPr>
            <w:tcW w:w="1902" w:type="dxa"/>
          </w:tcPr>
          <w:p w14:paraId="0B70FAB8" w14:textId="77777777" w:rsidR="00717847" w:rsidRPr="00B67551" w:rsidRDefault="00717847" w:rsidP="00895E07">
            <w:pPr>
              <w:pStyle w:val="TableTextEntries"/>
            </w:pPr>
            <w:r w:rsidRPr="00AF5773">
              <w:t>Church Partnership Program Phase 2</w:t>
            </w:r>
          </w:p>
        </w:tc>
        <w:tc>
          <w:tcPr>
            <w:tcW w:w="1933" w:type="dxa"/>
            <w:vAlign w:val="bottom"/>
          </w:tcPr>
          <w:p w14:paraId="0B70FAB9" w14:textId="77777777" w:rsidR="00717847" w:rsidRPr="00B67551" w:rsidRDefault="00717847" w:rsidP="00895E07">
            <w:pPr>
              <w:pStyle w:val="TableTextEntries"/>
              <w:rPr>
                <w:rFonts w:cs="Calibri"/>
              </w:rPr>
            </w:pPr>
            <w:r w:rsidRPr="00B67551">
              <w:rPr>
                <w:rFonts w:cs="Calibri"/>
              </w:rPr>
              <w:t>INJ313</w:t>
            </w:r>
          </w:p>
        </w:tc>
        <w:tc>
          <w:tcPr>
            <w:tcW w:w="2031" w:type="dxa"/>
          </w:tcPr>
          <w:p w14:paraId="0B70FABA" w14:textId="77777777" w:rsidR="00717847" w:rsidRPr="00B67551" w:rsidRDefault="00717847" w:rsidP="00895E07">
            <w:pPr>
              <w:pStyle w:val="TableTextEntries"/>
            </w:pPr>
            <w:r>
              <w:t>Cluster review</w:t>
            </w:r>
          </w:p>
        </w:tc>
        <w:tc>
          <w:tcPr>
            <w:tcW w:w="1939" w:type="dxa"/>
          </w:tcPr>
          <w:p w14:paraId="0B70FABB" w14:textId="77777777" w:rsidR="00717847" w:rsidRPr="00B67551" w:rsidRDefault="00717847" w:rsidP="00895E07">
            <w:pPr>
              <w:pStyle w:val="TableTextEntries"/>
            </w:pPr>
            <w:r>
              <w:t>January 2012</w:t>
            </w:r>
          </w:p>
        </w:tc>
        <w:tc>
          <w:tcPr>
            <w:tcW w:w="1921" w:type="dxa"/>
          </w:tcPr>
          <w:p w14:paraId="0B70FABC" w14:textId="77777777" w:rsidR="00717847" w:rsidRPr="00B67551" w:rsidRDefault="00717847" w:rsidP="00895E07">
            <w:pPr>
              <w:pStyle w:val="TableTextEntries"/>
            </w:pPr>
            <w:r>
              <w:t>Not uploaded</w:t>
            </w:r>
          </w:p>
        </w:tc>
        <w:tc>
          <w:tcPr>
            <w:tcW w:w="1743" w:type="dxa"/>
          </w:tcPr>
          <w:p w14:paraId="0B70FABD" w14:textId="77777777" w:rsidR="00717847" w:rsidRPr="00B67551" w:rsidRDefault="00717847" w:rsidP="00895E07">
            <w:pPr>
              <w:pStyle w:val="TableTextEntries"/>
            </w:pPr>
            <w:r>
              <w:t>Not uploaded</w:t>
            </w:r>
          </w:p>
        </w:tc>
        <w:tc>
          <w:tcPr>
            <w:tcW w:w="1503" w:type="dxa"/>
          </w:tcPr>
          <w:p w14:paraId="0B70FABE" w14:textId="77777777" w:rsidR="00717847" w:rsidRPr="00B67551" w:rsidRDefault="00717847" w:rsidP="00895E07">
            <w:pPr>
              <w:pStyle w:val="TableTextEntries"/>
            </w:pPr>
            <w:r>
              <w:t>No</w:t>
            </w:r>
          </w:p>
        </w:tc>
      </w:tr>
      <w:tr w:rsidR="00717847" w:rsidRPr="00071B95" w14:paraId="0B70FAC7" w14:textId="77777777" w:rsidTr="00895E07">
        <w:trPr>
          <w:cnfStyle w:val="000000010000" w:firstRow="0" w:lastRow="0" w:firstColumn="0" w:lastColumn="0" w:oddVBand="0" w:evenVBand="0" w:oddHBand="0" w:evenHBand="1" w:firstRowFirstColumn="0" w:firstRowLastColumn="0" w:lastRowFirstColumn="0" w:lastRowLastColumn="0"/>
          <w:tblHeader w:val="0"/>
        </w:trPr>
        <w:tc>
          <w:tcPr>
            <w:tcW w:w="1902" w:type="dxa"/>
          </w:tcPr>
          <w:p w14:paraId="0B70FAC0" w14:textId="77777777" w:rsidR="00717847" w:rsidRPr="00E50DCD" w:rsidRDefault="00717847" w:rsidP="00895E07">
            <w:pPr>
              <w:pStyle w:val="TableTextEntries"/>
            </w:pPr>
            <w:r w:rsidRPr="00E50DCD">
              <w:t>Strongim Pipol Strongim Nesen</w:t>
            </w:r>
          </w:p>
        </w:tc>
        <w:tc>
          <w:tcPr>
            <w:tcW w:w="1933" w:type="dxa"/>
            <w:vAlign w:val="bottom"/>
          </w:tcPr>
          <w:p w14:paraId="0B70FAC1" w14:textId="77777777" w:rsidR="00717847" w:rsidRPr="00B67551" w:rsidRDefault="00717847" w:rsidP="00895E07">
            <w:pPr>
              <w:pStyle w:val="TableTextEntries"/>
              <w:rPr>
                <w:rFonts w:cs="Calibri"/>
              </w:rPr>
            </w:pPr>
            <w:r w:rsidRPr="00B67551">
              <w:rPr>
                <w:rFonts w:cs="Calibri"/>
              </w:rPr>
              <w:t>INI382</w:t>
            </w:r>
          </w:p>
        </w:tc>
        <w:tc>
          <w:tcPr>
            <w:tcW w:w="2031" w:type="dxa"/>
          </w:tcPr>
          <w:p w14:paraId="0B70FAC2" w14:textId="77777777" w:rsidR="00717847" w:rsidRDefault="00717847" w:rsidP="00895E07">
            <w:pPr>
              <w:pStyle w:val="TableTextEntries"/>
            </w:pPr>
            <w:r>
              <w:t>Cluster review</w:t>
            </w:r>
          </w:p>
        </w:tc>
        <w:tc>
          <w:tcPr>
            <w:tcW w:w="1939" w:type="dxa"/>
          </w:tcPr>
          <w:p w14:paraId="0B70FAC3" w14:textId="77777777" w:rsidR="00717847" w:rsidRPr="00B67551" w:rsidRDefault="00717847" w:rsidP="00895E07">
            <w:pPr>
              <w:pStyle w:val="TableTextEntries"/>
            </w:pPr>
            <w:r>
              <w:t>January 2012</w:t>
            </w:r>
          </w:p>
        </w:tc>
        <w:tc>
          <w:tcPr>
            <w:tcW w:w="1921" w:type="dxa"/>
          </w:tcPr>
          <w:p w14:paraId="0B70FAC4" w14:textId="77777777" w:rsidR="00717847" w:rsidRPr="00B67551" w:rsidRDefault="00717847" w:rsidP="00895E07">
            <w:pPr>
              <w:pStyle w:val="TableTextEntries"/>
            </w:pPr>
            <w:r>
              <w:t>Not uploaded</w:t>
            </w:r>
          </w:p>
        </w:tc>
        <w:tc>
          <w:tcPr>
            <w:tcW w:w="1743" w:type="dxa"/>
          </w:tcPr>
          <w:p w14:paraId="0B70FAC5" w14:textId="77777777" w:rsidR="00717847" w:rsidRPr="00B67551" w:rsidRDefault="00717847" w:rsidP="00895E07">
            <w:pPr>
              <w:pStyle w:val="TableTextEntries"/>
            </w:pPr>
            <w:r>
              <w:t>Not uploaded</w:t>
            </w:r>
          </w:p>
        </w:tc>
        <w:tc>
          <w:tcPr>
            <w:tcW w:w="1503" w:type="dxa"/>
          </w:tcPr>
          <w:p w14:paraId="0B70FAC6" w14:textId="77777777" w:rsidR="00717847" w:rsidRPr="00B67551" w:rsidRDefault="00717847" w:rsidP="00895E07">
            <w:pPr>
              <w:pStyle w:val="TableTextEntries"/>
            </w:pPr>
            <w:r>
              <w:t>No</w:t>
            </w:r>
          </w:p>
        </w:tc>
      </w:tr>
      <w:tr w:rsidR="00717847" w:rsidRPr="00071B95" w14:paraId="0B70FACF" w14:textId="77777777" w:rsidTr="00895E07">
        <w:trPr>
          <w:tblHeader w:val="0"/>
        </w:trPr>
        <w:tc>
          <w:tcPr>
            <w:tcW w:w="1902" w:type="dxa"/>
          </w:tcPr>
          <w:p w14:paraId="0B70FAC8" w14:textId="77777777" w:rsidR="00717847" w:rsidRPr="00B67551" w:rsidRDefault="00717847" w:rsidP="00895E07">
            <w:pPr>
              <w:pStyle w:val="TableTextEntries"/>
            </w:pPr>
            <w:r w:rsidRPr="00D337B1">
              <w:t>Scholarships PNG</w:t>
            </w:r>
          </w:p>
        </w:tc>
        <w:tc>
          <w:tcPr>
            <w:tcW w:w="1933" w:type="dxa"/>
            <w:vAlign w:val="bottom"/>
          </w:tcPr>
          <w:p w14:paraId="0B70FAC9" w14:textId="77777777" w:rsidR="00717847" w:rsidRPr="00B67551" w:rsidRDefault="00717847" w:rsidP="00895E07">
            <w:pPr>
              <w:pStyle w:val="TableTextEntries"/>
              <w:rPr>
                <w:rFonts w:cs="Calibri"/>
              </w:rPr>
            </w:pPr>
            <w:r w:rsidRPr="00B67551">
              <w:rPr>
                <w:rFonts w:cs="Calibri"/>
              </w:rPr>
              <w:t>INI815</w:t>
            </w:r>
          </w:p>
        </w:tc>
        <w:tc>
          <w:tcPr>
            <w:tcW w:w="2031" w:type="dxa"/>
          </w:tcPr>
          <w:p w14:paraId="0B70FACA" w14:textId="77777777" w:rsidR="00717847" w:rsidRPr="00B67551" w:rsidRDefault="00717847" w:rsidP="00895E07">
            <w:pPr>
              <w:pStyle w:val="TableTextEntries"/>
            </w:pPr>
            <w:r>
              <w:t>Independent progress report</w:t>
            </w:r>
          </w:p>
        </w:tc>
        <w:tc>
          <w:tcPr>
            <w:tcW w:w="1939" w:type="dxa"/>
          </w:tcPr>
          <w:p w14:paraId="0B70FACB" w14:textId="77777777" w:rsidR="00717847" w:rsidRPr="00B67551" w:rsidRDefault="00717847" w:rsidP="00895E07">
            <w:pPr>
              <w:pStyle w:val="TableTextEntries"/>
            </w:pPr>
          </w:p>
        </w:tc>
        <w:tc>
          <w:tcPr>
            <w:tcW w:w="1921" w:type="dxa"/>
          </w:tcPr>
          <w:p w14:paraId="0B70FACC" w14:textId="77777777" w:rsidR="00717847" w:rsidRPr="00B67551" w:rsidRDefault="00717847" w:rsidP="00895E07">
            <w:pPr>
              <w:pStyle w:val="TableTextEntries"/>
            </w:pPr>
            <w:r>
              <w:t>Not uploaded</w:t>
            </w:r>
          </w:p>
        </w:tc>
        <w:tc>
          <w:tcPr>
            <w:tcW w:w="1743" w:type="dxa"/>
          </w:tcPr>
          <w:p w14:paraId="0B70FACD" w14:textId="77777777" w:rsidR="00717847" w:rsidRPr="00B67551" w:rsidRDefault="00717847" w:rsidP="00895E07">
            <w:pPr>
              <w:pStyle w:val="TableTextEntries"/>
            </w:pPr>
            <w:r>
              <w:t>Not uploaded</w:t>
            </w:r>
          </w:p>
        </w:tc>
        <w:tc>
          <w:tcPr>
            <w:tcW w:w="1503" w:type="dxa"/>
          </w:tcPr>
          <w:p w14:paraId="0B70FACE" w14:textId="77777777" w:rsidR="00717847" w:rsidRPr="00B67551" w:rsidRDefault="00717847" w:rsidP="00895E07">
            <w:pPr>
              <w:pStyle w:val="TableTextEntries"/>
            </w:pPr>
            <w:r>
              <w:t>No</w:t>
            </w:r>
          </w:p>
        </w:tc>
      </w:tr>
      <w:tr w:rsidR="00717847" w:rsidRPr="00071B95" w14:paraId="0B70FAD7" w14:textId="77777777" w:rsidTr="00895E07">
        <w:trPr>
          <w:cnfStyle w:val="000000010000" w:firstRow="0" w:lastRow="0" w:firstColumn="0" w:lastColumn="0" w:oddVBand="0" w:evenVBand="0" w:oddHBand="0" w:evenHBand="1" w:firstRowFirstColumn="0" w:firstRowLastColumn="0" w:lastRowFirstColumn="0" w:lastRowLastColumn="0"/>
          <w:tblHeader w:val="0"/>
        </w:trPr>
        <w:tc>
          <w:tcPr>
            <w:tcW w:w="1902" w:type="dxa"/>
          </w:tcPr>
          <w:p w14:paraId="0B70FAD0" w14:textId="77777777" w:rsidR="00717847" w:rsidRPr="00B67551" w:rsidRDefault="00717847" w:rsidP="00895E07">
            <w:pPr>
              <w:pStyle w:val="TableTextEntries"/>
            </w:pPr>
            <w:r w:rsidRPr="001B3B7E">
              <w:t>Electoral Support Program</w:t>
            </w:r>
          </w:p>
        </w:tc>
        <w:tc>
          <w:tcPr>
            <w:tcW w:w="1933" w:type="dxa"/>
            <w:vAlign w:val="bottom"/>
          </w:tcPr>
          <w:p w14:paraId="0B70FAD1" w14:textId="77777777" w:rsidR="00717847" w:rsidRPr="00B67551" w:rsidRDefault="00717847" w:rsidP="00895E07">
            <w:pPr>
              <w:pStyle w:val="TableTextEntries"/>
              <w:rPr>
                <w:rFonts w:cs="Calibri"/>
              </w:rPr>
            </w:pPr>
            <w:r w:rsidRPr="00B67551">
              <w:rPr>
                <w:rFonts w:cs="Calibri"/>
              </w:rPr>
              <w:t>INJ466</w:t>
            </w:r>
          </w:p>
        </w:tc>
        <w:tc>
          <w:tcPr>
            <w:tcW w:w="2031" w:type="dxa"/>
          </w:tcPr>
          <w:p w14:paraId="0B70FAD2" w14:textId="77777777" w:rsidR="00717847" w:rsidRPr="00B67551" w:rsidRDefault="00717847" w:rsidP="00895E07">
            <w:pPr>
              <w:pStyle w:val="TableTextEntries"/>
            </w:pPr>
            <w:r>
              <w:t>Independent progress report</w:t>
            </w:r>
          </w:p>
        </w:tc>
        <w:tc>
          <w:tcPr>
            <w:tcW w:w="1939" w:type="dxa"/>
          </w:tcPr>
          <w:p w14:paraId="0B70FAD3" w14:textId="77777777" w:rsidR="00717847" w:rsidRPr="00B67551" w:rsidRDefault="00717847" w:rsidP="00895E07">
            <w:pPr>
              <w:pStyle w:val="TableTextEntries"/>
            </w:pPr>
          </w:p>
        </w:tc>
        <w:tc>
          <w:tcPr>
            <w:tcW w:w="1921" w:type="dxa"/>
          </w:tcPr>
          <w:p w14:paraId="0B70FAD4" w14:textId="77777777" w:rsidR="00717847" w:rsidRPr="00B67551" w:rsidRDefault="00717847" w:rsidP="00895E07">
            <w:pPr>
              <w:pStyle w:val="TableTextEntries"/>
            </w:pPr>
            <w:r>
              <w:t>Not uploaded</w:t>
            </w:r>
          </w:p>
        </w:tc>
        <w:tc>
          <w:tcPr>
            <w:tcW w:w="1743" w:type="dxa"/>
          </w:tcPr>
          <w:p w14:paraId="0B70FAD5" w14:textId="77777777" w:rsidR="00717847" w:rsidRPr="00B67551" w:rsidRDefault="00717847" w:rsidP="00895E07">
            <w:pPr>
              <w:pStyle w:val="TableTextEntries"/>
            </w:pPr>
            <w:r>
              <w:t>Not uploaded</w:t>
            </w:r>
          </w:p>
        </w:tc>
        <w:tc>
          <w:tcPr>
            <w:tcW w:w="1503" w:type="dxa"/>
          </w:tcPr>
          <w:p w14:paraId="0B70FAD6" w14:textId="77777777" w:rsidR="00717847" w:rsidRPr="00B67551" w:rsidRDefault="00717847" w:rsidP="00895E07">
            <w:pPr>
              <w:pStyle w:val="TableTextEntries"/>
            </w:pPr>
            <w:r>
              <w:t>No</w:t>
            </w:r>
          </w:p>
        </w:tc>
      </w:tr>
      <w:tr w:rsidR="00717847" w:rsidRPr="00071B95" w14:paraId="0B70FADF" w14:textId="77777777" w:rsidTr="00895E07">
        <w:trPr>
          <w:tblHeader w:val="0"/>
        </w:trPr>
        <w:tc>
          <w:tcPr>
            <w:tcW w:w="1902" w:type="dxa"/>
          </w:tcPr>
          <w:p w14:paraId="0B70FAD8" w14:textId="77777777" w:rsidR="00717847" w:rsidRPr="00B67551" w:rsidRDefault="00717847" w:rsidP="00895E07">
            <w:pPr>
              <w:pStyle w:val="TableTextEntries"/>
            </w:pPr>
            <w:r w:rsidRPr="001B3B7E">
              <w:t>Incentive fund phase III</w:t>
            </w:r>
          </w:p>
        </w:tc>
        <w:tc>
          <w:tcPr>
            <w:tcW w:w="1933" w:type="dxa"/>
            <w:vAlign w:val="bottom"/>
          </w:tcPr>
          <w:p w14:paraId="0B70FAD9" w14:textId="77777777" w:rsidR="00717847" w:rsidRPr="00B67551" w:rsidRDefault="00717847" w:rsidP="00895E07">
            <w:pPr>
              <w:pStyle w:val="TableTextEntries"/>
              <w:rPr>
                <w:rFonts w:cs="Calibri"/>
              </w:rPr>
            </w:pPr>
            <w:r w:rsidRPr="00B67551">
              <w:rPr>
                <w:rFonts w:cs="Calibri"/>
              </w:rPr>
              <w:t>INI793</w:t>
            </w:r>
          </w:p>
        </w:tc>
        <w:tc>
          <w:tcPr>
            <w:tcW w:w="2031" w:type="dxa"/>
          </w:tcPr>
          <w:p w14:paraId="0B70FADA" w14:textId="77777777" w:rsidR="00717847" w:rsidRPr="00B67551" w:rsidRDefault="00717847" w:rsidP="00895E07">
            <w:pPr>
              <w:pStyle w:val="TableTextEntries"/>
            </w:pPr>
            <w:r w:rsidRPr="00B67551">
              <w:t>I</w:t>
            </w:r>
            <w:r>
              <w:t>ndependent completion report</w:t>
            </w:r>
          </w:p>
        </w:tc>
        <w:tc>
          <w:tcPr>
            <w:tcW w:w="1939" w:type="dxa"/>
          </w:tcPr>
          <w:p w14:paraId="0B70FADB" w14:textId="77777777" w:rsidR="00717847" w:rsidRPr="00B67551" w:rsidRDefault="00717847" w:rsidP="00895E07">
            <w:pPr>
              <w:pStyle w:val="TableTextEntries"/>
            </w:pPr>
            <w:r w:rsidRPr="001B3B7E">
              <w:t>Draft report received November 2012</w:t>
            </w:r>
          </w:p>
        </w:tc>
        <w:tc>
          <w:tcPr>
            <w:tcW w:w="1921" w:type="dxa"/>
          </w:tcPr>
          <w:p w14:paraId="0B70FADC" w14:textId="77777777" w:rsidR="00717847" w:rsidRPr="00B67551" w:rsidRDefault="00717847" w:rsidP="00895E07">
            <w:pPr>
              <w:pStyle w:val="TableTextEntries"/>
            </w:pPr>
            <w:r>
              <w:t>Not uploaded</w:t>
            </w:r>
          </w:p>
        </w:tc>
        <w:tc>
          <w:tcPr>
            <w:tcW w:w="1743" w:type="dxa"/>
          </w:tcPr>
          <w:p w14:paraId="0B70FADD" w14:textId="77777777" w:rsidR="00717847" w:rsidRPr="00B67551" w:rsidRDefault="00717847" w:rsidP="00895E07">
            <w:pPr>
              <w:pStyle w:val="TableTextEntries"/>
            </w:pPr>
            <w:r>
              <w:t>Not uploaded</w:t>
            </w:r>
          </w:p>
        </w:tc>
        <w:tc>
          <w:tcPr>
            <w:tcW w:w="1503" w:type="dxa"/>
          </w:tcPr>
          <w:p w14:paraId="0B70FADE" w14:textId="77777777" w:rsidR="00717847" w:rsidRPr="00B67551" w:rsidRDefault="00717847" w:rsidP="00895E07">
            <w:pPr>
              <w:pStyle w:val="TableTextEntries"/>
            </w:pPr>
            <w:r>
              <w:t>No</w:t>
            </w:r>
          </w:p>
        </w:tc>
      </w:tr>
      <w:tr w:rsidR="00717847" w:rsidRPr="00071B95" w14:paraId="0B70FAE7" w14:textId="77777777" w:rsidTr="00895E07">
        <w:trPr>
          <w:cnfStyle w:val="000000010000" w:firstRow="0" w:lastRow="0" w:firstColumn="0" w:lastColumn="0" w:oddVBand="0" w:evenVBand="0" w:oddHBand="0" w:evenHBand="1" w:firstRowFirstColumn="0" w:firstRowLastColumn="0" w:lastRowFirstColumn="0" w:lastRowLastColumn="0"/>
          <w:tblHeader w:val="0"/>
        </w:trPr>
        <w:tc>
          <w:tcPr>
            <w:tcW w:w="1902" w:type="dxa"/>
          </w:tcPr>
          <w:p w14:paraId="0B70FAE0" w14:textId="77777777" w:rsidR="00717847" w:rsidRPr="001B3B7E" w:rsidRDefault="00717847" w:rsidP="00895E07">
            <w:pPr>
              <w:pStyle w:val="TableTextEntries"/>
            </w:pPr>
            <w:r w:rsidRPr="003175B2">
              <w:rPr>
                <w:rFonts w:cs="Calibri"/>
              </w:rPr>
              <w:t>PNG D</w:t>
            </w:r>
            <w:r>
              <w:rPr>
                <w:rFonts w:cs="Calibri"/>
              </w:rPr>
              <w:t xml:space="preserve">isaster </w:t>
            </w:r>
            <w:r w:rsidRPr="003175B2">
              <w:rPr>
                <w:rFonts w:cs="Calibri"/>
              </w:rPr>
              <w:t>R</w:t>
            </w:r>
            <w:r>
              <w:rPr>
                <w:rFonts w:cs="Calibri"/>
              </w:rPr>
              <w:t xml:space="preserve">isk </w:t>
            </w:r>
            <w:r w:rsidRPr="003175B2">
              <w:rPr>
                <w:rFonts w:cs="Calibri"/>
              </w:rPr>
              <w:t>M</w:t>
            </w:r>
            <w:r>
              <w:rPr>
                <w:rFonts w:cs="Calibri"/>
              </w:rPr>
              <w:t>anagement</w:t>
            </w:r>
            <w:r w:rsidRPr="003175B2">
              <w:rPr>
                <w:rFonts w:cs="Calibri"/>
              </w:rPr>
              <w:t xml:space="preserve"> (10</w:t>
            </w:r>
            <w:r>
              <w:rPr>
                <w:rFonts w:cs="Calibri"/>
              </w:rPr>
              <w:t>–</w:t>
            </w:r>
            <w:r w:rsidRPr="003175B2">
              <w:rPr>
                <w:rFonts w:cs="Calibri"/>
              </w:rPr>
              <w:t>14)</w:t>
            </w:r>
          </w:p>
        </w:tc>
        <w:tc>
          <w:tcPr>
            <w:tcW w:w="1933" w:type="dxa"/>
            <w:vAlign w:val="bottom"/>
          </w:tcPr>
          <w:p w14:paraId="0B70FAE1" w14:textId="77777777" w:rsidR="00717847" w:rsidRPr="00B67551" w:rsidRDefault="00717847" w:rsidP="00895E07">
            <w:pPr>
              <w:pStyle w:val="TableTextEntries"/>
              <w:rPr>
                <w:rFonts w:cs="Calibri"/>
              </w:rPr>
            </w:pPr>
            <w:r w:rsidRPr="003175B2">
              <w:rPr>
                <w:rFonts w:cs="Calibri"/>
              </w:rPr>
              <w:t xml:space="preserve">INJ302 </w:t>
            </w:r>
          </w:p>
        </w:tc>
        <w:tc>
          <w:tcPr>
            <w:tcW w:w="2031" w:type="dxa"/>
          </w:tcPr>
          <w:p w14:paraId="0B70FAE2" w14:textId="77777777" w:rsidR="00717847" w:rsidRPr="00B67551" w:rsidRDefault="00717847" w:rsidP="00895E07">
            <w:pPr>
              <w:pStyle w:val="TableTextEntries"/>
            </w:pPr>
            <w:r w:rsidRPr="00B67551">
              <w:t>I</w:t>
            </w:r>
            <w:r>
              <w:t>ndependent completion report</w:t>
            </w:r>
          </w:p>
        </w:tc>
        <w:tc>
          <w:tcPr>
            <w:tcW w:w="1939" w:type="dxa"/>
          </w:tcPr>
          <w:p w14:paraId="0B70FAE3" w14:textId="77777777" w:rsidR="00717847" w:rsidRPr="003175B2" w:rsidRDefault="00717847" w:rsidP="00895E07">
            <w:pPr>
              <w:pStyle w:val="TableTextEntries"/>
            </w:pPr>
            <w:r w:rsidRPr="003175B2">
              <w:t>Draft report received March 2013</w:t>
            </w:r>
          </w:p>
        </w:tc>
        <w:tc>
          <w:tcPr>
            <w:tcW w:w="1921" w:type="dxa"/>
          </w:tcPr>
          <w:p w14:paraId="0B70FAE4" w14:textId="77777777" w:rsidR="00717847" w:rsidRDefault="00717847" w:rsidP="00895E07">
            <w:pPr>
              <w:pStyle w:val="TableTextEntries"/>
            </w:pPr>
          </w:p>
        </w:tc>
        <w:tc>
          <w:tcPr>
            <w:tcW w:w="1743" w:type="dxa"/>
          </w:tcPr>
          <w:p w14:paraId="0B70FAE5" w14:textId="77777777" w:rsidR="00717847" w:rsidRDefault="00717847" w:rsidP="00895E07">
            <w:pPr>
              <w:pStyle w:val="TableTextEntries"/>
            </w:pPr>
          </w:p>
        </w:tc>
        <w:tc>
          <w:tcPr>
            <w:tcW w:w="1503" w:type="dxa"/>
          </w:tcPr>
          <w:p w14:paraId="0B70FAE6" w14:textId="77777777" w:rsidR="00717847" w:rsidRDefault="00717847" w:rsidP="00895E07">
            <w:pPr>
              <w:pStyle w:val="TableTextEntries"/>
            </w:pPr>
            <w:r>
              <w:t>No</w:t>
            </w:r>
          </w:p>
        </w:tc>
      </w:tr>
    </w:tbl>
    <w:p w14:paraId="0B70FAE8" w14:textId="77777777" w:rsidR="00717847" w:rsidRPr="00071B95" w:rsidRDefault="00717847" w:rsidP="00717847">
      <w:pPr>
        <w:rPr>
          <w:b/>
        </w:rPr>
      </w:pPr>
    </w:p>
    <w:p w14:paraId="7B46A666" w14:textId="77777777" w:rsidR="001E7728" w:rsidRDefault="001E7728">
      <w:pPr>
        <w:spacing w:after="200" w:line="276" w:lineRule="auto"/>
        <w:rPr>
          <w:rFonts w:ascii="Arial" w:eastAsia="Times New Roman" w:hAnsi="Arial" w:cs="Arial"/>
          <w:color w:val="7E6D5F"/>
          <w:szCs w:val="19"/>
        </w:rPr>
      </w:pPr>
      <w:r>
        <w:br w:type="page"/>
      </w:r>
    </w:p>
    <w:p w14:paraId="0B70FAE9" w14:textId="10828C22" w:rsidR="00717847" w:rsidRPr="00071B95" w:rsidRDefault="00717847" w:rsidP="001E7728">
      <w:pPr>
        <w:pStyle w:val="Caption"/>
      </w:pPr>
      <w:r w:rsidRPr="00071B95">
        <w:t xml:space="preserve">List of evaluations planned in the next 12 months </w:t>
      </w:r>
    </w:p>
    <w:tbl>
      <w:tblPr>
        <w:tblStyle w:val="APPR"/>
        <w:tblW w:w="5000" w:type="pct"/>
        <w:tblLook w:val="0600" w:firstRow="0" w:lastRow="0" w:firstColumn="0" w:lastColumn="0" w:noHBand="1" w:noVBand="1"/>
      </w:tblPr>
      <w:tblGrid>
        <w:gridCol w:w="2803"/>
        <w:gridCol w:w="2713"/>
        <w:gridCol w:w="2800"/>
        <w:gridCol w:w="2800"/>
        <w:gridCol w:w="2819"/>
      </w:tblGrid>
      <w:tr w:rsidR="00717847" w:rsidRPr="00071B95" w14:paraId="0B70FAEF" w14:textId="77777777" w:rsidTr="00895E07">
        <w:tc>
          <w:tcPr>
            <w:tcW w:w="2601" w:type="dxa"/>
          </w:tcPr>
          <w:p w14:paraId="0B70FAEA" w14:textId="77777777" w:rsidR="00717847" w:rsidRPr="00071B95" w:rsidRDefault="00717847" w:rsidP="008E0AE1">
            <w:pPr>
              <w:pStyle w:val="TableTextColumnHeading"/>
            </w:pPr>
            <w:r w:rsidRPr="00071B95">
              <w:t xml:space="preserve">Name of </w:t>
            </w:r>
            <w:r>
              <w:t>i</w:t>
            </w:r>
            <w:r w:rsidRPr="00071B95">
              <w:t>nitiative</w:t>
            </w:r>
          </w:p>
        </w:tc>
        <w:tc>
          <w:tcPr>
            <w:tcW w:w="2530" w:type="dxa"/>
          </w:tcPr>
          <w:p w14:paraId="0B70FAEB" w14:textId="77777777" w:rsidR="00717847" w:rsidRPr="00071B95" w:rsidRDefault="00717847" w:rsidP="008E0AE1">
            <w:pPr>
              <w:pStyle w:val="TableTextColumnHeading"/>
            </w:pPr>
            <w:r w:rsidRPr="00071B95">
              <w:t>Aid</w:t>
            </w:r>
            <w:r>
              <w:t>W</w:t>
            </w:r>
            <w:r w:rsidRPr="00071B95">
              <w:t>orks number</w:t>
            </w:r>
          </w:p>
        </w:tc>
        <w:tc>
          <w:tcPr>
            <w:tcW w:w="2612" w:type="dxa"/>
          </w:tcPr>
          <w:p w14:paraId="0B70FAEC" w14:textId="77777777" w:rsidR="00717847" w:rsidRPr="00071B95" w:rsidRDefault="00717847" w:rsidP="008E0AE1">
            <w:pPr>
              <w:pStyle w:val="TableTextColumnHeading"/>
            </w:pPr>
            <w:r w:rsidRPr="00071B95">
              <w:t>Type of evaluation</w:t>
            </w:r>
          </w:p>
        </w:tc>
        <w:tc>
          <w:tcPr>
            <w:tcW w:w="2612" w:type="dxa"/>
          </w:tcPr>
          <w:p w14:paraId="0B70FAED" w14:textId="77777777" w:rsidR="00717847" w:rsidRPr="00071B95" w:rsidRDefault="00717847" w:rsidP="008E0AE1">
            <w:pPr>
              <w:pStyle w:val="TableTextColumnHeading"/>
            </w:pPr>
            <w:r w:rsidRPr="00071B95">
              <w:t>Purpose of evaluation</w:t>
            </w:r>
            <w:r w:rsidRPr="00071B95">
              <w:rPr>
                <w:vertAlign w:val="superscript"/>
              </w:rPr>
              <w:footnoteReference w:id="83"/>
            </w:r>
          </w:p>
        </w:tc>
        <w:tc>
          <w:tcPr>
            <w:tcW w:w="2617" w:type="dxa"/>
          </w:tcPr>
          <w:p w14:paraId="0B70FAEE" w14:textId="77777777" w:rsidR="00717847" w:rsidRPr="00071B95" w:rsidRDefault="00717847" w:rsidP="008E0AE1">
            <w:pPr>
              <w:pStyle w:val="TableTextColumnHeading"/>
            </w:pPr>
            <w:r w:rsidRPr="00071B95">
              <w:t>Expected completion date</w:t>
            </w:r>
          </w:p>
        </w:tc>
      </w:tr>
      <w:tr w:rsidR="00717847" w:rsidRPr="00071B95" w14:paraId="0B70FAF5" w14:textId="77777777" w:rsidTr="00895E07">
        <w:trPr>
          <w:tblHeader w:val="0"/>
        </w:trPr>
        <w:tc>
          <w:tcPr>
            <w:tcW w:w="2601" w:type="dxa"/>
          </w:tcPr>
          <w:p w14:paraId="0B70FAF0" w14:textId="77777777" w:rsidR="00717847" w:rsidRPr="00071B95" w:rsidRDefault="00717847" w:rsidP="008E0AE1">
            <w:pPr>
              <w:pStyle w:val="TableTextEntries"/>
            </w:pPr>
            <w:r w:rsidRPr="0091443D">
              <w:t>Health Service Provision Facility</w:t>
            </w:r>
          </w:p>
        </w:tc>
        <w:tc>
          <w:tcPr>
            <w:tcW w:w="2530" w:type="dxa"/>
          </w:tcPr>
          <w:p w14:paraId="0B70FAF1" w14:textId="77777777" w:rsidR="00717847" w:rsidRPr="00071B95" w:rsidRDefault="00717847" w:rsidP="008E0AE1">
            <w:pPr>
              <w:pStyle w:val="TableTextEntries"/>
            </w:pPr>
            <w:r w:rsidRPr="0091443D">
              <w:t>INJ708</w:t>
            </w:r>
          </w:p>
        </w:tc>
        <w:tc>
          <w:tcPr>
            <w:tcW w:w="2612" w:type="dxa"/>
          </w:tcPr>
          <w:p w14:paraId="0B70FAF2" w14:textId="77777777" w:rsidR="00717847" w:rsidRPr="00071B95" w:rsidRDefault="00717847" w:rsidP="008E0AE1">
            <w:pPr>
              <w:pStyle w:val="TableTextEntries"/>
            </w:pPr>
            <w:r>
              <w:t>Impact evaluation</w:t>
            </w:r>
          </w:p>
        </w:tc>
        <w:tc>
          <w:tcPr>
            <w:tcW w:w="2612" w:type="dxa"/>
          </w:tcPr>
          <w:p w14:paraId="0B70FAF3" w14:textId="77777777" w:rsidR="00717847" w:rsidRPr="00071B95" w:rsidRDefault="00717847" w:rsidP="008E0AE1">
            <w:pPr>
              <w:pStyle w:val="TableTextEntries"/>
            </w:pPr>
            <w:r>
              <w:t>Supporting causal inference of the evaluation</w:t>
            </w:r>
          </w:p>
        </w:tc>
        <w:tc>
          <w:tcPr>
            <w:tcW w:w="2617" w:type="dxa"/>
          </w:tcPr>
          <w:p w14:paraId="0B70FAF4" w14:textId="77777777" w:rsidR="00717847" w:rsidRPr="00071B95" w:rsidRDefault="00717847" w:rsidP="008E0AE1">
            <w:pPr>
              <w:pStyle w:val="TableTextEntries"/>
            </w:pPr>
            <w:r>
              <w:t>2017</w:t>
            </w:r>
          </w:p>
        </w:tc>
      </w:tr>
      <w:tr w:rsidR="00717847" w:rsidRPr="00071B95" w14:paraId="0B70FAFB" w14:textId="77777777" w:rsidTr="00895E07">
        <w:trPr>
          <w:tblHeader w:val="0"/>
        </w:trPr>
        <w:tc>
          <w:tcPr>
            <w:tcW w:w="2601" w:type="dxa"/>
          </w:tcPr>
          <w:p w14:paraId="0B70FAF6" w14:textId="77777777" w:rsidR="00717847" w:rsidRPr="00071B95" w:rsidRDefault="00717847" w:rsidP="008E0AE1">
            <w:pPr>
              <w:pStyle w:val="TableTextEntries"/>
            </w:pPr>
            <w:r w:rsidRPr="0091443D">
              <w:t>PNG Health Procurement Prog</w:t>
            </w:r>
            <w:r>
              <w:t>ram</w:t>
            </w:r>
            <w:r w:rsidRPr="0091443D">
              <w:t xml:space="preserve"> </w:t>
            </w:r>
            <w:r>
              <w:t>20</w:t>
            </w:r>
            <w:r w:rsidRPr="0091443D">
              <w:t>11</w:t>
            </w:r>
            <w:r>
              <w:t>–</w:t>
            </w:r>
            <w:r w:rsidRPr="0091443D">
              <w:t>15</w:t>
            </w:r>
          </w:p>
        </w:tc>
        <w:tc>
          <w:tcPr>
            <w:tcW w:w="2530" w:type="dxa"/>
          </w:tcPr>
          <w:p w14:paraId="0B70FAF7" w14:textId="77777777" w:rsidR="00717847" w:rsidRPr="00071B95" w:rsidRDefault="00717847" w:rsidP="008E0AE1">
            <w:pPr>
              <w:pStyle w:val="TableTextEntries"/>
            </w:pPr>
            <w:r w:rsidRPr="0091443D">
              <w:t>INK202</w:t>
            </w:r>
          </w:p>
        </w:tc>
        <w:tc>
          <w:tcPr>
            <w:tcW w:w="2612" w:type="dxa"/>
          </w:tcPr>
          <w:p w14:paraId="0B70FAF8" w14:textId="77777777" w:rsidR="00717847" w:rsidRPr="00071B95" w:rsidRDefault="00717847" w:rsidP="008E0AE1">
            <w:pPr>
              <w:pStyle w:val="TableTextEntries"/>
            </w:pPr>
            <w:r>
              <w:t>Impact evaluation</w:t>
            </w:r>
          </w:p>
        </w:tc>
        <w:tc>
          <w:tcPr>
            <w:tcW w:w="2612" w:type="dxa"/>
          </w:tcPr>
          <w:p w14:paraId="0B70FAF9" w14:textId="77777777" w:rsidR="00717847" w:rsidRPr="00071B95" w:rsidRDefault="00717847" w:rsidP="008E0AE1">
            <w:pPr>
              <w:pStyle w:val="TableTextEntries"/>
            </w:pPr>
            <w:r>
              <w:t>Supporting causal inference of the evaluation</w:t>
            </w:r>
          </w:p>
        </w:tc>
        <w:tc>
          <w:tcPr>
            <w:tcW w:w="2617" w:type="dxa"/>
          </w:tcPr>
          <w:p w14:paraId="0B70FAFA" w14:textId="77777777" w:rsidR="00717847" w:rsidRPr="00071B95" w:rsidRDefault="00717847" w:rsidP="008E0AE1">
            <w:pPr>
              <w:pStyle w:val="TableTextEntries"/>
            </w:pPr>
            <w:r>
              <w:t>2017</w:t>
            </w:r>
          </w:p>
        </w:tc>
      </w:tr>
      <w:tr w:rsidR="00717847" w:rsidRPr="00071B95" w14:paraId="0B70FB01" w14:textId="77777777" w:rsidTr="00895E07">
        <w:trPr>
          <w:tblHeader w:val="0"/>
        </w:trPr>
        <w:tc>
          <w:tcPr>
            <w:tcW w:w="2601" w:type="dxa"/>
          </w:tcPr>
          <w:p w14:paraId="0B70FAFC" w14:textId="77777777" w:rsidR="00717847" w:rsidRPr="003175B2" w:rsidRDefault="00717847" w:rsidP="008E0AE1">
            <w:pPr>
              <w:pStyle w:val="TableTextEntries"/>
            </w:pPr>
            <w:r w:rsidRPr="003175B2">
              <w:t>PNG Health Edu</w:t>
            </w:r>
            <w:r>
              <w:t>cation</w:t>
            </w:r>
            <w:r w:rsidRPr="003175B2">
              <w:t xml:space="preserve"> and Clinical Services</w:t>
            </w:r>
          </w:p>
        </w:tc>
        <w:tc>
          <w:tcPr>
            <w:tcW w:w="2530" w:type="dxa"/>
          </w:tcPr>
          <w:p w14:paraId="0B70FAFD" w14:textId="77777777" w:rsidR="00717847" w:rsidRPr="003175B2" w:rsidRDefault="00717847" w:rsidP="008E0AE1">
            <w:pPr>
              <w:pStyle w:val="TableTextEntries"/>
            </w:pPr>
            <w:r>
              <w:t>INI270</w:t>
            </w:r>
          </w:p>
        </w:tc>
        <w:tc>
          <w:tcPr>
            <w:tcW w:w="2612" w:type="dxa"/>
          </w:tcPr>
          <w:p w14:paraId="0B70FAFE" w14:textId="77777777" w:rsidR="00717847" w:rsidRPr="003175B2" w:rsidRDefault="00717847" w:rsidP="008E0AE1">
            <w:pPr>
              <w:pStyle w:val="TableTextEntries"/>
            </w:pPr>
            <w:r w:rsidRPr="003175B2">
              <w:t>Independent completion report</w:t>
            </w:r>
          </w:p>
        </w:tc>
        <w:tc>
          <w:tcPr>
            <w:tcW w:w="2612" w:type="dxa"/>
          </w:tcPr>
          <w:p w14:paraId="0B70FAFF" w14:textId="77777777" w:rsidR="00717847" w:rsidRPr="00071B95" w:rsidRDefault="00717847" w:rsidP="008E0AE1">
            <w:pPr>
              <w:pStyle w:val="TableTextEntries"/>
            </w:pPr>
          </w:p>
        </w:tc>
        <w:tc>
          <w:tcPr>
            <w:tcW w:w="2617" w:type="dxa"/>
          </w:tcPr>
          <w:p w14:paraId="0B70FB00" w14:textId="77777777" w:rsidR="00717847" w:rsidRPr="00071B95" w:rsidRDefault="00717847" w:rsidP="008E0AE1">
            <w:pPr>
              <w:pStyle w:val="TableTextEntries"/>
            </w:pPr>
            <w:r>
              <w:t>July 2013</w:t>
            </w:r>
          </w:p>
        </w:tc>
      </w:tr>
      <w:tr w:rsidR="00717847" w:rsidRPr="00071B95" w14:paraId="0B70FB07" w14:textId="77777777" w:rsidTr="00895E07">
        <w:trPr>
          <w:tblHeader w:val="0"/>
        </w:trPr>
        <w:tc>
          <w:tcPr>
            <w:tcW w:w="2601" w:type="dxa"/>
          </w:tcPr>
          <w:p w14:paraId="0B70FB02" w14:textId="77777777" w:rsidR="00717847" w:rsidRPr="00071B95" w:rsidRDefault="00717847" w:rsidP="008E0AE1">
            <w:pPr>
              <w:pStyle w:val="TableTextEntries"/>
            </w:pPr>
            <w:r w:rsidRPr="003175B2">
              <w:t>Interim TVET and Higher Education</w:t>
            </w:r>
          </w:p>
        </w:tc>
        <w:tc>
          <w:tcPr>
            <w:tcW w:w="2530" w:type="dxa"/>
          </w:tcPr>
          <w:p w14:paraId="0B70FB03" w14:textId="77777777" w:rsidR="00717847" w:rsidRPr="00071B95" w:rsidRDefault="00717847" w:rsidP="008E0AE1">
            <w:pPr>
              <w:pStyle w:val="TableTextEntries"/>
            </w:pPr>
            <w:r w:rsidRPr="003175B2">
              <w:t>INJ316</w:t>
            </w:r>
          </w:p>
        </w:tc>
        <w:tc>
          <w:tcPr>
            <w:tcW w:w="2612" w:type="dxa"/>
          </w:tcPr>
          <w:p w14:paraId="0B70FB04" w14:textId="77777777" w:rsidR="00717847" w:rsidRPr="003175B2" w:rsidRDefault="00717847" w:rsidP="008E0AE1">
            <w:pPr>
              <w:pStyle w:val="TableTextEntries"/>
            </w:pPr>
            <w:r w:rsidRPr="003175B2">
              <w:t>Independent completion report</w:t>
            </w:r>
          </w:p>
        </w:tc>
        <w:tc>
          <w:tcPr>
            <w:tcW w:w="2612" w:type="dxa"/>
          </w:tcPr>
          <w:p w14:paraId="0B70FB05" w14:textId="77777777" w:rsidR="00717847" w:rsidRPr="00071B95" w:rsidRDefault="00717847" w:rsidP="008E0AE1">
            <w:pPr>
              <w:pStyle w:val="TableTextEntries"/>
            </w:pPr>
          </w:p>
        </w:tc>
        <w:tc>
          <w:tcPr>
            <w:tcW w:w="2617" w:type="dxa"/>
          </w:tcPr>
          <w:p w14:paraId="0B70FB06" w14:textId="77777777" w:rsidR="00717847" w:rsidRPr="00071B95" w:rsidRDefault="00717847" w:rsidP="008E0AE1">
            <w:pPr>
              <w:pStyle w:val="TableTextEntries"/>
            </w:pPr>
          </w:p>
        </w:tc>
      </w:tr>
      <w:tr w:rsidR="00717847" w:rsidRPr="00071B95" w14:paraId="0B70FB0D" w14:textId="77777777" w:rsidTr="00895E07">
        <w:trPr>
          <w:tblHeader w:val="0"/>
        </w:trPr>
        <w:tc>
          <w:tcPr>
            <w:tcW w:w="2601" w:type="dxa"/>
          </w:tcPr>
          <w:p w14:paraId="0B70FB08" w14:textId="77777777" w:rsidR="00717847" w:rsidRPr="00071B95" w:rsidRDefault="00717847" w:rsidP="008E0AE1">
            <w:pPr>
              <w:pStyle w:val="TableTextEntries"/>
            </w:pPr>
            <w:r w:rsidRPr="003175B2">
              <w:t>PNG-Australia Twinning program</w:t>
            </w:r>
          </w:p>
        </w:tc>
        <w:tc>
          <w:tcPr>
            <w:tcW w:w="2530" w:type="dxa"/>
          </w:tcPr>
          <w:p w14:paraId="0B70FB09" w14:textId="77777777" w:rsidR="00717847" w:rsidRPr="003175B2" w:rsidRDefault="00717847" w:rsidP="008E0AE1">
            <w:pPr>
              <w:pStyle w:val="TableTextEntries"/>
            </w:pPr>
            <w:r w:rsidRPr="003175B2">
              <w:t>INJ364</w:t>
            </w:r>
          </w:p>
        </w:tc>
        <w:tc>
          <w:tcPr>
            <w:tcW w:w="2612" w:type="dxa"/>
          </w:tcPr>
          <w:p w14:paraId="0B70FB0A" w14:textId="77777777" w:rsidR="00717847" w:rsidRPr="00071B95" w:rsidRDefault="00717847" w:rsidP="008E0AE1">
            <w:pPr>
              <w:pStyle w:val="TableTextEntries"/>
            </w:pPr>
            <w:r w:rsidRPr="003175B2">
              <w:t>Independent completion report</w:t>
            </w:r>
          </w:p>
        </w:tc>
        <w:tc>
          <w:tcPr>
            <w:tcW w:w="2612" w:type="dxa"/>
          </w:tcPr>
          <w:p w14:paraId="0B70FB0B" w14:textId="77777777" w:rsidR="00717847" w:rsidRPr="00071B95" w:rsidRDefault="00717847" w:rsidP="008E0AE1">
            <w:pPr>
              <w:pStyle w:val="TableTextEntries"/>
            </w:pPr>
          </w:p>
        </w:tc>
        <w:tc>
          <w:tcPr>
            <w:tcW w:w="2617" w:type="dxa"/>
          </w:tcPr>
          <w:p w14:paraId="0B70FB0C" w14:textId="77777777" w:rsidR="00717847" w:rsidRPr="00071B95" w:rsidRDefault="00717847" w:rsidP="008E0AE1">
            <w:pPr>
              <w:pStyle w:val="TableTextEntries"/>
            </w:pPr>
            <w:r>
              <w:t>October 2013</w:t>
            </w:r>
          </w:p>
        </w:tc>
      </w:tr>
      <w:tr w:rsidR="00717847" w:rsidRPr="00071B95" w14:paraId="0B70FB13" w14:textId="77777777" w:rsidTr="00895E07">
        <w:trPr>
          <w:tblHeader w:val="0"/>
        </w:trPr>
        <w:tc>
          <w:tcPr>
            <w:tcW w:w="2601" w:type="dxa"/>
          </w:tcPr>
          <w:p w14:paraId="0B70FB0E" w14:textId="77777777" w:rsidR="00717847" w:rsidRPr="003175B2" w:rsidRDefault="00717847" w:rsidP="008E0AE1">
            <w:pPr>
              <w:pStyle w:val="TableTextEntries"/>
            </w:pPr>
            <w:r w:rsidRPr="003175B2">
              <w:t xml:space="preserve">PNG </w:t>
            </w:r>
            <w:r>
              <w:t>p</w:t>
            </w:r>
            <w:r w:rsidRPr="003175B2">
              <w:t xml:space="preserve">rovincial and </w:t>
            </w:r>
            <w:r>
              <w:t>l</w:t>
            </w:r>
            <w:r w:rsidRPr="003175B2">
              <w:t xml:space="preserve">ocal-level </w:t>
            </w:r>
            <w:r>
              <w:t>g</w:t>
            </w:r>
            <w:r w:rsidRPr="003175B2">
              <w:t>ov</w:t>
            </w:r>
            <w:r>
              <w:t>ernmen</w:t>
            </w:r>
            <w:r w:rsidRPr="003175B2">
              <w:t>ts</w:t>
            </w:r>
          </w:p>
        </w:tc>
        <w:tc>
          <w:tcPr>
            <w:tcW w:w="2530" w:type="dxa"/>
          </w:tcPr>
          <w:p w14:paraId="0B70FB0F" w14:textId="77777777" w:rsidR="00717847" w:rsidRPr="003175B2" w:rsidRDefault="00717847" w:rsidP="008E0AE1">
            <w:pPr>
              <w:pStyle w:val="TableTextEntries"/>
            </w:pPr>
            <w:r>
              <w:t>INK615</w:t>
            </w:r>
          </w:p>
        </w:tc>
        <w:tc>
          <w:tcPr>
            <w:tcW w:w="2612" w:type="dxa"/>
          </w:tcPr>
          <w:p w14:paraId="0B70FB10" w14:textId="77777777" w:rsidR="00717847" w:rsidRPr="003175B2" w:rsidRDefault="00717847" w:rsidP="008E0AE1">
            <w:pPr>
              <w:pStyle w:val="TableTextEntries"/>
            </w:pPr>
            <w:r w:rsidRPr="003175B2">
              <w:t>Independent completion report</w:t>
            </w:r>
          </w:p>
        </w:tc>
        <w:tc>
          <w:tcPr>
            <w:tcW w:w="2612" w:type="dxa"/>
          </w:tcPr>
          <w:p w14:paraId="0B70FB11" w14:textId="77777777" w:rsidR="00717847" w:rsidRPr="00071B95" w:rsidRDefault="00717847" w:rsidP="008E0AE1">
            <w:pPr>
              <w:pStyle w:val="TableTextEntries"/>
            </w:pPr>
          </w:p>
        </w:tc>
        <w:tc>
          <w:tcPr>
            <w:tcW w:w="2617" w:type="dxa"/>
          </w:tcPr>
          <w:p w14:paraId="0B70FB12" w14:textId="77777777" w:rsidR="00717847" w:rsidRDefault="00717847" w:rsidP="008E0AE1">
            <w:pPr>
              <w:pStyle w:val="TableTextEntries"/>
            </w:pPr>
            <w:r>
              <w:t>August 2013</w:t>
            </w:r>
          </w:p>
        </w:tc>
      </w:tr>
      <w:tr w:rsidR="00717847" w:rsidRPr="00071B95" w14:paraId="0B70FB19" w14:textId="77777777" w:rsidTr="00895E07">
        <w:trPr>
          <w:tblHeader w:val="0"/>
        </w:trPr>
        <w:tc>
          <w:tcPr>
            <w:tcW w:w="2601" w:type="dxa"/>
          </w:tcPr>
          <w:p w14:paraId="0B70FB14" w14:textId="77777777" w:rsidR="00717847" w:rsidRPr="003175B2" w:rsidRDefault="00717847" w:rsidP="008E0AE1">
            <w:pPr>
              <w:pStyle w:val="TableTextEntries"/>
            </w:pPr>
            <w:r w:rsidRPr="003175B2">
              <w:t>PNG Microfinance Expansion project</w:t>
            </w:r>
          </w:p>
        </w:tc>
        <w:tc>
          <w:tcPr>
            <w:tcW w:w="2530" w:type="dxa"/>
          </w:tcPr>
          <w:p w14:paraId="0B70FB15" w14:textId="77777777" w:rsidR="00717847" w:rsidRPr="003175B2" w:rsidRDefault="00717847" w:rsidP="008E0AE1">
            <w:pPr>
              <w:pStyle w:val="TableTextEntries"/>
            </w:pPr>
            <w:r w:rsidRPr="003175B2">
              <w:t>INJ550</w:t>
            </w:r>
          </w:p>
        </w:tc>
        <w:tc>
          <w:tcPr>
            <w:tcW w:w="2612" w:type="dxa"/>
          </w:tcPr>
          <w:p w14:paraId="0B70FB16" w14:textId="77777777" w:rsidR="00717847" w:rsidRPr="003175B2" w:rsidRDefault="00717847" w:rsidP="008E0AE1">
            <w:pPr>
              <w:pStyle w:val="TableTextEntries"/>
            </w:pPr>
            <w:r w:rsidRPr="003175B2">
              <w:t>Independent completion report</w:t>
            </w:r>
          </w:p>
        </w:tc>
        <w:tc>
          <w:tcPr>
            <w:tcW w:w="2612" w:type="dxa"/>
          </w:tcPr>
          <w:p w14:paraId="0B70FB17" w14:textId="77777777" w:rsidR="00717847" w:rsidRPr="00071B95" w:rsidRDefault="00717847" w:rsidP="008E0AE1">
            <w:pPr>
              <w:pStyle w:val="TableTextEntries"/>
            </w:pPr>
          </w:p>
        </w:tc>
        <w:tc>
          <w:tcPr>
            <w:tcW w:w="2617" w:type="dxa"/>
          </w:tcPr>
          <w:p w14:paraId="0B70FB18" w14:textId="77777777" w:rsidR="00717847" w:rsidRDefault="00717847" w:rsidP="008E0AE1">
            <w:pPr>
              <w:pStyle w:val="TableTextEntries"/>
            </w:pPr>
          </w:p>
        </w:tc>
      </w:tr>
    </w:tbl>
    <w:p w14:paraId="0B70FB1A" w14:textId="77777777" w:rsidR="00717847" w:rsidRDefault="00717847" w:rsidP="00717847">
      <w:pPr>
        <w:rPr>
          <w:b/>
        </w:rPr>
      </w:pPr>
    </w:p>
    <w:p w14:paraId="0B70FB1B" w14:textId="77777777" w:rsidR="00717847" w:rsidRDefault="00717847" w:rsidP="00717847">
      <w:pPr>
        <w:rPr>
          <w:b/>
        </w:rPr>
      </w:pPr>
    </w:p>
    <w:p w14:paraId="0B70FB1C" w14:textId="77777777" w:rsidR="00717847" w:rsidRDefault="00717847" w:rsidP="00717847"/>
    <w:p w14:paraId="0B70FB1D" w14:textId="77777777" w:rsidR="00717847" w:rsidRDefault="00717847" w:rsidP="00717847">
      <w:pPr>
        <w:rPr>
          <w:b/>
        </w:rPr>
        <w:sectPr w:rsidR="00717847" w:rsidSect="001E7728">
          <w:headerReference w:type="default" r:id="rId32"/>
          <w:footerReference w:type="default" r:id="rId33"/>
          <w:headerReference w:type="first" r:id="rId34"/>
          <w:footerReference w:type="first" r:id="rId35"/>
          <w:pgSz w:w="16838" w:h="11906" w:orient="landscape" w:code="9"/>
          <w:pgMar w:top="1871" w:right="2268" w:bottom="1134" w:left="907" w:header="709" w:footer="425" w:gutter="0"/>
          <w:cols w:space="708"/>
          <w:docGrid w:linePitch="360"/>
        </w:sectPr>
      </w:pPr>
    </w:p>
    <w:p w14:paraId="0B70FB55" w14:textId="5CE767EE" w:rsidR="00717847" w:rsidRDefault="00717847" w:rsidP="00717847">
      <w:pPr>
        <w:pStyle w:val="Heading1"/>
      </w:pPr>
      <w:r>
        <w:t xml:space="preserve">Annex </w:t>
      </w:r>
      <w:r w:rsidR="00B3755D">
        <w:t>D</w:t>
      </w:r>
    </w:p>
    <w:p w14:paraId="0B70FB56" w14:textId="77777777" w:rsidR="00717847" w:rsidRPr="00895E07" w:rsidRDefault="00717847" w:rsidP="00895E07">
      <w:pPr>
        <w:pStyle w:val="Heading2"/>
      </w:pPr>
      <w:r w:rsidRPr="00895E07">
        <w:t>Key development effectiveness issues</w:t>
      </w:r>
    </w:p>
    <w:p w14:paraId="0B70FB57" w14:textId="348B0837" w:rsidR="00717847" w:rsidRPr="00FB7331" w:rsidRDefault="00717847" w:rsidP="00895E07">
      <w:pPr>
        <w:pStyle w:val="BodyText"/>
        <w:rPr>
          <w:rFonts w:eastAsia="Calibri"/>
          <w:lang w:eastAsia="en-US"/>
        </w:rPr>
      </w:pPr>
      <w:r>
        <w:rPr>
          <w:rFonts w:eastAsia="Calibri"/>
          <w:lang w:eastAsia="en-US"/>
        </w:rPr>
        <w:t xml:space="preserve">This annex describes some of the key considerations for </w:t>
      </w:r>
      <w:r w:rsidR="00B3755D">
        <w:rPr>
          <w:rFonts w:eastAsia="Calibri"/>
          <w:lang w:eastAsia="en-US"/>
        </w:rPr>
        <w:t>the Australian Government</w:t>
      </w:r>
      <w:r>
        <w:rPr>
          <w:rFonts w:eastAsia="Calibri"/>
          <w:lang w:eastAsia="en-US"/>
        </w:rPr>
        <w:t xml:space="preserve"> in </w:t>
      </w:r>
      <w:r w:rsidRPr="00717847">
        <w:rPr>
          <w:rFonts w:eastAsia="Calibri"/>
          <w:i/>
          <w:lang w:eastAsia="en-US"/>
        </w:rPr>
        <w:t>how</w:t>
      </w:r>
      <w:r>
        <w:rPr>
          <w:rFonts w:eastAsia="Calibri"/>
          <w:lang w:eastAsia="en-US"/>
        </w:rPr>
        <w:t xml:space="preserve"> the Australian aid program is delivered in PNG. </w:t>
      </w:r>
    </w:p>
    <w:p w14:paraId="0B70FB58" w14:textId="77777777" w:rsidR="00717847" w:rsidRPr="00291086" w:rsidRDefault="00717847" w:rsidP="00895E07">
      <w:pPr>
        <w:pStyle w:val="BodyText"/>
        <w:rPr>
          <w:rFonts w:eastAsia="Calibri"/>
          <w:i/>
          <w:lang w:eastAsia="en-US"/>
        </w:rPr>
      </w:pPr>
      <w:r w:rsidRPr="00291086">
        <w:rPr>
          <w:rFonts w:eastAsia="Calibri"/>
          <w:i/>
          <w:lang w:eastAsia="en-US"/>
        </w:rPr>
        <w:t xml:space="preserve">Focus on </w:t>
      </w:r>
      <w:r>
        <w:rPr>
          <w:rFonts w:eastAsia="Calibri"/>
          <w:i/>
          <w:lang w:eastAsia="en-US"/>
        </w:rPr>
        <w:t>p</w:t>
      </w:r>
      <w:r w:rsidRPr="00291086">
        <w:rPr>
          <w:rFonts w:eastAsia="Calibri"/>
          <w:i/>
          <w:lang w:eastAsia="en-US"/>
        </w:rPr>
        <w:t xml:space="preserve">overty </w:t>
      </w:r>
      <w:r>
        <w:rPr>
          <w:rFonts w:eastAsia="Calibri"/>
          <w:i/>
          <w:lang w:eastAsia="en-US"/>
        </w:rPr>
        <w:t>r</w:t>
      </w:r>
      <w:r w:rsidRPr="00291086">
        <w:rPr>
          <w:rFonts w:eastAsia="Calibri"/>
          <w:i/>
          <w:lang w:eastAsia="en-US"/>
        </w:rPr>
        <w:t>eduction</w:t>
      </w:r>
    </w:p>
    <w:p w14:paraId="0B70FB59" w14:textId="6F7C620A" w:rsidR="00717847" w:rsidRPr="000E612D" w:rsidRDefault="00717847" w:rsidP="00895E07">
      <w:pPr>
        <w:pStyle w:val="BodyText"/>
        <w:rPr>
          <w:rFonts w:eastAsia="Calibri"/>
          <w:lang w:eastAsia="en-US"/>
        </w:rPr>
      </w:pPr>
      <w:r w:rsidRPr="00E764FD">
        <w:rPr>
          <w:rFonts w:eastAsia="Calibri"/>
          <w:lang w:eastAsia="en-US"/>
        </w:rPr>
        <w:t xml:space="preserve">Improving the poverty reduction focus of Australia’s aid program is </w:t>
      </w:r>
      <w:r w:rsidR="00B3755D">
        <w:rPr>
          <w:rFonts w:eastAsia="Calibri"/>
          <w:lang w:eastAsia="en-US"/>
        </w:rPr>
        <w:t>critical</w:t>
      </w:r>
      <w:r>
        <w:rPr>
          <w:rFonts w:eastAsia="Calibri"/>
          <w:i/>
          <w:lang w:eastAsia="en-US"/>
        </w:rPr>
        <w:t>.</w:t>
      </w:r>
      <w:r w:rsidRPr="00E764FD">
        <w:rPr>
          <w:rFonts w:eastAsia="Calibri"/>
          <w:lang w:eastAsia="en-US"/>
        </w:rPr>
        <w:t xml:space="preserve"> </w:t>
      </w:r>
      <w:r w:rsidRPr="000E612D">
        <w:rPr>
          <w:rFonts w:eastAsia="Calibri"/>
          <w:lang w:eastAsia="en-US"/>
        </w:rPr>
        <w:t xml:space="preserve">Australia </w:t>
      </w:r>
      <w:r>
        <w:rPr>
          <w:rFonts w:eastAsia="Calibri"/>
          <w:lang w:eastAsia="en-US"/>
        </w:rPr>
        <w:t xml:space="preserve">is </w:t>
      </w:r>
      <w:r w:rsidRPr="000E612D">
        <w:rPr>
          <w:rFonts w:eastAsia="Calibri"/>
          <w:lang w:eastAsia="en-US"/>
        </w:rPr>
        <w:t xml:space="preserve">strengthening its </w:t>
      </w:r>
      <w:r>
        <w:rPr>
          <w:rFonts w:eastAsia="Calibri"/>
          <w:lang w:eastAsia="en-US"/>
        </w:rPr>
        <w:t xml:space="preserve">pro-poor focus in PNG by </w:t>
      </w:r>
      <w:r w:rsidRPr="000E612D">
        <w:rPr>
          <w:rFonts w:eastAsia="Calibri"/>
          <w:lang w:eastAsia="en-US"/>
        </w:rPr>
        <w:t>embed</w:t>
      </w:r>
      <w:r>
        <w:rPr>
          <w:rFonts w:eastAsia="Calibri"/>
          <w:lang w:eastAsia="en-US"/>
        </w:rPr>
        <w:t>ding</w:t>
      </w:r>
      <w:r w:rsidRPr="000E612D">
        <w:rPr>
          <w:rFonts w:eastAsia="Calibri"/>
          <w:lang w:eastAsia="en-US"/>
        </w:rPr>
        <w:t xml:space="preserve"> poverty impact analysis into </w:t>
      </w:r>
      <w:r>
        <w:rPr>
          <w:rFonts w:eastAsia="Calibri"/>
          <w:lang w:eastAsia="en-US"/>
        </w:rPr>
        <w:t>new designs</w:t>
      </w:r>
      <w:r w:rsidRPr="000E612D">
        <w:rPr>
          <w:rFonts w:eastAsia="Calibri"/>
          <w:lang w:eastAsia="en-US"/>
        </w:rPr>
        <w:t xml:space="preserve"> and </w:t>
      </w:r>
      <w:r>
        <w:rPr>
          <w:rFonts w:eastAsia="Calibri"/>
          <w:lang w:eastAsia="en-US"/>
        </w:rPr>
        <w:t xml:space="preserve">into analyses of </w:t>
      </w:r>
      <w:r w:rsidRPr="000E612D">
        <w:rPr>
          <w:rFonts w:eastAsia="Calibri"/>
          <w:lang w:eastAsia="en-US"/>
        </w:rPr>
        <w:t>individual investments</w:t>
      </w:r>
      <w:r>
        <w:rPr>
          <w:rFonts w:eastAsia="Calibri"/>
          <w:lang w:eastAsia="en-US"/>
        </w:rPr>
        <w:t>, including</w:t>
      </w:r>
      <w:r w:rsidRPr="000E612D">
        <w:rPr>
          <w:rFonts w:eastAsia="Calibri"/>
          <w:lang w:eastAsia="en-US"/>
        </w:rPr>
        <w:t xml:space="preserve"> impacts on gender-relevant sub</w:t>
      </w:r>
      <w:r>
        <w:rPr>
          <w:rFonts w:eastAsia="Calibri"/>
          <w:lang w:eastAsia="en-US"/>
        </w:rPr>
        <w:t>-</w:t>
      </w:r>
      <w:r w:rsidRPr="000E612D">
        <w:rPr>
          <w:rFonts w:eastAsia="Calibri"/>
          <w:lang w:eastAsia="en-US"/>
        </w:rPr>
        <w:t>groups (such as girls not attending scho</w:t>
      </w:r>
      <w:r>
        <w:rPr>
          <w:rFonts w:eastAsia="Calibri"/>
          <w:lang w:eastAsia="en-US"/>
        </w:rPr>
        <w:t>ol)</w:t>
      </w:r>
      <w:r w:rsidRPr="000E612D">
        <w:rPr>
          <w:rFonts w:eastAsia="Calibri"/>
          <w:lang w:eastAsia="en-US"/>
        </w:rPr>
        <w:t>.</w:t>
      </w:r>
    </w:p>
    <w:p w14:paraId="0B70FB5A" w14:textId="77777777" w:rsidR="00717847" w:rsidRPr="00291086" w:rsidRDefault="00717847" w:rsidP="00895E07">
      <w:pPr>
        <w:pStyle w:val="BodyText"/>
        <w:rPr>
          <w:rFonts w:eastAsia="Calibri"/>
          <w:b/>
          <w:lang w:eastAsia="en-US"/>
        </w:rPr>
      </w:pPr>
      <w:r w:rsidRPr="00291086">
        <w:rPr>
          <w:rFonts w:eastAsia="Calibri"/>
          <w:i/>
          <w:color w:val="000000"/>
          <w:lang w:eastAsia="en-US"/>
        </w:rPr>
        <w:t xml:space="preserve">Partner </w:t>
      </w:r>
      <w:r>
        <w:rPr>
          <w:rFonts w:eastAsia="Calibri"/>
          <w:i/>
          <w:color w:val="000000"/>
          <w:lang w:eastAsia="en-US"/>
        </w:rPr>
        <w:t>s</w:t>
      </w:r>
      <w:r w:rsidRPr="00291086">
        <w:rPr>
          <w:rFonts w:eastAsia="Calibri"/>
          <w:i/>
          <w:color w:val="000000"/>
          <w:lang w:eastAsia="en-US"/>
        </w:rPr>
        <w:t xml:space="preserve">ystems </w:t>
      </w:r>
    </w:p>
    <w:p w14:paraId="0B70FB5B" w14:textId="77777777" w:rsidR="00717847" w:rsidRPr="00291086" w:rsidRDefault="00717847" w:rsidP="00895E07">
      <w:pPr>
        <w:pStyle w:val="BodyText"/>
        <w:rPr>
          <w:color w:val="000000"/>
        </w:rPr>
      </w:pPr>
      <w:r w:rsidRPr="00291086">
        <w:rPr>
          <w:color w:val="000000"/>
        </w:rPr>
        <w:t>The Paris De</w:t>
      </w:r>
      <w:r>
        <w:rPr>
          <w:color w:val="000000"/>
        </w:rPr>
        <w:t xml:space="preserve">claration on Aid Effectiveness </w:t>
      </w:r>
      <w:r w:rsidRPr="00291086">
        <w:rPr>
          <w:color w:val="000000"/>
        </w:rPr>
        <w:t xml:space="preserve">includes a commitment by donors to use partner government systems </w:t>
      </w:r>
      <w:r>
        <w:rPr>
          <w:color w:val="000000"/>
        </w:rPr>
        <w:t xml:space="preserve">where feasible. Australia uses PNG systems to some degree in all of its programs. However, several sectoral assessments and a draft assessment of national systems highlight the inherently risky nature of using PNG systems. As a result, Australia’s program is heavily supported by processes and controls to minimise the fiduciary risks of using the government’s systems. </w:t>
      </w:r>
    </w:p>
    <w:p w14:paraId="0B70FB5C" w14:textId="77777777" w:rsidR="00717847" w:rsidRPr="00291086" w:rsidRDefault="00717847" w:rsidP="00895E07">
      <w:pPr>
        <w:pStyle w:val="BodyText"/>
        <w:rPr>
          <w:rFonts w:eastAsia="Calibri"/>
          <w:i/>
          <w:lang w:eastAsia="en-US"/>
        </w:rPr>
      </w:pPr>
      <w:r w:rsidRPr="00291086">
        <w:rPr>
          <w:rFonts w:eastAsia="Calibri"/>
          <w:i/>
          <w:lang w:eastAsia="en-US"/>
        </w:rPr>
        <w:t>Performance</w:t>
      </w:r>
      <w:r>
        <w:rPr>
          <w:rFonts w:eastAsia="Calibri"/>
          <w:i/>
          <w:lang w:eastAsia="en-US"/>
        </w:rPr>
        <w:t>-</w:t>
      </w:r>
      <w:r w:rsidRPr="00291086">
        <w:rPr>
          <w:rFonts w:eastAsia="Calibri"/>
          <w:i/>
          <w:lang w:eastAsia="en-US"/>
        </w:rPr>
        <w:t>linked aid</w:t>
      </w:r>
    </w:p>
    <w:p w14:paraId="0B70FB5D" w14:textId="77777777" w:rsidR="00717847" w:rsidRPr="00291086" w:rsidRDefault="00717847" w:rsidP="00895E07">
      <w:pPr>
        <w:pStyle w:val="BodyText"/>
        <w:rPr>
          <w:rFonts w:eastAsia="Calibri"/>
          <w:color w:val="000000"/>
          <w:lang w:eastAsia="en-US"/>
        </w:rPr>
      </w:pPr>
      <w:r w:rsidRPr="00291086">
        <w:rPr>
          <w:rFonts w:eastAsia="Calibri"/>
          <w:color w:val="000000"/>
          <w:lang w:eastAsia="en-US"/>
        </w:rPr>
        <w:t xml:space="preserve">Australia </w:t>
      </w:r>
      <w:r>
        <w:rPr>
          <w:rFonts w:eastAsia="Calibri"/>
          <w:color w:val="000000"/>
          <w:lang w:eastAsia="en-US"/>
        </w:rPr>
        <w:t>provides</w:t>
      </w:r>
      <w:r w:rsidRPr="00291086">
        <w:rPr>
          <w:rFonts w:eastAsia="Calibri"/>
          <w:color w:val="000000"/>
          <w:lang w:eastAsia="en-US"/>
        </w:rPr>
        <w:t xml:space="preserve"> performance incentives </w:t>
      </w:r>
      <w:r>
        <w:rPr>
          <w:rFonts w:eastAsia="Calibri"/>
          <w:color w:val="000000"/>
          <w:lang w:eastAsia="en-US"/>
        </w:rPr>
        <w:t xml:space="preserve">in the form of </w:t>
      </w:r>
      <w:r w:rsidRPr="00291086">
        <w:rPr>
          <w:rFonts w:eastAsia="Calibri"/>
          <w:color w:val="000000"/>
          <w:lang w:eastAsia="en-US"/>
        </w:rPr>
        <w:t>additional resources to the PNG Government and service providers</w:t>
      </w:r>
      <w:r>
        <w:rPr>
          <w:rFonts w:eastAsia="Calibri"/>
          <w:color w:val="000000"/>
          <w:lang w:eastAsia="en-US"/>
        </w:rPr>
        <w:t>,</w:t>
      </w:r>
      <w:r w:rsidRPr="00291086">
        <w:rPr>
          <w:rFonts w:eastAsia="Calibri"/>
          <w:color w:val="000000"/>
          <w:lang w:eastAsia="en-US"/>
        </w:rPr>
        <w:t xml:space="preserve"> contingent on pre-agreed performance criteria and milestones being met.</w:t>
      </w:r>
      <w:r w:rsidRPr="00C35DCF">
        <w:rPr>
          <w:rFonts w:eastAsia="Calibri"/>
          <w:color w:val="000000"/>
          <w:lang w:eastAsia="en-US"/>
        </w:rPr>
        <w:t xml:space="preserve"> </w:t>
      </w:r>
      <w:r>
        <w:rPr>
          <w:rFonts w:eastAsia="Calibri"/>
          <w:color w:val="000000"/>
          <w:lang w:eastAsia="en-US"/>
        </w:rPr>
        <w:t>This</w:t>
      </w:r>
      <w:r w:rsidRPr="00291086">
        <w:rPr>
          <w:rFonts w:eastAsia="Calibri"/>
          <w:color w:val="000000"/>
          <w:lang w:eastAsia="en-US"/>
        </w:rPr>
        <w:t xml:space="preserve"> encourage</w:t>
      </w:r>
      <w:r>
        <w:rPr>
          <w:rFonts w:eastAsia="Calibri"/>
          <w:color w:val="000000"/>
          <w:lang w:eastAsia="en-US"/>
        </w:rPr>
        <w:t>s</w:t>
      </w:r>
      <w:r w:rsidRPr="00291086">
        <w:rPr>
          <w:rFonts w:eastAsia="Calibri"/>
          <w:color w:val="000000"/>
          <w:lang w:eastAsia="en-US"/>
        </w:rPr>
        <w:t xml:space="preserve"> sustainable reform</w:t>
      </w:r>
      <w:r>
        <w:rPr>
          <w:rFonts w:eastAsia="Calibri"/>
          <w:color w:val="000000"/>
          <w:lang w:eastAsia="en-US"/>
        </w:rPr>
        <w:t xml:space="preserve">s and improved service delivery. Performance linked aid is in line with the Government’s increasing emphasis </w:t>
      </w:r>
      <w:r w:rsidRPr="00291086">
        <w:rPr>
          <w:rFonts w:eastAsia="Calibri"/>
          <w:color w:val="000000"/>
          <w:lang w:eastAsia="en-US"/>
        </w:rPr>
        <w:t>on performance and aid effectiveness.</w:t>
      </w:r>
    </w:p>
    <w:p w14:paraId="0B70FB5E" w14:textId="77777777" w:rsidR="00717847" w:rsidRPr="00291086" w:rsidRDefault="00717847" w:rsidP="00895E07">
      <w:pPr>
        <w:pStyle w:val="BodyText"/>
        <w:rPr>
          <w:rFonts w:eastAsia="Calibri"/>
          <w:i/>
          <w:lang w:eastAsia="en-US"/>
        </w:rPr>
      </w:pPr>
      <w:r>
        <w:rPr>
          <w:rFonts w:eastAsia="Calibri"/>
          <w:color w:val="000000"/>
          <w:lang w:eastAsia="en-US"/>
        </w:rPr>
        <w:t>T</w:t>
      </w:r>
      <w:r w:rsidRPr="00291086">
        <w:rPr>
          <w:rFonts w:eastAsia="Calibri"/>
          <w:color w:val="000000"/>
          <w:lang w:eastAsia="en-US"/>
        </w:rPr>
        <w:t xml:space="preserve">he first agreed </w:t>
      </w:r>
      <w:r>
        <w:rPr>
          <w:rFonts w:eastAsia="Calibri"/>
          <w:color w:val="000000"/>
          <w:lang w:eastAsia="en-US"/>
        </w:rPr>
        <w:t>performance-linked aid</w:t>
      </w:r>
      <w:r w:rsidRPr="00291086">
        <w:rPr>
          <w:rFonts w:eastAsia="Calibri"/>
          <w:color w:val="000000"/>
          <w:lang w:eastAsia="en-US"/>
        </w:rPr>
        <w:t xml:space="preserve"> milestone recognised the PNG </w:t>
      </w:r>
      <w:r>
        <w:rPr>
          <w:rFonts w:eastAsia="Calibri"/>
          <w:color w:val="000000"/>
          <w:lang w:eastAsia="en-US"/>
        </w:rPr>
        <w:t>g</w:t>
      </w:r>
      <w:r w:rsidRPr="00291086">
        <w:rPr>
          <w:rFonts w:eastAsia="Calibri"/>
          <w:color w:val="000000"/>
          <w:lang w:eastAsia="en-US"/>
        </w:rPr>
        <w:t>overnment’s commitment to address fraud and corruption through Australian support of the distribution of medical supply kits to health facilities. In 2011</w:t>
      </w:r>
      <w:r>
        <w:rPr>
          <w:rFonts w:eastAsia="Calibri"/>
          <w:color w:val="000000"/>
          <w:lang w:eastAsia="en-US"/>
        </w:rPr>
        <w:t>–</w:t>
      </w:r>
      <w:r w:rsidRPr="00291086">
        <w:rPr>
          <w:rFonts w:eastAsia="Calibri"/>
          <w:color w:val="000000"/>
          <w:lang w:eastAsia="en-US"/>
        </w:rPr>
        <w:t>12, Australia spent $24</w:t>
      </w:r>
      <w:r>
        <w:rPr>
          <w:rFonts w:eastAsia="Calibri"/>
          <w:color w:val="000000"/>
          <w:lang w:eastAsia="en-US"/>
        </w:rPr>
        <w:t> </w:t>
      </w:r>
      <w:r w:rsidRPr="00291086">
        <w:rPr>
          <w:rFonts w:eastAsia="Calibri"/>
          <w:color w:val="000000"/>
          <w:lang w:eastAsia="en-US"/>
        </w:rPr>
        <w:t>million to procure five rounds of quality-assured medical supply kits. In 2012</w:t>
      </w:r>
      <w:r>
        <w:rPr>
          <w:rFonts w:eastAsia="Calibri"/>
          <w:color w:val="000000"/>
          <w:lang w:eastAsia="en-US"/>
        </w:rPr>
        <w:t>–</w:t>
      </w:r>
      <w:r w:rsidRPr="00291086">
        <w:rPr>
          <w:rFonts w:eastAsia="Calibri"/>
          <w:color w:val="000000"/>
          <w:lang w:eastAsia="en-US"/>
        </w:rPr>
        <w:t>13</w:t>
      </w:r>
      <w:r>
        <w:rPr>
          <w:rFonts w:eastAsia="Calibri"/>
          <w:color w:val="000000"/>
          <w:lang w:eastAsia="en-US"/>
        </w:rPr>
        <w:t>,</w:t>
      </w:r>
      <w:r w:rsidRPr="00291086">
        <w:rPr>
          <w:rFonts w:eastAsia="Calibri"/>
          <w:color w:val="000000"/>
          <w:lang w:eastAsia="en-US"/>
        </w:rPr>
        <w:t xml:space="preserve"> Australia distributed 3597 quality</w:t>
      </w:r>
      <w:r>
        <w:rPr>
          <w:rFonts w:eastAsia="Calibri"/>
          <w:color w:val="000000"/>
          <w:lang w:eastAsia="en-US"/>
        </w:rPr>
        <w:t>-</w:t>
      </w:r>
      <w:r w:rsidRPr="00291086">
        <w:rPr>
          <w:rFonts w:eastAsia="Calibri"/>
          <w:color w:val="000000"/>
          <w:lang w:eastAsia="en-US"/>
        </w:rPr>
        <w:t>assured medical supply kits to approximately 2000</w:t>
      </w:r>
      <w:r>
        <w:rPr>
          <w:rFonts w:eastAsia="Calibri"/>
          <w:color w:val="000000"/>
          <w:lang w:eastAsia="en-US"/>
        </w:rPr>
        <w:t> </w:t>
      </w:r>
      <w:r w:rsidRPr="00291086">
        <w:rPr>
          <w:rFonts w:eastAsia="Calibri"/>
          <w:color w:val="000000"/>
          <w:lang w:eastAsia="en-US"/>
        </w:rPr>
        <w:t xml:space="preserve">health facilities. </w:t>
      </w:r>
    </w:p>
    <w:p w14:paraId="0B70FB5F" w14:textId="77777777" w:rsidR="00717847" w:rsidRPr="00291086" w:rsidRDefault="00717847" w:rsidP="00895E07">
      <w:pPr>
        <w:pStyle w:val="BodyText"/>
        <w:rPr>
          <w:rFonts w:eastAsia="Calibri"/>
          <w:i/>
          <w:lang w:eastAsia="en-US"/>
        </w:rPr>
      </w:pPr>
      <w:r w:rsidRPr="00291086">
        <w:rPr>
          <w:rFonts w:eastAsia="Calibri"/>
          <w:i/>
          <w:lang w:eastAsia="en-US"/>
        </w:rPr>
        <w:t xml:space="preserve">Adviser </w:t>
      </w:r>
      <w:r>
        <w:rPr>
          <w:rFonts w:eastAsia="Calibri"/>
          <w:i/>
          <w:lang w:eastAsia="en-US"/>
        </w:rPr>
        <w:t>n</w:t>
      </w:r>
      <w:r w:rsidRPr="00291086">
        <w:rPr>
          <w:rFonts w:eastAsia="Calibri"/>
          <w:i/>
          <w:lang w:eastAsia="en-US"/>
        </w:rPr>
        <w:t>umbers</w:t>
      </w:r>
    </w:p>
    <w:p w14:paraId="0B70FB60" w14:textId="77777777" w:rsidR="00717847" w:rsidRPr="00291086" w:rsidRDefault="00717847" w:rsidP="00895E07">
      <w:pPr>
        <w:pStyle w:val="BodyText"/>
        <w:rPr>
          <w:rFonts w:eastAsia="Calibri"/>
          <w:lang w:eastAsia="en-US"/>
        </w:rPr>
      </w:pPr>
      <w:r w:rsidRPr="00291086">
        <w:rPr>
          <w:rFonts w:eastAsia="Calibri"/>
        </w:rPr>
        <w:t>In the 2010</w:t>
      </w:r>
      <w:r>
        <w:rPr>
          <w:rFonts w:eastAsia="Calibri"/>
        </w:rPr>
        <w:t>–</w:t>
      </w:r>
      <w:r w:rsidRPr="00291086">
        <w:rPr>
          <w:rFonts w:eastAsia="Calibri"/>
        </w:rPr>
        <w:t>11</w:t>
      </w:r>
      <w:r>
        <w:rPr>
          <w:rFonts w:eastAsia="Calibri"/>
        </w:rPr>
        <w:t xml:space="preserve"> Australian Budget Statement, the </w:t>
      </w:r>
      <w:r w:rsidRPr="00291086">
        <w:rPr>
          <w:rFonts w:eastAsia="Calibri"/>
        </w:rPr>
        <w:t>Australian Foreign Minister announced a review of all adviser positions funded by the Australian aid program. Australia and PNG agreed to a joint review to assess the cost and effectiveness of technical advisers in the PNG</w:t>
      </w:r>
      <w:r>
        <w:rPr>
          <w:rFonts w:eastAsia="Calibri"/>
        </w:rPr>
        <w:t xml:space="preserve"> –</w:t>
      </w:r>
      <w:r>
        <w:rPr>
          <w:rFonts w:ascii="Cambria Math" w:eastAsia="Calibri" w:hAnsi="Cambria Math" w:cs="Cambria Math"/>
        </w:rPr>
        <w:t xml:space="preserve"> </w:t>
      </w:r>
      <w:r w:rsidRPr="00291086">
        <w:rPr>
          <w:rFonts w:eastAsia="Calibri"/>
        </w:rPr>
        <w:t xml:space="preserve">Australia aid program. </w:t>
      </w:r>
      <w:r w:rsidRPr="00291086">
        <w:rPr>
          <w:rFonts w:eastAsia="Calibri"/>
          <w:lang w:eastAsia="en-US"/>
        </w:rPr>
        <w:t xml:space="preserve">The </w:t>
      </w:r>
      <w:r>
        <w:rPr>
          <w:rFonts w:eastAsia="Calibri"/>
          <w:lang w:eastAsia="en-US"/>
        </w:rPr>
        <w:t xml:space="preserve">resulting Joint Review of Adviser Effectiveness </w:t>
      </w:r>
      <w:r w:rsidRPr="00291086">
        <w:rPr>
          <w:rFonts w:eastAsia="Calibri"/>
          <w:lang w:eastAsia="en-US"/>
        </w:rPr>
        <w:t>was conducted in the context of the PNG</w:t>
      </w:r>
      <w:r>
        <w:rPr>
          <w:rFonts w:eastAsia="Calibri"/>
          <w:lang w:eastAsia="en-US"/>
        </w:rPr>
        <w:t xml:space="preserve"> –</w:t>
      </w:r>
      <w:r>
        <w:rPr>
          <w:rFonts w:ascii="Cambria Math" w:eastAsia="Calibri" w:hAnsi="Cambria Math" w:cs="Cambria Math"/>
          <w:lang w:eastAsia="en-US"/>
        </w:rPr>
        <w:t xml:space="preserve"> </w:t>
      </w:r>
      <w:r w:rsidRPr="00291086">
        <w:rPr>
          <w:rFonts w:eastAsia="Calibri"/>
          <w:lang w:eastAsia="en-US"/>
        </w:rPr>
        <w:t>Australia Development Cooperation Treaty Review (April 2010)</w:t>
      </w:r>
      <w:r>
        <w:rPr>
          <w:rFonts w:eastAsia="Calibri"/>
          <w:lang w:eastAsia="en-US"/>
        </w:rPr>
        <w:t>. It</w:t>
      </w:r>
      <w:r w:rsidRPr="00291086">
        <w:rPr>
          <w:rFonts w:eastAsia="Calibri"/>
          <w:lang w:eastAsia="en-US"/>
        </w:rPr>
        <w:t xml:space="preserve"> recommend</w:t>
      </w:r>
      <w:r>
        <w:rPr>
          <w:rFonts w:eastAsia="Calibri"/>
          <w:lang w:eastAsia="en-US"/>
        </w:rPr>
        <w:t>ed</w:t>
      </w:r>
      <w:r w:rsidRPr="00291086">
        <w:rPr>
          <w:rFonts w:eastAsia="Calibri"/>
          <w:lang w:eastAsia="en-US"/>
        </w:rPr>
        <w:t xml:space="preserve"> significant changes to the aid program</w:t>
      </w:r>
      <w:r>
        <w:rPr>
          <w:rFonts w:eastAsia="Calibri"/>
          <w:lang w:eastAsia="en-US"/>
        </w:rPr>
        <w:t xml:space="preserve"> in PNG</w:t>
      </w:r>
      <w:r w:rsidRPr="00291086">
        <w:rPr>
          <w:rFonts w:eastAsia="Calibri"/>
          <w:lang w:eastAsia="en-US"/>
        </w:rPr>
        <w:t xml:space="preserve"> including reducing reliance on technical assistance personnel. </w:t>
      </w:r>
    </w:p>
    <w:p w14:paraId="0B70FB61" w14:textId="7A74D525" w:rsidR="00717847" w:rsidRPr="00291086" w:rsidRDefault="00717847" w:rsidP="00895E07">
      <w:pPr>
        <w:pStyle w:val="BodyText"/>
        <w:rPr>
          <w:rFonts w:eastAsia="Calibri"/>
          <w:lang w:eastAsia="en-US"/>
        </w:rPr>
      </w:pPr>
      <w:r w:rsidRPr="00BB3677">
        <w:rPr>
          <w:rFonts w:eastAsia="Calibri"/>
          <w:lang w:eastAsia="en-US"/>
        </w:rPr>
        <w:t>As of 31 December 2012, 181 adviser positions were phased out from a total of 487</w:t>
      </w:r>
      <w:r>
        <w:rPr>
          <w:rFonts w:eastAsia="Calibri"/>
          <w:lang w:eastAsia="en-US"/>
        </w:rPr>
        <w:t xml:space="preserve">, in line with the recommendation of the </w:t>
      </w:r>
      <w:r w:rsidRPr="00BB3677">
        <w:rPr>
          <w:rFonts w:eastAsia="Calibri"/>
          <w:lang w:eastAsia="en-US"/>
        </w:rPr>
        <w:t>Joint Adviser Review</w:t>
      </w:r>
      <w:r>
        <w:rPr>
          <w:rFonts w:eastAsia="Calibri"/>
          <w:lang w:eastAsia="en-US"/>
        </w:rPr>
        <w:t xml:space="preserve">. </w:t>
      </w:r>
      <w:r w:rsidRPr="00291086">
        <w:rPr>
          <w:rFonts w:eastAsia="Calibri"/>
          <w:lang w:eastAsia="en-US"/>
        </w:rPr>
        <w:t xml:space="preserve">As of </w:t>
      </w:r>
      <w:r>
        <w:rPr>
          <w:rFonts w:eastAsia="Calibri"/>
          <w:lang w:eastAsia="en-US"/>
        </w:rPr>
        <w:t>22</w:t>
      </w:r>
      <w:r w:rsidRPr="00291086">
        <w:rPr>
          <w:rFonts w:eastAsia="Calibri"/>
          <w:lang w:eastAsia="en-US"/>
        </w:rPr>
        <w:t xml:space="preserve"> May 2013, </w:t>
      </w:r>
      <w:r w:rsidR="00272B30">
        <w:rPr>
          <w:rFonts w:eastAsia="Calibri"/>
          <w:lang w:eastAsia="en-US"/>
        </w:rPr>
        <w:t xml:space="preserve">the Australian </w:t>
      </w:r>
      <w:r w:rsidR="00755273">
        <w:rPr>
          <w:rFonts w:eastAsia="Calibri"/>
          <w:lang w:eastAsia="en-US"/>
        </w:rPr>
        <w:t>Government</w:t>
      </w:r>
      <w:r w:rsidR="00272B30" w:rsidRPr="00291086">
        <w:rPr>
          <w:rFonts w:eastAsia="Calibri"/>
          <w:lang w:eastAsia="en-US"/>
        </w:rPr>
        <w:t xml:space="preserve"> </w:t>
      </w:r>
      <w:r w:rsidRPr="00291086">
        <w:rPr>
          <w:rFonts w:eastAsia="Calibri"/>
          <w:lang w:eastAsia="en-US"/>
        </w:rPr>
        <w:t xml:space="preserve">funded </w:t>
      </w:r>
      <w:r>
        <w:rPr>
          <w:rFonts w:eastAsia="Calibri"/>
          <w:lang w:eastAsia="en-US"/>
        </w:rPr>
        <w:t xml:space="preserve">308 </w:t>
      </w:r>
      <w:r w:rsidRPr="00291086">
        <w:rPr>
          <w:rFonts w:eastAsia="Calibri"/>
          <w:lang w:eastAsia="en-US"/>
        </w:rPr>
        <w:t>long</w:t>
      </w:r>
      <w:r>
        <w:rPr>
          <w:rFonts w:eastAsia="Calibri"/>
          <w:lang w:eastAsia="en-US"/>
        </w:rPr>
        <w:t>-</w:t>
      </w:r>
      <w:r w:rsidRPr="00291086">
        <w:rPr>
          <w:rFonts w:eastAsia="Calibri"/>
          <w:lang w:eastAsia="en-US"/>
        </w:rPr>
        <w:t>term advisers in PNG.</w:t>
      </w:r>
    </w:p>
    <w:p w14:paraId="0B70FB62" w14:textId="77777777" w:rsidR="00717847" w:rsidRPr="00291086" w:rsidRDefault="00717847" w:rsidP="00895E07">
      <w:pPr>
        <w:pStyle w:val="BodyText"/>
        <w:rPr>
          <w:rFonts w:eastAsia="Calibri"/>
          <w:i/>
          <w:lang w:eastAsia="en-US"/>
        </w:rPr>
      </w:pPr>
      <w:r w:rsidRPr="00291086">
        <w:rPr>
          <w:rFonts w:eastAsia="Calibri"/>
          <w:i/>
          <w:lang w:eastAsia="en-US"/>
        </w:rPr>
        <w:t xml:space="preserve">Civil </w:t>
      </w:r>
      <w:r>
        <w:rPr>
          <w:rFonts w:eastAsia="Calibri"/>
          <w:i/>
          <w:lang w:eastAsia="en-US"/>
        </w:rPr>
        <w:t>s</w:t>
      </w:r>
      <w:r w:rsidRPr="00291086">
        <w:rPr>
          <w:rFonts w:eastAsia="Calibri"/>
          <w:i/>
          <w:lang w:eastAsia="en-US"/>
        </w:rPr>
        <w:t xml:space="preserve">ociety </w:t>
      </w:r>
      <w:r>
        <w:rPr>
          <w:rFonts w:eastAsia="Calibri"/>
          <w:i/>
          <w:lang w:eastAsia="en-US"/>
        </w:rPr>
        <w:t>e</w:t>
      </w:r>
      <w:r w:rsidRPr="00291086">
        <w:rPr>
          <w:rFonts w:eastAsia="Calibri"/>
          <w:i/>
          <w:lang w:eastAsia="en-US"/>
        </w:rPr>
        <w:t>ngagement</w:t>
      </w:r>
    </w:p>
    <w:p w14:paraId="0B70FB63" w14:textId="77777777" w:rsidR="00717847" w:rsidRDefault="00717847" w:rsidP="00895E07">
      <w:pPr>
        <w:pStyle w:val="BodyText"/>
        <w:rPr>
          <w:rFonts w:eastAsia="Calibri"/>
        </w:rPr>
      </w:pPr>
      <w:r w:rsidRPr="00291086">
        <w:rPr>
          <w:rFonts w:eastAsia="Calibri"/>
        </w:rPr>
        <w:t>Australia recognises that civil society partners can be powerful agents for change in PNG in deliver</w:t>
      </w:r>
      <w:r>
        <w:rPr>
          <w:rFonts w:eastAsia="Calibri"/>
        </w:rPr>
        <w:t>ing</w:t>
      </w:r>
      <w:r w:rsidRPr="00291086">
        <w:rPr>
          <w:rFonts w:eastAsia="Calibri"/>
        </w:rPr>
        <w:t xml:space="preserve"> better services, enab</w:t>
      </w:r>
      <w:r>
        <w:rPr>
          <w:rFonts w:eastAsia="Calibri"/>
        </w:rPr>
        <w:t xml:space="preserve">ling social inclusion and enhancing the </w:t>
      </w:r>
      <w:r w:rsidRPr="00291086">
        <w:rPr>
          <w:rFonts w:eastAsia="Calibri"/>
        </w:rPr>
        <w:t>effective</w:t>
      </w:r>
      <w:r>
        <w:rPr>
          <w:rFonts w:eastAsia="Calibri"/>
        </w:rPr>
        <w:t>ness, accountability and transparency of all levels of PNG Government.</w:t>
      </w:r>
    </w:p>
    <w:p w14:paraId="0B70FB64" w14:textId="77777777" w:rsidR="00717847" w:rsidRDefault="00717847" w:rsidP="00895E07">
      <w:pPr>
        <w:pStyle w:val="BodyText"/>
        <w:rPr>
          <w:rFonts w:eastAsia="Calibri"/>
        </w:rPr>
      </w:pPr>
    </w:p>
    <w:p w14:paraId="0B70FB65" w14:textId="77777777" w:rsidR="00717847" w:rsidRDefault="00717847" w:rsidP="00895E07">
      <w:pPr>
        <w:pStyle w:val="BodyText"/>
        <w:rPr>
          <w:rFonts w:eastAsia="Calibri"/>
        </w:rPr>
      </w:pPr>
      <w:r>
        <w:rPr>
          <w:rFonts w:eastAsia="Calibri"/>
        </w:rPr>
        <w:t xml:space="preserve">Australia engages </w:t>
      </w:r>
      <w:r w:rsidRPr="00291086">
        <w:rPr>
          <w:rFonts w:eastAsia="Calibri"/>
        </w:rPr>
        <w:t xml:space="preserve">with civil society in </w:t>
      </w:r>
      <w:r>
        <w:rPr>
          <w:rFonts w:eastAsia="Calibri"/>
        </w:rPr>
        <w:t>delivering</w:t>
      </w:r>
      <w:r w:rsidRPr="00291086">
        <w:rPr>
          <w:rFonts w:eastAsia="Calibri"/>
        </w:rPr>
        <w:t xml:space="preserve"> most of its </w:t>
      </w:r>
      <w:r>
        <w:rPr>
          <w:rFonts w:eastAsia="Calibri"/>
        </w:rPr>
        <w:t xml:space="preserve">PNG </w:t>
      </w:r>
      <w:r w:rsidRPr="00291086">
        <w:rPr>
          <w:rFonts w:eastAsia="Calibri"/>
        </w:rPr>
        <w:t xml:space="preserve">programs, and has programs </w:t>
      </w:r>
      <w:r>
        <w:rPr>
          <w:rFonts w:eastAsia="Calibri"/>
        </w:rPr>
        <w:t>that</w:t>
      </w:r>
      <w:r w:rsidRPr="00291086">
        <w:rPr>
          <w:rFonts w:eastAsia="Calibri"/>
        </w:rPr>
        <w:t xml:space="preserve"> support</w:t>
      </w:r>
      <w:r>
        <w:rPr>
          <w:rFonts w:eastAsia="Calibri"/>
        </w:rPr>
        <w:t xml:space="preserve"> </w:t>
      </w:r>
      <w:r w:rsidRPr="00291086">
        <w:rPr>
          <w:rFonts w:eastAsia="Calibri"/>
        </w:rPr>
        <w:t>the development of a more informed and engaged civil society</w:t>
      </w:r>
      <w:r>
        <w:rPr>
          <w:rFonts w:eastAsia="Calibri"/>
        </w:rPr>
        <w:t>. Some examples include:</w:t>
      </w:r>
    </w:p>
    <w:p w14:paraId="0B70FB66" w14:textId="77777777" w:rsidR="00717847" w:rsidRPr="00291086" w:rsidRDefault="00717847" w:rsidP="00895E07">
      <w:pPr>
        <w:pStyle w:val="ListBullet"/>
        <w:rPr>
          <w:rFonts w:eastAsia="Calibri"/>
        </w:rPr>
      </w:pPr>
      <w:r>
        <w:rPr>
          <w:rFonts w:eastAsia="Calibri"/>
        </w:rPr>
        <w:t>Th</w:t>
      </w:r>
      <w:r w:rsidRPr="00E5303B">
        <w:rPr>
          <w:rFonts w:eastAsia="Calibri"/>
        </w:rPr>
        <w:t xml:space="preserve">e </w:t>
      </w:r>
      <w:r w:rsidRPr="00FE61B7">
        <w:rPr>
          <w:rFonts w:eastAsia="Calibri"/>
        </w:rPr>
        <w:t>SPSN</w:t>
      </w:r>
      <w:r w:rsidRPr="00E5303B">
        <w:rPr>
          <w:rFonts w:eastAsia="Calibri"/>
        </w:rPr>
        <w:t xml:space="preserve"> program</w:t>
      </w:r>
      <w:r w:rsidRPr="00291086">
        <w:rPr>
          <w:rFonts w:eastAsia="Calibri"/>
        </w:rPr>
        <w:t xml:space="preserve"> works at community level in all provinces to provide civil society and other key stakeholders with</w:t>
      </w:r>
      <w:r>
        <w:rPr>
          <w:rFonts w:eastAsia="Calibri"/>
        </w:rPr>
        <w:t xml:space="preserve"> </w:t>
      </w:r>
      <w:r w:rsidRPr="00291086">
        <w:rPr>
          <w:rFonts w:eastAsia="Calibri"/>
        </w:rPr>
        <w:t xml:space="preserve">support and resources, including </w:t>
      </w:r>
      <w:r>
        <w:rPr>
          <w:rFonts w:eastAsia="Calibri"/>
        </w:rPr>
        <w:t xml:space="preserve">through </w:t>
      </w:r>
      <w:r w:rsidRPr="00291086">
        <w:rPr>
          <w:rFonts w:eastAsia="Calibri"/>
        </w:rPr>
        <w:t>grants, capacity building, networ</w:t>
      </w:r>
      <w:r>
        <w:rPr>
          <w:rFonts w:eastAsia="Calibri"/>
        </w:rPr>
        <w:t>king opportunities and research.</w:t>
      </w:r>
    </w:p>
    <w:p w14:paraId="0B70FB67" w14:textId="79EA3D07" w:rsidR="00717847" w:rsidRPr="00291086" w:rsidRDefault="00717847" w:rsidP="00895E07">
      <w:pPr>
        <w:pStyle w:val="ListBullet"/>
        <w:rPr>
          <w:rFonts w:eastAsia="Calibri"/>
        </w:rPr>
      </w:pPr>
      <w:r w:rsidRPr="00291086">
        <w:rPr>
          <w:rFonts w:eastAsia="Calibri"/>
        </w:rPr>
        <w:t>Aus</w:t>
      </w:r>
      <w:r w:rsidR="00B3755D">
        <w:rPr>
          <w:rFonts w:eastAsia="Calibri"/>
        </w:rPr>
        <w:t>tralia</w:t>
      </w:r>
      <w:r w:rsidRPr="00291086">
        <w:rPr>
          <w:rFonts w:eastAsia="Calibri"/>
        </w:rPr>
        <w:t xml:space="preserve"> funds HIV prevention, testing and treatment services</w:t>
      </w:r>
      <w:r>
        <w:rPr>
          <w:rFonts w:eastAsia="Calibri"/>
        </w:rPr>
        <w:t>,</w:t>
      </w:r>
      <w:r w:rsidRPr="00291086">
        <w:rPr>
          <w:rFonts w:eastAsia="Calibri"/>
        </w:rPr>
        <w:t xml:space="preserve"> delivered through </w:t>
      </w:r>
      <w:r>
        <w:rPr>
          <w:rFonts w:eastAsia="Calibri"/>
        </w:rPr>
        <w:t>more than</w:t>
      </w:r>
      <w:r w:rsidRPr="00291086">
        <w:rPr>
          <w:rFonts w:eastAsia="Calibri"/>
        </w:rPr>
        <w:t xml:space="preserve"> 20 </w:t>
      </w:r>
      <w:r>
        <w:rPr>
          <w:rFonts w:eastAsia="Calibri"/>
        </w:rPr>
        <w:t>NGOs</w:t>
      </w:r>
      <w:r w:rsidRPr="00291086">
        <w:rPr>
          <w:rFonts w:eastAsia="Calibri"/>
        </w:rPr>
        <w:t xml:space="preserve">. </w:t>
      </w:r>
      <w:r>
        <w:rPr>
          <w:rFonts w:eastAsia="Calibri"/>
        </w:rPr>
        <w:t>More than</w:t>
      </w:r>
      <w:r w:rsidRPr="00291086">
        <w:rPr>
          <w:rFonts w:eastAsia="Calibri"/>
        </w:rPr>
        <w:t xml:space="preserve"> 60 per cent of Aus</w:t>
      </w:r>
      <w:r w:rsidR="00E95042">
        <w:rPr>
          <w:rFonts w:eastAsia="Calibri"/>
        </w:rPr>
        <w:t>tralia’</w:t>
      </w:r>
      <w:r w:rsidRPr="00291086">
        <w:rPr>
          <w:rFonts w:eastAsia="Calibri"/>
        </w:rPr>
        <w:t xml:space="preserve">s HIV funding goes directly to NGOs whose services comprise </w:t>
      </w:r>
      <w:r>
        <w:rPr>
          <w:rFonts w:eastAsia="Calibri"/>
        </w:rPr>
        <w:t>more than</w:t>
      </w:r>
      <w:r w:rsidRPr="00291086">
        <w:rPr>
          <w:rFonts w:eastAsia="Calibri"/>
        </w:rPr>
        <w:t xml:space="preserve"> half of all HIV testing and </w:t>
      </w:r>
      <w:r>
        <w:rPr>
          <w:rFonts w:eastAsia="Calibri"/>
        </w:rPr>
        <w:t>more than one-</w:t>
      </w:r>
      <w:r w:rsidRPr="00291086">
        <w:rPr>
          <w:rFonts w:eastAsia="Calibri"/>
        </w:rPr>
        <w:t>third o</w:t>
      </w:r>
      <w:r>
        <w:rPr>
          <w:rFonts w:eastAsia="Calibri"/>
        </w:rPr>
        <w:t>f all treatment provided in PNG.</w:t>
      </w:r>
    </w:p>
    <w:p w14:paraId="0B70FB68" w14:textId="77777777" w:rsidR="00717847" w:rsidRPr="00291086" w:rsidRDefault="00717847" w:rsidP="00895E07">
      <w:pPr>
        <w:pStyle w:val="ListBullet"/>
        <w:rPr>
          <w:rFonts w:eastAsia="Calibri"/>
        </w:rPr>
      </w:pPr>
      <w:r w:rsidRPr="00291086">
        <w:rPr>
          <w:rFonts w:eastAsia="Calibri"/>
        </w:rPr>
        <w:t xml:space="preserve">The Church Partnership Program supports PNG churches to promote good governance and deliver basic services to some of PNG’s most remote and disadvantaged communities. This support is important as churches run about </w:t>
      </w:r>
      <w:r>
        <w:rPr>
          <w:rFonts w:eastAsia="Calibri"/>
        </w:rPr>
        <w:t>50 </w:t>
      </w:r>
      <w:r w:rsidRPr="00291086">
        <w:rPr>
          <w:rFonts w:eastAsia="Calibri"/>
        </w:rPr>
        <w:t xml:space="preserve">per cent of health services and </w:t>
      </w:r>
      <w:r>
        <w:rPr>
          <w:rFonts w:eastAsia="Calibri"/>
        </w:rPr>
        <w:t>40 per cent of schools in PNG.</w:t>
      </w:r>
      <w:r w:rsidRPr="00291086">
        <w:rPr>
          <w:rFonts w:eastAsia="Calibri"/>
        </w:rPr>
        <w:t xml:space="preserve"> </w:t>
      </w:r>
    </w:p>
    <w:p w14:paraId="0B70FB69" w14:textId="2A343BD1" w:rsidR="00717847" w:rsidRPr="00291086" w:rsidRDefault="00B3755D" w:rsidP="00895E07">
      <w:pPr>
        <w:pStyle w:val="ListBullet"/>
        <w:rPr>
          <w:rFonts w:eastAsia="Calibri"/>
        </w:rPr>
      </w:pPr>
      <w:r>
        <w:rPr>
          <w:rFonts w:eastAsia="Calibri"/>
        </w:rPr>
        <w:t xml:space="preserve">The Australian Government </w:t>
      </w:r>
      <w:r w:rsidR="00717847" w:rsidRPr="00291086">
        <w:rPr>
          <w:rFonts w:eastAsia="Calibri"/>
        </w:rPr>
        <w:t>works with CARE Australia to strengthen partnerships between communities, government and civil society organisations to identify, prioritise and address development needs. This aims to improve health, education, livelihoods, disaster preparedness and community governance in very remote and disadvantaged districts in PNG.</w:t>
      </w:r>
    </w:p>
    <w:p w14:paraId="0B70FB6A" w14:textId="77777777" w:rsidR="00717847" w:rsidRPr="00895E07" w:rsidRDefault="00717847" w:rsidP="00895E07">
      <w:pPr>
        <w:pStyle w:val="BodyText"/>
        <w:rPr>
          <w:rFonts w:eastAsia="Calibri"/>
          <w:i/>
          <w:lang w:eastAsia="en-US"/>
        </w:rPr>
      </w:pPr>
      <w:r w:rsidRPr="00895E07">
        <w:rPr>
          <w:rFonts w:eastAsia="Calibri"/>
          <w:i/>
          <w:lang w:eastAsia="en-US"/>
        </w:rPr>
        <w:t>Business engagement</w:t>
      </w:r>
    </w:p>
    <w:p w14:paraId="0B70FB6B" w14:textId="6F21DCFB" w:rsidR="00717847" w:rsidRDefault="00272B30" w:rsidP="00895E07">
      <w:pPr>
        <w:pStyle w:val="BodyText"/>
        <w:rPr>
          <w:rFonts w:eastAsia="Calibri"/>
          <w:lang w:eastAsia="en-US"/>
        </w:rPr>
      </w:pPr>
      <w:r>
        <w:rPr>
          <w:rFonts w:eastAsia="Calibri"/>
          <w:lang w:eastAsia="en-US"/>
        </w:rPr>
        <w:t>The Australian Government</w:t>
      </w:r>
      <w:r w:rsidRPr="00291086">
        <w:rPr>
          <w:rFonts w:eastAsia="Calibri"/>
          <w:lang w:eastAsia="en-US"/>
        </w:rPr>
        <w:t xml:space="preserve"> </w:t>
      </w:r>
      <w:r w:rsidR="00717847" w:rsidRPr="00291086">
        <w:rPr>
          <w:rFonts w:eastAsia="Calibri"/>
          <w:lang w:eastAsia="en-US"/>
        </w:rPr>
        <w:t>has held preliminary discussions with the Australia</w:t>
      </w:r>
      <w:r w:rsidR="00717847">
        <w:rPr>
          <w:rFonts w:eastAsia="Calibri"/>
          <w:lang w:eastAsia="en-US"/>
        </w:rPr>
        <w:t xml:space="preserve"> – </w:t>
      </w:r>
      <w:r w:rsidR="00717847" w:rsidRPr="00291086">
        <w:rPr>
          <w:rFonts w:eastAsia="Calibri"/>
          <w:lang w:eastAsia="en-US"/>
        </w:rPr>
        <w:t xml:space="preserve">PNG Business Council, the Business Council of PNG, </w:t>
      </w:r>
      <w:r w:rsidR="00717847">
        <w:rPr>
          <w:rFonts w:eastAsia="Calibri"/>
          <w:lang w:eastAsia="en-US"/>
        </w:rPr>
        <w:t xml:space="preserve">PNG chambers of commerce, </w:t>
      </w:r>
      <w:r w:rsidR="00717847" w:rsidRPr="00291086">
        <w:rPr>
          <w:rFonts w:eastAsia="Calibri"/>
          <w:lang w:eastAsia="en-US"/>
        </w:rPr>
        <w:t>and the International F</w:t>
      </w:r>
      <w:r w:rsidR="00717847">
        <w:rPr>
          <w:rFonts w:eastAsia="Calibri"/>
          <w:lang w:eastAsia="en-US"/>
        </w:rPr>
        <w:t>inance Corporation. The Agency is also</w:t>
      </w:r>
      <w:r w:rsidR="00717847" w:rsidRPr="00291086">
        <w:rPr>
          <w:rFonts w:eastAsia="Calibri"/>
          <w:lang w:eastAsia="en-US"/>
        </w:rPr>
        <w:t xml:space="preserve"> committed to engaging with th</w:t>
      </w:r>
      <w:r w:rsidR="00717847">
        <w:rPr>
          <w:rFonts w:eastAsia="Calibri"/>
          <w:lang w:eastAsia="en-US"/>
        </w:rPr>
        <w:t xml:space="preserve">e private sector to jointly achieve improved poverty reduction and service delivery </w:t>
      </w:r>
      <w:r w:rsidR="00717847" w:rsidRPr="00291086">
        <w:rPr>
          <w:rFonts w:eastAsia="Calibri"/>
          <w:lang w:eastAsia="en-US"/>
        </w:rPr>
        <w:t>outcomes</w:t>
      </w:r>
      <w:r w:rsidR="00717847">
        <w:rPr>
          <w:rFonts w:eastAsia="Calibri"/>
          <w:lang w:eastAsia="en-US"/>
        </w:rPr>
        <w:t xml:space="preserve">. </w:t>
      </w:r>
    </w:p>
    <w:p w14:paraId="0B70FB6C" w14:textId="77777777" w:rsidR="00717847" w:rsidRPr="0000429B" w:rsidRDefault="00717847" w:rsidP="00895E07">
      <w:pPr>
        <w:pStyle w:val="BodyText"/>
        <w:rPr>
          <w:rFonts w:eastAsia="Calibri"/>
          <w:lang w:eastAsia="en-US"/>
        </w:rPr>
      </w:pPr>
      <w:r>
        <w:rPr>
          <w:rFonts w:eastAsia="Calibri"/>
          <w:lang w:eastAsia="en-US"/>
        </w:rPr>
        <w:t xml:space="preserve">On 10 May 2013, Australia’s </w:t>
      </w:r>
      <w:r w:rsidRPr="0000429B">
        <w:rPr>
          <w:rFonts w:eastAsia="Calibri"/>
          <w:lang w:eastAsia="en-US"/>
        </w:rPr>
        <w:t xml:space="preserve">Prime Minister launched the PNG </w:t>
      </w:r>
      <w:r>
        <w:rPr>
          <w:rFonts w:eastAsia="Calibri"/>
          <w:lang w:eastAsia="en-US"/>
        </w:rPr>
        <w:t>W</w:t>
      </w:r>
      <w:r w:rsidRPr="0000429B">
        <w:rPr>
          <w:rFonts w:eastAsia="Calibri"/>
          <w:lang w:eastAsia="en-US"/>
        </w:rPr>
        <w:t xml:space="preserve">omen in </w:t>
      </w:r>
      <w:r>
        <w:rPr>
          <w:rFonts w:eastAsia="Calibri"/>
          <w:lang w:eastAsia="en-US"/>
        </w:rPr>
        <w:t>B</w:t>
      </w:r>
      <w:r w:rsidRPr="0000429B">
        <w:rPr>
          <w:rFonts w:eastAsia="Calibri"/>
          <w:lang w:eastAsia="en-US"/>
        </w:rPr>
        <w:t xml:space="preserve">usiness </w:t>
      </w:r>
      <w:r>
        <w:rPr>
          <w:rFonts w:eastAsia="Calibri"/>
          <w:lang w:eastAsia="en-US"/>
        </w:rPr>
        <w:t>I</w:t>
      </w:r>
      <w:r w:rsidRPr="0000429B">
        <w:rPr>
          <w:rFonts w:eastAsia="Calibri"/>
          <w:lang w:eastAsia="en-US"/>
        </w:rPr>
        <w:t>nitiative to assist more P</w:t>
      </w:r>
      <w:r>
        <w:rPr>
          <w:rFonts w:eastAsia="Calibri"/>
          <w:lang w:eastAsia="en-US"/>
        </w:rPr>
        <w:t>NG</w:t>
      </w:r>
      <w:r w:rsidRPr="0000429B">
        <w:rPr>
          <w:rFonts w:eastAsia="Calibri"/>
          <w:lang w:eastAsia="en-US"/>
        </w:rPr>
        <w:t xml:space="preserve"> women take full advantage of the country’s growing economic opportunities. The PNG </w:t>
      </w:r>
      <w:r>
        <w:rPr>
          <w:rFonts w:eastAsia="Calibri"/>
          <w:lang w:eastAsia="en-US"/>
        </w:rPr>
        <w:t>W</w:t>
      </w:r>
      <w:r w:rsidRPr="0000429B">
        <w:rPr>
          <w:rFonts w:eastAsia="Calibri"/>
          <w:lang w:eastAsia="en-US"/>
        </w:rPr>
        <w:t xml:space="preserve">omen in </w:t>
      </w:r>
      <w:r>
        <w:rPr>
          <w:rFonts w:eastAsia="Calibri"/>
          <w:lang w:eastAsia="en-US"/>
        </w:rPr>
        <w:t>B</w:t>
      </w:r>
      <w:r w:rsidRPr="0000429B">
        <w:rPr>
          <w:rFonts w:eastAsia="Calibri"/>
          <w:lang w:eastAsia="en-US"/>
        </w:rPr>
        <w:t xml:space="preserve">usiness </w:t>
      </w:r>
      <w:r>
        <w:rPr>
          <w:rFonts w:eastAsia="Calibri"/>
          <w:lang w:eastAsia="en-US"/>
        </w:rPr>
        <w:t>I</w:t>
      </w:r>
      <w:r w:rsidRPr="0000429B">
        <w:rPr>
          <w:rFonts w:eastAsia="Calibri"/>
          <w:lang w:eastAsia="en-US"/>
        </w:rPr>
        <w:t xml:space="preserve">nitiative will support PNG businesses to connect women in business and enhance the status of women in workplaces. </w:t>
      </w:r>
    </w:p>
    <w:p w14:paraId="0B70FB6D" w14:textId="77777777" w:rsidR="00717847" w:rsidRPr="00895E07" w:rsidRDefault="00717847" w:rsidP="00895E07">
      <w:pPr>
        <w:pStyle w:val="BodyText"/>
        <w:rPr>
          <w:rFonts w:eastAsia="Calibri"/>
          <w:i/>
          <w:lang w:eastAsia="en-US"/>
        </w:rPr>
      </w:pPr>
      <w:r w:rsidRPr="00895E07">
        <w:rPr>
          <w:rFonts w:eastAsia="Calibri"/>
          <w:i/>
          <w:lang w:eastAsia="en-US"/>
        </w:rPr>
        <w:t>Performance assessment framework</w:t>
      </w:r>
    </w:p>
    <w:p w14:paraId="0B70FB6E" w14:textId="77777777" w:rsidR="00717847" w:rsidRPr="0006299F" w:rsidRDefault="00717847" w:rsidP="00895E07">
      <w:pPr>
        <w:pStyle w:val="BodyText"/>
        <w:rPr>
          <w:rFonts w:eastAsia="Calibri"/>
          <w:lang w:eastAsia="en-US"/>
        </w:rPr>
      </w:pPr>
      <w:r>
        <w:rPr>
          <w:rFonts w:eastAsia="Calibri"/>
          <w:lang w:eastAsia="en-US"/>
        </w:rPr>
        <w:t xml:space="preserve">Australia has developed a draft performance assessment framework for the PNG program as part of its overall performance monitoring system. The framework is a planning and management tool to help us manage for and report on results. We will complete the framework for the PNG program by December 2013, in consultation with the PNG Government. </w:t>
      </w:r>
    </w:p>
    <w:p w14:paraId="0B70FB6F" w14:textId="77777777" w:rsidR="00717847" w:rsidRPr="00895E07" w:rsidRDefault="00717847" w:rsidP="00895E07">
      <w:pPr>
        <w:pStyle w:val="BodyText"/>
        <w:rPr>
          <w:rFonts w:eastAsia="Calibri"/>
          <w:i/>
          <w:lang w:eastAsia="en-US"/>
        </w:rPr>
      </w:pPr>
      <w:r w:rsidRPr="00895E07">
        <w:rPr>
          <w:rFonts w:eastAsia="Calibri"/>
          <w:i/>
          <w:lang w:eastAsia="en-US"/>
        </w:rPr>
        <w:t>Assisting with PNG’s M&amp;E capacity</w:t>
      </w:r>
    </w:p>
    <w:p w14:paraId="0B70FB70" w14:textId="77777777" w:rsidR="00717847" w:rsidRDefault="00717847" w:rsidP="00895E07">
      <w:pPr>
        <w:pStyle w:val="BodyText"/>
        <w:rPr>
          <w:rFonts w:eastAsia="Calibri"/>
          <w:lang w:eastAsia="en-US"/>
        </w:rPr>
      </w:pPr>
      <w:r w:rsidRPr="00291086">
        <w:rPr>
          <w:rFonts w:eastAsia="Calibri"/>
          <w:lang w:eastAsia="en-US"/>
        </w:rPr>
        <w:t xml:space="preserve">The PNG Government has made efforts to develop its </w:t>
      </w:r>
      <w:r>
        <w:rPr>
          <w:rFonts w:eastAsia="Calibri"/>
          <w:lang w:eastAsia="en-US"/>
        </w:rPr>
        <w:t>M&amp;E</w:t>
      </w:r>
      <w:r w:rsidRPr="00291086">
        <w:rPr>
          <w:rFonts w:eastAsia="Calibri"/>
          <w:lang w:eastAsia="en-US"/>
        </w:rPr>
        <w:t xml:space="preserve"> cap</w:t>
      </w:r>
      <w:r>
        <w:rPr>
          <w:rFonts w:eastAsia="Calibri"/>
          <w:lang w:eastAsia="en-US"/>
        </w:rPr>
        <w:t>acity and t</w:t>
      </w:r>
      <w:r w:rsidRPr="00291086">
        <w:rPr>
          <w:rFonts w:eastAsia="Calibri"/>
          <w:lang w:eastAsia="en-US"/>
        </w:rPr>
        <w:t>here are signs in PNG of an increasing awareness of, and a willingness to improve</w:t>
      </w:r>
      <w:r>
        <w:rPr>
          <w:rFonts w:eastAsia="Calibri"/>
          <w:lang w:eastAsia="en-US"/>
        </w:rPr>
        <w:t>, M&amp;E</w:t>
      </w:r>
      <w:r w:rsidRPr="00291086">
        <w:rPr>
          <w:rFonts w:eastAsia="Calibri"/>
          <w:lang w:eastAsia="en-US"/>
        </w:rPr>
        <w:t xml:space="preserve">. </w:t>
      </w:r>
      <w:r>
        <w:rPr>
          <w:rFonts w:eastAsia="Calibri"/>
          <w:lang w:eastAsia="en-US"/>
        </w:rPr>
        <w:t>E</w:t>
      </w:r>
      <w:r w:rsidRPr="00291086">
        <w:rPr>
          <w:rFonts w:eastAsia="Calibri"/>
          <w:lang w:eastAsia="en-US"/>
        </w:rPr>
        <w:t>xample</w:t>
      </w:r>
      <w:r>
        <w:rPr>
          <w:rFonts w:eastAsia="Calibri"/>
          <w:lang w:eastAsia="en-US"/>
        </w:rPr>
        <w:t>s include</w:t>
      </w:r>
      <w:r w:rsidRPr="00291086">
        <w:rPr>
          <w:rFonts w:eastAsia="Calibri"/>
          <w:lang w:eastAsia="en-US"/>
        </w:rPr>
        <w:t>:</w:t>
      </w:r>
    </w:p>
    <w:p w14:paraId="0B70FB71" w14:textId="77777777" w:rsidR="00717847" w:rsidRDefault="00717847" w:rsidP="00895E07">
      <w:pPr>
        <w:pStyle w:val="ListBullet"/>
        <w:rPr>
          <w:rFonts w:eastAsia="Calibri"/>
          <w:lang w:eastAsia="en-US"/>
        </w:rPr>
      </w:pPr>
      <w:r>
        <w:rPr>
          <w:rFonts w:eastAsia="Calibri"/>
          <w:lang w:eastAsia="en-US"/>
        </w:rPr>
        <w:t xml:space="preserve">Department of National Planning and Monitoring </w:t>
      </w:r>
      <w:r w:rsidRPr="00291086">
        <w:rPr>
          <w:rFonts w:eastAsia="Calibri"/>
          <w:lang w:eastAsia="en-US"/>
        </w:rPr>
        <w:t>is developi</w:t>
      </w:r>
      <w:r>
        <w:rPr>
          <w:rFonts w:eastAsia="Calibri"/>
          <w:lang w:eastAsia="en-US"/>
        </w:rPr>
        <w:t xml:space="preserve">ng a national M&amp;E framework </w:t>
      </w:r>
    </w:p>
    <w:p w14:paraId="0B70FB72" w14:textId="48634469" w:rsidR="00717847" w:rsidRPr="00801FFA" w:rsidRDefault="00717847" w:rsidP="00895E07">
      <w:pPr>
        <w:pStyle w:val="ListBullet"/>
        <w:rPr>
          <w:rFonts w:eastAsia="Calibri"/>
          <w:lang w:eastAsia="en-US"/>
        </w:rPr>
      </w:pPr>
      <w:r w:rsidRPr="00801FFA">
        <w:rPr>
          <w:rFonts w:eastAsia="Calibri"/>
          <w:lang w:eastAsia="en-US"/>
        </w:rPr>
        <w:t xml:space="preserve">88 public servants have received training in key </w:t>
      </w:r>
      <w:r>
        <w:rPr>
          <w:rFonts w:eastAsia="Calibri"/>
          <w:lang w:eastAsia="en-US"/>
        </w:rPr>
        <w:t>M&amp;E</w:t>
      </w:r>
      <w:r w:rsidRPr="00801FFA">
        <w:rPr>
          <w:rFonts w:eastAsia="Calibri"/>
          <w:lang w:eastAsia="en-US"/>
        </w:rPr>
        <w:t xml:space="preserve"> skills (46 males and 42</w:t>
      </w:r>
      <w:r>
        <w:rPr>
          <w:rFonts w:eastAsia="Calibri"/>
          <w:lang w:eastAsia="en-US"/>
        </w:rPr>
        <w:t> </w:t>
      </w:r>
      <w:r w:rsidRPr="00801FFA">
        <w:rPr>
          <w:rFonts w:eastAsia="Calibri"/>
          <w:lang w:eastAsia="en-US"/>
        </w:rPr>
        <w:t xml:space="preserve">females) and </w:t>
      </w:r>
      <w:r w:rsidR="00E95042">
        <w:rPr>
          <w:rFonts w:eastAsia="Calibri"/>
          <w:lang w:eastAsia="en-US"/>
        </w:rPr>
        <w:t>the Australian Government</w:t>
      </w:r>
      <w:r w:rsidRPr="00801FFA">
        <w:rPr>
          <w:rFonts w:eastAsia="Calibri"/>
          <w:lang w:eastAsia="en-US"/>
        </w:rPr>
        <w:t xml:space="preserve"> (through </w:t>
      </w:r>
      <w:r>
        <w:rPr>
          <w:rFonts w:eastAsia="Calibri"/>
          <w:lang w:eastAsia="en-US"/>
        </w:rPr>
        <w:t>the Economic and Public Sector Program)</w:t>
      </w:r>
      <w:r w:rsidRPr="00801FFA">
        <w:rPr>
          <w:rFonts w:eastAsia="Calibri"/>
          <w:lang w:eastAsia="en-US"/>
        </w:rPr>
        <w:t xml:space="preserve"> is helping develop a community of monitoring professionals though support to the first P</w:t>
      </w:r>
      <w:r>
        <w:rPr>
          <w:rFonts w:eastAsia="Calibri"/>
          <w:lang w:eastAsia="en-US"/>
        </w:rPr>
        <w:t>NG Association of Professional </w:t>
      </w:r>
      <w:r w:rsidRPr="00801FFA">
        <w:rPr>
          <w:rFonts w:eastAsia="Calibri"/>
          <w:lang w:eastAsia="en-US"/>
        </w:rPr>
        <w:t xml:space="preserve">Evaluators national conference </w:t>
      </w:r>
    </w:p>
    <w:p w14:paraId="0B70FB73" w14:textId="77777777" w:rsidR="00717847" w:rsidRPr="00291086" w:rsidRDefault="00717847" w:rsidP="00895E07">
      <w:pPr>
        <w:pStyle w:val="ListBullet"/>
        <w:rPr>
          <w:rFonts w:eastAsia="Calibri"/>
          <w:lang w:eastAsia="en-US"/>
        </w:rPr>
      </w:pPr>
      <w:r w:rsidRPr="00291086">
        <w:rPr>
          <w:rFonts w:eastAsia="Calibri"/>
          <w:lang w:eastAsia="en-US"/>
        </w:rPr>
        <w:t xml:space="preserve">PNG Association of Professional Evaluators is promoting and advocating for good M&amp;E, especially to improve service delivery, accountability and transparency. </w:t>
      </w:r>
    </w:p>
    <w:p w14:paraId="0B70FB74" w14:textId="77777777" w:rsidR="00717847" w:rsidRPr="00291086" w:rsidRDefault="00717847" w:rsidP="00895E07">
      <w:pPr>
        <w:pStyle w:val="BodyText"/>
        <w:rPr>
          <w:rFonts w:eastAsia="Calibri"/>
          <w:lang w:eastAsia="en-US"/>
        </w:rPr>
      </w:pPr>
      <w:r>
        <w:rPr>
          <w:rFonts w:eastAsia="Calibri"/>
          <w:lang w:eastAsia="en-US"/>
        </w:rPr>
        <w:t xml:space="preserve">While Australia </w:t>
      </w:r>
      <w:r w:rsidRPr="00291086">
        <w:rPr>
          <w:rFonts w:eastAsia="Calibri"/>
          <w:lang w:eastAsia="en-US"/>
        </w:rPr>
        <w:t>provide</w:t>
      </w:r>
      <w:r>
        <w:rPr>
          <w:rFonts w:eastAsia="Calibri"/>
          <w:lang w:eastAsia="en-US"/>
        </w:rPr>
        <w:t>s some</w:t>
      </w:r>
      <w:r w:rsidRPr="00291086">
        <w:rPr>
          <w:rFonts w:eastAsia="Calibri"/>
          <w:lang w:eastAsia="en-US"/>
        </w:rPr>
        <w:t xml:space="preserve"> </w:t>
      </w:r>
      <w:r>
        <w:rPr>
          <w:rFonts w:eastAsia="Calibri"/>
          <w:lang w:eastAsia="en-US"/>
        </w:rPr>
        <w:t xml:space="preserve">technical support </w:t>
      </w:r>
      <w:r w:rsidRPr="00291086">
        <w:rPr>
          <w:rFonts w:eastAsia="Calibri"/>
          <w:lang w:eastAsia="en-US"/>
        </w:rPr>
        <w:t>to develop systems and individual skills</w:t>
      </w:r>
      <w:r>
        <w:rPr>
          <w:rFonts w:eastAsia="Calibri"/>
          <w:lang w:eastAsia="en-US"/>
        </w:rPr>
        <w:t xml:space="preserve">, </w:t>
      </w:r>
      <w:r w:rsidRPr="00AB4E3E">
        <w:rPr>
          <w:rFonts w:eastAsia="Calibri"/>
          <w:lang w:eastAsia="en-US"/>
        </w:rPr>
        <w:t xml:space="preserve">a much stronger political commitment </w:t>
      </w:r>
      <w:r>
        <w:rPr>
          <w:rFonts w:eastAsia="Calibri"/>
          <w:lang w:eastAsia="en-US"/>
        </w:rPr>
        <w:t>on both sides is required to ensure appropriate performance information is available as a basis for more effective public policy and implementation.</w:t>
      </w:r>
    </w:p>
    <w:p w14:paraId="0B70FB75" w14:textId="77777777" w:rsidR="00717847" w:rsidRPr="00291086" w:rsidRDefault="00717847" w:rsidP="00895E07">
      <w:pPr>
        <w:pStyle w:val="BodyText"/>
        <w:rPr>
          <w:rFonts w:eastAsia="Calibri"/>
          <w:i/>
          <w:lang w:eastAsia="en-US"/>
        </w:rPr>
      </w:pPr>
      <w:r w:rsidRPr="00291086">
        <w:rPr>
          <w:rFonts w:eastAsia="Calibri"/>
          <w:i/>
          <w:lang w:eastAsia="en-US"/>
        </w:rPr>
        <w:t xml:space="preserve">Transparency </w:t>
      </w:r>
      <w:r>
        <w:rPr>
          <w:rFonts w:eastAsia="Calibri"/>
          <w:i/>
          <w:lang w:eastAsia="en-US"/>
        </w:rPr>
        <w:t>and v</w:t>
      </w:r>
      <w:r w:rsidRPr="00291086">
        <w:rPr>
          <w:rFonts w:eastAsia="Calibri"/>
          <w:i/>
          <w:lang w:eastAsia="en-US"/>
        </w:rPr>
        <w:t>isibility</w:t>
      </w:r>
    </w:p>
    <w:p w14:paraId="0B70FB76" w14:textId="07B9BA5A" w:rsidR="00717847" w:rsidRPr="00291086" w:rsidRDefault="00B3755D" w:rsidP="00895E07">
      <w:pPr>
        <w:pStyle w:val="BodyText"/>
        <w:rPr>
          <w:rFonts w:eastAsia="Calibri"/>
          <w:i/>
          <w:lang w:eastAsia="en-US"/>
        </w:rPr>
      </w:pPr>
      <w:r>
        <w:rPr>
          <w:rFonts w:eastAsia="Calibri"/>
          <w:lang w:eastAsia="en-US"/>
        </w:rPr>
        <w:t>The Australian Government is</w:t>
      </w:r>
      <w:r w:rsidR="00717847" w:rsidRPr="00291086">
        <w:rPr>
          <w:rFonts w:eastAsia="Calibri"/>
          <w:lang w:eastAsia="en-US"/>
        </w:rPr>
        <w:t xml:space="preserve"> committed to making documents on Australia’s aid program in P</w:t>
      </w:r>
      <w:r w:rsidR="00717847">
        <w:rPr>
          <w:rFonts w:eastAsia="Calibri"/>
          <w:lang w:eastAsia="en-US"/>
        </w:rPr>
        <w:t>NG</w:t>
      </w:r>
      <w:r w:rsidR="00717847" w:rsidRPr="00291086">
        <w:rPr>
          <w:rFonts w:eastAsia="Calibri"/>
          <w:lang w:eastAsia="en-US"/>
        </w:rPr>
        <w:t xml:space="preserve"> available to partners, stakeholders and the public </w:t>
      </w:r>
      <w:r w:rsidR="00717847">
        <w:rPr>
          <w:rFonts w:eastAsia="Calibri"/>
          <w:lang w:eastAsia="en-US"/>
        </w:rPr>
        <w:t xml:space="preserve">through its </w:t>
      </w:r>
      <w:r w:rsidR="00717847" w:rsidRPr="00291086">
        <w:rPr>
          <w:rFonts w:eastAsia="Calibri"/>
          <w:lang w:eastAsia="en-US"/>
        </w:rPr>
        <w:t xml:space="preserve">website. </w:t>
      </w:r>
      <w:r w:rsidR="00717847">
        <w:rPr>
          <w:rFonts w:eastAsia="Calibri"/>
          <w:lang w:eastAsia="en-US"/>
        </w:rPr>
        <w:t>In</w:t>
      </w:r>
      <w:r w:rsidR="00717847" w:rsidRPr="00291086">
        <w:rPr>
          <w:rFonts w:eastAsia="Calibri"/>
          <w:lang w:eastAsia="en-US"/>
        </w:rPr>
        <w:t xml:space="preserve"> 2012, </w:t>
      </w:r>
      <w:r w:rsidR="00272B30">
        <w:rPr>
          <w:rFonts w:eastAsia="Calibri"/>
          <w:lang w:eastAsia="en-US"/>
        </w:rPr>
        <w:t xml:space="preserve">the Australian </w:t>
      </w:r>
      <w:r w:rsidR="00755273">
        <w:rPr>
          <w:rFonts w:eastAsia="Calibri"/>
          <w:lang w:eastAsia="en-US"/>
        </w:rPr>
        <w:t xml:space="preserve">Government </w:t>
      </w:r>
      <w:r w:rsidR="00717847" w:rsidRPr="00291086">
        <w:rPr>
          <w:rFonts w:eastAsia="Calibri"/>
          <w:lang w:eastAsia="en-US"/>
        </w:rPr>
        <w:t>published more than 120 documents</w:t>
      </w:r>
      <w:r w:rsidR="00717847">
        <w:rPr>
          <w:rFonts w:eastAsia="Calibri"/>
          <w:lang w:eastAsia="en-US"/>
        </w:rPr>
        <w:t xml:space="preserve"> on its website, including</w:t>
      </w:r>
      <w:r w:rsidR="00717847" w:rsidRPr="00291086">
        <w:rPr>
          <w:rFonts w:eastAsia="Calibri"/>
          <w:lang w:eastAsia="en-US"/>
        </w:rPr>
        <w:t xml:space="preserve"> </w:t>
      </w:r>
      <w:r w:rsidR="00717847">
        <w:rPr>
          <w:rFonts w:eastAsia="Calibri"/>
          <w:lang w:eastAsia="en-US"/>
        </w:rPr>
        <w:t>a summary of the aid program in PNG, covering</w:t>
      </w:r>
      <w:r w:rsidR="00717847" w:rsidRPr="00291086">
        <w:rPr>
          <w:rFonts w:eastAsia="Calibri"/>
          <w:lang w:eastAsia="en-US"/>
        </w:rPr>
        <w:t xml:space="preserve"> the sectors</w:t>
      </w:r>
      <w:r w:rsidR="00717847">
        <w:rPr>
          <w:rFonts w:eastAsia="Calibri"/>
          <w:lang w:eastAsia="en-US"/>
        </w:rPr>
        <w:t xml:space="preserve"> in which Australia</w:t>
      </w:r>
      <w:r w:rsidR="00717847" w:rsidRPr="00291086">
        <w:rPr>
          <w:rFonts w:eastAsia="Calibri"/>
          <w:lang w:eastAsia="en-US"/>
        </w:rPr>
        <w:t xml:space="preserve"> work</w:t>
      </w:r>
      <w:r w:rsidR="00717847">
        <w:rPr>
          <w:rFonts w:eastAsia="Calibri"/>
          <w:lang w:eastAsia="en-US"/>
        </w:rPr>
        <w:t>s</w:t>
      </w:r>
      <w:r w:rsidR="00717847" w:rsidRPr="00291086">
        <w:rPr>
          <w:rFonts w:eastAsia="Calibri"/>
          <w:lang w:eastAsia="en-US"/>
        </w:rPr>
        <w:t xml:space="preserve"> and individual initiatives. </w:t>
      </w:r>
      <w:r w:rsidR="00717847">
        <w:rPr>
          <w:rFonts w:eastAsia="Calibri"/>
          <w:lang w:eastAsia="en-US"/>
        </w:rPr>
        <w:t xml:space="preserve">Hot topics were frequently included on the front page of </w:t>
      </w:r>
      <w:r w:rsidR="00272B30">
        <w:rPr>
          <w:rFonts w:eastAsia="Calibri"/>
          <w:lang w:eastAsia="en-US"/>
        </w:rPr>
        <w:t xml:space="preserve">the Australian </w:t>
      </w:r>
      <w:r w:rsidR="00755273">
        <w:rPr>
          <w:rFonts w:eastAsia="Calibri"/>
          <w:lang w:eastAsia="en-US"/>
        </w:rPr>
        <w:t xml:space="preserve">Government </w:t>
      </w:r>
      <w:r w:rsidR="00272B30">
        <w:rPr>
          <w:rFonts w:eastAsia="Calibri"/>
          <w:lang w:eastAsia="en-US"/>
        </w:rPr>
        <w:t>aid program’s</w:t>
      </w:r>
      <w:r w:rsidR="00272B30" w:rsidRPr="00291086">
        <w:rPr>
          <w:rFonts w:eastAsia="Calibri"/>
          <w:lang w:eastAsia="en-US"/>
        </w:rPr>
        <w:t xml:space="preserve"> </w:t>
      </w:r>
      <w:r w:rsidR="00717847" w:rsidRPr="00291086">
        <w:rPr>
          <w:rFonts w:eastAsia="Calibri"/>
          <w:lang w:eastAsia="en-US"/>
        </w:rPr>
        <w:t>website promot</w:t>
      </w:r>
      <w:r w:rsidR="00717847">
        <w:rPr>
          <w:rFonts w:eastAsia="Calibri"/>
          <w:lang w:eastAsia="en-US"/>
        </w:rPr>
        <w:t>ing</w:t>
      </w:r>
      <w:r w:rsidR="00717847" w:rsidRPr="00291086">
        <w:rPr>
          <w:rFonts w:eastAsia="Calibri"/>
          <w:lang w:eastAsia="en-US"/>
        </w:rPr>
        <w:t xml:space="preserve"> areas of interest and achievement in the</w:t>
      </w:r>
      <w:r w:rsidR="00717847">
        <w:rPr>
          <w:rFonts w:eastAsia="Calibri"/>
          <w:lang w:eastAsia="en-US"/>
        </w:rPr>
        <w:t xml:space="preserve"> PNG</w:t>
      </w:r>
      <w:r w:rsidR="00717847" w:rsidRPr="00291086">
        <w:rPr>
          <w:rFonts w:eastAsia="Calibri"/>
          <w:lang w:eastAsia="en-US"/>
        </w:rPr>
        <w:t xml:space="preserve"> program. </w:t>
      </w:r>
      <w:r w:rsidR="00717847">
        <w:rPr>
          <w:rFonts w:eastAsia="Calibri"/>
          <w:lang w:eastAsia="en-US"/>
        </w:rPr>
        <w:t>T</w:t>
      </w:r>
      <w:r w:rsidR="00717847" w:rsidRPr="00291086">
        <w:rPr>
          <w:rFonts w:eastAsia="Calibri"/>
          <w:lang w:eastAsia="en-US"/>
        </w:rPr>
        <w:t xml:space="preserve">o address misinformation in the media and promote </w:t>
      </w:r>
      <w:r w:rsidR="00717847">
        <w:rPr>
          <w:rFonts w:eastAsia="Calibri"/>
          <w:lang w:eastAsia="en-US"/>
        </w:rPr>
        <w:t xml:space="preserve">program </w:t>
      </w:r>
      <w:r w:rsidR="00717847" w:rsidRPr="00291086">
        <w:rPr>
          <w:rFonts w:eastAsia="Calibri"/>
          <w:lang w:eastAsia="en-US"/>
        </w:rPr>
        <w:t>results</w:t>
      </w:r>
      <w:r w:rsidR="00717847">
        <w:rPr>
          <w:rFonts w:eastAsia="Calibri"/>
          <w:lang w:eastAsia="en-US"/>
        </w:rPr>
        <w:t xml:space="preserve">, </w:t>
      </w:r>
      <w:r w:rsidR="00272B30">
        <w:rPr>
          <w:rFonts w:eastAsia="Calibri"/>
          <w:lang w:eastAsia="en-US"/>
        </w:rPr>
        <w:t xml:space="preserve">the Australian </w:t>
      </w:r>
      <w:r w:rsidR="00755273">
        <w:rPr>
          <w:rFonts w:eastAsia="Calibri"/>
          <w:lang w:eastAsia="en-US"/>
        </w:rPr>
        <w:t xml:space="preserve">Government </w:t>
      </w:r>
      <w:r w:rsidR="00272B30">
        <w:rPr>
          <w:rFonts w:eastAsia="Calibri"/>
          <w:lang w:eastAsia="en-US"/>
        </w:rPr>
        <w:t xml:space="preserve">aid program </w:t>
      </w:r>
      <w:r w:rsidR="00717847" w:rsidRPr="00291086">
        <w:rPr>
          <w:rFonts w:eastAsia="Calibri"/>
          <w:lang w:eastAsia="en-US"/>
        </w:rPr>
        <w:t xml:space="preserve">created a page on </w:t>
      </w:r>
      <w:r w:rsidR="00717847">
        <w:rPr>
          <w:rFonts w:eastAsia="Calibri"/>
          <w:lang w:eastAsia="en-US"/>
        </w:rPr>
        <w:t>its</w:t>
      </w:r>
      <w:r w:rsidR="00717847" w:rsidRPr="00291086">
        <w:rPr>
          <w:rFonts w:eastAsia="Calibri"/>
          <w:lang w:eastAsia="en-US"/>
        </w:rPr>
        <w:t xml:space="preserve"> website specifically addressing</w:t>
      </w:r>
      <w:r w:rsidR="00717847">
        <w:rPr>
          <w:rFonts w:eastAsia="Calibri"/>
          <w:lang w:eastAsia="en-US"/>
        </w:rPr>
        <w:t xml:space="preserve"> Australia’s effective support for</w:t>
      </w:r>
      <w:r w:rsidR="00717847" w:rsidRPr="00291086">
        <w:rPr>
          <w:rFonts w:eastAsia="Calibri"/>
          <w:lang w:eastAsia="en-US"/>
        </w:rPr>
        <w:t xml:space="preserve"> TB management</w:t>
      </w:r>
      <w:r w:rsidR="00717847">
        <w:rPr>
          <w:rFonts w:eastAsia="Calibri"/>
          <w:lang w:eastAsia="en-US"/>
        </w:rPr>
        <w:t xml:space="preserve"> in PNG</w:t>
      </w:r>
      <w:r w:rsidR="00717847" w:rsidRPr="00291086">
        <w:rPr>
          <w:rFonts w:eastAsia="Calibri"/>
          <w:lang w:eastAsia="en-US"/>
        </w:rPr>
        <w:t>.</w:t>
      </w:r>
    </w:p>
    <w:p w14:paraId="0B70FB77" w14:textId="2025E2AA" w:rsidR="00717847" w:rsidRPr="00291086" w:rsidRDefault="00717847" w:rsidP="00895E07">
      <w:pPr>
        <w:pStyle w:val="BodyText"/>
        <w:rPr>
          <w:rFonts w:eastAsia="Calibri"/>
          <w:lang w:eastAsia="en-US"/>
        </w:rPr>
      </w:pPr>
      <w:r w:rsidRPr="00291086">
        <w:rPr>
          <w:rFonts w:eastAsia="Calibri"/>
          <w:lang w:eastAsia="en-US"/>
        </w:rPr>
        <w:t xml:space="preserve">Australia worked to promote key program milestones and results through </w:t>
      </w:r>
      <w:r>
        <w:rPr>
          <w:rFonts w:eastAsia="Calibri"/>
          <w:lang w:eastAsia="en-US"/>
        </w:rPr>
        <w:t>PNG</w:t>
      </w:r>
      <w:r w:rsidRPr="00291086">
        <w:rPr>
          <w:rFonts w:eastAsia="Calibri"/>
          <w:lang w:eastAsia="en-US"/>
        </w:rPr>
        <w:t xml:space="preserve"> and Australian mainstream media</w:t>
      </w:r>
      <w:r>
        <w:rPr>
          <w:rFonts w:eastAsia="Calibri"/>
          <w:lang w:eastAsia="en-US"/>
        </w:rPr>
        <w:t xml:space="preserve">. </w:t>
      </w:r>
      <w:r w:rsidR="00BB3F67">
        <w:rPr>
          <w:rFonts w:eastAsia="Calibri"/>
          <w:lang w:eastAsia="en-US"/>
        </w:rPr>
        <w:t xml:space="preserve">The Australian </w:t>
      </w:r>
      <w:r w:rsidR="00755273">
        <w:rPr>
          <w:rFonts w:eastAsia="Calibri"/>
          <w:lang w:eastAsia="en-US"/>
        </w:rPr>
        <w:t>Government</w:t>
      </w:r>
      <w:r w:rsidR="00BB3F67" w:rsidRPr="00291086">
        <w:rPr>
          <w:rFonts w:eastAsia="Calibri"/>
          <w:lang w:eastAsia="en-US"/>
        </w:rPr>
        <w:t xml:space="preserve"> </w:t>
      </w:r>
      <w:r w:rsidRPr="00291086">
        <w:rPr>
          <w:rFonts w:eastAsia="Calibri"/>
          <w:lang w:eastAsia="en-US"/>
        </w:rPr>
        <w:t xml:space="preserve">also </w:t>
      </w:r>
      <w:r>
        <w:rPr>
          <w:rFonts w:eastAsia="Calibri"/>
          <w:lang w:eastAsia="en-US"/>
        </w:rPr>
        <w:t>used</w:t>
      </w:r>
      <w:r w:rsidRPr="00291086">
        <w:rPr>
          <w:rFonts w:eastAsia="Calibri"/>
          <w:lang w:eastAsia="en-US"/>
        </w:rPr>
        <w:t xml:space="preserve"> social media to increase</w:t>
      </w:r>
      <w:r>
        <w:rPr>
          <w:rFonts w:eastAsia="Calibri"/>
          <w:lang w:eastAsia="en-US"/>
        </w:rPr>
        <w:t xml:space="preserve"> </w:t>
      </w:r>
      <w:r w:rsidRPr="00291086">
        <w:rPr>
          <w:rFonts w:eastAsia="Calibri"/>
          <w:lang w:eastAsia="en-US"/>
        </w:rPr>
        <w:t>PNG program</w:t>
      </w:r>
      <w:r>
        <w:rPr>
          <w:rFonts w:eastAsia="Calibri"/>
          <w:lang w:eastAsia="en-US"/>
        </w:rPr>
        <w:t xml:space="preserve"> visibility</w:t>
      </w:r>
      <w:r w:rsidRPr="00291086">
        <w:rPr>
          <w:rFonts w:eastAsia="Calibri"/>
          <w:lang w:eastAsia="en-US"/>
        </w:rPr>
        <w:t xml:space="preserve">, including through additions to </w:t>
      </w:r>
      <w:r w:rsidR="00BB3F67">
        <w:rPr>
          <w:rFonts w:eastAsia="Calibri"/>
          <w:lang w:eastAsia="en-US"/>
        </w:rPr>
        <w:t>it</w:t>
      </w:r>
      <w:r w:rsidR="00BB3F67" w:rsidRPr="00291086">
        <w:rPr>
          <w:rFonts w:eastAsia="Calibri"/>
          <w:lang w:eastAsia="en-US"/>
        </w:rPr>
        <w:t xml:space="preserve">s </w:t>
      </w:r>
      <w:r w:rsidRPr="00291086">
        <w:rPr>
          <w:rFonts w:eastAsia="Calibri"/>
          <w:lang w:eastAsia="en-US"/>
        </w:rPr>
        <w:t>blog, Twitter feed and YouTube channel.</w:t>
      </w:r>
      <w:r>
        <w:rPr>
          <w:rFonts w:eastAsia="Calibri"/>
          <w:lang w:eastAsia="en-US"/>
        </w:rPr>
        <w:t xml:space="preserve"> </w:t>
      </w:r>
      <w:r w:rsidRPr="00291086">
        <w:rPr>
          <w:rFonts w:eastAsia="Calibri"/>
          <w:lang w:eastAsia="en-US"/>
        </w:rPr>
        <w:t>Aus</w:t>
      </w:r>
      <w:r w:rsidR="00E95042">
        <w:rPr>
          <w:rFonts w:eastAsia="Calibri"/>
          <w:lang w:eastAsia="en-US"/>
        </w:rPr>
        <w:t xml:space="preserve">tralian Government </w:t>
      </w:r>
      <w:r w:rsidRPr="00291086">
        <w:rPr>
          <w:rFonts w:eastAsia="Calibri"/>
          <w:lang w:eastAsia="en-US"/>
        </w:rPr>
        <w:t>staff continued to work with all partners and service providers to apply the Australian aid identifier to signage, websites, publications and goods such as drugs and textbooks. A</w:t>
      </w:r>
      <w:r>
        <w:rPr>
          <w:rFonts w:eastAsia="Calibri"/>
          <w:lang w:eastAsia="en-US"/>
        </w:rPr>
        <w:t xml:space="preserve">n </w:t>
      </w:r>
      <w:r w:rsidR="00D55D14">
        <w:rPr>
          <w:rFonts w:eastAsia="Calibri"/>
          <w:lang w:eastAsia="en-US"/>
        </w:rPr>
        <w:t>Australian Government</w:t>
      </w:r>
      <w:r>
        <w:rPr>
          <w:rFonts w:eastAsia="Calibri"/>
          <w:lang w:eastAsia="en-US"/>
        </w:rPr>
        <w:t>-commissioned</w:t>
      </w:r>
      <w:r w:rsidRPr="00291086">
        <w:rPr>
          <w:rFonts w:eastAsia="Calibri"/>
          <w:lang w:eastAsia="en-US"/>
        </w:rPr>
        <w:t xml:space="preserve"> review found the identifier has been rolled out extensively in PNG with good compliance across websites, publications and at events. Double classrooms built since July 2011 </w:t>
      </w:r>
      <w:r>
        <w:rPr>
          <w:rFonts w:eastAsia="Calibri"/>
          <w:lang w:eastAsia="en-US"/>
        </w:rPr>
        <w:t xml:space="preserve">feature </w:t>
      </w:r>
      <w:r w:rsidRPr="00291086">
        <w:rPr>
          <w:rFonts w:eastAsia="Calibri"/>
          <w:lang w:eastAsia="en-US"/>
        </w:rPr>
        <w:t>signs carrying the identifier</w:t>
      </w:r>
      <w:r>
        <w:rPr>
          <w:rFonts w:eastAsia="Calibri"/>
          <w:lang w:eastAsia="en-US"/>
        </w:rPr>
        <w:t>,</w:t>
      </w:r>
      <w:r w:rsidRPr="00291086">
        <w:rPr>
          <w:rFonts w:eastAsia="Calibri"/>
          <w:lang w:eastAsia="en-US"/>
        </w:rPr>
        <w:t xml:space="preserve"> and it is applied to drug and medical supply deliveries to hospitals, health centres and aid posts across PNG</w:t>
      </w:r>
      <w:r>
        <w:rPr>
          <w:rFonts w:eastAsia="Calibri"/>
          <w:lang w:eastAsia="en-US"/>
        </w:rPr>
        <w:t xml:space="preserve">. </w:t>
      </w:r>
    </w:p>
    <w:p w14:paraId="0B70FB78" w14:textId="49593E34" w:rsidR="00717847" w:rsidRPr="00291086" w:rsidRDefault="00717847" w:rsidP="00895E07">
      <w:pPr>
        <w:pStyle w:val="BodyText"/>
        <w:rPr>
          <w:rFonts w:eastAsia="Calibri"/>
          <w:lang w:eastAsia="en-US"/>
        </w:rPr>
      </w:pPr>
      <w:r w:rsidRPr="00291086">
        <w:rPr>
          <w:rFonts w:eastAsia="Calibri"/>
          <w:lang w:eastAsia="en-US"/>
        </w:rPr>
        <w:t>In 2013, a communications and media strategy will be designed to enhance engagement with P</w:t>
      </w:r>
      <w:r>
        <w:rPr>
          <w:rFonts w:eastAsia="Calibri"/>
          <w:lang w:eastAsia="en-US"/>
        </w:rPr>
        <w:t>N</w:t>
      </w:r>
      <w:r w:rsidRPr="00291086">
        <w:rPr>
          <w:rFonts w:eastAsia="Calibri"/>
          <w:lang w:eastAsia="en-US"/>
        </w:rPr>
        <w:t xml:space="preserve">G stakeholders, partners and an Australian audience to promote the results of </w:t>
      </w:r>
      <w:r w:rsidR="00755273">
        <w:rPr>
          <w:rFonts w:eastAsia="Calibri"/>
          <w:lang w:eastAsia="en-US"/>
        </w:rPr>
        <w:t xml:space="preserve">the </w:t>
      </w:r>
      <w:r>
        <w:rPr>
          <w:rFonts w:eastAsia="Calibri"/>
          <w:lang w:eastAsia="en-US"/>
        </w:rPr>
        <w:t>Australia</w:t>
      </w:r>
      <w:r w:rsidR="00755273">
        <w:rPr>
          <w:rFonts w:eastAsia="Calibri"/>
          <w:lang w:eastAsia="en-US"/>
        </w:rPr>
        <w:t>n Government</w:t>
      </w:r>
      <w:r>
        <w:rPr>
          <w:rFonts w:eastAsia="Calibri"/>
          <w:lang w:eastAsia="en-US"/>
        </w:rPr>
        <w:t>’s aid program in PNG</w:t>
      </w:r>
      <w:r w:rsidRPr="00291086">
        <w:rPr>
          <w:rFonts w:eastAsia="Calibri"/>
          <w:lang w:eastAsia="en-US"/>
        </w:rPr>
        <w:t xml:space="preserve">. </w:t>
      </w:r>
    </w:p>
    <w:p w14:paraId="0B70FB79" w14:textId="77777777" w:rsidR="00F77E6A" w:rsidRPr="00071B95" w:rsidRDefault="00F77E6A" w:rsidP="00895E07">
      <w:pPr>
        <w:pStyle w:val="BodyText"/>
        <w:rPr>
          <w:b/>
        </w:rPr>
      </w:pPr>
    </w:p>
    <w:sectPr w:rsidR="00F77E6A" w:rsidRPr="00071B95" w:rsidSect="001E7728">
      <w:headerReference w:type="default" r:id="rId36"/>
      <w:footerReference w:type="default" r:id="rId37"/>
      <w:headerReference w:type="first" r:id="rId38"/>
      <w:footerReference w:type="first" r:id="rId39"/>
      <w:pgSz w:w="11906" w:h="16838" w:code="9"/>
      <w:pgMar w:top="2268" w:right="1701" w:bottom="907" w:left="1871"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0FB85" w14:textId="77777777" w:rsidR="002E5946" w:rsidRDefault="002E5946" w:rsidP="0050529F">
      <w:r>
        <w:separator/>
      </w:r>
    </w:p>
    <w:p w14:paraId="0B70FB86" w14:textId="77777777" w:rsidR="002E5946" w:rsidRDefault="002E5946"/>
    <w:p w14:paraId="0B70FB87" w14:textId="77777777" w:rsidR="002E5946" w:rsidRDefault="002E5946"/>
  </w:endnote>
  <w:endnote w:type="continuationSeparator" w:id="0">
    <w:p w14:paraId="0B70FB88" w14:textId="77777777" w:rsidR="002E5946" w:rsidRDefault="002E5946" w:rsidP="0050529F">
      <w:r>
        <w:continuationSeparator/>
      </w:r>
    </w:p>
    <w:p w14:paraId="0B70FB89" w14:textId="77777777" w:rsidR="002E5946" w:rsidRDefault="002E5946"/>
    <w:p w14:paraId="0B70FB8A" w14:textId="77777777" w:rsidR="002E5946" w:rsidRDefault="002E5946"/>
  </w:endnote>
  <w:endnote w:type="continuationNotice" w:id="1">
    <w:p w14:paraId="0B70FB8B" w14:textId="77777777" w:rsidR="002E5946" w:rsidRDefault="002E5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541BC" w14:textId="77777777" w:rsidR="00087412" w:rsidRDefault="0008741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9C" w14:textId="61F6BC1B" w:rsidR="002E5946" w:rsidRPr="001E7728" w:rsidRDefault="002E5946" w:rsidP="001E7728">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EC7FC8">
      <w:rPr>
        <w:rFonts w:ascii="Franklin Gothic Medium" w:eastAsia="Times New Roman" w:hAnsi="Franklin Gothic Medium"/>
        <w:noProof/>
        <w:sz w:val="14"/>
        <w:szCs w:val="14"/>
      </w:rPr>
      <w:t>Aid Program Performance Report 2012−13 Papua New Guinea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EC7FC8">
      <w:rPr>
        <w:rFonts w:ascii="Franklin Gothic Medium" w:eastAsia="Times New Roman" w:hAnsi="Franklin Gothic Medium"/>
        <w:noProof/>
        <w:sz w:val="14"/>
        <w:szCs w:val="14"/>
      </w:rPr>
      <w:t>62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2480" behindDoc="1" locked="0" layoutInCell="1" allowOverlap="1" wp14:anchorId="2630A1CE" wp14:editId="32BC16A8">
              <wp:simplePos x="0" y="0"/>
              <wp:positionH relativeFrom="column">
                <wp:posOffset>0</wp:posOffset>
              </wp:positionH>
              <wp:positionV relativeFrom="paragraph">
                <wp:posOffset>8498840</wp:posOffset>
              </wp:positionV>
              <wp:extent cx="7379970" cy="2181860"/>
              <wp:effectExtent l="0" t="2540" r="1905" b="0"/>
              <wp:wrapNone/>
              <wp:docPr id="11"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EIi1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bhCIt&#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1456" behindDoc="1" locked="0" layoutInCell="1" allowOverlap="1" wp14:anchorId="74BDF50F" wp14:editId="366F2BF9">
              <wp:simplePos x="0" y="0"/>
              <wp:positionH relativeFrom="column">
                <wp:posOffset>0</wp:posOffset>
              </wp:positionH>
              <wp:positionV relativeFrom="paragraph">
                <wp:posOffset>8498840</wp:posOffset>
              </wp:positionV>
              <wp:extent cx="7379970" cy="2181860"/>
              <wp:effectExtent l="0" t="2540" r="1905" b="0"/>
              <wp:wrapNone/>
              <wp:docPr id="13"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UPYR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6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YdQ9&#10;h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9E" w14:textId="77777777" w:rsidR="002E5946" w:rsidRPr="004C4A3E" w:rsidRDefault="002E5946"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60800" behindDoc="1" locked="1" layoutInCell="1" allowOverlap="1" wp14:anchorId="0B70FBD9" wp14:editId="0B70FBDA">
              <wp:simplePos x="0" y="0"/>
              <wp:positionH relativeFrom="page">
                <wp:posOffset>0</wp:posOffset>
              </wp:positionH>
              <wp:positionV relativeFrom="page">
                <wp:posOffset>8533130</wp:posOffset>
              </wp:positionV>
              <wp:extent cx="7380000" cy="2181600"/>
              <wp:effectExtent l="0" t="0" r="0" b="9525"/>
              <wp:wrapNone/>
              <wp:docPr id="26" name="Rectangle 2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alt="AusAID web address graphic" style="position:absolute;margin-left:0;margin-top:671.9pt;width:581.1pt;height:17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Rwru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EFHCu6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Papua New Guinea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60</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62848" behindDoc="1" locked="0" layoutInCell="1" allowOverlap="1" wp14:anchorId="0B70FBDB" wp14:editId="0B70FBDC">
              <wp:simplePos x="0" y="0"/>
              <wp:positionH relativeFrom="column">
                <wp:posOffset>0</wp:posOffset>
              </wp:positionH>
              <wp:positionV relativeFrom="paragraph">
                <wp:posOffset>8498840</wp:posOffset>
              </wp:positionV>
              <wp:extent cx="7379970" cy="2181860"/>
              <wp:effectExtent l="0" t="2540" r="1905" b="0"/>
              <wp:wrapNone/>
              <wp:docPr id="29" name="Rectangle 2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alt="AusAID web address graphic" style="position:absolute;margin-left:0;margin-top:669.2pt;width:581.1pt;height:17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mjp6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JSaOn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61824" behindDoc="1" locked="0" layoutInCell="1" allowOverlap="1" wp14:anchorId="0B70FBDD" wp14:editId="0B70FBDE">
              <wp:simplePos x="0" y="0"/>
              <wp:positionH relativeFrom="column">
                <wp:posOffset>0</wp:posOffset>
              </wp:positionH>
              <wp:positionV relativeFrom="paragraph">
                <wp:posOffset>8498840</wp:posOffset>
              </wp:positionV>
              <wp:extent cx="7379970" cy="2181860"/>
              <wp:effectExtent l="0" t="2540" r="1905" b="0"/>
              <wp:wrapNone/>
              <wp:docPr id="30" name="Rectangle 3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alt="AusAID web address graphic" style="position:absolute;margin-left:0;margin-top:669.2pt;width:581.1pt;height:17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HOiO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DYBzoj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8D" w14:textId="2D483F68" w:rsidR="002E5946" w:rsidRPr="001E7728" w:rsidRDefault="002E5946" w:rsidP="001E7728">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087412">
      <w:rPr>
        <w:rFonts w:ascii="Franklin Gothic Medium" w:eastAsia="Times New Roman" w:hAnsi="Franklin Gothic Medium"/>
        <w:noProof/>
        <w:sz w:val="14"/>
        <w:szCs w:val="14"/>
      </w:rPr>
      <w:t>Aid Program Performance Report 2012−13 Papua New Guinea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087412">
      <w:rPr>
        <w:rFonts w:ascii="Franklin Gothic Medium" w:eastAsia="Times New Roman" w:hAnsi="Franklin Gothic Medium"/>
        <w:noProof/>
        <w:sz w:val="14"/>
        <w:szCs w:val="14"/>
      </w:rPr>
      <w:t>43</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4768" behindDoc="1" locked="0" layoutInCell="1" allowOverlap="1" wp14:anchorId="5BE94630" wp14:editId="1F368A10">
              <wp:simplePos x="0" y="0"/>
              <wp:positionH relativeFrom="column">
                <wp:posOffset>0</wp:posOffset>
              </wp:positionH>
              <wp:positionV relativeFrom="paragraph">
                <wp:posOffset>8498840</wp:posOffset>
              </wp:positionV>
              <wp:extent cx="7379970" cy="2181860"/>
              <wp:effectExtent l="0" t="2540" r="1905" b="0"/>
              <wp:wrapNone/>
              <wp:docPr id="5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i8CB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Iq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rqLw&#10;IG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3744" behindDoc="1" locked="0" layoutInCell="1" allowOverlap="1" wp14:anchorId="0A5B4D80" wp14:editId="6BB8D820">
              <wp:simplePos x="0" y="0"/>
              <wp:positionH relativeFrom="column">
                <wp:posOffset>0</wp:posOffset>
              </wp:positionH>
              <wp:positionV relativeFrom="paragraph">
                <wp:posOffset>8498840</wp:posOffset>
              </wp:positionV>
              <wp:extent cx="7379970" cy="2181860"/>
              <wp:effectExtent l="0" t="2540" r="1905" b="0"/>
              <wp:wrapNone/>
              <wp:docPr id="5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xgN1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rMB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aHGA&#10;3W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8F" w14:textId="038C8581" w:rsidR="002E5946" w:rsidRPr="001E7728" w:rsidRDefault="002E5946" w:rsidP="001E7728">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087412">
      <w:rPr>
        <w:rFonts w:ascii="Franklin Gothic Medium" w:eastAsia="Times New Roman" w:hAnsi="Franklin Gothic Medium"/>
        <w:noProof/>
        <w:sz w:val="14"/>
        <w:szCs w:val="14"/>
      </w:rPr>
      <w:t>Aid Program Performance Report 2012−13 Papua New Guinea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087412">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9168" behindDoc="1" locked="0" layoutInCell="1" allowOverlap="1" wp14:anchorId="18AE1322" wp14:editId="6920B72C">
              <wp:simplePos x="0" y="0"/>
              <wp:positionH relativeFrom="column">
                <wp:posOffset>0</wp:posOffset>
              </wp:positionH>
              <wp:positionV relativeFrom="paragraph">
                <wp:posOffset>8498840</wp:posOffset>
              </wp:positionV>
              <wp:extent cx="7379970" cy="2181860"/>
              <wp:effectExtent l="0" t="2540" r="1905" b="0"/>
              <wp:wrapNone/>
              <wp:docPr id="1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gX5x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x4F+c&#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8144" behindDoc="1" locked="0" layoutInCell="1" allowOverlap="1" wp14:anchorId="271FF930" wp14:editId="10A776FD">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1453F" w14:textId="77777777" w:rsidR="002E5946" w:rsidRPr="001E7728" w:rsidRDefault="002E5946" w:rsidP="001E7728">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EC7FC8">
      <w:rPr>
        <w:rFonts w:ascii="Franklin Gothic Medium" w:eastAsia="Times New Roman" w:hAnsi="Franklin Gothic Medium"/>
        <w:noProof/>
        <w:sz w:val="14"/>
        <w:szCs w:val="14"/>
      </w:rPr>
      <w:t>Aid Program Performance Report 2012−13 Papua New Guinea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EC7FC8">
      <w:rPr>
        <w:rFonts w:ascii="Franklin Gothic Medium" w:eastAsia="Times New Roman" w:hAnsi="Franklin Gothic Medium"/>
        <w:noProof/>
        <w:sz w:val="14"/>
        <w:szCs w:val="14"/>
      </w:rPr>
      <w:t>52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1696" behindDoc="1" locked="0" layoutInCell="1" allowOverlap="1" wp14:anchorId="53BA66D0" wp14:editId="31072D1A">
              <wp:simplePos x="0" y="0"/>
              <wp:positionH relativeFrom="column">
                <wp:posOffset>0</wp:posOffset>
              </wp:positionH>
              <wp:positionV relativeFrom="paragraph">
                <wp:posOffset>8498840</wp:posOffset>
              </wp:positionV>
              <wp:extent cx="7379970" cy="2181860"/>
              <wp:effectExtent l="0" t="2540" r="1905" b="0"/>
              <wp:wrapNone/>
              <wp:docPr id="4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ND7p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bs0P&#10;u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0672" behindDoc="1" locked="0" layoutInCell="1" allowOverlap="1" wp14:anchorId="7B5A1BBA" wp14:editId="4AE6B43E">
              <wp:simplePos x="0" y="0"/>
              <wp:positionH relativeFrom="column">
                <wp:posOffset>0</wp:posOffset>
              </wp:positionH>
              <wp:positionV relativeFrom="paragraph">
                <wp:posOffset>8498840</wp:posOffset>
              </wp:positionV>
              <wp:extent cx="7379970" cy="2181860"/>
              <wp:effectExtent l="0" t="2540" r="1905" b="0"/>
              <wp:wrapNone/>
              <wp:docPr id="5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6ox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IK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f9Lq&#10;j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92" w14:textId="5C054FD7" w:rsidR="002E5946" w:rsidRPr="001E7728" w:rsidRDefault="002E5946" w:rsidP="001E7728">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Papua New Guinea Annual Program Performance Report 2012–13</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50</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5552" behindDoc="1" locked="0" layoutInCell="1" allowOverlap="1" wp14:anchorId="3596807C" wp14:editId="69CBE9A4">
              <wp:simplePos x="0" y="0"/>
              <wp:positionH relativeFrom="column">
                <wp:posOffset>0</wp:posOffset>
              </wp:positionH>
              <wp:positionV relativeFrom="paragraph">
                <wp:posOffset>8498840</wp:posOffset>
              </wp:positionV>
              <wp:extent cx="7379970" cy="2181860"/>
              <wp:effectExtent l="0" t="2540" r="1905" b="0"/>
              <wp:wrapNone/>
              <wp:docPr id="2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ld4V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pXeF&#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4528" behindDoc="1" locked="0" layoutInCell="1" allowOverlap="1" wp14:anchorId="4ECF1530" wp14:editId="796CBFC1">
              <wp:simplePos x="0" y="0"/>
              <wp:positionH relativeFrom="column">
                <wp:posOffset>0</wp:posOffset>
              </wp:positionH>
              <wp:positionV relativeFrom="paragraph">
                <wp:posOffset>8498840</wp:posOffset>
              </wp:positionV>
              <wp:extent cx="7379970" cy="2181860"/>
              <wp:effectExtent l="0" t="2540" r="1905" b="0"/>
              <wp:wrapNone/>
              <wp:docPr id="1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UXlNkAwAAHQ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RBRe&#10;U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94" w14:textId="125636D7" w:rsidR="002E5946" w:rsidRPr="001E7728" w:rsidRDefault="002E5946" w:rsidP="001E7728">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EC7FC8">
      <w:rPr>
        <w:rFonts w:ascii="Franklin Gothic Medium" w:eastAsia="Times New Roman" w:hAnsi="Franklin Gothic Medium"/>
        <w:noProof/>
        <w:sz w:val="14"/>
        <w:szCs w:val="14"/>
      </w:rPr>
      <w:t>Aid Program Performance Report 2012−13 Papua New Guinea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EC7FC8">
      <w:rPr>
        <w:rFonts w:ascii="Franklin Gothic Medium" w:eastAsia="Times New Roman" w:hAnsi="Franklin Gothic Medium"/>
        <w:noProof/>
        <w:sz w:val="14"/>
        <w:szCs w:val="14"/>
      </w:rPr>
      <w:t>56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7360" behindDoc="1" locked="0" layoutInCell="1" allowOverlap="1" wp14:anchorId="1A286CEE" wp14:editId="1BE7A361">
              <wp:simplePos x="0" y="0"/>
              <wp:positionH relativeFrom="column">
                <wp:posOffset>0</wp:posOffset>
              </wp:positionH>
              <wp:positionV relativeFrom="paragraph">
                <wp:posOffset>8498840</wp:posOffset>
              </wp:positionV>
              <wp:extent cx="7379970" cy="2181860"/>
              <wp:effectExtent l="0" t="2540" r="1905" b="0"/>
              <wp:wrapNone/>
              <wp:docPr id="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QD8Z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H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7EA/G&#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6336" behindDoc="1" locked="0" layoutInCell="1" allowOverlap="1" wp14:anchorId="20738D91" wp14:editId="0C0AB88A">
              <wp:simplePos x="0" y="0"/>
              <wp:positionH relativeFrom="column">
                <wp:posOffset>0</wp:posOffset>
              </wp:positionH>
              <wp:positionV relativeFrom="paragraph">
                <wp:posOffset>8498840</wp:posOffset>
              </wp:positionV>
              <wp:extent cx="7379970" cy="2181860"/>
              <wp:effectExtent l="0" t="2540" r="1905" b="0"/>
              <wp:wrapNone/>
              <wp:docPr id="8"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JxQAUUmR6ijI9RRcBaKTI9RRkeoouAtFJke&#10;ooyKLgL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340&#10;/wCQVF/11H8jXSVzfjT/AJBUX/XUfyNcuN/3efodWC/3iHqcLRRRXyR9YFb+itoot/8ASwv2rJwZ&#10;c7PbpWBW/ov9i/Zv9L2/asn/AFudntXThP4nT5nLjP4XX5GjPJrHkt/ZwszAB/y64J/WuQYkuxb7&#10;2efrXYTrrJhb+zmshBjpa4HH41x7Z3Hd1zzW2O3W/wA9vkY4DZ7fLf5iVs+FnK6/AB/EGB/I1jVr&#10;+GP+Rhtv+Bf+gmufC/x4eqOn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tjTfD9xqFt9p81I4Mkbjknj2rHre0bTNRltvtUF59ngyeck9PYV0YWCnUs&#10;43OfFTcKd1Kw9F0XTWObq6nlHURgoM1gOQzsRnBPGa6241fT4oWhvWOoS4xuMATFcixBYkDAzwK1&#10;xnKrRi16L+mZYNyd5STv3f6aIStfwx/yMNt/wL/0E1kVr+GP+Rhtv+Bf+gmscL/Hh6o2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q3ZXN9C4FnJMD/&#10;AHY8n9KqVv6NrjWdt9kFmZASfni4fmt8Ok56ysYYhtQ0jc0bVtZuY8XtjbvHjlp1Cn/P4VyMgxIw&#10;wBgngV10+jHUoWn+13sHGdl2cj+dcgwwxGc4PWujGqSUU/vfU5sC4tyat6LoJWv4Y/5GG2/4F/6C&#10;ayK1/DH/ACMNt/wL/wBBNc+F/jw9UdO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b+ka4dOsTC9ozREnM0Zw3PvisCtyzk1S90N7C2tBJADy+OeucV0&#10;4WUozbi9bdrnNi4xlBKS0v3sTTDStTy39qXEUh/hnBYfnXPMMMQDnB61L9lnMrxeS/mICWXHIx1z&#10;UNRWqOerjZlUaahdRldBWv4Y/wCRhtv+Bf8AoJrIrX8Mf8jDbf8AAv8A0E08L/Hh6oMV/An6M9Ho&#10;oor7A+Q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m/Gn/IKi/66j+RrpK5vxp/yCov+uo/ka5cb/u8/Q6sF/vEPU4Wiiivkj6wK6ezh1K68P2o05nj&#10;MUj78Hbvycgg98VzFbmn6bfXWnrIb8W1sGIQPIQCe+K6sI3zNJN3XTT8TkxiXKm2lZ9dfwNsafeL&#10;rVvfSKqxmAC5YsACcc/0ri5tvnybPu7jj6ZroG0OZlIOtW7AjkGQ81zrLtdlyDg4yK0xjdkuW3Xe&#10;5ng0ru0r7Lawla/hj/kYbb/gX/oJrIrX8Mf8jDbf8C/9BNYYX+PD1R0Y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gV0draw6j4ft4p7yG3aGRvL3N1BP&#10;ORXOVozWkMOiWtwQTPO7Y54CjiujDy5eZ2uranNiY83Kr2d9C4fD9sAf+JxaH/P1rDZdrFc5wcZF&#10;dKuhaaiwWk9xIL+dNy4Hyg+lc3JGYpXjbqrFT+FXiafIl7tvncnC1edtc1/lYbWv4Y/5GG2/4F/6&#10;CayK1/DH/Iw23/Av/QTWeF/jw9UaYr+BP0Z6PRRRX2B8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N+NP+QVF/wBdR/I10lc340/5BUX/AF1H8jXL&#10;jf8Ad5+h1YL/AHiHqcLRRRXyR9YFb2kXgezFvcaZJeRQsWQxqSVJ6isGunsptQXw/bf2Up3LI/n7&#10;VySc8fhXXg787fl2vc5MZ8CXn3tYzpdXll137ebfLR/dj5+UAVlyOZJGdurEsfxrsUsro69Dcm2K&#10;xzQD7RxgAkc1x8yqs8ir90MQPpmnioTirye7ZOFqQk7RWyX/AAwytfwx/wAjDbf8C/8AQTWRWv4Y&#10;/wCRhtv+Bf8AoJrLC/x4eqNs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oNMttcuNNj+xThLcMdo3hTnPNc/Wzpmlme0N1c3v2W1DbQSeWPtXThb&#10;udlf5O34nNirKF3b5q/4F+TS/EkkTI91uQjkeb1rF/sq5/s1775PKR9hGec1qPo8NxE507VvPlUZ&#10;8onBI9qwDJIEMZdtuclc8ZrXEKMbcyf33McM5ST5WvusMrX8Mf8AIw23/Av/AEE1kVr+GP8AkYbb&#10;/gX/AKCawwv8eHqjoxX8Cfoz0eiiivsD5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b8af8gqL/rqP5Gukrm/Gn/IKi/66j+Rrlxv+7z9DqwX+8Q9&#10;ThaKKK+SPrAro7S3tr/w9Dbz30Nu8cjMgZux9RXOVpLbacdEM5uT9tDcRfj/AIV0YZ2ctE1broc+&#10;JV1HVp36K5sabptjYXi3B1e2YoDtAbHOO/NZ19pVrDBLcLqlvK/XYnU/rWNRVSxEHDl5PxZMcPNT&#10;5+f8EFa/hj/kYbb/AIF/6CayK1/DH/Iw23/Av/QTUYX+ND1ReK/gT9Gej0UUV9gfI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340/5BUX/XUfyNdJXN+NP+QVF/11H8jXLjf93n6HVgv94h6nC0UUV8kf&#10;WBXQ2tx/Y+hwXkFvHJPcOwaR1zsAPArnq09M1i5sFMCxpPC5z5TjIz7V0YaahJ3dvPsc+Jg5wVlf&#10;y7mpYaxPrN0tle28MsUgILKmCnHWublUJM6A5CsQDXXo+rXlu4t7CCwiYfNIeDiuPddrspOSDjNb&#10;Yu/LHmbfm1YwwduaXKkl2TuNrX8Mf8jDbf8AAv8A0E1kVr+GP+Rhtv8AgX/oJrDC/wAeHqjo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rodD1mysrU&#10;wSxGKYk/6QqhjXPVrRXaSaG9lHp5km3ZMyrnHOf/AK1dGGm4Tck9bepzYqCnBRa0v3sX7zTrrU1M&#10;ttqi3q9dhbaR+Fc2QVJB6jinIzxvlCysPTgimE55qa1SNR3tZ+pVGnKmuVu66aBWv4Y/5GG2/wCB&#10;f+gmsitfwx/yMNt/wL/0E08L/Hh6oMV/An6M9Hooor7A+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m/Gn/IKi/66j+RrpK5vxp/yCov+uo/ka5cb&#10;/u8/Q6sF/vEPU4Wiiivkj6wK6ayur230C2bS4wz+Ywnwm45zx+lczW/pX9vTWIj0/wCWBGPzfKMn&#10;6nrXXhJNTaV9um5yYyKcE3bR9djRjtJW8QQz/ZCsVzBmcbeFJHNclMoSeRV+6rED6Zrp5LXxTJEy&#10;PKSpHOHWuWZSrFW6g4NXjHovda1b1M8GtW+ZPRLQStfwx/yMNt/wL/0E1kVr+GP+Rhtv+Bf+gmsM&#10;L/Hh6o6MV/An6M9Hooor7A+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m/Gn/ACCov+uo/ka6Sub8af8AIKi/66j+Rrlxv+7z9DqwX+8Q9ThaKKK+&#10;SPrArprWzvNS8N2yWrmMwyNkFtokBPX8K5mniaQIEEjhQcgBjit6FVU2+ZaNGFelKolyuzTubh8P&#10;6yBnzV/7/wBYLAqzBuoODTvNk/56P/31TKVWcJW5U16u46UJxvztP0VgrY8LjPiC29t3/oJrHrqP&#10;Btkz3ct4wOyNdqn1JrTBQc68Uu5GNmoUJN9jtqKKK+t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n/wAgqL/rqP5GukpkkUcqgSIrgdmGaxr0&#10;/a03C+5rQqeyqKdtjySjFer/AGK1/wCfeL/vgUfYrX/n3i/74FeR/Y8v5/wPX/thfyfieUYoxXq/&#10;2K1/594v++BR9itf+feL/vgUf2PL+f8AAP7YX8n4nlGKVVZjhVJJ7AV6t9itf+feL/vgU5LeGI/J&#10;Ei/RQKFk76z/AAB5wv5PxOB0zwze3zq0qGCHuzDk/QV3lpaQ2VslvAm2NRxU9FelhsHTw693fueb&#10;icXUxD97bsFFFFdZy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96" w14:textId="77777777" w:rsidR="002E5946" w:rsidRPr="00D666B4" w:rsidRDefault="002E5946" w:rsidP="00D666B4">
    <w:pPr>
      <w:tabs>
        <w:tab w:val="left" w:pos="0"/>
        <w:tab w:val="left" w:pos="4155"/>
        <w:tab w:val="right" w:pos="7938"/>
        <w:tab w:val="right" w:pos="14459"/>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77184" behindDoc="1" locked="1" layoutInCell="1" allowOverlap="1" wp14:anchorId="0B70FBBF" wp14:editId="0B70FBC0">
              <wp:simplePos x="0" y="0"/>
              <wp:positionH relativeFrom="page">
                <wp:posOffset>0</wp:posOffset>
              </wp:positionH>
              <wp:positionV relativeFrom="page">
                <wp:posOffset>8526145</wp:posOffset>
              </wp:positionV>
              <wp:extent cx="7379970" cy="2181225"/>
              <wp:effectExtent l="0" t="0" r="0" b="9525"/>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225"/>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71.35pt;width:581.1pt;height:171.7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DBWjs+qAwAA3QcAAA4AAAAAAAAAAAAAAAAAPAIAAGRycy9lMm9Eb2MueG1sUEsB&#10;Ai0AFAAGAAgAAAAhAFhgsxu6AAAAIgEAABkAAAAAAAAAAAAAAAAAEgYAAGRycy9fcmVscy9lMm9E&#10;b2MueG1sLnJlbHNQSwECLQAUAAYACAAAACEAXjU8B+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Papua New Guinea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53</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9232" behindDoc="1" locked="0" layoutInCell="1" allowOverlap="1" wp14:anchorId="0B70FBC1" wp14:editId="0B70FBC2">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8208" behindDoc="1" locked="0" layoutInCell="1" allowOverlap="1" wp14:anchorId="0B70FBC3" wp14:editId="0B70FBC4">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094769"/>
      <w:docPartObj>
        <w:docPartGallery w:val="Page Numbers (Bottom of Page)"/>
        <w:docPartUnique/>
      </w:docPartObj>
    </w:sdtPr>
    <w:sdtEndPr>
      <w:rPr>
        <w:noProof/>
      </w:rPr>
    </w:sdtEndPr>
    <w:sdtContent>
      <w:p w14:paraId="0B70FB98" w14:textId="77777777" w:rsidR="002E5946" w:rsidRPr="00D666B4" w:rsidRDefault="002E5946" w:rsidP="00D666B4">
        <w:pPr>
          <w:tabs>
            <w:tab w:val="left" w:pos="0"/>
            <w:tab w:val="left" w:pos="4155"/>
            <w:tab w:val="right" w:pos="7938"/>
            <w:tab w:val="right" w:pos="14459"/>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705856" behindDoc="1" locked="1" layoutInCell="1" allowOverlap="1" wp14:anchorId="0B70FBC5" wp14:editId="0B70FBC6">
                  <wp:simplePos x="0" y="0"/>
                  <wp:positionH relativeFrom="page">
                    <wp:posOffset>0</wp:posOffset>
                  </wp:positionH>
                  <wp:positionV relativeFrom="page">
                    <wp:posOffset>8526145</wp:posOffset>
                  </wp:positionV>
                  <wp:extent cx="7379970" cy="2181225"/>
                  <wp:effectExtent l="0" t="0" r="0" b="9525"/>
                  <wp:wrapNone/>
                  <wp:docPr id="46" name="Rectangle 4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225"/>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alt="AusAID web address graphic" style="position:absolute;margin-left:0;margin-top:671.35pt;width:581.1pt;height:171.7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F3PhDqwMAAN0HAAAOAAAAAAAAAAAAAAAAADwCAABkcnMvZTJvRG9jLnhtbFBL&#10;AQItABQABgAIAAAAIQBYYLMbugAAACIBAAAZAAAAAAAAAAAAAAAAABMGAABkcnMvX3JlbHMvZTJv&#10;RG9jLnhtbC5yZWxzUEsBAi0AFAAGAAgAAAAhAF41PAf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sidR="00EC7FC8">
          <w:rPr>
            <w:rFonts w:ascii="Franklin Gothic Medium" w:eastAsia="Times New Roman" w:hAnsi="Franklin Gothic Medium"/>
            <w:noProof/>
            <w:color w:val="5A9A98"/>
            <w:sz w:val="14"/>
            <w:szCs w:val="14"/>
          </w:rPr>
          <w:t>Aid Program Performance Report 2012−13 Papua New Guinea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EC7FC8">
          <w:rPr>
            <w:rFonts w:ascii="Franklin Gothic Medium" w:eastAsia="Times New Roman" w:hAnsi="Franklin Gothic Medium"/>
            <w:noProof/>
            <w:color w:val="54534A"/>
            <w:sz w:val="14"/>
            <w:szCs w:val="14"/>
          </w:rPr>
          <w:t>59</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707904" behindDoc="1" locked="0" layoutInCell="1" allowOverlap="1" wp14:anchorId="0B70FBC7" wp14:editId="0B70FBC8">
                  <wp:simplePos x="0" y="0"/>
                  <wp:positionH relativeFrom="column">
                    <wp:posOffset>0</wp:posOffset>
                  </wp:positionH>
                  <wp:positionV relativeFrom="paragraph">
                    <wp:posOffset>8498840</wp:posOffset>
                  </wp:positionV>
                  <wp:extent cx="7379970" cy="2181860"/>
                  <wp:effectExtent l="0" t="2540" r="1905" b="0"/>
                  <wp:wrapNone/>
                  <wp:docPr id="47" name="Rectangle 4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alt="AusAID web address graphic" style="position:absolute;margin-left:0;margin-top:669.2pt;width:581.1pt;height:17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Wmue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Vaa5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06880" behindDoc="1" locked="0" layoutInCell="1" allowOverlap="1" wp14:anchorId="0B70FBC9" wp14:editId="0B70FBCA">
                  <wp:simplePos x="0" y="0"/>
                  <wp:positionH relativeFrom="column">
                    <wp:posOffset>0</wp:posOffset>
                  </wp:positionH>
                  <wp:positionV relativeFrom="paragraph">
                    <wp:posOffset>8498840</wp:posOffset>
                  </wp:positionV>
                  <wp:extent cx="7379970" cy="2181860"/>
                  <wp:effectExtent l="0" t="2540" r="1905" b="0"/>
                  <wp:wrapNone/>
                  <wp:docPr id="48" name="Rectangle 4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alt="AusAID web address graphic" style="position:absolute;margin-left:0;margin-top:669.2pt;width:581.1pt;height:17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T5JO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DU+ST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945089"/>
      <w:docPartObj>
        <w:docPartGallery w:val="Page Numbers (Bottom of Page)"/>
        <w:docPartUnique/>
      </w:docPartObj>
    </w:sdtPr>
    <w:sdtEndPr>
      <w:rPr>
        <w:noProof/>
      </w:rPr>
    </w:sdtEndPr>
    <w:sdtContent>
      <w:p w14:paraId="0B70FB9A" w14:textId="77777777" w:rsidR="002E5946" w:rsidRPr="00FD4957" w:rsidRDefault="002E5946" w:rsidP="00FD4957">
        <w:pPr>
          <w:tabs>
            <w:tab w:val="left" w:pos="0"/>
            <w:tab w:val="left" w:pos="4155"/>
            <w:tab w:val="right" w:pos="7938"/>
            <w:tab w:val="right" w:pos="14459"/>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97664" behindDoc="1" locked="1" layoutInCell="1" allowOverlap="1" wp14:anchorId="0B70FBCB" wp14:editId="0B70FBCC">
                  <wp:simplePos x="0" y="0"/>
                  <wp:positionH relativeFrom="page">
                    <wp:posOffset>0</wp:posOffset>
                  </wp:positionH>
                  <wp:positionV relativeFrom="page">
                    <wp:posOffset>8526145</wp:posOffset>
                  </wp:positionV>
                  <wp:extent cx="7379970" cy="2181225"/>
                  <wp:effectExtent l="0" t="0" r="0" b="9525"/>
                  <wp:wrapNone/>
                  <wp:docPr id="39" name="Rectangle 3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225"/>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alt="AusAID web address graphic" style="position:absolute;margin-left:0;margin-top:671.35pt;width:581.1pt;height:171.7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q3NcWqwMAAN0HAAAOAAAAAAAAAAAAAAAAADwCAABkcnMvZTJvRG9jLnhtbFBL&#10;AQItABQABgAIAAAAIQBYYLMbugAAACIBAAAZAAAAAAAAAAAAAAAAABMGAABkcnMvX3JlbHMvZTJv&#10;RG9jLnhtbC5yZWxzUEsBAi0AFAAGAAgAAAAhAF41PAf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Annual Aid Program Performance Report 2012−13 Papua New Guinea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60</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99712" behindDoc="1" locked="0" layoutInCell="1" allowOverlap="1" wp14:anchorId="0B70FBCD" wp14:editId="0B70FBCE">
                  <wp:simplePos x="0" y="0"/>
                  <wp:positionH relativeFrom="column">
                    <wp:posOffset>0</wp:posOffset>
                  </wp:positionH>
                  <wp:positionV relativeFrom="paragraph">
                    <wp:posOffset>8498840</wp:posOffset>
                  </wp:positionV>
                  <wp:extent cx="7379970" cy="2181860"/>
                  <wp:effectExtent l="0" t="2540" r="1905" b="0"/>
                  <wp:wrapNone/>
                  <wp:docPr id="40" name="Rectangle 4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alt="AusAID web address graphic" style="position:absolute;margin-left:0;margin-top:669.2pt;width:581.1pt;height:171.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CawK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5AmsC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98688" behindDoc="1" locked="0" layoutInCell="1" allowOverlap="1" wp14:anchorId="0B70FBCF" wp14:editId="0B70FBD0">
                  <wp:simplePos x="0" y="0"/>
                  <wp:positionH relativeFrom="column">
                    <wp:posOffset>0</wp:posOffset>
                  </wp:positionH>
                  <wp:positionV relativeFrom="paragraph">
                    <wp:posOffset>8498840</wp:posOffset>
                  </wp:positionV>
                  <wp:extent cx="7379970" cy="2181860"/>
                  <wp:effectExtent l="0" t="2540" r="1905" b="0"/>
                  <wp:wrapNone/>
                  <wp:docPr id="41" name="Rectangle 4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alt="AusAID web address graphic" style="position:absolute;margin-left:0;margin-top:669.2pt;width:581.1pt;height:171.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phma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qmGZ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0FB7E" w14:textId="77777777" w:rsidR="002E5946" w:rsidRDefault="002E5946" w:rsidP="0050529F">
      <w:r>
        <w:separator/>
      </w:r>
    </w:p>
    <w:p w14:paraId="0B70FB7F" w14:textId="77777777" w:rsidR="002E5946" w:rsidRDefault="002E5946"/>
    <w:p w14:paraId="0B70FB80" w14:textId="77777777" w:rsidR="002E5946" w:rsidRDefault="002E5946"/>
  </w:footnote>
  <w:footnote w:type="continuationSeparator" w:id="0">
    <w:p w14:paraId="0B70FB81" w14:textId="77777777" w:rsidR="002E5946" w:rsidRDefault="002E5946" w:rsidP="0050529F">
      <w:r>
        <w:continuationSeparator/>
      </w:r>
    </w:p>
    <w:p w14:paraId="0B70FB82" w14:textId="77777777" w:rsidR="002E5946" w:rsidRDefault="002E5946"/>
    <w:p w14:paraId="0B70FB83" w14:textId="77777777" w:rsidR="002E5946" w:rsidRDefault="002E5946"/>
  </w:footnote>
  <w:footnote w:type="continuationNotice" w:id="1">
    <w:p w14:paraId="0B70FB84" w14:textId="77777777" w:rsidR="002E5946" w:rsidRDefault="002E5946"/>
  </w:footnote>
  <w:footnote w:id="2">
    <w:p w14:paraId="0B70FBDF" w14:textId="77777777" w:rsidR="002E5946" w:rsidRDefault="002E5946" w:rsidP="008934B0">
      <w:pPr>
        <w:pStyle w:val="FootnoteText"/>
      </w:pPr>
      <w:r>
        <w:rPr>
          <w:rStyle w:val="FootnoteReference"/>
        </w:rPr>
        <w:footnoteRef/>
      </w:r>
      <w:r>
        <w:t xml:space="preserve"> </w:t>
      </w:r>
      <w:r w:rsidRPr="0090706B">
        <w:t>These priorities are in line with PNG's Medium Term Development Plan 2011–2015 and</w:t>
      </w:r>
      <w:r>
        <w:t xml:space="preserve"> Australia’s</w:t>
      </w:r>
      <w:r w:rsidRPr="0090706B">
        <w:t xml:space="preserve"> </w:t>
      </w:r>
      <w:r>
        <w:rPr>
          <w:i/>
        </w:rPr>
        <w:t>An Effective Aid Program</w:t>
      </w:r>
      <w:r w:rsidRPr="00C7152C">
        <w:rPr>
          <w:i/>
        </w:rPr>
        <w:t xml:space="preserve"> for Australia</w:t>
      </w:r>
      <w:r>
        <w:t>:</w:t>
      </w:r>
      <w:r w:rsidRPr="00FA3F30">
        <w:rPr>
          <w:i/>
        </w:rPr>
        <w:t xml:space="preserve"> Making a real difference—Delivering real results</w:t>
      </w:r>
      <w:r>
        <w:rPr>
          <w:i/>
        </w:rPr>
        <w:t xml:space="preserve"> </w:t>
      </w:r>
    </w:p>
  </w:footnote>
  <w:footnote w:id="3">
    <w:p w14:paraId="0B70FBE0" w14:textId="77777777" w:rsidR="002E5946" w:rsidRDefault="002E5946">
      <w:pPr>
        <w:pStyle w:val="FootnoteText"/>
      </w:pPr>
      <w:r>
        <w:rPr>
          <w:rStyle w:val="FootnoteReference"/>
        </w:rPr>
        <w:footnoteRef/>
      </w:r>
      <w:r>
        <w:t xml:space="preserve"> </w:t>
      </w:r>
      <w:hyperlink r:id="rId1" w:history="1">
        <w:r w:rsidRPr="00D37F32">
          <w:rPr>
            <w:rStyle w:val="Hyperlink"/>
            <w:sz w:val="14"/>
          </w:rPr>
          <w:t>http://asiancentury.dpmc.gov.au/</w:t>
        </w:r>
      </w:hyperlink>
    </w:p>
  </w:footnote>
  <w:footnote w:id="4">
    <w:p w14:paraId="0B70FBE1" w14:textId="77777777" w:rsidR="002E5946" w:rsidRDefault="002E5946" w:rsidP="008934B0">
      <w:pPr>
        <w:pStyle w:val="FootnoteText"/>
      </w:pPr>
      <w:r>
        <w:rPr>
          <w:rStyle w:val="FootnoteReference"/>
        </w:rPr>
        <w:footnoteRef/>
      </w:r>
      <w:r>
        <w:t xml:space="preserve"> </w:t>
      </w:r>
      <w:r w:rsidRPr="008E0AE1">
        <w:t>The interagency anti-corruption taskforce was established and public commitment made to establish an anti-corruption commission. While the public commitment to strengthen anti-corruption measures is encouraging, it needs to be matched with actions that will effect change.</w:t>
      </w:r>
      <w:r>
        <w:rPr>
          <w:rFonts w:ascii="Times Roman" w:hAnsi="Times Roman"/>
          <w:szCs w:val="22"/>
        </w:rPr>
        <w:t xml:space="preserve"> </w:t>
      </w:r>
    </w:p>
  </w:footnote>
  <w:footnote w:id="5">
    <w:p w14:paraId="0B70FBE3" w14:textId="77777777" w:rsidR="002E5946" w:rsidRDefault="002E5946" w:rsidP="008934B0">
      <w:pPr>
        <w:pStyle w:val="FootnoteText"/>
      </w:pPr>
      <w:r>
        <w:rPr>
          <w:rStyle w:val="FootnoteReference"/>
        </w:rPr>
        <w:footnoteRef/>
      </w:r>
      <w:r>
        <w:t xml:space="preserve"> Pacific Islands Forum Secretariat (2012), </w:t>
      </w:r>
      <w:r w:rsidRPr="00531752">
        <w:rPr>
          <w:i/>
        </w:rPr>
        <w:t>Millennium Development Goal Tracking Report</w:t>
      </w:r>
      <w:r>
        <w:t>.</w:t>
      </w:r>
    </w:p>
  </w:footnote>
  <w:footnote w:id="6">
    <w:p w14:paraId="0B70FBE4" w14:textId="77777777" w:rsidR="002E5946" w:rsidRDefault="002E5946" w:rsidP="0050724B">
      <w:pPr>
        <w:pStyle w:val="FootnoteText"/>
      </w:pPr>
      <w:r>
        <w:rPr>
          <w:rStyle w:val="FootnoteReference"/>
        </w:rPr>
        <w:footnoteRef/>
      </w:r>
      <w:r>
        <w:t xml:space="preserve"> United Nations Development Programme (2013), </w:t>
      </w:r>
      <w:r w:rsidRPr="00531752">
        <w:rPr>
          <w:i/>
        </w:rPr>
        <w:t>Human Development Report</w:t>
      </w:r>
      <w:r>
        <w:t xml:space="preserve">. </w:t>
      </w:r>
    </w:p>
  </w:footnote>
  <w:footnote w:id="7">
    <w:p w14:paraId="0B70FBE5" w14:textId="77777777" w:rsidR="002E5946" w:rsidRDefault="002E5946" w:rsidP="008934B0">
      <w:pPr>
        <w:pStyle w:val="FootnoteText"/>
      </w:pPr>
      <w:r>
        <w:rPr>
          <w:rStyle w:val="FootnoteReference"/>
        </w:rPr>
        <w:footnoteRef/>
      </w:r>
      <w:r>
        <w:t xml:space="preserve"> World Bank (2012), National Household Income and Expenditure Survey 2009–2010; PNG Government,  World Bank – PNG Country Partnership Strategy  2013–2016.</w:t>
      </w:r>
    </w:p>
  </w:footnote>
  <w:footnote w:id="8">
    <w:p w14:paraId="0B70FBE6" w14:textId="77777777" w:rsidR="002E5946" w:rsidRDefault="002E5946" w:rsidP="008934B0">
      <w:pPr>
        <w:pStyle w:val="FootnoteText"/>
      </w:pPr>
      <w:r>
        <w:rPr>
          <w:rStyle w:val="FootnoteReference"/>
        </w:rPr>
        <w:footnoteRef/>
      </w:r>
      <w:r>
        <w:t xml:space="preserve"> </w:t>
      </w:r>
      <w:r w:rsidRPr="00624DE5">
        <w:t xml:space="preserve">However, </w:t>
      </w:r>
      <w:r>
        <w:t xml:space="preserve">according to World Bank calculations, the poverty rate rose to </w:t>
      </w:r>
      <w:r w:rsidRPr="00624DE5">
        <w:t>53.8</w:t>
      </w:r>
      <w:r>
        <w:t xml:space="preserve"> per cent in 2003, reflecting poor economic growth between 1996 and 2002. The decline in the poverty rate from 2003 to 39.9 per cent in 2009–10 is consistent with strong performance in the construction and mining sectors, and</w:t>
      </w:r>
      <w:r w:rsidRPr="00624DE5">
        <w:t xml:space="preserve"> </w:t>
      </w:r>
      <w:r>
        <w:t xml:space="preserve">the relatively good performance of agricultural exports. </w:t>
      </w:r>
    </w:p>
  </w:footnote>
  <w:footnote w:id="9">
    <w:p w14:paraId="0B70FBE7" w14:textId="77777777" w:rsidR="002E5946" w:rsidRDefault="002E5946" w:rsidP="008934B0">
      <w:pPr>
        <w:pStyle w:val="FootnoteText"/>
      </w:pPr>
      <w:r>
        <w:rPr>
          <w:rStyle w:val="FootnoteReference"/>
        </w:rPr>
        <w:footnoteRef/>
      </w:r>
      <w:r>
        <w:t xml:space="preserve"> In 2012, GDP Growth was 8.0 per cent and population growth was 2.2 per cent according to the World Bank’s World Development Indicators.</w:t>
      </w:r>
    </w:p>
  </w:footnote>
  <w:footnote w:id="10">
    <w:p w14:paraId="0B70FBE8" w14:textId="77777777" w:rsidR="002E5946" w:rsidRDefault="002E5946" w:rsidP="008934B0">
      <w:pPr>
        <w:pStyle w:val="FootnoteText"/>
      </w:pPr>
      <w:r>
        <w:rPr>
          <w:rStyle w:val="FootnoteReference"/>
        </w:rPr>
        <w:footnoteRef/>
      </w:r>
      <w:r>
        <w:t xml:space="preserve"> World Bank – PNG</w:t>
      </w:r>
      <w:r w:rsidRPr="00095C97">
        <w:t xml:space="preserve"> Country partnership</w:t>
      </w:r>
      <w:r w:rsidRPr="00B81D55">
        <w:t xml:space="preserve"> strategy 2013</w:t>
      </w:r>
      <w:r>
        <w:t>–20</w:t>
      </w:r>
      <w:r w:rsidRPr="00B81D55">
        <w:t>16</w:t>
      </w:r>
      <w:r>
        <w:t>.</w:t>
      </w:r>
    </w:p>
  </w:footnote>
  <w:footnote w:id="11">
    <w:p w14:paraId="0B70FBE9" w14:textId="77777777" w:rsidR="002E5946" w:rsidRDefault="002E5946" w:rsidP="008934B0">
      <w:pPr>
        <w:pStyle w:val="FootnoteText"/>
      </w:pPr>
      <w:r>
        <w:rPr>
          <w:rStyle w:val="FootnoteReference"/>
        </w:rPr>
        <w:footnoteRef/>
      </w:r>
      <w:r>
        <w:t xml:space="preserve"> UNDP, </w:t>
      </w:r>
      <w:r>
        <w:rPr>
          <w:i/>
        </w:rPr>
        <w:t>Human Development Report 2013,</w:t>
      </w:r>
      <w:r w:rsidRPr="006D0256">
        <w:rPr>
          <w:i/>
        </w:rPr>
        <w:t xml:space="preserve"> </w:t>
      </w:r>
      <w:r w:rsidRPr="006D0256">
        <w:t>Gender Inequality Index,</w:t>
      </w:r>
      <w:r>
        <w:t xml:space="preserve"> p. 156.</w:t>
      </w:r>
    </w:p>
  </w:footnote>
  <w:footnote w:id="12">
    <w:p w14:paraId="0B70FBEA" w14:textId="77777777" w:rsidR="002E5946" w:rsidRDefault="002E5946" w:rsidP="008934B0">
      <w:pPr>
        <w:pStyle w:val="FootnoteText"/>
      </w:pPr>
      <w:r>
        <w:rPr>
          <w:rStyle w:val="FootnoteReference"/>
        </w:rPr>
        <w:footnoteRef/>
      </w:r>
      <w:r>
        <w:t xml:space="preserve"> For example, up to 10 000 people coordinated themselves to gather in Waigani to protest the proposed deferral of the general election on 10 April 2012 (D Cave, </w:t>
      </w:r>
      <w:r w:rsidRPr="00832B86">
        <w:rPr>
          <w:i/>
        </w:rPr>
        <w:t>The Interpreter</w:t>
      </w:r>
      <w:r>
        <w:t>, 11 April 2012, Lowy Institute).</w:t>
      </w:r>
    </w:p>
  </w:footnote>
  <w:footnote w:id="13">
    <w:p w14:paraId="0B70FBEB" w14:textId="77777777" w:rsidR="002E5946" w:rsidRDefault="002E5946">
      <w:pPr>
        <w:pStyle w:val="FootnoteText"/>
      </w:pPr>
      <w:r>
        <w:rPr>
          <w:rStyle w:val="FootnoteReference"/>
        </w:rPr>
        <w:footnoteRef/>
      </w:r>
      <w:r>
        <w:t xml:space="preserve"> </w:t>
      </w:r>
      <w:r w:rsidRPr="00352B18">
        <w:t>PNG Government, 2012 National Budget, vol. 1, p. 159.</w:t>
      </w:r>
    </w:p>
  </w:footnote>
  <w:footnote w:id="14">
    <w:p w14:paraId="0B70FBEC" w14:textId="77777777" w:rsidR="002E5946" w:rsidRDefault="002E5946" w:rsidP="008934B0">
      <w:pPr>
        <w:pStyle w:val="FootnoteText"/>
      </w:pPr>
      <w:r>
        <w:rPr>
          <w:rStyle w:val="FootnoteReference"/>
        </w:rPr>
        <w:footnoteRef/>
      </w:r>
      <w:r>
        <w:t xml:space="preserve"> </w:t>
      </w:r>
      <w:r w:rsidRPr="00352B18">
        <w:t>Notwithstanding, there were serious concerns about the credibility of PNG’s 2012 General Election, considered to be worse than its 2007 General Election.</w:t>
      </w:r>
    </w:p>
  </w:footnote>
  <w:footnote w:id="15">
    <w:p w14:paraId="0B70FBED" w14:textId="77777777" w:rsidR="002E5946" w:rsidRDefault="002E5946" w:rsidP="008934B0">
      <w:pPr>
        <w:pStyle w:val="FootnoteText"/>
      </w:pPr>
      <w:r>
        <w:rPr>
          <w:rStyle w:val="FootnoteReference"/>
        </w:rPr>
        <w:footnoteRef/>
      </w:r>
      <w:r>
        <w:t xml:space="preserve"> PNG Government, 2013 National Budget, vol. 1.</w:t>
      </w:r>
    </w:p>
  </w:footnote>
  <w:footnote w:id="16">
    <w:p w14:paraId="0B70FBEE" w14:textId="77777777" w:rsidR="002E5946" w:rsidRDefault="002E5946" w:rsidP="008934B0">
      <w:pPr>
        <w:pStyle w:val="FootnoteText"/>
      </w:pPr>
      <w:r>
        <w:rPr>
          <w:rStyle w:val="FootnoteReference"/>
        </w:rPr>
        <w:footnoteRef/>
      </w:r>
      <w:r>
        <w:t xml:space="preserve"> </w:t>
      </w:r>
      <w:r w:rsidRPr="00041973">
        <w:t>PNG Government</w:t>
      </w:r>
      <w:r w:rsidRPr="00FE61B7">
        <w:t xml:space="preserve">, </w:t>
      </w:r>
      <w:r w:rsidRPr="00041973">
        <w:t>2013 National Budget documents.</w:t>
      </w:r>
    </w:p>
  </w:footnote>
  <w:footnote w:id="17">
    <w:p w14:paraId="0B70FBEF" w14:textId="77777777" w:rsidR="002E5946" w:rsidRPr="00041973" w:rsidRDefault="002E5946" w:rsidP="008934B0">
      <w:pPr>
        <w:pStyle w:val="FootnoteText"/>
      </w:pPr>
      <w:r>
        <w:rPr>
          <w:rStyle w:val="FootnoteReference"/>
        </w:rPr>
        <w:footnoteRef/>
      </w:r>
      <w:r>
        <w:t xml:space="preserve"> International </w:t>
      </w:r>
      <w:r w:rsidRPr="002960A4">
        <w:t>Monetary Fund</w:t>
      </w:r>
      <w:r>
        <w:t xml:space="preserve">, </w:t>
      </w:r>
      <w:r w:rsidRPr="002960A4">
        <w:t>World Economic Outlook database.</w:t>
      </w:r>
    </w:p>
  </w:footnote>
  <w:footnote w:id="18">
    <w:p w14:paraId="0B70FBF0" w14:textId="77777777" w:rsidR="002E5946" w:rsidRDefault="002E5946" w:rsidP="008934B0">
      <w:pPr>
        <w:pStyle w:val="FootnoteText"/>
      </w:pPr>
      <w:r w:rsidRPr="00041973">
        <w:rPr>
          <w:rStyle w:val="FootnoteReference"/>
        </w:rPr>
        <w:footnoteRef/>
      </w:r>
      <w:r w:rsidRPr="00041973">
        <w:t xml:space="preserve"> PNG Government, 2013 National Budget, vol. 1, 2013–17 Medium Term</w:t>
      </w:r>
      <w:r>
        <w:t xml:space="preserve"> Fiscal Strategy.</w:t>
      </w:r>
    </w:p>
  </w:footnote>
  <w:footnote w:id="19">
    <w:p w14:paraId="0B70FBF1" w14:textId="77777777" w:rsidR="002E5946" w:rsidRDefault="002E5946">
      <w:pPr>
        <w:pStyle w:val="FootnoteText"/>
      </w:pPr>
      <w:r>
        <w:rPr>
          <w:rStyle w:val="FootnoteReference"/>
        </w:rPr>
        <w:footnoteRef/>
      </w:r>
      <w:r>
        <w:t xml:space="preserve"> PNG </w:t>
      </w:r>
      <w:r w:rsidRPr="006A2425">
        <w:t>Go</w:t>
      </w:r>
      <w:r>
        <w:t xml:space="preserve">vernment, </w:t>
      </w:r>
      <w:r w:rsidRPr="006A2425">
        <w:t xml:space="preserve">2013 National Budget, </w:t>
      </w:r>
      <w:r>
        <w:t>v</w:t>
      </w:r>
      <w:r w:rsidRPr="006A2425">
        <w:t>ol</w:t>
      </w:r>
      <w:r>
        <w:t>.</w:t>
      </w:r>
      <w:r w:rsidRPr="006A2425">
        <w:t xml:space="preserve"> 1</w:t>
      </w:r>
      <w:r>
        <w:t>. Each of the 22 provinces will receive K5 million per district; each district will directly receive K10 million; and each local level government will receive K500 000.</w:t>
      </w:r>
    </w:p>
  </w:footnote>
  <w:footnote w:id="20">
    <w:p w14:paraId="0B70FBF2" w14:textId="28F49147" w:rsidR="002E5946" w:rsidRDefault="002E5946">
      <w:pPr>
        <w:pStyle w:val="FootnoteText"/>
      </w:pPr>
      <w:r>
        <w:rPr>
          <w:rStyle w:val="FootnoteReference"/>
        </w:rPr>
        <w:footnoteRef/>
      </w:r>
      <w:r>
        <w:t xml:space="preserve"> DFATis the main government agency implementing Australian aid in PNG.</w:t>
      </w:r>
    </w:p>
  </w:footnote>
  <w:footnote w:id="21">
    <w:p w14:paraId="0B70FBF3" w14:textId="599E2275" w:rsidR="002E5946" w:rsidRPr="009E421B" w:rsidRDefault="002E5946" w:rsidP="00E91A1D">
      <w:pPr>
        <w:autoSpaceDE w:val="0"/>
        <w:autoSpaceDN w:val="0"/>
        <w:adjustRightInd w:val="0"/>
      </w:pPr>
      <w:r w:rsidRPr="009E421B">
        <w:rPr>
          <w:rStyle w:val="FootnoteReference"/>
        </w:rPr>
        <w:footnoteRef/>
      </w:r>
      <w:r w:rsidRPr="009E421B">
        <w:t xml:space="preserve"> </w:t>
      </w:r>
      <w:r w:rsidRPr="009E760E">
        <w:rPr>
          <w:sz w:val="14"/>
          <w:szCs w:val="14"/>
        </w:rPr>
        <w:t>Including the</w:t>
      </w:r>
      <w:r w:rsidRPr="00E91A1D">
        <w:rPr>
          <w:i/>
          <w:sz w:val="14"/>
          <w:szCs w:val="14"/>
        </w:rPr>
        <w:t xml:space="preserve"> </w:t>
      </w:r>
      <w:r>
        <w:rPr>
          <w:i/>
          <w:sz w:val="14"/>
          <w:szCs w:val="14"/>
        </w:rPr>
        <w:t xml:space="preserve">Review of the PNG – Australia </w:t>
      </w:r>
      <w:r w:rsidRPr="00E91A1D">
        <w:rPr>
          <w:i/>
          <w:sz w:val="14"/>
          <w:szCs w:val="14"/>
        </w:rPr>
        <w:t>Development Cooperation Treaty</w:t>
      </w:r>
      <w:r>
        <w:rPr>
          <w:sz w:val="14"/>
          <w:szCs w:val="14"/>
        </w:rPr>
        <w:t xml:space="preserve">, </w:t>
      </w:r>
      <w:r w:rsidRPr="00BB3F67">
        <w:rPr>
          <w:sz w:val="14"/>
          <w:szCs w:val="14"/>
        </w:rPr>
        <w:t>http://aid.dfat.gov.au/Publications/Pages/7121_4186_4801_3795_5658.aspx</w:t>
      </w:r>
      <w:r w:rsidRPr="00E91A1D">
        <w:rPr>
          <w:i/>
          <w:sz w:val="14"/>
          <w:szCs w:val="14"/>
        </w:rPr>
        <w:t xml:space="preserve"> </w:t>
      </w:r>
      <w:r>
        <w:rPr>
          <w:sz w:val="14"/>
          <w:szCs w:val="14"/>
        </w:rPr>
        <w:t xml:space="preserve">(see next footnote).  </w:t>
      </w:r>
    </w:p>
  </w:footnote>
  <w:footnote w:id="22">
    <w:p w14:paraId="0B70FBF4" w14:textId="717F52D0" w:rsidR="002E5946" w:rsidRDefault="002E5946">
      <w:pPr>
        <w:pStyle w:val="FootnoteText"/>
      </w:pPr>
      <w:r>
        <w:rPr>
          <w:rStyle w:val="FootnoteReference"/>
        </w:rPr>
        <w:footnoteRef/>
      </w:r>
      <w:r>
        <w:t xml:space="preserve"> The Australian Government is committed to achieving better results from the aid program. In 2010, Australia and partner countries undertook a review of adviser positions funded directly by the Australian Government’s aid program. The results were published in February 2011. </w:t>
      </w:r>
      <w:r w:rsidRPr="00BB3F67">
        <w:t>http://aid.dfat.gov.au/Publications/Documents/adviser-review-feb2011.pdf</w:t>
      </w:r>
    </w:p>
  </w:footnote>
  <w:footnote w:id="23">
    <w:p w14:paraId="0B70FBF5" w14:textId="3C98DA57" w:rsidR="002E5946" w:rsidRDefault="002E5946">
      <w:pPr>
        <w:pStyle w:val="FootnoteText"/>
      </w:pPr>
      <w:r>
        <w:rPr>
          <w:rStyle w:val="FootnoteReference"/>
        </w:rPr>
        <w:footnoteRef/>
      </w:r>
      <w:r>
        <w:t xml:space="preserve"> </w:t>
      </w:r>
      <w:r w:rsidRPr="009E760E">
        <w:t xml:space="preserve">The </w:t>
      </w:r>
      <w:r w:rsidRPr="009E760E">
        <w:rPr>
          <w:i/>
        </w:rPr>
        <w:t>Strongim</w:t>
      </w:r>
      <w:r w:rsidRPr="004A56AF">
        <w:rPr>
          <w:i/>
        </w:rPr>
        <w:t xml:space="preserve"> Gavman</w:t>
      </w:r>
      <w:r w:rsidRPr="009D0E38">
        <w:t xml:space="preserve"> </w:t>
      </w:r>
      <w:r w:rsidRPr="009E760E">
        <w:rPr>
          <w:i/>
        </w:rPr>
        <w:t xml:space="preserve">Program </w:t>
      </w:r>
      <w:r w:rsidRPr="009D0E38">
        <w:t xml:space="preserve">(Tok Pisin for </w:t>
      </w:r>
      <w:r>
        <w:t>‘</w:t>
      </w:r>
      <w:r w:rsidRPr="009E760E">
        <w:t>strengthening</w:t>
      </w:r>
      <w:r>
        <w:t>’</w:t>
      </w:r>
      <w:r w:rsidRPr="009E760E">
        <w:t xml:space="preserve"> or </w:t>
      </w:r>
      <w:r>
        <w:t>‘</w:t>
      </w:r>
      <w:r w:rsidRPr="009E760E">
        <w:t>empowering</w:t>
      </w:r>
      <w:r>
        <w:t>’</w:t>
      </w:r>
      <w:r w:rsidRPr="009E760E">
        <w:t xml:space="preserve"> government) works to strengthen public sector performance and accountability in PNG.</w:t>
      </w:r>
      <w:r>
        <w:t xml:space="preserve"> </w:t>
      </w:r>
      <w:r w:rsidRPr="00BB3F67">
        <w:t>http://aid.dfat.gov.au/countries/pacific/png/Pages/initiative-strongim-gavman.aspx</w:t>
      </w:r>
      <w:r>
        <w:t xml:space="preserve"> </w:t>
      </w:r>
    </w:p>
  </w:footnote>
  <w:footnote w:id="24">
    <w:p w14:paraId="0B70FBF6" w14:textId="77777777" w:rsidR="002E5946" w:rsidRDefault="002E5946">
      <w:pPr>
        <w:pStyle w:val="FootnoteText"/>
      </w:pPr>
      <w:r>
        <w:rPr>
          <w:rStyle w:val="FootnoteReference"/>
        </w:rPr>
        <w:footnoteRef/>
      </w:r>
      <w:r>
        <w:t xml:space="preserve"> </w:t>
      </w:r>
      <w:r w:rsidRPr="002960A4">
        <w:t>PNG and Australian government ministers meet annually to discuss the aid program and other bilateral issues.</w:t>
      </w:r>
    </w:p>
  </w:footnote>
  <w:footnote w:id="25">
    <w:p w14:paraId="0B70FBF7" w14:textId="77777777" w:rsidR="002E5946" w:rsidRDefault="002E5946" w:rsidP="00515D1D">
      <w:pPr>
        <w:pStyle w:val="FootnoteText"/>
      </w:pPr>
      <w:r>
        <w:rPr>
          <w:rStyle w:val="FootnoteReference"/>
        </w:rPr>
        <w:footnoteRef/>
      </w:r>
      <w:r>
        <w:t xml:space="preserve"> </w:t>
      </w:r>
      <w:r w:rsidRPr="002960A4">
        <w:t>During the visit, Australia’s Prime Minister launched the Pacific Women in Business initiative to establish a mentoring program to assist women to access management positions and tackle violence against women. The Prime Minister also announced the start of Phase III of the PNG – Australia Policing Partnership, which will see enhanced Australian support for modernising and reforming the RPNGC.</w:t>
      </w:r>
    </w:p>
  </w:footnote>
  <w:footnote w:id="26">
    <w:p w14:paraId="0B70FBF8" w14:textId="77777777" w:rsidR="002E5946" w:rsidRDefault="002E5946">
      <w:pPr>
        <w:pStyle w:val="FootnoteText"/>
      </w:pPr>
      <w:r>
        <w:rPr>
          <w:rStyle w:val="FootnoteReference"/>
        </w:rPr>
        <w:footnoteRef/>
      </w:r>
      <w:r>
        <w:t xml:space="preserve"> PNG’s Treasurer announced in May 2013 that </w:t>
      </w:r>
      <w:r w:rsidRPr="00AE337E">
        <w:t>PNG has committed to implement</w:t>
      </w:r>
      <w:r>
        <w:t>ing</w:t>
      </w:r>
      <w:r w:rsidRPr="00AE337E">
        <w:t xml:space="preserve"> </w:t>
      </w:r>
      <w:r>
        <w:t xml:space="preserve">the </w:t>
      </w:r>
      <w:r w:rsidRPr="00AE337E">
        <w:t>Extractive Industries Transparency Initiative.</w:t>
      </w:r>
    </w:p>
  </w:footnote>
  <w:footnote w:id="27">
    <w:p w14:paraId="0B70FBF9" w14:textId="77777777" w:rsidR="002E5946" w:rsidRDefault="002E5946" w:rsidP="001D26BA">
      <w:pPr>
        <w:pStyle w:val="FootnoteText"/>
      </w:pPr>
      <w:r>
        <w:rPr>
          <w:rStyle w:val="FootnoteReference"/>
        </w:rPr>
        <w:footnoteRef/>
      </w:r>
      <w:r>
        <w:t xml:space="preserve"> </w:t>
      </w:r>
      <w:r w:rsidRPr="00F55809">
        <w:t xml:space="preserve">For example, two personnel in </w:t>
      </w:r>
      <w:r>
        <w:t>the National Department of Health</w:t>
      </w:r>
      <w:r w:rsidRPr="00F55809">
        <w:t xml:space="preserve"> arrested in 2011 on corruption charges were reinstated due to no-show prosecutions</w:t>
      </w:r>
      <w:r>
        <w:t>.</w:t>
      </w:r>
    </w:p>
  </w:footnote>
  <w:footnote w:id="28">
    <w:p w14:paraId="0B70FBFA" w14:textId="77777777" w:rsidR="002E5946" w:rsidRDefault="002E5946">
      <w:pPr>
        <w:pStyle w:val="FootnoteText"/>
      </w:pPr>
      <w:r>
        <w:rPr>
          <w:rStyle w:val="FootnoteReference"/>
        </w:rPr>
        <w:footnoteRef/>
      </w:r>
      <w:r>
        <w:t xml:space="preserve"> Independent Annual Sector Review Group (2012), </w:t>
      </w:r>
      <w:r w:rsidRPr="00626E95">
        <w:rPr>
          <w:i/>
        </w:rPr>
        <w:t>Accelerating Health Improvement in Poor Performing Districts</w:t>
      </w:r>
      <w:r>
        <w:t xml:space="preserve">. Key factors included effective </w:t>
      </w:r>
      <w:r w:rsidRPr="00B21D1E">
        <w:t xml:space="preserve">relationships </w:t>
      </w:r>
      <w:r w:rsidRPr="00395A95">
        <w:t>wit</w:t>
      </w:r>
      <w:r w:rsidRPr="00B21D1E">
        <w:t>hin the health sector (between provincial and district managers) and between the Provincial Health Office and Provincial Administration; Section 32 Financial Delegate powers maintained within the health sector; and a strong focus on accountability and responsibility and use of performance information</w:t>
      </w:r>
      <w:r>
        <w:t xml:space="preserve"> for decision-making. Specific innovations include quarterly review meetings and collaboration with faith-based organisations; greater use of </w:t>
      </w:r>
      <w:r w:rsidRPr="00C32287">
        <w:t>District Services Improvement Program</w:t>
      </w:r>
      <w:r>
        <w:t xml:space="preserve"> funds for health through active briefing of members of parliaments; analysis of poor nutrition outcomes in one district, which led to engagement with the relevant agricultural officer to identify appropriate solutions; undertake facility audits; and introduce financial incentives for health workers to be placed in rural areas (by classifying positions at one level higher than urban equivalents).</w:t>
      </w:r>
    </w:p>
  </w:footnote>
  <w:footnote w:id="29">
    <w:p w14:paraId="0B70FBFB" w14:textId="77777777" w:rsidR="002E5946" w:rsidRDefault="002E5946">
      <w:pPr>
        <w:pStyle w:val="FootnoteText"/>
      </w:pPr>
      <w:r>
        <w:rPr>
          <w:rStyle w:val="FootnoteReference"/>
        </w:rPr>
        <w:footnoteRef/>
      </w:r>
      <w:r>
        <w:t xml:space="preserve"> </w:t>
      </w:r>
      <w:r w:rsidRPr="002D202C">
        <w:rPr>
          <w:szCs w:val="14"/>
          <w:lang w:val="en"/>
        </w:rPr>
        <w:t xml:space="preserve">Together with the </w:t>
      </w:r>
      <w:r>
        <w:rPr>
          <w:szCs w:val="14"/>
          <w:lang w:val="en"/>
        </w:rPr>
        <w:t xml:space="preserve">PNG </w:t>
      </w:r>
      <w:hyperlink r:id="rId2" w:history="1">
        <w:r w:rsidRPr="002D202C">
          <w:rPr>
            <w:rStyle w:val="Hyperlink"/>
            <w:sz w:val="14"/>
            <w:szCs w:val="14"/>
            <w:lang w:val="en"/>
          </w:rPr>
          <w:t>National Research Institute</w:t>
        </w:r>
      </w:hyperlink>
      <w:r>
        <w:rPr>
          <w:szCs w:val="14"/>
          <w:lang w:val="en"/>
        </w:rPr>
        <w:t>,</w:t>
      </w:r>
      <w:r w:rsidRPr="002D202C">
        <w:rPr>
          <w:szCs w:val="14"/>
          <w:lang w:val="en"/>
        </w:rPr>
        <w:t xml:space="preserve"> the</w:t>
      </w:r>
      <w:r>
        <w:rPr>
          <w:szCs w:val="14"/>
          <w:lang w:val="en"/>
        </w:rPr>
        <w:t xml:space="preserve"> Australian National University </w:t>
      </w:r>
      <w:r w:rsidRPr="002D202C">
        <w:rPr>
          <w:szCs w:val="14"/>
          <w:lang w:val="en"/>
        </w:rPr>
        <w:t xml:space="preserve">is undertaking the </w:t>
      </w:r>
      <w:r w:rsidRPr="009E760E">
        <w:rPr>
          <w:rStyle w:val="Strong"/>
          <w:b w:val="0"/>
          <w:szCs w:val="14"/>
          <w:lang w:val="en"/>
        </w:rPr>
        <w:t>Promoting Effective Public Expenditure Project</w:t>
      </w:r>
      <w:r w:rsidRPr="002D202C">
        <w:rPr>
          <w:i/>
          <w:szCs w:val="14"/>
          <w:lang w:val="en"/>
        </w:rPr>
        <w:t xml:space="preserve"> </w:t>
      </w:r>
      <w:r w:rsidRPr="002D202C">
        <w:rPr>
          <w:szCs w:val="14"/>
          <w:lang w:val="en"/>
        </w:rPr>
        <w:t>over the next three years</w:t>
      </w:r>
      <w:r>
        <w:rPr>
          <w:szCs w:val="14"/>
          <w:lang w:val="en"/>
        </w:rPr>
        <w:t>.</w:t>
      </w:r>
    </w:p>
  </w:footnote>
  <w:footnote w:id="30">
    <w:p w14:paraId="0B70FBFC" w14:textId="77777777" w:rsidR="002E5946" w:rsidRDefault="002E5946" w:rsidP="008934B0">
      <w:pPr>
        <w:pStyle w:val="FootnoteText"/>
      </w:pPr>
      <w:r>
        <w:rPr>
          <w:rStyle w:val="FootnoteReference"/>
        </w:rPr>
        <w:footnoteRef/>
      </w:r>
      <w:r>
        <w:t xml:space="preserve"> </w:t>
      </w:r>
      <w:r w:rsidRPr="00A54FF3">
        <w:t>Daru Hospital records.</w:t>
      </w:r>
    </w:p>
  </w:footnote>
  <w:footnote w:id="31">
    <w:p w14:paraId="0B70FBFD" w14:textId="77777777" w:rsidR="002E5946" w:rsidRDefault="002E5946">
      <w:pPr>
        <w:pStyle w:val="FootnoteText"/>
      </w:pPr>
      <w:r>
        <w:rPr>
          <w:rStyle w:val="FootnoteReference"/>
        </w:rPr>
        <w:footnoteRef/>
      </w:r>
      <w:r>
        <w:t xml:space="preserve"> Support for early childhood education is not part of Australia’s education sector program. </w:t>
      </w:r>
    </w:p>
  </w:footnote>
  <w:footnote w:id="32">
    <w:p w14:paraId="0B70FBFE" w14:textId="77777777" w:rsidR="002E5946" w:rsidRDefault="002E5946" w:rsidP="008934B0">
      <w:pPr>
        <w:pStyle w:val="FootnoteText"/>
      </w:pPr>
      <w:r>
        <w:rPr>
          <w:rStyle w:val="FootnoteReference"/>
        </w:rPr>
        <w:footnoteRef/>
      </w:r>
      <w:r>
        <w:t xml:space="preserve"> PNG’s </w:t>
      </w:r>
      <w:r w:rsidRPr="003A1D66">
        <w:t>Vision 2050, Development Strategic Plan 2010</w:t>
      </w:r>
      <w:r>
        <w:t>–</w:t>
      </w:r>
      <w:r w:rsidRPr="003A1D66">
        <w:t>30 and Medium-Term Development Plan 2011</w:t>
      </w:r>
      <w:r>
        <w:t>–</w:t>
      </w:r>
      <w:r w:rsidRPr="003A1D66">
        <w:t>15</w:t>
      </w:r>
      <w:r>
        <w:t xml:space="preserve"> also prioritise education and align PNG’s</w:t>
      </w:r>
      <w:r w:rsidRPr="006E7664">
        <w:t xml:space="preserve"> National Education Plan, Universal Basic Education Plan</w:t>
      </w:r>
      <w:r>
        <w:t xml:space="preserve"> 2010–2019</w:t>
      </w:r>
      <w:r w:rsidRPr="006E7664">
        <w:t>, National Higher Education Plan</w:t>
      </w:r>
      <w:r>
        <w:t xml:space="preserve"> II</w:t>
      </w:r>
      <w:r w:rsidRPr="006E7664">
        <w:t xml:space="preserve"> </w:t>
      </w:r>
      <w:r>
        <w:t xml:space="preserve">and </w:t>
      </w:r>
      <w:r w:rsidRPr="006E7664">
        <w:t>Development Strategic Plan and Vision</w:t>
      </w:r>
      <w:r>
        <w:t>.</w:t>
      </w:r>
      <w:r w:rsidRPr="006E7664">
        <w:t xml:space="preserve"> </w:t>
      </w:r>
    </w:p>
  </w:footnote>
  <w:footnote w:id="33">
    <w:p w14:paraId="0B70FBFF" w14:textId="77777777" w:rsidR="002E5946" w:rsidRDefault="002E5946" w:rsidP="008934B0">
      <w:pPr>
        <w:pStyle w:val="FootnoteText"/>
      </w:pPr>
      <w:r>
        <w:rPr>
          <w:rStyle w:val="FootnoteReference"/>
        </w:rPr>
        <w:footnoteRef/>
      </w:r>
      <w:r>
        <w:t xml:space="preserve"> The government</w:t>
      </w:r>
      <w:r w:rsidRPr="007B4A04">
        <w:t xml:space="preserve"> </w:t>
      </w:r>
      <w:r>
        <w:t xml:space="preserve">has </w:t>
      </w:r>
      <w:r w:rsidRPr="007B4A04">
        <w:t xml:space="preserve">established a </w:t>
      </w:r>
      <w:r>
        <w:t>t</w:t>
      </w:r>
      <w:r w:rsidRPr="007B4A04">
        <w:t>askforce</w:t>
      </w:r>
      <w:r>
        <w:t>,</w:t>
      </w:r>
      <w:r w:rsidRPr="007B4A04">
        <w:t xml:space="preserve"> with no </w:t>
      </w:r>
      <w:r>
        <w:t>DoE</w:t>
      </w:r>
      <w:r w:rsidRPr="007B4A04">
        <w:t xml:space="preserve"> representation</w:t>
      </w:r>
      <w:r>
        <w:t>,</w:t>
      </w:r>
      <w:r w:rsidRPr="007B4A04">
        <w:t xml:space="preserve"> to review </w:t>
      </w:r>
      <w:r>
        <w:t>the outcomes-based education curriculum</w:t>
      </w:r>
      <w:r w:rsidRPr="007B4A04">
        <w:t xml:space="preserve">. The timeframes </w:t>
      </w:r>
      <w:r>
        <w:t xml:space="preserve">set </w:t>
      </w:r>
      <w:r w:rsidRPr="007B4A04">
        <w:t>to develop and implement a reformed curriculum are unrealistic</w:t>
      </w:r>
      <w:r>
        <w:t>, however, and</w:t>
      </w:r>
      <w:r w:rsidRPr="007B4A04">
        <w:t xml:space="preserve"> implementat</w:t>
      </w:r>
      <w:r>
        <w:t>ion of the new reforms is set for</w:t>
      </w:r>
      <w:r w:rsidRPr="007B4A04">
        <w:t xml:space="preserve"> 2014, only six months after </w:t>
      </w:r>
      <w:r>
        <w:t>t</w:t>
      </w:r>
      <w:r w:rsidRPr="007B4A04">
        <w:t>askforce recomm</w:t>
      </w:r>
      <w:r>
        <w:t>endations are likely</w:t>
      </w:r>
      <w:r w:rsidRPr="007B4A04">
        <w:t xml:space="preserve"> to be released.</w:t>
      </w:r>
    </w:p>
  </w:footnote>
  <w:footnote w:id="34">
    <w:p w14:paraId="0B70FC00" w14:textId="77777777" w:rsidR="002E5946" w:rsidRDefault="002E5946" w:rsidP="008934B0">
      <w:pPr>
        <w:pStyle w:val="FootnoteText"/>
      </w:pPr>
      <w:r>
        <w:rPr>
          <w:rStyle w:val="FootnoteReference"/>
        </w:rPr>
        <w:footnoteRef/>
      </w:r>
      <w:r>
        <w:t xml:space="preserve"> Data quality issues relate to methodological inconsistencies and evidence of inflation of enrolment figures under the tuition fee-free education policy. </w:t>
      </w:r>
    </w:p>
  </w:footnote>
  <w:footnote w:id="35">
    <w:p w14:paraId="0B70FC01" w14:textId="77777777" w:rsidR="002E5946" w:rsidRDefault="002E5946" w:rsidP="008934B0">
      <w:pPr>
        <w:pStyle w:val="FootnoteText"/>
      </w:pPr>
      <w:r>
        <w:rPr>
          <w:rStyle w:val="FootnoteReference"/>
        </w:rPr>
        <w:footnoteRef/>
      </w:r>
      <w:r>
        <w:t xml:space="preserve"> PNG Government, </w:t>
      </w:r>
      <w:r>
        <w:rPr>
          <w:i/>
        </w:rPr>
        <w:t xml:space="preserve">2012 </w:t>
      </w:r>
      <w:r w:rsidRPr="00457529">
        <w:rPr>
          <w:i/>
        </w:rPr>
        <w:t>Education for All Global Monitoring Report</w:t>
      </w:r>
      <w:r w:rsidRPr="00E5505E">
        <w:t>. Data refers to 2005</w:t>
      </w:r>
      <w:r>
        <w:t>–</w:t>
      </w:r>
      <w:r w:rsidRPr="00E5505E">
        <w:t>10 and in most cases is from 2008 school year.</w:t>
      </w:r>
    </w:p>
  </w:footnote>
  <w:footnote w:id="36">
    <w:p w14:paraId="0B70FC02" w14:textId="77777777" w:rsidR="002E5946" w:rsidRDefault="002E5946" w:rsidP="008934B0">
      <w:pPr>
        <w:pStyle w:val="FootnoteText"/>
      </w:pPr>
      <w:r>
        <w:rPr>
          <w:rStyle w:val="FootnoteReference"/>
        </w:rPr>
        <w:footnoteRef/>
      </w:r>
      <w:r>
        <w:t xml:space="preserve"> </w:t>
      </w:r>
      <w:r w:rsidRPr="00370AC4">
        <w:t>E</w:t>
      </w:r>
      <w:r>
        <w:t>arly Grade Reading Assessment,</w:t>
      </w:r>
      <w:r w:rsidRPr="009055C9">
        <w:t xml:space="preserve"> Madang results</w:t>
      </w:r>
      <w:r>
        <w:t>;</w:t>
      </w:r>
      <w:r w:rsidRPr="009055C9">
        <w:t xml:space="preserve"> East New Britain, National Capital District </w:t>
      </w:r>
      <w:r>
        <w:t>p</w:t>
      </w:r>
      <w:r w:rsidRPr="009055C9">
        <w:t>reliminary results;</w:t>
      </w:r>
      <w:r w:rsidRPr="00370AC4">
        <w:t xml:space="preserve"> </w:t>
      </w:r>
      <w:r w:rsidRPr="00457529">
        <w:rPr>
          <w:i/>
        </w:rPr>
        <w:t>PNG Education Experience Survey and Literacy Assessment: A Report on 5 Provinces—New Ireland, National Capital District, Chimbu, Sandaun and Gulf Provinces</w:t>
      </w:r>
      <w:r w:rsidRPr="00B34143">
        <w:t xml:space="preserve">, </w:t>
      </w:r>
      <w:r w:rsidRPr="00457529">
        <w:t>Asia South Pacific Association for Basic and Adult Education</w:t>
      </w:r>
      <w:r>
        <w:t xml:space="preserve">. </w:t>
      </w:r>
    </w:p>
  </w:footnote>
  <w:footnote w:id="37">
    <w:p w14:paraId="0B70FC03" w14:textId="77777777" w:rsidR="002E5946" w:rsidRDefault="002E5946">
      <w:pPr>
        <w:pStyle w:val="FootnoteText"/>
      </w:pPr>
      <w:r>
        <w:rPr>
          <w:rStyle w:val="FootnoteReference"/>
        </w:rPr>
        <w:footnoteRef/>
      </w:r>
      <w:r>
        <w:t xml:space="preserve"> For example, the National Executive Council endorsed the implementation plan to the review of PNG’s universities; bailed out the University of Papua New Guinea; and intervened in the governance of the University of Technology in Lae.</w:t>
      </w:r>
    </w:p>
  </w:footnote>
  <w:footnote w:id="38">
    <w:p w14:paraId="0B70FC04" w14:textId="77777777" w:rsidR="002E5946" w:rsidRDefault="002E5946" w:rsidP="008934B0">
      <w:pPr>
        <w:pStyle w:val="FootnoteText"/>
      </w:pPr>
      <w:r>
        <w:rPr>
          <w:rStyle w:val="FootnoteReference"/>
        </w:rPr>
        <w:footnoteRef/>
      </w:r>
      <w:r>
        <w:t>Classrooms are designed to make the most of natural light and passive cooling.</w:t>
      </w:r>
    </w:p>
  </w:footnote>
  <w:footnote w:id="39">
    <w:p w14:paraId="0B70FC05" w14:textId="77777777" w:rsidR="002E5946" w:rsidRDefault="002E5946" w:rsidP="006658DB">
      <w:pPr>
        <w:pStyle w:val="FootnoteText"/>
      </w:pPr>
      <w:r w:rsidRPr="00041973">
        <w:rPr>
          <w:rStyle w:val="FootnoteReference"/>
        </w:rPr>
        <w:footnoteRef/>
      </w:r>
      <w:r w:rsidRPr="00041973">
        <w:t xml:space="preserve"> Including: </w:t>
      </w:r>
      <w:r w:rsidRPr="00041973">
        <w:rPr>
          <w:szCs w:val="22"/>
        </w:rPr>
        <w:t>2 females and 75 males in PNG; 27 females and 18 males in Fiji; 13 females and 5 males in Vanuatu; and 5 females and 15 males in Samoa. A total of 134 Papua New Guineans graduated during this period—1 female and 57 males in PNG; 24 females and 13 males in Fiji; 9 females in Vanuatu; and 10 females and 20 males in Samoa.</w:t>
      </w:r>
    </w:p>
  </w:footnote>
  <w:footnote w:id="40">
    <w:p w14:paraId="0B70FC06" w14:textId="77777777" w:rsidR="002E5946" w:rsidRPr="00BA31F5" w:rsidRDefault="002E5946" w:rsidP="00AC2F41">
      <w:pPr>
        <w:pStyle w:val="FootnoteText"/>
        <w:rPr>
          <w:szCs w:val="14"/>
        </w:rPr>
      </w:pPr>
      <w:r w:rsidRPr="00BA31F5">
        <w:rPr>
          <w:rStyle w:val="FootnoteReference"/>
          <w:sz w:val="14"/>
          <w:szCs w:val="14"/>
        </w:rPr>
        <w:footnoteRef/>
      </w:r>
      <w:r w:rsidRPr="00BA31F5">
        <w:rPr>
          <w:szCs w:val="14"/>
        </w:rPr>
        <w:t xml:space="preserve"> </w:t>
      </w:r>
      <w:r w:rsidRPr="00E558CA">
        <w:rPr>
          <w:szCs w:val="14"/>
        </w:rPr>
        <w:t xml:space="preserve">While management and commerce numbers are high, disaggregation shows graduates are spread across management </w:t>
      </w:r>
      <w:r w:rsidRPr="00B124E4">
        <w:rPr>
          <w:szCs w:val="14"/>
        </w:rPr>
        <w:t>in health, education, agriculture, public administration and project management, financial and business management, to</w:t>
      </w:r>
      <w:r w:rsidRPr="00BF568F">
        <w:rPr>
          <w:szCs w:val="14"/>
        </w:rPr>
        <w:t>urism, and human resource management. Likewise society and culture, once disaggregated, reveals awards in law and justice, education and welfare services</w:t>
      </w:r>
      <w:r>
        <w:rPr>
          <w:szCs w:val="14"/>
        </w:rPr>
        <w:t xml:space="preserve">. </w:t>
      </w:r>
      <w:r w:rsidRPr="008042F4">
        <w:rPr>
          <w:szCs w:val="14"/>
        </w:rPr>
        <w:t xml:space="preserve"> </w:t>
      </w:r>
    </w:p>
  </w:footnote>
  <w:footnote w:id="41">
    <w:p w14:paraId="0B70FC07" w14:textId="77777777" w:rsidR="002E5946" w:rsidRDefault="002E5946" w:rsidP="00AC2F41">
      <w:pPr>
        <w:pStyle w:val="FootnoteText"/>
      </w:pPr>
      <w:r>
        <w:rPr>
          <w:rStyle w:val="FootnoteReference"/>
        </w:rPr>
        <w:footnoteRef/>
      </w:r>
      <w:r>
        <w:t xml:space="preserve"> </w:t>
      </w:r>
      <w:r w:rsidRPr="002960A4">
        <w:t>In contrast, for Australia Awards for study in Australia, year-on-year awardees overwhelmingly come from National Capital District (65 per cent in 2012 and 59 per cent in 2013).</w:t>
      </w:r>
    </w:p>
  </w:footnote>
  <w:footnote w:id="42">
    <w:p w14:paraId="0B70FC08" w14:textId="77777777" w:rsidR="002E5946" w:rsidRDefault="002E5946" w:rsidP="008934B0">
      <w:pPr>
        <w:pStyle w:val="FootnoteText"/>
      </w:pPr>
      <w:r>
        <w:rPr>
          <w:rStyle w:val="FootnoteReference"/>
        </w:rPr>
        <w:footnoteRef/>
      </w:r>
      <w:r>
        <w:t xml:space="preserve"> </w:t>
      </w:r>
      <w:r w:rsidRPr="002960A4">
        <w:t xml:space="preserve">Australian assistance was provided through mechanisms including long-term Australian government advisers placed in agencies, goods and services, capital investment and refurbishment, and capacity building such as through training technical advisers. A number of twinning arrangements with Australian law and justice agencies </w:t>
      </w:r>
      <w:r>
        <w:t>were</w:t>
      </w:r>
      <w:r w:rsidRPr="002960A4">
        <w:t xml:space="preserve"> also supported.</w:t>
      </w:r>
    </w:p>
  </w:footnote>
  <w:footnote w:id="43">
    <w:p w14:paraId="0B70FC09" w14:textId="77777777" w:rsidR="002E5946" w:rsidRDefault="002E5946" w:rsidP="005A52E5">
      <w:pPr>
        <w:pStyle w:val="FootnoteText"/>
      </w:pPr>
      <w:r>
        <w:rPr>
          <w:rStyle w:val="FootnoteReference"/>
        </w:rPr>
        <w:footnoteRef/>
      </w:r>
      <w:r>
        <w:t>A</w:t>
      </w:r>
      <w:r w:rsidRPr="007B1265">
        <w:t xml:space="preserve">n anonymous survey was carried out to assess the impact of the ethics training delivered to 30 RPNGC who had completed the training program </w:t>
      </w:r>
      <w:r>
        <w:t>three</w:t>
      </w:r>
      <w:r w:rsidRPr="007B1265">
        <w:t xml:space="preserve"> months earlier</w:t>
      </w:r>
      <w:r>
        <w:t xml:space="preserve">. </w:t>
      </w:r>
      <w:r w:rsidRPr="007B1265">
        <w:t>The results indicate a very high level of confidence in</w:t>
      </w:r>
      <w:r>
        <w:t xml:space="preserve"> the</w:t>
      </w:r>
      <w:r w:rsidRPr="007B1265">
        <w:t xml:space="preserve"> ability to respond to c</w:t>
      </w:r>
      <w:r>
        <w:t>orruption in the workplace (90 per cent</w:t>
      </w:r>
      <w:r w:rsidRPr="007B1265">
        <w:t>) and 41</w:t>
      </w:r>
      <w:r>
        <w:t xml:space="preserve"> per cent</w:t>
      </w:r>
      <w:r w:rsidRPr="007B1265">
        <w:t xml:space="preserve"> reported a ‘noticeable change</w:t>
      </w:r>
      <w:r>
        <w:t>’</w:t>
      </w:r>
      <w:r w:rsidRPr="007B1265">
        <w:t xml:space="preserve"> in their colleagues</w:t>
      </w:r>
      <w:r>
        <w:t>’</w:t>
      </w:r>
      <w:r w:rsidRPr="007B1265">
        <w:t xml:space="preserve"> behaviour </w:t>
      </w:r>
      <w:r>
        <w:t>on</w:t>
      </w:r>
      <w:r w:rsidRPr="007B1265">
        <w:t xml:space="preserve"> corrupt activity. </w:t>
      </w:r>
      <w:r>
        <w:t>Seventy-three per cent</w:t>
      </w:r>
      <w:r w:rsidRPr="007B1265">
        <w:t xml:space="preserve"> reported that corruption was talked about more or a lot more since the workshop.</w:t>
      </w:r>
      <w:r>
        <w:t xml:space="preserve"> Sixty-nine per cent</w:t>
      </w:r>
      <w:r w:rsidRPr="007B1265">
        <w:t xml:space="preserve"> self-reported having taken a step to saying no </w:t>
      </w:r>
      <w:r w:rsidRPr="004B62E6">
        <w:t>to corruption.</w:t>
      </w:r>
    </w:p>
  </w:footnote>
  <w:footnote w:id="44">
    <w:p w14:paraId="0B70FC0A" w14:textId="77777777" w:rsidR="002E5946" w:rsidRDefault="002E5946" w:rsidP="008934B0">
      <w:pPr>
        <w:pStyle w:val="FootnoteText"/>
      </w:pPr>
      <w:r>
        <w:rPr>
          <w:rStyle w:val="FootnoteReference"/>
        </w:rPr>
        <w:footnoteRef/>
      </w:r>
      <w:r w:rsidRPr="006034A2">
        <w:t xml:space="preserve">As a result of Australia’s efforts, senior personnel in a number of PNG agencies are beginning to consolidate their knowledge and ownership of the </w:t>
      </w:r>
      <w:r>
        <w:t>FSV</w:t>
      </w:r>
      <w:r w:rsidRPr="006034A2">
        <w:t xml:space="preserve"> work progressed through </w:t>
      </w:r>
      <w:r>
        <w:t xml:space="preserve">FSVUs. </w:t>
      </w:r>
      <w:r w:rsidRPr="006034A2">
        <w:t>This is demonst</w:t>
      </w:r>
      <w:r>
        <w:t>rated by the recognition of FSV</w:t>
      </w:r>
      <w:r w:rsidRPr="006034A2">
        <w:t xml:space="preserve">U within RPNGC staff positions in three provinces and the creation of an FSVU Coordinator and Deputy Coordinator at </w:t>
      </w:r>
      <w:r>
        <w:t>H</w:t>
      </w:r>
      <w:r w:rsidRPr="006034A2">
        <w:t>eadquarters level</w:t>
      </w:r>
      <w:r>
        <w:t xml:space="preserve">. </w:t>
      </w:r>
    </w:p>
  </w:footnote>
  <w:footnote w:id="45">
    <w:p w14:paraId="0B70FC0B" w14:textId="77777777" w:rsidR="002E5946" w:rsidRDefault="002E5946" w:rsidP="008934B0">
      <w:pPr>
        <w:pStyle w:val="FootnoteText"/>
      </w:pPr>
      <w:r>
        <w:rPr>
          <w:rStyle w:val="FootnoteReference"/>
        </w:rPr>
        <w:footnoteRef/>
      </w:r>
      <w:r>
        <w:t xml:space="preserve"> However, t</w:t>
      </w:r>
      <w:r w:rsidRPr="006034A2">
        <w:t xml:space="preserve">here was a drop in </w:t>
      </w:r>
      <w:r>
        <w:t xml:space="preserve">the overall </w:t>
      </w:r>
      <w:r w:rsidRPr="006034A2">
        <w:t>numb</w:t>
      </w:r>
      <w:r>
        <w:t>er of interim protection order applications in 2012 which requires further investigation</w:t>
      </w:r>
      <w:r w:rsidRPr="006034A2">
        <w:t>.</w:t>
      </w:r>
    </w:p>
  </w:footnote>
  <w:footnote w:id="46">
    <w:p w14:paraId="0B70FC0C" w14:textId="49760E3C" w:rsidR="002E5946" w:rsidRDefault="002E5946">
      <w:pPr>
        <w:pStyle w:val="FootnoteText"/>
      </w:pPr>
      <w:r>
        <w:rPr>
          <w:rStyle w:val="FootnoteReference"/>
        </w:rPr>
        <w:footnoteRef/>
      </w:r>
      <w:r>
        <w:t xml:space="preserve"> </w:t>
      </w:r>
      <w:r w:rsidRPr="00D03799">
        <w:t>This increase has anecdotally been attributed to the increase in</w:t>
      </w:r>
      <w:r>
        <w:t xml:space="preserve"> the numbers of</w:t>
      </w:r>
      <w:r w:rsidRPr="00D03799">
        <w:t xml:space="preserve"> female village court magistrates and officials. </w:t>
      </w:r>
      <w:r>
        <w:t>DFAT</w:t>
      </w:r>
      <w:r w:rsidRPr="00D03799">
        <w:t xml:space="preserve"> is planning an evaluation to assess the impact and effectiveness of village courts later in 2013</w:t>
      </w:r>
      <w:r>
        <w:t>.</w:t>
      </w:r>
    </w:p>
  </w:footnote>
  <w:footnote w:id="47">
    <w:p w14:paraId="0B70FC0D" w14:textId="77777777" w:rsidR="002E5946" w:rsidRPr="008B1410" w:rsidRDefault="002E5946" w:rsidP="0006003A">
      <w:pPr>
        <w:pStyle w:val="FootnoteText"/>
        <w:rPr>
          <w:szCs w:val="14"/>
        </w:rPr>
      </w:pPr>
      <w:r w:rsidRPr="008B1410">
        <w:rPr>
          <w:rStyle w:val="FootnoteReference"/>
          <w:sz w:val="14"/>
          <w:szCs w:val="14"/>
        </w:rPr>
        <w:footnoteRef/>
      </w:r>
      <w:r w:rsidRPr="008B1410">
        <w:rPr>
          <w:szCs w:val="14"/>
        </w:rPr>
        <w:t xml:space="preserve"> Common assault consistently ranks as the most prevalent offence. Current reporting definitions do not enable analysis of the percentage of the assaults occurring between family members but anecdotal reporting from magistrates indicates that violence between family members (intimate partners, parents/children and in-laws and involving multiple ‘wives’) accounts for a substantial proportion of assault cases.</w:t>
      </w:r>
    </w:p>
  </w:footnote>
  <w:footnote w:id="48">
    <w:p w14:paraId="0B70FC0E" w14:textId="77777777" w:rsidR="002E5946" w:rsidRDefault="002E5946">
      <w:pPr>
        <w:pStyle w:val="FootnoteText"/>
      </w:pPr>
      <w:r>
        <w:rPr>
          <w:rStyle w:val="FootnoteReference"/>
        </w:rPr>
        <w:footnoteRef/>
      </w:r>
      <w:r>
        <w:t xml:space="preserve"> At the end of the APPR period, the Acting Chief Ombudsman was succeeded by a man as the permanent head. </w:t>
      </w:r>
    </w:p>
  </w:footnote>
  <w:footnote w:id="49">
    <w:p w14:paraId="0B70FC0F" w14:textId="5FF2B3A7" w:rsidR="002E5946" w:rsidRDefault="002E5946" w:rsidP="005A52E5">
      <w:pPr>
        <w:pStyle w:val="FootnoteText"/>
      </w:pPr>
      <w:r>
        <w:rPr>
          <w:rStyle w:val="FootnoteReference"/>
        </w:rPr>
        <w:footnoteRef/>
      </w:r>
      <w:r>
        <w:t xml:space="preserve"> Funded through the Australian Government’s Development Research Awards Scheme not the Transport Sector Support Program. </w:t>
      </w:r>
    </w:p>
  </w:footnote>
  <w:footnote w:id="50">
    <w:p w14:paraId="0B70FC10" w14:textId="77777777" w:rsidR="002E5946" w:rsidRDefault="002E5946" w:rsidP="008934B0">
      <w:pPr>
        <w:pStyle w:val="FootnoteText"/>
      </w:pPr>
      <w:r w:rsidRPr="001B2003">
        <w:rPr>
          <w:rStyle w:val="FootnoteReference"/>
          <w:sz w:val="14"/>
          <w:szCs w:val="14"/>
        </w:rPr>
        <w:footnoteRef/>
      </w:r>
      <w:r>
        <w:t xml:space="preserve"> </w:t>
      </w:r>
      <w:r w:rsidRPr="001B2003">
        <w:rPr>
          <w:rFonts w:cstheme="minorHAnsi"/>
          <w:szCs w:val="14"/>
        </w:rPr>
        <w:t>This interim target is in place until detailed targets can be developed based on analysis and diagnostics of key agencies being conducted in 2013.</w:t>
      </w:r>
    </w:p>
  </w:footnote>
  <w:footnote w:id="51">
    <w:p w14:paraId="0B70FC11" w14:textId="77777777" w:rsidR="002E5946" w:rsidRDefault="002E5946" w:rsidP="0077449E">
      <w:pPr>
        <w:pStyle w:val="FootnoteText"/>
      </w:pPr>
      <w:r>
        <w:rPr>
          <w:rStyle w:val="FootnoteReference"/>
        </w:rPr>
        <w:footnoteRef/>
      </w:r>
      <w:r>
        <w:t xml:space="preserve"> </w:t>
      </w:r>
      <w:r w:rsidRPr="0077449E">
        <w:t xml:space="preserve">Service </w:t>
      </w:r>
      <w:r>
        <w:t>i</w:t>
      </w:r>
      <w:r w:rsidRPr="0077449E">
        <w:t xml:space="preserve">mprovement </w:t>
      </w:r>
      <w:r>
        <w:t>p</w:t>
      </w:r>
      <w:r w:rsidRPr="0077449E">
        <w:t xml:space="preserve">rograms include funds for </w:t>
      </w:r>
      <w:r>
        <w:t>p</w:t>
      </w:r>
      <w:r w:rsidRPr="0077449E">
        <w:t>rovinc</w:t>
      </w:r>
      <w:r>
        <w:t>ial</w:t>
      </w:r>
      <w:r w:rsidRPr="0077449E">
        <w:t xml:space="preserve">, </w:t>
      </w:r>
      <w:r>
        <w:t>d</w:t>
      </w:r>
      <w:r w:rsidRPr="0077449E">
        <w:t xml:space="preserve">istricts and </w:t>
      </w:r>
      <w:r>
        <w:t>l</w:t>
      </w:r>
      <w:r w:rsidRPr="0077449E">
        <w:t>ocal</w:t>
      </w:r>
      <w:r>
        <w:t>-l</w:t>
      </w:r>
      <w:r w:rsidRPr="0077449E">
        <w:t xml:space="preserve">evel </w:t>
      </w:r>
      <w:r>
        <w:t>g</w:t>
      </w:r>
      <w:r w:rsidRPr="0077449E">
        <w:t>overnments which are largely for infrastructure programs for health, education, law and justice</w:t>
      </w:r>
      <w:r>
        <w:t>,</w:t>
      </w:r>
      <w:r w:rsidRPr="0077449E">
        <w:t xml:space="preserve"> economic and agriculture</w:t>
      </w:r>
      <w:r>
        <w:t xml:space="preserve">. </w:t>
      </w:r>
      <w:r w:rsidRPr="0077449E">
        <w:t xml:space="preserve">Administration </w:t>
      </w:r>
      <w:r>
        <w:t>g</w:t>
      </w:r>
      <w:r w:rsidRPr="0077449E">
        <w:t xml:space="preserve">uidelines and </w:t>
      </w:r>
      <w:r>
        <w:t>f</w:t>
      </w:r>
      <w:r w:rsidRPr="0077449E">
        <w:t xml:space="preserve">inancial </w:t>
      </w:r>
      <w:r>
        <w:t>i</w:t>
      </w:r>
      <w:r w:rsidRPr="0077449E">
        <w:t xml:space="preserve">nstructions are in place to administer funds and </w:t>
      </w:r>
      <w:r>
        <w:t xml:space="preserve">align </w:t>
      </w:r>
      <w:r w:rsidRPr="0077449E">
        <w:t>expenditure to development plans</w:t>
      </w:r>
      <w:r>
        <w:t>.</w:t>
      </w:r>
    </w:p>
  </w:footnote>
  <w:footnote w:id="52">
    <w:p w14:paraId="0B70FC12" w14:textId="77777777" w:rsidR="002E5946" w:rsidRDefault="002E5946">
      <w:pPr>
        <w:pStyle w:val="FootnoteText"/>
      </w:pPr>
      <w:r>
        <w:rPr>
          <w:rStyle w:val="FootnoteReference"/>
        </w:rPr>
        <w:footnoteRef/>
      </w:r>
      <w:r>
        <w:t xml:space="preserve"> </w:t>
      </w:r>
      <w:r w:rsidRPr="004161A9">
        <w:rPr>
          <w:rFonts w:cstheme="minorHAnsi"/>
          <w:szCs w:val="14"/>
        </w:rPr>
        <w:t xml:space="preserve">The Santiago Principles are a set of </w:t>
      </w:r>
      <w:r>
        <w:rPr>
          <w:rFonts w:cstheme="minorHAnsi"/>
          <w:szCs w:val="14"/>
        </w:rPr>
        <w:t xml:space="preserve">best practice principles </w:t>
      </w:r>
      <w:r w:rsidRPr="004161A9">
        <w:rPr>
          <w:rFonts w:cstheme="minorHAnsi"/>
          <w:szCs w:val="14"/>
        </w:rPr>
        <w:t xml:space="preserve">for the operation of </w:t>
      </w:r>
      <w:r>
        <w:rPr>
          <w:rFonts w:cstheme="minorHAnsi"/>
          <w:szCs w:val="14"/>
        </w:rPr>
        <w:t>s</w:t>
      </w:r>
      <w:hyperlink r:id="rId3" w:tooltip="Sovereign wealth fund" w:history="1">
        <w:r w:rsidRPr="004161A9">
          <w:rPr>
            <w:rFonts w:cstheme="minorHAnsi"/>
            <w:szCs w:val="14"/>
          </w:rPr>
          <w:t xml:space="preserve">overeign </w:t>
        </w:r>
        <w:r>
          <w:rPr>
            <w:rFonts w:cstheme="minorHAnsi"/>
            <w:szCs w:val="14"/>
          </w:rPr>
          <w:t>w</w:t>
        </w:r>
        <w:r w:rsidRPr="004161A9">
          <w:rPr>
            <w:rFonts w:cstheme="minorHAnsi"/>
            <w:szCs w:val="14"/>
          </w:rPr>
          <w:t xml:space="preserve">ealth </w:t>
        </w:r>
        <w:r>
          <w:rPr>
            <w:rFonts w:cstheme="minorHAnsi"/>
            <w:szCs w:val="14"/>
          </w:rPr>
          <w:t>f</w:t>
        </w:r>
        <w:r w:rsidRPr="004161A9">
          <w:rPr>
            <w:rFonts w:cstheme="minorHAnsi"/>
            <w:szCs w:val="14"/>
          </w:rPr>
          <w:t>unds</w:t>
        </w:r>
      </w:hyperlink>
      <w:r w:rsidRPr="004161A9">
        <w:rPr>
          <w:rFonts w:cstheme="minorHAnsi"/>
          <w:szCs w:val="14"/>
        </w:rPr>
        <w:t xml:space="preserve">. The principles were </w:t>
      </w:r>
      <w:r>
        <w:rPr>
          <w:rFonts w:cstheme="minorHAnsi"/>
          <w:szCs w:val="14"/>
        </w:rPr>
        <w:t xml:space="preserve">developed </w:t>
      </w:r>
      <w:r w:rsidRPr="004161A9">
        <w:rPr>
          <w:rFonts w:cstheme="minorHAnsi"/>
          <w:szCs w:val="14"/>
        </w:rPr>
        <w:t xml:space="preserve">in 2008 </w:t>
      </w:r>
      <w:r>
        <w:rPr>
          <w:rFonts w:cstheme="minorHAnsi"/>
          <w:szCs w:val="14"/>
        </w:rPr>
        <w:t xml:space="preserve">by </w:t>
      </w:r>
      <w:r w:rsidRPr="004161A9">
        <w:rPr>
          <w:rFonts w:cstheme="minorHAnsi"/>
          <w:szCs w:val="14"/>
        </w:rPr>
        <w:t xml:space="preserve">the </w:t>
      </w:r>
      <w:hyperlink r:id="rId4" w:tooltip="International Monetary Fund" w:history="1">
        <w:r w:rsidRPr="004161A9">
          <w:rPr>
            <w:rFonts w:cstheme="minorHAnsi"/>
            <w:szCs w:val="14"/>
          </w:rPr>
          <w:t>International Monetary Fund</w:t>
        </w:r>
      </w:hyperlink>
      <w:r w:rsidRPr="0048469A">
        <w:rPr>
          <w:rFonts w:cstheme="minorHAnsi"/>
          <w:szCs w:val="14"/>
        </w:rPr>
        <w:t xml:space="preserve"> and </w:t>
      </w:r>
      <w:r w:rsidRPr="004161A9">
        <w:rPr>
          <w:rFonts w:cstheme="minorHAnsi"/>
          <w:szCs w:val="14"/>
        </w:rPr>
        <w:t>International Working Group of Sovereign Wealth Funds</w:t>
      </w:r>
      <w:r>
        <w:rPr>
          <w:rFonts w:cstheme="minorHAnsi"/>
          <w:szCs w:val="14"/>
        </w:rPr>
        <w:t xml:space="preserve">, </w:t>
      </w:r>
      <w:r w:rsidRPr="0048469A">
        <w:rPr>
          <w:rFonts w:cstheme="minorHAnsi"/>
          <w:szCs w:val="14"/>
        </w:rPr>
        <w:t>http://www.iwg-swf.org/pubs/gapplist.htm</w:t>
      </w:r>
    </w:p>
  </w:footnote>
  <w:footnote w:id="53">
    <w:p w14:paraId="0B70FC13" w14:textId="77777777" w:rsidR="002E5946" w:rsidRPr="003F06CF" w:rsidRDefault="002E5946" w:rsidP="002724AA">
      <w:pPr>
        <w:rPr>
          <w:sz w:val="14"/>
          <w:szCs w:val="14"/>
        </w:rPr>
      </w:pPr>
      <w:r w:rsidRPr="003F06CF">
        <w:rPr>
          <w:rStyle w:val="FootnoteReference"/>
          <w:sz w:val="14"/>
          <w:szCs w:val="14"/>
        </w:rPr>
        <w:footnoteRef/>
      </w:r>
      <w:r w:rsidRPr="003F06CF">
        <w:rPr>
          <w:sz w:val="14"/>
          <w:szCs w:val="14"/>
        </w:rPr>
        <w:t xml:space="preserve"> Phase 2 provinces include: Central Province; Eastern Highlands Province</w:t>
      </w:r>
      <w:r>
        <w:rPr>
          <w:sz w:val="14"/>
          <w:szCs w:val="14"/>
        </w:rPr>
        <w:t xml:space="preserve">; </w:t>
      </w:r>
      <w:r w:rsidRPr="003F06CF">
        <w:rPr>
          <w:sz w:val="14"/>
          <w:szCs w:val="14"/>
        </w:rPr>
        <w:t>East New Britain; Milne Bay; SepikSundown</w:t>
      </w:r>
      <w:r>
        <w:rPr>
          <w:sz w:val="14"/>
          <w:szCs w:val="14"/>
        </w:rPr>
        <w:t xml:space="preserve">; and </w:t>
      </w:r>
      <w:r w:rsidRPr="003F06CF">
        <w:rPr>
          <w:sz w:val="14"/>
          <w:szCs w:val="14"/>
        </w:rPr>
        <w:t xml:space="preserve">SundownWest. </w:t>
      </w:r>
    </w:p>
    <w:p w14:paraId="0B70FC14" w14:textId="77777777" w:rsidR="002E5946" w:rsidRDefault="002E5946" w:rsidP="002724AA">
      <w:pPr>
        <w:pStyle w:val="FootnoteText"/>
      </w:pPr>
    </w:p>
  </w:footnote>
  <w:footnote w:id="54">
    <w:p w14:paraId="0B70FC15" w14:textId="77777777" w:rsidR="002E5946" w:rsidRDefault="002E5946" w:rsidP="00BD5A32">
      <w:pPr>
        <w:pStyle w:val="FootnoteText"/>
      </w:pPr>
      <w:r>
        <w:rPr>
          <w:rStyle w:val="FootnoteReference"/>
        </w:rPr>
        <w:footnoteRef/>
      </w:r>
      <w:r>
        <w:t xml:space="preserve"> Democratic governance programs prioritise inclusiveness and, accordingly, have </w:t>
      </w:r>
      <w:r w:rsidRPr="008B299F">
        <w:t>ensure</w:t>
      </w:r>
      <w:r>
        <w:t>d</w:t>
      </w:r>
      <w:r w:rsidRPr="008B299F">
        <w:t xml:space="preserve"> gender and disability inclusiveness within pro</w:t>
      </w:r>
      <w:r>
        <w:t>grams. More outcomes resulting from democratic governance initiatives are</w:t>
      </w:r>
      <w:r w:rsidRPr="008B299F">
        <w:t xml:space="preserve"> refer</w:t>
      </w:r>
      <w:r>
        <w:t>red</w:t>
      </w:r>
      <w:r w:rsidRPr="008B299F">
        <w:t xml:space="preserve"> to </w:t>
      </w:r>
      <w:r>
        <w:t xml:space="preserve">in the </w:t>
      </w:r>
      <w:r w:rsidRPr="008B299F">
        <w:t>gender and disability</w:t>
      </w:r>
      <w:r>
        <w:t xml:space="preserve"> section in this APPR.</w:t>
      </w:r>
    </w:p>
  </w:footnote>
  <w:footnote w:id="55">
    <w:p w14:paraId="0B70FC16" w14:textId="77777777" w:rsidR="002E5946" w:rsidRPr="000239B6" w:rsidRDefault="002E5946" w:rsidP="000239B6">
      <w:pPr>
        <w:pStyle w:val="Default"/>
        <w:rPr>
          <w:rFonts w:eastAsia="Times New Roman"/>
          <w:i/>
          <w:color w:val="auto"/>
          <w:sz w:val="14"/>
          <w:szCs w:val="20"/>
        </w:rPr>
      </w:pPr>
      <w:r w:rsidRPr="000239B6">
        <w:rPr>
          <w:rFonts w:eastAsia="Times New Roman"/>
          <w:color w:val="auto"/>
          <w:sz w:val="14"/>
          <w:szCs w:val="20"/>
        </w:rPr>
        <w:footnoteRef/>
      </w:r>
      <w:r w:rsidRPr="000239B6">
        <w:rPr>
          <w:rFonts w:eastAsia="Times New Roman"/>
          <w:color w:val="auto"/>
          <w:sz w:val="14"/>
          <w:szCs w:val="20"/>
        </w:rPr>
        <w:t xml:space="preserve"> </w:t>
      </w:r>
      <w:r w:rsidRPr="000239B6">
        <w:rPr>
          <w:rFonts w:eastAsia="Times New Roman"/>
          <w:i/>
          <w:color w:val="auto"/>
          <w:sz w:val="14"/>
          <w:szCs w:val="20"/>
        </w:rPr>
        <w:t xml:space="preserve">Independent Review of two Democratic Governance Programs in PNG Strongim Pipol Strongim Nesen (SPSN) </w:t>
      </w:r>
    </w:p>
    <w:p w14:paraId="0B70FC17" w14:textId="77777777" w:rsidR="002E5946" w:rsidRPr="000239B6" w:rsidRDefault="002E5946" w:rsidP="000239B6">
      <w:pPr>
        <w:pStyle w:val="Default"/>
        <w:rPr>
          <w:rFonts w:eastAsia="Times New Roman"/>
          <w:i/>
          <w:color w:val="auto"/>
          <w:sz w:val="14"/>
          <w:szCs w:val="20"/>
        </w:rPr>
      </w:pPr>
      <w:r w:rsidRPr="000239B6">
        <w:rPr>
          <w:rFonts w:eastAsia="Times New Roman"/>
          <w:i/>
          <w:color w:val="auto"/>
          <w:sz w:val="14"/>
          <w:szCs w:val="20"/>
        </w:rPr>
        <w:t>and Church Partnership Program (CPP)</w:t>
      </w:r>
    </w:p>
    <w:p w14:paraId="0B70FC18" w14:textId="77777777" w:rsidR="002E5946" w:rsidRDefault="002E5946">
      <w:pPr>
        <w:pStyle w:val="FootnoteText"/>
      </w:pPr>
    </w:p>
  </w:footnote>
  <w:footnote w:id="56">
    <w:p w14:paraId="0B70FC19" w14:textId="77777777" w:rsidR="002E5946" w:rsidRDefault="002E5946" w:rsidP="00BD5A32">
      <w:pPr>
        <w:pStyle w:val="FootnoteText"/>
      </w:pPr>
      <w:r>
        <w:rPr>
          <w:rStyle w:val="FootnoteReference"/>
        </w:rPr>
        <w:footnoteRef/>
      </w:r>
      <w:r>
        <w:t xml:space="preserve"> The S</w:t>
      </w:r>
      <w:r w:rsidRPr="00CA5131">
        <w:t>alvation Army trained and suppo</w:t>
      </w:r>
      <w:r>
        <w:t>rted village health volunteers</w:t>
      </w:r>
      <w:r w:rsidRPr="00CA5131">
        <w:t xml:space="preserve"> in their role</w:t>
      </w:r>
      <w:r>
        <w:t>s as birth attendants and</w:t>
      </w:r>
      <w:r w:rsidRPr="00CA5131">
        <w:t xml:space="preserve"> medicine and immunisation distributors. An evaluation of the </w:t>
      </w:r>
      <w:r>
        <w:t xml:space="preserve">village health volunteers </w:t>
      </w:r>
      <w:r w:rsidRPr="00CA5131">
        <w:t xml:space="preserve">program in 2012 indicated that </w:t>
      </w:r>
      <w:r>
        <w:t xml:space="preserve">it </w:t>
      </w:r>
      <w:r w:rsidRPr="00CA5131">
        <w:t>contributed to a decrease in unsupervised birth and an increase in access to immunisation for children</w:t>
      </w:r>
      <w:r>
        <w:t>.</w:t>
      </w:r>
    </w:p>
  </w:footnote>
  <w:footnote w:id="57">
    <w:p w14:paraId="0B70FC1A" w14:textId="77777777" w:rsidR="002E5946" w:rsidRDefault="002E5946" w:rsidP="00BD5A32">
      <w:pPr>
        <w:pStyle w:val="FootnoteText"/>
      </w:pPr>
      <w:r>
        <w:rPr>
          <w:rStyle w:val="FootnoteReference"/>
        </w:rPr>
        <w:footnoteRef/>
      </w:r>
      <w:r>
        <w:t xml:space="preserve"> </w:t>
      </w:r>
      <w:r w:rsidRPr="00272291">
        <w:t>Limitations were evident in</w:t>
      </w:r>
      <w:r>
        <w:t xml:space="preserve"> relation to the electoral roll (which</w:t>
      </w:r>
      <w:r w:rsidRPr="00272291">
        <w:t xml:space="preserve"> remained flawed largely due to fraud, inadequate supervision of data collection and failure to enforce electoral law</w:t>
      </w:r>
      <w:r>
        <w:t xml:space="preserve">) and organisational culture, leadership and incentives within the PNGEC. </w:t>
      </w:r>
    </w:p>
  </w:footnote>
  <w:footnote w:id="58">
    <w:p w14:paraId="0B70FC1B" w14:textId="77777777" w:rsidR="002E5946" w:rsidRDefault="002E5946" w:rsidP="002F2617">
      <w:pPr>
        <w:pStyle w:val="FootnoteText"/>
      </w:pPr>
      <w:r>
        <w:rPr>
          <w:rStyle w:val="FootnoteReference"/>
        </w:rPr>
        <w:footnoteRef/>
      </w:r>
      <w:r>
        <w:t xml:space="preserve"> </w:t>
      </w:r>
      <w:r w:rsidRPr="00E826AE">
        <w:t>The UN Special Rapporteur on Violence against Women, its Causes and Consequences, Ms Rashida Manjoo, visited PNG in March 2012 and foun</w:t>
      </w:r>
      <w:r>
        <w:t>d that violence against women was</w:t>
      </w:r>
      <w:r w:rsidRPr="00E826AE">
        <w:t xml:space="preserve"> pervasive, with a wide range of manifestations occurring in the home, community and institutional settings</w:t>
      </w:r>
      <w:r>
        <w:t xml:space="preserve">. </w:t>
      </w:r>
    </w:p>
  </w:footnote>
  <w:footnote w:id="59">
    <w:p w14:paraId="0B70FC1C" w14:textId="77777777" w:rsidR="002E5946" w:rsidRDefault="002E5946" w:rsidP="002F2617">
      <w:pPr>
        <w:pStyle w:val="FootnoteText"/>
      </w:pPr>
      <w:r>
        <w:rPr>
          <w:rStyle w:val="FootnoteReference"/>
        </w:rPr>
        <w:footnoteRef/>
      </w:r>
      <w:r>
        <w:t xml:space="preserve"> UNDP, </w:t>
      </w:r>
      <w:r>
        <w:rPr>
          <w:i/>
        </w:rPr>
        <w:t>Human Development Report 2013,</w:t>
      </w:r>
      <w:r w:rsidRPr="006D0256">
        <w:rPr>
          <w:i/>
        </w:rPr>
        <w:t xml:space="preserve"> </w:t>
      </w:r>
      <w:r w:rsidRPr="006D0256">
        <w:t>Gender Inequality Index,</w:t>
      </w:r>
      <w:r>
        <w:t xml:space="preserve"> p. 156.</w:t>
      </w:r>
    </w:p>
  </w:footnote>
  <w:footnote w:id="60">
    <w:p w14:paraId="0B70FC1D" w14:textId="77777777" w:rsidR="002E5946" w:rsidRDefault="002E5946" w:rsidP="002F2617">
      <w:pPr>
        <w:pStyle w:val="FootnoteText"/>
      </w:pPr>
      <w:r>
        <w:rPr>
          <w:rStyle w:val="FootnoteReference"/>
        </w:rPr>
        <w:footnoteRef/>
      </w:r>
      <w:r>
        <w:t xml:space="preserve"> Economic Intelligence Unit, </w:t>
      </w:r>
      <w:r w:rsidRPr="006D0256">
        <w:rPr>
          <w:i/>
        </w:rPr>
        <w:t>Women’s Economic Opportunity 2012</w:t>
      </w:r>
      <w:r>
        <w:rPr>
          <w:i/>
        </w:rPr>
        <w:t>.</w:t>
      </w:r>
    </w:p>
  </w:footnote>
  <w:footnote w:id="61">
    <w:p w14:paraId="0B70FC1E" w14:textId="77777777" w:rsidR="002E5946" w:rsidRPr="003C54CB" w:rsidRDefault="002E5946" w:rsidP="003C54CB">
      <w:pPr>
        <w:rPr>
          <w:sz w:val="22"/>
          <w:szCs w:val="22"/>
        </w:rPr>
      </w:pPr>
      <w:r w:rsidRPr="00291086">
        <w:rPr>
          <w:rStyle w:val="FootnoteReference"/>
          <w:sz w:val="14"/>
          <w:szCs w:val="14"/>
        </w:rPr>
        <w:footnoteRef/>
      </w:r>
      <w:r w:rsidRPr="00291086">
        <w:rPr>
          <w:sz w:val="14"/>
          <w:szCs w:val="14"/>
        </w:rPr>
        <w:t xml:space="preserve"> </w:t>
      </w:r>
      <w:r w:rsidRPr="006264ED">
        <w:rPr>
          <w:rStyle w:val="FootnoteTextChar"/>
          <w:rFonts w:eastAsia="SimSun"/>
        </w:rPr>
        <w:t>Following the horrific killing of a young mother in Mt Hagen in February 2013, sorcery allegations and related violence have come to national and international attention. The PNG Government, along with Australia, the United States and the UN, has publicly deplored such violence. Following the submission of a report on the Sorcery Act by the PNG Constitutional and Law Reform Commission in March, Prime Minister O’Neill committed to repealing the law in 2013. The National Executive Committee has approved the draft Family Protection Bill and the Department of Justice and Attorney-General is preparing the submission to introduce the Bill to Parliament. The Bill will make domestic violence a specific offence and provide other protections for survivors of FSV or child abuse.</w:t>
      </w:r>
    </w:p>
  </w:footnote>
  <w:footnote w:id="62">
    <w:p w14:paraId="0B70FC1F" w14:textId="77777777" w:rsidR="002E5946" w:rsidRDefault="002E5946" w:rsidP="002F2617">
      <w:pPr>
        <w:pStyle w:val="FootnoteText"/>
      </w:pPr>
      <w:r>
        <w:rPr>
          <w:rStyle w:val="FootnoteReference"/>
        </w:rPr>
        <w:footnoteRef/>
      </w:r>
      <w:r>
        <w:t xml:space="preserve"> </w:t>
      </w:r>
      <w:r w:rsidRPr="006264ED">
        <w:t>For example, Prime Minister O’Neill, in 2013, released the National Public Service Gender Equity and Social Inclusion Policy. This policy sets targets for increasing the representation of women in the public sector by 15 per cent by 2015, and increasing the number of women in leadership and decision-making roles.</w:t>
      </w:r>
      <w:r>
        <w:t xml:space="preserve"> </w:t>
      </w:r>
    </w:p>
  </w:footnote>
  <w:footnote w:id="63">
    <w:p w14:paraId="0B70FC20" w14:textId="77777777" w:rsidR="002E5946" w:rsidRDefault="002E5946">
      <w:pPr>
        <w:pStyle w:val="FootnoteText"/>
      </w:pPr>
      <w:r>
        <w:rPr>
          <w:rStyle w:val="FootnoteReference"/>
        </w:rPr>
        <w:footnoteRef/>
      </w:r>
      <w:r>
        <w:t xml:space="preserve"> </w:t>
      </w:r>
      <w:r w:rsidRPr="006264ED">
        <w:t xml:space="preserve">A 2004 World Bank report provides some insight, as does the latest World Development Report on gender (WDR2012). From these documents, some of the key economic impacts of gender-based violence are: direct costs, which are incurred because of domestic violence and include, but are not limited to crisis services, legal services and medical expenses; indirect costs, which </w:t>
      </w:r>
      <w:r>
        <w:t>cover</w:t>
      </w:r>
      <w:r w:rsidRPr="006264ED">
        <w:t xml:space="preserve"> impacts on the productivity and earnings of women who are abused, including productivity loss from early death or days out of the workforce due to injury. These can also include costs (lost productivity and lower tax revenues) incurred from the incarceration of the abuser, as well as some health costs (for example, the need for counselling in later life or support for children who have witnessed violence).</w:t>
      </w:r>
    </w:p>
  </w:footnote>
  <w:footnote w:id="64">
    <w:p w14:paraId="495BEE01" w14:textId="41A51743" w:rsidR="00EC7FC8" w:rsidRDefault="00EC7FC8">
      <w:pPr>
        <w:pStyle w:val="FootnoteText"/>
      </w:pPr>
      <w:r>
        <w:rPr>
          <w:rStyle w:val="FootnoteReference"/>
        </w:rPr>
        <w:footnoteRef/>
      </w:r>
      <w:r>
        <w:t xml:space="preserve"> Prior to 2012-13 Aid Program Performance Reports were called Annual Program Performance Reports.</w:t>
      </w:r>
    </w:p>
  </w:footnote>
  <w:footnote w:id="65">
    <w:p w14:paraId="0B70FC21" w14:textId="77777777" w:rsidR="002E5946" w:rsidRDefault="002E5946" w:rsidP="00C546B1">
      <w:pPr>
        <w:pStyle w:val="FootnoteText"/>
      </w:pPr>
      <w:r>
        <w:rPr>
          <w:rStyle w:val="FootnoteReference"/>
        </w:rPr>
        <w:footnoteRef/>
      </w:r>
      <w:r>
        <w:t xml:space="preserve"> Clause </w:t>
      </w:r>
      <w:r w:rsidRPr="004537DC">
        <w:t>312</w:t>
      </w:r>
      <w:r>
        <w:t xml:space="preserve">, </w:t>
      </w:r>
      <w:r w:rsidRPr="003E3D06">
        <w:rPr>
          <w:i/>
        </w:rPr>
        <w:t>Bougainville Peace Agreement</w:t>
      </w:r>
      <w:r>
        <w:t>, signed 30 August 2001</w:t>
      </w:r>
      <w:r w:rsidRPr="004537DC">
        <w:t>.</w:t>
      </w:r>
    </w:p>
  </w:footnote>
  <w:footnote w:id="66">
    <w:p w14:paraId="0B70FC22" w14:textId="77777777" w:rsidR="002E5946" w:rsidRDefault="002E5946" w:rsidP="00C546B1">
      <w:pPr>
        <w:pStyle w:val="FootnoteText"/>
      </w:pPr>
      <w:r>
        <w:rPr>
          <w:rStyle w:val="FootnoteReference"/>
        </w:rPr>
        <w:footnoteRef/>
      </w:r>
      <w:r>
        <w:t xml:space="preserve"> S Archibald and L Morrissey (2011), Cardno Emerging Markets, </w:t>
      </w:r>
      <w:r w:rsidRPr="003E3D06">
        <w:rPr>
          <w:i/>
        </w:rPr>
        <w:t>Independent Completion Report: UNDP</w:t>
      </w:r>
      <w:r>
        <w:rPr>
          <w:i/>
        </w:rPr>
        <w:t>—</w:t>
      </w:r>
      <w:r w:rsidRPr="003E3D06">
        <w:rPr>
          <w:i/>
        </w:rPr>
        <w:t>Third Party Cost Sharing Arrangement for the Bougainville Program, Agreement 46400, INH205</w:t>
      </w:r>
      <w:r>
        <w:rPr>
          <w:i/>
        </w:rPr>
        <w:t>—</w:t>
      </w:r>
      <w:r w:rsidRPr="003E3D06">
        <w:rPr>
          <w:i/>
        </w:rPr>
        <w:t>PNG Sub-National Strategy</w:t>
      </w:r>
      <w:r>
        <w:t>, March 2011.</w:t>
      </w:r>
    </w:p>
  </w:footnote>
  <w:footnote w:id="67">
    <w:p w14:paraId="0B70FC23" w14:textId="77777777" w:rsidR="002E5946" w:rsidRDefault="002E5946" w:rsidP="00C546B1">
      <w:pPr>
        <w:pStyle w:val="FootnoteText"/>
      </w:pPr>
      <w:r>
        <w:rPr>
          <w:rStyle w:val="FootnoteReference"/>
        </w:rPr>
        <w:footnoteRef/>
      </w:r>
      <w:r>
        <w:t xml:space="preserve"> S Richards et al (2012), </w:t>
      </w:r>
      <w:r w:rsidRPr="00986D6C">
        <w:rPr>
          <w:i/>
        </w:rPr>
        <w:t>Autonomous Region of Bougainville Health Capacity Diagnostic Report</w:t>
      </w:r>
      <w:r>
        <w:t>, p. 5.</w:t>
      </w:r>
    </w:p>
  </w:footnote>
  <w:footnote w:id="68">
    <w:p w14:paraId="0B70FC24" w14:textId="77777777" w:rsidR="002E5946" w:rsidRDefault="002E5946" w:rsidP="00C546B1">
      <w:pPr>
        <w:pStyle w:val="FootnoteText"/>
      </w:pPr>
      <w:r>
        <w:rPr>
          <w:rStyle w:val="FootnoteReference"/>
        </w:rPr>
        <w:footnoteRef/>
      </w:r>
      <w:r>
        <w:t xml:space="preserve"> ABG (2012), </w:t>
      </w:r>
      <w:r w:rsidRPr="003E3D06">
        <w:rPr>
          <w:i/>
        </w:rPr>
        <w:t>The Bougainville Plan for Health 2012</w:t>
      </w:r>
      <w:r>
        <w:rPr>
          <w:i/>
        </w:rPr>
        <w:t>–</w:t>
      </w:r>
      <w:r w:rsidRPr="003E3D06">
        <w:rPr>
          <w:i/>
        </w:rPr>
        <w:t>2030</w:t>
      </w:r>
      <w:r>
        <w:t>.</w:t>
      </w:r>
    </w:p>
  </w:footnote>
  <w:footnote w:id="69">
    <w:p w14:paraId="0B70FC25" w14:textId="77777777" w:rsidR="002E5946" w:rsidRDefault="002E5946" w:rsidP="00C546B1">
      <w:pPr>
        <w:pStyle w:val="FootnoteText"/>
      </w:pPr>
      <w:r>
        <w:rPr>
          <w:rStyle w:val="FootnoteReference"/>
        </w:rPr>
        <w:footnoteRef/>
      </w:r>
      <w:r>
        <w:t xml:space="preserve"> PNG – Australia Transport Sector Support Program, </w:t>
      </w:r>
      <w:r w:rsidRPr="00DA1786">
        <w:t>D</w:t>
      </w:r>
      <w:r>
        <w:t>raft</w:t>
      </w:r>
      <w:r w:rsidRPr="00DA1786">
        <w:t xml:space="preserve"> 2012 Bougainville Annual Sector Performance Report, 1 January 2012 – 28 February 2013</w:t>
      </w:r>
      <w:r w:rsidRPr="001625FF">
        <w:t>,</w:t>
      </w:r>
      <w:r>
        <w:t xml:space="preserve"> released March 2013, p. 8.</w:t>
      </w:r>
    </w:p>
  </w:footnote>
  <w:footnote w:id="70">
    <w:p w14:paraId="0B70FC26" w14:textId="77777777" w:rsidR="002E5946" w:rsidRDefault="002E5946" w:rsidP="00C546B1">
      <w:pPr>
        <w:pStyle w:val="FootnoteText"/>
      </w:pPr>
      <w:r>
        <w:rPr>
          <w:rStyle w:val="FootnoteReference"/>
        </w:rPr>
        <w:footnoteRef/>
      </w:r>
      <w:r>
        <w:t xml:space="preserve"> Ibid., p. 6.</w:t>
      </w:r>
    </w:p>
  </w:footnote>
  <w:footnote w:id="71">
    <w:p w14:paraId="0B70FC27" w14:textId="77777777" w:rsidR="002E5946" w:rsidRDefault="002E5946" w:rsidP="00DB5E27">
      <w:pPr>
        <w:pStyle w:val="FootnoteText"/>
      </w:pPr>
      <w:r>
        <w:rPr>
          <w:rStyle w:val="FootnoteReference"/>
        </w:rPr>
        <w:footnoteRef/>
      </w:r>
      <w:r>
        <w:t xml:space="preserve"> </w:t>
      </w:r>
      <w:r w:rsidRPr="008746F8">
        <w:t xml:space="preserve">Fact </w:t>
      </w:r>
      <w:r>
        <w:t>s</w:t>
      </w:r>
      <w:r w:rsidRPr="008746F8">
        <w:t xml:space="preserve">heet </w:t>
      </w:r>
      <w:r>
        <w:t xml:space="preserve">no. </w:t>
      </w:r>
      <w:r w:rsidRPr="008746F8">
        <w:t xml:space="preserve">17, </w:t>
      </w:r>
      <w:r w:rsidRPr="003E3D06">
        <w:rPr>
          <w:i/>
        </w:rPr>
        <w:t>PNG –</w:t>
      </w:r>
      <w:r>
        <w:rPr>
          <w:i/>
        </w:rPr>
        <w:t xml:space="preserve"> </w:t>
      </w:r>
      <w:r w:rsidRPr="003E3D06">
        <w:rPr>
          <w:i/>
        </w:rPr>
        <w:t>Australian Law and Justice Partnership: Autonomous Region of Bougainville</w:t>
      </w:r>
      <w:r>
        <w:t>, February 2013</w:t>
      </w:r>
      <w:r w:rsidRPr="008746F8">
        <w:t>.</w:t>
      </w:r>
    </w:p>
  </w:footnote>
  <w:footnote w:id="72">
    <w:p w14:paraId="0B70FC28" w14:textId="77777777" w:rsidR="002E5946" w:rsidRDefault="002E5946" w:rsidP="00DB5E27">
      <w:pPr>
        <w:pStyle w:val="FootnoteText"/>
      </w:pPr>
      <w:r>
        <w:rPr>
          <w:rStyle w:val="FootnoteReference"/>
        </w:rPr>
        <w:footnoteRef/>
      </w:r>
      <w:r>
        <w:t xml:space="preserve"> Ibid.</w:t>
      </w:r>
    </w:p>
  </w:footnote>
  <w:footnote w:id="73">
    <w:p w14:paraId="0B70FC29" w14:textId="77777777" w:rsidR="002E5946" w:rsidRDefault="002E5946" w:rsidP="00DB5E27">
      <w:pPr>
        <w:pStyle w:val="FootnoteText"/>
      </w:pPr>
      <w:r>
        <w:rPr>
          <w:rStyle w:val="FootnoteReference"/>
        </w:rPr>
        <w:footnoteRef/>
      </w:r>
      <w:r>
        <w:t xml:space="preserve"> Ibid.</w:t>
      </w:r>
    </w:p>
  </w:footnote>
  <w:footnote w:id="74">
    <w:p w14:paraId="0B70FC2A" w14:textId="77777777" w:rsidR="002E5946" w:rsidRDefault="002E5946" w:rsidP="005E46BD">
      <w:pPr>
        <w:pStyle w:val="FootnoteText"/>
      </w:pPr>
      <w:r>
        <w:rPr>
          <w:rStyle w:val="FootnoteReference"/>
        </w:rPr>
        <w:footnoteRef/>
      </w:r>
      <w:r w:rsidRPr="005E46BD">
        <w:t xml:space="preserve"> </w:t>
      </w:r>
      <w:r w:rsidRPr="008746F8">
        <w:t xml:space="preserve">Fact </w:t>
      </w:r>
      <w:r>
        <w:t>s</w:t>
      </w:r>
      <w:r w:rsidRPr="008746F8">
        <w:t xml:space="preserve">heet </w:t>
      </w:r>
      <w:r>
        <w:t xml:space="preserve">no. </w:t>
      </w:r>
      <w:r w:rsidRPr="008746F8">
        <w:t xml:space="preserve">17, </w:t>
      </w:r>
      <w:r w:rsidRPr="003E3D06">
        <w:rPr>
          <w:i/>
        </w:rPr>
        <w:t>PNG –</w:t>
      </w:r>
      <w:r>
        <w:rPr>
          <w:i/>
        </w:rPr>
        <w:t xml:space="preserve"> </w:t>
      </w:r>
      <w:r w:rsidRPr="003E3D06">
        <w:rPr>
          <w:i/>
        </w:rPr>
        <w:t>Australian Law and Justice Partnership: Autonomous Region of Bougainville</w:t>
      </w:r>
      <w:r>
        <w:t>, February 2013</w:t>
      </w:r>
      <w:r w:rsidRPr="008746F8">
        <w:t>.</w:t>
      </w:r>
      <w:r>
        <w:t xml:space="preserve"> Am repeating the reference since it’s fallen on another page. We always aim to avoid having the reader flip back and forth.</w:t>
      </w:r>
    </w:p>
    <w:p w14:paraId="0B70FC2B" w14:textId="77777777" w:rsidR="002E5946" w:rsidRDefault="002E5946" w:rsidP="00DB5E27">
      <w:pPr>
        <w:pStyle w:val="FootnoteText"/>
      </w:pPr>
    </w:p>
  </w:footnote>
  <w:footnote w:id="75">
    <w:p w14:paraId="0B70FC2C" w14:textId="77777777" w:rsidR="002E5946" w:rsidRDefault="002E5946" w:rsidP="00717847">
      <w:pPr>
        <w:pStyle w:val="FootnoteText"/>
      </w:pPr>
      <w:r>
        <w:rPr>
          <w:rStyle w:val="FootnoteReference"/>
        </w:rPr>
        <w:footnoteRef/>
      </w:r>
      <w:r>
        <w:t xml:space="preserve"> </w:t>
      </w:r>
      <w:r w:rsidRPr="00352B18">
        <w:t>Approximately 1559 women and 3703 children received preparatory training on how to respond in the event of volcanic eruptions.</w:t>
      </w:r>
    </w:p>
  </w:footnote>
  <w:footnote w:id="76">
    <w:p w14:paraId="0B70FC2D" w14:textId="77777777" w:rsidR="002E5946" w:rsidRPr="00352B18" w:rsidRDefault="002E5946" w:rsidP="00352B18">
      <w:pPr>
        <w:ind w:left="68" w:hanging="68"/>
        <w:contextualSpacing/>
        <w:rPr>
          <w:szCs w:val="22"/>
        </w:rPr>
      </w:pPr>
      <w:r w:rsidRPr="009E760E">
        <w:rPr>
          <w:rStyle w:val="FootnoteReference"/>
          <w:sz w:val="14"/>
          <w:szCs w:val="14"/>
        </w:rPr>
        <w:footnoteRef/>
      </w:r>
      <w:r>
        <w:t xml:space="preserve"> </w:t>
      </w:r>
      <w:r w:rsidRPr="00352B18">
        <w:rPr>
          <w:rStyle w:val="FootnoteTextChar"/>
          <w:rFonts w:eastAsia="SimSun"/>
        </w:rPr>
        <w:t>Such as tarpaulins, water containers and blankets in Port Moresby and Lae for quicker, more effective emergency response.</w:t>
      </w:r>
    </w:p>
  </w:footnote>
  <w:footnote w:id="77">
    <w:p w14:paraId="0B70FC2E" w14:textId="77777777" w:rsidR="002E5946" w:rsidRPr="00352B18" w:rsidRDefault="002E5946" w:rsidP="00352B18">
      <w:pPr>
        <w:ind w:left="68" w:hanging="68"/>
        <w:contextualSpacing/>
        <w:rPr>
          <w:sz w:val="14"/>
          <w:szCs w:val="14"/>
        </w:rPr>
      </w:pPr>
      <w:r>
        <w:rPr>
          <w:rStyle w:val="FootnoteReference"/>
        </w:rPr>
        <w:footnoteRef/>
      </w:r>
      <w:r>
        <w:t xml:space="preserve"> </w:t>
      </w:r>
      <w:r w:rsidRPr="00352B18">
        <w:rPr>
          <w:rStyle w:val="FootnoteTextChar"/>
          <w:rFonts w:eastAsia="SimSun"/>
        </w:rPr>
        <w:t>Vulnerable women, men, girls and boys in flood-affected communities in the South Fly District received 300 x 10 litre water containers for safe water. Water containers and Government of PNG medical supplies were transported by a pre-scheduled Australian Defence Force flight (RAAF C130) to affected provinces. Displaced population in Hides landslide received 100 x 10 litre water containers, 1000 aquatabs for safe water, and 51 tarpaulins for temporary shelter. In partnership with the WHO, vulnerable women, men, girls and boys in Bougainville communities affected by a dysentery outbreak received 15 000 aquatabs for safe water. Funding was provided to deploy a medical team to the worst-affected areas for further surveillance and basic sanitation and hygiene awareness. In partnership with the Red Cross, survivors of the MV Rabaul Queen Ferry disaster received 250 blankets and 250 sleeping mats for temporary shelter.</w:t>
      </w:r>
    </w:p>
  </w:footnote>
  <w:footnote w:id="78">
    <w:p w14:paraId="0B70FC2F" w14:textId="77777777" w:rsidR="002E5946" w:rsidRDefault="002E5946" w:rsidP="00717847">
      <w:pPr>
        <w:pStyle w:val="FootnoteText"/>
      </w:pPr>
      <w:r>
        <w:rPr>
          <w:rStyle w:val="FootnoteReference"/>
        </w:rPr>
        <w:footnoteRef/>
      </w:r>
      <w:r>
        <w:t xml:space="preserve"> </w:t>
      </w:r>
      <w:r w:rsidRPr="006264ED">
        <w:t>The PNG National Meteorological Services provides seasonal forecasts for climate-sensitive sectors such as agriculture, fisheries, tourism and public health, enabling them to prepare for droughts and extreme events.</w:t>
      </w:r>
    </w:p>
  </w:footnote>
  <w:footnote w:id="79">
    <w:p w14:paraId="0B70FC30" w14:textId="7055E3EA" w:rsidR="002E5946" w:rsidRDefault="002E5946" w:rsidP="00717847">
      <w:pPr>
        <w:pStyle w:val="FootnoteText"/>
      </w:pPr>
      <w:r>
        <w:rPr>
          <w:rStyle w:val="FootnoteReference"/>
        </w:rPr>
        <w:footnoteRef/>
      </w:r>
      <w:r>
        <w:t xml:space="preserve"> </w:t>
      </w:r>
      <w:r w:rsidRPr="006264ED">
        <w:t>mid</w:t>
      </w:r>
      <w:r>
        <w:t xml:space="preserve">-term review of the Development for </w:t>
      </w:r>
      <w:r w:rsidRPr="006264ED">
        <w:t>All strategy.</w:t>
      </w:r>
    </w:p>
  </w:footnote>
  <w:footnote w:id="80">
    <w:p w14:paraId="0B70FC31" w14:textId="2A15722F" w:rsidR="002E5946" w:rsidRDefault="002E5946" w:rsidP="00717847">
      <w:pPr>
        <w:pStyle w:val="FootnoteText"/>
      </w:pPr>
      <w:r>
        <w:rPr>
          <w:rStyle w:val="FootnoteReference"/>
        </w:rPr>
        <w:footnoteRef/>
      </w:r>
      <w:r>
        <w:t xml:space="preserve"> The department</w:t>
      </w:r>
      <w:r w:rsidRPr="006264ED">
        <w:t xml:space="preserve"> defines theory-of-change as the exploration of the way in which change occurs broadly in a given context and program logic as the way in which the program can contribute to bringing about change along a particular, narrower pathway within the same context, given the theory-of-change.</w:t>
      </w:r>
      <w:r>
        <w:rPr>
          <w:rFonts w:ascii="Arial" w:hAnsi="Arial" w:cs="Arial"/>
        </w:rPr>
        <w:t xml:space="preserve"> </w:t>
      </w:r>
    </w:p>
  </w:footnote>
  <w:footnote w:id="81">
    <w:p w14:paraId="0B70FC32" w14:textId="77777777" w:rsidR="002E5946" w:rsidRPr="00071B95" w:rsidRDefault="002E5946" w:rsidP="00717847">
      <w:pPr>
        <w:pStyle w:val="FootnoteText"/>
      </w:pPr>
      <w:r w:rsidRPr="00F77E6A">
        <w:rPr>
          <w:rStyle w:val="FootnoteReference"/>
        </w:rPr>
        <w:footnoteRef/>
      </w:r>
      <w:r w:rsidRPr="00071B95">
        <w:t xml:space="preserve"> </w:t>
      </w:r>
      <w:r>
        <w:t>C</w:t>
      </w:r>
      <w:r w:rsidRPr="00071B95">
        <w:t>ompleted means the final version of the report has been received</w:t>
      </w:r>
      <w:r>
        <w:t>.</w:t>
      </w:r>
    </w:p>
  </w:footnote>
  <w:footnote w:id="82">
    <w:p w14:paraId="0B70FC33" w14:textId="77777777" w:rsidR="002E5946" w:rsidRPr="00071B95" w:rsidRDefault="002E5946" w:rsidP="00717847">
      <w:pPr>
        <w:pStyle w:val="FootnoteText"/>
      </w:pPr>
      <w:r w:rsidRPr="00F77E6A">
        <w:rPr>
          <w:rStyle w:val="FootnoteReference"/>
        </w:rPr>
        <w:footnoteRef/>
      </w:r>
      <w:r w:rsidRPr="00071B95">
        <w:t xml:space="preserve"> Mid-term review, </w:t>
      </w:r>
      <w:r>
        <w:t>c</w:t>
      </w:r>
      <w:r w:rsidRPr="00071B95">
        <w:t>ompletion report, partner-led evaluation, joint evaluation</w:t>
      </w:r>
      <w:r>
        <w:t>.</w:t>
      </w:r>
    </w:p>
  </w:footnote>
  <w:footnote w:id="83">
    <w:p w14:paraId="0B70FC34" w14:textId="77777777" w:rsidR="002E5946" w:rsidRPr="00551C11" w:rsidRDefault="002E5946" w:rsidP="00717847">
      <w:pPr>
        <w:pStyle w:val="FootnoteText"/>
      </w:pPr>
      <w:r w:rsidRPr="00F77E6A">
        <w:rPr>
          <w:rStyle w:val="FootnoteReference"/>
        </w:rPr>
        <w:footnoteRef/>
      </w:r>
      <w:r w:rsidRPr="00071B95">
        <w:t xml:space="preserve"> To inform a future phase of program, to improve existing program; to verify program outcomes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F2279" w14:textId="77777777" w:rsidR="00087412" w:rsidRDefault="0008741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9B" w14:textId="69241219" w:rsidR="002E5946" w:rsidRDefault="002E5946">
    <w:pPr>
      <w:pStyle w:val="Header"/>
    </w:pPr>
    <w:r>
      <w:rPr>
        <w:noProof/>
      </w:rPr>
      <w:drawing>
        <wp:anchor distT="0" distB="0" distL="114300" distR="114300" simplePos="0" relativeHeight="251729408" behindDoc="0" locked="0" layoutInCell="1" allowOverlap="1" wp14:anchorId="27D73CFF" wp14:editId="04532620">
          <wp:simplePos x="0" y="0"/>
          <wp:positionH relativeFrom="page">
            <wp:align>left</wp:align>
          </wp:positionH>
          <wp:positionV relativeFrom="page">
            <wp:align>top</wp:align>
          </wp:positionV>
          <wp:extent cx="7560000" cy="1440000"/>
          <wp:effectExtent l="0" t="0" r="3175" b="825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9D" w14:textId="77777777" w:rsidR="002E5946" w:rsidRDefault="002E59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8C" w14:textId="7EE94485" w:rsidR="002E5946" w:rsidRDefault="002E5946">
    <w:pPr>
      <w:pStyle w:val="Header"/>
    </w:pPr>
    <w:r>
      <w:rPr>
        <w:noProof/>
      </w:rPr>
      <w:drawing>
        <wp:anchor distT="0" distB="0" distL="114300" distR="114300" simplePos="0" relativeHeight="251716096" behindDoc="0" locked="0" layoutInCell="1" allowOverlap="1" wp14:anchorId="55F69CAC" wp14:editId="2B3FF4B3">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8E" w14:textId="76F14F66" w:rsidR="002E5946" w:rsidRDefault="002E5946">
    <w:pPr>
      <w:pStyle w:val="Header"/>
    </w:pPr>
    <w:r>
      <w:rPr>
        <w:noProof/>
      </w:rPr>
      <w:drawing>
        <wp:anchor distT="0" distB="0" distL="114300" distR="114300" simplePos="0" relativeHeight="251714048" behindDoc="0" locked="0" layoutInCell="1" allowOverlap="1" wp14:anchorId="227FE375" wp14:editId="53C16CE2">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90" w14:textId="77777777" w:rsidR="002E5946" w:rsidRDefault="002E59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91" w14:textId="77777777" w:rsidR="002E5946" w:rsidRDefault="002E59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93" w14:textId="59715D75" w:rsidR="002E5946" w:rsidRDefault="002E5946">
    <w:pPr>
      <w:pStyle w:val="Header"/>
    </w:pPr>
    <w:r>
      <w:rPr>
        <w:noProof/>
      </w:rPr>
      <w:drawing>
        <wp:anchor distT="0" distB="0" distL="114300" distR="114300" simplePos="0" relativeHeight="251724288" behindDoc="0" locked="0" layoutInCell="1" allowOverlap="1" wp14:anchorId="6D1B3C46" wp14:editId="77FB0841">
          <wp:simplePos x="0" y="0"/>
          <wp:positionH relativeFrom="page">
            <wp:align>left</wp:align>
          </wp:positionH>
          <wp:positionV relativeFrom="page">
            <wp:align>top</wp:align>
          </wp:positionV>
          <wp:extent cx="7560000" cy="1440000"/>
          <wp:effectExtent l="0" t="0" r="3175"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95" w14:textId="77777777" w:rsidR="002E5946" w:rsidRDefault="002E5946">
    <w:pPr>
      <w:pStyle w:val="Header"/>
    </w:pPr>
    <w:r>
      <w:rPr>
        <w:noProof/>
      </w:rPr>
      <mc:AlternateContent>
        <mc:Choice Requires="wps">
          <w:drawing>
            <wp:anchor distT="0" distB="0" distL="114300" distR="114300" simplePos="0" relativeHeight="251664896" behindDoc="0" locked="1" layoutInCell="1" allowOverlap="1" wp14:anchorId="0B70FBBD" wp14:editId="0B70FBBE">
              <wp:simplePos x="0" y="0"/>
              <wp:positionH relativeFrom="page">
                <wp:posOffset>0</wp:posOffset>
              </wp:positionH>
              <wp:positionV relativeFrom="page">
                <wp:posOffset>0</wp:posOffset>
              </wp:positionV>
              <wp:extent cx="7560000" cy="1512000"/>
              <wp:effectExtent l="0" t="0" r="3175" b="0"/>
              <wp:wrapTight wrapText="bothSides">
                <wp:wrapPolygon edited="0">
                  <wp:start x="0" y="0"/>
                  <wp:lineTo x="0" y="21228"/>
                  <wp:lineTo x="21555" y="21228"/>
                  <wp:lineTo x="21555" y="0"/>
                  <wp:lineTo x="0" y="0"/>
                </wp:wrapPolygon>
              </wp:wrapTight>
              <wp:docPr id="15" name="Rectangle 15" descr="Australian Aid Factsheets oliv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5120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alt="Australian Aid Factsheets olive-2" style="position:absolute;margin-left:0;margin-top:0;width:595.3pt;height:119.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" stroked="f" strokecolor="#4a7ebb" strokeweight="1.5pt">
              <v:fill r:id="rId2" o:title="Australian Aid Factsheets olive-2" recolor="t" type="frame"/>
              <v:shadow opacity="22938f" offset="0"/>
              <v:textbox inset=",7.2pt,,7.2pt"/>
              <w10:wrap type="tight" anchorx="page" anchory="page"/>
              <w10:anchorlock/>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97" w14:textId="77777777" w:rsidR="002E5946" w:rsidRDefault="002E594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B99" w14:textId="77777777" w:rsidR="002E5946" w:rsidRDefault="002E5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430027"/>
    <w:multiLevelType w:val="hybridMultilevel"/>
    <w:tmpl w:val="E97018D0"/>
    <w:lvl w:ilvl="0" w:tplc="7A2A1F7E">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9D01DEF"/>
    <w:multiLevelType w:val="hybridMultilevel"/>
    <w:tmpl w:val="08D4FF8C"/>
    <w:lvl w:ilvl="0" w:tplc="0C090001">
      <w:start w:val="1"/>
      <w:numFmt w:val="bullet"/>
      <w:lvlText w:val=""/>
      <w:lvlJc w:val="left"/>
      <w:pPr>
        <w:ind w:left="908" w:hanging="360"/>
      </w:pPr>
      <w:rPr>
        <w:rFonts w:ascii="Symbol" w:hAnsi="Symbol" w:hint="default"/>
      </w:rPr>
    </w:lvl>
    <w:lvl w:ilvl="1" w:tplc="0C090003" w:tentative="1">
      <w:start w:val="1"/>
      <w:numFmt w:val="bullet"/>
      <w:lvlText w:val="o"/>
      <w:lvlJc w:val="left"/>
      <w:pPr>
        <w:ind w:left="1628" w:hanging="360"/>
      </w:pPr>
      <w:rPr>
        <w:rFonts w:ascii="Courier New" w:hAnsi="Courier New" w:cs="Courier New" w:hint="default"/>
      </w:rPr>
    </w:lvl>
    <w:lvl w:ilvl="2" w:tplc="0C090005" w:tentative="1">
      <w:start w:val="1"/>
      <w:numFmt w:val="bullet"/>
      <w:lvlText w:val=""/>
      <w:lvlJc w:val="left"/>
      <w:pPr>
        <w:ind w:left="2348" w:hanging="360"/>
      </w:pPr>
      <w:rPr>
        <w:rFonts w:ascii="Wingdings" w:hAnsi="Wingdings" w:hint="default"/>
      </w:rPr>
    </w:lvl>
    <w:lvl w:ilvl="3" w:tplc="0C090001" w:tentative="1">
      <w:start w:val="1"/>
      <w:numFmt w:val="bullet"/>
      <w:lvlText w:val=""/>
      <w:lvlJc w:val="left"/>
      <w:pPr>
        <w:ind w:left="3068" w:hanging="360"/>
      </w:pPr>
      <w:rPr>
        <w:rFonts w:ascii="Symbol" w:hAnsi="Symbol" w:hint="default"/>
      </w:rPr>
    </w:lvl>
    <w:lvl w:ilvl="4" w:tplc="0C090003" w:tentative="1">
      <w:start w:val="1"/>
      <w:numFmt w:val="bullet"/>
      <w:lvlText w:val="o"/>
      <w:lvlJc w:val="left"/>
      <w:pPr>
        <w:ind w:left="3788" w:hanging="360"/>
      </w:pPr>
      <w:rPr>
        <w:rFonts w:ascii="Courier New" w:hAnsi="Courier New" w:cs="Courier New" w:hint="default"/>
      </w:rPr>
    </w:lvl>
    <w:lvl w:ilvl="5" w:tplc="0C090005" w:tentative="1">
      <w:start w:val="1"/>
      <w:numFmt w:val="bullet"/>
      <w:lvlText w:val=""/>
      <w:lvlJc w:val="left"/>
      <w:pPr>
        <w:ind w:left="4508" w:hanging="360"/>
      </w:pPr>
      <w:rPr>
        <w:rFonts w:ascii="Wingdings" w:hAnsi="Wingdings" w:hint="default"/>
      </w:rPr>
    </w:lvl>
    <w:lvl w:ilvl="6" w:tplc="0C090001" w:tentative="1">
      <w:start w:val="1"/>
      <w:numFmt w:val="bullet"/>
      <w:lvlText w:val=""/>
      <w:lvlJc w:val="left"/>
      <w:pPr>
        <w:ind w:left="5228" w:hanging="360"/>
      </w:pPr>
      <w:rPr>
        <w:rFonts w:ascii="Symbol" w:hAnsi="Symbol" w:hint="default"/>
      </w:rPr>
    </w:lvl>
    <w:lvl w:ilvl="7" w:tplc="0C090003" w:tentative="1">
      <w:start w:val="1"/>
      <w:numFmt w:val="bullet"/>
      <w:lvlText w:val="o"/>
      <w:lvlJc w:val="left"/>
      <w:pPr>
        <w:ind w:left="5948" w:hanging="360"/>
      </w:pPr>
      <w:rPr>
        <w:rFonts w:ascii="Courier New" w:hAnsi="Courier New" w:cs="Courier New" w:hint="default"/>
      </w:rPr>
    </w:lvl>
    <w:lvl w:ilvl="8" w:tplc="0C090005" w:tentative="1">
      <w:start w:val="1"/>
      <w:numFmt w:val="bullet"/>
      <w:lvlText w:val=""/>
      <w:lvlJc w:val="left"/>
      <w:pPr>
        <w:ind w:left="6668" w:hanging="360"/>
      </w:pPr>
      <w:rPr>
        <w:rFonts w:ascii="Wingdings" w:hAnsi="Wingdings" w:hint="default"/>
      </w:rPr>
    </w:lvl>
  </w:abstractNum>
  <w:abstractNum w:abstractNumId="4">
    <w:nsid w:val="10931485"/>
    <w:multiLevelType w:val="hybridMultilevel"/>
    <w:tmpl w:val="A93CE61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F126FC"/>
    <w:multiLevelType w:val="hybridMultilevel"/>
    <w:tmpl w:val="7B12F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90F15D6"/>
    <w:multiLevelType w:val="hybridMultilevel"/>
    <w:tmpl w:val="DBD2B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914530"/>
    <w:multiLevelType w:val="hybridMultilevel"/>
    <w:tmpl w:val="50403FA0"/>
    <w:lvl w:ilvl="0" w:tplc="6DA611E2">
      <w:start w:val="1"/>
      <w:numFmt w:val="bullet"/>
      <w:pStyle w:val="dashpoint"/>
      <w:lvlText w:val="-"/>
      <w:lvlJc w:val="left"/>
      <w:pPr>
        <w:tabs>
          <w:tab w:val="num" w:pos="720"/>
        </w:tabs>
        <w:ind w:left="720" w:hanging="360"/>
      </w:pPr>
      <w:rPr>
        <w:rFonts w:ascii="Courier New" w:hAnsi="Courier New" w:hint="default"/>
      </w:rPr>
    </w:lvl>
    <w:lvl w:ilvl="1" w:tplc="A044B706">
      <w:start w:val="1"/>
      <w:numFmt w:val="bullet"/>
      <w:pStyle w:val="dotpointtable"/>
      <w:lvlText w:val=""/>
      <w:lvlJc w:val="left"/>
      <w:pPr>
        <w:tabs>
          <w:tab w:val="num" w:pos="1440"/>
        </w:tabs>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F2B798C"/>
    <w:multiLevelType w:val="hybridMultilevel"/>
    <w:tmpl w:val="69042CAC"/>
    <w:lvl w:ilvl="0" w:tplc="A120C8FE">
      <w:start w:val="1"/>
      <w:numFmt w:val="bullet"/>
      <w:pStyle w:val="ListParagraph"/>
      <w:lvlText w:val=""/>
      <w:lvlJc w:val="left"/>
      <w:pPr>
        <w:ind w:left="1080" w:hanging="360"/>
      </w:pPr>
      <w:rPr>
        <w:rFonts w:ascii="Symbol" w:hAnsi="Symbol" w:hint="default"/>
        <w:color w:val="auto"/>
        <w:sz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0465FA6"/>
    <w:multiLevelType w:val="hybridMultilevel"/>
    <w:tmpl w:val="3F840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3">
    <w:nsid w:val="23617271"/>
    <w:multiLevelType w:val="hybridMultilevel"/>
    <w:tmpl w:val="4B66F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7E45CA"/>
    <w:multiLevelType w:val="hybridMultilevel"/>
    <w:tmpl w:val="45DA1972"/>
    <w:lvl w:ilvl="0" w:tplc="F5F2092C">
      <w:start w:val="2012"/>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FA15F8"/>
    <w:multiLevelType w:val="hybridMultilevel"/>
    <w:tmpl w:val="228E0070"/>
    <w:lvl w:ilvl="0" w:tplc="0C090019">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nsid w:val="2AFF30BA"/>
    <w:multiLevelType w:val="hybridMultilevel"/>
    <w:tmpl w:val="3EDAC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3850B9"/>
    <w:multiLevelType w:val="hybridMultilevel"/>
    <w:tmpl w:val="413628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nsid w:val="2CF610F1"/>
    <w:multiLevelType w:val="hybridMultilevel"/>
    <w:tmpl w:val="D7EAC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1362046"/>
    <w:multiLevelType w:val="hybridMultilevel"/>
    <w:tmpl w:val="BECC4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25647B7"/>
    <w:multiLevelType w:val="hybridMultilevel"/>
    <w:tmpl w:val="EE2835A8"/>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3">
    <w:nsid w:val="33D66258"/>
    <w:multiLevelType w:val="hybridMultilevel"/>
    <w:tmpl w:val="8BE09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42B03DA"/>
    <w:multiLevelType w:val="hybridMultilevel"/>
    <w:tmpl w:val="C212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568163B"/>
    <w:multiLevelType w:val="hybridMultilevel"/>
    <w:tmpl w:val="42CCE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6656C20"/>
    <w:multiLevelType w:val="hybridMultilevel"/>
    <w:tmpl w:val="90F45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A4E0B29"/>
    <w:multiLevelType w:val="hybridMultilevel"/>
    <w:tmpl w:val="4E046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DA761EF"/>
    <w:multiLevelType w:val="hybridMultilevel"/>
    <w:tmpl w:val="3C16A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6C363D8"/>
    <w:multiLevelType w:val="hybridMultilevel"/>
    <w:tmpl w:val="4B508E9C"/>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1">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8396ECE"/>
    <w:multiLevelType w:val="hybridMultilevel"/>
    <w:tmpl w:val="9D485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98F3637"/>
    <w:multiLevelType w:val="hybridMultilevel"/>
    <w:tmpl w:val="33CA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BC20CAF"/>
    <w:multiLevelType w:val="hybridMultilevel"/>
    <w:tmpl w:val="84E6C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0627FA1"/>
    <w:multiLevelType w:val="hybridMultilevel"/>
    <w:tmpl w:val="53542096"/>
    <w:lvl w:ilvl="0" w:tplc="B4B88AEA">
      <w:start w:val="1"/>
      <w:numFmt w:val="decimal"/>
      <w:pStyle w:val="ListNumb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50DF39D1"/>
    <w:multiLevelType w:val="hybridMultilevel"/>
    <w:tmpl w:val="813AF03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37">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35B0A51"/>
    <w:multiLevelType w:val="hybridMultilevel"/>
    <w:tmpl w:val="B238B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543F3EA6"/>
    <w:multiLevelType w:val="hybridMultilevel"/>
    <w:tmpl w:val="E28818B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56151DF1"/>
    <w:multiLevelType w:val="hybridMultilevel"/>
    <w:tmpl w:val="5B1A4704"/>
    <w:lvl w:ilvl="0" w:tplc="A1DAD284">
      <w:start w:val="1"/>
      <w:numFmt w:val="bullet"/>
      <w:lvlText w:val=""/>
      <w:lvlJc w:val="left"/>
      <w:pPr>
        <w:ind w:left="360" w:hanging="360"/>
      </w:pPr>
      <w:rPr>
        <w:rFonts w:ascii="Symbol" w:hAnsi="Symbol" w:hint="default"/>
      </w:rPr>
    </w:lvl>
    <w:lvl w:ilvl="1" w:tplc="8F58B742">
      <w:start w:val="1"/>
      <w:numFmt w:val="bullet"/>
      <w:lvlText w:val=""/>
      <w:lvlJc w:val="left"/>
      <w:pPr>
        <w:ind w:left="1080" w:hanging="360"/>
      </w:pPr>
      <w:rPr>
        <w:rFonts w:ascii="Symbol" w:hAnsi="Symbol" w:hint="default"/>
      </w:rPr>
    </w:lvl>
    <w:lvl w:ilvl="2" w:tplc="E49CBF18">
      <w:start w:val="1"/>
      <w:numFmt w:val="bullet"/>
      <w:lvlText w:val=""/>
      <w:lvlJc w:val="left"/>
      <w:pPr>
        <w:ind w:left="1800" w:hanging="360"/>
      </w:pPr>
      <w:rPr>
        <w:rFonts w:ascii="Wingdings" w:hAnsi="Wingdings" w:hint="default"/>
      </w:rPr>
    </w:lvl>
    <w:lvl w:ilvl="3" w:tplc="84F4F074">
      <w:start w:val="1"/>
      <w:numFmt w:val="bullet"/>
      <w:lvlText w:val=""/>
      <w:lvlJc w:val="left"/>
      <w:pPr>
        <w:ind w:left="2520" w:hanging="360"/>
      </w:pPr>
      <w:rPr>
        <w:rFonts w:ascii="Symbol" w:hAnsi="Symbol" w:hint="default"/>
      </w:rPr>
    </w:lvl>
    <w:lvl w:ilvl="4" w:tplc="5546C25C">
      <w:start w:val="1"/>
      <w:numFmt w:val="bullet"/>
      <w:lvlText w:val="o"/>
      <w:lvlJc w:val="left"/>
      <w:pPr>
        <w:ind w:left="3240" w:hanging="360"/>
      </w:pPr>
      <w:rPr>
        <w:rFonts w:ascii="Courier New" w:hAnsi="Courier New" w:cs="Courier New" w:hint="default"/>
      </w:rPr>
    </w:lvl>
    <w:lvl w:ilvl="5" w:tplc="E60C023A">
      <w:start w:val="1"/>
      <w:numFmt w:val="bullet"/>
      <w:lvlText w:val=""/>
      <w:lvlJc w:val="left"/>
      <w:pPr>
        <w:ind w:left="3960" w:hanging="360"/>
      </w:pPr>
      <w:rPr>
        <w:rFonts w:ascii="Wingdings" w:hAnsi="Wingdings" w:hint="default"/>
      </w:rPr>
    </w:lvl>
    <w:lvl w:ilvl="6" w:tplc="E4807E02">
      <w:start w:val="1"/>
      <w:numFmt w:val="bullet"/>
      <w:lvlText w:val=""/>
      <w:lvlJc w:val="left"/>
      <w:pPr>
        <w:ind w:left="4680" w:hanging="360"/>
      </w:pPr>
      <w:rPr>
        <w:rFonts w:ascii="Symbol" w:hAnsi="Symbol" w:hint="default"/>
      </w:rPr>
    </w:lvl>
    <w:lvl w:ilvl="7" w:tplc="7C8686EC">
      <w:start w:val="1"/>
      <w:numFmt w:val="bullet"/>
      <w:lvlText w:val="o"/>
      <w:lvlJc w:val="left"/>
      <w:pPr>
        <w:ind w:left="5400" w:hanging="360"/>
      </w:pPr>
      <w:rPr>
        <w:rFonts w:ascii="Courier New" w:hAnsi="Courier New" w:cs="Courier New" w:hint="default"/>
      </w:rPr>
    </w:lvl>
    <w:lvl w:ilvl="8" w:tplc="AAD8A68A">
      <w:start w:val="1"/>
      <w:numFmt w:val="bullet"/>
      <w:lvlText w:val=""/>
      <w:lvlJc w:val="left"/>
      <w:pPr>
        <w:ind w:left="6120" w:hanging="360"/>
      </w:pPr>
      <w:rPr>
        <w:rFonts w:ascii="Wingdings" w:hAnsi="Wingdings" w:hint="default"/>
      </w:rPr>
    </w:lvl>
  </w:abstractNum>
  <w:abstractNum w:abstractNumId="42">
    <w:nsid w:val="580B7106"/>
    <w:multiLevelType w:val="hybridMultilevel"/>
    <w:tmpl w:val="88548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5ACA3A4A"/>
    <w:multiLevelType w:val="hybridMultilevel"/>
    <w:tmpl w:val="CEAC2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F7A162D"/>
    <w:multiLevelType w:val="hybridMultilevel"/>
    <w:tmpl w:val="F12E2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0FC7631"/>
    <w:multiLevelType w:val="hybridMultilevel"/>
    <w:tmpl w:val="336AB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1F95DE2"/>
    <w:multiLevelType w:val="hybridMultilevel"/>
    <w:tmpl w:val="71C893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49">
    <w:nsid w:val="64F27160"/>
    <w:multiLevelType w:val="hybridMultilevel"/>
    <w:tmpl w:val="5ACE2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68E35BA"/>
    <w:multiLevelType w:val="hybridMultilevel"/>
    <w:tmpl w:val="9C8424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728336F"/>
    <w:multiLevelType w:val="hybridMultilevel"/>
    <w:tmpl w:val="E22432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nsid w:val="6A35376D"/>
    <w:multiLevelType w:val="multilevel"/>
    <w:tmpl w:val="46ACBC16"/>
    <w:lvl w:ilvl="0">
      <w:start w:val="1"/>
      <w:numFmt w:val="bullet"/>
      <w:lvlText w:val=""/>
      <w:lvlJc w:val="left"/>
      <w:pPr>
        <w:tabs>
          <w:tab w:val="num" w:pos="340"/>
        </w:tabs>
        <w:ind w:left="360" w:hanging="360"/>
      </w:pPr>
      <w:rPr>
        <w:rFonts w:ascii="Symbol" w:hAnsi="Symbol" w:hint="default"/>
      </w:rPr>
    </w:lvl>
    <w:lvl w:ilvl="1">
      <w:start w:val="1"/>
      <w:numFmt w:val="bullet"/>
      <w:lvlText w:val="–"/>
      <w:lvlJc w:val="left"/>
      <w:pPr>
        <w:tabs>
          <w:tab w:val="num" w:pos="907"/>
        </w:tabs>
        <w:ind w:left="720" w:hanging="380"/>
      </w:pPr>
      <w:rPr>
        <w:rFonts w:ascii="Times New Roman" w:hAnsi="Times New Roman" w:cs="Times New Roman" w:hint="default"/>
        <w:b w:val="0"/>
        <w:i w:val="0"/>
        <w:color w:val="auto"/>
        <w:sz w:val="22"/>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55">
    <w:nsid w:val="6CD03B5C"/>
    <w:multiLevelType w:val="hybridMultilevel"/>
    <w:tmpl w:val="CB924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D7560EC"/>
    <w:multiLevelType w:val="hybridMultilevel"/>
    <w:tmpl w:val="62885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ED0601A"/>
    <w:multiLevelType w:val="hybridMultilevel"/>
    <w:tmpl w:val="C9F0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F056466"/>
    <w:multiLevelType w:val="hybridMultilevel"/>
    <w:tmpl w:val="DB061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0554699"/>
    <w:multiLevelType w:val="hybridMultilevel"/>
    <w:tmpl w:val="27CAE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28F2735"/>
    <w:multiLevelType w:val="hybridMultilevel"/>
    <w:tmpl w:val="A5C8550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5075DA2"/>
    <w:multiLevelType w:val="hybridMultilevel"/>
    <w:tmpl w:val="C3B46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76223653"/>
    <w:multiLevelType w:val="hybridMultilevel"/>
    <w:tmpl w:val="B8785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7BAC5B06"/>
    <w:multiLevelType w:val="multilevel"/>
    <w:tmpl w:val="A726C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nsid w:val="7BCA55DB"/>
    <w:multiLevelType w:val="hybridMultilevel"/>
    <w:tmpl w:val="AA843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C3717F3"/>
    <w:multiLevelType w:val="hybridMultilevel"/>
    <w:tmpl w:val="FB882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54"/>
  </w:num>
  <w:num w:numId="3">
    <w:abstractNumId w:val="10"/>
  </w:num>
  <w:num w:numId="4">
    <w:abstractNumId w:val="43"/>
  </w:num>
  <w:num w:numId="5">
    <w:abstractNumId w:val="7"/>
  </w:num>
  <w:num w:numId="6">
    <w:abstractNumId w:val="39"/>
  </w:num>
  <w:num w:numId="7">
    <w:abstractNumId w:val="31"/>
  </w:num>
  <w:num w:numId="8">
    <w:abstractNumId w:val="27"/>
  </w:num>
  <w:num w:numId="9">
    <w:abstractNumId w:val="51"/>
  </w:num>
  <w:num w:numId="10">
    <w:abstractNumId w:val="5"/>
  </w:num>
  <w:num w:numId="11">
    <w:abstractNumId w:val="37"/>
  </w:num>
  <w:num w:numId="12">
    <w:abstractNumId w:val="56"/>
  </w:num>
  <w:num w:numId="13">
    <w:abstractNumId w:val="12"/>
  </w:num>
  <w:num w:numId="14">
    <w:abstractNumId w:val="64"/>
  </w:num>
  <w:num w:numId="15">
    <w:abstractNumId w:val="68"/>
  </w:num>
  <w:num w:numId="16">
    <w:abstractNumId w:val="20"/>
  </w:num>
  <w:num w:numId="17">
    <w:abstractNumId w:val="0"/>
  </w:num>
  <w:num w:numId="18">
    <w:abstractNumId w:val="1"/>
  </w:num>
  <w:num w:numId="19">
    <w:abstractNumId w:val="14"/>
  </w:num>
  <w:num w:numId="20">
    <w:abstractNumId w:val="29"/>
  </w:num>
  <w:num w:numId="21">
    <w:abstractNumId w:val="58"/>
  </w:num>
  <w:num w:numId="22">
    <w:abstractNumId w:val="28"/>
  </w:num>
  <w:num w:numId="23">
    <w:abstractNumId w:val="8"/>
  </w:num>
  <w:num w:numId="24">
    <w:abstractNumId w:val="42"/>
  </w:num>
  <w:num w:numId="25">
    <w:abstractNumId w:val="44"/>
  </w:num>
  <w:num w:numId="26">
    <w:abstractNumId w:val="9"/>
  </w:num>
  <w:num w:numId="27">
    <w:abstractNumId w:val="40"/>
  </w:num>
  <w:num w:numId="28">
    <w:abstractNumId w:val="60"/>
  </w:num>
  <w:num w:numId="29">
    <w:abstractNumId w:val="30"/>
  </w:num>
  <w:num w:numId="30">
    <w:abstractNumId w:val="21"/>
  </w:num>
  <w:num w:numId="31">
    <w:abstractNumId w:val="4"/>
  </w:num>
  <w:num w:numId="32">
    <w:abstractNumId w:val="65"/>
  </w:num>
  <w:num w:numId="33">
    <w:abstractNumId w:val="11"/>
  </w:num>
  <w:num w:numId="34">
    <w:abstractNumId w:val="24"/>
  </w:num>
  <w:num w:numId="35">
    <w:abstractNumId w:val="36"/>
  </w:num>
  <w:num w:numId="36">
    <w:abstractNumId w:val="6"/>
  </w:num>
  <w:num w:numId="37">
    <w:abstractNumId w:val="62"/>
  </w:num>
  <w:num w:numId="38">
    <w:abstractNumId w:val="26"/>
  </w:num>
  <w:num w:numId="39">
    <w:abstractNumId w:val="32"/>
  </w:num>
  <w:num w:numId="40">
    <w:abstractNumId w:val="19"/>
  </w:num>
  <w:num w:numId="41">
    <w:abstractNumId w:val="47"/>
  </w:num>
  <w:num w:numId="42">
    <w:abstractNumId w:val="25"/>
  </w:num>
  <w:num w:numId="43">
    <w:abstractNumId w:val="67"/>
  </w:num>
  <w:num w:numId="44">
    <w:abstractNumId w:val="57"/>
  </w:num>
  <w:num w:numId="45">
    <w:abstractNumId w:val="45"/>
  </w:num>
  <w:num w:numId="46">
    <w:abstractNumId w:val="50"/>
  </w:num>
  <w:num w:numId="47">
    <w:abstractNumId w:val="52"/>
  </w:num>
  <w:num w:numId="48">
    <w:abstractNumId w:val="49"/>
  </w:num>
  <w:num w:numId="49">
    <w:abstractNumId w:val="3"/>
  </w:num>
  <w:num w:numId="50">
    <w:abstractNumId w:val="13"/>
  </w:num>
  <w:num w:numId="51">
    <w:abstractNumId w:val="33"/>
  </w:num>
  <w:num w:numId="52">
    <w:abstractNumId w:val="63"/>
  </w:num>
  <w:num w:numId="53">
    <w:abstractNumId w:val="23"/>
  </w:num>
  <w:num w:numId="54">
    <w:abstractNumId w:val="38"/>
  </w:num>
  <w:num w:numId="55">
    <w:abstractNumId w:val="34"/>
  </w:num>
  <w:num w:numId="56">
    <w:abstractNumId w:val="59"/>
  </w:num>
  <w:num w:numId="57">
    <w:abstractNumId w:val="17"/>
  </w:num>
  <w:num w:numId="58">
    <w:abstractNumId w:val="61"/>
  </w:num>
  <w:num w:numId="59">
    <w:abstractNumId w:val="10"/>
  </w:num>
  <w:num w:numId="60">
    <w:abstractNumId w:val="18"/>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22"/>
  </w:num>
  <w:num w:numId="68">
    <w:abstractNumId w:val="41"/>
  </w:num>
  <w:num w:numId="69">
    <w:abstractNumId w:val="53"/>
  </w:num>
  <w:num w:numId="70">
    <w:abstractNumId w:val="46"/>
  </w:num>
  <w:num w:numId="71">
    <w:abstractNumId w:val="10"/>
  </w:num>
  <w:num w:numId="72">
    <w:abstractNumId w:val="2"/>
  </w:num>
  <w:num w:numId="73">
    <w:abstractNumId w:val="55"/>
  </w:num>
  <w:num w:numId="74">
    <w:abstractNumId w:val="66"/>
  </w:num>
  <w:num w:numId="75">
    <w:abstractNumId w:val="15"/>
  </w:num>
  <w:num w:numId="76">
    <w:abstractNumId w:val="35"/>
  </w:num>
  <w:num w:numId="77">
    <w:abstractNumId w:val="35"/>
    <w:lvlOverride w:ilvl="0">
      <w:startOverride w:val="1"/>
    </w:lvlOverride>
  </w:num>
  <w:num w:numId="78">
    <w:abstractNumId w:val="35"/>
    <w:lvlOverride w:ilvl="0">
      <w:startOverride w:val="1"/>
    </w:lvlOverride>
  </w:num>
  <w:num w:numId="79">
    <w:abstractNumId w:val="35"/>
    <w:lvlOverride w:ilvl="0">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27A4"/>
    <w:rsid w:val="000032B8"/>
    <w:rsid w:val="00003429"/>
    <w:rsid w:val="000039CF"/>
    <w:rsid w:val="0000429B"/>
    <w:rsid w:val="0000522B"/>
    <w:rsid w:val="000064F2"/>
    <w:rsid w:val="00012073"/>
    <w:rsid w:val="00012241"/>
    <w:rsid w:val="000143D9"/>
    <w:rsid w:val="00014585"/>
    <w:rsid w:val="00014A8C"/>
    <w:rsid w:val="0001672D"/>
    <w:rsid w:val="00020121"/>
    <w:rsid w:val="00020433"/>
    <w:rsid w:val="00021A9E"/>
    <w:rsid w:val="0002269E"/>
    <w:rsid w:val="000239B6"/>
    <w:rsid w:val="00025F7A"/>
    <w:rsid w:val="00030111"/>
    <w:rsid w:val="00031100"/>
    <w:rsid w:val="000322A3"/>
    <w:rsid w:val="0003242F"/>
    <w:rsid w:val="00034B21"/>
    <w:rsid w:val="00037414"/>
    <w:rsid w:val="0003791C"/>
    <w:rsid w:val="00041973"/>
    <w:rsid w:val="00041A97"/>
    <w:rsid w:val="0004367D"/>
    <w:rsid w:val="00045ADC"/>
    <w:rsid w:val="00045D48"/>
    <w:rsid w:val="00051FC7"/>
    <w:rsid w:val="00053436"/>
    <w:rsid w:val="00055275"/>
    <w:rsid w:val="0006003A"/>
    <w:rsid w:val="00062839"/>
    <w:rsid w:val="0006299F"/>
    <w:rsid w:val="00071B95"/>
    <w:rsid w:val="000722D6"/>
    <w:rsid w:val="000733C6"/>
    <w:rsid w:val="000745E2"/>
    <w:rsid w:val="000774FD"/>
    <w:rsid w:val="00077591"/>
    <w:rsid w:val="0007791F"/>
    <w:rsid w:val="00080B6D"/>
    <w:rsid w:val="000843F5"/>
    <w:rsid w:val="00085ADF"/>
    <w:rsid w:val="000867E7"/>
    <w:rsid w:val="00086E9C"/>
    <w:rsid w:val="000871D8"/>
    <w:rsid w:val="00087412"/>
    <w:rsid w:val="00093F07"/>
    <w:rsid w:val="00094163"/>
    <w:rsid w:val="00095C97"/>
    <w:rsid w:val="000963DA"/>
    <w:rsid w:val="000979A0"/>
    <w:rsid w:val="000A1618"/>
    <w:rsid w:val="000A1796"/>
    <w:rsid w:val="000A1CA3"/>
    <w:rsid w:val="000A5FC6"/>
    <w:rsid w:val="000A5FE9"/>
    <w:rsid w:val="000B114A"/>
    <w:rsid w:val="000B1BF5"/>
    <w:rsid w:val="000B24F0"/>
    <w:rsid w:val="000B3121"/>
    <w:rsid w:val="000C1185"/>
    <w:rsid w:val="000C1B1B"/>
    <w:rsid w:val="000C298A"/>
    <w:rsid w:val="000C29BF"/>
    <w:rsid w:val="000C34E6"/>
    <w:rsid w:val="000C4765"/>
    <w:rsid w:val="000C5DE9"/>
    <w:rsid w:val="000C6080"/>
    <w:rsid w:val="000C60A8"/>
    <w:rsid w:val="000D6149"/>
    <w:rsid w:val="000E2091"/>
    <w:rsid w:val="000E2A56"/>
    <w:rsid w:val="000E3D6C"/>
    <w:rsid w:val="000E43CD"/>
    <w:rsid w:val="000E52E7"/>
    <w:rsid w:val="000E5C56"/>
    <w:rsid w:val="000E612D"/>
    <w:rsid w:val="000E6137"/>
    <w:rsid w:val="000E7297"/>
    <w:rsid w:val="000F1D87"/>
    <w:rsid w:val="000F418B"/>
    <w:rsid w:val="000F5E9F"/>
    <w:rsid w:val="000F5F3A"/>
    <w:rsid w:val="000F639A"/>
    <w:rsid w:val="000F6403"/>
    <w:rsid w:val="000F7284"/>
    <w:rsid w:val="000F7E6A"/>
    <w:rsid w:val="00100AA2"/>
    <w:rsid w:val="001061D7"/>
    <w:rsid w:val="001065AC"/>
    <w:rsid w:val="001066DE"/>
    <w:rsid w:val="00112E97"/>
    <w:rsid w:val="001133EE"/>
    <w:rsid w:val="00120FC7"/>
    <w:rsid w:val="0012364E"/>
    <w:rsid w:val="001301DB"/>
    <w:rsid w:val="001319E8"/>
    <w:rsid w:val="00136419"/>
    <w:rsid w:val="001366B4"/>
    <w:rsid w:val="001370F8"/>
    <w:rsid w:val="00137E48"/>
    <w:rsid w:val="00141A30"/>
    <w:rsid w:val="0014411B"/>
    <w:rsid w:val="00144BD5"/>
    <w:rsid w:val="00145CBA"/>
    <w:rsid w:val="0015385B"/>
    <w:rsid w:val="00154A5D"/>
    <w:rsid w:val="00156499"/>
    <w:rsid w:val="00160CFB"/>
    <w:rsid w:val="001612CE"/>
    <w:rsid w:val="001625FF"/>
    <w:rsid w:val="00164C43"/>
    <w:rsid w:val="0016544D"/>
    <w:rsid w:val="00166F1F"/>
    <w:rsid w:val="00170A4C"/>
    <w:rsid w:val="00173C6E"/>
    <w:rsid w:val="00180B19"/>
    <w:rsid w:val="00181407"/>
    <w:rsid w:val="0018196F"/>
    <w:rsid w:val="001829BB"/>
    <w:rsid w:val="001864F1"/>
    <w:rsid w:val="0019055F"/>
    <w:rsid w:val="00192498"/>
    <w:rsid w:val="001939BA"/>
    <w:rsid w:val="00194806"/>
    <w:rsid w:val="001A5981"/>
    <w:rsid w:val="001A5EDF"/>
    <w:rsid w:val="001B05F2"/>
    <w:rsid w:val="001B1A0C"/>
    <w:rsid w:val="001B2003"/>
    <w:rsid w:val="001B2B81"/>
    <w:rsid w:val="001B3043"/>
    <w:rsid w:val="001B6DBA"/>
    <w:rsid w:val="001C029F"/>
    <w:rsid w:val="001C1EA0"/>
    <w:rsid w:val="001C3C2D"/>
    <w:rsid w:val="001C507E"/>
    <w:rsid w:val="001C510F"/>
    <w:rsid w:val="001C700E"/>
    <w:rsid w:val="001C7117"/>
    <w:rsid w:val="001C7EEB"/>
    <w:rsid w:val="001D20FC"/>
    <w:rsid w:val="001D210A"/>
    <w:rsid w:val="001D26BA"/>
    <w:rsid w:val="001D3F15"/>
    <w:rsid w:val="001E1465"/>
    <w:rsid w:val="001E1559"/>
    <w:rsid w:val="001E2EA5"/>
    <w:rsid w:val="001E3844"/>
    <w:rsid w:val="001E7397"/>
    <w:rsid w:val="001E76AB"/>
    <w:rsid w:val="001E7728"/>
    <w:rsid w:val="001F5D41"/>
    <w:rsid w:val="001F5DD9"/>
    <w:rsid w:val="001F6013"/>
    <w:rsid w:val="001F61D2"/>
    <w:rsid w:val="001F7480"/>
    <w:rsid w:val="00205B45"/>
    <w:rsid w:val="00206C72"/>
    <w:rsid w:val="00207198"/>
    <w:rsid w:val="002103A6"/>
    <w:rsid w:val="002115BD"/>
    <w:rsid w:val="00211D9D"/>
    <w:rsid w:val="00212E7D"/>
    <w:rsid w:val="0022246F"/>
    <w:rsid w:val="00230E3F"/>
    <w:rsid w:val="00231D45"/>
    <w:rsid w:val="00233B3E"/>
    <w:rsid w:val="00234C79"/>
    <w:rsid w:val="002368C0"/>
    <w:rsid w:val="00237C4B"/>
    <w:rsid w:val="00240101"/>
    <w:rsid w:val="0024084C"/>
    <w:rsid w:val="00242F84"/>
    <w:rsid w:val="002433C1"/>
    <w:rsid w:val="002439BD"/>
    <w:rsid w:val="00243BAC"/>
    <w:rsid w:val="00243C28"/>
    <w:rsid w:val="00244D9A"/>
    <w:rsid w:val="00245612"/>
    <w:rsid w:val="00246E5F"/>
    <w:rsid w:val="00253510"/>
    <w:rsid w:val="00253F9D"/>
    <w:rsid w:val="002544E6"/>
    <w:rsid w:val="00255A25"/>
    <w:rsid w:val="00257217"/>
    <w:rsid w:val="0025738B"/>
    <w:rsid w:val="00263C33"/>
    <w:rsid w:val="0027198D"/>
    <w:rsid w:val="002724AA"/>
    <w:rsid w:val="00272B30"/>
    <w:rsid w:val="00272ED9"/>
    <w:rsid w:val="00280E6A"/>
    <w:rsid w:val="0028211A"/>
    <w:rsid w:val="00283B4F"/>
    <w:rsid w:val="002845B1"/>
    <w:rsid w:val="0028473A"/>
    <w:rsid w:val="002849B4"/>
    <w:rsid w:val="00285D5D"/>
    <w:rsid w:val="00286016"/>
    <w:rsid w:val="0028658E"/>
    <w:rsid w:val="002867DE"/>
    <w:rsid w:val="00286FB8"/>
    <w:rsid w:val="002930E3"/>
    <w:rsid w:val="002960A4"/>
    <w:rsid w:val="00297CFA"/>
    <w:rsid w:val="002A0140"/>
    <w:rsid w:val="002A0792"/>
    <w:rsid w:val="002A12F2"/>
    <w:rsid w:val="002A1935"/>
    <w:rsid w:val="002A218E"/>
    <w:rsid w:val="002A22F7"/>
    <w:rsid w:val="002A6845"/>
    <w:rsid w:val="002A7542"/>
    <w:rsid w:val="002A756E"/>
    <w:rsid w:val="002B2460"/>
    <w:rsid w:val="002B25AA"/>
    <w:rsid w:val="002B3F58"/>
    <w:rsid w:val="002B433A"/>
    <w:rsid w:val="002B4930"/>
    <w:rsid w:val="002B79D4"/>
    <w:rsid w:val="002C0B13"/>
    <w:rsid w:val="002C42B2"/>
    <w:rsid w:val="002D18B0"/>
    <w:rsid w:val="002D202C"/>
    <w:rsid w:val="002D5753"/>
    <w:rsid w:val="002D5904"/>
    <w:rsid w:val="002D6914"/>
    <w:rsid w:val="002D7631"/>
    <w:rsid w:val="002E2DF3"/>
    <w:rsid w:val="002E3366"/>
    <w:rsid w:val="002E3E41"/>
    <w:rsid w:val="002E5327"/>
    <w:rsid w:val="002E5946"/>
    <w:rsid w:val="002F2617"/>
    <w:rsid w:val="002F2D0F"/>
    <w:rsid w:val="002F31B2"/>
    <w:rsid w:val="002F3357"/>
    <w:rsid w:val="002F3BF6"/>
    <w:rsid w:val="002F479A"/>
    <w:rsid w:val="002F5A14"/>
    <w:rsid w:val="002F770D"/>
    <w:rsid w:val="0030260A"/>
    <w:rsid w:val="003026C6"/>
    <w:rsid w:val="003028E3"/>
    <w:rsid w:val="00303038"/>
    <w:rsid w:val="00306989"/>
    <w:rsid w:val="00310426"/>
    <w:rsid w:val="00311902"/>
    <w:rsid w:val="00311C88"/>
    <w:rsid w:val="0031336A"/>
    <w:rsid w:val="003140D4"/>
    <w:rsid w:val="0031511E"/>
    <w:rsid w:val="00315D13"/>
    <w:rsid w:val="00315DD6"/>
    <w:rsid w:val="00316631"/>
    <w:rsid w:val="003223F8"/>
    <w:rsid w:val="0032486D"/>
    <w:rsid w:val="003260C0"/>
    <w:rsid w:val="0032634F"/>
    <w:rsid w:val="00326B5A"/>
    <w:rsid w:val="00326D6C"/>
    <w:rsid w:val="00327F0F"/>
    <w:rsid w:val="0033014B"/>
    <w:rsid w:val="0033050A"/>
    <w:rsid w:val="003327F8"/>
    <w:rsid w:val="00333CC7"/>
    <w:rsid w:val="00334144"/>
    <w:rsid w:val="0033462F"/>
    <w:rsid w:val="00341177"/>
    <w:rsid w:val="00345B8E"/>
    <w:rsid w:val="003464F6"/>
    <w:rsid w:val="00351ACA"/>
    <w:rsid w:val="00352AE5"/>
    <w:rsid w:val="00352B18"/>
    <w:rsid w:val="0035325D"/>
    <w:rsid w:val="00353B12"/>
    <w:rsid w:val="003559C0"/>
    <w:rsid w:val="00356EBE"/>
    <w:rsid w:val="00357AF7"/>
    <w:rsid w:val="00360662"/>
    <w:rsid w:val="00362A1C"/>
    <w:rsid w:val="0036504D"/>
    <w:rsid w:val="00367817"/>
    <w:rsid w:val="00370A60"/>
    <w:rsid w:val="00372C63"/>
    <w:rsid w:val="00372E1B"/>
    <w:rsid w:val="00376954"/>
    <w:rsid w:val="00376AAE"/>
    <w:rsid w:val="00376B10"/>
    <w:rsid w:val="00380531"/>
    <w:rsid w:val="00382210"/>
    <w:rsid w:val="00383294"/>
    <w:rsid w:val="00385A90"/>
    <w:rsid w:val="00386067"/>
    <w:rsid w:val="00386676"/>
    <w:rsid w:val="0038700A"/>
    <w:rsid w:val="00390D65"/>
    <w:rsid w:val="0039205C"/>
    <w:rsid w:val="00393645"/>
    <w:rsid w:val="00395A95"/>
    <w:rsid w:val="00395CFA"/>
    <w:rsid w:val="00397C40"/>
    <w:rsid w:val="003A2D7B"/>
    <w:rsid w:val="003A467D"/>
    <w:rsid w:val="003A74BF"/>
    <w:rsid w:val="003A7E30"/>
    <w:rsid w:val="003B181B"/>
    <w:rsid w:val="003B44E0"/>
    <w:rsid w:val="003B4A85"/>
    <w:rsid w:val="003B51A5"/>
    <w:rsid w:val="003B7002"/>
    <w:rsid w:val="003C1634"/>
    <w:rsid w:val="003C1D5B"/>
    <w:rsid w:val="003C2808"/>
    <w:rsid w:val="003C54CB"/>
    <w:rsid w:val="003C55FE"/>
    <w:rsid w:val="003C6988"/>
    <w:rsid w:val="003C6B61"/>
    <w:rsid w:val="003C7721"/>
    <w:rsid w:val="003C7CD7"/>
    <w:rsid w:val="003D081D"/>
    <w:rsid w:val="003D1754"/>
    <w:rsid w:val="003D24EF"/>
    <w:rsid w:val="003D3D5C"/>
    <w:rsid w:val="003D4921"/>
    <w:rsid w:val="003D4B89"/>
    <w:rsid w:val="003D6B5E"/>
    <w:rsid w:val="003E3F3E"/>
    <w:rsid w:val="003E4982"/>
    <w:rsid w:val="003E4F34"/>
    <w:rsid w:val="003F06CF"/>
    <w:rsid w:val="003F46D5"/>
    <w:rsid w:val="003F6CC9"/>
    <w:rsid w:val="003F745E"/>
    <w:rsid w:val="003F7CFE"/>
    <w:rsid w:val="00400C4E"/>
    <w:rsid w:val="004022A0"/>
    <w:rsid w:val="00402B3B"/>
    <w:rsid w:val="00403376"/>
    <w:rsid w:val="0040691E"/>
    <w:rsid w:val="00412D93"/>
    <w:rsid w:val="00413539"/>
    <w:rsid w:val="00413E21"/>
    <w:rsid w:val="00415A92"/>
    <w:rsid w:val="004161A9"/>
    <w:rsid w:val="0041638B"/>
    <w:rsid w:val="00421943"/>
    <w:rsid w:val="00421D78"/>
    <w:rsid w:val="00421E34"/>
    <w:rsid w:val="004228CD"/>
    <w:rsid w:val="00426354"/>
    <w:rsid w:val="00427486"/>
    <w:rsid w:val="00427D15"/>
    <w:rsid w:val="00437B28"/>
    <w:rsid w:val="004400A6"/>
    <w:rsid w:val="004421DE"/>
    <w:rsid w:val="00443638"/>
    <w:rsid w:val="00443639"/>
    <w:rsid w:val="00443BA9"/>
    <w:rsid w:val="0044456A"/>
    <w:rsid w:val="0044550B"/>
    <w:rsid w:val="004459BF"/>
    <w:rsid w:val="00445A3B"/>
    <w:rsid w:val="00446DBC"/>
    <w:rsid w:val="00447D0E"/>
    <w:rsid w:val="00450090"/>
    <w:rsid w:val="00451D27"/>
    <w:rsid w:val="004524F2"/>
    <w:rsid w:val="00452972"/>
    <w:rsid w:val="004540C0"/>
    <w:rsid w:val="00454159"/>
    <w:rsid w:val="00455098"/>
    <w:rsid w:val="00457529"/>
    <w:rsid w:val="00461DCC"/>
    <w:rsid w:val="00462655"/>
    <w:rsid w:val="00464222"/>
    <w:rsid w:val="00464297"/>
    <w:rsid w:val="0046486E"/>
    <w:rsid w:val="00465B43"/>
    <w:rsid w:val="00471508"/>
    <w:rsid w:val="0047183D"/>
    <w:rsid w:val="00474428"/>
    <w:rsid w:val="00475E80"/>
    <w:rsid w:val="0047659C"/>
    <w:rsid w:val="00477514"/>
    <w:rsid w:val="00477D04"/>
    <w:rsid w:val="00481B36"/>
    <w:rsid w:val="0048469A"/>
    <w:rsid w:val="00495D81"/>
    <w:rsid w:val="00496DF4"/>
    <w:rsid w:val="004A56AF"/>
    <w:rsid w:val="004A636F"/>
    <w:rsid w:val="004A64F7"/>
    <w:rsid w:val="004A7400"/>
    <w:rsid w:val="004A77B4"/>
    <w:rsid w:val="004B071D"/>
    <w:rsid w:val="004B4243"/>
    <w:rsid w:val="004B599F"/>
    <w:rsid w:val="004B62E6"/>
    <w:rsid w:val="004C4A3E"/>
    <w:rsid w:val="004C4F5E"/>
    <w:rsid w:val="004C660D"/>
    <w:rsid w:val="004C69F7"/>
    <w:rsid w:val="004D1529"/>
    <w:rsid w:val="004D19CE"/>
    <w:rsid w:val="004D1AD9"/>
    <w:rsid w:val="004D2733"/>
    <w:rsid w:val="004D2F7F"/>
    <w:rsid w:val="004D3677"/>
    <w:rsid w:val="004D4522"/>
    <w:rsid w:val="004D7082"/>
    <w:rsid w:val="004E6400"/>
    <w:rsid w:val="004E6556"/>
    <w:rsid w:val="004E656C"/>
    <w:rsid w:val="004E6E33"/>
    <w:rsid w:val="004F521E"/>
    <w:rsid w:val="004F5E91"/>
    <w:rsid w:val="005002B6"/>
    <w:rsid w:val="005005AE"/>
    <w:rsid w:val="005017A4"/>
    <w:rsid w:val="00503974"/>
    <w:rsid w:val="005049B2"/>
    <w:rsid w:val="00504EAC"/>
    <w:rsid w:val="0050529F"/>
    <w:rsid w:val="00507073"/>
    <w:rsid w:val="0050724B"/>
    <w:rsid w:val="00510B44"/>
    <w:rsid w:val="00510EA3"/>
    <w:rsid w:val="00514B5E"/>
    <w:rsid w:val="00515C69"/>
    <w:rsid w:val="00515D1D"/>
    <w:rsid w:val="00516045"/>
    <w:rsid w:val="00516570"/>
    <w:rsid w:val="00516746"/>
    <w:rsid w:val="00517284"/>
    <w:rsid w:val="0052286C"/>
    <w:rsid w:val="00522AB9"/>
    <w:rsid w:val="005253B3"/>
    <w:rsid w:val="005257A8"/>
    <w:rsid w:val="005265B9"/>
    <w:rsid w:val="00530B64"/>
    <w:rsid w:val="00531752"/>
    <w:rsid w:val="0053331F"/>
    <w:rsid w:val="00533533"/>
    <w:rsid w:val="00534449"/>
    <w:rsid w:val="00534816"/>
    <w:rsid w:val="005351DC"/>
    <w:rsid w:val="00535277"/>
    <w:rsid w:val="00535E24"/>
    <w:rsid w:val="00543947"/>
    <w:rsid w:val="00543FF5"/>
    <w:rsid w:val="005440F6"/>
    <w:rsid w:val="00544698"/>
    <w:rsid w:val="0054557A"/>
    <w:rsid w:val="00546DD6"/>
    <w:rsid w:val="005514BB"/>
    <w:rsid w:val="00551B6A"/>
    <w:rsid w:val="00552BA2"/>
    <w:rsid w:val="00553F76"/>
    <w:rsid w:val="00554DBB"/>
    <w:rsid w:val="0055755E"/>
    <w:rsid w:val="0055771D"/>
    <w:rsid w:val="00561C22"/>
    <w:rsid w:val="0056402F"/>
    <w:rsid w:val="00565342"/>
    <w:rsid w:val="00567FCF"/>
    <w:rsid w:val="005731F4"/>
    <w:rsid w:val="005732E3"/>
    <w:rsid w:val="00575295"/>
    <w:rsid w:val="00575BBA"/>
    <w:rsid w:val="00576CD9"/>
    <w:rsid w:val="005779F4"/>
    <w:rsid w:val="00577F73"/>
    <w:rsid w:val="00580A48"/>
    <w:rsid w:val="005820DE"/>
    <w:rsid w:val="005845CB"/>
    <w:rsid w:val="0058498A"/>
    <w:rsid w:val="00586350"/>
    <w:rsid w:val="00586B3B"/>
    <w:rsid w:val="0059145D"/>
    <w:rsid w:val="00593C0D"/>
    <w:rsid w:val="00596DA2"/>
    <w:rsid w:val="00597298"/>
    <w:rsid w:val="005A061B"/>
    <w:rsid w:val="005A18C5"/>
    <w:rsid w:val="005A222E"/>
    <w:rsid w:val="005A4556"/>
    <w:rsid w:val="005A52E5"/>
    <w:rsid w:val="005A68E0"/>
    <w:rsid w:val="005A7111"/>
    <w:rsid w:val="005B150A"/>
    <w:rsid w:val="005B30B2"/>
    <w:rsid w:val="005B35F6"/>
    <w:rsid w:val="005B7C71"/>
    <w:rsid w:val="005C4A6B"/>
    <w:rsid w:val="005C4B0B"/>
    <w:rsid w:val="005C4C48"/>
    <w:rsid w:val="005C569C"/>
    <w:rsid w:val="005C6BAB"/>
    <w:rsid w:val="005C7A4D"/>
    <w:rsid w:val="005D1DCF"/>
    <w:rsid w:val="005D1E42"/>
    <w:rsid w:val="005D26E3"/>
    <w:rsid w:val="005D2A59"/>
    <w:rsid w:val="005D40E7"/>
    <w:rsid w:val="005D4BE0"/>
    <w:rsid w:val="005E1D69"/>
    <w:rsid w:val="005E2AA4"/>
    <w:rsid w:val="005E46BD"/>
    <w:rsid w:val="005F0C00"/>
    <w:rsid w:val="005F1932"/>
    <w:rsid w:val="005F3067"/>
    <w:rsid w:val="005F33F2"/>
    <w:rsid w:val="0060436B"/>
    <w:rsid w:val="00607C4E"/>
    <w:rsid w:val="00610A96"/>
    <w:rsid w:val="00611E51"/>
    <w:rsid w:val="00612782"/>
    <w:rsid w:val="00612D92"/>
    <w:rsid w:val="00613419"/>
    <w:rsid w:val="00613AEE"/>
    <w:rsid w:val="00615D69"/>
    <w:rsid w:val="00616636"/>
    <w:rsid w:val="0061678E"/>
    <w:rsid w:val="00617F30"/>
    <w:rsid w:val="00620021"/>
    <w:rsid w:val="00620B06"/>
    <w:rsid w:val="0062147E"/>
    <w:rsid w:val="006258DD"/>
    <w:rsid w:val="006264ED"/>
    <w:rsid w:val="006273B3"/>
    <w:rsid w:val="00631FED"/>
    <w:rsid w:val="0063575A"/>
    <w:rsid w:val="00636AF0"/>
    <w:rsid w:val="00636F93"/>
    <w:rsid w:val="0063701D"/>
    <w:rsid w:val="006378F6"/>
    <w:rsid w:val="00637B78"/>
    <w:rsid w:val="00640388"/>
    <w:rsid w:val="0064141F"/>
    <w:rsid w:val="00642E50"/>
    <w:rsid w:val="00645C95"/>
    <w:rsid w:val="00646049"/>
    <w:rsid w:val="00647059"/>
    <w:rsid w:val="006474FE"/>
    <w:rsid w:val="00651B24"/>
    <w:rsid w:val="0065233D"/>
    <w:rsid w:val="00653979"/>
    <w:rsid w:val="00656C8A"/>
    <w:rsid w:val="00657108"/>
    <w:rsid w:val="0066066E"/>
    <w:rsid w:val="006628F2"/>
    <w:rsid w:val="00663909"/>
    <w:rsid w:val="0066392E"/>
    <w:rsid w:val="00664FEC"/>
    <w:rsid w:val="006658DB"/>
    <w:rsid w:val="00665C7B"/>
    <w:rsid w:val="00666F5F"/>
    <w:rsid w:val="00666FA3"/>
    <w:rsid w:val="006671BC"/>
    <w:rsid w:val="00667935"/>
    <w:rsid w:val="00670A38"/>
    <w:rsid w:val="00670E12"/>
    <w:rsid w:val="006756CA"/>
    <w:rsid w:val="00677DFE"/>
    <w:rsid w:val="00680679"/>
    <w:rsid w:val="0068085F"/>
    <w:rsid w:val="00681A57"/>
    <w:rsid w:val="00681B6B"/>
    <w:rsid w:val="00682345"/>
    <w:rsid w:val="006825AC"/>
    <w:rsid w:val="00683ED1"/>
    <w:rsid w:val="00683FFB"/>
    <w:rsid w:val="00692201"/>
    <w:rsid w:val="00693186"/>
    <w:rsid w:val="006931A4"/>
    <w:rsid w:val="00695279"/>
    <w:rsid w:val="006A0B39"/>
    <w:rsid w:val="006A0B85"/>
    <w:rsid w:val="006A2425"/>
    <w:rsid w:val="006A40F5"/>
    <w:rsid w:val="006A4587"/>
    <w:rsid w:val="006A47C8"/>
    <w:rsid w:val="006A6363"/>
    <w:rsid w:val="006A7D7D"/>
    <w:rsid w:val="006B279B"/>
    <w:rsid w:val="006C03DF"/>
    <w:rsid w:val="006C077B"/>
    <w:rsid w:val="006C58B6"/>
    <w:rsid w:val="006C6800"/>
    <w:rsid w:val="006C6804"/>
    <w:rsid w:val="006C718A"/>
    <w:rsid w:val="006C7447"/>
    <w:rsid w:val="006D09C8"/>
    <w:rsid w:val="006D2E37"/>
    <w:rsid w:val="006D666A"/>
    <w:rsid w:val="006D67CC"/>
    <w:rsid w:val="006D733F"/>
    <w:rsid w:val="006E2631"/>
    <w:rsid w:val="006E38C6"/>
    <w:rsid w:val="006E6AF8"/>
    <w:rsid w:val="006E7BD1"/>
    <w:rsid w:val="006E7E9F"/>
    <w:rsid w:val="006E7FA8"/>
    <w:rsid w:val="006F0508"/>
    <w:rsid w:val="006F4623"/>
    <w:rsid w:val="006F47B0"/>
    <w:rsid w:val="006F4B40"/>
    <w:rsid w:val="006F7118"/>
    <w:rsid w:val="00701FEA"/>
    <w:rsid w:val="00702D72"/>
    <w:rsid w:val="00706DE1"/>
    <w:rsid w:val="0070703A"/>
    <w:rsid w:val="0070767D"/>
    <w:rsid w:val="00710A95"/>
    <w:rsid w:val="007110C9"/>
    <w:rsid w:val="00713952"/>
    <w:rsid w:val="00714BA3"/>
    <w:rsid w:val="00715AE8"/>
    <w:rsid w:val="00715B79"/>
    <w:rsid w:val="00717847"/>
    <w:rsid w:val="00717A74"/>
    <w:rsid w:val="00720E52"/>
    <w:rsid w:val="00721098"/>
    <w:rsid w:val="007212C1"/>
    <w:rsid w:val="00721D86"/>
    <w:rsid w:val="007229F9"/>
    <w:rsid w:val="00722C04"/>
    <w:rsid w:val="00722FA3"/>
    <w:rsid w:val="00725869"/>
    <w:rsid w:val="00730437"/>
    <w:rsid w:val="00732031"/>
    <w:rsid w:val="00734345"/>
    <w:rsid w:val="00736433"/>
    <w:rsid w:val="0074009D"/>
    <w:rsid w:val="007405B9"/>
    <w:rsid w:val="00741955"/>
    <w:rsid w:val="00750797"/>
    <w:rsid w:val="00750E77"/>
    <w:rsid w:val="00751C99"/>
    <w:rsid w:val="00751EBF"/>
    <w:rsid w:val="007545FC"/>
    <w:rsid w:val="00755273"/>
    <w:rsid w:val="0075545F"/>
    <w:rsid w:val="00756413"/>
    <w:rsid w:val="00762B26"/>
    <w:rsid w:val="007668FD"/>
    <w:rsid w:val="00766BCF"/>
    <w:rsid w:val="00767F39"/>
    <w:rsid w:val="00770DA3"/>
    <w:rsid w:val="007726E1"/>
    <w:rsid w:val="0077390F"/>
    <w:rsid w:val="0077449E"/>
    <w:rsid w:val="00774F4B"/>
    <w:rsid w:val="00782C88"/>
    <w:rsid w:val="00783F3C"/>
    <w:rsid w:val="0078519A"/>
    <w:rsid w:val="0078651F"/>
    <w:rsid w:val="007867CB"/>
    <w:rsid w:val="007923A5"/>
    <w:rsid w:val="0079256F"/>
    <w:rsid w:val="00793653"/>
    <w:rsid w:val="00794214"/>
    <w:rsid w:val="00794D56"/>
    <w:rsid w:val="0079569C"/>
    <w:rsid w:val="007A0E43"/>
    <w:rsid w:val="007A0F9B"/>
    <w:rsid w:val="007A3C6A"/>
    <w:rsid w:val="007A4B07"/>
    <w:rsid w:val="007A5821"/>
    <w:rsid w:val="007A5D06"/>
    <w:rsid w:val="007A5EE9"/>
    <w:rsid w:val="007A6B68"/>
    <w:rsid w:val="007A791F"/>
    <w:rsid w:val="007B02D6"/>
    <w:rsid w:val="007B1265"/>
    <w:rsid w:val="007B51E2"/>
    <w:rsid w:val="007C22D7"/>
    <w:rsid w:val="007C7518"/>
    <w:rsid w:val="007C77B9"/>
    <w:rsid w:val="007C7D0E"/>
    <w:rsid w:val="007D12B1"/>
    <w:rsid w:val="007D1D4E"/>
    <w:rsid w:val="007D32A1"/>
    <w:rsid w:val="007E2A95"/>
    <w:rsid w:val="007E43EB"/>
    <w:rsid w:val="007E6BD0"/>
    <w:rsid w:val="007F2841"/>
    <w:rsid w:val="007F2E73"/>
    <w:rsid w:val="007F32ED"/>
    <w:rsid w:val="007F3724"/>
    <w:rsid w:val="007F51C5"/>
    <w:rsid w:val="00801FFA"/>
    <w:rsid w:val="0080212E"/>
    <w:rsid w:val="0080225E"/>
    <w:rsid w:val="00802A66"/>
    <w:rsid w:val="008042F4"/>
    <w:rsid w:val="0080517A"/>
    <w:rsid w:val="00805FE4"/>
    <w:rsid w:val="00811F97"/>
    <w:rsid w:val="00812E46"/>
    <w:rsid w:val="0081407E"/>
    <w:rsid w:val="008155A0"/>
    <w:rsid w:val="00815705"/>
    <w:rsid w:val="00816A44"/>
    <w:rsid w:val="00816C06"/>
    <w:rsid w:val="00817542"/>
    <w:rsid w:val="00821541"/>
    <w:rsid w:val="008220F9"/>
    <w:rsid w:val="00822DBC"/>
    <w:rsid w:val="00825C6A"/>
    <w:rsid w:val="00827EA8"/>
    <w:rsid w:val="00830647"/>
    <w:rsid w:val="00830E80"/>
    <w:rsid w:val="00832B86"/>
    <w:rsid w:val="00835E7D"/>
    <w:rsid w:val="008369B1"/>
    <w:rsid w:val="0083711D"/>
    <w:rsid w:val="00841EE1"/>
    <w:rsid w:val="00844B70"/>
    <w:rsid w:val="00844DB5"/>
    <w:rsid w:val="00845870"/>
    <w:rsid w:val="008464E8"/>
    <w:rsid w:val="00846CCF"/>
    <w:rsid w:val="008562E2"/>
    <w:rsid w:val="008563C2"/>
    <w:rsid w:val="00856DDE"/>
    <w:rsid w:val="008572A8"/>
    <w:rsid w:val="00857ACA"/>
    <w:rsid w:val="008614F2"/>
    <w:rsid w:val="00863F65"/>
    <w:rsid w:val="00865F40"/>
    <w:rsid w:val="00866D49"/>
    <w:rsid w:val="00867C09"/>
    <w:rsid w:val="008700C0"/>
    <w:rsid w:val="008714C1"/>
    <w:rsid w:val="008737AF"/>
    <w:rsid w:val="00873C3C"/>
    <w:rsid w:val="008740FE"/>
    <w:rsid w:val="008776E9"/>
    <w:rsid w:val="00877D2F"/>
    <w:rsid w:val="00877E08"/>
    <w:rsid w:val="008810FA"/>
    <w:rsid w:val="00884878"/>
    <w:rsid w:val="008854A5"/>
    <w:rsid w:val="00885B9C"/>
    <w:rsid w:val="00887A52"/>
    <w:rsid w:val="00890BC4"/>
    <w:rsid w:val="0089260E"/>
    <w:rsid w:val="008934B0"/>
    <w:rsid w:val="008947AB"/>
    <w:rsid w:val="00894DD6"/>
    <w:rsid w:val="00895E07"/>
    <w:rsid w:val="00896927"/>
    <w:rsid w:val="00897E16"/>
    <w:rsid w:val="008A144E"/>
    <w:rsid w:val="008A4C53"/>
    <w:rsid w:val="008A4CB4"/>
    <w:rsid w:val="008A5D86"/>
    <w:rsid w:val="008A6005"/>
    <w:rsid w:val="008B1410"/>
    <w:rsid w:val="008B2ACC"/>
    <w:rsid w:val="008B5F65"/>
    <w:rsid w:val="008B7377"/>
    <w:rsid w:val="008C161A"/>
    <w:rsid w:val="008C25F5"/>
    <w:rsid w:val="008C32E0"/>
    <w:rsid w:val="008C4D1B"/>
    <w:rsid w:val="008D0221"/>
    <w:rsid w:val="008D27EF"/>
    <w:rsid w:val="008D2DC8"/>
    <w:rsid w:val="008D34F9"/>
    <w:rsid w:val="008D358E"/>
    <w:rsid w:val="008D3BEB"/>
    <w:rsid w:val="008D745E"/>
    <w:rsid w:val="008E0A49"/>
    <w:rsid w:val="008E0AE1"/>
    <w:rsid w:val="008E2832"/>
    <w:rsid w:val="008E5D7C"/>
    <w:rsid w:val="008E67C4"/>
    <w:rsid w:val="008E709C"/>
    <w:rsid w:val="008F06F2"/>
    <w:rsid w:val="008F35BB"/>
    <w:rsid w:val="008F3B81"/>
    <w:rsid w:val="008F4C4B"/>
    <w:rsid w:val="008F5D80"/>
    <w:rsid w:val="00904843"/>
    <w:rsid w:val="00906A97"/>
    <w:rsid w:val="00913C7E"/>
    <w:rsid w:val="009166A8"/>
    <w:rsid w:val="009201AD"/>
    <w:rsid w:val="00923D3D"/>
    <w:rsid w:val="00924CCB"/>
    <w:rsid w:val="0092520A"/>
    <w:rsid w:val="0092558C"/>
    <w:rsid w:val="00926627"/>
    <w:rsid w:val="00926F81"/>
    <w:rsid w:val="00930E96"/>
    <w:rsid w:val="00932FAD"/>
    <w:rsid w:val="00932FB0"/>
    <w:rsid w:val="00933097"/>
    <w:rsid w:val="0093309E"/>
    <w:rsid w:val="00936A89"/>
    <w:rsid w:val="00940993"/>
    <w:rsid w:val="00941F16"/>
    <w:rsid w:val="009439B4"/>
    <w:rsid w:val="00947B07"/>
    <w:rsid w:val="00947CFC"/>
    <w:rsid w:val="00947FCC"/>
    <w:rsid w:val="00951562"/>
    <w:rsid w:val="00951868"/>
    <w:rsid w:val="00953879"/>
    <w:rsid w:val="00954EF3"/>
    <w:rsid w:val="00956864"/>
    <w:rsid w:val="00962452"/>
    <w:rsid w:val="00963E64"/>
    <w:rsid w:val="009668EF"/>
    <w:rsid w:val="00966EF7"/>
    <w:rsid w:val="009670A8"/>
    <w:rsid w:val="009677CE"/>
    <w:rsid w:val="009711A9"/>
    <w:rsid w:val="00971B7F"/>
    <w:rsid w:val="009729A9"/>
    <w:rsid w:val="00976841"/>
    <w:rsid w:val="00977312"/>
    <w:rsid w:val="0098030D"/>
    <w:rsid w:val="00981E62"/>
    <w:rsid w:val="00982BE4"/>
    <w:rsid w:val="00984875"/>
    <w:rsid w:val="0098521F"/>
    <w:rsid w:val="00987CE1"/>
    <w:rsid w:val="00991916"/>
    <w:rsid w:val="009957EC"/>
    <w:rsid w:val="009A14AD"/>
    <w:rsid w:val="009A1E07"/>
    <w:rsid w:val="009A28D2"/>
    <w:rsid w:val="009A3C1C"/>
    <w:rsid w:val="009A47F2"/>
    <w:rsid w:val="009A4D39"/>
    <w:rsid w:val="009B0E66"/>
    <w:rsid w:val="009B1895"/>
    <w:rsid w:val="009B223B"/>
    <w:rsid w:val="009B4C40"/>
    <w:rsid w:val="009B5190"/>
    <w:rsid w:val="009B654F"/>
    <w:rsid w:val="009B71EC"/>
    <w:rsid w:val="009C050C"/>
    <w:rsid w:val="009C0C0B"/>
    <w:rsid w:val="009C1620"/>
    <w:rsid w:val="009C16DF"/>
    <w:rsid w:val="009C18DD"/>
    <w:rsid w:val="009C299B"/>
    <w:rsid w:val="009C4804"/>
    <w:rsid w:val="009C5578"/>
    <w:rsid w:val="009C5893"/>
    <w:rsid w:val="009C6A59"/>
    <w:rsid w:val="009D0E38"/>
    <w:rsid w:val="009D19F4"/>
    <w:rsid w:val="009D3524"/>
    <w:rsid w:val="009D653A"/>
    <w:rsid w:val="009D745D"/>
    <w:rsid w:val="009E0288"/>
    <w:rsid w:val="009E33DF"/>
    <w:rsid w:val="009E421B"/>
    <w:rsid w:val="009E6780"/>
    <w:rsid w:val="009E760E"/>
    <w:rsid w:val="009F0DBE"/>
    <w:rsid w:val="009F1630"/>
    <w:rsid w:val="009F1AD2"/>
    <w:rsid w:val="009F1EA0"/>
    <w:rsid w:val="009F482B"/>
    <w:rsid w:val="009F483A"/>
    <w:rsid w:val="009F4D99"/>
    <w:rsid w:val="009F5002"/>
    <w:rsid w:val="009F50F0"/>
    <w:rsid w:val="009F6482"/>
    <w:rsid w:val="009F6ECF"/>
    <w:rsid w:val="009F6F31"/>
    <w:rsid w:val="00A0186E"/>
    <w:rsid w:val="00A03911"/>
    <w:rsid w:val="00A03F41"/>
    <w:rsid w:val="00A03F65"/>
    <w:rsid w:val="00A05140"/>
    <w:rsid w:val="00A064D1"/>
    <w:rsid w:val="00A079FF"/>
    <w:rsid w:val="00A10DE1"/>
    <w:rsid w:val="00A110D1"/>
    <w:rsid w:val="00A110E9"/>
    <w:rsid w:val="00A14119"/>
    <w:rsid w:val="00A2123F"/>
    <w:rsid w:val="00A21C3E"/>
    <w:rsid w:val="00A21FFF"/>
    <w:rsid w:val="00A22538"/>
    <w:rsid w:val="00A23ABD"/>
    <w:rsid w:val="00A23C51"/>
    <w:rsid w:val="00A2445C"/>
    <w:rsid w:val="00A256DB"/>
    <w:rsid w:val="00A25905"/>
    <w:rsid w:val="00A2673B"/>
    <w:rsid w:val="00A26AFB"/>
    <w:rsid w:val="00A309BB"/>
    <w:rsid w:val="00A32082"/>
    <w:rsid w:val="00A33F31"/>
    <w:rsid w:val="00A34039"/>
    <w:rsid w:val="00A345BB"/>
    <w:rsid w:val="00A3552E"/>
    <w:rsid w:val="00A417FA"/>
    <w:rsid w:val="00A42760"/>
    <w:rsid w:val="00A43B6C"/>
    <w:rsid w:val="00A44260"/>
    <w:rsid w:val="00A443C7"/>
    <w:rsid w:val="00A45302"/>
    <w:rsid w:val="00A51267"/>
    <w:rsid w:val="00A522BF"/>
    <w:rsid w:val="00A54FF3"/>
    <w:rsid w:val="00A5551F"/>
    <w:rsid w:val="00A65672"/>
    <w:rsid w:val="00A6575A"/>
    <w:rsid w:val="00A6598C"/>
    <w:rsid w:val="00A65A0E"/>
    <w:rsid w:val="00A65CAA"/>
    <w:rsid w:val="00A67C12"/>
    <w:rsid w:val="00A67E1B"/>
    <w:rsid w:val="00A70827"/>
    <w:rsid w:val="00A70852"/>
    <w:rsid w:val="00A71CF7"/>
    <w:rsid w:val="00A73A2B"/>
    <w:rsid w:val="00A7565D"/>
    <w:rsid w:val="00A761F2"/>
    <w:rsid w:val="00A766FD"/>
    <w:rsid w:val="00A77554"/>
    <w:rsid w:val="00A820E7"/>
    <w:rsid w:val="00A86562"/>
    <w:rsid w:val="00A866FA"/>
    <w:rsid w:val="00A92959"/>
    <w:rsid w:val="00A9457D"/>
    <w:rsid w:val="00A94EC5"/>
    <w:rsid w:val="00A96405"/>
    <w:rsid w:val="00A97CB0"/>
    <w:rsid w:val="00AA08D5"/>
    <w:rsid w:val="00AA1E6A"/>
    <w:rsid w:val="00AA4F9F"/>
    <w:rsid w:val="00AA646E"/>
    <w:rsid w:val="00AA6769"/>
    <w:rsid w:val="00AA6D15"/>
    <w:rsid w:val="00AB09D8"/>
    <w:rsid w:val="00AB1FE4"/>
    <w:rsid w:val="00AB2137"/>
    <w:rsid w:val="00AB223F"/>
    <w:rsid w:val="00AB348B"/>
    <w:rsid w:val="00AB3900"/>
    <w:rsid w:val="00AB7215"/>
    <w:rsid w:val="00AC01BE"/>
    <w:rsid w:val="00AC23A9"/>
    <w:rsid w:val="00AC2F41"/>
    <w:rsid w:val="00AC4B80"/>
    <w:rsid w:val="00AC56C2"/>
    <w:rsid w:val="00AC5E19"/>
    <w:rsid w:val="00AC5F83"/>
    <w:rsid w:val="00AC6B4D"/>
    <w:rsid w:val="00AC6E53"/>
    <w:rsid w:val="00AD1B84"/>
    <w:rsid w:val="00AD26CA"/>
    <w:rsid w:val="00AD4D2C"/>
    <w:rsid w:val="00AD6881"/>
    <w:rsid w:val="00AD6D46"/>
    <w:rsid w:val="00AE337E"/>
    <w:rsid w:val="00AE35A4"/>
    <w:rsid w:val="00AE5C52"/>
    <w:rsid w:val="00AE6FEE"/>
    <w:rsid w:val="00AE7F9A"/>
    <w:rsid w:val="00AF045F"/>
    <w:rsid w:val="00AF0FA2"/>
    <w:rsid w:val="00AF0FDD"/>
    <w:rsid w:val="00B01CCC"/>
    <w:rsid w:val="00B02ED9"/>
    <w:rsid w:val="00B035A6"/>
    <w:rsid w:val="00B03F8D"/>
    <w:rsid w:val="00B04AC4"/>
    <w:rsid w:val="00B05B9A"/>
    <w:rsid w:val="00B05E74"/>
    <w:rsid w:val="00B072B5"/>
    <w:rsid w:val="00B124E4"/>
    <w:rsid w:val="00B12AFC"/>
    <w:rsid w:val="00B14A9B"/>
    <w:rsid w:val="00B14CFD"/>
    <w:rsid w:val="00B16267"/>
    <w:rsid w:val="00B166F4"/>
    <w:rsid w:val="00B16D9A"/>
    <w:rsid w:val="00B17A9D"/>
    <w:rsid w:val="00B20627"/>
    <w:rsid w:val="00B21A77"/>
    <w:rsid w:val="00B21C2F"/>
    <w:rsid w:val="00B21D1E"/>
    <w:rsid w:val="00B22853"/>
    <w:rsid w:val="00B240D3"/>
    <w:rsid w:val="00B2618F"/>
    <w:rsid w:val="00B2764E"/>
    <w:rsid w:val="00B30211"/>
    <w:rsid w:val="00B304D5"/>
    <w:rsid w:val="00B30E77"/>
    <w:rsid w:val="00B33838"/>
    <w:rsid w:val="00B33F27"/>
    <w:rsid w:val="00B35F80"/>
    <w:rsid w:val="00B3698E"/>
    <w:rsid w:val="00B3755D"/>
    <w:rsid w:val="00B37F96"/>
    <w:rsid w:val="00B41697"/>
    <w:rsid w:val="00B41865"/>
    <w:rsid w:val="00B419C6"/>
    <w:rsid w:val="00B42313"/>
    <w:rsid w:val="00B4411D"/>
    <w:rsid w:val="00B4432B"/>
    <w:rsid w:val="00B456CC"/>
    <w:rsid w:val="00B4757A"/>
    <w:rsid w:val="00B47782"/>
    <w:rsid w:val="00B478EF"/>
    <w:rsid w:val="00B504E9"/>
    <w:rsid w:val="00B51BAD"/>
    <w:rsid w:val="00B523E0"/>
    <w:rsid w:val="00B5416A"/>
    <w:rsid w:val="00B5629D"/>
    <w:rsid w:val="00B56551"/>
    <w:rsid w:val="00B57AE9"/>
    <w:rsid w:val="00B57C17"/>
    <w:rsid w:val="00B62592"/>
    <w:rsid w:val="00B638BD"/>
    <w:rsid w:val="00B63B7B"/>
    <w:rsid w:val="00B65EB5"/>
    <w:rsid w:val="00B66537"/>
    <w:rsid w:val="00B66632"/>
    <w:rsid w:val="00B7152F"/>
    <w:rsid w:val="00B71E03"/>
    <w:rsid w:val="00B72CEC"/>
    <w:rsid w:val="00B764A2"/>
    <w:rsid w:val="00B76E9D"/>
    <w:rsid w:val="00B776D8"/>
    <w:rsid w:val="00B777A2"/>
    <w:rsid w:val="00B80707"/>
    <w:rsid w:val="00B87675"/>
    <w:rsid w:val="00B9485E"/>
    <w:rsid w:val="00B94D33"/>
    <w:rsid w:val="00B95043"/>
    <w:rsid w:val="00B9515C"/>
    <w:rsid w:val="00B9559F"/>
    <w:rsid w:val="00B95BA6"/>
    <w:rsid w:val="00BA0B2E"/>
    <w:rsid w:val="00BA2562"/>
    <w:rsid w:val="00BA2760"/>
    <w:rsid w:val="00BA3026"/>
    <w:rsid w:val="00BA3EFF"/>
    <w:rsid w:val="00BA4972"/>
    <w:rsid w:val="00BA51BF"/>
    <w:rsid w:val="00BA5FE7"/>
    <w:rsid w:val="00BB0916"/>
    <w:rsid w:val="00BB1028"/>
    <w:rsid w:val="00BB1C24"/>
    <w:rsid w:val="00BB2F95"/>
    <w:rsid w:val="00BB301C"/>
    <w:rsid w:val="00BB318F"/>
    <w:rsid w:val="00BB3F67"/>
    <w:rsid w:val="00BB4A6E"/>
    <w:rsid w:val="00BB74E2"/>
    <w:rsid w:val="00BB7EEE"/>
    <w:rsid w:val="00BC0005"/>
    <w:rsid w:val="00BC3DAE"/>
    <w:rsid w:val="00BC489D"/>
    <w:rsid w:val="00BC5C10"/>
    <w:rsid w:val="00BC6774"/>
    <w:rsid w:val="00BC6EEF"/>
    <w:rsid w:val="00BC7980"/>
    <w:rsid w:val="00BD0FF0"/>
    <w:rsid w:val="00BD19C1"/>
    <w:rsid w:val="00BD1AEA"/>
    <w:rsid w:val="00BD37CF"/>
    <w:rsid w:val="00BD3C5A"/>
    <w:rsid w:val="00BD4D43"/>
    <w:rsid w:val="00BD5539"/>
    <w:rsid w:val="00BD55F5"/>
    <w:rsid w:val="00BD5A32"/>
    <w:rsid w:val="00BD662B"/>
    <w:rsid w:val="00BE0CA9"/>
    <w:rsid w:val="00BE0D5C"/>
    <w:rsid w:val="00BE10CD"/>
    <w:rsid w:val="00BE4F53"/>
    <w:rsid w:val="00BE65E4"/>
    <w:rsid w:val="00BE6C0F"/>
    <w:rsid w:val="00BE75C0"/>
    <w:rsid w:val="00BF0AA7"/>
    <w:rsid w:val="00BF1A81"/>
    <w:rsid w:val="00BF2F97"/>
    <w:rsid w:val="00BF3A9E"/>
    <w:rsid w:val="00BF568F"/>
    <w:rsid w:val="00BF6B49"/>
    <w:rsid w:val="00C00765"/>
    <w:rsid w:val="00C04BD6"/>
    <w:rsid w:val="00C06287"/>
    <w:rsid w:val="00C10A17"/>
    <w:rsid w:val="00C13A9E"/>
    <w:rsid w:val="00C13E4E"/>
    <w:rsid w:val="00C16873"/>
    <w:rsid w:val="00C20D5E"/>
    <w:rsid w:val="00C23583"/>
    <w:rsid w:val="00C23A38"/>
    <w:rsid w:val="00C23C8D"/>
    <w:rsid w:val="00C30352"/>
    <w:rsid w:val="00C303C0"/>
    <w:rsid w:val="00C31965"/>
    <w:rsid w:val="00C32287"/>
    <w:rsid w:val="00C33B8C"/>
    <w:rsid w:val="00C33D6F"/>
    <w:rsid w:val="00C34E8B"/>
    <w:rsid w:val="00C36375"/>
    <w:rsid w:val="00C36C67"/>
    <w:rsid w:val="00C4066A"/>
    <w:rsid w:val="00C40D0E"/>
    <w:rsid w:val="00C4294A"/>
    <w:rsid w:val="00C44321"/>
    <w:rsid w:val="00C446BC"/>
    <w:rsid w:val="00C44741"/>
    <w:rsid w:val="00C469FC"/>
    <w:rsid w:val="00C52F13"/>
    <w:rsid w:val="00C53A30"/>
    <w:rsid w:val="00C546B1"/>
    <w:rsid w:val="00C55F9A"/>
    <w:rsid w:val="00C5674F"/>
    <w:rsid w:val="00C56BAB"/>
    <w:rsid w:val="00C56FA3"/>
    <w:rsid w:val="00C57C6F"/>
    <w:rsid w:val="00C60D05"/>
    <w:rsid w:val="00C60D92"/>
    <w:rsid w:val="00C611FB"/>
    <w:rsid w:val="00C61A1F"/>
    <w:rsid w:val="00C65930"/>
    <w:rsid w:val="00C66960"/>
    <w:rsid w:val="00C67DF3"/>
    <w:rsid w:val="00C7152C"/>
    <w:rsid w:val="00C740E6"/>
    <w:rsid w:val="00C75AB0"/>
    <w:rsid w:val="00C77820"/>
    <w:rsid w:val="00C801E5"/>
    <w:rsid w:val="00C8256A"/>
    <w:rsid w:val="00C82AA4"/>
    <w:rsid w:val="00C8305C"/>
    <w:rsid w:val="00C86220"/>
    <w:rsid w:val="00C90857"/>
    <w:rsid w:val="00C91595"/>
    <w:rsid w:val="00C95691"/>
    <w:rsid w:val="00CA151E"/>
    <w:rsid w:val="00CA1ECD"/>
    <w:rsid w:val="00CA29D5"/>
    <w:rsid w:val="00CA4988"/>
    <w:rsid w:val="00CA4C7F"/>
    <w:rsid w:val="00CA5131"/>
    <w:rsid w:val="00CA6E97"/>
    <w:rsid w:val="00CA7DA2"/>
    <w:rsid w:val="00CB1D03"/>
    <w:rsid w:val="00CB3091"/>
    <w:rsid w:val="00CB6275"/>
    <w:rsid w:val="00CC025A"/>
    <w:rsid w:val="00CC02CE"/>
    <w:rsid w:val="00CC1180"/>
    <w:rsid w:val="00CC1283"/>
    <w:rsid w:val="00CC6FD7"/>
    <w:rsid w:val="00CC702E"/>
    <w:rsid w:val="00CD0FA4"/>
    <w:rsid w:val="00CE097B"/>
    <w:rsid w:val="00CE310C"/>
    <w:rsid w:val="00CE3C3F"/>
    <w:rsid w:val="00CE42F5"/>
    <w:rsid w:val="00CE4D1C"/>
    <w:rsid w:val="00CF396E"/>
    <w:rsid w:val="00CF481D"/>
    <w:rsid w:val="00CF53EB"/>
    <w:rsid w:val="00CF54B9"/>
    <w:rsid w:val="00CF557D"/>
    <w:rsid w:val="00CF5974"/>
    <w:rsid w:val="00CF7AE8"/>
    <w:rsid w:val="00D01FE0"/>
    <w:rsid w:val="00D03799"/>
    <w:rsid w:val="00D03866"/>
    <w:rsid w:val="00D0608D"/>
    <w:rsid w:val="00D068D2"/>
    <w:rsid w:val="00D06E87"/>
    <w:rsid w:val="00D06EFC"/>
    <w:rsid w:val="00D07800"/>
    <w:rsid w:val="00D1197E"/>
    <w:rsid w:val="00D11A9B"/>
    <w:rsid w:val="00D1619E"/>
    <w:rsid w:val="00D16DB7"/>
    <w:rsid w:val="00D17D7C"/>
    <w:rsid w:val="00D17E89"/>
    <w:rsid w:val="00D2073A"/>
    <w:rsid w:val="00D21810"/>
    <w:rsid w:val="00D221CF"/>
    <w:rsid w:val="00D22565"/>
    <w:rsid w:val="00D257F4"/>
    <w:rsid w:val="00D259BE"/>
    <w:rsid w:val="00D31CA4"/>
    <w:rsid w:val="00D32773"/>
    <w:rsid w:val="00D3387F"/>
    <w:rsid w:val="00D33DA7"/>
    <w:rsid w:val="00D3403C"/>
    <w:rsid w:val="00D36361"/>
    <w:rsid w:val="00D37F32"/>
    <w:rsid w:val="00D40B0D"/>
    <w:rsid w:val="00D43086"/>
    <w:rsid w:val="00D44268"/>
    <w:rsid w:val="00D45B6D"/>
    <w:rsid w:val="00D46B2C"/>
    <w:rsid w:val="00D472B2"/>
    <w:rsid w:val="00D472D8"/>
    <w:rsid w:val="00D53781"/>
    <w:rsid w:val="00D55D14"/>
    <w:rsid w:val="00D56FF4"/>
    <w:rsid w:val="00D60188"/>
    <w:rsid w:val="00D621D8"/>
    <w:rsid w:val="00D63FFB"/>
    <w:rsid w:val="00D6424A"/>
    <w:rsid w:val="00D661C6"/>
    <w:rsid w:val="00D666B4"/>
    <w:rsid w:val="00D6724F"/>
    <w:rsid w:val="00D71AAB"/>
    <w:rsid w:val="00D73860"/>
    <w:rsid w:val="00D74036"/>
    <w:rsid w:val="00D7657C"/>
    <w:rsid w:val="00D768F3"/>
    <w:rsid w:val="00D808EE"/>
    <w:rsid w:val="00D856C5"/>
    <w:rsid w:val="00D91449"/>
    <w:rsid w:val="00D92511"/>
    <w:rsid w:val="00D92A6B"/>
    <w:rsid w:val="00D92BA8"/>
    <w:rsid w:val="00D93663"/>
    <w:rsid w:val="00D93771"/>
    <w:rsid w:val="00D94097"/>
    <w:rsid w:val="00D9424C"/>
    <w:rsid w:val="00DA07FB"/>
    <w:rsid w:val="00DA1786"/>
    <w:rsid w:val="00DA2A63"/>
    <w:rsid w:val="00DA5293"/>
    <w:rsid w:val="00DA52E6"/>
    <w:rsid w:val="00DA7DA7"/>
    <w:rsid w:val="00DB0CB2"/>
    <w:rsid w:val="00DB21C3"/>
    <w:rsid w:val="00DB3960"/>
    <w:rsid w:val="00DB4295"/>
    <w:rsid w:val="00DB5E27"/>
    <w:rsid w:val="00DB6270"/>
    <w:rsid w:val="00DC1141"/>
    <w:rsid w:val="00DC3122"/>
    <w:rsid w:val="00DC5CDD"/>
    <w:rsid w:val="00DC6C26"/>
    <w:rsid w:val="00DD178D"/>
    <w:rsid w:val="00DD3EFB"/>
    <w:rsid w:val="00DD49B7"/>
    <w:rsid w:val="00DD557F"/>
    <w:rsid w:val="00DD60EE"/>
    <w:rsid w:val="00DD66F1"/>
    <w:rsid w:val="00DD7819"/>
    <w:rsid w:val="00DE1D4F"/>
    <w:rsid w:val="00DE42E9"/>
    <w:rsid w:val="00DE55E6"/>
    <w:rsid w:val="00DF6FF1"/>
    <w:rsid w:val="00E00778"/>
    <w:rsid w:val="00E01DD3"/>
    <w:rsid w:val="00E029C6"/>
    <w:rsid w:val="00E04482"/>
    <w:rsid w:val="00E049AD"/>
    <w:rsid w:val="00E04DC3"/>
    <w:rsid w:val="00E07040"/>
    <w:rsid w:val="00E07968"/>
    <w:rsid w:val="00E14548"/>
    <w:rsid w:val="00E17F3B"/>
    <w:rsid w:val="00E206D5"/>
    <w:rsid w:val="00E2267F"/>
    <w:rsid w:val="00E25575"/>
    <w:rsid w:val="00E27C9F"/>
    <w:rsid w:val="00E30E4C"/>
    <w:rsid w:val="00E31548"/>
    <w:rsid w:val="00E32D5F"/>
    <w:rsid w:val="00E35DCF"/>
    <w:rsid w:val="00E455EE"/>
    <w:rsid w:val="00E46541"/>
    <w:rsid w:val="00E50494"/>
    <w:rsid w:val="00E50DCD"/>
    <w:rsid w:val="00E51E85"/>
    <w:rsid w:val="00E52966"/>
    <w:rsid w:val="00E5303B"/>
    <w:rsid w:val="00E53464"/>
    <w:rsid w:val="00E54292"/>
    <w:rsid w:val="00E555FB"/>
    <w:rsid w:val="00E55C90"/>
    <w:rsid w:val="00E56811"/>
    <w:rsid w:val="00E56C47"/>
    <w:rsid w:val="00E56E0D"/>
    <w:rsid w:val="00E5790D"/>
    <w:rsid w:val="00E57E07"/>
    <w:rsid w:val="00E6139F"/>
    <w:rsid w:val="00E61612"/>
    <w:rsid w:val="00E61E1E"/>
    <w:rsid w:val="00E62046"/>
    <w:rsid w:val="00E62387"/>
    <w:rsid w:val="00E6247D"/>
    <w:rsid w:val="00E64B3B"/>
    <w:rsid w:val="00E65484"/>
    <w:rsid w:val="00E660ED"/>
    <w:rsid w:val="00E66142"/>
    <w:rsid w:val="00E705CB"/>
    <w:rsid w:val="00E711D4"/>
    <w:rsid w:val="00E71A05"/>
    <w:rsid w:val="00E74AA3"/>
    <w:rsid w:val="00E74B01"/>
    <w:rsid w:val="00E74B6C"/>
    <w:rsid w:val="00E74BEE"/>
    <w:rsid w:val="00E7799F"/>
    <w:rsid w:val="00E80658"/>
    <w:rsid w:val="00E832A9"/>
    <w:rsid w:val="00E85337"/>
    <w:rsid w:val="00E90B9D"/>
    <w:rsid w:val="00E913BF"/>
    <w:rsid w:val="00E91A1D"/>
    <w:rsid w:val="00E91C38"/>
    <w:rsid w:val="00E9202F"/>
    <w:rsid w:val="00E923F1"/>
    <w:rsid w:val="00E92911"/>
    <w:rsid w:val="00E92A56"/>
    <w:rsid w:val="00E95042"/>
    <w:rsid w:val="00EA2755"/>
    <w:rsid w:val="00EA3659"/>
    <w:rsid w:val="00EA67B0"/>
    <w:rsid w:val="00EA7F2E"/>
    <w:rsid w:val="00EB3D8A"/>
    <w:rsid w:val="00EB4A3F"/>
    <w:rsid w:val="00EB4AF9"/>
    <w:rsid w:val="00EB711D"/>
    <w:rsid w:val="00EC0DC6"/>
    <w:rsid w:val="00EC211A"/>
    <w:rsid w:val="00EC5EA4"/>
    <w:rsid w:val="00EC6BB1"/>
    <w:rsid w:val="00EC7FC8"/>
    <w:rsid w:val="00ED2536"/>
    <w:rsid w:val="00ED2884"/>
    <w:rsid w:val="00ED3087"/>
    <w:rsid w:val="00ED3936"/>
    <w:rsid w:val="00ED59DE"/>
    <w:rsid w:val="00ED6F84"/>
    <w:rsid w:val="00ED7C7B"/>
    <w:rsid w:val="00ED7DFD"/>
    <w:rsid w:val="00EE0E84"/>
    <w:rsid w:val="00EE308D"/>
    <w:rsid w:val="00EE44C9"/>
    <w:rsid w:val="00EE540B"/>
    <w:rsid w:val="00EE5A66"/>
    <w:rsid w:val="00EF2769"/>
    <w:rsid w:val="00EF4D72"/>
    <w:rsid w:val="00EF4DF3"/>
    <w:rsid w:val="00EF4ED7"/>
    <w:rsid w:val="00EF6CE8"/>
    <w:rsid w:val="00EF794F"/>
    <w:rsid w:val="00EF7CD6"/>
    <w:rsid w:val="00F030A6"/>
    <w:rsid w:val="00F044AA"/>
    <w:rsid w:val="00F0799D"/>
    <w:rsid w:val="00F113D2"/>
    <w:rsid w:val="00F13F17"/>
    <w:rsid w:val="00F14AAA"/>
    <w:rsid w:val="00F16607"/>
    <w:rsid w:val="00F209D8"/>
    <w:rsid w:val="00F20CED"/>
    <w:rsid w:val="00F22709"/>
    <w:rsid w:val="00F241AE"/>
    <w:rsid w:val="00F25C4D"/>
    <w:rsid w:val="00F27ED1"/>
    <w:rsid w:val="00F313A9"/>
    <w:rsid w:val="00F31801"/>
    <w:rsid w:val="00F32562"/>
    <w:rsid w:val="00F32762"/>
    <w:rsid w:val="00F350EE"/>
    <w:rsid w:val="00F41127"/>
    <w:rsid w:val="00F4256E"/>
    <w:rsid w:val="00F451CF"/>
    <w:rsid w:val="00F46297"/>
    <w:rsid w:val="00F46D30"/>
    <w:rsid w:val="00F474CA"/>
    <w:rsid w:val="00F47983"/>
    <w:rsid w:val="00F47ADA"/>
    <w:rsid w:val="00F47E9B"/>
    <w:rsid w:val="00F5172B"/>
    <w:rsid w:val="00F531CC"/>
    <w:rsid w:val="00F53655"/>
    <w:rsid w:val="00F53AA6"/>
    <w:rsid w:val="00F5595D"/>
    <w:rsid w:val="00F56ED8"/>
    <w:rsid w:val="00F57B0A"/>
    <w:rsid w:val="00F6071E"/>
    <w:rsid w:val="00F61B0A"/>
    <w:rsid w:val="00F62323"/>
    <w:rsid w:val="00F62A2A"/>
    <w:rsid w:val="00F6358F"/>
    <w:rsid w:val="00F63623"/>
    <w:rsid w:val="00F63765"/>
    <w:rsid w:val="00F65284"/>
    <w:rsid w:val="00F66792"/>
    <w:rsid w:val="00F711FF"/>
    <w:rsid w:val="00F71512"/>
    <w:rsid w:val="00F74FA5"/>
    <w:rsid w:val="00F76037"/>
    <w:rsid w:val="00F770C6"/>
    <w:rsid w:val="00F77978"/>
    <w:rsid w:val="00F77E6A"/>
    <w:rsid w:val="00F81D93"/>
    <w:rsid w:val="00F830C5"/>
    <w:rsid w:val="00F86C62"/>
    <w:rsid w:val="00F91070"/>
    <w:rsid w:val="00F93164"/>
    <w:rsid w:val="00F940A3"/>
    <w:rsid w:val="00F9413F"/>
    <w:rsid w:val="00F94D1D"/>
    <w:rsid w:val="00F94D21"/>
    <w:rsid w:val="00FA11D0"/>
    <w:rsid w:val="00FA259C"/>
    <w:rsid w:val="00FA3F30"/>
    <w:rsid w:val="00FA406D"/>
    <w:rsid w:val="00FA4570"/>
    <w:rsid w:val="00FB05F5"/>
    <w:rsid w:val="00FB0BD6"/>
    <w:rsid w:val="00FB2BF7"/>
    <w:rsid w:val="00FB47E1"/>
    <w:rsid w:val="00FB4B9D"/>
    <w:rsid w:val="00FB6CA1"/>
    <w:rsid w:val="00FB7331"/>
    <w:rsid w:val="00FB7CE6"/>
    <w:rsid w:val="00FC19A6"/>
    <w:rsid w:val="00FC1D00"/>
    <w:rsid w:val="00FC3C87"/>
    <w:rsid w:val="00FC3F85"/>
    <w:rsid w:val="00FC5D80"/>
    <w:rsid w:val="00FC5FAD"/>
    <w:rsid w:val="00FC7330"/>
    <w:rsid w:val="00FC75E6"/>
    <w:rsid w:val="00FC7721"/>
    <w:rsid w:val="00FD084B"/>
    <w:rsid w:val="00FD27C0"/>
    <w:rsid w:val="00FD47F9"/>
    <w:rsid w:val="00FD4957"/>
    <w:rsid w:val="00FD6933"/>
    <w:rsid w:val="00FD796A"/>
    <w:rsid w:val="00FE0174"/>
    <w:rsid w:val="00FE1536"/>
    <w:rsid w:val="00FE25EE"/>
    <w:rsid w:val="00FE4491"/>
    <w:rsid w:val="00FE4904"/>
    <w:rsid w:val="00FE61B7"/>
    <w:rsid w:val="00FE7B61"/>
    <w:rsid w:val="00FF0F45"/>
    <w:rsid w:val="00FF2D07"/>
    <w:rsid w:val="00FF6431"/>
    <w:rsid w:val="00FF6C66"/>
    <w:rsid w:val="00FF6C99"/>
    <w:rsid w:val="00FF7179"/>
    <w:rsid w:val="00FF7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B70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6A"/>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1864F1"/>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1864F1"/>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1E7728"/>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53331F"/>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53331F"/>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iPriority w:val="99"/>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1E7728"/>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30E3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30E3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8E0AE1"/>
    <w:pPr>
      <w:numPr>
        <w:numId w:val="76"/>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FD4957"/>
    <w:pPr>
      <w:spacing w:before="80" w:after="80" w:line="280" w:lineRule="atLeast"/>
    </w:pPr>
    <w:rPr>
      <w:rFonts w:ascii="Franklin Gothic Book" w:eastAsia="Times New Roman" w:hAnsi="Franklin Gothic Book"/>
      <w:iCs/>
      <w:szCs w:val="22"/>
    </w:rPr>
  </w:style>
  <w:style w:type="character" w:customStyle="1" w:styleId="BoxTextChar">
    <w:name w:val="Box Text Char"/>
    <w:link w:val="BoxText"/>
    <w:rsid w:val="00FD4957"/>
    <w:rPr>
      <w:rFonts w:ascii="Franklin Gothic Book" w:eastAsia="Times New Roman" w:hAnsi="Franklin Gothic Book" w:cs="Times New Roman"/>
      <w:iCs/>
      <w:sz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A54FF3"/>
    <w:pPr>
      <w:spacing w:before="180" w:after="0" w:line="220" w:lineRule="atLeast"/>
    </w:pPr>
    <w:rPr>
      <w:b/>
      <w:color w:val="000000"/>
    </w:rPr>
  </w:style>
  <w:style w:type="paragraph" w:customStyle="1" w:styleId="BoxHeading2">
    <w:name w:val="Box Heading 2"/>
    <w:basedOn w:val="BoxHeading1"/>
    <w:next w:val="BoxText"/>
    <w:rsid w:val="0050529F"/>
    <w:pPr>
      <w:spacing w:before="140"/>
    </w:pPr>
    <w:rPr>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aliases w:val="List Paragraph1,List Paragraph11,List Paragraph2,Bulit List -  Paragraph"/>
    <w:basedOn w:val="BodyText"/>
    <w:next w:val="BodyText"/>
    <w:link w:val="ListParagraphChar"/>
    <w:uiPriority w:val="34"/>
    <w:qFormat/>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FD4957"/>
    <w:pPr>
      <w:spacing w:before="0" w:line="240" w:lineRule="atLeast"/>
    </w:pPr>
    <w:rPr>
      <w:i/>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1E7728"/>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352B18"/>
    <w:pPr>
      <w:spacing w:after="0"/>
      <w:contextualSpacing/>
    </w:pPr>
    <w:rPr>
      <w:sz w:val="16"/>
      <w:szCs w:val="20"/>
    </w:rPr>
  </w:style>
  <w:style w:type="character" w:customStyle="1" w:styleId="FootnoteTextChar">
    <w:name w:val="Footnote Text Char"/>
    <w:basedOn w:val="DefaultParagraphFont"/>
    <w:link w:val="FootnoteText"/>
    <w:uiPriority w:val="99"/>
    <w:rsid w:val="00352B18"/>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rsid w:val="00F77E6A"/>
    <w:rPr>
      <w:rFonts w:ascii="Times New Roman" w:hAnsi="Times New Roman"/>
      <w:w w:val="100"/>
      <w:position w:val="6"/>
      <w:sz w:val="16"/>
      <w:szCs w:val="12"/>
      <w:vertAlign w:val="baseline"/>
    </w:rPr>
  </w:style>
  <w:style w:type="paragraph" w:styleId="NormalWeb">
    <w:name w:val="Normal (Web)"/>
    <w:basedOn w:val="Normal"/>
    <w:uiPriority w:val="99"/>
    <w:unhideWhenUsed/>
    <w:rsid w:val="00BB301C"/>
    <w:pPr>
      <w:spacing w:before="100" w:beforeAutospacing="1" w:after="100" w:afterAutospacing="1"/>
    </w:pPr>
    <w:rPr>
      <w:rFonts w:eastAsia="Times New Roman"/>
      <w:sz w:val="24"/>
    </w:rPr>
  </w:style>
  <w:style w:type="table" w:styleId="MediumList1-Accent1">
    <w:name w:val="Medium List 1 Accent 1"/>
    <w:basedOn w:val="TableNormal"/>
    <w:uiPriority w:val="65"/>
    <w:rsid w:val="00F044AA"/>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dotpointtable">
    <w:name w:val="dot point table"/>
    <w:basedOn w:val="Normal"/>
    <w:qFormat/>
    <w:rsid w:val="002544E6"/>
    <w:pPr>
      <w:numPr>
        <w:ilvl w:val="1"/>
        <w:numId w:val="26"/>
      </w:numPr>
      <w:spacing w:before="60" w:after="60"/>
    </w:pPr>
    <w:rPr>
      <w:color w:val="000000"/>
      <w:sz w:val="24"/>
      <w:lang w:eastAsia="zh-CN"/>
    </w:rPr>
  </w:style>
  <w:style w:type="paragraph" w:customStyle="1" w:styleId="dashpoint">
    <w:name w:val="dash point"/>
    <w:basedOn w:val="Normal"/>
    <w:autoRedefine/>
    <w:qFormat/>
    <w:rsid w:val="002544E6"/>
    <w:pPr>
      <w:numPr>
        <w:numId w:val="26"/>
      </w:numPr>
      <w:spacing w:before="120" w:after="120"/>
    </w:pPr>
    <w:rPr>
      <w:color w:val="000000"/>
      <w:sz w:val="24"/>
      <w:lang w:eastAsia="zh-CN"/>
    </w:rPr>
  </w:style>
  <w:style w:type="character" w:customStyle="1" w:styleId="ListParagraphChar">
    <w:name w:val="List Paragraph Char"/>
    <w:aliases w:val="List Paragraph1 Char,Recommendation Char,List Paragraph11 Char,List Paragraph2 Char,Bulit List -  Paragraph Char"/>
    <w:link w:val="Recommendation"/>
    <w:locked/>
    <w:rsid w:val="004D2F7F"/>
    <w:rPr>
      <w:rFonts w:ascii="Times New Roman" w:eastAsia="MS Mincho" w:hAnsi="Times New Roman" w:cs="MS Mincho"/>
      <w:b/>
      <w:szCs w:val="24"/>
    </w:rPr>
  </w:style>
  <w:style w:type="paragraph" w:customStyle="1" w:styleId="Default">
    <w:name w:val="Default"/>
    <w:rsid w:val="00BC489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794D5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bledotpoint">
    <w:name w:val="double dot point"/>
    <w:basedOn w:val="dotpointtable"/>
    <w:autoRedefine/>
    <w:qFormat/>
    <w:rsid w:val="00B2618F"/>
    <w:pPr>
      <w:framePr w:hSpace="180" w:wrap="around" w:vAnchor="text" w:hAnchor="text" w:y="1"/>
      <w:numPr>
        <w:ilvl w:val="0"/>
        <w:numId w:val="0"/>
      </w:numPr>
      <w:tabs>
        <w:tab w:val="num" w:pos="1077"/>
        <w:tab w:val="num" w:pos="2160"/>
      </w:tabs>
      <w:ind w:left="2160" w:hanging="360"/>
      <w:suppressOverlap/>
    </w:pPr>
  </w:style>
  <w:style w:type="paragraph" w:styleId="Index1">
    <w:name w:val="index 1"/>
    <w:basedOn w:val="Normal"/>
    <w:next w:val="Normal"/>
    <w:autoRedefine/>
    <w:uiPriority w:val="99"/>
    <w:unhideWhenUsed/>
    <w:rsid w:val="002867DE"/>
    <w:pPr>
      <w:ind w:left="200" w:hanging="200"/>
    </w:pPr>
    <w:rPr>
      <w:rFonts w:asciiTheme="minorHAnsi" w:hAnsiTheme="minorHAnsi"/>
      <w:szCs w:val="20"/>
    </w:rPr>
  </w:style>
  <w:style w:type="paragraph" w:styleId="Index2">
    <w:name w:val="index 2"/>
    <w:basedOn w:val="Normal"/>
    <w:next w:val="Normal"/>
    <w:autoRedefine/>
    <w:uiPriority w:val="99"/>
    <w:unhideWhenUsed/>
    <w:rsid w:val="002867DE"/>
    <w:pPr>
      <w:ind w:left="400" w:hanging="200"/>
    </w:pPr>
    <w:rPr>
      <w:rFonts w:asciiTheme="minorHAnsi" w:hAnsiTheme="minorHAnsi"/>
      <w:szCs w:val="20"/>
    </w:rPr>
  </w:style>
  <w:style w:type="paragraph" w:styleId="Index3">
    <w:name w:val="index 3"/>
    <w:basedOn w:val="Normal"/>
    <w:next w:val="Normal"/>
    <w:autoRedefine/>
    <w:uiPriority w:val="99"/>
    <w:unhideWhenUsed/>
    <w:rsid w:val="00F531CC"/>
    <w:pPr>
      <w:ind w:left="600" w:hanging="200"/>
    </w:pPr>
    <w:rPr>
      <w:rFonts w:asciiTheme="minorHAnsi" w:hAnsiTheme="minorHAnsi"/>
      <w:szCs w:val="20"/>
    </w:rPr>
  </w:style>
  <w:style w:type="paragraph" w:styleId="Index4">
    <w:name w:val="index 4"/>
    <w:basedOn w:val="Normal"/>
    <w:next w:val="Normal"/>
    <w:autoRedefine/>
    <w:uiPriority w:val="99"/>
    <w:unhideWhenUsed/>
    <w:rsid w:val="00F531CC"/>
    <w:pPr>
      <w:ind w:left="800" w:hanging="200"/>
    </w:pPr>
    <w:rPr>
      <w:rFonts w:asciiTheme="minorHAnsi" w:hAnsiTheme="minorHAnsi"/>
      <w:szCs w:val="20"/>
    </w:rPr>
  </w:style>
  <w:style w:type="paragraph" w:styleId="Index5">
    <w:name w:val="index 5"/>
    <w:basedOn w:val="Normal"/>
    <w:next w:val="Normal"/>
    <w:autoRedefine/>
    <w:uiPriority w:val="99"/>
    <w:unhideWhenUsed/>
    <w:rsid w:val="00F531CC"/>
    <w:pPr>
      <w:ind w:left="1000" w:hanging="200"/>
    </w:pPr>
    <w:rPr>
      <w:rFonts w:asciiTheme="minorHAnsi" w:hAnsiTheme="minorHAnsi"/>
      <w:szCs w:val="20"/>
    </w:rPr>
  </w:style>
  <w:style w:type="paragraph" w:styleId="Index6">
    <w:name w:val="index 6"/>
    <w:basedOn w:val="Normal"/>
    <w:next w:val="Normal"/>
    <w:autoRedefine/>
    <w:uiPriority w:val="99"/>
    <w:unhideWhenUsed/>
    <w:rsid w:val="00F531CC"/>
    <w:pPr>
      <w:ind w:left="1200" w:hanging="200"/>
    </w:pPr>
    <w:rPr>
      <w:rFonts w:asciiTheme="minorHAnsi" w:hAnsiTheme="minorHAnsi"/>
      <w:szCs w:val="20"/>
    </w:rPr>
  </w:style>
  <w:style w:type="paragraph" w:styleId="Index7">
    <w:name w:val="index 7"/>
    <w:basedOn w:val="Normal"/>
    <w:next w:val="Normal"/>
    <w:autoRedefine/>
    <w:uiPriority w:val="99"/>
    <w:unhideWhenUsed/>
    <w:rsid w:val="00F531CC"/>
    <w:pPr>
      <w:ind w:left="1400" w:hanging="200"/>
    </w:pPr>
    <w:rPr>
      <w:rFonts w:asciiTheme="minorHAnsi" w:hAnsiTheme="minorHAnsi"/>
      <w:szCs w:val="20"/>
    </w:rPr>
  </w:style>
  <w:style w:type="paragraph" w:styleId="Index8">
    <w:name w:val="index 8"/>
    <w:basedOn w:val="Normal"/>
    <w:next w:val="Normal"/>
    <w:autoRedefine/>
    <w:uiPriority w:val="99"/>
    <w:unhideWhenUsed/>
    <w:rsid w:val="00F531CC"/>
    <w:pPr>
      <w:ind w:left="1600" w:hanging="200"/>
    </w:pPr>
    <w:rPr>
      <w:rFonts w:asciiTheme="minorHAnsi" w:hAnsiTheme="minorHAnsi"/>
      <w:szCs w:val="20"/>
    </w:rPr>
  </w:style>
  <w:style w:type="paragraph" w:styleId="Index9">
    <w:name w:val="index 9"/>
    <w:basedOn w:val="Normal"/>
    <w:next w:val="Normal"/>
    <w:autoRedefine/>
    <w:uiPriority w:val="99"/>
    <w:unhideWhenUsed/>
    <w:rsid w:val="00F531CC"/>
    <w:pPr>
      <w:ind w:left="1800" w:hanging="200"/>
    </w:pPr>
    <w:rPr>
      <w:rFonts w:asciiTheme="minorHAnsi" w:hAnsiTheme="minorHAnsi"/>
      <w:szCs w:val="20"/>
    </w:rPr>
  </w:style>
  <w:style w:type="paragraph" w:styleId="IndexHeading">
    <w:name w:val="index heading"/>
    <w:basedOn w:val="Normal"/>
    <w:next w:val="Index1"/>
    <w:uiPriority w:val="99"/>
    <w:unhideWhenUsed/>
    <w:rsid w:val="00F531CC"/>
    <w:rPr>
      <w:rFonts w:asciiTheme="minorHAnsi" w:hAnsiTheme="minorHAnsi"/>
      <w:szCs w:val="20"/>
    </w:rPr>
  </w:style>
  <w:style w:type="character" w:styleId="Strong">
    <w:name w:val="Strong"/>
    <w:basedOn w:val="DefaultParagraphFont"/>
    <w:uiPriority w:val="22"/>
    <w:qFormat/>
    <w:rsid w:val="002D202C"/>
    <w:rPr>
      <w:b/>
      <w:bCs/>
    </w:rPr>
  </w:style>
  <w:style w:type="table" w:customStyle="1" w:styleId="TableGrid2">
    <w:name w:val="Table Grid2"/>
    <w:basedOn w:val="TableNormal"/>
    <w:next w:val="TableGrid"/>
    <w:uiPriority w:val="59"/>
    <w:rsid w:val="00447D0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6A"/>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1864F1"/>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1864F1"/>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1E7728"/>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53331F"/>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53331F"/>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iPriority w:val="99"/>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1E7728"/>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30E3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30E3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8E0AE1"/>
    <w:pPr>
      <w:numPr>
        <w:numId w:val="76"/>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FD4957"/>
    <w:pPr>
      <w:spacing w:before="80" w:after="80" w:line="280" w:lineRule="atLeast"/>
    </w:pPr>
    <w:rPr>
      <w:rFonts w:ascii="Franklin Gothic Book" w:eastAsia="Times New Roman" w:hAnsi="Franklin Gothic Book"/>
      <w:iCs/>
      <w:szCs w:val="22"/>
    </w:rPr>
  </w:style>
  <w:style w:type="character" w:customStyle="1" w:styleId="BoxTextChar">
    <w:name w:val="Box Text Char"/>
    <w:link w:val="BoxText"/>
    <w:rsid w:val="00FD4957"/>
    <w:rPr>
      <w:rFonts w:ascii="Franklin Gothic Book" w:eastAsia="Times New Roman" w:hAnsi="Franklin Gothic Book" w:cs="Times New Roman"/>
      <w:iCs/>
      <w:sz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A54FF3"/>
    <w:pPr>
      <w:spacing w:before="180" w:after="0" w:line="220" w:lineRule="atLeast"/>
    </w:pPr>
    <w:rPr>
      <w:b/>
      <w:color w:val="000000"/>
    </w:rPr>
  </w:style>
  <w:style w:type="paragraph" w:customStyle="1" w:styleId="BoxHeading2">
    <w:name w:val="Box Heading 2"/>
    <w:basedOn w:val="BoxHeading1"/>
    <w:next w:val="BoxText"/>
    <w:rsid w:val="0050529F"/>
    <w:pPr>
      <w:spacing w:before="140"/>
    </w:pPr>
    <w:rPr>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aliases w:val="List Paragraph1,List Paragraph11,List Paragraph2,Bulit List -  Paragraph"/>
    <w:basedOn w:val="BodyText"/>
    <w:next w:val="BodyText"/>
    <w:link w:val="ListParagraphChar"/>
    <w:uiPriority w:val="34"/>
    <w:qFormat/>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FD4957"/>
    <w:pPr>
      <w:spacing w:before="0" w:line="240" w:lineRule="atLeast"/>
    </w:pPr>
    <w:rPr>
      <w:i/>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1E7728"/>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352B18"/>
    <w:pPr>
      <w:spacing w:after="0"/>
      <w:contextualSpacing/>
    </w:pPr>
    <w:rPr>
      <w:sz w:val="16"/>
      <w:szCs w:val="20"/>
    </w:rPr>
  </w:style>
  <w:style w:type="character" w:customStyle="1" w:styleId="FootnoteTextChar">
    <w:name w:val="Footnote Text Char"/>
    <w:basedOn w:val="DefaultParagraphFont"/>
    <w:link w:val="FootnoteText"/>
    <w:uiPriority w:val="99"/>
    <w:rsid w:val="00352B18"/>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rsid w:val="00F77E6A"/>
    <w:rPr>
      <w:rFonts w:ascii="Times New Roman" w:hAnsi="Times New Roman"/>
      <w:w w:val="100"/>
      <w:position w:val="6"/>
      <w:sz w:val="16"/>
      <w:szCs w:val="12"/>
      <w:vertAlign w:val="baseline"/>
    </w:rPr>
  </w:style>
  <w:style w:type="paragraph" w:styleId="NormalWeb">
    <w:name w:val="Normal (Web)"/>
    <w:basedOn w:val="Normal"/>
    <w:uiPriority w:val="99"/>
    <w:unhideWhenUsed/>
    <w:rsid w:val="00BB301C"/>
    <w:pPr>
      <w:spacing w:before="100" w:beforeAutospacing="1" w:after="100" w:afterAutospacing="1"/>
    </w:pPr>
    <w:rPr>
      <w:rFonts w:eastAsia="Times New Roman"/>
      <w:sz w:val="24"/>
    </w:rPr>
  </w:style>
  <w:style w:type="table" w:styleId="MediumList1-Accent1">
    <w:name w:val="Medium List 1 Accent 1"/>
    <w:basedOn w:val="TableNormal"/>
    <w:uiPriority w:val="65"/>
    <w:rsid w:val="00F044AA"/>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dotpointtable">
    <w:name w:val="dot point table"/>
    <w:basedOn w:val="Normal"/>
    <w:qFormat/>
    <w:rsid w:val="002544E6"/>
    <w:pPr>
      <w:numPr>
        <w:ilvl w:val="1"/>
        <w:numId w:val="26"/>
      </w:numPr>
      <w:spacing w:before="60" w:after="60"/>
    </w:pPr>
    <w:rPr>
      <w:color w:val="000000"/>
      <w:sz w:val="24"/>
      <w:lang w:eastAsia="zh-CN"/>
    </w:rPr>
  </w:style>
  <w:style w:type="paragraph" w:customStyle="1" w:styleId="dashpoint">
    <w:name w:val="dash point"/>
    <w:basedOn w:val="Normal"/>
    <w:autoRedefine/>
    <w:qFormat/>
    <w:rsid w:val="002544E6"/>
    <w:pPr>
      <w:numPr>
        <w:numId w:val="26"/>
      </w:numPr>
      <w:spacing w:before="120" w:after="120"/>
    </w:pPr>
    <w:rPr>
      <w:color w:val="000000"/>
      <w:sz w:val="24"/>
      <w:lang w:eastAsia="zh-CN"/>
    </w:rPr>
  </w:style>
  <w:style w:type="character" w:customStyle="1" w:styleId="ListParagraphChar">
    <w:name w:val="List Paragraph Char"/>
    <w:aliases w:val="List Paragraph1 Char,Recommendation Char,List Paragraph11 Char,List Paragraph2 Char,Bulit List -  Paragraph Char"/>
    <w:link w:val="Recommendation"/>
    <w:locked/>
    <w:rsid w:val="004D2F7F"/>
    <w:rPr>
      <w:rFonts w:ascii="Times New Roman" w:eastAsia="MS Mincho" w:hAnsi="Times New Roman" w:cs="MS Mincho"/>
      <w:b/>
      <w:szCs w:val="24"/>
    </w:rPr>
  </w:style>
  <w:style w:type="paragraph" w:customStyle="1" w:styleId="Default">
    <w:name w:val="Default"/>
    <w:rsid w:val="00BC489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794D5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bledotpoint">
    <w:name w:val="double dot point"/>
    <w:basedOn w:val="dotpointtable"/>
    <w:autoRedefine/>
    <w:qFormat/>
    <w:rsid w:val="00B2618F"/>
    <w:pPr>
      <w:framePr w:hSpace="180" w:wrap="around" w:vAnchor="text" w:hAnchor="text" w:y="1"/>
      <w:numPr>
        <w:ilvl w:val="0"/>
        <w:numId w:val="0"/>
      </w:numPr>
      <w:tabs>
        <w:tab w:val="num" w:pos="1077"/>
        <w:tab w:val="num" w:pos="2160"/>
      </w:tabs>
      <w:ind w:left="2160" w:hanging="360"/>
      <w:suppressOverlap/>
    </w:pPr>
  </w:style>
  <w:style w:type="paragraph" w:styleId="Index1">
    <w:name w:val="index 1"/>
    <w:basedOn w:val="Normal"/>
    <w:next w:val="Normal"/>
    <w:autoRedefine/>
    <w:uiPriority w:val="99"/>
    <w:unhideWhenUsed/>
    <w:rsid w:val="002867DE"/>
    <w:pPr>
      <w:ind w:left="200" w:hanging="200"/>
    </w:pPr>
    <w:rPr>
      <w:rFonts w:asciiTheme="minorHAnsi" w:hAnsiTheme="minorHAnsi"/>
      <w:szCs w:val="20"/>
    </w:rPr>
  </w:style>
  <w:style w:type="paragraph" w:styleId="Index2">
    <w:name w:val="index 2"/>
    <w:basedOn w:val="Normal"/>
    <w:next w:val="Normal"/>
    <w:autoRedefine/>
    <w:uiPriority w:val="99"/>
    <w:unhideWhenUsed/>
    <w:rsid w:val="002867DE"/>
    <w:pPr>
      <w:ind w:left="400" w:hanging="200"/>
    </w:pPr>
    <w:rPr>
      <w:rFonts w:asciiTheme="minorHAnsi" w:hAnsiTheme="minorHAnsi"/>
      <w:szCs w:val="20"/>
    </w:rPr>
  </w:style>
  <w:style w:type="paragraph" w:styleId="Index3">
    <w:name w:val="index 3"/>
    <w:basedOn w:val="Normal"/>
    <w:next w:val="Normal"/>
    <w:autoRedefine/>
    <w:uiPriority w:val="99"/>
    <w:unhideWhenUsed/>
    <w:rsid w:val="00F531CC"/>
    <w:pPr>
      <w:ind w:left="600" w:hanging="200"/>
    </w:pPr>
    <w:rPr>
      <w:rFonts w:asciiTheme="minorHAnsi" w:hAnsiTheme="minorHAnsi"/>
      <w:szCs w:val="20"/>
    </w:rPr>
  </w:style>
  <w:style w:type="paragraph" w:styleId="Index4">
    <w:name w:val="index 4"/>
    <w:basedOn w:val="Normal"/>
    <w:next w:val="Normal"/>
    <w:autoRedefine/>
    <w:uiPriority w:val="99"/>
    <w:unhideWhenUsed/>
    <w:rsid w:val="00F531CC"/>
    <w:pPr>
      <w:ind w:left="800" w:hanging="200"/>
    </w:pPr>
    <w:rPr>
      <w:rFonts w:asciiTheme="minorHAnsi" w:hAnsiTheme="minorHAnsi"/>
      <w:szCs w:val="20"/>
    </w:rPr>
  </w:style>
  <w:style w:type="paragraph" w:styleId="Index5">
    <w:name w:val="index 5"/>
    <w:basedOn w:val="Normal"/>
    <w:next w:val="Normal"/>
    <w:autoRedefine/>
    <w:uiPriority w:val="99"/>
    <w:unhideWhenUsed/>
    <w:rsid w:val="00F531CC"/>
    <w:pPr>
      <w:ind w:left="1000" w:hanging="200"/>
    </w:pPr>
    <w:rPr>
      <w:rFonts w:asciiTheme="minorHAnsi" w:hAnsiTheme="minorHAnsi"/>
      <w:szCs w:val="20"/>
    </w:rPr>
  </w:style>
  <w:style w:type="paragraph" w:styleId="Index6">
    <w:name w:val="index 6"/>
    <w:basedOn w:val="Normal"/>
    <w:next w:val="Normal"/>
    <w:autoRedefine/>
    <w:uiPriority w:val="99"/>
    <w:unhideWhenUsed/>
    <w:rsid w:val="00F531CC"/>
    <w:pPr>
      <w:ind w:left="1200" w:hanging="200"/>
    </w:pPr>
    <w:rPr>
      <w:rFonts w:asciiTheme="minorHAnsi" w:hAnsiTheme="minorHAnsi"/>
      <w:szCs w:val="20"/>
    </w:rPr>
  </w:style>
  <w:style w:type="paragraph" w:styleId="Index7">
    <w:name w:val="index 7"/>
    <w:basedOn w:val="Normal"/>
    <w:next w:val="Normal"/>
    <w:autoRedefine/>
    <w:uiPriority w:val="99"/>
    <w:unhideWhenUsed/>
    <w:rsid w:val="00F531CC"/>
    <w:pPr>
      <w:ind w:left="1400" w:hanging="200"/>
    </w:pPr>
    <w:rPr>
      <w:rFonts w:asciiTheme="minorHAnsi" w:hAnsiTheme="minorHAnsi"/>
      <w:szCs w:val="20"/>
    </w:rPr>
  </w:style>
  <w:style w:type="paragraph" w:styleId="Index8">
    <w:name w:val="index 8"/>
    <w:basedOn w:val="Normal"/>
    <w:next w:val="Normal"/>
    <w:autoRedefine/>
    <w:uiPriority w:val="99"/>
    <w:unhideWhenUsed/>
    <w:rsid w:val="00F531CC"/>
    <w:pPr>
      <w:ind w:left="1600" w:hanging="200"/>
    </w:pPr>
    <w:rPr>
      <w:rFonts w:asciiTheme="minorHAnsi" w:hAnsiTheme="minorHAnsi"/>
      <w:szCs w:val="20"/>
    </w:rPr>
  </w:style>
  <w:style w:type="paragraph" w:styleId="Index9">
    <w:name w:val="index 9"/>
    <w:basedOn w:val="Normal"/>
    <w:next w:val="Normal"/>
    <w:autoRedefine/>
    <w:uiPriority w:val="99"/>
    <w:unhideWhenUsed/>
    <w:rsid w:val="00F531CC"/>
    <w:pPr>
      <w:ind w:left="1800" w:hanging="200"/>
    </w:pPr>
    <w:rPr>
      <w:rFonts w:asciiTheme="minorHAnsi" w:hAnsiTheme="minorHAnsi"/>
      <w:szCs w:val="20"/>
    </w:rPr>
  </w:style>
  <w:style w:type="paragraph" w:styleId="IndexHeading">
    <w:name w:val="index heading"/>
    <w:basedOn w:val="Normal"/>
    <w:next w:val="Index1"/>
    <w:uiPriority w:val="99"/>
    <w:unhideWhenUsed/>
    <w:rsid w:val="00F531CC"/>
    <w:rPr>
      <w:rFonts w:asciiTheme="minorHAnsi" w:hAnsiTheme="minorHAnsi"/>
      <w:szCs w:val="20"/>
    </w:rPr>
  </w:style>
  <w:style w:type="character" w:styleId="Strong">
    <w:name w:val="Strong"/>
    <w:basedOn w:val="DefaultParagraphFont"/>
    <w:uiPriority w:val="22"/>
    <w:qFormat/>
    <w:rsid w:val="002D202C"/>
    <w:rPr>
      <w:b/>
      <w:bCs/>
    </w:rPr>
  </w:style>
  <w:style w:type="table" w:customStyle="1" w:styleId="TableGrid2">
    <w:name w:val="Table Grid2"/>
    <w:basedOn w:val="TableNormal"/>
    <w:next w:val="TableGrid"/>
    <w:uiPriority w:val="59"/>
    <w:rsid w:val="00447D0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2893">
      <w:bodyDiv w:val="1"/>
      <w:marLeft w:val="0"/>
      <w:marRight w:val="0"/>
      <w:marTop w:val="0"/>
      <w:marBottom w:val="0"/>
      <w:divBdr>
        <w:top w:val="none" w:sz="0" w:space="0" w:color="auto"/>
        <w:left w:val="none" w:sz="0" w:space="0" w:color="auto"/>
        <w:bottom w:val="none" w:sz="0" w:space="0" w:color="auto"/>
        <w:right w:val="none" w:sz="0" w:space="0" w:color="auto"/>
      </w:divBdr>
      <w:divsChild>
        <w:div w:id="259338584">
          <w:marLeft w:val="0"/>
          <w:marRight w:val="0"/>
          <w:marTop w:val="0"/>
          <w:marBottom w:val="0"/>
          <w:divBdr>
            <w:top w:val="none" w:sz="0" w:space="0" w:color="auto"/>
            <w:left w:val="none" w:sz="0" w:space="0" w:color="auto"/>
            <w:bottom w:val="none" w:sz="0" w:space="0" w:color="auto"/>
            <w:right w:val="none" w:sz="0" w:space="0" w:color="auto"/>
          </w:divBdr>
          <w:divsChild>
            <w:div w:id="552540098">
              <w:marLeft w:val="0"/>
              <w:marRight w:val="0"/>
              <w:marTop w:val="0"/>
              <w:marBottom w:val="0"/>
              <w:divBdr>
                <w:top w:val="none" w:sz="0" w:space="0" w:color="auto"/>
                <w:left w:val="none" w:sz="0" w:space="0" w:color="auto"/>
                <w:bottom w:val="none" w:sz="0" w:space="0" w:color="auto"/>
                <w:right w:val="none" w:sz="0" w:space="0" w:color="auto"/>
              </w:divBdr>
              <w:divsChild>
                <w:div w:id="988944123">
                  <w:marLeft w:val="0"/>
                  <w:marRight w:val="0"/>
                  <w:marTop w:val="0"/>
                  <w:marBottom w:val="0"/>
                  <w:divBdr>
                    <w:top w:val="none" w:sz="0" w:space="0" w:color="auto"/>
                    <w:left w:val="none" w:sz="0" w:space="0" w:color="auto"/>
                    <w:bottom w:val="none" w:sz="0" w:space="0" w:color="auto"/>
                    <w:right w:val="none" w:sz="0" w:space="0" w:color="auto"/>
                  </w:divBdr>
                  <w:divsChild>
                    <w:div w:id="1453669368">
                      <w:marLeft w:val="0"/>
                      <w:marRight w:val="0"/>
                      <w:marTop w:val="0"/>
                      <w:marBottom w:val="0"/>
                      <w:divBdr>
                        <w:top w:val="none" w:sz="0" w:space="0" w:color="auto"/>
                        <w:left w:val="none" w:sz="0" w:space="0" w:color="auto"/>
                        <w:bottom w:val="none" w:sz="0" w:space="0" w:color="auto"/>
                        <w:right w:val="none" w:sz="0" w:space="0" w:color="auto"/>
                      </w:divBdr>
                      <w:divsChild>
                        <w:div w:id="1882938430">
                          <w:marLeft w:val="0"/>
                          <w:marRight w:val="0"/>
                          <w:marTop w:val="0"/>
                          <w:marBottom w:val="0"/>
                          <w:divBdr>
                            <w:top w:val="none" w:sz="0" w:space="0" w:color="auto"/>
                            <w:left w:val="none" w:sz="0" w:space="0" w:color="auto"/>
                            <w:bottom w:val="none" w:sz="0" w:space="0" w:color="auto"/>
                            <w:right w:val="none" w:sz="0" w:space="0" w:color="auto"/>
                          </w:divBdr>
                          <w:divsChild>
                            <w:div w:id="11642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68765">
      <w:bodyDiv w:val="1"/>
      <w:marLeft w:val="0"/>
      <w:marRight w:val="0"/>
      <w:marTop w:val="0"/>
      <w:marBottom w:val="0"/>
      <w:divBdr>
        <w:top w:val="none" w:sz="0" w:space="0" w:color="auto"/>
        <w:left w:val="none" w:sz="0" w:space="0" w:color="auto"/>
        <w:bottom w:val="none" w:sz="0" w:space="0" w:color="auto"/>
        <w:right w:val="none" w:sz="0" w:space="0" w:color="auto"/>
      </w:divBdr>
    </w:div>
    <w:div w:id="218984694">
      <w:bodyDiv w:val="1"/>
      <w:marLeft w:val="0"/>
      <w:marRight w:val="0"/>
      <w:marTop w:val="0"/>
      <w:marBottom w:val="0"/>
      <w:divBdr>
        <w:top w:val="none" w:sz="0" w:space="0" w:color="auto"/>
        <w:left w:val="none" w:sz="0" w:space="0" w:color="auto"/>
        <w:bottom w:val="none" w:sz="0" w:space="0" w:color="auto"/>
        <w:right w:val="none" w:sz="0" w:space="0" w:color="auto"/>
      </w:divBdr>
    </w:div>
    <w:div w:id="280959390">
      <w:bodyDiv w:val="1"/>
      <w:marLeft w:val="0"/>
      <w:marRight w:val="0"/>
      <w:marTop w:val="0"/>
      <w:marBottom w:val="0"/>
      <w:divBdr>
        <w:top w:val="none" w:sz="0" w:space="0" w:color="auto"/>
        <w:left w:val="none" w:sz="0" w:space="0" w:color="auto"/>
        <w:bottom w:val="none" w:sz="0" w:space="0" w:color="auto"/>
        <w:right w:val="none" w:sz="0" w:space="0" w:color="auto"/>
      </w:divBdr>
    </w:div>
    <w:div w:id="304745151">
      <w:bodyDiv w:val="1"/>
      <w:marLeft w:val="0"/>
      <w:marRight w:val="0"/>
      <w:marTop w:val="0"/>
      <w:marBottom w:val="0"/>
      <w:divBdr>
        <w:top w:val="none" w:sz="0" w:space="0" w:color="auto"/>
        <w:left w:val="none" w:sz="0" w:space="0" w:color="auto"/>
        <w:bottom w:val="none" w:sz="0" w:space="0" w:color="auto"/>
        <w:right w:val="none" w:sz="0" w:space="0" w:color="auto"/>
      </w:divBdr>
    </w:div>
    <w:div w:id="421536969">
      <w:bodyDiv w:val="1"/>
      <w:marLeft w:val="0"/>
      <w:marRight w:val="0"/>
      <w:marTop w:val="0"/>
      <w:marBottom w:val="0"/>
      <w:divBdr>
        <w:top w:val="none" w:sz="0" w:space="0" w:color="auto"/>
        <w:left w:val="none" w:sz="0" w:space="0" w:color="auto"/>
        <w:bottom w:val="none" w:sz="0" w:space="0" w:color="auto"/>
        <w:right w:val="none" w:sz="0" w:space="0" w:color="auto"/>
      </w:divBdr>
    </w:div>
    <w:div w:id="525874283">
      <w:bodyDiv w:val="1"/>
      <w:marLeft w:val="0"/>
      <w:marRight w:val="0"/>
      <w:marTop w:val="0"/>
      <w:marBottom w:val="0"/>
      <w:divBdr>
        <w:top w:val="none" w:sz="0" w:space="0" w:color="auto"/>
        <w:left w:val="none" w:sz="0" w:space="0" w:color="auto"/>
        <w:bottom w:val="none" w:sz="0" w:space="0" w:color="auto"/>
        <w:right w:val="none" w:sz="0" w:space="0" w:color="auto"/>
      </w:divBdr>
    </w:div>
    <w:div w:id="650642782">
      <w:bodyDiv w:val="1"/>
      <w:marLeft w:val="0"/>
      <w:marRight w:val="0"/>
      <w:marTop w:val="0"/>
      <w:marBottom w:val="0"/>
      <w:divBdr>
        <w:top w:val="none" w:sz="0" w:space="0" w:color="auto"/>
        <w:left w:val="none" w:sz="0" w:space="0" w:color="auto"/>
        <w:bottom w:val="none" w:sz="0" w:space="0" w:color="auto"/>
        <w:right w:val="none" w:sz="0" w:space="0" w:color="auto"/>
      </w:divBdr>
    </w:div>
    <w:div w:id="695353934">
      <w:bodyDiv w:val="1"/>
      <w:marLeft w:val="0"/>
      <w:marRight w:val="0"/>
      <w:marTop w:val="0"/>
      <w:marBottom w:val="0"/>
      <w:divBdr>
        <w:top w:val="none" w:sz="0" w:space="0" w:color="auto"/>
        <w:left w:val="none" w:sz="0" w:space="0" w:color="auto"/>
        <w:bottom w:val="none" w:sz="0" w:space="0" w:color="auto"/>
        <w:right w:val="none" w:sz="0" w:space="0" w:color="auto"/>
      </w:divBdr>
    </w:div>
    <w:div w:id="703600512">
      <w:bodyDiv w:val="1"/>
      <w:marLeft w:val="0"/>
      <w:marRight w:val="0"/>
      <w:marTop w:val="0"/>
      <w:marBottom w:val="0"/>
      <w:divBdr>
        <w:top w:val="none" w:sz="0" w:space="0" w:color="auto"/>
        <w:left w:val="none" w:sz="0" w:space="0" w:color="auto"/>
        <w:bottom w:val="none" w:sz="0" w:space="0" w:color="auto"/>
        <w:right w:val="none" w:sz="0" w:space="0" w:color="auto"/>
      </w:divBdr>
    </w:div>
    <w:div w:id="1319264136">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82091356">
      <w:bodyDiv w:val="1"/>
      <w:marLeft w:val="0"/>
      <w:marRight w:val="0"/>
      <w:marTop w:val="0"/>
      <w:marBottom w:val="0"/>
      <w:divBdr>
        <w:top w:val="none" w:sz="0" w:space="0" w:color="auto"/>
        <w:left w:val="none" w:sz="0" w:space="0" w:color="auto"/>
        <w:bottom w:val="none" w:sz="0" w:space="0" w:color="auto"/>
        <w:right w:val="none" w:sz="0" w:space="0" w:color="auto"/>
      </w:divBdr>
    </w:div>
    <w:div w:id="1601600856">
      <w:bodyDiv w:val="1"/>
      <w:marLeft w:val="0"/>
      <w:marRight w:val="0"/>
      <w:marTop w:val="0"/>
      <w:marBottom w:val="0"/>
      <w:divBdr>
        <w:top w:val="none" w:sz="0" w:space="0" w:color="auto"/>
        <w:left w:val="none" w:sz="0" w:space="0" w:color="auto"/>
        <w:bottom w:val="none" w:sz="0" w:space="0" w:color="auto"/>
        <w:right w:val="none" w:sz="0" w:space="0" w:color="auto"/>
      </w:divBdr>
    </w:div>
    <w:div w:id="1603488069">
      <w:bodyDiv w:val="1"/>
      <w:marLeft w:val="0"/>
      <w:marRight w:val="0"/>
      <w:marTop w:val="0"/>
      <w:marBottom w:val="0"/>
      <w:divBdr>
        <w:top w:val="none" w:sz="0" w:space="0" w:color="auto"/>
        <w:left w:val="none" w:sz="0" w:space="0" w:color="auto"/>
        <w:bottom w:val="none" w:sz="0" w:space="0" w:color="auto"/>
        <w:right w:val="none" w:sz="0" w:space="0" w:color="auto"/>
      </w:divBdr>
    </w:div>
    <w:div w:id="1628701623">
      <w:bodyDiv w:val="1"/>
      <w:marLeft w:val="0"/>
      <w:marRight w:val="0"/>
      <w:marTop w:val="0"/>
      <w:marBottom w:val="0"/>
      <w:divBdr>
        <w:top w:val="none" w:sz="0" w:space="0" w:color="auto"/>
        <w:left w:val="none" w:sz="0" w:space="0" w:color="auto"/>
        <w:bottom w:val="none" w:sz="0" w:space="0" w:color="auto"/>
        <w:right w:val="none" w:sz="0" w:space="0" w:color="auto"/>
      </w:divBdr>
    </w:div>
    <w:div w:id="1676615643">
      <w:bodyDiv w:val="1"/>
      <w:marLeft w:val="0"/>
      <w:marRight w:val="0"/>
      <w:marTop w:val="0"/>
      <w:marBottom w:val="0"/>
      <w:divBdr>
        <w:top w:val="none" w:sz="0" w:space="0" w:color="auto"/>
        <w:left w:val="none" w:sz="0" w:space="0" w:color="auto"/>
        <w:bottom w:val="none" w:sz="0" w:space="0" w:color="auto"/>
        <w:right w:val="none" w:sz="0" w:space="0" w:color="auto"/>
      </w:divBdr>
    </w:div>
    <w:div w:id="1767925648">
      <w:bodyDiv w:val="1"/>
      <w:marLeft w:val="0"/>
      <w:marRight w:val="0"/>
      <w:marTop w:val="0"/>
      <w:marBottom w:val="0"/>
      <w:divBdr>
        <w:top w:val="none" w:sz="0" w:space="0" w:color="auto"/>
        <w:left w:val="none" w:sz="0" w:space="0" w:color="auto"/>
        <w:bottom w:val="none" w:sz="0" w:space="0" w:color="auto"/>
        <w:right w:val="none" w:sz="0" w:space="0" w:color="auto"/>
      </w:divBdr>
    </w:div>
    <w:div w:id="1825318247">
      <w:bodyDiv w:val="1"/>
      <w:marLeft w:val="0"/>
      <w:marRight w:val="0"/>
      <w:marTop w:val="0"/>
      <w:marBottom w:val="0"/>
      <w:divBdr>
        <w:top w:val="none" w:sz="0" w:space="0" w:color="auto"/>
        <w:left w:val="none" w:sz="0" w:space="0" w:color="auto"/>
        <w:bottom w:val="none" w:sz="0" w:space="0" w:color="auto"/>
        <w:right w:val="none" w:sz="0" w:space="0" w:color="auto"/>
      </w:divBdr>
      <w:divsChild>
        <w:div w:id="759568515">
          <w:marLeft w:val="0"/>
          <w:marRight w:val="0"/>
          <w:marTop w:val="0"/>
          <w:marBottom w:val="0"/>
          <w:divBdr>
            <w:top w:val="none" w:sz="0" w:space="0" w:color="auto"/>
            <w:left w:val="none" w:sz="0" w:space="0" w:color="auto"/>
            <w:bottom w:val="none" w:sz="0" w:space="0" w:color="auto"/>
            <w:right w:val="none" w:sz="0" w:space="0" w:color="auto"/>
          </w:divBdr>
          <w:divsChild>
            <w:div w:id="277303019">
              <w:marLeft w:val="0"/>
              <w:marRight w:val="0"/>
              <w:marTop w:val="0"/>
              <w:marBottom w:val="0"/>
              <w:divBdr>
                <w:top w:val="none" w:sz="0" w:space="0" w:color="auto"/>
                <w:left w:val="none" w:sz="0" w:space="0" w:color="auto"/>
                <w:bottom w:val="none" w:sz="0" w:space="0" w:color="auto"/>
                <w:right w:val="none" w:sz="0" w:space="0" w:color="auto"/>
              </w:divBdr>
              <w:divsChild>
                <w:div w:id="1657950674">
                  <w:marLeft w:val="0"/>
                  <w:marRight w:val="0"/>
                  <w:marTop w:val="0"/>
                  <w:marBottom w:val="0"/>
                  <w:divBdr>
                    <w:top w:val="none" w:sz="0" w:space="0" w:color="auto"/>
                    <w:left w:val="none" w:sz="0" w:space="0" w:color="auto"/>
                    <w:bottom w:val="none" w:sz="0" w:space="0" w:color="auto"/>
                    <w:right w:val="none" w:sz="0" w:space="0" w:color="auto"/>
                  </w:divBdr>
                  <w:divsChild>
                    <w:div w:id="1058869098">
                      <w:marLeft w:val="0"/>
                      <w:marRight w:val="0"/>
                      <w:marTop w:val="0"/>
                      <w:marBottom w:val="0"/>
                      <w:divBdr>
                        <w:top w:val="none" w:sz="0" w:space="0" w:color="auto"/>
                        <w:left w:val="none" w:sz="0" w:space="0" w:color="auto"/>
                        <w:bottom w:val="none" w:sz="0" w:space="0" w:color="auto"/>
                        <w:right w:val="none" w:sz="0" w:space="0" w:color="auto"/>
                      </w:divBdr>
                      <w:divsChild>
                        <w:div w:id="853769230">
                          <w:marLeft w:val="0"/>
                          <w:marRight w:val="0"/>
                          <w:marTop w:val="0"/>
                          <w:marBottom w:val="0"/>
                          <w:divBdr>
                            <w:top w:val="none" w:sz="0" w:space="0" w:color="auto"/>
                            <w:left w:val="none" w:sz="0" w:space="0" w:color="auto"/>
                            <w:bottom w:val="none" w:sz="0" w:space="0" w:color="auto"/>
                            <w:right w:val="none" w:sz="0" w:space="0" w:color="auto"/>
                          </w:divBdr>
                          <w:divsChild>
                            <w:div w:id="14811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156882">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20885616">
      <w:bodyDiv w:val="1"/>
      <w:marLeft w:val="0"/>
      <w:marRight w:val="0"/>
      <w:marTop w:val="0"/>
      <w:marBottom w:val="0"/>
      <w:divBdr>
        <w:top w:val="none" w:sz="0" w:space="0" w:color="auto"/>
        <w:left w:val="none" w:sz="0" w:space="0" w:color="auto"/>
        <w:bottom w:val="none" w:sz="0" w:space="0" w:color="auto"/>
        <w:right w:val="none" w:sz="0" w:space="0" w:color="auto"/>
      </w:divBdr>
    </w:div>
    <w:div w:id="20879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1.xml"/><Relationship Id="rId21" Type="http://schemas.openxmlformats.org/officeDocument/2006/relationships/footer" Target="footer2.xml"/><Relationship Id="rId34" Type="http://schemas.openxmlformats.org/officeDocument/2006/relationships/header" Target="header9.xml"/><Relationship Id="rId42" Type="http://schemas.openxmlformats.org/officeDocument/2006/relationships/customXml" Target="../customXml/item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usaid.gov.au/countries/pacific/partnership/Pages/png.aspx" TargetMode="External"/><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footer" Target="footer7.xml"/><Relationship Id="rId44" Type="http://schemas.openxmlformats.org/officeDocument/2006/relationships/customXml" Target="../customXml/item9.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usaid.gov.au/countries/pacific/partnership/Pages/png.aspx"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customXml" Target="../customXml/item8.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intranet2.ausaid.gov.au/sharedsites/gender/Documents/GI2059_GENDER%20STRATEGY_WEB.PDF"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1.xml"/></Relationships>
</file>

<file path=word/_rels/footer10.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11.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51.jpeg"/><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2" Type="http://schemas.openxmlformats.org/officeDocument/2006/relationships/image" Target="media/image51.jpeg"/><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2" Type="http://schemas.openxmlformats.org/officeDocument/2006/relationships/image" Target="media/image51.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Sovereign_wealth_fund" TargetMode="External"/><Relationship Id="rId2" Type="http://schemas.openxmlformats.org/officeDocument/2006/relationships/hyperlink" Target="http://www.nri.org.pg/" TargetMode="External"/><Relationship Id="rId1" Type="http://schemas.openxmlformats.org/officeDocument/2006/relationships/hyperlink" Target="http://asiancentury.dpmc.gov.au/" TargetMode="External"/><Relationship Id="rId4" Type="http://schemas.openxmlformats.org/officeDocument/2006/relationships/hyperlink" Target="http://en.wikipedia.org/wiki/International_Monetary_Fund"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E966C3-84EF-46D3-BCDD-909544FC4E76}"/>
</file>

<file path=customXml/itemProps2.xml><?xml version="1.0" encoding="utf-8"?>
<ds:datastoreItem xmlns:ds="http://schemas.openxmlformats.org/officeDocument/2006/customXml" ds:itemID="{B262392B-F090-4D71-AEC4-FCEC0C5843BD}"/>
</file>

<file path=customXml/itemProps3.xml><?xml version="1.0" encoding="utf-8"?>
<ds:datastoreItem xmlns:ds="http://schemas.openxmlformats.org/officeDocument/2006/customXml" ds:itemID="{65396A31-5001-477B-9A35-F88E105FDC8B}"/>
</file>

<file path=customXml/itemProps4.xml><?xml version="1.0" encoding="utf-8"?>
<ds:datastoreItem xmlns:ds="http://schemas.openxmlformats.org/officeDocument/2006/customXml" ds:itemID="{A6425867-E2F9-4418-B240-D965CFDA314C}"/>
</file>

<file path=customXml/itemProps5.xml><?xml version="1.0" encoding="utf-8"?>
<ds:datastoreItem xmlns:ds="http://schemas.openxmlformats.org/officeDocument/2006/customXml" ds:itemID="{07DAD105-5A30-4347-8735-CCE9BD266667}"/>
</file>

<file path=customXml/itemProps6.xml><?xml version="1.0" encoding="utf-8"?>
<ds:datastoreItem xmlns:ds="http://schemas.openxmlformats.org/officeDocument/2006/customXml" ds:itemID="{D36B48E5-A5EA-4953-A62E-9DF2C1EAC7EA}"/>
</file>

<file path=customXml/itemProps7.xml><?xml version="1.0" encoding="utf-8"?>
<ds:datastoreItem xmlns:ds="http://schemas.openxmlformats.org/officeDocument/2006/customXml" ds:itemID="{ED0C1011-99F5-484C-88B1-B89AD213CA2A}"/>
</file>

<file path=customXml/itemProps8.xml><?xml version="1.0" encoding="utf-8"?>
<ds:datastoreItem xmlns:ds="http://schemas.openxmlformats.org/officeDocument/2006/customXml" ds:itemID="{85A7EB91-EE73-4025-B4AB-3072DFF27CAE}"/>
</file>

<file path=customXml/itemProps9.xml><?xml version="1.0" encoding="utf-8"?>
<ds:datastoreItem xmlns:ds="http://schemas.openxmlformats.org/officeDocument/2006/customXml" ds:itemID="{09A62151-CE0F-4815-AEE6-CF8F7DCD1D9D}"/>
</file>

<file path=docProps/app.xml><?xml version="1.0" encoding="utf-8"?>
<Properties xmlns="http://schemas.openxmlformats.org/officeDocument/2006/extended-properties" xmlns:vt="http://schemas.openxmlformats.org/officeDocument/2006/docPropsVTypes">
  <Template>Normal.dotm</Template>
  <TotalTime>0</TotalTime>
  <Pages>44</Pages>
  <Words>26445</Words>
  <Characters>151267</Characters>
  <Application>Microsoft Office Word</Application>
  <DocSecurity>0</DocSecurity>
  <Lines>3601</Lines>
  <Paragraphs>1832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2014-01-29T05:37:00Z</dcterms:created>
  <dcterms:modified xsi:type="dcterms:W3CDTF">2014-01-30T23:53:00Z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313500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