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D610" w14:textId="693B0D5E" w:rsidR="000B2251" w:rsidRDefault="000B2251" w:rsidP="000B2251">
      <w:pPr>
        <w:rPr>
          <w:lang w:val="en-US"/>
        </w:rPr>
      </w:pPr>
      <w:r>
        <w:rPr>
          <w:lang w:val="en-US"/>
        </w:rPr>
        <w:t xml:space="preserve">An updated </w:t>
      </w:r>
      <w:r w:rsidRPr="006C6610">
        <w:rPr>
          <w:i/>
          <w:iCs/>
          <w:lang w:val="en-US"/>
        </w:rPr>
        <w:t>Papua New Guinea – Australia Joint Statement of Intent on Technical and Vocational Education and Training in Papua New Guinea</w:t>
      </w:r>
      <w:r>
        <w:rPr>
          <w:lang w:val="en-US"/>
        </w:rPr>
        <w:t xml:space="preserve"> (Joint Statement) was signed on 19 June 2024 and can be viewed at this website: </w:t>
      </w:r>
      <w:hyperlink r:id="rId8" w:history="1">
        <w:r w:rsidRPr="00A8552F">
          <w:rPr>
            <w:rStyle w:val="Hyperlink"/>
            <w:lang w:val="en-US"/>
          </w:rPr>
          <w:t>https://www.dfat.gov.au/geo/papua-new-guinea/australia-papua-new-guinea-historic-documents/papua-new-guinea-australia-joint-statement-intent-technical-and-vocational-education-and-training-papua-new-guinea</w:t>
        </w:r>
      </w:hyperlink>
    </w:p>
    <w:p w14:paraId="1F17A3E2" w14:textId="77777777" w:rsidR="000B2251" w:rsidRDefault="000B2251" w:rsidP="000B2251">
      <w:pPr>
        <w:rPr>
          <w:lang w:val="en-US"/>
        </w:rPr>
      </w:pPr>
    </w:p>
    <w:p w14:paraId="5573963D" w14:textId="0D7EE944" w:rsidR="000B2251" w:rsidRDefault="000B2251" w:rsidP="000B2251">
      <w:pPr>
        <w:rPr>
          <w:lang w:val="en-US"/>
        </w:rPr>
      </w:pPr>
      <w:r>
        <w:rPr>
          <w:lang w:val="en-US"/>
        </w:rPr>
        <w:t xml:space="preserve">The </w:t>
      </w:r>
      <w:r w:rsidR="009C61AF">
        <w:rPr>
          <w:lang w:val="en-US"/>
        </w:rPr>
        <w:t>below and previous</w:t>
      </w:r>
      <w:r>
        <w:rPr>
          <w:lang w:val="en-US"/>
        </w:rPr>
        <w:t xml:space="preserve"> Joint Statement was signed on 5 August 2020.</w:t>
      </w:r>
    </w:p>
    <w:p w14:paraId="4E577D1F" w14:textId="77777777" w:rsidR="000B2251" w:rsidRPr="006C6610" w:rsidRDefault="000B2251" w:rsidP="000B2251">
      <w:pPr>
        <w:rPr>
          <w:lang w:val="en-US"/>
        </w:rPr>
      </w:pPr>
    </w:p>
    <w:p w14:paraId="47D03ED2" w14:textId="77777777" w:rsidR="000B2251" w:rsidRDefault="000B2251" w:rsidP="00B343E2">
      <w:pPr>
        <w:pStyle w:val="Heading1"/>
        <w:sectPr w:rsidR="000B2251" w:rsidSect="00C36F9F"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FAD29F4" w14:textId="08BC1AC8" w:rsidR="00AC2F43" w:rsidRPr="00B343E2" w:rsidRDefault="00AC2F43" w:rsidP="00B343E2">
      <w:pPr>
        <w:pStyle w:val="Heading1"/>
      </w:pPr>
      <w:r w:rsidRPr="00B343E2">
        <w:lastRenderedPageBreak/>
        <w:t>Papua New Guinea</w:t>
      </w:r>
      <w:r w:rsidR="00A13617" w:rsidRPr="00B343E2">
        <w:t xml:space="preserve"> – Australia Joint Statement</w:t>
      </w:r>
      <w:r w:rsidR="008C7F77">
        <w:t xml:space="preserve"> </w:t>
      </w:r>
      <w:r w:rsidR="000A7275" w:rsidRPr="00B343E2">
        <w:t>of Intent on Technical and Vocational</w:t>
      </w:r>
      <w:r w:rsidR="008C7F77">
        <w:t xml:space="preserve"> </w:t>
      </w:r>
      <w:r w:rsidR="00886ED4" w:rsidRPr="00B343E2">
        <w:t>Education and Training in Papua New Guinea</w:t>
      </w:r>
    </w:p>
    <w:p w14:paraId="27C021C2" w14:textId="77777777" w:rsidR="00886ED4" w:rsidRPr="00110247" w:rsidRDefault="00886ED4" w:rsidP="00AC2F43">
      <w:pPr>
        <w:jc w:val="center"/>
        <w:rPr>
          <w:b/>
          <w:bCs/>
          <w:color w:val="44546A" w:themeColor="text2"/>
          <w:sz w:val="28"/>
          <w:lang w:val="en-US"/>
        </w:rPr>
      </w:pPr>
    </w:p>
    <w:p w14:paraId="312F6403" w14:textId="77777777" w:rsidR="00AC2F43" w:rsidRPr="006B00AF" w:rsidRDefault="00AC2F43" w:rsidP="00AC2F43">
      <w:pPr>
        <w:jc w:val="center"/>
        <w:rPr>
          <w:lang w:val="en-US"/>
        </w:rPr>
      </w:pPr>
    </w:p>
    <w:p w14:paraId="021C9000" w14:textId="7C01DD64" w:rsidR="00AC2F43" w:rsidRPr="006B00AF" w:rsidRDefault="00AC2F43" w:rsidP="00822090">
      <w:pPr>
        <w:spacing w:after="120" w:line="276" w:lineRule="auto"/>
        <w:ind w:left="32" w:right="22" w:hanging="10"/>
        <w:jc w:val="both"/>
      </w:pPr>
      <w:r w:rsidRPr="006B00AF">
        <w:t>Th</w:t>
      </w:r>
      <w:r w:rsidR="00D05861" w:rsidRPr="006B00AF">
        <w:t>is Joint Statement of Intent by the</w:t>
      </w:r>
      <w:r w:rsidRPr="006B00AF">
        <w:t xml:space="preserve"> Government of Australia (</w:t>
      </w:r>
      <w:proofErr w:type="spellStart"/>
      <w:r w:rsidRPr="006B00AF">
        <w:t>GoA</w:t>
      </w:r>
      <w:proofErr w:type="spellEnd"/>
      <w:r w:rsidRPr="006B00AF">
        <w:t>) and Government of Papua</w:t>
      </w:r>
      <w:r w:rsidR="00821230">
        <w:t xml:space="preserve"> New Guinea (</w:t>
      </w:r>
      <w:r w:rsidR="00822090">
        <w:t>“</w:t>
      </w:r>
      <w:proofErr w:type="spellStart"/>
      <w:r w:rsidR="00821230">
        <w:t>GoPNG</w:t>
      </w:r>
      <w:proofErr w:type="spellEnd"/>
      <w:r w:rsidR="00822090">
        <w:t>”</w:t>
      </w:r>
      <w:r w:rsidR="00821230">
        <w:t>) (“the Participants</w:t>
      </w:r>
      <w:r w:rsidRPr="006B00AF">
        <w:t xml:space="preserve">”) </w:t>
      </w:r>
      <w:r w:rsidR="00D05861" w:rsidRPr="006B00AF">
        <w:t>confirms</w:t>
      </w:r>
      <w:r w:rsidRPr="006B00AF">
        <w:t xml:space="preserve"> their shared commitment to work together to improve </w:t>
      </w:r>
      <w:r w:rsidR="002C7FC2" w:rsidRPr="006B00AF">
        <w:t xml:space="preserve">outcomes from </w:t>
      </w:r>
      <w:r w:rsidR="00822090">
        <w:t>Papua New Guinea</w:t>
      </w:r>
      <w:r w:rsidR="002C7FC2" w:rsidRPr="006B00AF">
        <w:t xml:space="preserve">’s </w:t>
      </w:r>
      <w:r w:rsidRPr="006B00AF">
        <w:t xml:space="preserve">Technical and Vocational Education </w:t>
      </w:r>
      <w:r w:rsidR="00822090">
        <w:t xml:space="preserve">and Training </w:t>
      </w:r>
      <w:r w:rsidRPr="006B00AF">
        <w:t xml:space="preserve">(TVET) </w:t>
      </w:r>
      <w:r w:rsidR="002C7FC2" w:rsidRPr="006B00AF">
        <w:t xml:space="preserve">sector </w:t>
      </w:r>
      <w:r w:rsidRPr="006B00AF">
        <w:t xml:space="preserve">and to grow the number </w:t>
      </w:r>
      <w:r w:rsidR="00B6194D">
        <w:t xml:space="preserve">of </w:t>
      </w:r>
      <w:r w:rsidR="003E2477">
        <w:t xml:space="preserve">skilled </w:t>
      </w:r>
      <w:r w:rsidR="00B6194D">
        <w:t xml:space="preserve">workers to enable </w:t>
      </w:r>
      <w:r w:rsidR="00822090">
        <w:t>Papua New Guinea</w:t>
      </w:r>
      <w:r w:rsidR="00B6194D">
        <w:t xml:space="preserve"> to seize economic growth opportunities</w:t>
      </w:r>
      <w:r w:rsidRPr="006B00AF">
        <w:t xml:space="preserve">.  </w:t>
      </w:r>
    </w:p>
    <w:p w14:paraId="1CCCF95D" w14:textId="70906235" w:rsidR="00D05861" w:rsidRPr="006B00AF" w:rsidRDefault="00821230" w:rsidP="000853C9">
      <w:pPr>
        <w:spacing w:after="120" w:line="276" w:lineRule="auto"/>
        <w:ind w:left="32" w:right="22" w:hanging="10"/>
        <w:jc w:val="both"/>
      </w:pPr>
      <w:r>
        <w:t>The Participants</w:t>
      </w:r>
      <w:r w:rsidR="00606328" w:rsidRPr="006B00AF">
        <w:t xml:space="preserve"> </w:t>
      </w:r>
      <w:r w:rsidR="00231D25" w:rsidRPr="006B00AF">
        <w:t xml:space="preserve">acknowledge the critical contribution that </w:t>
      </w:r>
      <w:r w:rsidR="007E6BCC" w:rsidRPr="006B00AF">
        <w:t xml:space="preserve">education </w:t>
      </w:r>
      <w:r w:rsidR="00231D25" w:rsidRPr="006B00AF">
        <w:t>make</w:t>
      </w:r>
      <w:r w:rsidR="007E6BCC" w:rsidRPr="006B00AF">
        <w:t>s</w:t>
      </w:r>
      <w:r w:rsidR="00231D25" w:rsidRPr="006B00AF">
        <w:t xml:space="preserve"> to national development and </w:t>
      </w:r>
      <w:r w:rsidR="007E6BCC" w:rsidRPr="006B00AF">
        <w:t xml:space="preserve">the </w:t>
      </w:r>
      <w:r w:rsidR="00231D25" w:rsidRPr="006B00AF">
        <w:t>establishment of a vibrant economy</w:t>
      </w:r>
      <w:r w:rsidR="00471429">
        <w:t xml:space="preserve">, and the </w:t>
      </w:r>
      <w:r w:rsidR="00D05861" w:rsidRPr="006B00AF">
        <w:t>longstanding cooperation between the</w:t>
      </w:r>
      <w:r w:rsidR="00606328" w:rsidRPr="006B00AF">
        <w:t xml:space="preserve"> two </w:t>
      </w:r>
      <w:r w:rsidR="00606328" w:rsidRPr="00A57859">
        <w:t xml:space="preserve">countries </w:t>
      </w:r>
      <w:r w:rsidR="00D05861" w:rsidRPr="00A57859">
        <w:t>in education</w:t>
      </w:r>
      <w:r w:rsidR="00471429" w:rsidRPr="00A57859">
        <w:t xml:space="preserve">. </w:t>
      </w:r>
      <w:r w:rsidR="003E2477" w:rsidRPr="00A57859">
        <w:t>The P</w:t>
      </w:r>
      <w:r>
        <w:t>articipants</w:t>
      </w:r>
      <w:r w:rsidR="006D71EB" w:rsidRPr="00A57859">
        <w:t xml:space="preserve"> note that TVET remai</w:t>
      </w:r>
      <w:r w:rsidR="008F7FBF" w:rsidRPr="00A57859">
        <w:t>n</w:t>
      </w:r>
      <w:r w:rsidR="006D71EB" w:rsidRPr="00A57859">
        <w:t xml:space="preserve">s a priority within the </w:t>
      </w:r>
      <w:r w:rsidR="003E2477" w:rsidRPr="00A57859">
        <w:t>P</w:t>
      </w:r>
      <w:r w:rsidR="00822090">
        <w:t>apua New Guinea-</w:t>
      </w:r>
      <w:r w:rsidR="003E2477" w:rsidRPr="00A57859">
        <w:t>Aus</w:t>
      </w:r>
      <w:r w:rsidR="005D48C1" w:rsidRPr="00A57859">
        <w:t xml:space="preserve">tralia </w:t>
      </w:r>
      <w:r w:rsidR="003E2477" w:rsidRPr="00A57859">
        <w:t>Partnership</w:t>
      </w:r>
      <w:r w:rsidR="00C74DE0" w:rsidRPr="00A57859">
        <w:t xml:space="preserve">, </w:t>
      </w:r>
      <w:r w:rsidR="00C74DE0" w:rsidRPr="00A57859">
        <w:rPr>
          <w:shd w:val="clear" w:color="auto" w:fill="FFFFFF" w:themeFill="background1"/>
        </w:rPr>
        <w:t>especially in post COVID-19 economic recovery efforts</w:t>
      </w:r>
      <w:r w:rsidR="003E2477" w:rsidRPr="00A57859">
        <w:t xml:space="preserve">. </w:t>
      </w:r>
      <w:r w:rsidR="00B2314F" w:rsidRPr="00A57859">
        <w:t xml:space="preserve">The </w:t>
      </w:r>
      <w:r>
        <w:t>Participants</w:t>
      </w:r>
      <w:r w:rsidR="00606328" w:rsidRPr="00A57859">
        <w:t xml:space="preserve"> </w:t>
      </w:r>
      <w:r w:rsidR="006D71EB" w:rsidRPr="00A57859">
        <w:t xml:space="preserve">made a </w:t>
      </w:r>
      <w:r w:rsidR="00C252B6" w:rsidRPr="00A57859">
        <w:t xml:space="preserve">joint </w:t>
      </w:r>
      <w:r w:rsidR="00D05861" w:rsidRPr="00A57859">
        <w:t>commitment to expand support for TVET at the 27</w:t>
      </w:r>
      <w:r w:rsidR="00D05861" w:rsidRPr="00A57859">
        <w:rPr>
          <w:vertAlign w:val="superscript"/>
        </w:rPr>
        <w:t>th</w:t>
      </w:r>
      <w:r w:rsidR="00D05861" w:rsidRPr="00A57859">
        <w:t xml:space="preserve"> P</w:t>
      </w:r>
      <w:r w:rsidR="00822090">
        <w:t>apua New Guinea</w:t>
      </w:r>
      <w:r w:rsidR="00D05861" w:rsidRPr="00A57859">
        <w:t>-Australia Ministerial Forum on 26 August 2019</w:t>
      </w:r>
      <w:r>
        <w:t>. The Participants</w:t>
      </w:r>
      <w:r w:rsidR="00C252B6" w:rsidRPr="00A57859">
        <w:t xml:space="preserve"> </w:t>
      </w:r>
      <w:r w:rsidR="00B2314F" w:rsidRPr="00A57859">
        <w:t>recognise</w:t>
      </w:r>
      <w:r w:rsidR="00606328" w:rsidRPr="00A57859">
        <w:t xml:space="preserve"> </w:t>
      </w:r>
      <w:r w:rsidR="00B2314F" w:rsidRPr="00A57859">
        <w:t xml:space="preserve">that the improvement of TVET </w:t>
      </w:r>
      <w:r w:rsidR="00606328" w:rsidRPr="00A57859">
        <w:t xml:space="preserve">across </w:t>
      </w:r>
      <w:r w:rsidR="00822090">
        <w:t>Papua New Guinea</w:t>
      </w:r>
      <w:r w:rsidR="00B2314F" w:rsidRPr="00A57859">
        <w:t xml:space="preserve"> will </w:t>
      </w:r>
      <w:r w:rsidR="00C252B6" w:rsidRPr="00A57859">
        <w:t>enable</w:t>
      </w:r>
      <w:r w:rsidR="00C252B6" w:rsidRPr="006B00AF">
        <w:t xml:space="preserve"> more </w:t>
      </w:r>
      <w:r w:rsidR="007E6BCC" w:rsidRPr="006B00AF">
        <w:t xml:space="preserve">Papua New Guineans to </w:t>
      </w:r>
      <w:r w:rsidR="008F7FBF">
        <w:t xml:space="preserve">support growing industries around the country and </w:t>
      </w:r>
      <w:r w:rsidR="00B2314F" w:rsidRPr="006B00AF">
        <w:t xml:space="preserve">benefit from opportunities </w:t>
      </w:r>
      <w:r w:rsidR="00D05861" w:rsidRPr="006B00AF">
        <w:t xml:space="preserve">offered by </w:t>
      </w:r>
      <w:r w:rsidR="00B2314F" w:rsidRPr="006B00AF">
        <w:t xml:space="preserve">Australia’s </w:t>
      </w:r>
      <w:r w:rsidR="00D05861" w:rsidRPr="006B00AF">
        <w:t xml:space="preserve">Pacific </w:t>
      </w:r>
      <w:r w:rsidR="00122B75">
        <w:t>l</w:t>
      </w:r>
      <w:r w:rsidR="00D05861" w:rsidRPr="006B00AF">
        <w:t xml:space="preserve">abour </w:t>
      </w:r>
      <w:r w:rsidR="00122B75">
        <w:t>m</w:t>
      </w:r>
      <w:r w:rsidR="00D05861" w:rsidRPr="006B00AF">
        <w:t xml:space="preserve">obility </w:t>
      </w:r>
      <w:r w:rsidR="00122B75">
        <w:t>p</w:t>
      </w:r>
      <w:r w:rsidR="00D05861" w:rsidRPr="006B00AF">
        <w:t>rograms</w:t>
      </w:r>
      <w:r w:rsidR="00B2314F" w:rsidRPr="006B00AF">
        <w:t>.</w:t>
      </w:r>
      <w:r w:rsidR="00D05861" w:rsidRPr="006B00AF">
        <w:t xml:space="preserve"> </w:t>
      </w:r>
    </w:p>
    <w:p w14:paraId="7E872273" w14:textId="359091CE" w:rsidR="00D05861" w:rsidRPr="006B00AF" w:rsidRDefault="00B2314F" w:rsidP="000853C9">
      <w:pPr>
        <w:spacing w:after="120" w:line="276" w:lineRule="auto"/>
        <w:ind w:left="32" w:right="22" w:hanging="10"/>
        <w:jc w:val="both"/>
      </w:pPr>
      <w:r w:rsidRPr="006B00AF">
        <w:t>The objective of this S</w:t>
      </w:r>
      <w:r w:rsidR="00CD7646">
        <w:t xml:space="preserve">tatement </w:t>
      </w:r>
      <w:r w:rsidR="00B21215">
        <w:t xml:space="preserve">of </w:t>
      </w:r>
      <w:r w:rsidRPr="006B00AF">
        <w:t>I</w:t>
      </w:r>
      <w:r w:rsidR="00CD7646">
        <w:t>ntent</w:t>
      </w:r>
      <w:r w:rsidR="00821230">
        <w:t xml:space="preserve"> is to frame </w:t>
      </w:r>
      <w:r w:rsidRPr="006B00AF">
        <w:t xml:space="preserve">joint efforts to improve TVET </w:t>
      </w:r>
      <w:r w:rsidR="002C7FC2" w:rsidRPr="006B00AF">
        <w:t xml:space="preserve">in </w:t>
      </w:r>
      <w:r w:rsidR="00822090">
        <w:t>Papua New Guinea</w:t>
      </w:r>
      <w:r w:rsidR="002C7FC2" w:rsidRPr="006B00AF">
        <w:t xml:space="preserve"> </w:t>
      </w:r>
      <w:r w:rsidR="00821230">
        <w:t>and to define each Participant</w:t>
      </w:r>
      <w:r w:rsidRPr="006B00AF">
        <w:t>’s role and responsibilities in that enterprise</w:t>
      </w:r>
      <w:r w:rsidR="002C7FC2" w:rsidRPr="006B00AF">
        <w:t>:</w:t>
      </w:r>
    </w:p>
    <w:p w14:paraId="2141996E" w14:textId="77777777" w:rsidR="002C7FC2" w:rsidRPr="006B00AF" w:rsidRDefault="002C7FC2" w:rsidP="000853C9">
      <w:pPr>
        <w:pStyle w:val="ListParagraph"/>
        <w:numPr>
          <w:ilvl w:val="0"/>
          <w:numId w:val="2"/>
        </w:numPr>
        <w:spacing w:after="120" w:line="276" w:lineRule="auto"/>
        <w:ind w:left="426" w:right="22"/>
        <w:jc w:val="both"/>
      </w:pPr>
      <w:r w:rsidRPr="006B00AF">
        <w:t>T</w:t>
      </w:r>
      <w:r w:rsidR="005500F2" w:rsidRPr="006B00AF">
        <w:t>ogether t</w:t>
      </w:r>
      <w:r w:rsidR="00821230">
        <w:t>he Participants</w:t>
      </w:r>
      <w:r w:rsidRPr="006B00AF">
        <w:t xml:space="preserve"> commit to:</w:t>
      </w:r>
    </w:p>
    <w:p w14:paraId="6CA7C9FB" w14:textId="7415E06A" w:rsidR="002C7FC2" w:rsidRPr="006B00AF" w:rsidRDefault="002C7FC2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 w:rsidRPr="006B00AF">
        <w:t>Supporting</w:t>
      </w:r>
      <w:r w:rsidR="007E6BCC" w:rsidRPr="006B00AF">
        <w:t xml:space="preserve"> the</w:t>
      </w:r>
      <w:r w:rsidR="00DB4703" w:rsidRPr="006B00AF">
        <w:t xml:space="preserve"> </w:t>
      </w:r>
      <w:proofErr w:type="spellStart"/>
      <w:r w:rsidR="00CD7646">
        <w:t>GoPNG’s</w:t>
      </w:r>
      <w:proofErr w:type="spellEnd"/>
      <w:r w:rsidR="00CD7646">
        <w:t xml:space="preserve"> reform agenda for the tertiary sector, led by the </w:t>
      </w:r>
      <w:r w:rsidR="00DB4703" w:rsidRPr="006B00AF">
        <w:t>Department of Higher Education, Research, Science and Technology</w:t>
      </w:r>
      <w:r w:rsidR="007E6BCC" w:rsidRPr="006B00AF">
        <w:t>’s</w:t>
      </w:r>
      <w:r w:rsidR="00DB4703" w:rsidRPr="006B00AF">
        <w:t xml:space="preserve"> (</w:t>
      </w:r>
      <w:r w:rsidR="00822090">
        <w:t>“</w:t>
      </w:r>
      <w:r w:rsidRPr="006B00AF">
        <w:rPr>
          <w:color w:val="000000" w:themeColor="text1"/>
        </w:rPr>
        <w:t>DHERST</w:t>
      </w:r>
      <w:r w:rsidR="00822090">
        <w:rPr>
          <w:color w:val="000000" w:themeColor="text1"/>
        </w:rPr>
        <w:t>”</w:t>
      </w:r>
      <w:r w:rsidR="00DB4703" w:rsidRPr="006B00AF">
        <w:rPr>
          <w:color w:val="000000" w:themeColor="text1"/>
        </w:rPr>
        <w:t>)</w:t>
      </w:r>
      <w:r w:rsidR="00CD7646">
        <w:rPr>
          <w:color w:val="000000" w:themeColor="text1"/>
        </w:rPr>
        <w:t xml:space="preserve">, </w:t>
      </w:r>
      <w:r w:rsidRPr="006B00AF">
        <w:t xml:space="preserve">under which joint efforts to improve TVET outcomes are </w:t>
      </w:r>
      <w:proofErr w:type="gramStart"/>
      <w:r w:rsidRPr="006B00AF">
        <w:t>shaped;</w:t>
      </w:r>
      <w:proofErr w:type="gramEnd"/>
    </w:p>
    <w:p w14:paraId="7BFC84C9" w14:textId="77777777" w:rsidR="002C7FC2" w:rsidRPr="006B00AF" w:rsidRDefault="00C252B6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 w:rsidRPr="006B00AF">
        <w:t xml:space="preserve">Ensuring that </w:t>
      </w:r>
      <w:r w:rsidR="007E6BCC" w:rsidRPr="006B00AF">
        <w:t xml:space="preserve">knowledge and </w:t>
      </w:r>
      <w:r w:rsidR="002C7FC2" w:rsidRPr="006B00AF">
        <w:t>research inform DHERST’s polic</w:t>
      </w:r>
      <w:r w:rsidR="007E6BCC" w:rsidRPr="006B00AF">
        <w:t>ies</w:t>
      </w:r>
      <w:r w:rsidR="002C7FC2" w:rsidRPr="006B00AF">
        <w:t xml:space="preserve"> and shape</w:t>
      </w:r>
      <w:r w:rsidR="007E6BCC" w:rsidRPr="006B00AF">
        <w:t xml:space="preserve"> </w:t>
      </w:r>
      <w:r w:rsidR="002C7FC2" w:rsidRPr="006B00AF">
        <w:t xml:space="preserve">investment in the TVET </w:t>
      </w:r>
      <w:proofErr w:type="gramStart"/>
      <w:r w:rsidR="002C7FC2" w:rsidRPr="006B00AF">
        <w:t>subsector</w:t>
      </w:r>
      <w:r w:rsidR="00037AB2" w:rsidRPr="006B00AF">
        <w:t>;</w:t>
      </w:r>
      <w:proofErr w:type="gramEnd"/>
    </w:p>
    <w:p w14:paraId="217F14B9" w14:textId="03DC820C" w:rsidR="00037AB2" w:rsidRPr="006B00AF" w:rsidRDefault="00CD7646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>
        <w:t>Targeting</w:t>
      </w:r>
      <w:r w:rsidR="00334AB4" w:rsidRPr="006B00AF">
        <w:t xml:space="preserve"> a s</w:t>
      </w:r>
      <w:r w:rsidR="002C7FC2" w:rsidRPr="006B00AF">
        <w:t>elect</w:t>
      </w:r>
      <w:r w:rsidR="00B21215">
        <w:t xml:space="preserve"> number</w:t>
      </w:r>
      <w:r w:rsidR="002C7FC2" w:rsidRPr="006B00AF">
        <w:t xml:space="preserve"> of </w:t>
      </w:r>
      <w:r w:rsidR="00822090">
        <w:t>Papua New Guinea</w:t>
      </w:r>
      <w:r w:rsidR="00334AB4" w:rsidRPr="006B00AF">
        <w:t xml:space="preserve">’s </w:t>
      </w:r>
      <w:r w:rsidR="002C7FC2" w:rsidRPr="006B00AF">
        <w:t xml:space="preserve">TVET </w:t>
      </w:r>
      <w:r w:rsidR="00037AB2" w:rsidRPr="006B00AF">
        <w:t>training institutions</w:t>
      </w:r>
      <w:r w:rsidR="003E2477">
        <w:t xml:space="preserve"> and strengthening their training</w:t>
      </w:r>
      <w:r>
        <w:t xml:space="preserve"> programs for recognised accredited qualifications </w:t>
      </w:r>
      <w:r w:rsidR="00334AB4" w:rsidRPr="006B00AF">
        <w:t xml:space="preserve">in </w:t>
      </w:r>
      <w:r w:rsidR="0070647B" w:rsidRPr="006B00AF">
        <w:t xml:space="preserve">industry relevant </w:t>
      </w:r>
      <w:r w:rsidR="00C252B6" w:rsidRPr="006B00AF">
        <w:t xml:space="preserve">trades and skills in priority economic </w:t>
      </w:r>
      <w:proofErr w:type="gramStart"/>
      <w:r w:rsidR="00C252B6" w:rsidRPr="006B00AF">
        <w:t>sectors</w:t>
      </w:r>
      <w:r>
        <w:t>;</w:t>
      </w:r>
      <w:proofErr w:type="gramEnd"/>
      <w:r>
        <w:t xml:space="preserve"> </w:t>
      </w:r>
    </w:p>
    <w:p w14:paraId="234AC0DF" w14:textId="77777777" w:rsidR="00513641" w:rsidRPr="006B00AF" w:rsidRDefault="00037AB2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 w:rsidRPr="006B00AF">
        <w:t>Cooperating to ensure that females and disadvantaged</w:t>
      </w:r>
      <w:r w:rsidR="00C252B6" w:rsidRPr="006B00AF">
        <w:t xml:space="preserve"> or </w:t>
      </w:r>
      <w:r w:rsidRPr="006B00AF">
        <w:t xml:space="preserve">vulnerable groups are able to access and complete TVET training and, in the case of women, to gain access to qualifications </w:t>
      </w:r>
      <w:r w:rsidR="00C252B6" w:rsidRPr="006B00AF">
        <w:t xml:space="preserve">and employment </w:t>
      </w:r>
      <w:r w:rsidR="00E4558E">
        <w:t xml:space="preserve">in industries </w:t>
      </w:r>
      <w:r w:rsidRPr="006B00AF">
        <w:t xml:space="preserve">that are dominated by </w:t>
      </w:r>
      <w:proofErr w:type="gramStart"/>
      <w:r w:rsidR="00C252B6" w:rsidRPr="006B00AF">
        <w:t>men</w:t>
      </w:r>
      <w:r w:rsidRPr="006B00AF">
        <w:t>;</w:t>
      </w:r>
      <w:proofErr w:type="gramEnd"/>
      <w:r w:rsidR="00513641" w:rsidRPr="006B00AF">
        <w:t xml:space="preserve"> </w:t>
      </w:r>
    </w:p>
    <w:p w14:paraId="05D5DF51" w14:textId="77777777" w:rsidR="00013135" w:rsidRPr="006B00AF" w:rsidRDefault="00AF520E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 w:rsidRPr="006B00AF">
        <w:t xml:space="preserve">Ensuring that their joint programs are adequately </w:t>
      </w:r>
      <w:r w:rsidR="005500F2" w:rsidRPr="006B00AF">
        <w:t xml:space="preserve">flexible to </w:t>
      </w:r>
      <w:r w:rsidRPr="006B00AF">
        <w:t xml:space="preserve">allow </w:t>
      </w:r>
      <w:r w:rsidR="005500F2" w:rsidRPr="006B00AF">
        <w:t>adjust</w:t>
      </w:r>
      <w:r w:rsidRPr="006B00AF">
        <w:t xml:space="preserve">ments that reflect </w:t>
      </w:r>
      <w:r w:rsidR="005500F2" w:rsidRPr="006B00AF">
        <w:t xml:space="preserve">performance, resource availability and </w:t>
      </w:r>
      <w:r w:rsidRPr="006B00AF">
        <w:t xml:space="preserve">emerging training </w:t>
      </w:r>
      <w:proofErr w:type="gramStart"/>
      <w:r w:rsidR="005500F2" w:rsidRPr="006B00AF">
        <w:t>need</w:t>
      </w:r>
      <w:r w:rsidRPr="006B00AF">
        <w:t>s</w:t>
      </w:r>
      <w:r w:rsidR="005500F2" w:rsidRPr="006B00AF">
        <w:t>;</w:t>
      </w:r>
      <w:proofErr w:type="gramEnd"/>
      <w:r w:rsidR="00013135" w:rsidRPr="006B00AF">
        <w:t xml:space="preserve"> </w:t>
      </w:r>
    </w:p>
    <w:p w14:paraId="78E4D1A8" w14:textId="14C49636" w:rsidR="003636B8" w:rsidRPr="006B00AF" w:rsidRDefault="00C252B6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 w:rsidRPr="006B00AF">
        <w:t>A</w:t>
      </w:r>
      <w:r w:rsidR="003636B8" w:rsidRPr="006B00AF">
        <w:t>dher</w:t>
      </w:r>
      <w:r w:rsidRPr="006B00AF">
        <w:t>ing</w:t>
      </w:r>
      <w:r w:rsidR="003636B8" w:rsidRPr="006B00AF">
        <w:t xml:space="preserve"> to</w:t>
      </w:r>
      <w:r w:rsidR="002E6EB0" w:rsidRPr="006B00AF">
        <w:t xml:space="preserve"> </w:t>
      </w:r>
      <w:r w:rsidR="00E4558E">
        <w:t xml:space="preserve">their joint </w:t>
      </w:r>
      <w:r w:rsidR="003E2477">
        <w:t>agreements</w:t>
      </w:r>
      <w:r w:rsidR="00E4558E">
        <w:t xml:space="preserve"> on </w:t>
      </w:r>
      <w:r w:rsidR="00606328" w:rsidRPr="006B00AF">
        <w:t xml:space="preserve">targeting, </w:t>
      </w:r>
      <w:r w:rsidR="003636B8" w:rsidRPr="006B00AF">
        <w:t>financing</w:t>
      </w:r>
      <w:r w:rsidR="00606328" w:rsidRPr="006B00AF">
        <w:t>, resourcing, manag</w:t>
      </w:r>
      <w:r w:rsidR="00E4558E">
        <w:t>ing</w:t>
      </w:r>
      <w:r w:rsidR="00606328" w:rsidRPr="006B00AF">
        <w:t xml:space="preserve"> and overs</w:t>
      </w:r>
      <w:r w:rsidR="00822090">
        <w:t>eeing</w:t>
      </w:r>
      <w:r w:rsidR="00E4558E">
        <w:t xml:space="preserve"> </w:t>
      </w:r>
      <w:r w:rsidR="003636B8" w:rsidRPr="006B00AF">
        <w:t>TVET program</w:t>
      </w:r>
      <w:r w:rsidR="00E4558E">
        <w:t xml:space="preserve">s </w:t>
      </w:r>
      <w:r w:rsidR="00822090">
        <w:t xml:space="preserve">funded by the Department of Foreign Affairs and Trade, </w:t>
      </w:r>
      <w:r w:rsidR="00E4558E">
        <w:t xml:space="preserve">including </w:t>
      </w:r>
      <w:r w:rsidR="00606328" w:rsidRPr="006B00AF">
        <w:t xml:space="preserve">support provided by </w:t>
      </w:r>
      <w:r w:rsidR="003E2477">
        <w:t xml:space="preserve">the </w:t>
      </w:r>
      <w:r w:rsidR="00606328" w:rsidRPr="006B00AF">
        <w:t>Australia Pacific Training Coalition (</w:t>
      </w:r>
      <w:r w:rsidR="00822090">
        <w:t>“</w:t>
      </w:r>
      <w:r w:rsidR="00606328" w:rsidRPr="006B00AF">
        <w:t>APTC</w:t>
      </w:r>
      <w:r w:rsidR="00822090">
        <w:t>”</w:t>
      </w:r>
      <w:r w:rsidR="00606328" w:rsidRPr="006B00AF">
        <w:t>)</w:t>
      </w:r>
      <w:r w:rsidR="00C05233" w:rsidRPr="006B00AF">
        <w:t>,</w:t>
      </w:r>
      <w:r w:rsidR="00606328" w:rsidRPr="006B00AF">
        <w:t xml:space="preserve"> subject to annual </w:t>
      </w:r>
      <w:r w:rsidR="00606328" w:rsidRPr="006B00AF">
        <w:rPr>
          <w:color w:val="000000" w:themeColor="text1"/>
        </w:rPr>
        <w:t xml:space="preserve">joint </w:t>
      </w:r>
      <w:proofErr w:type="gramStart"/>
      <w:r w:rsidR="00E4558E">
        <w:rPr>
          <w:color w:val="000000" w:themeColor="text1"/>
        </w:rPr>
        <w:t>reviews</w:t>
      </w:r>
      <w:r w:rsidR="00606328" w:rsidRPr="006B00AF">
        <w:rPr>
          <w:color w:val="000000" w:themeColor="text1"/>
        </w:rPr>
        <w:t>;</w:t>
      </w:r>
      <w:proofErr w:type="gramEnd"/>
      <w:r w:rsidR="003636B8" w:rsidRPr="006B00AF">
        <w:rPr>
          <w:color w:val="000000" w:themeColor="text1"/>
        </w:rPr>
        <w:t xml:space="preserve"> </w:t>
      </w:r>
    </w:p>
    <w:p w14:paraId="7D4C12D0" w14:textId="54C35B13" w:rsidR="005500F2" w:rsidRPr="006B00AF" w:rsidRDefault="00C05233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 w:rsidRPr="006B00AF">
        <w:lastRenderedPageBreak/>
        <w:t>Establishing</w:t>
      </w:r>
      <w:r w:rsidR="00013135" w:rsidRPr="006B00AF">
        <w:t xml:space="preserve"> joint governance arrangement</w:t>
      </w:r>
      <w:r w:rsidR="00E4558E">
        <w:t>s</w:t>
      </w:r>
      <w:r w:rsidR="003636B8" w:rsidRPr="006B00AF">
        <w:t xml:space="preserve"> </w:t>
      </w:r>
      <w:r w:rsidR="00C252B6" w:rsidRPr="006B00AF">
        <w:t xml:space="preserve">that provide </w:t>
      </w:r>
      <w:r w:rsidRPr="006B00AF">
        <w:t>the P</w:t>
      </w:r>
      <w:r w:rsidR="00821230">
        <w:t>articipants</w:t>
      </w:r>
      <w:r w:rsidR="00C252B6" w:rsidRPr="006B00AF">
        <w:t xml:space="preserve"> strategic oversight of </w:t>
      </w:r>
      <w:r w:rsidRPr="006B00AF">
        <w:t xml:space="preserve">their </w:t>
      </w:r>
      <w:r w:rsidR="00C252B6" w:rsidRPr="006B00AF">
        <w:t>investments</w:t>
      </w:r>
      <w:r w:rsidR="00822090">
        <w:t>,</w:t>
      </w:r>
      <w:r w:rsidR="00C252B6" w:rsidRPr="006B00AF">
        <w:t xml:space="preserve"> </w:t>
      </w:r>
      <w:r w:rsidR="003636B8" w:rsidRPr="006B00AF">
        <w:t xml:space="preserve">including the placement of </w:t>
      </w:r>
      <w:proofErr w:type="spellStart"/>
      <w:r w:rsidR="00DB4703" w:rsidRPr="006B00AF">
        <w:rPr>
          <w:color w:val="000000" w:themeColor="text1"/>
        </w:rPr>
        <w:t>G</w:t>
      </w:r>
      <w:r w:rsidR="007A2461" w:rsidRPr="006B00AF">
        <w:rPr>
          <w:color w:val="000000" w:themeColor="text1"/>
        </w:rPr>
        <w:t>o</w:t>
      </w:r>
      <w:r w:rsidR="00DB4703" w:rsidRPr="006B00AF">
        <w:rPr>
          <w:color w:val="000000" w:themeColor="text1"/>
        </w:rPr>
        <w:t>A</w:t>
      </w:r>
      <w:proofErr w:type="spellEnd"/>
      <w:r w:rsidR="005C3D95">
        <w:t xml:space="preserve"> </w:t>
      </w:r>
      <w:r w:rsidR="003636B8" w:rsidRPr="006B00AF">
        <w:t xml:space="preserve">on the </w:t>
      </w:r>
      <w:r w:rsidR="00C252B6" w:rsidRPr="006B00AF">
        <w:t>National Skills Development Agency</w:t>
      </w:r>
      <w:r w:rsidR="00013135" w:rsidRPr="006B00AF">
        <w:t xml:space="preserve">; </w:t>
      </w:r>
      <w:r w:rsidR="00120470" w:rsidRPr="006B00AF">
        <w:t>and</w:t>
      </w:r>
    </w:p>
    <w:p w14:paraId="6A7AAE45" w14:textId="77777777" w:rsidR="00110247" w:rsidRDefault="00C252B6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 w:rsidRPr="006B00AF">
        <w:t>A</w:t>
      </w:r>
      <w:r w:rsidR="005500F2" w:rsidRPr="006B00AF">
        <w:t>ct</w:t>
      </w:r>
      <w:r w:rsidR="00C05233" w:rsidRPr="006B00AF">
        <w:t>ing</w:t>
      </w:r>
      <w:r w:rsidR="005500F2" w:rsidRPr="006B00AF">
        <w:t xml:space="preserve"> in good faith </w:t>
      </w:r>
      <w:r w:rsidR="00013135" w:rsidRPr="006B00AF">
        <w:t>with open communication</w:t>
      </w:r>
      <w:r w:rsidR="00C05233" w:rsidRPr="006B00AF">
        <w:t>, including the sharing of</w:t>
      </w:r>
      <w:r w:rsidR="00013135" w:rsidRPr="006B00AF">
        <w:t xml:space="preserve"> information </w:t>
      </w:r>
      <w:r w:rsidR="00C05233" w:rsidRPr="006B00AF">
        <w:t xml:space="preserve">relevant to </w:t>
      </w:r>
      <w:r w:rsidR="00013135" w:rsidRPr="006B00AF">
        <w:t xml:space="preserve">either </w:t>
      </w:r>
      <w:r w:rsidR="00C05233" w:rsidRPr="006B00AF">
        <w:t>P</w:t>
      </w:r>
      <w:r w:rsidR="00821230">
        <w:t>articipant</w:t>
      </w:r>
      <w:r w:rsidR="00013135" w:rsidRPr="006B00AF">
        <w:t xml:space="preserve"> in facilitating </w:t>
      </w:r>
      <w:r w:rsidR="00C05233" w:rsidRPr="006B00AF">
        <w:t xml:space="preserve">both </w:t>
      </w:r>
      <w:r w:rsidR="00013135" w:rsidRPr="006B00AF">
        <w:t>the delivery of high-quality TVET training and in ensuring that their respective investments produce their anticipated outcomes and overall value for money</w:t>
      </w:r>
      <w:r w:rsidR="00DB4703" w:rsidRPr="006B00AF">
        <w:t xml:space="preserve">. </w:t>
      </w:r>
    </w:p>
    <w:p w14:paraId="05E49EA4" w14:textId="77777777" w:rsidR="002F188E" w:rsidRDefault="002F188E" w:rsidP="002F188E">
      <w:pPr>
        <w:pStyle w:val="ListParagraph"/>
        <w:spacing w:after="120" w:line="276" w:lineRule="auto"/>
        <w:ind w:left="426" w:right="22"/>
        <w:jc w:val="both"/>
      </w:pPr>
    </w:p>
    <w:p w14:paraId="7F7C7EE1" w14:textId="0E3E44DE" w:rsidR="00513641" w:rsidRPr="006B00AF" w:rsidRDefault="00822090" w:rsidP="000853C9">
      <w:pPr>
        <w:pStyle w:val="ListParagraph"/>
        <w:numPr>
          <w:ilvl w:val="0"/>
          <w:numId w:val="2"/>
        </w:numPr>
        <w:spacing w:after="120" w:line="276" w:lineRule="auto"/>
        <w:ind w:left="426" w:right="22"/>
        <w:jc w:val="both"/>
      </w:pPr>
      <w:r>
        <w:t xml:space="preserve">The </w:t>
      </w:r>
      <w:proofErr w:type="spellStart"/>
      <w:r w:rsidR="00037AB2" w:rsidRPr="006B00AF">
        <w:t>G</w:t>
      </w:r>
      <w:r w:rsidR="007A2461" w:rsidRPr="006B00AF">
        <w:t>o</w:t>
      </w:r>
      <w:r w:rsidR="00037AB2" w:rsidRPr="006B00AF">
        <w:t>A</w:t>
      </w:r>
      <w:proofErr w:type="spellEnd"/>
      <w:r w:rsidR="00037AB2" w:rsidRPr="006B00AF">
        <w:t xml:space="preserve"> commits to</w:t>
      </w:r>
      <w:r w:rsidR="005500F2" w:rsidRPr="006B00AF">
        <w:t>:</w:t>
      </w:r>
    </w:p>
    <w:p w14:paraId="661C7A91" w14:textId="124D6283" w:rsidR="006767F5" w:rsidRPr="006B00AF" w:rsidRDefault="00513641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 w:rsidRPr="006B00AF">
        <w:t xml:space="preserve">Expanding the role of </w:t>
      </w:r>
      <w:r w:rsidR="00DB4703" w:rsidRPr="006B00AF">
        <w:t xml:space="preserve">APTC </w:t>
      </w:r>
      <w:r w:rsidRPr="006B00AF">
        <w:t xml:space="preserve">in </w:t>
      </w:r>
      <w:r w:rsidR="00822090">
        <w:t>Papua New Guinea</w:t>
      </w:r>
      <w:r w:rsidRPr="006B00AF">
        <w:t xml:space="preserve"> </w:t>
      </w:r>
      <w:r w:rsidR="006767F5" w:rsidRPr="006B00AF">
        <w:t xml:space="preserve">to develop a </w:t>
      </w:r>
      <w:r w:rsidR="00162EEE" w:rsidRPr="006B00AF">
        <w:t xml:space="preserve">limited </w:t>
      </w:r>
      <w:r w:rsidR="006767F5" w:rsidRPr="006B00AF">
        <w:t xml:space="preserve">number of subnational TVET </w:t>
      </w:r>
      <w:r w:rsidR="00DB4703" w:rsidRPr="006B00AF">
        <w:t>i</w:t>
      </w:r>
      <w:r w:rsidR="006767F5" w:rsidRPr="006B00AF">
        <w:t>nstitutions over a</w:t>
      </w:r>
      <w:r w:rsidR="00162EEE" w:rsidRPr="006B00AF">
        <w:t>n agreed period</w:t>
      </w:r>
      <w:r w:rsidR="00DB4703" w:rsidRPr="006B00AF">
        <w:t>,</w:t>
      </w:r>
      <w:r w:rsidR="006767F5" w:rsidRPr="006B00AF">
        <w:t xml:space="preserve"> with the goal of assisting these institutions to </w:t>
      </w:r>
      <w:r w:rsidR="0070647B" w:rsidRPr="006B00AF">
        <w:t xml:space="preserve">jointly work towards an overall increase of </w:t>
      </w:r>
      <w:r w:rsidR="000E0C9D">
        <w:t>up to 6</w:t>
      </w:r>
      <w:r w:rsidR="00C43AC1">
        <w:t>00</w:t>
      </w:r>
      <w:r w:rsidR="0070647B" w:rsidRPr="006B00AF">
        <w:t xml:space="preserve"> </w:t>
      </w:r>
      <w:r w:rsidR="005500F2" w:rsidRPr="006B00AF">
        <w:t>graduate</w:t>
      </w:r>
      <w:r w:rsidR="0070647B" w:rsidRPr="006B00AF">
        <w:t>s</w:t>
      </w:r>
      <w:r w:rsidR="006767F5" w:rsidRPr="006B00AF">
        <w:t xml:space="preserve"> annually in industry relevant trades and skills in priority economic </w:t>
      </w:r>
      <w:proofErr w:type="gramStart"/>
      <w:r w:rsidR="006767F5" w:rsidRPr="006B00AF">
        <w:t>sectors;</w:t>
      </w:r>
      <w:proofErr w:type="gramEnd"/>
    </w:p>
    <w:p w14:paraId="6D96FE31" w14:textId="77777777" w:rsidR="006767F5" w:rsidRDefault="0070647B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 w:rsidRPr="006B00AF">
        <w:t>Supporting, i</w:t>
      </w:r>
      <w:r w:rsidR="006767F5" w:rsidRPr="006B00AF">
        <w:t xml:space="preserve">f </w:t>
      </w:r>
      <w:r w:rsidRPr="006B00AF">
        <w:t xml:space="preserve">both technically and financially </w:t>
      </w:r>
      <w:r w:rsidR="006767F5" w:rsidRPr="006B00AF">
        <w:t>feasible</w:t>
      </w:r>
      <w:r w:rsidR="00DB4703" w:rsidRPr="006B00AF">
        <w:t>,</w:t>
      </w:r>
      <w:r w:rsidR="006767F5" w:rsidRPr="006B00AF">
        <w:t xml:space="preserve"> </w:t>
      </w:r>
      <w:r w:rsidRPr="006B00AF">
        <w:t>via its expanded APTC program, the development</w:t>
      </w:r>
      <w:r w:rsidR="006767F5" w:rsidRPr="006B00AF">
        <w:t xml:space="preserve"> </w:t>
      </w:r>
      <w:r w:rsidRPr="006B00AF">
        <w:t xml:space="preserve">of </w:t>
      </w:r>
      <w:r w:rsidR="006767F5" w:rsidRPr="006B00AF">
        <w:t>TVET training institution</w:t>
      </w:r>
      <w:r w:rsidR="00DB4703" w:rsidRPr="006B00AF">
        <w:t>s</w:t>
      </w:r>
      <w:r w:rsidR="006767F5" w:rsidRPr="006B00AF">
        <w:t xml:space="preserve"> in</w:t>
      </w:r>
      <w:r w:rsidR="00CF2FAB">
        <w:t>cluding potentially in</w:t>
      </w:r>
      <w:r w:rsidR="005D48C1">
        <w:t xml:space="preserve"> </w:t>
      </w:r>
      <w:r w:rsidR="006767F5" w:rsidRPr="006B00AF">
        <w:t xml:space="preserve">the </w:t>
      </w:r>
      <w:r w:rsidR="00E970D6" w:rsidRPr="006B00AF">
        <w:t>H</w:t>
      </w:r>
      <w:r w:rsidR="006767F5" w:rsidRPr="006B00AF">
        <w:t>ighlands</w:t>
      </w:r>
      <w:r w:rsidR="005D48C1">
        <w:t>,</w:t>
      </w:r>
      <w:r w:rsidR="00B36F9D">
        <w:t xml:space="preserve"> </w:t>
      </w:r>
      <w:r w:rsidR="00C43AC1">
        <w:t xml:space="preserve">Autonomous Region of </w:t>
      </w:r>
      <w:r w:rsidR="00DB4703" w:rsidRPr="006B00AF">
        <w:t>Bougainville</w:t>
      </w:r>
      <w:r w:rsidR="005D48C1">
        <w:t xml:space="preserve"> and </w:t>
      </w:r>
      <w:proofErr w:type="gramStart"/>
      <w:r w:rsidR="005D48C1">
        <w:t>Manus</w:t>
      </w:r>
      <w:r w:rsidR="006767F5" w:rsidRPr="006B00AF">
        <w:t>;</w:t>
      </w:r>
      <w:proofErr w:type="gramEnd"/>
    </w:p>
    <w:p w14:paraId="54A27EC2" w14:textId="5165E13D" w:rsidR="005D48C1" w:rsidRPr="006B00AF" w:rsidRDefault="005D48C1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>
        <w:t xml:space="preserve">Co-financing </w:t>
      </w:r>
      <w:r w:rsidRPr="006B00AF">
        <w:t>A</w:t>
      </w:r>
      <w:r>
        <w:t>sian Development Bank’s</w:t>
      </w:r>
      <w:r w:rsidRPr="006B00AF">
        <w:t xml:space="preserve"> </w:t>
      </w:r>
      <w:r>
        <w:t xml:space="preserve">scoping work to prepare the Improved </w:t>
      </w:r>
      <w:r w:rsidRPr="006B00AF">
        <w:t>TVET</w:t>
      </w:r>
      <w:r>
        <w:t xml:space="preserve"> for Employment for </w:t>
      </w:r>
      <w:r w:rsidR="00822090">
        <w:t>Papua New Guinea</w:t>
      </w:r>
      <w:r>
        <w:t xml:space="preserve"> project and to support </w:t>
      </w:r>
      <w:r w:rsidRPr="006B00AF">
        <w:t xml:space="preserve">adequate planning and technical design </w:t>
      </w:r>
      <w:r>
        <w:t>of any subsequent work</w:t>
      </w:r>
      <w:r w:rsidRPr="006B00AF">
        <w:t>;</w:t>
      </w:r>
      <w:r>
        <w:t xml:space="preserve"> and</w:t>
      </w:r>
    </w:p>
    <w:p w14:paraId="78E5B41C" w14:textId="538911EC" w:rsidR="005500F2" w:rsidRPr="006B00AF" w:rsidRDefault="004A61CD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>
        <w:t xml:space="preserve">Engaging with </w:t>
      </w:r>
      <w:proofErr w:type="spellStart"/>
      <w:r>
        <w:t>GoPNG</w:t>
      </w:r>
      <w:proofErr w:type="spellEnd"/>
      <w:r>
        <w:t xml:space="preserve"> </w:t>
      </w:r>
      <w:r w:rsidR="00822090">
        <w:t>to ensure</w:t>
      </w:r>
      <w:r>
        <w:t xml:space="preserve"> lessons </w:t>
      </w:r>
      <w:r w:rsidR="00822090">
        <w:t>learned from</w:t>
      </w:r>
      <w:r>
        <w:t xml:space="preserve"> TVET activities are </w:t>
      </w:r>
      <w:r w:rsidR="00822090">
        <w:t>used to r</w:t>
      </w:r>
      <w:r w:rsidR="005500F2" w:rsidRPr="006B00AF">
        <w:t>efin</w:t>
      </w:r>
      <w:r w:rsidR="00822090">
        <w:t>e</w:t>
      </w:r>
      <w:r w:rsidR="005500F2" w:rsidRPr="006B00AF">
        <w:t xml:space="preserve"> </w:t>
      </w:r>
      <w:r w:rsidR="00822090">
        <w:t xml:space="preserve">future </w:t>
      </w:r>
      <w:r w:rsidR="007A2461" w:rsidRPr="006B00AF">
        <w:t xml:space="preserve">TVET </w:t>
      </w:r>
      <w:r w:rsidR="005500F2" w:rsidRPr="006B00AF">
        <w:t>program</w:t>
      </w:r>
      <w:r w:rsidR="00117AA8">
        <w:t>s</w:t>
      </w:r>
      <w:r w:rsidR="007A2461" w:rsidRPr="006B00AF">
        <w:t xml:space="preserve"> and improv</w:t>
      </w:r>
      <w:r w:rsidR="00117AA8">
        <w:t>ing</w:t>
      </w:r>
      <w:r w:rsidR="007A2461" w:rsidRPr="006B00AF">
        <w:t xml:space="preserve"> alignment with industry needs</w:t>
      </w:r>
      <w:r w:rsidR="005500F2" w:rsidRPr="006B00AF">
        <w:t>.</w:t>
      </w:r>
      <w:r w:rsidR="005500F2" w:rsidRPr="006B00AF">
        <w:br/>
      </w:r>
    </w:p>
    <w:p w14:paraId="1F3B9BFF" w14:textId="50ECF4ED" w:rsidR="005500F2" w:rsidRPr="006B00AF" w:rsidRDefault="00822090" w:rsidP="000853C9">
      <w:pPr>
        <w:pStyle w:val="ListParagraph"/>
        <w:numPr>
          <w:ilvl w:val="0"/>
          <w:numId w:val="2"/>
        </w:numPr>
        <w:spacing w:after="120" w:line="276" w:lineRule="auto"/>
        <w:ind w:left="426" w:right="22"/>
        <w:jc w:val="both"/>
      </w:pPr>
      <w:r>
        <w:t xml:space="preserve">The </w:t>
      </w:r>
      <w:proofErr w:type="spellStart"/>
      <w:r w:rsidR="005500F2" w:rsidRPr="006B00AF">
        <w:t>GoPNG</w:t>
      </w:r>
      <w:proofErr w:type="spellEnd"/>
      <w:r w:rsidR="005500F2" w:rsidRPr="006B00AF">
        <w:t xml:space="preserve"> commits to:</w:t>
      </w:r>
    </w:p>
    <w:p w14:paraId="4CDC48FF" w14:textId="7874AA99" w:rsidR="00AB1C13" w:rsidRPr="006B00AF" w:rsidRDefault="00AB1C13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>
        <w:t>Through DHERST, p</w:t>
      </w:r>
      <w:r w:rsidRPr="006B00AF">
        <w:t>roviding leadership to ensur</w:t>
      </w:r>
      <w:r>
        <w:t>e</w:t>
      </w:r>
      <w:r w:rsidRPr="006B00AF">
        <w:t xml:space="preserve"> that policies, governance, </w:t>
      </w:r>
      <w:r w:rsidR="00822090">
        <w:t xml:space="preserve">and the </w:t>
      </w:r>
      <w:r w:rsidRPr="006B00AF">
        <w:t xml:space="preserve">operational and </w:t>
      </w:r>
      <w:r w:rsidR="00122B75">
        <w:t xml:space="preserve">the </w:t>
      </w:r>
      <w:r w:rsidRPr="006B00AF">
        <w:t>general TVET training environ</w:t>
      </w:r>
      <w:r w:rsidR="00821230">
        <w:t>ment is conducive to the Participants</w:t>
      </w:r>
      <w:r w:rsidRPr="006B00AF">
        <w:t xml:space="preserve">’ joint programs meeting their objectives in a timely </w:t>
      </w:r>
      <w:proofErr w:type="gramStart"/>
      <w:r w:rsidRPr="006B00AF">
        <w:t>manner;</w:t>
      </w:r>
      <w:proofErr w:type="gramEnd"/>
      <w:r w:rsidRPr="006B00AF">
        <w:t xml:space="preserve"> </w:t>
      </w:r>
    </w:p>
    <w:p w14:paraId="39E943CA" w14:textId="77777777" w:rsidR="007A2461" w:rsidRDefault="007A2461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 w:rsidRPr="006B00AF">
        <w:t xml:space="preserve">Coordinating </w:t>
      </w:r>
      <w:r w:rsidR="00A24D10">
        <w:t xml:space="preserve">all </w:t>
      </w:r>
      <w:r w:rsidRPr="006B00AF">
        <w:t xml:space="preserve">development partners assistance to the TVET sector, and ensuring complementarity between internally and externally funded TVET programs at the tertiary level, </w:t>
      </w:r>
      <w:r w:rsidR="00A24D10">
        <w:t>including</w:t>
      </w:r>
      <w:r w:rsidRPr="006B00AF">
        <w:t xml:space="preserve"> facilitating the </w:t>
      </w:r>
      <w:r w:rsidR="00A24D10" w:rsidRPr="006B00AF">
        <w:t>National Skills Development Agency</w:t>
      </w:r>
      <w:r w:rsidR="00A24D10">
        <w:t xml:space="preserve">’s </w:t>
      </w:r>
      <w:r w:rsidRPr="006B00AF">
        <w:t xml:space="preserve">role in this </w:t>
      </w:r>
      <w:proofErr w:type="gramStart"/>
      <w:r w:rsidR="00A24D10">
        <w:t>effort</w:t>
      </w:r>
      <w:r w:rsidRPr="006B00AF">
        <w:t>;</w:t>
      </w:r>
      <w:proofErr w:type="gramEnd"/>
      <w:r w:rsidRPr="006B00AF">
        <w:t xml:space="preserve"> </w:t>
      </w:r>
    </w:p>
    <w:p w14:paraId="44DA7E77" w14:textId="5A1AC72A" w:rsidR="00A24D10" w:rsidRPr="006B00AF" w:rsidRDefault="00A24D10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>
        <w:t>Linking, via the N</w:t>
      </w:r>
      <w:r w:rsidR="00822090">
        <w:t>ational Skills Development Agency</w:t>
      </w:r>
      <w:r>
        <w:t xml:space="preserve">, </w:t>
      </w:r>
      <w:r w:rsidR="00822090">
        <w:t>Papua New Guinea</w:t>
      </w:r>
      <w:r>
        <w:t xml:space="preserve"> institutions to local and national industries appropriate to course development</w:t>
      </w:r>
      <w:r w:rsidR="00AB1C13">
        <w:t xml:space="preserve"> and execution, and post-training employment of course </w:t>
      </w:r>
      <w:proofErr w:type="gramStart"/>
      <w:r w:rsidR="00AB1C13">
        <w:t>graduates;</w:t>
      </w:r>
      <w:proofErr w:type="gramEnd"/>
    </w:p>
    <w:p w14:paraId="0D326C28" w14:textId="77777777" w:rsidR="001A64E9" w:rsidRDefault="00AB38FD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>
        <w:t>P</w:t>
      </w:r>
      <w:r w:rsidR="001A64E9">
        <w:t xml:space="preserve">roviding funding and other necessary support to transform the </w:t>
      </w:r>
      <w:r w:rsidR="00F34683">
        <w:t xml:space="preserve">proposed facilities at the </w:t>
      </w:r>
      <w:r w:rsidR="003E2477">
        <w:t>former</w:t>
      </w:r>
      <w:r w:rsidR="00122B75">
        <w:t xml:space="preserve"> </w:t>
      </w:r>
      <w:r w:rsidR="007A686F">
        <w:t xml:space="preserve">East </w:t>
      </w:r>
      <w:proofErr w:type="spellStart"/>
      <w:r w:rsidR="007A686F">
        <w:t>Lorengau</w:t>
      </w:r>
      <w:proofErr w:type="spellEnd"/>
      <w:r w:rsidR="007A686F">
        <w:t xml:space="preserve"> Refugee Transit Centre </w:t>
      </w:r>
      <w:r w:rsidR="00F34683">
        <w:t>into training facilities</w:t>
      </w:r>
      <w:r w:rsidR="003E2477">
        <w:t>, and that existing assets are utilised, and ensuring</w:t>
      </w:r>
      <w:r w:rsidR="00F34683">
        <w:t xml:space="preserve"> that these </w:t>
      </w:r>
      <w:r w:rsidR="003E2477">
        <w:t xml:space="preserve">resources </w:t>
      </w:r>
      <w:r w:rsidR="00F34683">
        <w:t xml:space="preserve">are maintained and sustained over </w:t>
      </w:r>
      <w:proofErr w:type="gramStart"/>
      <w:r w:rsidR="00F34683">
        <w:t>time</w:t>
      </w:r>
      <w:r w:rsidR="00C43AC1">
        <w:t>;</w:t>
      </w:r>
      <w:proofErr w:type="gramEnd"/>
    </w:p>
    <w:p w14:paraId="626BF499" w14:textId="77777777" w:rsidR="00013135" w:rsidRDefault="00204D63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 w:rsidRPr="006B00AF">
        <w:t>Ensuring that a whole-of-</w:t>
      </w:r>
      <w:proofErr w:type="spellStart"/>
      <w:r w:rsidRPr="006B00AF">
        <w:t>GoPNG</w:t>
      </w:r>
      <w:proofErr w:type="spellEnd"/>
      <w:r w:rsidRPr="006B00AF">
        <w:t xml:space="preserve"> commitment exists to establish, </w:t>
      </w:r>
      <w:proofErr w:type="gramStart"/>
      <w:r w:rsidRPr="006B00AF">
        <w:t>finance</w:t>
      </w:r>
      <w:proofErr w:type="gramEnd"/>
      <w:r w:rsidRPr="006B00AF">
        <w:t xml:space="preserve"> and maintain institution</w:t>
      </w:r>
      <w:r w:rsidR="003E2477">
        <w:t>s</w:t>
      </w:r>
      <w:r w:rsidRPr="006B00AF">
        <w:t xml:space="preserve"> that </w:t>
      </w:r>
      <w:r w:rsidR="003E2477">
        <w:t xml:space="preserve">participate in </w:t>
      </w:r>
      <w:r w:rsidR="00C43AC1">
        <w:t xml:space="preserve">APTC </w:t>
      </w:r>
      <w:r w:rsidR="00844391">
        <w:t>partnership</w:t>
      </w:r>
      <w:r w:rsidR="00C43AC1">
        <w:t>s</w:t>
      </w:r>
      <w:r w:rsidR="00844391">
        <w:t>,</w:t>
      </w:r>
      <w:r w:rsidR="007A686F">
        <w:t xml:space="preserve"> </w:t>
      </w:r>
      <w:r w:rsidR="00120470" w:rsidRPr="006B00AF">
        <w:t>and</w:t>
      </w:r>
    </w:p>
    <w:p w14:paraId="62938904" w14:textId="2953C877" w:rsidR="00E970D6" w:rsidRDefault="00013135" w:rsidP="000853C9">
      <w:pPr>
        <w:pStyle w:val="ListParagraph"/>
        <w:numPr>
          <w:ilvl w:val="1"/>
          <w:numId w:val="2"/>
        </w:numPr>
        <w:spacing w:after="120" w:line="276" w:lineRule="auto"/>
        <w:ind w:left="993" w:right="22"/>
        <w:jc w:val="both"/>
      </w:pPr>
      <w:r w:rsidRPr="006B00AF">
        <w:t xml:space="preserve">Making, in a timely </w:t>
      </w:r>
      <w:r w:rsidR="006B00AF" w:rsidRPr="006B00AF">
        <w:t xml:space="preserve">and consistent </w:t>
      </w:r>
      <w:r w:rsidRPr="006B00AF">
        <w:t>manner, all necessary preparations for the</w:t>
      </w:r>
      <w:r w:rsidR="00204D63" w:rsidRPr="006B00AF">
        <w:t xml:space="preserve"> </w:t>
      </w:r>
      <w:r w:rsidR="006B00AF" w:rsidRPr="006B00AF">
        <w:t>start-up, execution and closure of the Australian</w:t>
      </w:r>
      <w:r w:rsidR="00204D63" w:rsidRPr="006B00AF">
        <w:t>-financed</w:t>
      </w:r>
      <w:r w:rsidR="006B00AF" w:rsidRPr="006B00AF">
        <w:t xml:space="preserve">, </w:t>
      </w:r>
      <w:r w:rsidRPr="006B00AF">
        <w:t>APTC</w:t>
      </w:r>
      <w:r w:rsidR="006B00AF" w:rsidRPr="006B00AF">
        <w:t>-</w:t>
      </w:r>
      <w:r w:rsidRPr="006B00AF">
        <w:t>support</w:t>
      </w:r>
      <w:r w:rsidR="006B00AF" w:rsidRPr="006B00AF">
        <w:t>ed</w:t>
      </w:r>
      <w:r w:rsidR="00844391">
        <w:t>,</w:t>
      </w:r>
      <w:r w:rsidR="006B00AF" w:rsidRPr="006B00AF">
        <w:t xml:space="preserve"> TVET </w:t>
      </w:r>
      <w:r w:rsidR="006B00AF" w:rsidRPr="006B00AF">
        <w:lastRenderedPageBreak/>
        <w:t xml:space="preserve">program </w:t>
      </w:r>
      <w:r w:rsidRPr="006B00AF">
        <w:t xml:space="preserve">in a way that ensures that </w:t>
      </w:r>
      <w:r w:rsidR="006B00AF" w:rsidRPr="006B00AF">
        <w:t xml:space="preserve">the </w:t>
      </w:r>
      <w:r w:rsidRPr="006B00AF">
        <w:t xml:space="preserve">gains made </w:t>
      </w:r>
      <w:r w:rsidR="006B00AF" w:rsidRPr="006B00AF">
        <w:t xml:space="preserve">in the quality and volume of TVET delivery </w:t>
      </w:r>
      <w:r w:rsidRPr="006B00AF">
        <w:t>can be maintained</w:t>
      </w:r>
      <w:r w:rsidR="00E970D6" w:rsidRPr="006B00AF">
        <w:t xml:space="preserve"> and improved under DHERST</w:t>
      </w:r>
      <w:r w:rsidR="00DB4703" w:rsidRPr="006B00AF">
        <w:t xml:space="preserve">’s ongoing </w:t>
      </w:r>
      <w:r w:rsidR="00E970D6" w:rsidRPr="006B00AF">
        <w:t>resourcing and st</w:t>
      </w:r>
      <w:r w:rsidR="00606328" w:rsidRPr="006B00AF">
        <w:t>e</w:t>
      </w:r>
      <w:r w:rsidR="00E970D6" w:rsidRPr="006B00AF">
        <w:t>wardship</w:t>
      </w:r>
      <w:r w:rsidR="00120470" w:rsidRPr="006B00AF">
        <w:t>.</w:t>
      </w:r>
    </w:p>
    <w:p w14:paraId="50FC4CD2" w14:textId="77777777" w:rsidR="00176A69" w:rsidRDefault="00176A69" w:rsidP="00110247">
      <w:pPr>
        <w:spacing w:after="120"/>
        <w:ind w:right="22"/>
      </w:pPr>
    </w:p>
    <w:p w14:paraId="565F5D45" w14:textId="3E9B215B" w:rsidR="00D52ECE" w:rsidRDefault="005F13FD" w:rsidP="00110247">
      <w:pPr>
        <w:spacing w:after="120"/>
        <w:ind w:right="22"/>
        <w:rPr>
          <w:b/>
          <w:bCs/>
        </w:rPr>
      </w:pPr>
      <w:r>
        <w:rPr>
          <w:b/>
          <w:bCs/>
        </w:rPr>
        <w:t>Signed in duplicate on the fifth day of August 2020 in the English language both copies being equally valid.</w:t>
      </w:r>
    </w:p>
    <w:p w14:paraId="61239AFA" w14:textId="2DFD5DA3" w:rsidR="005F13FD" w:rsidRDefault="005F13FD" w:rsidP="00110247">
      <w:pPr>
        <w:spacing w:after="120"/>
        <w:ind w:right="22"/>
        <w:rPr>
          <w:b/>
          <w:bCs/>
        </w:rPr>
      </w:pPr>
    </w:p>
    <w:p w14:paraId="6BFDF082" w14:textId="77777777" w:rsidR="005F13FD" w:rsidRPr="000D0361" w:rsidRDefault="005F13FD" w:rsidP="00110247">
      <w:pPr>
        <w:spacing w:after="120"/>
        <w:ind w:right="22"/>
        <w:rPr>
          <w:b/>
          <w:bCs/>
        </w:rPr>
      </w:pPr>
    </w:p>
    <w:p w14:paraId="1B5D1E0A" w14:textId="77777777" w:rsidR="00EA62D4" w:rsidRDefault="00EA62D4" w:rsidP="00110247">
      <w:pPr>
        <w:spacing w:after="120"/>
        <w:ind w:right="22"/>
      </w:pPr>
    </w:p>
    <w:p w14:paraId="1FBE74CE" w14:textId="77777777" w:rsidR="003E6A5E" w:rsidRDefault="003E6A5E" w:rsidP="00110247">
      <w:pPr>
        <w:spacing w:after="120"/>
        <w:ind w:right="22"/>
      </w:pPr>
    </w:p>
    <w:p w14:paraId="6893C4B2" w14:textId="77777777" w:rsidR="003E6A5E" w:rsidRDefault="003E6A5E" w:rsidP="00110247">
      <w:pPr>
        <w:spacing w:after="120"/>
        <w:ind w:right="22"/>
      </w:pPr>
    </w:p>
    <w:p w14:paraId="07EDD3E8" w14:textId="56E8F21F" w:rsidR="003E6A5E" w:rsidRDefault="003E6A5E">
      <w:pPr>
        <w:spacing w:after="120"/>
        <w:ind w:right="22"/>
      </w:pPr>
      <w:r>
        <w:tab/>
      </w:r>
      <w:r>
        <w:tab/>
      </w:r>
      <w:r>
        <w:tab/>
      </w:r>
      <w:r>
        <w:tab/>
      </w:r>
    </w:p>
    <w:p w14:paraId="49E72CB2" w14:textId="419D81D4" w:rsidR="00AC2F43" w:rsidRPr="006B00AF" w:rsidRDefault="00AC2F43" w:rsidP="00AC2F43">
      <w:pPr>
        <w:rPr>
          <w:lang w:val="en-US"/>
        </w:rPr>
      </w:pPr>
    </w:p>
    <w:sectPr w:rsidR="00AC2F43" w:rsidRPr="006B00AF" w:rsidSect="005D7C00">
      <w:headerReference w:type="first" r:id="rId13"/>
      <w:pgSz w:w="11900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F0BE" w14:textId="77777777" w:rsidR="00BE7748" w:rsidRDefault="00BE7748" w:rsidP="00D96D66">
      <w:r>
        <w:separator/>
      </w:r>
    </w:p>
  </w:endnote>
  <w:endnote w:type="continuationSeparator" w:id="0">
    <w:p w14:paraId="47FD4E48" w14:textId="77777777" w:rsidR="00BE7748" w:rsidRDefault="00BE7748" w:rsidP="00D9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9F3" w14:textId="33C2A998" w:rsidR="000B2251" w:rsidRDefault="000B2251" w:rsidP="000B2251">
    <w:pPr>
      <w:pStyle w:val="Footer"/>
      <w:jc w:val="right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7267" w14:textId="6600BF06" w:rsidR="00647EBE" w:rsidRDefault="00C36F9F">
    <w:pPr>
      <w:pStyle w:val="Footer"/>
      <w:jc w:val="right"/>
    </w:pPr>
    <w:r>
      <w:t>2</w:t>
    </w:r>
  </w:p>
  <w:p w14:paraId="4636518D" w14:textId="77777777" w:rsidR="00647EBE" w:rsidRDefault="00647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5E92" w14:textId="45AC742F" w:rsidR="00E25091" w:rsidRDefault="00C36F9F" w:rsidP="000B2251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94E0" w14:textId="77777777" w:rsidR="00BE7748" w:rsidRDefault="00BE7748" w:rsidP="00D96D66">
      <w:r>
        <w:separator/>
      </w:r>
    </w:p>
  </w:footnote>
  <w:footnote w:type="continuationSeparator" w:id="0">
    <w:p w14:paraId="0CD3C35C" w14:textId="77777777" w:rsidR="00BE7748" w:rsidRDefault="00BE7748" w:rsidP="00D9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B98C" w14:textId="77777777" w:rsidR="00D96D66" w:rsidRDefault="009F0F03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B62B" w14:textId="77777777" w:rsidR="000B2251" w:rsidRDefault="000B2251">
    <w:pPr>
      <w:pStyle w:val="Header"/>
    </w:pPr>
    <w:r>
      <w:rPr>
        <w:rFonts w:cstheme="minorHAnsi"/>
        <w:noProof/>
        <w:color w:val="000000" w:themeColor="text1"/>
        <w:lang w:eastAsia="en-AU"/>
      </w:rPr>
      <w:drawing>
        <wp:anchor distT="0" distB="0" distL="114300" distR="114300" simplePos="0" relativeHeight="251668480" behindDoc="0" locked="0" layoutInCell="1" allowOverlap="1" wp14:anchorId="06B17C92" wp14:editId="6204A48F">
          <wp:simplePos x="0" y="0"/>
          <wp:positionH relativeFrom="page">
            <wp:posOffset>5705475</wp:posOffset>
          </wp:positionH>
          <wp:positionV relativeFrom="paragraph">
            <wp:posOffset>8890</wp:posOffset>
          </wp:positionV>
          <wp:extent cx="1647825" cy="1271905"/>
          <wp:effectExtent l="0" t="0" r="9525" b="4445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6729F2A4" wp14:editId="4F4E5E9C">
          <wp:simplePos x="0" y="0"/>
          <wp:positionH relativeFrom="margin">
            <wp:posOffset>-676275</wp:posOffset>
          </wp:positionH>
          <wp:positionV relativeFrom="paragraph">
            <wp:posOffset>-635</wp:posOffset>
          </wp:positionV>
          <wp:extent cx="1725295" cy="1202690"/>
          <wp:effectExtent l="0" t="0" r="8255" b="0"/>
          <wp:wrapSquare wrapText="bothSides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120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8C6"/>
    <w:multiLevelType w:val="hybridMultilevel"/>
    <w:tmpl w:val="E542B9A0"/>
    <w:lvl w:ilvl="0" w:tplc="C316D0A8">
      <w:start w:val="1"/>
      <w:numFmt w:val="lowerRoman"/>
      <w:lvlText w:val="(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7816DB"/>
    <w:multiLevelType w:val="hybridMultilevel"/>
    <w:tmpl w:val="2C8446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5862636">
    <w:abstractNumId w:val="1"/>
  </w:num>
  <w:num w:numId="2" w16cid:durableId="211478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43"/>
    <w:rsid w:val="00013135"/>
    <w:rsid w:val="00037AB2"/>
    <w:rsid w:val="0006784D"/>
    <w:rsid w:val="000853C9"/>
    <w:rsid w:val="000A7275"/>
    <w:rsid w:val="000B2251"/>
    <w:rsid w:val="000D0361"/>
    <w:rsid w:val="000E0C9D"/>
    <w:rsid w:val="000E6877"/>
    <w:rsid w:val="00110247"/>
    <w:rsid w:val="0011112E"/>
    <w:rsid w:val="00117AA8"/>
    <w:rsid w:val="00120470"/>
    <w:rsid w:val="00122B75"/>
    <w:rsid w:val="0013464A"/>
    <w:rsid w:val="00141CF3"/>
    <w:rsid w:val="00143186"/>
    <w:rsid w:val="00161002"/>
    <w:rsid w:val="00162EEE"/>
    <w:rsid w:val="00176A69"/>
    <w:rsid w:val="001A188B"/>
    <w:rsid w:val="001A64E9"/>
    <w:rsid w:val="001D7F5E"/>
    <w:rsid w:val="00204D63"/>
    <w:rsid w:val="00231D25"/>
    <w:rsid w:val="00281F62"/>
    <w:rsid w:val="002C7FC2"/>
    <w:rsid w:val="002E6EB0"/>
    <w:rsid w:val="002F188E"/>
    <w:rsid w:val="002F5706"/>
    <w:rsid w:val="003034CC"/>
    <w:rsid w:val="003256D7"/>
    <w:rsid w:val="00334AB4"/>
    <w:rsid w:val="00343ADD"/>
    <w:rsid w:val="003636B8"/>
    <w:rsid w:val="00384876"/>
    <w:rsid w:val="003E2477"/>
    <w:rsid w:val="003E380E"/>
    <w:rsid w:val="003E6A5E"/>
    <w:rsid w:val="00404733"/>
    <w:rsid w:val="00471429"/>
    <w:rsid w:val="00495CFC"/>
    <w:rsid w:val="004A61CD"/>
    <w:rsid w:val="005015B8"/>
    <w:rsid w:val="00513641"/>
    <w:rsid w:val="005500F2"/>
    <w:rsid w:val="005513E2"/>
    <w:rsid w:val="00555C1A"/>
    <w:rsid w:val="005672E4"/>
    <w:rsid w:val="005C3D95"/>
    <w:rsid w:val="005D261D"/>
    <w:rsid w:val="005D48C1"/>
    <w:rsid w:val="005D7C00"/>
    <w:rsid w:val="005F13FD"/>
    <w:rsid w:val="00606328"/>
    <w:rsid w:val="00612DBB"/>
    <w:rsid w:val="00647EBE"/>
    <w:rsid w:val="0067580C"/>
    <w:rsid w:val="006767F5"/>
    <w:rsid w:val="006A1F6C"/>
    <w:rsid w:val="006B00AF"/>
    <w:rsid w:val="006D71EB"/>
    <w:rsid w:val="0070647B"/>
    <w:rsid w:val="00725FFA"/>
    <w:rsid w:val="007A2461"/>
    <w:rsid w:val="007A686F"/>
    <w:rsid w:val="007B2CA9"/>
    <w:rsid w:val="007E6BCC"/>
    <w:rsid w:val="00821230"/>
    <w:rsid w:val="00822090"/>
    <w:rsid w:val="00832747"/>
    <w:rsid w:val="00844391"/>
    <w:rsid w:val="00877F30"/>
    <w:rsid w:val="0088645B"/>
    <w:rsid w:val="00886ED4"/>
    <w:rsid w:val="008C1AFA"/>
    <w:rsid w:val="008C7F77"/>
    <w:rsid w:val="008D792C"/>
    <w:rsid w:val="008F7FBF"/>
    <w:rsid w:val="00916342"/>
    <w:rsid w:val="00935814"/>
    <w:rsid w:val="00935957"/>
    <w:rsid w:val="00946220"/>
    <w:rsid w:val="00947373"/>
    <w:rsid w:val="009A1283"/>
    <w:rsid w:val="009C61AF"/>
    <w:rsid w:val="009F0F03"/>
    <w:rsid w:val="00A13617"/>
    <w:rsid w:val="00A24D10"/>
    <w:rsid w:val="00A57859"/>
    <w:rsid w:val="00A662A2"/>
    <w:rsid w:val="00A919B4"/>
    <w:rsid w:val="00AB1C13"/>
    <w:rsid w:val="00AB38FD"/>
    <w:rsid w:val="00AC2F43"/>
    <w:rsid w:val="00AF520E"/>
    <w:rsid w:val="00B21215"/>
    <w:rsid w:val="00B2314F"/>
    <w:rsid w:val="00B30579"/>
    <w:rsid w:val="00B343E2"/>
    <w:rsid w:val="00B36F9D"/>
    <w:rsid w:val="00B6194D"/>
    <w:rsid w:val="00BD0CC1"/>
    <w:rsid w:val="00BD3851"/>
    <w:rsid w:val="00BE7748"/>
    <w:rsid w:val="00C05233"/>
    <w:rsid w:val="00C252B6"/>
    <w:rsid w:val="00C342B8"/>
    <w:rsid w:val="00C36F9F"/>
    <w:rsid w:val="00C43AC1"/>
    <w:rsid w:val="00C74DE0"/>
    <w:rsid w:val="00CB16DB"/>
    <w:rsid w:val="00CD7646"/>
    <w:rsid w:val="00CF2FAB"/>
    <w:rsid w:val="00D05861"/>
    <w:rsid w:val="00D15DAE"/>
    <w:rsid w:val="00D41F91"/>
    <w:rsid w:val="00D513C5"/>
    <w:rsid w:val="00D52ECE"/>
    <w:rsid w:val="00D76497"/>
    <w:rsid w:val="00D96D66"/>
    <w:rsid w:val="00DB4703"/>
    <w:rsid w:val="00DE227C"/>
    <w:rsid w:val="00E15083"/>
    <w:rsid w:val="00E25091"/>
    <w:rsid w:val="00E4558E"/>
    <w:rsid w:val="00E62F8D"/>
    <w:rsid w:val="00E970D6"/>
    <w:rsid w:val="00EA62D4"/>
    <w:rsid w:val="00F2610E"/>
    <w:rsid w:val="00F34683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7EE9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3E2"/>
    <w:pPr>
      <w:outlineLvl w:val="0"/>
    </w:pPr>
    <w:rPr>
      <w:b/>
      <w:bCs/>
      <w:color w:val="44546A" w:themeColor="text2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F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43"/>
    <w:rPr>
      <w:rFonts w:ascii="Times New Roman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C7F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5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2B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2B6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E6BCC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96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6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6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D66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343E2"/>
    <w:rPr>
      <w:b/>
      <w:bCs/>
      <w:color w:val="44546A" w:themeColor="text2"/>
      <w:sz w:val="28"/>
    </w:rPr>
  </w:style>
  <w:style w:type="character" w:styleId="Hyperlink">
    <w:name w:val="Hyperlink"/>
    <w:basedOn w:val="DefaultParagraphFont"/>
    <w:uiPriority w:val="99"/>
    <w:unhideWhenUsed/>
    <w:rsid w:val="000B2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geo/papua-new-guinea/australia-papua-new-guinea-historic-documents/papua-new-guinea-australia-joint-statement-intent-technical-and-vocational-education-and-training-papua-new-guine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5F0F-537E-4AB1-92DF-E48FF666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5389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Papua New Guinea – Australia Joint Statement of Intent on Technical and Vocational Education and Training in Papua New Guinea</vt:lpstr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Papua New Guinea – Australia Joint Statement of Intent on Technical and Vocational Education and Training in Papua New Guinea</dc:title>
  <dc:subject/>
  <dc:creator/>
  <cp:keywords>[SEC=OFFICIAL]</cp:keywords>
  <dc:description/>
  <cp:lastModifiedBy/>
  <cp:revision>1</cp:revision>
  <dcterms:created xsi:type="dcterms:W3CDTF">2024-07-09T00:15:00Z</dcterms:created>
  <dcterms:modified xsi:type="dcterms:W3CDTF">2024-07-09T00:16:00Z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ADA3A1A5F53541C5BF03EDF5F12B9CF2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2022-10-31T02:22:48Z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632EF1E7E652A075975458FA42CEE171</vt:lpwstr>
  </property>
  <property fmtid="{D5CDD505-2E9C-101B-9397-08002B2CF9AE}" pid="20" name="PM_Hash_Salt">
    <vt:lpwstr>1E13F4475105BD74A193BA08A7F29BFC</vt:lpwstr>
  </property>
  <property fmtid="{D5CDD505-2E9C-101B-9397-08002B2CF9AE}" pid="21" name="PM_Hash_SHA1">
    <vt:lpwstr>72A4CC00A887A51016052B0009EB04669B6AD8E9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MinimumSecurityClassification">
    <vt:lpwstr>OFFICIAL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3E9DB5AB808CA91EB3E8EC398CDB7F67B110581D6BB28BC88565729DCE387350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HMAC">
    <vt:lpwstr>v=2022.1;a=SHA256;h=C393A81AAD45C2D55F33A4FC1D72127D82C4F7F9AFD852787461071FA714955D</vt:lpwstr>
  </property>
</Properties>
</file>