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rawings/drawing1.xml" ContentType="application/vnd.openxmlformats-officedocument.drawingml.chartshapes+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diagrams/drawing1.xml" ContentType="application/vnd.ms-office.drawingml.diagramDrawing+xml"/>
  <Override PartName="/word/theme/themeOverride1.xml" ContentType="application/vnd.openxmlformats-officedocument.themeOverride+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6042D" w14:textId="77777777" w:rsidR="00BC7D3F" w:rsidRPr="002E785F" w:rsidRDefault="00BC7D3F" w:rsidP="00E16C77">
      <w:pPr>
        <w:pBdr>
          <w:bottom w:val="single" w:sz="4" w:space="1" w:color="auto"/>
        </w:pBdr>
        <w:rPr>
          <w:b/>
          <w:sz w:val="40"/>
          <w:lang w:val="en-AU"/>
        </w:rPr>
      </w:pPr>
      <w:bookmarkStart w:id="0" w:name="_Toc330284882"/>
    </w:p>
    <w:p w14:paraId="754B0225" w14:textId="77777777" w:rsidR="00BC7D3F" w:rsidRPr="002E785F" w:rsidRDefault="00BC7D3F" w:rsidP="00E16C77">
      <w:pPr>
        <w:pBdr>
          <w:bottom w:val="single" w:sz="4" w:space="1" w:color="auto"/>
        </w:pBdr>
        <w:rPr>
          <w:b/>
          <w:sz w:val="40"/>
          <w:lang w:val="en-AU"/>
        </w:rPr>
      </w:pPr>
    </w:p>
    <w:p w14:paraId="599E3070" w14:textId="77777777" w:rsidR="00BC7D3F" w:rsidRPr="002E785F" w:rsidRDefault="00BC7D3F" w:rsidP="00E16C77">
      <w:pPr>
        <w:pBdr>
          <w:bottom w:val="single" w:sz="4" w:space="1" w:color="auto"/>
        </w:pBdr>
        <w:rPr>
          <w:b/>
          <w:sz w:val="40"/>
          <w:lang w:val="en-AU"/>
        </w:rPr>
      </w:pPr>
    </w:p>
    <w:p w14:paraId="24B52137" w14:textId="77777777" w:rsidR="00BC7D3F" w:rsidRPr="002E785F" w:rsidRDefault="00BC7D3F" w:rsidP="00E16C77">
      <w:pPr>
        <w:pBdr>
          <w:bottom w:val="single" w:sz="4" w:space="1" w:color="auto"/>
        </w:pBdr>
        <w:rPr>
          <w:b/>
          <w:sz w:val="40"/>
          <w:lang w:val="en-AU"/>
        </w:rPr>
      </w:pPr>
    </w:p>
    <w:p w14:paraId="53C7FD5E" w14:textId="77777777" w:rsidR="00BC7D3F" w:rsidRPr="002E785F" w:rsidRDefault="00BC7D3F" w:rsidP="00E16C77">
      <w:pPr>
        <w:pBdr>
          <w:bottom w:val="single" w:sz="4" w:space="1" w:color="auto"/>
        </w:pBdr>
        <w:rPr>
          <w:b/>
          <w:sz w:val="40"/>
          <w:lang w:val="en-AU"/>
        </w:rPr>
      </w:pPr>
    </w:p>
    <w:p w14:paraId="3A4FD671" w14:textId="77777777" w:rsidR="00BC7D3F" w:rsidRPr="002E785F" w:rsidRDefault="00BC7D3F" w:rsidP="00E16C77">
      <w:pPr>
        <w:pBdr>
          <w:bottom w:val="single" w:sz="4" w:space="1" w:color="auto"/>
        </w:pBdr>
        <w:rPr>
          <w:b/>
          <w:sz w:val="40"/>
          <w:lang w:val="en-AU"/>
        </w:rPr>
      </w:pPr>
    </w:p>
    <w:p w14:paraId="23E277FB" w14:textId="77777777" w:rsidR="00BC7D3F" w:rsidRPr="002E785F" w:rsidRDefault="00BC7D3F" w:rsidP="00E16C77">
      <w:pPr>
        <w:pBdr>
          <w:bottom w:val="single" w:sz="4" w:space="1" w:color="auto"/>
        </w:pBdr>
        <w:rPr>
          <w:b/>
          <w:sz w:val="40"/>
          <w:lang w:val="en-AU"/>
        </w:rPr>
      </w:pPr>
    </w:p>
    <w:p w14:paraId="4221A43C" w14:textId="77777777" w:rsidR="00BC7D3F" w:rsidRPr="002E785F" w:rsidRDefault="00BC7D3F" w:rsidP="00E16C77">
      <w:pPr>
        <w:pBdr>
          <w:bottom w:val="single" w:sz="4" w:space="1" w:color="auto"/>
        </w:pBdr>
        <w:rPr>
          <w:b/>
          <w:sz w:val="40"/>
          <w:lang w:val="en-AU"/>
        </w:rPr>
      </w:pPr>
    </w:p>
    <w:p w14:paraId="1FA679A6" w14:textId="77777777" w:rsidR="00BC7D3F" w:rsidRPr="00E27200" w:rsidRDefault="002426AA" w:rsidP="00E16C77">
      <w:pPr>
        <w:pBdr>
          <w:bottom w:val="single" w:sz="4" w:space="1" w:color="auto"/>
        </w:pBdr>
        <w:rPr>
          <w:b/>
          <w:sz w:val="40"/>
          <w:lang w:val="en-AU"/>
        </w:rPr>
      </w:pPr>
      <w:r w:rsidRPr="00E27200">
        <w:rPr>
          <w:b/>
          <w:sz w:val="40"/>
          <w:lang w:val="en-AU"/>
        </w:rPr>
        <w:t>Year One Evaluation Report</w:t>
      </w:r>
    </w:p>
    <w:p w14:paraId="5095A5B4" w14:textId="77777777" w:rsidR="00BC7D3F" w:rsidRPr="00E27200" w:rsidRDefault="00BC7D3F" w:rsidP="00E16C77">
      <w:pPr>
        <w:rPr>
          <w:b/>
          <w:color w:val="C0504D"/>
          <w:sz w:val="40"/>
          <w:lang w:val="en-AU"/>
        </w:rPr>
      </w:pPr>
    </w:p>
    <w:p w14:paraId="1802C069" w14:textId="77777777" w:rsidR="00BC7D3F" w:rsidRPr="00E27200" w:rsidRDefault="00BC7D3F" w:rsidP="00E16C77">
      <w:pPr>
        <w:rPr>
          <w:b/>
          <w:color w:val="C0504D"/>
          <w:sz w:val="40"/>
          <w:lang w:val="en-AU"/>
        </w:rPr>
      </w:pPr>
    </w:p>
    <w:p w14:paraId="3C9C43B4" w14:textId="6CE7527B" w:rsidR="002426AA" w:rsidRPr="00E27200" w:rsidRDefault="002426AA" w:rsidP="00E16C77">
      <w:pPr>
        <w:rPr>
          <w:b/>
          <w:color w:val="C0504D"/>
          <w:sz w:val="40"/>
          <w:lang w:val="en-AU"/>
        </w:rPr>
      </w:pPr>
      <w:r w:rsidRPr="00E27200">
        <w:rPr>
          <w:b/>
          <w:color w:val="C0504D"/>
          <w:sz w:val="40"/>
          <w:lang w:val="en-AU"/>
        </w:rPr>
        <w:t xml:space="preserve">Medical Supply Reform Impact Evaluation </w:t>
      </w:r>
    </w:p>
    <w:p w14:paraId="51DE15C6" w14:textId="77777777" w:rsidR="00BC7D3F" w:rsidRPr="00E27200" w:rsidRDefault="002426AA" w:rsidP="00E16C77">
      <w:pPr>
        <w:rPr>
          <w:b/>
          <w:color w:val="C0504D"/>
          <w:sz w:val="40"/>
          <w:lang w:val="en-AU"/>
        </w:rPr>
      </w:pPr>
      <w:r w:rsidRPr="00E27200">
        <w:rPr>
          <w:b/>
          <w:color w:val="C0504D"/>
          <w:sz w:val="40"/>
          <w:lang w:val="en-AU"/>
        </w:rPr>
        <w:t>Papua New Guinea</w:t>
      </w:r>
    </w:p>
    <w:p w14:paraId="4FF62E69" w14:textId="77777777" w:rsidR="00BC7D3F" w:rsidRPr="00E27200" w:rsidRDefault="00BC7D3F" w:rsidP="00E16C77">
      <w:pPr>
        <w:rPr>
          <w:b/>
          <w:sz w:val="32"/>
          <w:lang w:val="en-AU"/>
        </w:rPr>
      </w:pPr>
    </w:p>
    <w:p w14:paraId="325F580C" w14:textId="77777777" w:rsidR="00BC7D3F" w:rsidRPr="00E27200" w:rsidRDefault="00BC7D3F" w:rsidP="00E16C77">
      <w:pPr>
        <w:rPr>
          <w:b/>
          <w:sz w:val="32"/>
          <w:lang w:val="en-AU"/>
        </w:rPr>
      </w:pPr>
    </w:p>
    <w:p w14:paraId="0EC19F67" w14:textId="77777777" w:rsidR="00BC7D3F" w:rsidRPr="00E27200" w:rsidRDefault="00BC7D3F" w:rsidP="00E16C77">
      <w:pPr>
        <w:rPr>
          <w:b/>
          <w:sz w:val="32"/>
          <w:lang w:val="en-AU"/>
        </w:rPr>
      </w:pPr>
    </w:p>
    <w:p w14:paraId="350CDA22" w14:textId="77777777" w:rsidR="00BC7D3F" w:rsidRPr="00E27200" w:rsidRDefault="00BC7D3F" w:rsidP="00E16C77">
      <w:pPr>
        <w:rPr>
          <w:b/>
          <w:sz w:val="32"/>
          <w:lang w:val="en-AU"/>
        </w:rPr>
      </w:pPr>
    </w:p>
    <w:p w14:paraId="4919082B" w14:textId="188DEAA5" w:rsidR="00BC7D3F" w:rsidRPr="00E27200" w:rsidRDefault="002525F4" w:rsidP="00E16C77">
      <w:pPr>
        <w:rPr>
          <w:b/>
          <w:sz w:val="32"/>
          <w:lang w:val="en-AU"/>
        </w:rPr>
      </w:pPr>
      <w:r>
        <w:rPr>
          <w:b/>
          <w:sz w:val="32"/>
          <w:lang w:val="en-AU"/>
        </w:rPr>
        <w:t>December</w:t>
      </w:r>
      <w:r w:rsidR="005F0E2B">
        <w:rPr>
          <w:b/>
          <w:sz w:val="32"/>
          <w:lang w:val="en-AU"/>
        </w:rPr>
        <w:t xml:space="preserve"> 2013</w:t>
      </w:r>
    </w:p>
    <w:p w14:paraId="605B2DD7" w14:textId="77777777" w:rsidR="00BC7D3F" w:rsidRPr="00E27200" w:rsidRDefault="00BC7D3F" w:rsidP="00E16C77">
      <w:pPr>
        <w:rPr>
          <w:rFonts w:cs="Times New Roman"/>
          <w:b/>
          <w:color w:val="AD495D"/>
          <w:spacing w:val="-10"/>
          <w:kern w:val="28"/>
          <w:sz w:val="32"/>
          <w:szCs w:val="36"/>
          <w:lang w:val="en-AU" w:eastAsia="en-AU"/>
        </w:rPr>
      </w:pPr>
    </w:p>
    <w:p w14:paraId="24FA713E" w14:textId="77777777" w:rsidR="00BC7D3F" w:rsidRPr="00E27200" w:rsidRDefault="00BC7D3F" w:rsidP="00E16C77">
      <w:pPr>
        <w:rPr>
          <w:rFonts w:cs="Times New Roman"/>
          <w:b/>
          <w:color w:val="AD495D"/>
          <w:spacing w:val="-10"/>
          <w:kern w:val="28"/>
          <w:sz w:val="32"/>
          <w:szCs w:val="36"/>
          <w:lang w:val="en-AU" w:eastAsia="en-AU"/>
        </w:rPr>
      </w:pPr>
      <w:r w:rsidRPr="00E27200">
        <w:rPr>
          <w:lang w:val="en-AU"/>
        </w:rPr>
        <w:br w:type="page"/>
      </w:r>
    </w:p>
    <w:p w14:paraId="32160E2D" w14:textId="77777777" w:rsidR="00C10FD4" w:rsidRDefault="00385E08">
      <w:pPr>
        <w:pStyle w:val="TOC1"/>
        <w:rPr>
          <w:b w:val="0"/>
          <w:sz w:val="36"/>
          <w:szCs w:val="36"/>
          <w:lang w:val="en-AU"/>
        </w:rPr>
      </w:pPr>
      <w:bookmarkStart w:id="1" w:name="_Toc238867682"/>
      <w:r w:rsidRPr="009C18CA">
        <w:rPr>
          <w:b w:val="0"/>
          <w:sz w:val="36"/>
          <w:szCs w:val="36"/>
          <w:lang w:val="en-AU"/>
        </w:rPr>
        <w:lastRenderedPageBreak/>
        <w:t>Table of Contents</w:t>
      </w:r>
      <w:bookmarkStart w:id="2" w:name="_Toc238867683"/>
      <w:bookmarkEnd w:id="1"/>
      <w:bookmarkEnd w:id="2"/>
    </w:p>
    <w:p w14:paraId="1A7A4075" w14:textId="132AABDE" w:rsidR="00647BBD" w:rsidRDefault="006D4F4F">
      <w:pPr>
        <w:pStyle w:val="TOC1"/>
        <w:rPr>
          <w:rFonts w:asciiTheme="minorHAnsi" w:eastAsiaTheme="minorEastAsia" w:hAnsiTheme="minorHAnsi" w:cstheme="minorBidi"/>
          <w:b w:val="0"/>
          <w:color w:val="auto"/>
          <w:sz w:val="24"/>
          <w:szCs w:val="24"/>
          <w:lang w:val="en-AU" w:eastAsia="ja-JP"/>
        </w:rPr>
      </w:pPr>
      <w:r w:rsidRPr="00E27200">
        <w:rPr>
          <w:color w:val="000000" w:themeColor="text1"/>
          <w:lang w:val="en-AU"/>
        </w:rPr>
        <w:fldChar w:fldCharType="begin"/>
      </w:r>
      <w:r w:rsidR="00345F10" w:rsidRPr="00E27200">
        <w:rPr>
          <w:color w:val="000000" w:themeColor="text1"/>
          <w:lang w:val="en-AU"/>
        </w:rPr>
        <w:instrText xml:space="preserve"> TOC \o "1-2" </w:instrText>
      </w:r>
      <w:r w:rsidRPr="00E27200">
        <w:rPr>
          <w:color w:val="000000" w:themeColor="text1"/>
          <w:lang w:val="en-AU"/>
        </w:rPr>
        <w:fldChar w:fldCharType="separate"/>
      </w:r>
      <w:r w:rsidR="00647BBD">
        <w:t>Acronyms</w:t>
      </w:r>
      <w:r w:rsidR="00647BBD">
        <w:tab/>
      </w:r>
      <w:r w:rsidR="00647BBD">
        <w:fldChar w:fldCharType="begin"/>
      </w:r>
      <w:r w:rsidR="00647BBD">
        <w:instrText xml:space="preserve"> PAGEREF _Toc245810733 \h </w:instrText>
      </w:r>
      <w:r w:rsidR="00647BBD">
        <w:fldChar w:fldCharType="separate"/>
      </w:r>
      <w:r w:rsidR="0086312F">
        <w:t>3</w:t>
      </w:r>
      <w:r w:rsidR="00647BBD">
        <w:fldChar w:fldCharType="end"/>
      </w:r>
    </w:p>
    <w:p w14:paraId="5F078CFD" w14:textId="77777777" w:rsidR="00647BBD" w:rsidRDefault="00647BBD">
      <w:pPr>
        <w:pStyle w:val="TOC1"/>
        <w:rPr>
          <w:rFonts w:asciiTheme="minorHAnsi" w:eastAsiaTheme="minorEastAsia" w:hAnsiTheme="minorHAnsi" w:cstheme="minorBidi"/>
          <w:b w:val="0"/>
          <w:color w:val="auto"/>
          <w:sz w:val="24"/>
          <w:szCs w:val="24"/>
          <w:lang w:val="en-AU" w:eastAsia="ja-JP"/>
        </w:rPr>
      </w:pPr>
      <w:r>
        <w:t>Executive Summary</w:t>
      </w:r>
      <w:r>
        <w:tab/>
      </w:r>
      <w:r>
        <w:fldChar w:fldCharType="begin"/>
      </w:r>
      <w:r>
        <w:instrText xml:space="preserve"> PAGEREF _Toc245810734 \h </w:instrText>
      </w:r>
      <w:r>
        <w:fldChar w:fldCharType="separate"/>
      </w:r>
      <w:r w:rsidR="0086312F">
        <w:t>4</w:t>
      </w:r>
      <w:r>
        <w:fldChar w:fldCharType="end"/>
      </w:r>
    </w:p>
    <w:p w14:paraId="3FB8A080" w14:textId="77777777" w:rsidR="00647BBD" w:rsidRDefault="00647BBD">
      <w:pPr>
        <w:pStyle w:val="TOC1"/>
        <w:tabs>
          <w:tab w:val="clear" w:pos="400"/>
          <w:tab w:val="left" w:pos="410"/>
        </w:tabs>
        <w:rPr>
          <w:rFonts w:asciiTheme="minorHAnsi" w:eastAsiaTheme="minorEastAsia" w:hAnsiTheme="minorHAnsi" w:cstheme="minorBidi"/>
          <w:b w:val="0"/>
          <w:color w:val="auto"/>
          <w:sz w:val="24"/>
          <w:szCs w:val="24"/>
          <w:lang w:val="en-AU" w:eastAsia="ja-JP"/>
        </w:rPr>
      </w:pPr>
      <w:r>
        <w:t>1.</w:t>
      </w:r>
      <w:r>
        <w:rPr>
          <w:rFonts w:asciiTheme="minorHAnsi" w:eastAsiaTheme="minorEastAsia" w:hAnsiTheme="minorHAnsi" w:cstheme="minorBidi"/>
          <w:b w:val="0"/>
          <w:color w:val="auto"/>
          <w:sz w:val="24"/>
          <w:szCs w:val="24"/>
          <w:lang w:val="en-AU" w:eastAsia="ja-JP"/>
        </w:rPr>
        <w:tab/>
      </w:r>
      <w:r>
        <w:t>Introduction</w:t>
      </w:r>
      <w:r>
        <w:tab/>
      </w:r>
      <w:r>
        <w:fldChar w:fldCharType="begin"/>
      </w:r>
      <w:r>
        <w:instrText xml:space="preserve"> PAGEREF _Toc245810735 \h </w:instrText>
      </w:r>
      <w:r>
        <w:fldChar w:fldCharType="separate"/>
      </w:r>
      <w:r w:rsidR="0086312F">
        <w:t>9</w:t>
      </w:r>
      <w:r>
        <w:fldChar w:fldCharType="end"/>
      </w:r>
    </w:p>
    <w:p w14:paraId="1DD17C61" w14:textId="77777777" w:rsidR="00647BBD" w:rsidRDefault="00647BBD">
      <w:pPr>
        <w:pStyle w:val="TOC1"/>
        <w:tabs>
          <w:tab w:val="clear" w:pos="400"/>
          <w:tab w:val="left" w:pos="410"/>
        </w:tabs>
        <w:rPr>
          <w:rFonts w:asciiTheme="minorHAnsi" w:eastAsiaTheme="minorEastAsia" w:hAnsiTheme="minorHAnsi" w:cstheme="minorBidi"/>
          <w:b w:val="0"/>
          <w:color w:val="auto"/>
          <w:sz w:val="24"/>
          <w:szCs w:val="24"/>
          <w:lang w:val="en-AU" w:eastAsia="ja-JP"/>
        </w:rPr>
      </w:pPr>
      <w:r>
        <w:t>2.</w:t>
      </w:r>
      <w:r>
        <w:rPr>
          <w:rFonts w:asciiTheme="minorHAnsi" w:eastAsiaTheme="minorEastAsia" w:hAnsiTheme="minorHAnsi" w:cstheme="minorBidi"/>
          <w:b w:val="0"/>
          <w:color w:val="auto"/>
          <w:sz w:val="24"/>
          <w:szCs w:val="24"/>
          <w:lang w:val="en-AU" w:eastAsia="ja-JP"/>
        </w:rPr>
        <w:tab/>
      </w:r>
      <w:r>
        <w:t>Overview of evaluation methods for Year One</w:t>
      </w:r>
      <w:r>
        <w:tab/>
      </w:r>
      <w:r>
        <w:fldChar w:fldCharType="begin"/>
      </w:r>
      <w:r>
        <w:instrText xml:space="preserve"> PAGEREF _Toc245810738 \h </w:instrText>
      </w:r>
      <w:r>
        <w:fldChar w:fldCharType="separate"/>
      </w:r>
      <w:r w:rsidR="0086312F">
        <w:t>11</w:t>
      </w:r>
      <w:r>
        <w:fldChar w:fldCharType="end"/>
      </w:r>
    </w:p>
    <w:p w14:paraId="61018AA5" w14:textId="77777777" w:rsidR="00647BBD" w:rsidRDefault="00647BBD">
      <w:pPr>
        <w:pStyle w:val="TOC1"/>
        <w:tabs>
          <w:tab w:val="clear" w:pos="400"/>
          <w:tab w:val="left" w:pos="410"/>
        </w:tabs>
        <w:rPr>
          <w:rFonts w:asciiTheme="minorHAnsi" w:eastAsiaTheme="minorEastAsia" w:hAnsiTheme="minorHAnsi" w:cstheme="minorBidi"/>
          <w:b w:val="0"/>
          <w:color w:val="auto"/>
          <w:sz w:val="24"/>
          <w:szCs w:val="24"/>
          <w:lang w:val="en-AU" w:eastAsia="ja-JP"/>
        </w:rPr>
      </w:pPr>
      <w:r>
        <w:t>3.</w:t>
      </w:r>
      <w:r>
        <w:rPr>
          <w:rFonts w:asciiTheme="minorHAnsi" w:eastAsiaTheme="minorEastAsia" w:hAnsiTheme="minorHAnsi" w:cstheme="minorBidi"/>
          <w:b w:val="0"/>
          <w:color w:val="auto"/>
          <w:sz w:val="24"/>
          <w:szCs w:val="24"/>
          <w:lang w:val="en-AU" w:eastAsia="ja-JP"/>
        </w:rPr>
        <w:tab/>
      </w:r>
      <w:r>
        <w:t>Findings: national planning, procurement and regulation</w:t>
      </w:r>
      <w:r>
        <w:tab/>
      </w:r>
      <w:r>
        <w:fldChar w:fldCharType="begin"/>
      </w:r>
      <w:r>
        <w:instrText xml:space="preserve"> PAGEREF _Toc245810745 \h </w:instrText>
      </w:r>
      <w:r>
        <w:fldChar w:fldCharType="separate"/>
      </w:r>
      <w:r w:rsidR="0086312F">
        <w:t>16</w:t>
      </w:r>
      <w:r>
        <w:fldChar w:fldCharType="end"/>
      </w:r>
    </w:p>
    <w:p w14:paraId="1330D747" w14:textId="77777777" w:rsidR="00647BBD" w:rsidRPr="00761BC1" w:rsidRDefault="00647BBD" w:rsidP="00C10FD4">
      <w:pPr>
        <w:pStyle w:val="TOC2"/>
        <w:rPr>
          <w:rFonts w:asciiTheme="minorHAnsi" w:eastAsiaTheme="minorEastAsia" w:hAnsiTheme="minorHAnsi" w:cstheme="minorBidi"/>
          <w:b w:val="0"/>
          <w:color w:val="auto"/>
          <w:sz w:val="24"/>
          <w:szCs w:val="24"/>
          <w:lang w:val="en-AU" w:eastAsia="ja-JP"/>
        </w:rPr>
      </w:pPr>
      <w:r w:rsidRPr="00761BC1">
        <w:rPr>
          <w:b w:val="0"/>
        </w:rPr>
        <w:t>3.1.</w:t>
      </w:r>
      <w:r w:rsidRPr="00761BC1">
        <w:rPr>
          <w:rFonts w:asciiTheme="minorHAnsi" w:eastAsiaTheme="minorEastAsia" w:hAnsiTheme="minorHAnsi" w:cstheme="minorBidi"/>
          <w:b w:val="0"/>
          <w:color w:val="auto"/>
          <w:sz w:val="24"/>
          <w:szCs w:val="24"/>
          <w:lang w:val="en-AU" w:eastAsia="ja-JP"/>
        </w:rPr>
        <w:tab/>
      </w:r>
      <w:r w:rsidRPr="00761BC1">
        <w:rPr>
          <w:b w:val="0"/>
        </w:rPr>
        <w:t>National planning and budgeting</w:t>
      </w:r>
      <w:r w:rsidRPr="00761BC1">
        <w:rPr>
          <w:b w:val="0"/>
        </w:rPr>
        <w:tab/>
      </w:r>
      <w:r w:rsidRPr="00761BC1">
        <w:rPr>
          <w:b w:val="0"/>
        </w:rPr>
        <w:fldChar w:fldCharType="begin"/>
      </w:r>
      <w:r w:rsidRPr="00761BC1">
        <w:rPr>
          <w:b w:val="0"/>
        </w:rPr>
        <w:instrText xml:space="preserve"> PAGEREF _Toc245810746 \h </w:instrText>
      </w:r>
      <w:r w:rsidRPr="00761BC1">
        <w:rPr>
          <w:b w:val="0"/>
        </w:rPr>
      </w:r>
      <w:r w:rsidRPr="00761BC1">
        <w:rPr>
          <w:b w:val="0"/>
        </w:rPr>
        <w:fldChar w:fldCharType="separate"/>
      </w:r>
      <w:r w:rsidR="0086312F">
        <w:rPr>
          <w:b w:val="0"/>
        </w:rPr>
        <w:t>16</w:t>
      </w:r>
      <w:r w:rsidRPr="00761BC1">
        <w:rPr>
          <w:b w:val="0"/>
        </w:rPr>
        <w:fldChar w:fldCharType="end"/>
      </w:r>
    </w:p>
    <w:p w14:paraId="53BF7185"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3.2.</w:t>
      </w:r>
      <w:r w:rsidRPr="00761BC1">
        <w:rPr>
          <w:rFonts w:asciiTheme="minorHAnsi" w:eastAsiaTheme="minorEastAsia" w:hAnsiTheme="minorHAnsi" w:cstheme="minorBidi"/>
          <w:b w:val="0"/>
          <w:color w:val="auto"/>
          <w:sz w:val="24"/>
          <w:szCs w:val="24"/>
          <w:lang w:val="en-AU" w:eastAsia="ja-JP"/>
        </w:rPr>
        <w:tab/>
      </w:r>
      <w:r w:rsidRPr="00761BC1">
        <w:rPr>
          <w:b w:val="0"/>
        </w:rPr>
        <w:t>Procurement tendering and governance</w:t>
      </w:r>
      <w:r w:rsidRPr="00761BC1">
        <w:rPr>
          <w:b w:val="0"/>
        </w:rPr>
        <w:tab/>
      </w:r>
      <w:r w:rsidRPr="00761BC1">
        <w:rPr>
          <w:b w:val="0"/>
        </w:rPr>
        <w:fldChar w:fldCharType="begin"/>
      </w:r>
      <w:r w:rsidRPr="00761BC1">
        <w:rPr>
          <w:b w:val="0"/>
        </w:rPr>
        <w:instrText xml:space="preserve"> PAGEREF _Toc245810747 \h </w:instrText>
      </w:r>
      <w:r w:rsidRPr="00761BC1">
        <w:rPr>
          <w:b w:val="0"/>
        </w:rPr>
      </w:r>
      <w:r w:rsidRPr="00761BC1">
        <w:rPr>
          <w:b w:val="0"/>
        </w:rPr>
        <w:fldChar w:fldCharType="separate"/>
      </w:r>
      <w:r w:rsidR="0086312F">
        <w:rPr>
          <w:b w:val="0"/>
        </w:rPr>
        <w:t>19</w:t>
      </w:r>
      <w:r w:rsidRPr="00761BC1">
        <w:rPr>
          <w:b w:val="0"/>
        </w:rPr>
        <w:fldChar w:fldCharType="end"/>
      </w:r>
    </w:p>
    <w:p w14:paraId="7272D407"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3.3.</w:t>
      </w:r>
      <w:r w:rsidRPr="00761BC1">
        <w:rPr>
          <w:rFonts w:asciiTheme="minorHAnsi" w:eastAsiaTheme="minorEastAsia" w:hAnsiTheme="minorHAnsi" w:cstheme="minorBidi"/>
          <w:b w:val="0"/>
          <w:color w:val="auto"/>
          <w:sz w:val="24"/>
          <w:szCs w:val="24"/>
          <w:lang w:val="en-AU" w:eastAsia="ja-JP"/>
        </w:rPr>
        <w:tab/>
      </w:r>
      <w:r w:rsidRPr="00761BC1">
        <w:rPr>
          <w:b w:val="0"/>
        </w:rPr>
        <w:t>Quality control and regulation</w:t>
      </w:r>
      <w:r w:rsidRPr="00761BC1">
        <w:rPr>
          <w:b w:val="0"/>
        </w:rPr>
        <w:tab/>
      </w:r>
      <w:r w:rsidRPr="00761BC1">
        <w:rPr>
          <w:b w:val="0"/>
        </w:rPr>
        <w:fldChar w:fldCharType="begin"/>
      </w:r>
      <w:r w:rsidRPr="00761BC1">
        <w:rPr>
          <w:b w:val="0"/>
        </w:rPr>
        <w:instrText xml:space="preserve"> PAGEREF _Toc245810748 \h </w:instrText>
      </w:r>
      <w:r w:rsidRPr="00761BC1">
        <w:rPr>
          <w:b w:val="0"/>
        </w:rPr>
      </w:r>
      <w:r w:rsidRPr="00761BC1">
        <w:rPr>
          <w:b w:val="0"/>
        </w:rPr>
        <w:fldChar w:fldCharType="separate"/>
      </w:r>
      <w:r w:rsidR="0086312F">
        <w:rPr>
          <w:b w:val="0"/>
        </w:rPr>
        <w:t>21</w:t>
      </w:r>
      <w:r w:rsidRPr="00761BC1">
        <w:rPr>
          <w:b w:val="0"/>
        </w:rPr>
        <w:fldChar w:fldCharType="end"/>
      </w:r>
    </w:p>
    <w:p w14:paraId="3A3D1325" w14:textId="77777777" w:rsidR="00647BBD" w:rsidRDefault="00647BBD">
      <w:pPr>
        <w:pStyle w:val="TOC1"/>
        <w:tabs>
          <w:tab w:val="clear" w:pos="400"/>
          <w:tab w:val="left" w:pos="410"/>
        </w:tabs>
        <w:rPr>
          <w:rFonts w:asciiTheme="minorHAnsi" w:eastAsiaTheme="minorEastAsia" w:hAnsiTheme="minorHAnsi" w:cstheme="minorBidi"/>
          <w:b w:val="0"/>
          <w:color w:val="auto"/>
          <w:sz w:val="24"/>
          <w:szCs w:val="24"/>
          <w:lang w:val="en-AU" w:eastAsia="ja-JP"/>
        </w:rPr>
      </w:pPr>
      <w:r>
        <w:t>4.</w:t>
      </w:r>
      <w:r>
        <w:rPr>
          <w:rFonts w:asciiTheme="minorHAnsi" w:eastAsiaTheme="minorEastAsia" w:hAnsiTheme="minorHAnsi" w:cstheme="minorBidi"/>
          <w:b w:val="0"/>
          <w:color w:val="auto"/>
          <w:sz w:val="24"/>
          <w:szCs w:val="24"/>
          <w:lang w:val="en-AU" w:eastAsia="ja-JP"/>
        </w:rPr>
        <w:tab/>
      </w:r>
      <w:r>
        <w:t>Findings: supply chain systems</w:t>
      </w:r>
      <w:r>
        <w:tab/>
      </w:r>
      <w:r>
        <w:fldChar w:fldCharType="begin"/>
      </w:r>
      <w:r>
        <w:instrText xml:space="preserve"> PAGEREF _Toc245810749 \h </w:instrText>
      </w:r>
      <w:r>
        <w:fldChar w:fldCharType="separate"/>
      </w:r>
      <w:r w:rsidR="0086312F">
        <w:t>26</w:t>
      </w:r>
      <w:r>
        <w:fldChar w:fldCharType="end"/>
      </w:r>
    </w:p>
    <w:p w14:paraId="54143CFF"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4.1.</w:t>
      </w:r>
      <w:r w:rsidRPr="00761BC1">
        <w:rPr>
          <w:rFonts w:asciiTheme="minorHAnsi" w:eastAsiaTheme="minorEastAsia" w:hAnsiTheme="minorHAnsi" w:cstheme="minorBidi"/>
          <w:b w:val="0"/>
          <w:color w:val="auto"/>
          <w:sz w:val="24"/>
          <w:szCs w:val="24"/>
          <w:lang w:val="en-AU" w:eastAsia="ja-JP"/>
        </w:rPr>
        <w:tab/>
      </w:r>
      <w:r w:rsidRPr="00761BC1">
        <w:rPr>
          <w:b w:val="0"/>
        </w:rPr>
        <w:t>National planning and governance of distribution within PNG</w:t>
      </w:r>
      <w:r w:rsidRPr="00761BC1">
        <w:rPr>
          <w:b w:val="0"/>
        </w:rPr>
        <w:tab/>
      </w:r>
      <w:r w:rsidRPr="00761BC1">
        <w:rPr>
          <w:b w:val="0"/>
        </w:rPr>
        <w:fldChar w:fldCharType="begin"/>
      </w:r>
      <w:r w:rsidRPr="00761BC1">
        <w:rPr>
          <w:b w:val="0"/>
        </w:rPr>
        <w:instrText xml:space="preserve"> PAGEREF _Toc245810750 \h </w:instrText>
      </w:r>
      <w:r w:rsidRPr="00761BC1">
        <w:rPr>
          <w:b w:val="0"/>
        </w:rPr>
      </w:r>
      <w:r w:rsidRPr="00761BC1">
        <w:rPr>
          <w:b w:val="0"/>
        </w:rPr>
        <w:fldChar w:fldCharType="separate"/>
      </w:r>
      <w:r w:rsidR="0086312F">
        <w:rPr>
          <w:b w:val="0"/>
        </w:rPr>
        <w:t>26</w:t>
      </w:r>
      <w:r w:rsidRPr="00761BC1">
        <w:rPr>
          <w:b w:val="0"/>
        </w:rPr>
        <w:fldChar w:fldCharType="end"/>
      </w:r>
    </w:p>
    <w:p w14:paraId="2774D236"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4.2.</w:t>
      </w:r>
      <w:r w:rsidRPr="00761BC1">
        <w:rPr>
          <w:rFonts w:asciiTheme="minorHAnsi" w:eastAsiaTheme="minorEastAsia" w:hAnsiTheme="minorHAnsi" w:cstheme="minorBidi"/>
          <w:b w:val="0"/>
          <w:color w:val="auto"/>
          <w:sz w:val="24"/>
          <w:szCs w:val="24"/>
          <w:lang w:val="en-AU" w:eastAsia="ja-JP"/>
        </w:rPr>
        <w:tab/>
      </w:r>
      <w:r w:rsidRPr="00761BC1">
        <w:rPr>
          <w:b w:val="0"/>
        </w:rPr>
        <w:t>Warehousing and medical store stock management</w:t>
      </w:r>
      <w:r w:rsidRPr="00761BC1">
        <w:rPr>
          <w:b w:val="0"/>
        </w:rPr>
        <w:tab/>
      </w:r>
      <w:r w:rsidRPr="00761BC1">
        <w:rPr>
          <w:b w:val="0"/>
        </w:rPr>
        <w:fldChar w:fldCharType="begin"/>
      </w:r>
      <w:r w:rsidRPr="00761BC1">
        <w:rPr>
          <w:b w:val="0"/>
        </w:rPr>
        <w:instrText xml:space="preserve"> PAGEREF _Toc245810751 \h </w:instrText>
      </w:r>
      <w:r w:rsidRPr="00761BC1">
        <w:rPr>
          <w:b w:val="0"/>
        </w:rPr>
      </w:r>
      <w:r w:rsidRPr="00761BC1">
        <w:rPr>
          <w:b w:val="0"/>
        </w:rPr>
        <w:fldChar w:fldCharType="separate"/>
      </w:r>
      <w:r w:rsidR="0086312F">
        <w:rPr>
          <w:b w:val="0"/>
        </w:rPr>
        <w:t>28</w:t>
      </w:r>
      <w:r w:rsidRPr="00761BC1">
        <w:rPr>
          <w:b w:val="0"/>
        </w:rPr>
        <w:fldChar w:fldCharType="end"/>
      </w:r>
    </w:p>
    <w:p w14:paraId="47B137B6"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4.3.</w:t>
      </w:r>
      <w:r w:rsidRPr="00761BC1">
        <w:rPr>
          <w:rFonts w:asciiTheme="minorHAnsi" w:eastAsiaTheme="minorEastAsia" w:hAnsiTheme="minorHAnsi" w:cstheme="minorBidi"/>
          <w:b w:val="0"/>
          <w:color w:val="auto"/>
          <w:sz w:val="24"/>
          <w:szCs w:val="24"/>
          <w:lang w:val="en-AU" w:eastAsia="ja-JP"/>
        </w:rPr>
        <w:tab/>
      </w:r>
      <w:r w:rsidRPr="00761BC1">
        <w:rPr>
          <w:b w:val="0"/>
        </w:rPr>
        <w:t>Distribution practices and communications, in ‘pull’ and ‘push’ systems</w:t>
      </w:r>
      <w:r w:rsidRPr="00761BC1">
        <w:rPr>
          <w:b w:val="0"/>
        </w:rPr>
        <w:tab/>
      </w:r>
      <w:r w:rsidRPr="00761BC1">
        <w:rPr>
          <w:b w:val="0"/>
        </w:rPr>
        <w:fldChar w:fldCharType="begin"/>
      </w:r>
      <w:r w:rsidRPr="00761BC1">
        <w:rPr>
          <w:b w:val="0"/>
        </w:rPr>
        <w:instrText xml:space="preserve"> PAGEREF _Toc245810752 \h </w:instrText>
      </w:r>
      <w:r w:rsidRPr="00761BC1">
        <w:rPr>
          <w:b w:val="0"/>
        </w:rPr>
      </w:r>
      <w:r w:rsidRPr="00761BC1">
        <w:rPr>
          <w:b w:val="0"/>
        </w:rPr>
        <w:fldChar w:fldCharType="separate"/>
      </w:r>
      <w:r w:rsidR="0086312F">
        <w:rPr>
          <w:b w:val="0"/>
        </w:rPr>
        <w:t>31</w:t>
      </w:r>
      <w:r w:rsidRPr="00761BC1">
        <w:rPr>
          <w:b w:val="0"/>
        </w:rPr>
        <w:fldChar w:fldCharType="end"/>
      </w:r>
    </w:p>
    <w:p w14:paraId="74B30FA4" w14:textId="77777777" w:rsidR="00647BBD" w:rsidRDefault="00647BBD">
      <w:pPr>
        <w:pStyle w:val="TOC1"/>
        <w:tabs>
          <w:tab w:val="clear" w:pos="400"/>
          <w:tab w:val="left" w:pos="410"/>
        </w:tabs>
        <w:rPr>
          <w:rFonts w:asciiTheme="minorHAnsi" w:eastAsiaTheme="minorEastAsia" w:hAnsiTheme="minorHAnsi" w:cstheme="minorBidi"/>
          <w:b w:val="0"/>
          <w:color w:val="auto"/>
          <w:sz w:val="24"/>
          <w:szCs w:val="24"/>
          <w:lang w:val="en-AU" w:eastAsia="ja-JP"/>
        </w:rPr>
      </w:pPr>
      <w:r>
        <w:t>5.</w:t>
      </w:r>
      <w:r>
        <w:rPr>
          <w:rFonts w:asciiTheme="minorHAnsi" w:eastAsiaTheme="minorEastAsia" w:hAnsiTheme="minorHAnsi" w:cstheme="minorBidi"/>
          <w:b w:val="0"/>
          <w:color w:val="auto"/>
          <w:sz w:val="24"/>
          <w:szCs w:val="24"/>
          <w:lang w:val="en-AU" w:eastAsia="ja-JP"/>
        </w:rPr>
        <w:tab/>
      </w:r>
      <w:r>
        <w:t>Findings: availability and usage of essential medicines in health facilities</w:t>
      </w:r>
      <w:r>
        <w:tab/>
      </w:r>
      <w:r>
        <w:fldChar w:fldCharType="begin"/>
      </w:r>
      <w:r>
        <w:instrText xml:space="preserve"> PAGEREF _Toc245810753 \h </w:instrText>
      </w:r>
      <w:r>
        <w:fldChar w:fldCharType="separate"/>
      </w:r>
      <w:r w:rsidR="0086312F">
        <w:t>41</w:t>
      </w:r>
      <w:r>
        <w:fldChar w:fldCharType="end"/>
      </w:r>
    </w:p>
    <w:p w14:paraId="146BEE35"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5.1.</w:t>
      </w:r>
      <w:r w:rsidRPr="00761BC1">
        <w:rPr>
          <w:rFonts w:asciiTheme="minorHAnsi" w:eastAsiaTheme="minorEastAsia" w:hAnsiTheme="minorHAnsi" w:cstheme="minorBidi"/>
          <w:b w:val="0"/>
          <w:color w:val="auto"/>
          <w:sz w:val="24"/>
          <w:szCs w:val="24"/>
          <w:lang w:val="en-AU" w:eastAsia="ja-JP"/>
        </w:rPr>
        <w:tab/>
      </w:r>
      <w:r w:rsidRPr="00761BC1">
        <w:rPr>
          <w:b w:val="0"/>
        </w:rPr>
        <w:t>Availability of essential medicines</w:t>
      </w:r>
      <w:r w:rsidRPr="00761BC1">
        <w:rPr>
          <w:b w:val="0"/>
        </w:rPr>
        <w:tab/>
      </w:r>
      <w:r w:rsidRPr="00761BC1">
        <w:rPr>
          <w:b w:val="0"/>
        </w:rPr>
        <w:fldChar w:fldCharType="begin"/>
      </w:r>
      <w:r w:rsidRPr="00761BC1">
        <w:rPr>
          <w:b w:val="0"/>
        </w:rPr>
        <w:instrText xml:space="preserve"> PAGEREF _Toc245810754 \h </w:instrText>
      </w:r>
      <w:r w:rsidRPr="00761BC1">
        <w:rPr>
          <w:b w:val="0"/>
        </w:rPr>
      </w:r>
      <w:r w:rsidRPr="00761BC1">
        <w:rPr>
          <w:b w:val="0"/>
        </w:rPr>
        <w:fldChar w:fldCharType="separate"/>
      </w:r>
      <w:r w:rsidR="0086312F">
        <w:rPr>
          <w:b w:val="0"/>
        </w:rPr>
        <w:t>41</w:t>
      </w:r>
      <w:r w:rsidRPr="00761BC1">
        <w:rPr>
          <w:b w:val="0"/>
        </w:rPr>
        <w:fldChar w:fldCharType="end"/>
      </w:r>
    </w:p>
    <w:p w14:paraId="0B9E22D3"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5.2.</w:t>
      </w:r>
      <w:r w:rsidRPr="00761BC1">
        <w:rPr>
          <w:rFonts w:asciiTheme="minorHAnsi" w:eastAsiaTheme="minorEastAsia" w:hAnsiTheme="minorHAnsi" w:cstheme="minorBidi"/>
          <w:b w:val="0"/>
          <w:color w:val="auto"/>
          <w:sz w:val="24"/>
          <w:szCs w:val="24"/>
          <w:lang w:val="en-AU" w:eastAsia="ja-JP"/>
        </w:rPr>
        <w:tab/>
      </w:r>
      <w:r w:rsidRPr="00761BC1">
        <w:rPr>
          <w:b w:val="0"/>
        </w:rPr>
        <w:t>Rational use of essential medicines and appropriate prescribing</w:t>
      </w:r>
      <w:r w:rsidRPr="00761BC1">
        <w:rPr>
          <w:b w:val="0"/>
        </w:rPr>
        <w:tab/>
      </w:r>
      <w:r w:rsidRPr="00761BC1">
        <w:rPr>
          <w:b w:val="0"/>
        </w:rPr>
        <w:fldChar w:fldCharType="begin"/>
      </w:r>
      <w:r w:rsidRPr="00761BC1">
        <w:rPr>
          <w:b w:val="0"/>
        </w:rPr>
        <w:instrText xml:space="preserve"> PAGEREF _Toc245810755 \h </w:instrText>
      </w:r>
      <w:r w:rsidRPr="00761BC1">
        <w:rPr>
          <w:b w:val="0"/>
        </w:rPr>
      </w:r>
      <w:r w:rsidRPr="00761BC1">
        <w:rPr>
          <w:b w:val="0"/>
        </w:rPr>
        <w:fldChar w:fldCharType="separate"/>
      </w:r>
      <w:r w:rsidR="0086312F">
        <w:rPr>
          <w:b w:val="0"/>
        </w:rPr>
        <w:t>47</w:t>
      </w:r>
      <w:r w:rsidRPr="00761BC1">
        <w:rPr>
          <w:b w:val="0"/>
        </w:rPr>
        <w:fldChar w:fldCharType="end"/>
      </w:r>
    </w:p>
    <w:p w14:paraId="4CAABBA3" w14:textId="77777777" w:rsidR="00647BBD" w:rsidRDefault="00647BBD">
      <w:pPr>
        <w:pStyle w:val="TOC1"/>
        <w:tabs>
          <w:tab w:val="clear" w:pos="400"/>
          <w:tab w:val="left" w:pos="410"/>
        </w:tabs>
        <w:rPr>
          <w:rFonts w:asciiTheme="minorHAnsi" w:eastAsiaTheme="minorEastAsia" w:hAnsiTheme="minorHAnsi" w:cstheme="minorBidi"/>
          <w:b w:val="0"/>
          <w:color w:val="auto"/>
          <w:sz w:val="24"/>
          <w:szCs w:val="24"/>
          <w:lang w:val="en-AU" w:eastAsia="ja-JP"/>
        </w:rPr>
      </w:pPr>
      <w:r>
        <w:t>6.</w:t>
      </w:r>
      <w:r>
        <w:rPr>
          <w:rFonts w:asciiTheme="minorHAnsi" w:eastAsiaTheme="minorEastAsia" w:hAnsiTheme="minorHAnsi" w:cstheme="minorBidi"/>
          <w:b w:val="0"/>
          <w:color w:val="auto"/>
          <w:sz w:val="24"/>
          <w:szCs w:val="24"/>
          <w:lang w:val="en-AU" w:eastAsia="ja-JP"/>
        </w:rPr>
        <w:tab/>
      </w:r>
      <w:r>
        <w:t>Findings: storage and management of medical supplies in health facilities</w:t>
      </w:r>
      <w:r>
        <w:tab/>
      </w:r>
      <w:r>
        <w:fldChar w:fldCharType="begin"/>
      </w:r>
      <w:r>
        <w:instrText xml:space="preserve"> PAGEREF _Toc245810756 \h </w:instrText>
      </w:r>
      <w:r>
        <w:fldChar w:fldCharType="separate"/>
      </w:r>
      <w:r w:rsidR="0086312F">
        <w:t>52</w:t>
      </w:r>
      <w:r>
        <w:fldChar w:fldCharType="end"/>
      </w:r>
    </w:p>
    <w:p w14:paraId="4CED44E4"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6.1.</w:t>
      </w:r>
      <w:r w:rsidRPr="00761BC1">
        <w:rPr>
          <w:rFonts w:asciiTheme="minorHAnsi" w:eastAsiaTheme="minorEastAsia" w:hAnsiTheme="minorHAnsi" w:cstheme="minorBidi"/>
          <w:b w:val="0"/>
          <w:color w:val="auto"/>
          <w:sz w:val="24"/>
          <w:szCs w:val="24"/>
          <w:lang w:val="en-AU" w:eastAsia="ja-JP"/>
        </w:rPr>
        <w:tab/>
      </w:r>
      <w:r w:rsidRPr="00761BC1">
        <w:rPr>
          <w:b w:val="0"/>
        </w:rPr>
        <w:t>Storage and handling in facilities and stores</w:t>
      </w:r>
      <w:r w:rsidRPr="00761BC1">
        <w:rPr>
          <w:b w:val="0"/>
        </w:rPr>
        <w:tab/>
      </w:r>
      <w:r w:rsidRPr="00761BC1">
        <w:rPr>
          <w:b w:val="0"/>
        </w:rPr>
        <w:fldChar w:fldCharType="begin"/>
      </w:r>
      <w:r w:rsidRPr="00761BC1">
        <w:rPr>
          <w:b w:val="0"/>
        </w:rPr>
        <w:instrText xml:space="preserve"> PAGEREF _Toc245810757 \h </w:instrText>
      </w:r>
      <w:r w:rsidRPr="00761BC1">
        <w:rPr>
          <w:b w:val="0"/>
        </w:rPr>
      </w:r>
      <w:r w:rsidRPr="00761BC1">
        <w:rPr>
          <w:b w:val="0"/>
        </w:rPr>
        <w:fldChar w:fldCharType="separate"/>
      </w:r>
      <w:r w:rsidR="0086312F">
        <w:rPr>
          <w:b w:val="0"/>
        </w:rPr>
        <w:t>52</w:t>
      </w:r>
      <w:r w:rsidRPr="00761BC1">
        <w:rPr>
          <w:b w:val="0"/>
        </w:rPr>
        <w:fldChar w:fldCharType="end"/>
      </w:r>
    </w:p>
    <w:p w14:paraId="4578AF27"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6.2.</w:t>
      </w:r>
      <w:r w:rsidRPr="00761BC1">
        <w:rPr>
          <w:rFonts w:asciiTheme="minorHAnsi" w:eastAsiaTheme="minorEastAsia" w:hAnsiTheme="minorHAnsi" w:cstheme="minorBidi"/>
          <w:b w:val="0"/>
          <w:color w:val="auto"/>
          <w:sz w:val="24"/>
          <w:szCs w:val="24"/>
          <w:lang w:val="en-AU" w:eastAsia="ja-JP"/>
        </w:rPr>
        <w:tab/>
      </w:r>
      <w:r w:rsidRPr="00761BC1">
        <w:rPr>
          <w:b w:val="0"/>
        </w:rPr>
        <w:t>Disposal of expired or unwanted medicines</w:t>
      </w:r>
      <w:r w:rsidRPr="00761BC1">
        <w:rPr>
          <w:b w:val="0"/>
        </w:rPr>
        <w:tab/>
      </w:r>
      <w:r w:rsidRPr="00761BC1">
        <w:rPr>
          <w:b w:val="0"/>
        </w:rPr>
        <w:fldChar w:fldCharType="begin"/>
      </w:r>
      <w:r w:rsidRPr="00761BC1">
        <w:rPr>
          <w:b w:val="0"/>
        </w:rPr>
        <w:instrText xml:space="preserve"> PAGEREF _Toc245810758 \h </w:instrText>
      </w:r>
      <w:r w:rsidRPr="00761BC1">
        <w:rPr>
          <w:b w:val="0"/>
        </w:rPr>
      </w:r>
      <w:r w:rsidRPr="00761BC1">
        <w:rPr>
          <w:b w:val="0"/>
        </w:rPr>
        <w:fldChar w:fldCharType="separate"/>
      </w:r>
      <w:r w:rsidR="0086312F">
        <w:rPr>
          <w:b w:val="0"/>
        </w:rPr>
        <w:t>53</w:t>
      </w:r>
      <w:r w:rsidRPr="00761BC1">
        <w:rPr>
          <w:b w:val="0"/>
        </w:rPr>
        <w:fldChar w:fldCharType="end"/>
      </w:r>
    </w:p>
    <w:p w14:paraId="41E43A38" w14:textId="77777777" w:rsidR="00647BBD" w:rsidRDefault="00647BBD">
      <w:pPr>
        <w:pStyle w:val="TOC1"/>
        <w:tabs>
          <w:tab w:val="clear" w:pos="400"/>
          <w:tab w:val="left" w:pos="410"/>
        </w:tabs>
        <w:rPr>
          <w:rFonts w:asciiTheme="minorHAnsi" w:eastAsiaTheme="minorEastAsia" w:hAnsiTheme="minorHAnsi" w:cstheme="minorBidi"/>
          <w:b w:val="0"/>
          <w:color w:val="auto"/>
          <w:sz w:val="24"/>
          <w:szCs w:val="24"/>
          <w:lang w:val="en-AU" w:eastAsia="ja-JP"/>
        </w:rPr>
      </w:pPr>
      <w:r>
        <w:t>7.</w:t>
      </w:r>
      <w:r>
        <w:rPr>
          <w:rFonts w:asciiTheme="minorHAnsi" w:eastAsiaTheme="minorEastAsia" w:hAnsiTheme="minorHAnsi" w:cstheme="minorBidi"/>
          <w:b w:val="0"/>
          <w:color w:val="auto"/>
          <w:sz w:val="24"/>
          <w:szCs w:val="24"/>
          <w:lang w:val="en-AU" w:eastAsia="ja-JP"/>
        </w:rPr>
        <w:tab/>
      </w:r>
      <w:r>
        <w:t>Findings: community engagement</w:t>
      </w:r>
      <w:r>
        <w:tab/>
      </w:r>
      <w:r>
        <w:fldChar w:fldCharType="begin"/>
      </w:r>
      <w:r>
        <w:instrText xml:space="preserve"> PAGEREF _Toc245810759 \h </w:instrText>
      </w:r>
      <w:r>
        <w:fldChar w:fldCharType="separate"/>
      </w:r>
      <w:r w:rsidR="0086312F">
        <w:t>54</w:t>
      </w:r>
      <w:r>
        <w:fldChar w:fldCharType="end"/>
      </w:r>
    </w:p>
    <w:p w14:paraId="6B9A4205"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7.1.</w:t>
      </w:r>
      <w:r w:rsidRPr="00761BC1">
        <w:rPr>
          <w:rFonts w:asciiTheme="minorHAnsi" w:eastAsiaTheme="minorEastAsia" w:hAnsiTheme="minorHAnsi" w:cstheme="minorBidi"/>
          <w:b w:val="0"/>
          <w:color w:val="auto"/>
          <w:sz w:val="24"/>
          <w:szCs w:val="24"/>
          <w:lang w:val="en-AU" w:eastAsia="ja-JP"/>
        </w:rPr>
        <w:tab/>
      </w:r>
      <w:r w:rsidRPr="00761BC1">
        <w:rPr>
          <w:b w:val="0"/>
        </w:rPr>
        <w:t>Community perspectives on medicines availability</w:t>
      </w:r>
      <w:r w:rsidRPr="00761BC1">
        <w:rPr>
          <w:b w:val="0"/>
        </w:rPr>
        <w:tab/>
      </w:r>
      <w:r w:rsidRPr="00761BC1">
        <w:rPr>
          <w:b w:val="0"/>
        </w:rPr>
        <w:fldChar w:fldCharType="begin"/>
      </w:r>
      <w:r w:rsidRPr="00761BC1">
        <w:rPr>
          <w:b w:val="0"/>
        </w:rPr>
        <w:instrText xml:space="preserve"> PAGEREF _Toc245810760 \h </w:instrText>
      </w:r>
      <w:r w:rsidRPr="00761BC1">
        <w:rPr>
          <w:b w:val="0"/>
        </w:rPr>
      </w:r>
      <w:r w:rsidRPr="00761BC1">
        <w:rPr>
          <w:b w:val="0"/>
        </w:rPr>
        <w:fldChar w:fldCharType="separate"/>
      </w:r>
      <w:r w:rsidR="0086312F">
        <w:rPr>
          <w:b w:val="0"/>
        </w:rPr>
        <w:t>54</w:t>
      </w:r>
      <w:r w:rsidRPr="00761BC1">
        <w:rPr>
          <w:b w:val="0"/>
        </w:rPr>
        <w:fldChar w:fldCharType="end"/>
      </w:r>
    </w:p>
    <w:p w14:paraId="17E3A531"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7.2.</w:t>
      </w:r>
      <w:r w:rsidRPr="00761BC1">
        <w:rPr>
          <w:rFonts w:asciiTheme="minorHAnsi" w:eastAsiaTheme="minorEastAsia" w:hAnsiTheme="minorHAnsi" w:cstheme="minorBidi"/>
          <w:b w:val="0"/>
          <w:color w:val="auto"/>
          <w:sz w:val="24"/>
          <w:szCs w:val="24"/>
          <w:lang w:val="en-AU" w:eastAsia="ja-JP"/>
        </w:rPr>
        <w:tab/>
      </w:r>
      <w:r w:rsidRPr="00761BC1">
        <w:rPr>
          <w:b w:val="0"/>
        </w:rPr>
        <w:t>Community costs and accessibility</w:t>
      </w:r>
      <w:r w:rsidRPr="00761BC1">
        <w:rPr>
          <w:b w:val="0"/>
        </w:rPr>
        <w:tab/>
      </w:r>
      <w:r w:rsidRPr="00761BC1">
        <w:rPr>
          <w:b w:val="0"/>
        </w:rPr>
        <w:fldChar w:fldCharType="begin"/>
      </w:r>
      <w:r w:rsidRPr="00761BC1">
        <w:rPr>
          <w:b w:val="0"/>
        </w:rPr>
        <w:instrText xml:space="preserve"> PAGEREF _Toc245810761 \h </w:instrText>
      </w:r>
      <w:r w:rsidRPr="00761BC1">
        <w:rPr>
          <w:b w:val="0"/>
        </w:rPr>
      </w:r>
      <w:r w:rsidRPr="00761BC1">
        <w:rPr>
          <w:b w:val="0"/>
        </w:rPr>
        <w:fldChar w:fldCharType="separate"/>
      </w:r>
      <w:r w:rsidR="0086312F">
        <w:rPr>
          <w:b w:val="0"/>
        </w:rPr>
        <w:t>55</w:t>
      </w:r>
      <w:r w:rsidRPr="00761BC1">
        <w:rPr>
          <w:b w:val="0"/>
        </w:rPr>
        <w:fldChar w:fldCharType="end"/>
      </w:r>
    </w:p>
    <w:p w14:paraId="13450785" w14:textId="77777777" w:rsidR="00647BBD" w:rsidRDefault="00647BBD">
      <w:pPr>
        <w:pStyle w:val="TOC1"/>
        <w:tabs>
          <w:tab w:val="clear" w:pos="400"/>
          <w:tab w:val="left" w:pos="410"/>
        </w:tabs>
        <w:rPr>
          <w:rFonts w:asciiTheme="minorHAnsi" w:eastAsiaTheme="minorEastAsia" w:hAnsiTheme="minorHAnsi" w:cstheme="minorBidi"/>
          <w:b w:val="0"/>
          <w:color w:val="auto"/>
          <w:sz w:val="24"/>
          <w:szCs w:val="24"/>
          <w:lang w:val="en-AU" w:eastAsia="ja-JP"/>
        </w:rPr>
      </w:pPr>
      <w:r>
        <w:t>8.</w:t>
      </w:r>
      <w:r>
        <w:rPr>
          <w:rFonts w:asciiTheme="minorHAnsi" w:eastAsiaTheme="minorEastAsia" w:hAnsiTheme="minorHAnsi" w:cstheme="minorBidi"/>
          <w:b w:val="0"/>
          <w:color w:val="auto"/>
          <w:sz w:val="24"/>
          <w:szCs w:val="24"/>
          <w:lang w:val="en-AU" w:eastAsia="ja-JP"/>
        </w:rPr>
        <w:tab/>
      </w:r>
      <w:r>
        <w:t>Findings: equity, health services and population health impact</w:t>
      </w:r>
      <w:r>
        <w:tab/>
      </w:r>
      <w:r>
        <w:fldChar w:fldCharType="begin"/>
      </w:r>
      <w:r>
        <w:instrText xml:space="preserve"> PAGEREF _Toc245810762 \h </w:instrText>
      </w:r>
      <w:r>
        <w:fldChar w:fldCharType="separate"/>
      </w:r>
      <w:r w:rsidR="0086312F">
        <w:t>57</w:t>
      </w:r>
      <w:r>
        <w:fldChar w:fldCharType="end"/>
      </w:r>
    </w:p>
    <w:p w14:paraId="5A3E2E11"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8.1.</w:t>
      </w:r>
      <w:r w:rsidRPr="00761BC1">
        <w:rPr>
          <w:rFonts w:asciiTheme="minorHAnsi" w:eastAsiaTheme="minorEastAsia" w:hAnsiTheme="minorHAnsi" w:cstheme="minorBidi"/>
          <w:b w:val="0"/>
          <w:color w:val="auto"/>
          <w:sz w:val="24"/>
          <w:szCs w:val="24"/>
          <w:lang w:val="en-AU" w:eastAsia="ja-JP"/>
        </w:rPr>
        <w:tab/>
      </w:r>
      <w:r w:rsidRPr="00761BC1">
        <w:rPr>
          <w:b w:val="0"/>
        </w:rPr>
        <w:t>Equity and health services impact</w:t>
      </w:r>
      <w:r w:rsidRPr="00761BC1">
        <w:rPr>
          <w:b w:val="0"/>
        </w:rPr>
        <w:tab/>
      </w:r>
      <w:r w:rsidRPr="00761BC1">
        <w:rPr>
          <w:b w:val="0"/>
        </w:rPr>
        <w:fldChar w:fldCharType="begin"/>
      </w:r>
      <w:r w:rsidRPr="00761BC1">
        <w:rPr>
          <w:b w:val="0"/>
        </w:rPr>
        <w:instrText xml:space="preserve"> PAGEREF _Toc245810763 \h </w:instrText>
      </w:r>
      <w:r w:rsidRPr="00761BC1">
        <w:rPr>
          <w:b w:val="0"/>
        </w:rPr>
      </w:r>
      <w:r w:rsidRPr="00761BC1">
        <w:rPr>
          <w:b w:val="0"/>
        </w:rPr>
        <w:fldChar w:fldCharType="separate"/>
      </w:r>
      <w:r w:rsidR="0086312F">
        <w:rPr>
          <w:b w:val="0"/>
        </w:rPr>
        <w:t>57</w:t>
      </w:r>
      <w:r w:rsidRPr="00761BC1">
        <w:rPr>
          <w:b w:val="0"/>
        </w:rPr>
        <w:fldChar w:fldCharType="end"/>
      </w:r>
    </w:p>
    <w:p w14:paraId="1E7A1739"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8.2.</w:t>
      </w:r>
      <w:r w:rsidRPr="00761BC1">
        <w:rPr>
          <w:rFonts w:asciiTheme="minorHAnsi" w:eastAsiaTheme="minorEastAsia" w:hAnsiTheme="minorHAnsi" w:cstheme="minorBidi"/>
          <w:b w:val="0"/>
          <w:color w:val="auto"/>
          <w:sz w:val="24"/>
          <w:szCs w:val="24"/>
          <w:lang w:val="en-AU" w:eastAsia="ja-JP"/>
        </w:rPr>
        <w:tab/>
      </w:r>
      <w:r w:rsidRPr="00761BC1">
        <w:rPr>
          <w:b w:val="0"/>
        </w:rPr>
        <w:t>Linking medicines availability to improved survival</w:t>
      </w:r>
      <w:r w:rsidRPr="00761BC1">
        <w:rPr>
          <w:b w:val="0"/>
        </w:rPr>
        <w:tab/>
      </w:r>
      <w:r w:rsidRPr="00761BC1">
        <w:rPr>
          <w:b w:val="0"/>
        </w:rPr>
        <w:fldChar w:fldCharType="begin"/>
      </w:r>
      <w:r w:rsidRPr="00761BC1">
        <w:rPr>
          <w:b w:val="0"/>
        </w:rPr>
        <w:instrText xml:space="preserve"> PAGEREF _Toc245810764 \h </w:instrText>
      </w:r>
      <w:r w:rsidRPr="00761BC1">
        <w:rPr>
          <w:b w:val="0"/>
        </w:rPr>
      </w:r>
      <w:r w:rsidRPr="00761BC1">
        <w:rPr>
          <w:b w:val="0"/>
        </w:rPr>
        <w:fldChar w:fldCharType="separate"/>
      </w:r>
      <w:r w:rsidR="0086312F">
        <w:rPr>
          <w:b w:val="0"/>
        </w:rPr>
        <w:t>61</w:t>
      </w:r>
      <w:r w:rsidRPr="00761BC1">
        <w:rPr>
          <w:b w:val="0"/>
        </w:rPr>
        <w:fldChar w:fldCharType="end"/>
      </w:r>
    </w:p>
    <w:p w14:paraId="4CD99F67" w14:textId="77777777"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8.3.</w:t>
      </w:r>
      <w:r w:rsidRPr="00761BC1">
        <w:rPr>
          <w:rFonts w:asciiTheme="minorHAnsi" w:eastAsiaTheme="minorEastAsia" w:hAnsiTheme="minorHAnsi" w:cstheme="minorBidi"/>
          <w:b w:val="0"/>
          <w:color w:val="auto"/>
          <w:sz w:val="24"/>
          <w:szCs w:val="24"/>
          <w:lang w:val="en-AU" w:eastAsia="ja-JP"/>
        </w:rPr>
        <w:tab/>
      </w:r>
      <w:r w:rsidRPr="00761BC1">
        <w:rPr>
          <w:b w:val="0"/>
        </w:rPr>
        <w:t>Health services readiness for EMONC and potential health impact</w:t>
      </w:r>
      <w:r w:rsidRPr="00761BC1">
        <w:rPr>
          <w:b w:val="0"/>
        </w:rPr>
        <w:tab/>
      </w:r>
      <w:r w:rsidRPr="00761BC1">
        <w:rPr>
          <w:b w:val="0"/>
        </w:rPr>
        <w:fldChar w:fldCharType="begin"/>
      </w:r>
      <w:r w:rsidRPr="00761BC1">
        <w:rPr>
          <w:b w:val="0"/>
        </w:rPr>
        <w:instrText xml:space="preserve"> PAGEREF _Toc245810765 \h </w:instrText>
      </w:r>
      <w:r w:rsidRPr="00761BC1">
        <w:rPr>
          <w:b w:val="0"/>
        </w:rPr>
      </w:r>
      <w:r w:rsidRPr="00761BC1">
        <w:rPr>
          <w:b w:val="0"/>
        </w:rPr>
        <w:fldChar w:fldCharType="separate"/>
      </w:r>
      <w:r w:rsidR="0086312F">
        <w:rPr>
          <w:b w:val="0"/>
        </w:rPr>
        <w:t>63</w:t>
      </w:r>
      <w:r w:rsidRPr="00761BC1">
        <w:rPr>
          <w:b w:val="0"/>
        </w:rPr>
        <w:fldChar w:fldCharType="end"/>
      </w:r>
    </w:p>
    <w:p w14:paraId="53C50703" w14:textId="77777777" w:rsidR="00647BBD" w:rsidRDefault="00647BBD">
      <w:pPr>
        <w:pStyle w:val="TOC1"/>
        <w:tabs>
          <w:tab w:val="clear" w:pos="400"/>
          <w:tab w:val="left" w:pos="410"/>
        </w:tabs>
        <w:rPr>
          <w:rFonts w:asciiTheme="minorHAnsi" w:eastAsiaTheme="minorEastAsia" w:hAnsiTheme="minorHAnsi" w:cstheme="minorBidi"/>
          <w:b w:val="0"/>
          <w:color w:val="auto"/>
          <w:sz w:val="24"/>
          <w:szCs w:val="24"/>
          <w:lang w:val="en-AU" w:eastAsia="ja-JP"/>
        </w:rPr>
      </w:pPr>
      <w:r>
        <w:t>9.</w:t>
      </w:r>
      <w:r>
        <w:rPr>
          <w:rFonts w:asciiTheme="minorHAnsi" w:eastAsiaTheme="minorEastAsia" w:hAnsiTheme="minorHAnsi" w:cstheme="minorBidi"/>
          <w:b w:val="0"/>
          <w:color w:val="auto"/>
          <w:sz w:val="24"/>
          <w:szCs w:val="24"/>
          <w:lang w:val="en-AU" w:eastAsia="ja-JP"/>
        </w:rPr>
        <w:tab/>
      </w:r>
      <w:r>
        <w:t>Implications and Recommendations</w:t>
      </w:r>
      <w:r>
        <w:tab/>
      </w:r>
      <w:r>
        <w:fldChar w:fldCharType="begin"/>
      </w:r>
      <w:r>
        <w:instrText xml:space="preserve"> PAGEREF _Toc245810766 \h </w:instrText>
      </w:r>
      <w:r>
        <w:fldChar w:fldCharType="separate"/>
      </w:r>
      <w:r w:rsidR="0086312F">
        <w:t>65</w:t>
      </w:r>
      <w:r>
        <w:fldChar w:fldCharType="end"/>
      </w:r>
    </w:p>
    <w:p w14:paraId="5566FAC0" w14:textId="77777777" w:rsidR="00647BBD" w:rsidRDefault="00647BBD">
      <w:pPr>
        <w:pStyle w:val="TOC1"/>
        <w:tabs>
          <w:tab w:val="left" w:pos="522"/>
        </w:tabs>
        <w:rPr>
          <w:rFonts w:asciiTheme="minorHAnsi" w:eastAsiaTheme="minorEastAsia" w:hAnsiTheme="minorHAnsi" w:cstheme="minorBidi"/>
          <w:b w:val="0"/>
          <w:color w:val="auto"/>
          <w:sz w:val="24"/>
          <w:szCs w:val="24"/>
          <w:lang w:val="en-AU" w:eastAsia="ja-JP"/>
        </w:rPr>
      </w:pPr>
      <w:r>
        <w:t>10.</w:t>
      </w:r>
      <w:r>
        <w:rPr>
          <w:rFonts w:asciiTheme="minorHAnsi" w:eastAsiaTheme="minorEastAsia" w:hAnsiTheme="minorHAnsi" w:cstheme="minorBidi"/>
          <w:b w:val="0"/>
          <w:color w:val="auto"/>
          <w:sz w:val="24"/>
          <w:szCs w:val="24"/>
          <w:lang w:val="en-AU" w:eastAsia="ja-JP"/>
        </w:rPr>
        <w:tab/>
      </w:r>
      <w:r>
        <w:t>References and List of Selected Background Documents</w:t>
      </w:r>
      <w:r>
        <w:tab/>
      </w:r>
      <w:r>
        <w:fldChar w:fldCharType="begin"/>
      </w:r>
      <w:r>
        <w:instrText xml:space="preserve"> PAGEREF _Toc245810770 \h </w:instrText>
      </w:r>
      <w:r>
        <w:fldChar w:fldCharType="separate"/>
      </w:r>
      <w:r w:rsidR="0086312F">
        <w:t>77</w:t>
      </w:r>
      <w:r>
        <w:fldChar w:fldCharType="end"/>
      </w:r>
    </w:p>
    <w:p w14:paraId="34994434" w14:textId="79D3BF89" w:rsidR="00647BBD" w:rsidRDefault="00647BBD">
      <w:pPr>
        <w:pStyle w:val="TOC1"/>
        <w:tabs>
          <w:tab w:val="left" w:pos="522"/>
        </w:tabs>
        <w:rPr>
          <w:rFonts w:asciiTheme="minorHAnsi" w:eastAsiaTheme="minorEastAsia" w:hAnsiTheme="minorHAnsi" w:cstheme="minorBidi"/>
          <w:b w:val="0"/>
          <w:color w:val="auto"/>
          <w:sz w:val="24"/>
          <w:szCs w:val="24"/>
          <w:lang w:val="en-AU" w:eastAsia="ja-JP"/>
        </w:rPr>
      </w:pPr>
      <w:r>
        <w:t>11.</w:t>
      </w:r>
      <w:r>
        <w:rPr>
          <w:rFonts w:asciiTheme="minorHAnsi" w:eastAsiaTheme="minorEastAsia" w:hAnsiTheme="minorHAnsi" w:cstheme="minorBidi"/>
          <w:b w:val="0"/>
          <w:color w:val="auto"/>
          <w:sz w:val="24"/>
          <w:szCs w:val="24"/>
          <w:lang w:val="en-AU" w:eastAsia="ja-JP"/>
        </w:rPr>
        <w:tab/>
      </w:r>
      <w:r>
        <w:t>Annexes</w:t>
      </w:r>
      <w:r w:rsidR="00761BC1">
        <w:t xml:space="preserve"> </w:t>
      </w:r>
      <w:r w:rsidR="00761BC1">
        <w:rPr>
          <w:b w:val="0"/>
        </w:rPr>
        <w:t>(supplied as separate file)</w:t>
      </w:r>
      <w:r>
        <w:tab/>
      </w:r>
      <w:r>
        <w:fldChar w:fldCharType="begin"/>
      </w:r>
      <w:r>
        <w:instrText xml:space="preserve"> PAGEREF _Toc245810773 \h </w:instrText>
      </w:r>
      <w:r>
        <w:fldChar w:fldCharType="separate"/>
      </w:r>
      <w:r w:rsidR="0086312F">
        <w:t>80</w:t>
      </w:r>
      <w:r>
        <w:fldChar w:fldCharType="end"/>
      </w:r>
    </w:p>
    <w:p w14:paraId="76DA5415" w14:textId="4A095ACD"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11.1.</w:t>
      </w:r>
      <w:r w:rsidRPr="00761BC1">
        <w:rPr>
          <w:rFonts w:asciiTheme="minorHAnsi" w:eastAsiaTheme="minorEastAsia" w:hAnsiTheme="minorHAnsi" w:cstheme="minorBidi"/>
          <w:b w:val="0"/>
          <w:color w:val="auto"/>
          <w:sz w:val="24"/>
          <w:szCs w:val="24"/>
          <w:lang w:val="en-AU" w:eastAsia="ja-JP"/>
        </w:rPr>
        <w:tab/>
      </w:r>
      <w:r w:rsidRPr="00761BC1">
        <w:rPr>
          <w:b w:val="0"/>
        </w:rPr>
        <w:t>Hea</w:t>
      </w:r>
      <w:r w:rsidR="00761BC1">
        <w:rPr>
          <w:b w:val="0"/>
        </w:rPr>
        <w:t>lth Facility survey methodology</w:t>
      </w:r>
    </w:p>
    <w:p w14:paraId="30D897A0" w14:textId="63ED4DC0"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11.2.</w:t>
      </w:r>
      <w:r w:rsidRPr="00761BC1">
        <w:rPr>
          <w:rFonts w:asciiTheme="minorHAnsi" w:eastAsiaTheme="minorEastAsia" w:hAnsiTheme="minorHAnsi" w:cstheme="minorBidi"/>
          <w:b w:val="0"/>
          <w:color w:val="auto"/>
          <w:sz w:val="24"/>
          <w:szCs w:val="24"/>
          <w:lang w:val="en-AU" w:eastAsia="ja-JP"/>
        </w:rPr>
        <w:tab/>
      </w:r>
      <w:r w:rsidRPr="00761BC1">
        <w:rPr>
          <w:b w:val="0"/>
        </w:rPr>
        <w:t>Detailed findings and data tables from the health facility survey</w:t>
      </w:r>
    </w:p>
    <w:p w14:paraId="003DA17B" w14:textId="21CCB271"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11.3.</w:t>
      </w:r>
      <w:r w:rsidRPr="00761BC1">
        <w:rPr>
          <w:rFonts w:asciiTheme="minorHAnsi" w:eastAsiaTheme="minorEastAsia" w:hAnsiTheme="minorHAnsi" w:cstheme="minorBidi"/>
          <w:b w:val="0"/>
          <w:color w:val="auto"/>
          <w:sz w:val="24"/>
          <w:szCs w:val="24"/>
          <w:lang w:val="en-AU" w:eastAsia="ja-JP"/>
        </w:rPr>
        <w:tab/>
      </w:r>
      <w:r w:rsidRPr="00761BC1">
        <w:rPr>
          <w:b w:val="0"/>
        </w:rPr>
        <w:t>Other data collection tools</w:t>
      </w:r>
    </w:p>
    <w:p w14:paraId="5768A2AE" w14:textId="44E65DE9"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11.4.</w:t>
      </w:r>
      <w:r w:rsidRPr="00761BC1">
        <w:rPr>
          <w:rFonts w:asciiTheme="minorHAnsi" w:eastAsiaTheme="minorEastAsia" w:hAnsiTheme="minorHAnsi" w:cstheme="minorBidi"/>
          <w:b w:val="0"/>
          <w:color w:val="auto"/>
          <w:sz w:val="24"/>
          <w:szCs w:val="24"/>
          <w:lang w:val="en-AU" w:eastAsia="ja-JP"/>
        </w:rPr>
        <w:tab/>
      </w:r>
      <w:r w:rsidRPr="00761BC1">
        <w:rPr>
          <w:b w:val="0"/>
        </w:rPr>
        <w:t>Qualitative analysis from managers survey and discussions</w:t>
      </w:r>
    </w:p>
    <w:p w14:paraId="6435D37D" w14:textId="54AD8AB6"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11.5.</w:t>
      </w:r>
      <w:r w:rsidRPr="00761BC1">
        <w:rPr>
          <w:rFonts w:asciiTheme="minorHAnsi" w:eastAsiaTheme="minorEastAsia" w:hAnsiTheme="minorHAnsi" w:cstheme="minorBidi"/>
          <w:b w:val="0"/>
          <w:color w:val="auto"/>
          <w:sz w:val="24"/>
          <w:szCs w:val="24"/>
          <w:lang w:val="en-AU" w:eastAsia="ja-JP"/>
        </w:rPr>
        <w:tab/>
      </w:r>
      <w:r w:rsidRPr="00761BC1">
        <w:rPr>
          <w:b w:val="0"/>
        </w:rPr>
        <w:t>Year One Evaluation Plan</w:t>
      </w:r>
    </w:p>
    <w:p w14:paraId="7FFF484F" w14:textId="20AF4482"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11.6.</w:t>
      </w:r>
      <w:r w:rsidRPr="00761BC1">
        <w:rPr>
          <w:rFonts w:asciiTheme="minorHAnsi" w:eastAsiaTheme="minorEastAsia" w:hAnsiTheme="minorHAnsi" w:cstheme="minorBidi"/>
          <w:b w:val="0"/>
          <w:color w:val="auto"/>
          <w:sz w:val="24"/>
          <w:szCs w:val="24"/>
          <w:lang w:val="en-AU" w:eastAsia="ja-JP"/>
        </w:rPr>
        <w:tab/>
      </w:r>
      <w:r w:rsidRPr="00761BC1">
        <w:rPr>
          <w:b w:val="0"/>
        </w:rPr>
        <w:t>Health Facility Surveys tools</w:t>
      </w:r>
    </w:p>
    <w:p w14:paraId="7F860019" w14:textId="7EE3E146"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11.7.</w:t>
      </w:r>
      <w:r w:rsidRPr="00761BC1">
        <w:rPr>
          <w:rFonts w:asciiTheme="minorHAnsi" w:eastAsiaTheme="minorEastAsia" w:hAnsiTheme="minorHAnsi" w:cstheme="minorBidi"/>
          <w:b w:val="0"/>
          <w:color w:val="auto"/>
          <w:sz w:val="24"/>
          <w:szCs w:val="24"/>
          <w:lang w:val="en-AU" w:eastAsia="ja-JP"/>
        </w:rPr>
        <w:tab/>
      </w:r>
      <w:r w:rsidRPr="00761BC1">
        <w:rPr>
          <w:b w:val="0"/>
        </w:rPr>
        <w:t>Evaluation team and roles</w:t>
      </w:r>
    </w:p>
    <w:p w14:paraId="52BEB398" w14:textId="2A541F0F" w:rsidR="00647BBD" w:rsidRPr="00761BC1" w:rsidRDefault="00647BBD" w:rsidP="008D11AA">
      <w:pPr>
        <w:pStyle w:val="TOC2"/>
        <w:rPr>
          <w:rFonts w:asciiTheme="minorHAnsi" w:eastAsiaTheme="minorEastAsia" w:hAnsiTheme="minorHAnsi" w:cstheme="minorBidi"/>
          <w:b w:val="0"/>
          <w:color w:val="auto"/>
          <w:sz w:val="24"/>
          <w:szCs w:val="24"/>
          <w:lang w:val="en-AU" w:eastAsia="ja-JP"/>
        </w:rPr>
      </w:pPr>
      <w:r w:rsidRPr="00761BC1">
        <w:rPr>
          <w:b w:val="0"/>
        </w:rPr>
        <w:t>11.8.</w:t>
      </w:r>
      <w:r w:rsidRPr="00761BC1">
        <w:rPr>
          <w:rFonts w:asciiTheme="minorHAnsi" w:eastAsiaTheme="minorEastAsia" w:hAnsiTheme="minorHAnsi" w:cstheme="minorBidi"/>
          <w:b w:val="0"/>
          <w:color w:val="auto"/>
          <w:sz w:val="24"/>
          <w:szCs w:val="24"/>
          <w:lang w:val="en-AU" w:eastAsia="ja-JP"/>
        </w:rPr>
        <w:tab/>
      </w:r>
      <w:r w:rsidRPr="00761BC1">
        <w:rPr>
          <w:b w:val="0"/>
        </w:rPr>
        <w:t>Assessment against standard Aus</w:t>
      </w:r>
      <w:r w:rsidR="00761BC1">
        <w:rPr>
          <w:b w:val="0"/>
        </w:rPr>
        <w:t xml:space="preserve">tralian </w:t>
      </w:r>
      <w:r w:rsidR="007439AA">
        <w:rPr>
          <w:b w:val="0"/>
        </w:rPr>
        <w:t>Government</w:t>
      </w:r>
      <w:r w:rsidR="00761BC1">
        <w:rPr>
          <w:b w:val="0"/>
        </w:rPr>
        <w:t xml:space="preserve"> evaluation criteria</w:t>
      </w:r>
      <w:r w:rsidR="00761BC1" w:rsidRPr="00761BC1">
        <w:rPr>
          <w:rFonts w:asciiTheme="minorHAnsi" w:eastAsiaTheme="minorEastAsia" w:hAnsiTheme="minorHAnsi" w:cstheme="minorBidi"/>
          <w:b w:val="0"/>
          <w:color w:val="auto"/>
          <w:sz w:val="24"/>
          <w:szCs w:val="24"/>
          <w:lang w:val="en-AU" w:eastAsia="ja-JP"/>
        </w:rPr>
        <w:t xml:space="preserve"> </w:t>
      </w:r>
    </w:p>
    <w:p w14:paraId="572A075C" w14:textId="3D51D6B3" w:rsidR="00BC7D3F" w:rsidRPr="00E27200" w:rsidRDefault="006D4F4F" w:rsidP="009B4A63">
      <w:pPr>
        <w:pStyle w:val="Heading1"/>
        <w:numPr>
          <w:ilvl w:val="0"/>
          <w:numId w:val="0"/>
        </w:numPr>
      </w:pPr>
      <w:r w:rsidRPr="00E27200">
        <w:rPr>
          <w:color w:val="000000" w:themeColor="text1"/>
        </w:rPr>
        <w:lastRenderedPageBreak/>
        <w:fldChar w:fldCharType="end"/>
      </w:r>
      <w:bookmarkStart w:id="3" w:name="_Toc238867684"/>
      <w:bookmarkStart w:id="4" w:name="_Toc245621406"/>
      <w:bookmarkStart w:id="5" w:name="_Toc245810733"/>
      <w:r w:rsidR="00BC7D3F" w:rsidRPr="00E27200">
        <w:t>Acronyms</w:t>
      </w:r>
      <w:bookmarkStart w:id="6" w:name="_Toc330284883"/>
      <w:bookmarkEnd w:id="0"/>
      <w:bookmarkEnd w:id="3"/>
      <w:bookmarkEnd w:id="4"/>
      <w:bookmarkEnd w:id="5"/>
    </w:p>
    <w:tbl>
      <w:tblPr>
        <w:tblW w:w="9214" w:type="dxa"/>
        <w:tblInd w:w="108" w:type="dxa"/>
        <w:tblLook w:val="00A0" w:firstRow="1" w:lastRow="0" w:firstColumn="1" w:lastColumn="0" w:noHBand="0" w:noVBand="0"/>
      </w:tblPr>
      <w:tblGrid>
        <w:gridCol w:w="1701"/>
        <w:gridCol w:w="7513"/>
      </w:tblGrid>
      <w:tr w:rsidR="00AC72B8" w:rsidRPr="00E27200" w14:paraId="17A85953" w14:textId="77777777">
        <w:tc>
          <w:tcPr>
            <w:tcW w:w="1701" w:type="dxa"/>
          </w:tcPr>
          <w:p w14:paraId="08FDCD11"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ACT</w:t>
            </w:r>
          </w:p>
        </w:tc>
        <w:tc>
          <w:tcPr>
            <w:tcW w:w="7513" w:type="dxa"/>
          </w:tcPr>
          <w:p w14:paraId="0BB0C5FE" w14:textId="77777777" w:rsidR="00AC72B8" w:rsidRPr="00E27200" w:rsidRDefault="000D10A5" w:rsidP="00E16C77">
            <w:pPr>
              <w:rPr>
                <w:rFonts w:asciiTheme="minorHAnsi" w:hAnsiTheme="minorHAnsi"/>
                <w:szCs w:val="22"/>
                <w:lang w:val="en-AU"/>
              </w:rPr>
            </w:pPr>
            <w:proofErr w:type="spellStart"/>
            <w:r w:rsidRPr="00E27200">
              <w:rPr>
                <w:rFonts w:asciiTheme="minorHAnsi" w:hAnsiTheme="minorHAnsi"/>
                <w:szCs w:val="22"/>
                <w:lang w:val="en-AU"/>
              </w:rPr>
              <w:t>Artemisin</w:t>
            </w:r>
            <w:r w:rsidR="00AC72B8" w:rsidRPr="00E27200">
              <w:rPr>
                <w:rFonts w:asciiTheme="minorHAnsi" w:hAnsiTheme="minorHAnsi"/>
                <w:szCs w:val="22"/>
                <w:lang w:val="en-AU"/>
              </w:rPr>
              <w:t>in</w:t>
            </w:r>
            <w:proofErr w:type="spellEnd"/>
            <w:r w:rsidR="00AC72B8" w:rsidRPr="00E27200">
              <w:rPr>
                <w:rFonts w:asciiTheme="minorHAnsi" w:hAnsiTheme="minorHAnsi"/>
                <w:szCs w:val="22"/>
                <w:lang w:val="en-AU"/>
              </w:rPr>
              <w:t>-containing Combination Therapy</w:t>
            </w:r>
            <w:r w:rsidR="009B4A63" w:rsidRPr="00E27200">
              <w:rPr>
                <w:rFonts w:asciiTheme="minorHAnsi" w:hAnsiTheme="minorHAnsi"/>
                <w:szCs w:val="22"/>
                <w:lang w:val="en-AU"/>
              </w:rPr>
              <w:t xml:space="preserve"> (for malaria)</w:t>
            </w:r>
          </w:p>
        </w:tc>
      </w:tr>
      <w:tr w:rsidR="00AC72B8" w:rsidRPr="00E27200" w14:paraId="721BFFB7" w14:textId="77777777">
        <w:tc>
          <w:tcPr>
            <w:tcW w:w="1701" w:type="dxa"/>
          </w:tcPr>
          <w:p w14:paraId="30777389"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AMS</w:t>
            </w:r>
          </w:p>
        </w:tc>
        <w:tc>
          <w:tcPr>
            <w:tcW w:w="7513" w:type="dxa"/>
          </w:tcPr>
          <w:p w14:paraId="719812F4"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Area Medical Store</w:t>
            </w:r>
          </w:p>
        </w:tc>
      </w:tr>
      <w:tr w:rsidR="00AC72B8" w:rsidRPr="00E27200" w14:paraId="0A1A622F" w14:textId="77777777">
        <w:tc>
          <w:tcPr>
            <w:tcW w:w="1701" w:type="dxa"/>
          </w:tcPr>
          <w:p w14:paraId="372E1108"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AP</w:t>
            </w:r>
          </w:p>
        </w:tc>
        <w:tc>
          <w:tcPr>
            <w:tcW w:w="7513" w:type="dxa"/>
          </w:tcPr>
          <w:p w14:paraId="7D503BFD"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Aid Post</w:t>
            </w:r>
          </w:p>
        </w:tc>
      </w:tr>
      <w:tr w:rsidR="00AC72B8" w:rsidRPr="00E27200" w14:paraId="7C4889B3" w14:textId="77777777">
        <w:tc>
          <w:tcPr>
            <w:tcW w:w="1701" w:type="dxa"/>
          </w:tcPr>
          <w:p w14:paraId="31354F8F"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AUD</w:t>
            </w:r>
          </w:p>
        </w:tc>
        <w:tc>
          <w:tcPr>
            <w:tcW w:w="7513" w:type="dxa"/>
          </w:tcPr>
          <w:p w14:paraId="6539FA69"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Australian dollars</w:t>
            </w:r>
          </w:p>
        </w:tc>
      </w:tr>
      <w:tr w:rsidR="00AC72B8" w:rsidRPr="00E27200" w14:paraId="53C7B55C" w14:textId="77777777">
        <w:tc>
          <w:tcPr>
            <w:tcW w:w="1701" w:type="dxa"/>
          </w:tcPr>
          <w:p w14:paraId="7D822B7A"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CCG</w:t>
            </w:r>
          </w:p>
        </w:tc>
        <w:tc>
          <w:tcPr>
            <w:tcW w:w="7513" w:type="dxa"/>
          </w:tcPr>
          <w:p w14:paraId="05CAE534"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Clinical Consultation Group</w:t>
            </w:r>
          </w:p>
        </w:tc>
      </w:tr>
      <w:tr w:rsidR="00AC72B8" w:rsidRPr="00E27200" w14:paraId="746828A8" w14:textId="77777777">
        <w:tc>
          <w:tcPr>
            <w:tcW w:w="1701" w:type="dxa"/>
          </w:tcPr>
          <w:p w14:paraId="2F85707A"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CFR</w:t>
            </w:r>
          </w:p>
        </w:tc>
        <w:tc>
          <w:tcPr>
            <w:tcW w:w="7513" w:type="dxa"/>
          </w:tcPr>
          <w:p w14:paraId="2D38BAEF"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Case Fatality Rate</w:t>
            </w:r>
          </w:p>
        </w:tc>
      </w:tr>
      <w:tr w:rsidR="00AC72B8" w:rsidRPr="00E27200" w14:paraId="132474A8" w14:textId="77777777">
        <w:tc>
          <w:tcPr>
            <w:tcW w:w="1701" w:type="dxa"/>
          </w:tcPr>
          <w:p w14:paraId="5AEC99F5"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CHW</w:t>
            </w:r>
          </w:p>
        </w:tc>
        <w:tc>
          <w:tcPr>
            <w:tcW w:w="7513" w:type="dxa"/>
          </w:tcPr>
          <w:p w14:paraId="41DB3F9E" w14:textId="77777777" w:rsidR="00AC72B8" w:rsidRPr="00E27200" w:rsidRDefault="00AC72B8" w:rsidP="00E16C77">
            <w:pPr>
              <w:rPr>
                <w:rFonts w:asciiTheme="minorHAnsi" w:hAnsiTheme="minorHAnsi"/>
                <w:szCs w:val="22"/>
                <w:lang w:val="en-AU"/>
              </w:rPr>
            </w:pPr>
            <w:r w:rsidRPr="00E27200">
              <w:rPr>
                <w:rFonts w:asciiTheme="minorHAnsi" w:hAnsiTheme="minorHAnsi"/>
                <w:szCs w:val="22"/>
                <w:lang w:val="en-AU"/>
              </w:rPr>
              <w:t>Community Health Workers</w:t>
            </w:r>
          </w:p>
        </w:tc>
      </w:tr>
      <w:tr w:rsidR="000D10A5" w:rsidRPr="00E27200" w14:paraId="5F9982F9" w14:textId="77777777">
        <w:tc>
          <w:tcPr>
            <w:tcW w:w="1701" w:type="dxa"/>
          </w:tcPr>
          <w:p w14:paraId="789C05DA"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CKP</w:t>
            </w:r>
          </w:p>
        </w:tc>
        <w:tc>
          <w:tcPr>
            <w:tcW w:w="7513" w:type="dxa"/>
          </w:tcPr>
          <w:p w14:paraId="14997E93"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Charles Kendall and Partners</w:t>
            </w:r>
          </w:p>
        </w:tc>
      </w:tr>
      <w:tr w:rsidR="000D10A5" w:rsidRPr="00E27200" w14:paraId="42A84DAC" w14:textId="77777777">
        <w:tc>
          <w:tcPr>
            <w:tcW w:w="1701" w:type="dxa"/>
          </w:tcPr>
          <w:p w14:paraId="1F4285CB"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CSTB</w:t>
            </w:r>
          </w:p>
        </w:tc>
        <w:tc>
          <w:tcPr>
            <w:tcW w:w="7513" w:type="dxa"/>
          </w:tcPr>
          <w:p w14:paraId="56136F79" w14:textId="4747926E"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 xml:space="preserve">Central Supplies </w:t>
            </w:r>
            <w:r w:rsidR="0092281B">
              <w:rPr>
                <w:rFonts w:asciiTheme="minorHAnsi" w:hAnsiTheme="minorHAnsi"/>
                <w:szCs w:val="22"/>
                <w:lang w:val="en-AU"/>
              </w:rPr>
              <w:t xml:space="preserve">and </w:t>
            </w:r>
            <w:r w:rsidRPr="00E27200">
              <w:rPr>
                <w:rFonts w:asciiTheme="minorHAnsi" w:hAnsiTheme="minorHAnsi"/>
                <w:szCs w:val="22"/>
                <w:lang w:val="en-AU"/>
              </w:rPr>
              <w:t>Tender Board</w:t>
            </w:r>
          </w:p>
        </w:tc>
      </w:tr>
      <w:tr w:rsidR="000D10A5" w:rsidRPr="00E27200" w14:paraId="71B1728A" w14:textId="77777777">
        <w:tc>
          <w:tcPr>
            <w:tcW w:w="1701" w:type="dxa"/>
          </w:tcPr>
          <w:p w14:paraId="4DB89BB8"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DAC</w:t>
            </w:r>
          </w:p>
        </w:tc>
        <w:tc>
          <w:tcPr>
            <w:tcW w:w="7513" w:type="dxa"/>
          </w:tcPr>
          <w:p w14:paraId="3E3AD2B0"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OECD Development Assistance Committee</w:t>
            </w:r>
          </w:p>
        </w:tc>
      </w:tr>
      <w:tr w:rsidR="000D10A5" w:rsidRPr="00E27200" w14:paraId="380D37DA" w14:textId="77777777">
        <w:tc>
          <w:tcPr>
            <w:tcW w:w="1701" w:type="dxa"/>
          </w:tcPr>
          <w:p w14:paraId="3F8418B6" w14:textId="77777777" w:rsidR="000D10A5" w:rsidRPr="00E27200" w:rsidRDefault="000D10A5" w:rsidP="00E16C77">
            <w:pPr>
              <w:rPr>
                <w:rFonts w:asciiTheme="minorHAnsi" w:hAnsiTheme="minorHAnsi"/>
                <w:szCs w:val="22"/>
                <w:lang w:val="en-AU"/>
              </w:rPr>
            </w:pPr>
            <w:proofErr w:type="spellStart"/>
            <w:r w:rsidRPr="00E27200">
              <w:rPr>
                <w:rFonts w:asciiTheme="minorHAnsi" w:hAnsiTheme="minorHAnsi"/>
                <w:szCs w:val="22"/>
                <w:lang w:val="en-AU"/>
              </w:rPr>
              <w:t>eLMIS</w:t>
            </w:r>
            <w:proofErr w:type="spellEnd"/>
          </w:p>
        </w:tc>
        <w:tc>
          <w:tcPr>
            <w:tcW w:w="7513" w:type="dxa"/>
          </w:tcPr>
          <w:p w14:paraId="49B4CC44"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Electronic Logistics Management Information Systems</w:t>
            </w:r>
          </w:p>
        </w:tc>
      </w:tr>
      <w:tr w:rsidR="006B1133" w:rsidRPr="00E27200" w14:paraId="76F8F327" w14:textId="77777777">
        <w:tc>
          <w:tcPr>
            <w:tcW w:w="1701" w:type="dxa"/>
          </w:tcPr>
          <w:p w14:paraId="6E24764B" w14:textId="77777777" w:rsidR="006B1133" w:rsidRPr="00E27200" w:rsidRDefault="006B1133" w:rsidP="00E16C77">
            <w:pPr>
              <w:rPr>
                <w:rFonts w:asciiTheme="minorHAnsi" w:hAnsiTheme="minorHAnsi"/>
                <w:szCs w:val="22"/>
                <w:lang w:val="en-AU"/>
              </w:rPr>
            </w:pPr>
            <w:r w:rsidRPr="00E27200">
              <w:rPr>
                <w:rFonts w:asciiTheme="minorHAnsi" w:hAnsiTheme="minorHAnsi"/>
                <w:szCs w:val="22"/>
                <w:lang w:val="en-AU"/>
              </w:rPr>
              <w:t>EMONC</w:t>
            </w:r>
          </w:p>
        </w:tc>
        <w:tc>
          <w:tcPr>
            <w:tcW w:w="7513" w:type="dxa"/>
          </w:tcPr>
          <w:p w14:paraId="07DAFBC2" w14:textId="77777777" w:rsidR="006B1133" w:rsidRPr="00E27200" w:rsidRDefault="006B1133" w:rsidP="00E16C77">
            <w:pPr>
              <w:rPr>
                <w:rFonts w:asciiTheme="minorHAnsi" w:hAnsiTheme="minorHAnsi"/>
                <w:szCs w:val="22"/>
                <w:lang w:val="en-AU"/>
              </w:rPr>
            </w:pPr>
            <w:r w:rsidRPr="00E27200">
              <w:rPr>
                <w:rFonts w:asciiTheme="minorHAnsi" w:hAnsiTheme="minorHAnsi"/>
                <w:szCs w:val="22"/>
                <w:lang w:val="en-AU"/>
              </w:rPr>
              <w:t>Emergency Obstetric and Neonatal Care</w:t>
            </w:r>
          </w:p>
        </w:tc>
      </w:tr>
      <w:tr w:rsidR="000D10A5" w:rsidRPr="00E27200" w14:paraId="2E62DF3E" w14:textId="77777777">
        <w:tc>
          <w:tcPr>
            <w:tcW w:w="1701" w:type="dxa"/>
          </w:tcPr>
          <w:p w14:paraId="4795096B"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FEFO</w:t>
            </w:r>
          </w:p>
        </w:tc>
        <w:tc>
          <w:tcPr>
            <w:tcW w:w="7513" w:type="dxa"/>
          </w:tcPr>
          <w:p w14:paraId="3B97173A"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First Expiry First Out</w:t>
            </w:r>
          </w:p>
        </w:tc>
      </w:tr>
      <w:tr w:rsidR="000D10A5" w:rsidRPr="00E27200" w14:paraId="473CDF1B" w14:textId="77777777">
        <w:tc>
          <w:tcPr>
            <w:tcW w:w="1701" w:type="dxa"/>
          </w:tcPr>
          <w:p w14:paraId="221B18D4"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GF</w:t>
            </w:r>
          </w:p>
        </w:tc>
        <w:tc>
          <w:tcPr>
            <w:tcW w:w="7513" w:type="dxa"/>
          </w:tcPr>
          <w:p w14:paraId="0494458D"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Global Fund for AIDS, TB and Malaria</w:t>
            </w:r>
          </w:p>
        </w:tc>
      </w:tr>
      <w:tr w:rsidR="000D10A5" w:rsidRPr="00E27200" w14:paraId="621EFE40" w14:textId="77777777">
        <w:tc>
          <w:tcPr>
            <w:tcW w:w="1701" w:type="dxa"/>
          </w:tcPr>
          <w:p w14:paraId="0547E115"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GoPNG</w:t>
            </w:r>
          </w:p>
        </w:tc>
        <w:tc>
          <w:tcPr>
            <w:tcW w:w="7513" w:type="dxa"/>
          </w:tcPr>
          <w:p w14:paraId="3192A70A"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Government of Papua New Guinea</w:t>
            </w:r>
          </w:p>
        </w:tc>
      </w:tr>
      <w:tr w:rsidR="000D10A5" w:rsidRPr="00E27200" w14:paraId="4B9F7B3E" w14:textId="77777777">
        <w:tc>
          <w:tcPr>
            <w:tcW w:w="1701" w:type="dxa"/>
          </w:tcPr>
          <w:p w14:paraId="33EDD0DB"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HC</w:t>
            </w:r>
          </w:p>
        </w:tc>
        <w:tc>
          <w:tcPr>
            <w:tcW w:w="7513" w:type="dxa"/>
          </w:tcPr>
          <w:p w14:paraId="457243CA"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Health Centre</w:t>
            </w:r>
          </w:p>
        </w:tc>
      </w:tr>
      <w:tr w:rsidR="000D10A5" w:rsidRPr="00E27200" w14:paraId="5E9B104C" w14:textId="77777777">
        <w:tc>
          <w:tcPr>
            <w:tcW w:w="1701" w:type="dxa"/>
          </w:tcPr>
          <w:p w14:paraId="4047D1B7"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HEO</w:t>
            </w:r>
          </w:p>
        </w:tc>
        <w:tc>
          <w:tcPr>
            <w:tcW w:w="7513" w:type="dxa"/>
          </w:tcPr>
          <w:p w14:paraId="1E452B4E"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Health Extension Officer</w:t>
            </w:r>
          </w:p>
        </w:tc>
      </w:tr>
      <w:tr w:rsidR="000D10A5" w:rsidRPr="00E27200" w14:paraId="2C7F2E3D" w14:textId="77777777">
        <w:tc>
          <w:tcPr>
            <w:tcW w:w="1701" w:type="dxa"/>
          </w:tcPr>
          <w:p w14:paraId="7DCD1FF4"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HF</w:t>
            </w:r>
          </w:p>
        </w:tc>
        <w:tc>
          <w:tcPr>
            <w:tcW w:w="7513" w:type="dxa"/>
          </w:tcPr>
          <w:p w14:paraId="414FC682"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Health Facility/</w:t>
            </w:r>
            <w:proofErr w:type="spellStart"/>
            <w:r w:rsidRPr="00E27200">
              <w:rPr>
                <w:rFonts w:asciiTheme="minorHAnsi" w:hAnsiTheme="minorHAnsi"/>
                <w:szCs w:val="22"/>
                <w:lang w:val="en-AU"/>
              </w:rPr>
              <w:t>ies</w:t>
            </w:r>
            <w:proofErr w:type="spellEnd"/>
          </w:p>
        </w:tc>
      </w:tr>
      <w:tr w:rsidR="000D10A5" w:rsidRPr="00E27200" w14:paraId="1F32BA91" w14:textId="77777777">
        <w:tc>
          <w:tcPr>
            <w:tcW w:w="1701" w:type="dxa"/>
          </w:tcPr>
          <w:p w14:paraId="261D98CD"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HHISP</w:t>
            </w:r>
          </w:p>
        </w:tc>
        <w:tc>
          <w:tcPr>
            <w:tcW w:w="7513" w:type="dxa"/>
          </w:tcPr>
          <w:p w14:paraId="587BC49E" w14:textId="78385AA3" w:rsidR="000D10A5" w:rsidRPr="00E27200" w:rsidRDefault="000D10A5" w:rsidP="007439AA">
            <w:pPr>
              <w:rPr>
                <w:rFonts w:asciiTheme="minorHAnsi" w:hAnsiTheme="minorHAnsi"/>
                <w:szCs w:val="22"/>
                <w:lang w:val="en-AU"/>
              </w:rPr>
            </w:pPr>
            <w:r w:rsidRPr="00E27200">
              <w:rPr>
                <w:rFonts w:asciiTheme="minorHAnsi" w:hAnsiTheme="minorHAnsi"/>
                <w:szCs w:val="22"/>
                <w:lang w:val="en-AU"/>
              </w:rPr>
              <w:t>Health &amp; HIV Implementing Service Provider</w:t>
            </w:r>
            <w:r w:rsidR="00A376D0">
              <w:rPr>
                <w:rFonts w:asciiTheme="minorHAnsi" w:hAnsiTheme="minorHAnsi"/>
                <w:szCs w:val="22"/>
                <w:lang w:val="en-AU"/>
              </w:rPr>
              <w:t xml:space="preserve">, of Australian </w:t>
            </w:r>
            <w:r w:rsidR="007439AA">
              <w:rPr>
                <w:rFonts w:asciiTheme="minorHAnsi" w:hAnsiTheme="minorHAnsi"/>
                <w:szCs w:val="22"/>
                <w:lang w:val="en-AU"/>
              </w:rPr>
              <w:t xml:space="preserve">Government </w:t>
            </w:r>
            <w:r w:rsidR="00A376D0">
              <w:rPr>
                <w:rFonts w:asciiTheme="minorHAnsi" w:hAnsiTheme="minorHAnsi"/>
                <w:szCs w:val="22"/>
                <w:lang w:val="en-AU"/>
              </w:rPr>
              <w:t>in PNG</w:t>
            </w:r>
          </w:p>
        </w:tc>
      </w:tr>
      <w:tr w:rsidR="000D10A5" w:rsidRPr="00E27200" w14:paraId="260AB9F8" w14:textId="77777777">
        <w:tc>
          <w:tcPr>
            <w:tcW w:w="1701" w:type="dxa"/>
          </w:tcPr>
          <w:p w14:paraId="782C05FE"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HIV</w:t>
            </w:r>
          </w:p>
        </w:tc>
        <w:tc>
          <w:tcPr>
            <w:tcW w:w="7513" w:type="dxa"/>
          </w:tcPr>
          <w:p w14:paraId="4BEEDFC1"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Human Immunodeficiency Virus</w:t>
            </w:r>
          </w:p>
        </w:tc>
      </w:tr>
      <w:tr w:rsidR="000D10A5" w:rsidRPr="00E27200" w14:paraId="7EDF1FCF" w14:textId="77777777">
        <w:tc>
          <w:tcPr>
            <w:tcW w:w="1701" w:type="dxa"/>
          </w:tcPr>
          <w:p w14:paraId="048D242E"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HPA</w:t>
            </w:r>
          </w:p>
        </w:tc>
        <w:tc>
          <w:tcPr>
            <w:tcW w:w="7513" w:type="dxa"/>
          </w:tcPr>
          <w:p w14:paraId="35B1BE52"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Health Procurement Authority</w:t>
            </w:r>
          </w:p>
        </w:tc>
      </w:tr>
      <w:tr w:rsidR="00CE4173" w:rsidRPr="00E27200" w14:paraId="5C5C244D" w14:textId="77777777">
        <w:tc>
          <w:tcPr>
            <w:tcW w:w="1701" w:type="dxa"/>
          </w:tcPr>
          <w:p w14:paraId="29A315EB" w14:textId="5550085C" w:rsidR="00CE4173" w:rsidRDefault="00CE4173" w:rsidP="00E16C77">
            <w:pPr>
              <w:rPr>
                <w:rFonts w:asciiTheme="minorHAnsi" w:hAnsiTheme="minorHAnsi"/>
                <w:szCs w:val="22"/>
                <w:lang w:val="en-AU"/>
              </w:rPr>
            </w:pPr>
            <w:r>
              <w:rPr>
                <w:rFonts w:asciiTheme="minorHAnsi" w:hAnsiTheme="minorHAnsi"/>
                <w:szCs w:val="22"/>
                <w:lang w:val="en-AU"/>
              </w:rPr>
              <w:t>IDA</w:t>
            </w:r>
          </w:p>
        </w:tc>
        <w:tc>
          <w:tcPr>
            <w:tcW w:w="7513" w:type="dxa"/>
          </w:tcPr>
          <w:p w14:paraId="708C95CF" w14:textId="17C46B7F" w:rsidR="00CE4173" w:rsidRPr="006952FE" w:rsidRDefault="00191E0C" w:rsidP="00E16C77">
            <w:pPr>
              <w:rPr>
                <w:rFonts w:asciiTheme="minorHAnsi" w:hAnsiTheme="minorHAnsi"/>
                <w:spacing w:val="-4"/>
                <w:szCs w:val="22"/>
                <w:lang w:val="en-AU"/>
              </w:rPr>
            </w:pPr>
            <w:r>
              <w:rPr>
                <w:rFonts w:asciiTheme="minorHAnsi" w:hAnsiTheme="minorHAnsi"/>
                <w:spacing w:val="-4"/>
                <w:szCs w:val="22"/>
                <w:lang w:val="en-AU"/>
              </w:rPr>
              <w:t>IDA Foundation</w:t>
            </w:r>
          </w:p>
        </w:tc>
      </w:tr>
      <w:tr w:rsidR="006952FE" w:rsidRPr="00E27200" w14:paraId="629D7F7D" w14:textId="77777777">
        <w:tc>
          <w:tcPr>
            <w:tcW w:w="1701" w:type="dxa"/>
          </w:tcPr>
          <w:p w14:paraId="0F143443" w14:textId="4F30CAFB" w:rsidR="006952FE" w:rsidRPr="00E27200" w:rsidRDefault="006952FE" w:rsidP="00E16C77">
            <w:pPr>
              <w:rPr>
                <w:rFonts w:asciiTheme="minorHAnsi" w:hAnsiTheme="minorHAnsi"/>
                <w:szCs w:val="22"/>
                <w:lang w:val="en-AU"/>
              </w:rPr>
            </w:pPr>
            <w:proofErr w:type="spellStart"/>
            <w:r>
              <w:rPr>
                <w:rFonts w:asciiTheme="minorHAnsi" w:hAnsiTheme="minorHAnsi"/>
                <w:szCs w:val="22"/>
                <w:lang w:val="en-AU"/>
              </w:rPr>
              <w:t>LiST</w:t>
            </w:r>
            <w:proofErr w:type="spellEnd"/>
          </w:p>
        </w:tc>
        <w:tc>
          <w:tcPr>
            <w:tcW w:w="7513" w:type="dxa"/>
          </w:tcPr>
          <w:p w14:paraId="1525B500" w14:textId="639FDFCA" w:rsidR="006952FE" w:rsidRPr="006952FE" w:rsidRDefault="006952FE" w:rsidP="00E16C77">
            <w:pPr>
              <w:rPr>
                <w:rFonts w:asciiTheme="minorHAnsi" w:hAnsiTheme="minorHAnsi"/>
                <w:spacing w:val="-4"/>
                <w:szCs w:val="22"/>
                <w:lang w:val="en-AU"/>
              </w:rPr>
            </w:pPr>
            <w:r w:rsidRPr="006952FE">
              <w:rPr>
                <w:rFonts w:asciiTheme="minorHAnsi" w:hAnsiTheme="minorHAnsi"/>
                <w:spacing w:val="-4"/>
                <w:szCs w:val="22"/>
                <w:lang w:val="en-AU"/>
              </w:rPr>
              <w:t>Lives Saved Tool, module in Spectrum software for estimating intervention impact</w:t>
            </w:r>
          </w:p>
        </w:tc>
      </w:tr>
      <w:tr w:rsidR="000D10A5" w:rsidRPr="00E27200" w14:paraId="54B7A90D" w14:textId="77777777">
        <w:tc>
          <w:tcPr>
            <w:tcW w:w="1701" w:type="dxa"/>
          </w:tcPr>
          <w:p w14:paraId="50D4481A"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LMIS</w:t>
            </w:r>
          </w:p>
        </w:tc>
        <w:tc>
          <w:tcPr>
            <w:tcW w:w="7513" w:type="dxa"/>
          </w:tcPr>
          <w:p w14:paraId="7ADEE9AE"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Logistics Management Information Systems</w:t>
            </w:r>
          </w:p>
        </w:tc>
      </w:tr>
      <w:tr w:rsidR="000D10A5" w:rsidRPr="00E27200" w14:paraId="35A53FE3" w14:textId="77777777">
        <w:tc>
          <w:tcPr>
            <w:tcW w:w="1701" w:type="dxa"/>
          </w:tcPr>
          <w:p w14:paraId="24DD46D8"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M&amp;E</w:t>
            </w:r>
          </w:p>
        </w:tc>
        <w:tc>
          <w:tcPr>
            <w:tcW w:w="7513" w:type="dxa"/>
          </w:tcPr>
          <w:p w14:paraId="57F38E41"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Monitoring and Evaluation</w:t>
            </w:r>
          </w:p>
        </w:tc>
      </w:tr>
      <w:tr w:rsidR="000D10A5" w:rsidRPr="00E27200" w14:paraId="7FDAD0BE" w14:textId="77777777">
        <w:tc>
          <w:tcPr>
            <w:tcW w:w="1701" w:type="dxa"/>
          </w:tcPr>
          <w:p w14:paraId="1F90AD00"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MTDP</w:t>
            </w:r>
          </w:p>
        </w:tc>
        <w:tc>
          <w:tcPr>
            <w:tcW w:w="7513" w:type="dxa"/>
          </w:tcPr>
          <w:p w14:paraId="0C49A20F"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Medium Term Development Plan</w:t>
            </w:r>
          </w:p>
        </w:tc>
      </w:tr>
      <w:tr w:rsidR="000D10A5" w:rsidRPr="00E27200" w14:paraId="711A3E70" w14:textId="77777777">
        <w:tc>
          <w:tcPr>
            <w:tcW w:w="1701" w:type="dxa"/>
          </w:tcPr>
          <w:p w14:paraId="08870B2D" w14:textId="41D2D82E" w:rsidR="000D10A5" w:rsidRPr="00E27200" w:rsidRDefault="009F22A6" w:rsidP="00E16C77">
            <w:pPr>
              <w:rPr>
                <w:rFonts w:asciiTheme="minorHAnsi" w:hAnsiTheme="minorHAnsi"/>
                <w:szCs w:val="22"/>
                <w:lang w:val="en-AU"/>
              </w:rPr>
            </w:pPr>
            <w:r>
              <w:rPr>
                <w:rFonts w:asciiTheme="minorHAnsi" w:hAnsiTheme="minorHAnsi"/>
                <w:szCs w:val="22"/>
                <w:lang w:val="en-AU"/>
              </w:rPr>
              <w:t>MO</w:t>
            </w:r>
            <w:r w:rsidR="000D10A5" w:rsidRPr="00E27200">
              <w:rPr>
                <w:rFonts w:asciiTheme="minorHAnsi" w:hAnsiTheme="minorHAnsi"/>
                <w:szCs w:val="22"/>
                <w:lang w:val="en-AU"/>
              </w:rPr>
              <w:t>U</w:t>
            </w:r>
          </w:p>
        </w:tc>
        <w:tc>
          <w:tcPr>
            <w:tcW w:w="7513" w:type="dxa"/>
          </w:tcPr>
          <w:p w14:paraId="3FC48474"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Memorandum of Understanding</w:t>
            </w:r>
          </w:p>
        </w:tc>
      </w:tr>
      <w:tr w:rsidR="00152AF4" w:rsidRPr="00E27200" w14:paraId="473AC81A" w14:textId="77777777">
        <w:tc>
          <w:tcPr>
            <w:tcW w:w="1701" w:type="dxa"/>
          </w:tcPr>
          <w:p w14:paraId="35167CCF" w14:textId="351B5DD8" w:rsidR="00152AF4" w:rsidRPr="00E27200" w:rsidRDefault="00152AF4" w:rsidP="00E16C77">
            <w:pPr>
              <w:rPr>
                <w:rFonts w:asciiTheme="minorHAnsi" w:hAnsiTheme="minorHAnsi"/>
                <w:szCs w:val="22"/>
                <w:lang w:val="en-AU"/>
              </w:rPr>
            </w:pPr>
            <w:r>
              <w:rPr>
                <w:rFonts w:asciiTheme="minorHAnsi" w:hAnsiTheme="minorHAnsi"/>
                <w:szCs w:val="22"/>
                <w:lang w:val="en-AU"/>
              </w:rPr>
              <w:t>MSPD</w:t>
            </w:r>
          </w:p>
        </w:tc>
        <w:tc>
          <w:tcPr>
            <w:tcW w:w="7513" w:type="dxa"/>
          </w:tcPr>
          <w:p w14:paraId="3ABEDD41" w14:textId="75EBFD7C" w:rsidR="00152AF4" w:rsidRPr="00E27200" w:rsidRDefault="00152AF4" w:rsidP="00E16C77">
            <w:pPr>
              <w:rPr>
                <w:rFonts w:asciiTheme="minorHAnsi" w:hAnsiTheme="minorHAnsi"/>
                <w:szCs w:val="22"/>
                <w:lang w:val="en-AU"/>
              </w:rPr>
            </w:pPr>
            <w:r>
              <w:rPr>
                <w:rFonts w:asciiTheme="minorHAnsi" w:hAnsiTheme="minorHAnsi"/>
                <w:szCs w:val="22"/>
                <w:lang w:val="en-AU"/>
              </w:rPr>
              <w:t>Medical Supplies Procurement and Distribution, within the NDOH</w:t>
            </w:r>
          </w:p>
        </w:tc>
      </w:tr>
      <w:tr w:rsidR="000D10A5" w:rsidRPr="00E27200" w14:paraId="4D989A82" w14:textId="77777777">
        <w:tc>
          <w:tcPr>
            <w:tcW w:w="1701" w:type="dxa"/>
          </w:tcPr>
          <w:p w14:paraId="16DA48E6"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NDOH</w:t>
            </w:r>
          </w:p>
        </w:tc>
        <w:tc>
          <w:tcPr>
            <w:tcW w:w="7513" w:type="dxa"/>
          </w:tcPr>
          <w:p w14:paraId="4F2B5CEC"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National Department of Health</w:t>
            </w:r>
          </w:p>
        </w:tc>
      </w:tr>
      <w:tr w:rsidR="000D10A5" w:rsidRPr="00E27200" w14:paraId="410A5CF0" w14:textId="77777777">
        <w:tc>
          <w:tcPr>
            <w:tcW w:w="1701" w:type="dxa"/>
          </w:tcPr>
          <w:p w14:paraId="726C3FB8"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NRI</w:t>
            </w:r>
          </w:p>
        </w:tc>
        <w:tc>
          <w:tcPr>
            <w:tcW w:w="7513" w:type="dxa"/>
          </w:tcPr>
          <w:p w14:paraId="3DD57586"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National Research Institute</w:t>
            </w:r>
          </w:p>
        </w:tc>
      </w:tr>
      <w:tr w:rsidR="000D10A5" w:rsidRPr="00E27200" w14:paraId="37329EEA" w14:textId="77777777">
        <w:tc>
          <w:tcPr>
            <w:tcW w:w="1701" w:type="dxa"/>
          </w:tcPr>
          <w:p w14:paraId="459C3310"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O&amp;G</w:t>
            </w:r>
          </w:p>
        </w:tc>
        <w:tc>
          <w:tcPr>
            <w:tcW w:w="7513" w:type="dxa"/>
          </w:tcPr>
          <w:p w14:paraId="145FB86B" w14:textId="77777777" w:rsidR="000D10A5" w:rsidRPr="00E27200" w:rsidRDefault="000D10A5" w:rsidP="00E16C77">
            <w:pPr>
              <w:rPr>
                <w:rFonts w:asciiTheme="minorHAnsi" w:hAnsiTheme="minorHAnsi"/>
                <w:szCs w:val="22"/>
                <w:lang w:val="en-AU"/>
              </w:rPr>
            </w:pPr>
            <w:r w:rsidRPr="00E27200">
              <w:rPr>
                <w:rFonts w:asciiTheme="minorHAnsi" w:hAnsiTheme="minorHAnsi"/>
                <w:szCs w:val="22"/>
                <w:lang w:val="en-AU"/>
              </w:rPr>
              <w:t>Obstetrics and Gynaecology</w:t>
            </w:r>
          </w:p>
        </w:tc>
      </w:tr>
      <w:tr w:rsidR="00015623" w:rsidRPr="00E27200" w14:paraId="17952C64" w14:textId="77777777">
        <w:tc>
          <w:tcPr>
            <w:tcW w:w="1701" w:type="dxa"/>
          </w:tcPr>
          <w:p w14:paraId="3ED6B848" w14:textId="52D7695B" w:rsidR="00015623" w:rsidRPr="00E27200" w:rsidRDefault="00015623" w:rsidP="00E16C77">
            <w:pPr>
              <w:rPr>
                <w:rFonts w:asciiTheme="minorHAnsi" w:hAnsiTheme="minorHAnsi"/>
                <w:szCs w:val="22"/>
                <w:lang w:val="en-AU"/>
              </w:rPr>
            </w:pPr>
            <w:r>
              <w:rPr>
                <w:rFonts w:asciiTheme="minorHAnsi" w:hAnsiTheme="minorHAnsi"/>
                <w:szCs w:val="22"/>
                <w:lang w:val="en-AU"/>
              </w:rPr>
              <w:t>PHA</w:t>
            </w:r>
          </w:p>
        </w:tc>
        <w:tc>
          <w:tcPr>
            <w:tcW w:w="7513" w:type="dxa"/>
          </w:tcPr>
          <w:p w14:paraId="4E686FC8" w14:textId="2CF19CF4" w:rsidR="00015623" w:rsidRPr="00E27200" w:rsidRDefault="00015623" w:rsidP="00E16C77">
            <w:pPr>
              <w:rPr>
                <w:rFonts w:asciiTheme="minorHAnsi" w:hAnsiTheme="minorHAnsi"/>
                <w:szCs w:val="22"/>
                <w:lang w:val="en-AU"/>
              </w:rPr>
            </w:pPr>
            <w:r>
              <w:rPr>
                <w:rFonts w:asciiTheme="minorHAnsi" w:hAnsiTheme="minorHAnsi"/>
                <w:szCs w:val="22"/>
                <w:lang w:val="en-AU"/>
              </w:rPr>
              <w:t>Provincial Health Authority (new governance operational in some provinces)</w:t>
            </w:r>
          </w:p>
        </w:tc>
      </w:tr>
      <w:tr w:rsidR="00015623" w:rsidRPr="00E27200" w14:paraId="0F9D4573" w14:textId="77777777">
        <w:tc>
          <w:tcPr>
            <w:tcW w:w="1701" w:type="dxa"/>
          </w:tcPr>
          <w:p w14:paraId="41E7E8A3" w14:textId="1D523AC8" w:rsidR="00015623" w:rsidRPr="00E27200" w:rsidRDefault="00015623" w:rsidP="00E16C77">
            <w:pPr>
              <w:rPr>
                <w:rFonts w:asciiTheme="minorHAnsi" w:hAnsiTheme="minorHAnsi"/>
                <w:szCs w:val="22"/>
                <w:lang w:val="en-AU"/>
              </w:rPr>
            </w:pPr>
            <w:r>
              <w:rPr>
                <w:rFonts w:asciiTheme="minorHAnsi" w:hAnsiTheme="minorHAnsi"/>
                <w:szCs w:val="22"/>
                <w:lang w:val="en-AU"/>
              </w:rPr>
              <w:t>PHO</w:t>
            </w:r>
          </w:p>
        </w:tc>
        <w:tc>
          <w:tcPr>
            <w:tcW w:w="7513" w:type="dxa"/>
          </w:tcPr>
          <w:p w14:paraId="78D49D23" w14:textId="76A5D488" w:rsidR="00015623" w:rsidRPr="00E27200" w:rsidRDefault="00015623" w:rsidP="00E16C77">
            <w:pPr>
              <w:rPr>
                <w:rFonts w:asciiTheme="minorHAnsi" w:hAnsiTheme="minorHAnsi"/>
                <w:szCs w:val="22"/>
                <w:lang w:val="en-AU"/>
              </w:rPr>
            </w:pPr>
            <w:r>
              <w:rPr>
                <w:rFonts w:asciiTheme="minorHAnsi" w:hAnsiTheme="minorHAnsi"/>
                <w:szCs w:val="22"/>
                <w:lang w:val="en-AU"/>
              </w:rPr>
              <w:t>Provincial Health Office</w:t>
            </w:r>
          </w:p>
        </w:tc>
      </w:tr>
      <w:tr w:rsidR="00015623" w:rsidRPr="00E27200" w14:paraId="3072D5EE" w14:textId="77777777">
        <w:tc>
          <w:tcPr>
            <w:tcW w:w="1701" w:type="dxa"/>
          </w:tcPr>
          <w:p w14:paraId="2C0739C5"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PGK</w:t>
            </w:r>
          </w:p>
        </w:tc>
        <w:tc>
          <w:tcPr>
            <w:tcW w:w="7513" w:type="dxa"/>
          </w:tcPr>
          <w:p w14:paraId="2C400E56"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Papua New Guinea Kina</w:t>
            </w:r>
          </w:p>
        </w:tc>
      </w:tr>
      <w:tr w:rsidR="00015623" w:rsidRPr="00E27200" w14:paraId="70F6AAB6" w14:textId="77777777">
        <w:tc>
          <w:tcPr>
            <w:tcW w:w="1701" w:type="dxa"/>
          </w:tcPr>
          <w:p w14:paraId="4085D963"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PNG</w:t>
            </w:r>
          </w:p>
        </w:tc>
        <w:tc>
          <w:tcPr>
            <w:tcW w:w="7513" w:type="dxa"/>
          </w:tcPr>
          <w:p w14:paraId="69F18134"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Papua New Guinea</w:t>
            </w:r>
          </w:p>
        </w:tc>
      </w:tr>
      <w:tr w:rsidR="00015623" w:rsidRPr="00E27200" w14:paraId="5D8B1B09" w14:textId="77777777">
        <w:tc>
          <w:tcPr>
            <w:tcW w:w="1701" w:type="dxa"/>
          </w:tcPr>
          <w:p w14:paraId="42000DDD"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POM</w:t>
            </w:r>
          </w:p>
        </w:tc>
        <w:tc>
          <w:tcPr>
            <w:tcW w:w="7513" w:type="dxa"/>
          </w:tcPr>
          <w:p w14:paraId="1720B9F8"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Port Moresby</w:t>
            </w:r>
          </w:p>
        </w:tc>
      </w:tr>
      <w:tr w:rsidR="00015623" w:rsidRPr="00E27200" w14:paraId="6B6C0F5D" w14:textId="77777777">
        <w:tc>
          <w:tcPr>
            <w:tcW w:w="1701" w:type="dxa"/>
          </w:tcPr>
          <w:p w14:paraId="3C990E19"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PSTB</w:t>
            </w:r>
          </w:p>
        </w:tc>
        <w:tc>
          <w:tcPr>
            <w:tcW w:w="7513" w:type="dxa"/>
          </w:tcPr>
          <w:p w14:paraId="56BEA927" w14:textId="1FC97395"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 xml:space="preserve">Pharmaceutical Supply </w:t>
            </w:r>
            <w:r w:rsidR="0092281B">
              <w:rPr>
                <w:rFonts w:asciiTheme="minorHAnsi" w:hAnsiTheme="minorHAnsi"/>
                <w:szCs w:val="22"/>
                <w:lang w:val="en-AU"/>
              </w:rPr>
              <w:t xml:space="preserve">and </w:t>
            </w:r>
            <w:r w:rsidRPr="00E27200">
              <w:rPr>
                <w:rFonts w:asciiTheme="minorHAnsi" w:hAnsiTheme="minorHAnsi"/>
                <w:szCs w:val="22"/>
                <w:lang w:val="en-AU"/>
              </w:rPr>
              <w:t>Tenders Board</w:t>
            </w:r>
          </w:p>
        </w:tc>
      </w:tr>
      <w:tr w:rsidR="00015623" w:rsidRPr="00E27200" w14:paraId="1F8149F6" w14:textId="77777777">
        <w:tc>
          <w:tcPr>
            <w:tcW w:w="1701" w:type="dxa"/>
          </w:tcPr>
          <w:p w14:paraId="2B964697"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PTS</w:t>
            </w:r>
          </w:p>
        </w:tc>
        <w:tc>
          <w:tcPr>
            <w:tcW w:w="7513" w:type="dxa"/>
          </w:tcPr>
          <w:p w14:paraId="3F1EE699"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Provincial Transit Store</w:t>
            </w:r>
          </w:p>
        </w:tc>
      </w:tr>
      <w:tr w:rsidR="00015623" w:rsidRPr="00E27200" w14:paraId="7DD857AF" w14:textId="77777777">
        <w:tc>
          <w:tcPr>
            <w:tcW w:w="1701" w:type="dxa"/>
          </w:tcPr>
          <w:p w14:paraId="3DFF15B2" w14:textId="77777777" w:rsidR="00015623" w:rsidRPr="00E27200" w:rsidRDefault="00015623" w:rsidP="00E16C77">
            <w:pPr>
              <w:rPr>
                <w:rFonts w:asciiTheme="minorHAnsi" w:hAnsiTheme="minorHAnsi"/>
                <w:szCs w:val="22"/>
                <w:lang w:val="en-AU"/>
              </w:rPr>
            </w:pPr>
            <w:r>
              <w:rPr>
                <w:rFonts w:asciiTheme="minorHAnsi" w:hAnsiTheme="minorHAnsi"/>
                <w:szCs w:val="22"/>
                <w:lang w:val="en-AU"/>
              </w:rPr>
              <w:t>RAM-PNG</w:t>
            </w:r>
          </w:p>
        </w:tc>
        <w:tc>
          <w:tcPr>
            <w:tcW w:w="7513" w:type="dxa"/>
          </w:tcPr>
          <w:p w14:paraId="7DF01165" w14:textId="77777777" w:rsidR="00015623" w:rsidRPr="00E27200" w:rsidRDefault="00015623" w:rsidP="005229A4">
            <w:pPr>
              <w:rPr>
                <w:rFonts w:asciiTheme="minorHAnsi" w:hAnsiTheme="minorHAnsi"/>
                <w:szCs w:val="22"/>
                <w:lang w:val="en-AU"/>
              </w:rPr>
            </w:pPr>
            <w:r w:rsidRPr="00E27200">
              <w:rPr>
                <w:rFonts w:asciiTheme="minorHAnsi" w:hAnsiTheme="minorHAnsi" w:cs="Arial"/>
                <w:color w:val="000000"/>
                <w:szCs w:val="19"/>
                <w:lang w:val="en-AU"/>
              </w:rPr>
              <w:t>Rotarians Agai</w:t>
            </w:r>
            <w:r>
              <w:rPr>
                <w:rFonts w:asciiTheme="minorHAnsi" w:hAnsiTheme="minorHAnsi" w:cs="Arial"/>
                <w:color w:val="000000"/>
                <w:szCs w:val="19"/>
                <w:lang w:val="en-AU"/>
              </w:rPr>
              <w:t>nst Malaria in Papua New Guinea</w:t>
            </w:r>
          </w:p>
        </w:tc>
      </w:tr>
      <w:tr w:rsidR="00015623" w:rsidRPr="00E27200" w14:paraId="24DA9200" w14:textId="77777777">
        <w:tc>
          <w:tcPr>
            <w:tcW w:w="1701" w:type="dxa"/>
          </w:tcPr>
          <w:p w14:paraId="6FA8C87C"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SC</w:t>
            </w:r>
          </w:p>
        </w:tc>
        <w:tc>
          <w:tcPr>
            <w:tcW w:w="7513" w:type="dxa"/>
          </w:tcPr>
          <w:p w14:paraId="39203D40"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Health Sub-centre</w:t>
            </w:r>
          </w:p>
        </w:tc>
      </w:tr>
      <w:tr w:rsidR="00015623" w:rsidRPr="00E27200" w14:paraId="0797603B" w14:textId="77777777">
        <w:tc>
          <w:tcPr>
            <w:tcW w:w="1701" w:type="dxa"/>
          </w:tcPr>
          <w:p w14:paraId="701FC3FE"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SMHS</w:t>
            </w:r>
          </w:p>
        </w:tc>
        <w:tc>
          <w:tcPr>
            <w:tcW w:w="7513" w:type="dxa"/>
          </w:tcPr>
          <w:p w14:paraId="0DAED7BF"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(UPNG) School of Medicine and Health Sciences</w:t>
            </w:r>
          </w:p>
        </w:tc>
      </w:tr>
      <w:tr w:rsidR="00015623" w:rsidRPr="00E27200" w14:paraId="5ADD0403" w14:textId="77777777">
        <w:tc>
          <w:tcPr>
            <w:tcW w:w="1701" w:type="dxa"/>
          </w:tcPr>
          <w:p w14:paraId="5553607E"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TB</w:t>
            </w:r>
          </w:p>
        </w:tc>
        <w:tc>
          <w:tcPr>
            <w:tcW w:w="7513" w:type="dxa"/>
          </w:tcPr>
          <w:p w14:paraId="7AA9B04A"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Tuberculosis</w:t>
            </w:r>
          </w:p>
        </w:tc>
      </w:tr>
      <w:tr w:rsidR="00015623" w:rsidRPr="00E27200" w14:paraId="7E7D8AA5" w14:textId="77777777">
        <w:tc>
          <w:tcPr>
            <w:tcW w:w="1701" w:type="dxa"/>
          </w:tcPr>
          <w:p w14:paraId="6BEFCE1D"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TOR</w:t>
            </w:r>
          </w:p>
        </w:tc>
        <w:tc>
          <w:tcPr>
            <w:tcW w:w="7513" w:type="dxa"/>
          </w:tcPr>
          <w:p w14:paraId="69C3255F"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Terms of Reference</w:t>
            </w:r>
          </w:p>
        </w:tc>
      </w:tr>
      <w:tr w:rsidR="00015623" w:rsidRPr="00E27200" w14:paraId="33331615" w14:textId="77777777">
        <w:trPr>
          <w:trHeight w:val="66"/>
        </w:trPr>
        <w:tc>
          <w:tcPr>
            <w:tcW w:w="1701" w:type="dxa"/>
          </w:tcPr>
          <w:p w14:paraId="37F1F570" w14:textId="49E2E065" w:rsidR="00015623" w:rsidRPr="00E27200" w:rsidRDefault="00015623" w:rsidP="00E16C77">
            <w:pPr>
              <w:rPr>
                <w:rFonts w:asciiTheme="minorHAnsi" w:hAnsiTheme="minorHAnsi"/>
                <w:szCs w:val="22"/>
                <w:lang w:val="en-AU"/>
              </w:rPr>
            </w:pPr>
            <w:r>
              <w:rPr>
                <w:rFonts w:asciiTheme="minorHAnsi" w:hAnsiTheme="minorHAnsi"/>
                <w:szCs w:val="22"/>
                <w:lang w:val="en-AU"/>
              </w:rPr>
              <w:t>TNMSC</w:t>
            </w:r>
          </w:p>
        </w:tc>
        <w:tc>
          <w:tcPr>
            <w:tcW w:w="7513" w:type="dxa"/>
          </w:tcPr>
          <w:p w14:paraId="586198E3" w14:textId="53BFD9B3" w:rsidR="00015623" w:rsidRPr="00E27200" w:rsidRDefault="00015623" w:rsidP="00E16C77">
            <w:pPr>
              <w:rPr>
                <w:rFonts w:asciiTheme="minorHAnsi" w:hAnsiTheme="minorHAnsi"/>
                <w:szCs w:val="22"/>
                <w:lang w:val="en-AU"/>
              </w:rPr>
            </w:pPr>
            <w:r w:rsidRPr="00117EF5">
              <w:rPr>
                <w:rFonts w:asciiTheme="minorHAnsi" w:hAnsiTheme="minorHAnsi" w:cs="Arial"/>
                <w:color w:val="000000"/>
                <w:szCs w:val="19"/>
                <w:lang w:val="en-AU"/>
              </w:rPr>
              <w:t>Tamil Nadu Me</w:t>
            </w:r>
            <w:r>
              <w:rPr>
                <w:rFonts w:asciiTheme="minorHAnsi" w:hAnsiTheme="minorHAnsi" w:cs="Arial"/>
                <w:color w:val="000000"/>
                <w:szCs w:val="19"/>
                <w:lang w:val="en-AU"/>
              </w:rPr>
              <w:t>dical Services Corporation Ltd.</w:t>
            </w:r>
          </w:p>
        </w:tc>
      </w:tr>
      <w:tr w:rsidR="00015623" w:rsidRPr="00E27200" w14:paraId="38B0B906" w14:textId="77777777">
        <w:trPr>
          <w:trHeight w:val="66"/>
        </w:trPr>
        <w:tc>
          <w:tcPr>
            <w:tcW w:w="1701" w:type="dxa"/>
          </w:tcPr>
          <w:p w14:paraId="313CD3AE"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UPNG</w:t>
            </w:r>
          </w:p>
        </w:tc>
        <w:tc>
          <w:tcPr>
            <w:tcW w:w="7513" w:type="dxa"/>
          </w:tcPr>
          <w:p w14:paraId="059177E1"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University of Papua New Guinea</w:t>
            </w:r>
          </w:p>
        </w:tc>
      </w:tr>
      <w:tr w:rsidR="00015623" w:rsidRPr="00E27200" w14:paraId="42A31592" w14:textId="77777777">
        <w:trPr>
          <w:trHeight w:val="66"/>
        </w:trPr>
        <w:tc>
          <w:tcPr>
            <w:tcW w:w="1701" w:type="dxa"/>
          </w:tcPr>
          <w:p w14:paraId="6EB6DD30"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VHV</w:t>
            </w:r>
          </w:p>
        </w:tc>
        <w:tc>
          <w:tcPr>
            <w:tcW w:w="7513" w:type="dxa"/>
          </w:tcPr>
          <w:p w14:paraId="78507B9C"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Village Health Volunteer</w:t>
            </w:r>
          </w:p>
        </w:tc>
      </w:tr>
      <w:tr w:rsidR="00015623" w:rsidRPr="00E27200" w14:paraId="0651C448" w14:textId="77777777">
        <w:trPr>
          <w:trHeight w:val="66"/>
        </w:trPr>
        <w:tc>
          <w:tcPr>
            <w:tcW w:w="1701" w:type="dxa"/>
          </w:tcPr>
          <w:p w14:paraId="057F4C4C"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WHO</w:t>
            </w:r>
          </w:p>
        </w:tc>
        <w:tc>
          <w:tcPr>
            <w:tcW w:w="7513" w:type="dxa"/>
          </w:tcPr>
          <w:p w14:paraId="7F9EB34E"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World Health Organization</w:t>
            </w:r>
          </w:p>
        </w:tc>
      </w:tr>
      <w:tr w:rsidR="00015623" w:rsidRPr="00E27200" w14:paraId="74145BC6" w14:textId="77777777">
        <w:trPr>
          <w:trHeight w:val="66"/>
        </w:trPr>
        <w:tc>
          <w:tcPr>
            <w:tcW w:w="1701" w:type="dxa"/>
          </w:tcPr>
          <w:p w14:paraId="3A3F015F"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WPRO</w:t>
            </w:r>
          </w:p>
        </w:tc>
        <w:tc>
          <w:tcPr>
            <w:tcW w:w="7513" w:type="dxa"/>
          </w:tcPr>
          <w:p w14:paraId="1E245D19" w14:textId="77777777" w:rsidR="00015623" w:rsidRPr="00E27200" w:rsidRDefault="00015623" w:rsidP="00E16C77">
            <w:pPr>
              <w:rPr>
                <w:rFonts w:asciiTheme="minorHAnsi" w:hAnsiTheme="minorHAnsi"/>
                <w:szCs w:val="22"/>
                <w:lang w:val="en-AU"/>
              </w:rPr>
            </w:pPr>
            <w:r w:rsidRPr="00E27200">
              <w:rPr>
                <w:rFonts w:asciiTheme="minorHAnsi" w:hAnsiTheme="minorHAnsi"/>
                <w:szCs w:val="22"/>
                <w:lang w:val="en-AU"/>
              </w:rPr>
              <w:t>Western Pacific Regional Office of WHO</w:t>
            </w:r>
          </w:p>
        </w:tc>
      </w:tr>
    </w:tbl>
    <w:p w14:paraId="4C11B703" w14:textId="77777777" w:rsidR="00762746" w:rsidRPr="00E27200" w:rsidRDefault="00762746" w:rsidP="002F5938">
      <w:pPr>
        <w:rPr>
          <w:lang w:val="en-AU" w:eastAsia="en-AU"/>
        </w:rPr>
      </w:pPr>
    </w:p>
    <w:p w14:paraId="3E25D495" w14:textId="77777777" w:rsidR="00BC7D3F" w:rsidRPr="00E27200" w:rsidRDefault="00BC7D3F" w:rsidP="00E16C77">
      <w:pPr>
        <w:pStyle w:val="Heading1"/>
        <w:numPr>
          <w:ilvl w:val="0"/>
          <w:numId w:val="0"/>
        </w:numPr>
      </w:pPr>
      <w:bookmarkStart w:id="7" w:name="_Toc238867685"/>
      <w:bookmarkStart w:id="8" w:name="_Toc245810734"/>
      <w:r w:rsidRPr="00E27200">
        <w:lastRenderedPageBreak/>
        <w:t>Executive Summary</w:t>
      </w:r>
      <w:bookmarkEnd w:id="6"/>
      <w:bookmarkEnd w:id="7"/>
      <w:bookmarkEnd w:id="8"/>
    </w:p>
    <w:p w14:paraId="4C59381D" w14:textId="77777777" w:rsidR="00735694" w:rsidRPr="00E27200" w:rsidRDefault="009B2D9F" w:rsidP="009B2D9F">
      <w:pPr>
        <w:pStyle w:val="Heading3"/>
        <w:numPr>
          <w:ilvl w:val="0"/>
          <w:numId w:val="0"/>
        </w:numPr>
        <w:ind w:left="504" w:hanging="504"/>
      </w:pPr>
      <w:bookmarkStart w:id="9" w:name="_Toc330284884"/>
      <w:bookmarkStart w:id="10" w:name="_Toc238867686"/>
      <w:r>
        <w:t>Overall summary</w:t>
      </w:r>
      <w:r w:rsidR="0012608A" w:rsidRPr="00E27200">
        <w:t xml:space="preserve"> </w:t>
      </w:r>
    </w:p>
    <w:p w14:paraId="3A14C305" w14:textId="05A074DC" w:rsidR="001879EF" w:rsidRPr="00A57F31" w:rsidRDefault="00286C1B" w:rsidP="00AD3F80">
      <w:pPr>
        <w:pStyle w:val="ListParagraph"/>
        <w:numPr>
          <w:ilvl w:val="0"/>
          <w:numId w:val="14"/>
        </w:numPr>
        <w:rPr>
          <w:lang w:val="en-AU"/>
        </w:rPr>
      </w:pPr>
      <w:r>
        <w:rPr>
          <w:spacing w:val="-4"/>
          <w:szCs w:val="22"/>
          <w:lang w:val="en-AU"/>
        </w:rPr>
        <w:t>Overall availability of essential medicines in</w:t>
      </w:r>
      <w:r w:rsidR="000325CD">
        <w:rPr>
          <w:spacing w:val="-4"/>
          <w:szCs w:val="22"/>
          <w:lang w:val="en-AU"/>
        </w:rPr>
        <w:t xml:space="preserve"> Papua New Guinea (</w:t>
      </w:r>
      <w:r>
        <w:rPr>
          <w:spacing w:val="-4"/>
          <w:szCs w:val="22"/>
          <w:lang w:val="en-AU"/>
        </w:rPr>
        <w:t>PNG</w:t>
      </w:r>
      <w:r w:rsidR="000325CD">
        <w:rPr>
          <w:spacing w:val="-4"/>
          <w:szCs w:val="22"/>
          <w:lang w:val="en-AU"/>
        </w:rPr>
        <w:t>)</w:t>
      </w:r>
      <w:r>
        <w:rPr>
          <w:spacing w:val="-4"/>
          <w:szCs w:val="22"/>
          <w:lang w:val="en-AU"/>
        </w:rPr>
        <w:t xml:space="preserve"> is at 64%, using a standard WHO measure, which compares well to similar countries in the region</w:t>
      </w:r>
      <w:r w:rsidR="00D704F8">
        <w:rPr>
          <w:spacing w:val="-4"/>
          <w:szCs w:val="22"/>
          <w:lang w:val="en-AU"/>
        </w:rPr>
        <w:t xml:space="preserve">, although stock-outs </w:t>
      </w:r>
      <w:r w:rsidR="00146007">
        <w:rPr>
          <w:spacing w:val="-4"/>
          <w:szCs w:val="22"/>
          <w:lang w:val="en-AU"/>
        </w:rPr>
        <w:t>are still experienced</w:t>
      </w:r>
      <w:r>
        <w:rPr>
          <w:spacing w:val="-4"/>
          <w:szCs w:val="22"/>
          <w:lang w:val="en-AU"/>
        </w:rPr>
        <w:t xml:space="preserve">. </w:t>
      </w:r>
      <w:r w:rsidR="00735694" w:rsidRPr="00AE517A">
        <w:rPr>
          <w:spacing w:val="-4"/>
          <w:szCs w:val="22"/>
          <w:lang w:val="en-AU"/>
        </w:rPr>
        <w:t>A</w:t>
      </w:r>
      <w:r w:rsidR="0012608A" w:rsidRPr="00AE517A">
        <w:rPr>
          <w:spacing w:val="-4"/>
          <w:szCs w:val="22"/>
          <w:lang w:val="en-AU"/>
        </w:rPr>
        <w:t xml:space="preserve">vailability of </w:t>
      </w:r>
      <w:r w:rsidR="00146007">
        <w:rPr>
          <w:spacing w:val="-4"/>
          <w:szCs w:val="22"/>
          <w:lang w:val="en-AU"/>
        </w:rPr>
        <w:t>some important</w:t>
      </w:r>
      <w:r w:rsidR="00B46267" w:rsidRPr="00AE517A">
        <w:rPr>
          <w:spacing w:val="-4"/>
          <w:szCs w:val="22"/>
          <w:lang w:val="en-AU"/>
        </w:rPr>
        <w:t xml:space="preserve"> </w:t>
      </w:r>
      <w:r w:rsidR="0012608A" w:rsidRPr="00AE517A">
        <w:rPr>
          <w:spacing w:val="-4"/>
          <w:szCs w:val="22"/>
          <w:lang w:val="en-AU"/>
        </w:rPr>
        <w:t>essential medicines in</w:t>
      </w:r>
      <w:r w:rsidR="00B46267" w:rsidRPr="00AE517A">
        <w:rPr>
          <w:spacing w:val="-4"/>
          <w:szCs w:val="22"/>
          <w:lang w:val="en-AU"/>
        </w:rPr>
        <w:t xml:space="preserve"> first-line health facilities in</w:t>
      </w:r>
      <w:r w:rsidR="0012608A" w:rsidRPr="00AE517A">
        <w:rPr>
          <w:spacing w:val="-4"/>
          <w:szCs w:val="22"/>
          <w:lang w:val="en-AU"/>
        </w:rPr>
        <w:t xml:space="preserve"> PNG has increased in recent years, largely due to the impact of</w:t>
      </w:r>
      <w:r w:rsidR="003956AD">
        <w:rPr>
          <w:spacing w:val="-4"/>
          <w:szCs w:val="22"/>
          <w:lang w:val="en-AU"/>
        </w:rPr>
        <w:t xml:space="preserve"> ‘push’ systems, including</w:t>
      </w:r>
      <w:r w:rsidR="0012608A" w:rsidRPr="00AE517A">
        <w:rPr>
          <w:spacing w:val="-4"/>
          <w:szCs w:val="22"/>
          <w:lang w:val="en-AU"/>
        </w:rPr>
        <w:t xml:space="preserve"> health centre and aid post kits distribut</w:t>
      </w:r>
      <w:r w:rsidR="003956AD">
        <w:rPr>
          <w:spacing w:val="-4"/>
          <w:szCs w:val="22"/>
          <w:lang w:val="en-AU"/>
        </w:rPr>
        <w:t>ions</w:t>
      </w:r>
      <w:r w:rsidR="00BA2AE3" w:rsidRPr="00AE517A">
        <w:rPr>
          <w:spacing w:val="-4"/>
          <w:szCs w:val="22"/>
          <w:lang w:val="en-AU"/>
        </w:rPr>
        <w:t>.  This has reached even remote facilities</w:t>
      </w:r>
      <w:r w:rsidR="00AE517A" w:rsidRPr="00AE517A">
        <w:rPr>
          <w:spacing w:val="-4"/>
          <w:szCs w:val="22"/>
          <w:lang w:val="en-AU"/>
        </w:rPr>
        <w:t xml:space="preserve"> and those in poor districts,</w:t>
      </w:r>
      <w:r w:rsidR="00BA2AE3" w:rsidRPr="00AE517A">
        <w:rPr>
          <w:spacing w:val="-4"/>
          <w:szCs w:val="22"/>
          <w:lang w:val="en-AU"/>
        </w:rPr>
        <w:t xml:space="preserve"> and represents a significant increase in their capacity to treat common and life-threatening diseases. </w:t>
      </w:r>
      <w:r w:rsidR="00552BB5">
        <w:rPr>
          <w:lang w:val="en-AU"/>
        </w:rPr>
        <w:t>A d</w:t>
      </w:r>
      <w:r w:rsidR="00BA2AE3" w:rsidRPr="001879EF">
        <w:rPr>
          <w:lang w:val="en-AU"/>
        </w:rPr>
        <w:t xml:space="preserve">etailed assessment of distribution </w:t>
      </w:r>
      <w:r w:rsidR="00CF16F6" w:rsidRPr="00A57F31">
        <w:rPr>
          <w:lang w:val="en-AU"/>
        </w:rPr>
        <w:t>in the ‘push’ system</w:t>
      </w:r>
      <w:r w:rsidR="00BA2AE3" w:rsidRPr="00A57F31">
        <w:rPr>
          <w:lang w:val="en-AU"/>
        </w:rPr>
        <w:t xml:space="preserve"> reveals opportunities for improvement, particularly in coordination and communication</w:t>
      </w:r>
      <w:r w:rsidR="001879EF" w:rsidRPr="00A57F31">
        <w:rPr>
          <w:lang w:val="en-AU"/>
        </w:rPr>
        <w:t>, accurate quantification of needs at various levels</w:t>
      </w:r>
      <w:r w:rsidR="00B92A75">
        <w:rPr>
          <w:lang w:val="en-AU"/>
        </w:rPr>
        <w:t>,</w:t>
      </w:r>
      <w:r w:rsidR="001879EF" w:rsidRPr="00A57F31">
        <w:rPr>
          <w:lang w:val="en-AU"/>
        </w:rPr>
        <w:t xml:space="preserve"> and</w:t>
      </w:r>
      <w:r w:rsidR="00B92A75">
        <w:rPr>
          <w:lang w:val="en-AU"/>
        </w:rPr>
        <w:t xml:space="preserve"> other potential</w:t>
      </w:r>
      <w:r w:rsidR="001879EF" w:rsidRPr="00A57F31">
        <w:rPr>
          <w:lang w:val="en-AU"/>
        </w:rPr>
        <w:t xml:space="preserve"> integration of management with the government ‘pull’ system</w:t>
      </w:r>
      <w:r w:rsidR="00BA2AE3" w:rsidRPr="00A57F31">
        <w:rPr>
          <w:lang w:val="en-AU"/>
        </w:rPr>
        <w:t xml:space="preserve">. </w:t>
      </w:r>
    </w:p>
    <w:p w14:paraId="3514A37B" w14:textId="59F33182" w:rsidR="001879EF" w:rsidRPr="00B92A75" w:rsidRDefault="00B92A75" w:rsidP="00AD3F80">
      <w:pPr>
        <w:pStyle w:val="ListParagraph"/>
        <w:numPr>
          <w:ilvl w:val="0"/>
          <w:numId w:val="14"/>
        </w:numPr>
        <w:rPr>
          <w:lang w:val="en-AU"/>
        </w:rPr>
      </w:pPr>
      <w:r w:rsidRPr="00E27200">
        <w:rPr>
          <w:lang w:val="en-AU"/>
        </w:rPr>
        <w:t>National procurement of medical supplies remains hampered by major information gaps constraining effective quan</w:t>
      </w:r>
      <w:r>
        <w:rPr>
          <w:lang w:val="en-AU"/>
        </w:rPr>
        <w:t xml:space="preserve">tification of needs across different procurement and supply chains. </w:t>
      </w:r>
      <w:r w:rsidR="00B93141">
        <w:rPr>
          <w:spacing w:val="-2"/>
          <w:szCs w:val="22"/>
          <w:lang w:val="en-AU"/>
        </w:rPr>
        <w:t>A new</w:t>
      </w:r>
      <w:r w:rsidR="001879EF">
        <w:rPr>
          <w:spacing w:val="-2"/>
          <w:szCs w:val="22"/>
          <w:lang w:val="en-AU"/>
        </w:rPr>
        <w:t xml:space="preserve"> </w:t>
      </w:r>
      <w:r w:rsidR="001879EF" w:rsidRPr="003E0737">
        <w:rPr>
          <w:spacing w:val="-2"/>
          <w:szCs w:val="22"/>
          <w:lang w:val="en-AU"/>
        </w:rPr>
        <w:t xml:space="preserve">reform of medical supplies management </w:t>
      </w:r>
      <w:r w:rsidR="00B93141">
        <w:rPr>
          <w:spacing w:val="-2"/>
          <w:szCs w:val="22"/>
          <w:lang w:val="en-AU"/>
        </w:rPr>
        <w:t>h</w:t>
      </w:r>
      <w:r w:rsidR="004A083F">
        <w:rPr>
          <w:spacing w:val="-2"/>
          <w:szCs w:val="22"/>
          <w:lang w:val="en-AU"/>
        </w:rPr>
        <w:t>a</w:t>
      </w:r>
      <w:r w:rsidR="00B93141">
        <w:rPr>
          <w:spacing w:val="-2"/>
          <w:szCs w:val="22"/>
          <w:lang w:val="en-AU"/>
        </w:rPr>
        <w:t>s commenced</w:t>
      </w:r>
      <w:r w:rsidR="001879EF" w:rsidRPr="003E0737">
        <w:rPr>
          <w:spacing w:val="-2"/>
          <w:szCs w:val="22"/>
          <w:lang w:val="en-AU"/>
        </w:rPr>
        <w:t xml:space="preserve"> and appropriately prioriti</w:t>
      </w:r>
      <w:r w:rsidR="001879EF">
        <w:rPr>
          <w:spacing w:val="-2"/>
          <w:szCs w:val="22"/>
          <w:lang w:val="en-AU"/>
        </w:rPr>
        <w:t>z</w:t>
      </w:r>
      <w:r w:rsidR="001879EF" w:rsidRPr="003E0737">
        <w:rPr>
          <w:spacing w:val="-2"/>
          <w:szCs w:val="22"/>
          <w:lang w:val="en-AU"/>
        </w:rPr>
        <w:t>e</w:t>
      </w:r>
      <w:r w:rsidR="001879EF">
        <w:rPr>
          <w:spacing w:val="-2"/>
          <w:szCs w:val="22"/>
          <w:lang w:val="en-AU"/>
        </w:rPr>
        <w:t>s</w:t>
      </w:r>
      <w:r w:rsidR="001879EF" w:rsidRPr="003E0737">
        <w:rPr>
          <w:spacing w:val="-2"/>
          <w:szCs w:val="22"/>
          <w:lang w:val="en-AU"/>
        </w:rPr>
        <w:t xml:space="preserve"> improved information flow, including </w:t>
      </w:r>
      <w:r w:rsidR="00552BB5">
        <w:rPr>
          <w:spacing w:val="-2"/>
          <w:szCs w:val="22"/>
          <w:lang w:val="en-AU"/>
        </w:rPr>
        <w:t xml:space="preserve">the </w:t>
      </w:r>
      <w:r w:rsidR="001879EF" w:rsidRPr="003E0737">
        <w:rPr>
          <w:spacing w:val="-2"/>
          <w:szCs w:val="22"/>
          <w:lang w:val="en-AU"/>
        </w:rPr>
        <w:t>introduction of an electronic logistic management information system</w:t>
      </w:r>
      <w:r w:rsidR="00B93141">
        <w:rPr>
          <w:spacing w:val="-2"/>
          <w:szCs w:val="22"/>
          <w:lang w:val="en-AU"/>
        </w:rPr>
        <w:t xml:space="preserve"> (</w:t>
      </w:r>
      <w:proofErr w:type="spellStart"/>
      <w:r w:rsidR="00B93141">
        <w:rPr>
          <w:spacing w:val="-2"/>
          <w:szCs w:val="22"/>
          <w:lang w:val="en-AU"/>
        </w:rPr>
        <w:t>eLMIS</w:t>
      </w:r>
      <w:proofErr w:type="spellEnd"/>
      <w:r w:rsidR="00B93141">
        <w:rPr>
          <w:spacing w:val="-2"/>
          <w:szCs w:val="22"/>
          <w:lang w:val="en-AU"/>
        </w:rPr>
        <w:t>)</w:t>
      </w:r>
      <w:r w:rsidR="001879EF" w:rsidRPr="003E0737">
        <w:rPr>
          <w:spacing w:val="-2"/>
          <w:szCs w:val="22"/>
          <w:lang w:val="en-AU"/>
        </w:rPr>
        <w:t>, continuation of kits supplementation to standard orders, prioritization within an over-large essential medicines list, introduction of national quality testing, and improved medical stores capacity</w:t>
      </w:r>
      <w:r w:rsidR="00A57F31">
        <w:rPr>
          <w:spacing w:val="-2"/>
          <w:szCs w:val="22"/>
          <w:lang w:val="en-AU"/>
        </w:rPr>
        <w:t xml:space="preserve">, all needs </w:t>
      </w:r>
      <w:r w:rsidR="00476B34">
        <w:rPr>
          <w:spacing w:val="-2"/>
          <w:szCs w:val="22"/>
          <w:lang w:val="en-AU"/>
        </w:rPr>
        <w:t>that this evaluation confirms</w:t>
      </w:r>
      <w:r w:rsidR="00A57F31">
        <w:rPr>
          <w:spacing w:val="-2"/>
          <w:szCs w:val="22"/>
          <w:lang w:val="en-AU"/>
        </w:rPr>
        <w:t>.</w:t>
      </w:r>
    </w:p>
    <w:p w14:paraId="505C8C90" w14:textId="43A958ED" w:rsidR="00A57F31" w:rsidRDefault="00B92A75" w:rsidP="00AD3F80">
      <w:pPr>
        <w:pStyle w:val="ListParagraph"/>
        <w:numPr>
          <w:ilvl w:val="0"/>
          <w:numId w:val="14"/>
        </w:numPr>
        <w:rPr>
          <w:lang w:val="en-AU"/>
        </w:rPr>
      </w:pPr>
      <w:r>
        <w:rPr>
          <w:lang w:val="en-AU"/>
        </w:rPr>
        <w:t xml:space="preserve">National procurement and supply </w:t>
      </w:r>
      <w:r w:rsidRPr="00E27200">
        <w:rPr>
          <w:lang w:val="en-AU"/>
        </w:rPr>
        <w:t>chain governance and tendering structures</w:t>
      </w:r>
      <w:r>
        <w:rPr>
          <w:lang w:val="en-AU"/>
        </w:rPr>
        <w:t xml:space="preserve"> in the government ‘pull’ system</w:t>
      </w:r>
      <w:r w:rsidRPr="00E27200">
        <w:rPr>
          <w:lang w:val="en-AU"/>
        </w:rPr>
        <w:t>, while showing some signs of change, still have yet to display required systems for transparency, accountability, quality and value for money.</w:t>
      </w:r>
      <w:r>
        <w:rPr>
          <w:lang w:val="en-AU"/>
        </w:rPr>
        <w:t xml:space="preserve"> </w:t>
      </w:r>
      <w:r w:rsidR="00785D2D">
        <w:rPr>
          <w:lang w:val="en-AU"/>
        </w:rPr>
        <w:t>In the recent ‘push’ system</w:t>
      </w:r>
      <w:r w:rsidR="00286C1B">
        <w:rPr>
          <w:lang w:val="en-AU"/>
        </w:rPr>
        <w:t xml:space="preserve"> of health centre and aid post kits</w:t>
      </w:r>
      <w:r w:rsidR="00B62E2E">
        <w:rPr>
          <w:lang w:val="en-AU"/>
        </w:rPr>
        <w:t xml:space="preserve">, </w:t>
      </w:r>
      <w:r w:rsidR="00785D2D">
        <w:rPr>
          <w:lang w:val="en-AU"/>
        </w:rPr>
        <w:t>the</w:t>
      </w:r>
      <w:r w:rsidR="00A57F31">
        <w:rPr>
          <w:lang w:val="en-AU"/>
        </w:rPr>
        <w:t xml:space="preserve"> international quality-assured supplier</w:t>
      </w:r>
      <w:r w:rsidR="00B62E2E">
        <w:rPr>
          <w:lang w:val="en-AU"/>
        </w:rPr>
        <w:t>, IDA,</w:t>
      </w:r>
      <w:r w:rsidR="00A57F31">
        <w:rPr>
          <w:lang w:val="en-AU"/>
        </w:rPr>
        <w:t xml:space="preserve"> was assessed as providing good value-for-money, and the stringent contract and performance management </w:t>
      </w:r>
      <w:r w:rsidR="00785D2D">
        <w:rPr>
          <w:lang w:val="en-AU"/>
        </w:rPr>
        <w:t>procedures</w:t>
      </w:r>
      <w:r w:rsidR="00A57F31">
        <w:rPr>
          <w:lang w:val="en-AU"/>
        </w:rPr>
        <w:t xml:space="preserve"> ha</w:t>
      </w:r>
      <w:r w:rsidR="00785D2D">
        <w:rPr>
          <w:lang w:val="en-AU"/>
        </w:rPr>
        <w:t>ve</w:t>
      </w:r>
      <w:r w:rsidR="00A57F31">
        <w:rPr>
          <w:lang w:val="en-AU"/>
        </w:rPr>
        <w:t xml:space="preserve"> supported effective </w:t>
      </w:r>
      <w:r w:rsidR="00AE25B4">
        <w:rPr>
          <w:lang w:val="en-AU"/>
        </w:rPr>
        <w:t>distribution of supplies</w:t>
      </w:r>
      <w:r w:rsidR="00785D2D">
        <w:rPr>
          <w:lang w:val="en-AU"/>
        </w:rPr>
        <w:t xml:space="preserve">. </w:t>
      </w:r>
      <w:r w:rsidR="00286C1B">
        <w:rPr>
          <w:lang w:val="en-AU"/>
        </w:rPr>
        <w:t>This experience</w:t>
      </w:r>
      <w:r w:rsidR="00785D2D">
        <w:rPr>
          <w:lang w:val="en-AU"/>
        </w:rPr>
        <w:t xml:space="preserve"> offer</w:t>
      </w:r>
      <w:r w:rsidR="00286C1B">
        <w:rPr>
          <w:lang w:val="en-AU"/>
        </w:rPr>
        <w:t>s</w:t>
      </w:r>
      <w:r w:rsidR="00A57F31">
        <w:rPr>
          <w:lang w:val="en-AU"/>
        </w:rPr>
        <w:t xml:space="preserve"> lessons for improved gov</w:t>
      </w:r>
      <w:r w:rsidR="00785D2D">
        <w:rPr>
          <w:lang w:val="en-AU"/>
        </w:rPr>
        <w:t>ernance in the ‘pull’ system and for future integrated supply-chain management</w:t>
      </w:r>
      <w:r w:rsidR="00AE25B4">
        <w:rPr>
          <w:lang w:val="en-AU"/>
        </w:rPr>
        <w:t xml:space="preserve"> (co-ordinating ‘pull’, ‘push’ and vertical program</w:t>
      </w:r>
      <w:r w:rsidR="00286C1B">
        <w:rPr>
          <w:lang w:val="en-AU"/>
        </w:rPr>
        <w:t>s</w:t>
      </w:r>
      <w:r w:rsidR="00AE25B4">
        <w:rPr>
          <w:lang w:val="en-AU"/>
        </w:rPr>
        <w:t>)</w:t>
      </w:r>
      <w:r w:rsidR="00785D2D">
        <w:rPr>
          <w:lang w:val="en-AU"/>
        </w:rPr>
        <w:t>, including stronger contract management of out-sourced supply chain functions.</w:t>
      </w:r>
    </w:p>
    <w:p w14:paraId="72C5DE6C" w14:textId="0FEA2E75" w:rsidR="00735694" w:rsidRPr="00286C1B" w:rsidRDefault="00286C1B" w:rsidP="00AD3F80">
      <w:pPr>
        <w:pStyle w:val="ListParagraph"/>
        <w:numPr>
          <w:ilvl w:val="0"/>
          <w:numId w:val="14"/>
        </w:numPr>
        <w:rPr>
          <w:spacing w:val="-2"/>
          <w:szCs w:val="22"/>
          <w:lang w:val="en-AU"/>
        </w:rPr>
      </w:pPr>
      <w:r>
        <w:rPr>
          <w:lang w:val="en-AU"/>
        </w:rPr>
        <w:t>T</w:t>
      </w:r>
      <w:r w:rsidR="00C51137" w:rsidRPr="00E27200">
        <w:rPr>
          <w:lang w:val="en-AU"/>
        </w:rPr>
        <w:t>here is scope for considerable improvement in the</w:t>
      </w:r>
      <w:r w:rsidR="00B46267" w:rsidRPr="00E27200">
        <w:rPr>
          <w:lang w:val="en-AU"/>
        </w:rPr>
        <w:t xml:space="preserve"> storage,</w:t>
      </w:r>
      <w:r w:rsidR="00C51137" w:rsidRPr="00E27200">
        <w:rPr>
          <w:lang w:val="en-AU"/>
        </w:rPr>
        <w:t xml:space="preserve"> handling and rational usage of medicines in health facilities, although many facilities are clearly making good use of increasingly available essential medicines</w:t>
      </w:r>
      <w:r>
        <w:rPr>
          <w:lang w:val="en-AU"/>
        </w:rPr>
        <w:t xml:space="preserve"> to manage significant health priorities</w:t>
      </w:r>
      <w:r w:rsidR="009F22A6">
        <w:rPr>
          <w:lang w:val="en-AU"/>
        </w:rPr>
        <w:t>.</w:t>
      </w:r>
      <w:r w:rsidR="00E36835" w:rsidRPr="00286C1B">
        <w:rPr>
          <w:spacing w:val="-2"/>
          <w:szCs w:val="22"/>
          <w:lang w:val="en-AU"/>
        </w:rPr>
        <w:t xml:space="preserve"> </w:t>
      </w:r>
    </w:p>
    <w:p w14:paraId="1B9FF622" w14:textId="6DA1B0EC" w:rsidR="00BA2AE3" w:rsidRPr="00E55E61" w:rsidRDefault="00C51137" w:rsidP="00AD3F80">
      <w:pPr>
        <w:pStyle w:val="ListParagraph"/>
        <w:numPr>
          <w:ilvl w:val="0"/>
          <w:numId w:val="14"/>
        </w:numPr>
        <w:rPr>
          <w:spacing w:val="-2"/>
          <w:szCs w:val="22"/>
          <w:lang w:val="en-AU"/>
        </w:rPr>
      </w:pPr>
      <w:r w:rsidRPr="00E55E61">
        <w:rPr>
          <w:spacing w:val="-2"/>
          <w:szCs w:val="22"/>
          <w:lang w:val="en-AU"/>
        </w:rPr>
        <w:t>This evaluation, by including an internationally standardized health facility survey</w:t>
      </w:r>
      <w:r w:rsidR="00735694" w:rsidRPr="00E55E61">
        <w:rPr>
          <w:spacing w:val="-2"/>
          <w:szCs w:val="22"/>
          <w:lang w:val="en-AU"/>
        </w:rPr>
        <w:t>,</w:t>
      </w:r>
      <w:r w:rsidRPr="00E55E61">
        <w:rPr>
          <w:spacing w:val="-2"/>
          <w:szCs w:val="22"/>
          <w:lang w:val="en-AU"/>
        </w:rPr>
        <w:t xml:space="preserve"> has generated baseline information, built capacity through </w:t>
      </w:r>
      <w:r w:rsidR="00735694" w:rsidRPr="00E55E61">
        <w:rPr>
          <w:spacing w:val="-2"/>
          <w:szCs w:val="22"/>
          <w:lang w:val="en-AU"/>
        </w:rPr>
        <w:t xml:space="preserve">local </w:t>
      </w:r>
      <w:r w:rsidRPr="00E55E61">
        <w:rPr>
          <w:spacing w:val="-2"/>
          <w:szCs w:val="22"/>
          <w:lang w:val="en-AU"/>
        </w:rPr>
        <w:t>academic partnerships</w:t>
      </w:r>
      <w:r w:rsidR="00735694" w:rsidRPr="00E55E61">
        <w:rPr>
          <w:spacing w:val="-2"/>
          <w:szCs w:val="22"/>
          <w:lang w:val="en-AU"/>
        </w:rPr>
        <w:t xml:space="preserve">, and </w:t>
      </w:r>
      <w:r w:rsidRPr="00E55E61">
        <w:rPr>
          <w:spacing w:val="-2"/>
          <w:szCs w:val="22"/>
          <w:lang w:val="en-AU"/>
        </w:rPr>
        <w:t>commends continued investment in a multi-year evaluation process to track progress in this crucial area of PNG’s health system.</w:t>
      </w:r>
      <w:r w:rsidR="00BA2AE3" w:rsidRPr="00E55E61">
        <w:rPr>
          <w:spacing w:val="-2"/>
          <w:szCs w:val="22"/>
          <w:lang w:val="en-AU"/>
        </w:rPr>
        <w:t xml:space="preserve"> </w:t>
      </w:r>
      <w:r w:rsidRPr="00E55E61">
        <w:rPr>
          <w:spacing w:val="-2"/>
          <w:szCs w:val="22"/>
          <w:lang w:val="en-AU"/>
        </w:rPr>
        <w:t xml:space="preserve"> </w:t>
      </w:r>
      <w:r w:rsidR="00AE25B4" w:rsidRPr="00E55E61">
        <w:rPr>
          <w:spacing w:val="-2"/>
          <w:szCs w:val="22"/>
          <w:lang w:val="en-AU"/>
        </w:rPr>
        <w:t>These quantitative measures can</w:t>
      </w:r>
      <w:r w:rsidR="00D96BCA">
        <w:rPr>
          <w:spacing w:val="-2"/>
          <w:szCs w:val="22"/>
          <w:lang w:val="en-AU"/>
        </w:rPr>
        <w:t xml:space="preserve"> also</w:t>
      </w:r>
      <w:r w:rsidR="00AE25B4" w:rsidRPr="00E55E61">
        <w:rPr>
          <w:spacing w:val="-2"/>
          <w:szCs w:val="22"/>
          <w:lang w:val="en-AU"/>
        </w:rPr>
        <w:t xml:space="preserve">, with appropriate stakeholder consultation, be used to </w:t>
      </w:r>
      <w:r w:rsidR="00E55E61" w:rsidRPr="00E55E61">
        <w:rPr>
          <w:spacing w:val="-2"/>
          <w:szCs w:val="22"/>
          <w:lang w:val="en-AU"/>
        </w:rPr>
        <w:t>model estimates</w:t>
      </w:r>
      <w:r w:rsidR="00AE25B4" w:rsidRPr="00E55E61">
        <w:rPr>
          <w:spacing w:val="-2"/>
          <w:szCs w:val="22"/>
          <w:lang w:val="en-AU"/>
        </w:rPr>
        <w:t xml:space="preserve"> of lives saved</w:t>
      </w:r>
      <w:r w:rsidR="00E55E61" w:rsidRPr="00E55E61">
        <w:rPr>
          <w:spacing w:val="-2"/>
          <w:szCs w:val="22"/>
          <w:lang w:val="en-AU"/>
        </w:rPr>
        <w:t xml:space="preserve"> in PNG</w:t>
      </w:r>
      <w:r w:rsidR="00AE25B4" w:rsidRPr="00E55E61">
        <w:rPr>
          <w:spacing w:val="-2"/>
          <w:szCs w:val="22"/>
          <w:lang w:val="en-AU"/>
        </w:rPr>
        <w:t xml:space="preserve"> through increased availa</w:t>
      </w:r>
      <w:r w:rsidR="004A5F46">
        <w:rPr>
          <w:spacing w:val="-2"/>
          <w:szCs w:val="22"/>
          <w:lang w:val="en-AU"/>
        </w:rPr>
        <w:t>bility of good quality and well-</w:t>
      </w:r>
      <w:r w:rsidR="00AE25B4" w:rsidRPr="00E55E61">
        <w:rPr>
          <w:spacing w:val="-2"/>
          <w:szCs w:val="22"/>
          <w:lang w:val="en-AU"/>
        </w:rPr>
        <w:t xml:space="preserve">used medicines, as demonstrated in this report. </w:t>
      </w:r>
      <w:r w:rsidR="00255508">
        <w:rPr>
          <w:spacing w:val="-2"/>
          <w:szCs w:val="22"/>
          <w:lang w:val="en-AU"/>
        </w:rPr>
        <w:t>They could also inform review of the way that the NHIS presents current stock-out measures.</w:t>
      </w:r>
    </w:p>
    <w:p w14:paraId="62B23271" w14:textId="77777777" w:rsidR="00BA2AE3" w:rsidRPr="00E27200" w:rsidRDefault="00BA2AE3" w:rsidP="00E16C77">
      <w:pPr>
        <w:rPr>
          <w:lang w:val="en-AU"/>
        </w:rPr>
      </w:pPr>
    </w:p>
    <w:p w14:paraId="69460CD0" w14:textId="77777777" w:rsidR="00BA2AE3" w:rsidRDefault="00E96ABB" w:rsidP="00E96ABB">
      <w:pPr>
        <w:pStyle w:val="Heading3"/>
        <w:numPr>
          <w:ilvl w:val="0"/>
          <w:numId w:val="0"/>
        </w:numPr>
        <w:ind w:left="504" w:hanging="504"/>
      </w:pPr>
      <w:r>
        <w:t xml:space="preserve">Overview of </w:t>
      </w:r>
      <w:r w:rsidR="004B45D7">
        <w:t>this evaluation</w:t>
      </w:r>
    </w:p>
    <w:p w14:paraId="3F6679C1" w14:textId="6E76A2D6" w:rsidR="004B45D7" w:rsidRDefault="001073F3" w:rsidP="004B45D7">
      <w:r>
        <w:t xml:space="preserve">This report presents the first year of a multi-year evaluation into medical supply reform in PNG. It aims to assess and provide benchmarks for the whole medical supply system, including recent </w:t>
      </w:r>
      <w:r w:rsidR="00966931">
        <w:t xml:space="preserve">‘push’ system </w:t>
      </w:r>
      <w:r>
        <w:t xml:space="preserve">interventions such as the procurement and distribution of </w:t>
      </w:r>
      <w:r w:rsidR="00966931">
        <w:t>‘</w:t>
      </w:r>
      <w:r>
        <w:t>100</w:t>
      </w:r>
      <w:r w:rsidR="00D378E8">
        <w:t>%</w:t>
      </w:r>
      <w:r w:rsidR="00966931">
        <w:t>’</w:t>
      </w:r>
      <w:r w:rsidR="00966931">
        <w:rPr>
          <w:rStyle w:val="FootnoteReference"/>
        </w:rPr>
        <w:footnoteReference w:id="1"/>
      </w:r>
      <w:r>
        <w:t xml:space="preserve"> </w:t>
      </w:r>
      <w:r w:rsidR="00966931">
        <w:t xml:space="preserve">essential </w:t>
      </w:r>
      <w:r>
        <w:t>medical</w:t>
      </w:r>
      <w:r w:rsidR="00966931">
        <w:t xml:space="preserve"> supply</w:t>
      </w:r>
      <w:r>
        <w:t xml:space="preserve"> kits by </w:t>
      </w:r>
      <w:r w:rsidR="00732D2B">
        <w:t>the Australian Government</w:t>
      </w:r>
      <w:r w:rsidR="00966931">
        <w:t xml:space="preserve"> and the previous ‘40%’ kits</w:t>
      </w:r>
      <w:r w:rsidR="00B93141">
        <w:t xml:space="preserve">, that were introduced to supply the </w:t>
      </w:r>
      <w:r w:rsidR="00B93141">
        <w:lastRenderedPageBreak/>
        <w:t>government ‘pull’ system of Area Medical Stores (AMS) and out-sourced delivery to health facilities (HFs)</w:t>
      </w:r>
      <w:r>
        <w:t xml:space="preserve">. </w:t>
      </w:r>
      <w:r w:rsidR="004B45D7">
        <w:t>The objectives of</w:t>
      </w:r>
      <w:r w:rsidR="003E0737">
        <w:t xml:space="preserve"> this first year of evaluation </w:t>
      </w:r>
      <w:r>
        <w:t xml:space="preserve">were </w:t>
      </w:r>
      <w:r w:rsidR="004B45D7">
        <w:t>to:</w:t>
      </w:r>
    </w:p>
    <w:p w14:paraId="5959B40F" w14:textId="2E19AF95" w:rsidR="004B45D7" w:rsidRDefault="004B45D7" w:rsidP="00AD3F80">
      <w:pPr>
        <w:pStyle w:val="ListParagraph"/>
        <w:numPr>
          <w:ilvl w:val="0"/>
          <w:numId w:val="39"/>
        </w:numPr>
      </w:pPr>
      <w:r>
        <w:t xml:space="preserve">Review </w:t>
      </w:r>
      <w:r w:rsidR="00552BB5">
        <w:t xml:space="preserve">the </w:t>
      </w:r>
      <w:r>
        <w:t>status in 2013 of procurement, distribution, access and usage of medical</w:t>
      </w:r>
      <w:r w:rsidR="001073F3">
        <w:t xml:space="preserve"> supplies</w:t>
      </w:r>
      <w:r>
        <w:t xml:space="preserve">, with a focus on recent procurement experiences; </w:t>
      </w:r>
    </w:p>
    <w:p w14:paraId="615D8035" w14:textId="32BD92DA" w:rsidR="004B45D7" w:rsidRDefault="004B45D7" w:rsidP="00AD3F80">
      <w:pPr>
        <w:pStyle w:val="ListParagraph"/>
        <w:numPr>
          <w:ilvl w:val="0"/>
          <w:numId w:val="39"/>
        </w:numPr>
      </w:pPr>
      <w:r>
        <w:t>Consider the broader evaluation needs of medical supplies in PNG, including development of a multi-year evaluation plan that proposes usable indicators to track future</w:t>
      </w:r>
      <w:r w:rsidR="00DE1574">
        <w:t xml:space="preserve"> progress</w:t>
      </w:r>
      <w:r>
        <w:t xml:space="preserve">; and </w:t>
      </w:r>
    </w:p>
    <w:p w14:paraId="5B0C6C82" w14:textId="77777777" w:rsidR="004B45D7" w:rsidRDefault="004B45D7" w:rsidP="00AD3F80">
      <w:pPr>
        <w:pStyle w:val="ListParagraph"/>
        <w:numPr>
          <w:ilvl w:val="0"/>
          <w:numId w:val="39"/>
        </w:numPr>
      </w:pPr>
      <w:r>
        <w:t xml:space="preserve">Provide short-term recommendations that can supplement other planning that is underway. </w:t>
      </w:r>
    </w:p>
    <w:p w14:paraId="06ABAFB7" w14:textId="77777777" w:rsidR="004B45D7" w:rsidRDefault="004B45D7" w:rsidP="004B45D7"/>
    <w:p w14:paraId="0380B5F5" w14:textId="77777777" w:rsidR="004B45D7" w:rsidRDefault="004B45D7" w:rsidP="004B45D7">
      <w:r>
        <w:t>The Health and HIV I</w:t>
      </w:r>
      <w:r w:rsidR="003E0737">
        <w:t xml:space="preserve">mplementation Services Provider </w:t>
      </w:r>
      <w:r>
        <w:t>supported an evaluation team: an international Procurement and Supply Chain Specialist and four specialists (plus support staff) from the Burnet Institute, in conducting the first year of this evaluation. The evaluation work included:</w:t>
      </w:r>
    </w:p>
    <w:p w14:paraId="7BD12D80" w14:textId="77777777" w:rsidR="004B45D7" w:rsidRDefault="004B45D7" w:rsidP="00AD3F80">
      <w:pPr>
        <w:pStyle w:val="ListParagraph"/>
        <w:numPr>
          <w:ilvl w:val="0"/>
          <w:numId w:val="40"/>
        </w:numPr>
      </w:pPr>
      <w:r>
        <w:t>Desk review of previous assessments and re-analysis of NDOH health information data;</w:t>
      </w:r>
    </w:p>
    <w:p w14:paraId="22CB7BDE" w14:textId="5E05F859" w:rsidR="004B45D7" w:rsidRDefault="004B45D7" w:rsidP="00AD3F80">
      <w:pPr>
        <w:pStyle w:val="ListParagraph"/>
        <w:numPr>
          <w:ilvl w:val="0"/>
          <w:numId w:val="40"/>
        </w:numPr>
      </w:pPr>
      <w:r>
        <w:t xml:space="preserve">International review of </w:t>
      </w:r>
      <w:r w:rsidR="00663E5D">
        <w:t xml:space="preserve">IDA Foundation (IDA) the </w:t>
      </w:r>
      <w:r>
        <w:t>100% kit supplier;</w:t>
      </w:r>
    </w:p>
    <w:p w14:paraId="735BAA91" w14:textId="77777777" w:rsidR="004B45D7" w:rsidRDefault="004B45D7" w:rsidP="00AD3F80">
      <w:pPr>
        <w:pStyle w:val="ListParagraph"/>
        <w:numPr>
          <w:ilvl w:val="0"/>
          <w:numId w:val="40"/>
        </w:numPr>
      </w:pPr>
      <w:r>
        <w:t>National consultations with a large number of government and partner programs;</w:t>
      </w:r>
    </w:p>
    <w:p w14:paraId="1EAB825A" w14:textId="77777777" w:rsidR="004B45D7" w:rsidRDefault="004B45D7" w:rsidP="00AD3F80">
      <w:pPr>
        <w:pStyle w:val="ListParagraph"/>
        <w:numPr>
          <w:ilvl w:val="0"/>
          <w:numId w:val="40"/>
        </w:numPr>
      </w:pPr>
      <w:r>
        <w:t xml:space="preserve">Interviews </w:t>
      </w:r>
      <w:r w:rsidR="003E0737">
        <w:t xml:space="preserve">and written survey </w:t>
      </w:r>
      <w:r>
        <w:t xml:space="preserve">with </w:t>
      </w:r>
      <w:r w:rsidR="003E0737">
        <w:t xml:space="preserve">131 </w:t>
      </w:r>
      <w:r>
        <w:t>provincial and district health managers</w:t>
      </w:r>
      <w:r w:rsidR="003E0737">
        <w:t>;</w:t>
      </w:r>
    </w:p>
    <w:p w14:paraId="34B46BF8" w14:textId="7B068F70" w:rsidR="00E96ABB" w:rsidRPr="00E96ABB" w:rsidRDefault="004B45D7" w:rsidP="00AD3F80">
      <w:pPr>
        <w:pStyle w:val="ListParagraph"/>
        <w:numPr>
          <w:ilvl w:val="0"/>
          <w:numId w:val="40"/>
        </w:numPr>
      </w:pPr>
      <w:r>
        <w:t xml:space="preserve">A </w:t>
      </w:r>
      <w:r w:rsidR="003E0737">
        <w:t xml:space="preserve">survey of 103 health facilities and 8 medical stores in 8 provinces, </w:t>
      </w:r>
      <w:r>
        <w:t>carried out in partnership with Department of Pharmacy at UPNG, and UNFPA, under the auspices of NDOH Monitoring and Research Branch</w:t>
      </w:r>
      <w:r w:rsidR="003E0737">
        <w:t>.</w:t>
      </w:r>
    </w:p>
    <w:p w14:paraId="089EE88E" w14:textId="77777777" w:rsidR="00BA2AE3" w:rsidRPr="00E27200" w:rsidRDefault="00BA2AE3" w:rsidP="00E16C77">
      <w:pPr>
        <w:rPr>
          <w:lang w:val="en-AU"/>
        </w:rPr>
      </w:pPr>
    </w:p>
    <w:p w14:paraId="534C52CC" w14:textId="77777777" w:rsidR="009B2D9F" w:rsidRDefault="009B2D9F" w:rsidP="009B2D9F">
      <w:pPr>
        <w:pStyle w:val="Heading3"/>
        <w:numPr>
          <w:ilvl w:val="0"/>
          <w:numId w:val="0"/>
        </w:numPr>
        <w:ind w:left="504" w:hanging="504"/>
      </w:pPr>
      <w:r>
        <w:t>Key Findings</w:t>
      </w:r>
    </w:p>
    <w:p w14:paraId="0B4EC199" w14:textId="29F140AC" w:rsidR="0042311B" w:rsidRPr="00E96ABB" w:rsidRDefault="0042311B" w:rsidP="0042311B">
      <w:pPr>
        <w:rPr>
          <w:b/>
          <w:lang w:val="en-AU"/>
        </w:rPr>
      </w:pPr>
      <w:r w:rsidRPr="00E96ABB">
        <w:rPr>
          <w:b/>
          <w:lang w:val="en-AU"/>
        </w:rPr>
        <w:t>Availability of essential medicines</w:t>
      </w:r>
      <w:r w:rsidR="00F47822">
        <w:rPr>
          <w:b/>
          <w:lang w:val="en-AU"/>
        </w:rPr>
        <w:t xml:space="preserve"> and supplies</w:t>
      </w:r>
      <w:r>
        <w:rPr>
          <w:b/>
          <w:lang w:val="en-AU"/>
        </w:rPr>
        <w:t xml:space="preserve">, and impact on equity and </w:t>
      </w:r>
      <w:r w:rsidR="00F47822">
        <w:rPr>
          <w:b/>
          <w:lang w:val="en-AU"/>
        </w:rPr>
        <w:t>population</w:t>
      </w:r>
    </w:p>
    <w:p w14:paraId="3936EDD4" w14:textId="3EEDD886" w:rsidR="0042311B" w:rsidRPr="00B95A4B" w:rsidRDefault="0042311B" w:rsidP="0042311B">
      <w:pPr>
        <w:rPr>
          <w:spacing w:val="-4"/>
          <w:szCs w:val="22"/>
          <w:lang w:val="en-AU"/>
        </w:rPr>
      </w:pPr>
      <w:r w:rsidRPr="00B95A4B">
        <w:rPr>
          <w:spacing w:val="-4"/>
          <w:szCs w:val="22"/>
          <w:lang w:val="en-AU"/>
        </w:rPr>
        <w:t>Availability in 2013 was measured at 64% of selected tracer medicines</w:t>
      </w:r>
      <w:r w:rsidR="00716674">
        <w:rPr>
          <w:spacing w:val="-4"/>
          <w:szCs w:val="22"/>
          <w:lang w:val="en-AU"/>
        </w:rPr>
        <w:t>,</w:t>
      </w:r>
      <w:r w:rsidRPr="00B95A4B">
        <w:rPr>
          <w:spacing w:val="-4"/>
          <w:szCs w:val="22"/>
          <w:lang w:val="en-AU"/>
        </w:rPr>
        <w:t xml:space="preserve"> </w:t>
      </w:r>
      <w:r w:rsidR="00EB0E61" w:rsidRPr="00B95A4B">
        <w:rPr>
          <w:spacing w:val="-4"/>
          <w:szCs w:val="22"/>
          <w:lang w:val="en-AU"/>
        </w:rPr>
        <w:t xml:space="preserve">available </w:t>
      </w:r>
      <w:r w:rsidRPr="00B95A4B">
        <w:rPr>
          <w:spacing w:val="-4"/>
          <w:szCs w:val="22"/>
          <w:lang w:val="en-AU"/>
        </w:rPr>
        <w:t>across all levels in the health system from AP to hospital, using WHO’s standardi</w:t>
      </w:r>
      <w:r w:rsidR="00217089">
        <w:rPr>
          <w:spacing w:val="-4"/>
          <w:szCs w:val="22"/>
          <w:lang w:val="en-AU"/>
        </w:rPr>
        <w:t>z</w:t>
      </w:r>
      <w:r w:rsidRPr="00B95A4B">
        <w:rPr>
          <w:spacing w:val="-4"/>
          <w:szCs w:val="22"/>
          <w:lang w:val="en-AU"/>
        </w:rPr>
        <w:t>ed indicator.</w:t>
      </w:r>
      <w:r w:rsidR="005B5DF3" w:rsidRPr="00B95A4B">
        <w:rPr>
          <w:spacing w:val="-4"/>
          <w:szCs w:val="22"/>
          <w:lang w:val="en-AU"/>
        </w:rPr>
        <w:t xml:space="preserve"> This </w:t>
      </w:r>
      <w:r w:rsidR="00AF16D7" w:rsidRPr="00B95A4B">
        <w:rPr>
          <w:spacing w:val="-4"/>
          <w:szCs w:val="22"/>
          <w:lang w:val="en-AU"/>
        </w:rPr>
        <w:t>is similar to measures in comparable countries and</w:t>
      </w:r>
      <w:r w:rsidR="005B5DF3" w:rsidRPr="00B95A4B">
        <w:rPr>
          <w:spacing w:val="-4"/>
          <w:szCs w:val="22"/>
          <w:lang w:val="en-AU"/>
        </w:rPr>
        <w:t xml:space="preserve"> </w:t>
      </w:r>
      <w:r w:rsidR="00EE51D5" w:rsidRPr="00B95A4B">
        <w:rPr>
          <w:spacing w:val="-4"/>
          <w:szCs w:val="22"/>
          <w:lang w:val="en-AU"/>
        </w:rPr>
        <w:t xml:space="preserve">to </w:t>
      </w:r>
      <w:r w:rsidR="005B5DF3" w:rsidRPr="00B95A4B">
        <w:rPr>
          <w:spacing w:val="-4"/>
          <w:szCs w:val="22"/>
          <w:lang w:val="en-AU"/>
        </w:rPr>
        <w:t xml:space="preserve">a 2009 measurement </w:t>
      </w:r>
      <w:r w:rsidR="00EE51D5" w:rsidRPr="00B95A4B">
        <w:rPr>
          <w:spacing w:val="-4"/>
          <w:szCs w:val="22"/>
          <w:lang w:val="en-AU"/>
        </w:rPr>
        <w:t xml:space="preserve">we </w:t>
      </w:r>
      <w:r w:rsidR="005B5DF3" w:rsidRPr="00B95A4B">
        <w:rPr>
          <w:spacing w:val="-4"/>
          <w:szCs w:val="22"/>
          <w:lang w:val="en-AU"/>
        </w:rPr>
        <w:t xml:space="preserve">inferred from data in a costing study. </w:t>
      </w:r>
      <w:r w:rsidR="00D704F8">
        <w:rPr>
          <w:spacing w:val="-4"/>
          <w:szCs w:val="22"/>
          <w:lang w:val="en-AU"/>
        </w:rPr>
        <w:t xml:space="preserve">At this level, however, stock-outs still remain a common occurrence. </w:t>
      </w:r>
      <w:r w:rsidR="00B95A4B" w:rsidRPr="00B95A4B">
        <w:rPr>
          <w:spacing w:val="-4"/>
          <w:szCs w:val="22"/>
          <w:lang w:val="en-AU"/>
        </w:rPr>
        <w:t>National Health Information System (</w:t>
      </w:r>
      <w:r w:rsidRPr="00B95A4B">
        <w:rPr>
          <w:spacing w:val="-4"/>
          <w:szCs w:val="22"/>
          <w:lang w:val="en-AU"/>
        </w:rPr>
        <w:t>NHIS</w:t>
      </w:r>
      <w:r w:rsidR="00B95A4B" w:rsidRPr="00B95A4B">
        <w:rPr>
          <w:spacing w:val="-4"/>
          <w:szCs w:val="22"/>
          <w:lang w:val="en-AU"/>
        </w:rPr>
        <w:t>)</w:t>
      </w:r>
      <w:r w:rsidRPr="00B95A4B">
        <w:rPr>
          <w:spacing w:val="-4"/>
          <w:szCs w:val="22"/>
          <w:lang w:val="en-AU"/>
        </w:rPr>
        <w:t xml:space="preserve"> data and qualitative findings suggest availability of selected high-priority medicines has increased over the past three years</w:t>
      </w:r>
      <w:r w:rsidR="005B5DF3" w:rsidRPr="00B95A4B">
        <w:rPr>
          <w:spacing w:val="-4"/>
          <w:szCs w:val="22"/>
          <w:lang w:val="en-AU"/>
        </w:rPr>
        <w:t xml:space="preserve">, seen for example in a halving of </w:t>
      </w:r>
      <w:r w:rsidR="00EB0E61" w:rsidRPr="00B95A4B">
        <w:rPr>
          <w:spacing w:val="-4"/>
          <w:szCs w:val="22"/>
          <w:lang w:val="en-AU"/>
        </w:rPr>
        <w:t>NHIS</w:t>
      </w:r>
      <w:r w:rsidR="005B5DF3" w:rsidRPr="00B95A4B">
        <w:rPr>
          <w:spacing w:val="-4"/>
          <w:szCs w:val="22"/>
          <w:lang w:val="en-AU"/>
        </w:rPr>
        <w:t xml:space="preserve"> reports of</w:t>
      </w:r>
      <w:r w:rsidR="009C4F21" w:rsidRPr="00B95A4B">
        <w:rPr>
          <w:spacing w:val="-4"/>
          <w:szCs w:val="22"/>
          <w:lang w:val="en-AU"/>
        </w:rPr>
        <w:t xml:space="preserve"> amoxici</w:t>
      </w:r>
      <w:r w:rsidR="00AF16D7" w:rsidRPr="00B95A4B">
        <w:rPr>
          <w:spacing w:val="-4"/>
          <w:szCs w:val="22"/>
          <w:lang w:val="en-AU"/>
        </w:rPr>
        <w:t>llin</w:t>
      </w:r>
      <w:r w:rsidR="005B5DF3" w:rsidRPr="00B95A4B">
        <w:rPr>
          <w:spacing w:val="-4"/>
          <w:szCs w:val="22"/>
          <w:lang w:val="en-AU"/>
        </w:rPr>
        <w:t xml:space="preserve"> stock-outs</w:t>
      </w:r>
      <w:r w:rsidRPr="00B95A4B">
        <w:rPr>
          <w:spacing w:val="-4"/>
          <w:szCs w:val="22"/>
          <w:lang w:val="en-AU"/>
        </w:rPr>
        <w:t xml:space="preserve">, with </w:t>
      </w:r>
      <w:r w:rsidR="00EB0E61" w:rsidRPr="00B95A4B">
        <w:rPr>
          <w:spacing w:val="-4"/>
          <w:szCs w:val="22"/>
          <w:lang w:val="en-AU"/>
        </w:rPr>
        <w:t xml:space="preserve">analysis suggesting there is likely to be </w:t>
      </w:r>
      <w:r w:rsidRPr="00B95A4B">
        <w:rPr>
          <w:spacing w:val="-4"/>
          <w:szCs w:val="22"/>
          <w:lang w:val="en-AU"/>
        </w:rPr>
        <w:t xml:space="preserve">a significant contribution from the kits (initially the ‘40%’ and </w:t>
      </w:r>
      <w:r w:rsidR="00EB0E61" w:rsidRPr="00B95A4B">
        <w:rPr>
          <w:spacing w:val="-4"/>
          <w:szCs w:val="22"/>
          <w:lang w:val="en-AU"/>
        </w:rPr>
        <w:t>later</w:t>
      </w:r>
      <w:r w:rsidRPr="00B95A4B">
        <w:rPr>
          <w:spacing w:val="-4"/>
          <w:szCs w:val="22"/>
          <w:lang w:val="en-AU"/>
        </w:rPr>
        <w:t xml:space="preserve"> the ‘100%’ kits) distributed through the ‘push’ system. Qualitative data from HFs demonstrates that the ‘push’ distribution is highly valued and sometimes the only mechanism to enable continued service provision, especially for more remote facilities and the AP level.</w:t>
      </w:r>
    </w:p>
    <w:p w14:paraId="2D19A9B4" w14:textId="77777777" w:rsidR="00B7286E" w:rsidRDefault="00B7286E" w:rsidP="0042311B">
      <w:pPr>
        <w:rPr>
          <w:lang w:val="en-AU"/>
        </w:rPr>
      </w:pPr>
    </w:p>
    <w:p w14:paraId="5F185AC4" w14:textId="45985237" w:rsidR="00555F1A" w:rsidRDefault="00555F1A" w:rsidP="00555F1A">
      <w:pPr>
        <w:rPr>
          <w:lang w:val="en-AU"/>
        </w:rPr>
      </w:pPr>
      <w:r>
        <w:rPr>
          <w:lang w:val="en-AU"/>
        </w:rPr>
        <w:t>Overall</w:t>
      </w:r>
      <w:r w:rsidR="00716674">
        <w:rPr>
          <w:lang w:val="en-AU"/>
        </w:rPr>
        <w:t>,</w:t>
      </w:r>
      <w:r>
        <w:rPr>
          <w:lang w:val="en-AU"/>
        </w:rPr>
        <w:t xml:space="preserve"> the kits program has contributed to improved equity in medicines availability</w:t>
      </w:r>
      <w:r w:rsidR="002C16BB">
        <w:rPr>
          <w:lang w:val="en-AU"/>
        </w:rPr>
        <w:t xml:space="preserve">. We measured equal </w:t>
      </w:r>
      <w:r>
        <w:rPr>
          <w:lang w:val="en-AU"/>
        </w:rPr>
        <w:t xml:space="preserve">availability of essential tracer medicines in </w:t>
      </w:r>
      <w:r w:rsidR="004426D4">
        <w:rPr>
          <w:lang w:val="en-AU"/>
        </w:rPr>
        <w:t>high poverty districts</w:t>
      </w:r>
      <w:r w:rsidR="002C16BB">
        <w:rPr>
          <w:lang w:val="en-AU"/>
        </w:rPr>
        <w:t xml:space="preserve"> and good penetration to HFs designated as ‘remote’.</w:t>
      </w:r>
      <w:r>
        <w:rPr>
          <w:lang w:val="en-AU"/>
        </w:rPr>
        <w:t xml:space="preserve"> Our findings suggest that the kits (‘push’) system is likely to have contributed more, relative to the ‘pull’ system, to medicines availability in </w:t>
      </w:r>
      <w:r w:rsidR="004426D4">
        <w:rPr>
          <w:lang w:val="en-AU"/>
        </w:rPr>
        <w:t>disadvantaged areas</w:t>
      </w:r>
      <w:r>
        <w:rPr>
          <w:lang w:val="en-AU"/>
        </w:rPr>
        <w:t xml:space="preserve">. Most qualitative data from interviews back up this finding, </w:t>
      </w:r>
      <w:r w:rsidR="004426D4">
        <w:rPr>
          <w:lang w:val="en-AU"/>
        </w:rPr>
        <w:t>with many HF staff reporting that a kit delivery has meant a new level of medicines</w:t>
      </w:r>
      <w:r w:rsidR="00EE51D5">
        <w:rPr>
          <w:lang w:val="en-AU"/>
        </w:rPr>
        <w:t xml:space="preserve"> availability in their facility;</w:t>
      </w:r>
      <w:r w:rsidR="004426D4">
        <w:rPr>
          <w:lang w:val="en-AU"/>
        </w:rPr>
        <w:t xml:space="preserve"> as well as </w:t>
      </w:r>
      <w:r w:rsidR="00507157">
        <w:rPr>
          <w:lang w:val="en-AU"/>
        </w:rPr>
        <w:t xml:space="preserve">a range of </w:t>
      </w:r>
      <w:r w:rsidR="004426D4">
        <w:rPr>
          <w:lang w:val="en-AU"/>
        </w:rPr>
        <w:t xml:space="preserve">specific </w:t>
      </w:r>
      <w:r>
        <w:rPr>
          <w:lang w:val="en-AU"/>
        </w:rPr>
        <w:t>reports</w:t>
      </w:r>
      <w:r w:rsidR="00507157">
        <w:rPr>
          <w:lang w:val="en-AU"/>
        </w:rPr>
        <w:t xml:space="preserve">, one example being </w:t>
      </w:r>
      <w:r>
        <w:rPr>
          <w:lang w:val="en-AU"/>
        </w:rPr>
        <w:t xml:space="preserve">managers and staff in conflict-affected </w:t>
      </w:r>
      <w:r w:rsidR="00507157">
        <w:rPr>
          <w:lang w:val="en-AU"/>
        </w:rPr>
        <w:t>areas who noted</w:t>
      </w:r>
      <w:r>
        <w:rPr>
          <w:lang w:val="en-AU"/>
        </w:rPr>
        <w:t xml:space="preserve"> the ‘push’ system option </w:t>
      </w:r>
      <w:r w:rsidR="00507157">
        <w:rPr>
          <w:lang w:val="en-AU"/>
        </w:rPr>
        <w:t xml:space="preserve">had </w:t>
      </w:r>
      <w:r>
        <w:rPr>
          <w:lang w:val="en-AU"/>
        </w:rPr>
        <w:t xml:space="preserve">made it easier to re-open closed rural facilities with more rapid re-commencement of services.  </w:t>
      </w:r>
    </w:p>
    <w:p w14:paraId="445F0A5D" w14:textId="77777777" w:rsidR="00555F1A" w:rsidRDefault="00555F1A" w:rsidP="00555F1A">
      <w:pPr>
        <w:rPr>
          <w:lang w:val="en-AU"/>
        </w:rPr>
      </w:pPr>
    </w:p>
    <w:p w14:paraId="74545F92" w14:textId="6668BD5C" w:rsidR="00555F1A" w:rsidRPr="007B27CA" w:rsidRDefault="00555F1A" w:rsidP="00555F1A">
      <w:pPr>
        <w:rPr>
          <w:spacing w:val="-2"/>
          <w:szCs w:val="22"/>
          <w:lang w:val="en-AU"/>
        </w:rPr>
      </w:pPr>
      <w:r w:rsidRPr="007B27CA">
        <w:rPr>
          <w:spacing w:val="-2"/>
          <w:szCs w:val="22"/>
        </w:rPr>
        <w:t xml:space="preserve">The medicines usage data </w:t>
      </w:r>
      <w:r w:rsidR="00DE6BE8" w:rsidRPr="007B27CA">
        <w:rPr>
          <w:spacing w:val="-2"/>
          <w:szCs w:val="22"/>
        </w:rPr>
        <w:t>indicate</w:t>
      </w:r>
      <w:r w:rsidRPr="007B27CA">
        <w:rPr>
          <w:spacing w:val="-2"/>
          <w:szCs w:val="22"/>
        </w:rPr>
        <w:t xml:space="preserve"> that</w:t>
      </w:r>
      <w:r w:rsidR="00D34E1B">
        <w:rPr>
          <w:spacing w:val="-2"/>
          <w:szCs w:val="22"/>
        </w:rPr>
        <w:t xml:space="preserve"> much of</w:t>
      </w:r>
      <w:r w:rsidRPr="007B27CA">
        <w:rPr>
          <w:spacing w:val="-2"/>
          <w:szCs w:val="22"/>
        </w:rPr>
        <w:t xml:space="preserve"> the </w:t>
      </w:r>
      <w:r w:rsidR="004426D4" w:rsidRPr="007B27CA">
        <w:rPr>
          <w:spacing w:val="-2"/>
          <w:szCs w:val="22"/>
        </w:rPr>
        <w:t xml:space="preserve">supplementary </w:t>
      </w:r>
      <w:r w:rsidRPr="007B27CA">
        <w:rPr>
          <w:spacing w:val="-2"/>
          <w:szCs w:val="22"/>
        </w:rPr>
        <w:t>kit content</w:t>
      </w:r>
      <w:r w:rsidR="004426D4" w:rsidRPr="007B27CA">
        <w:rPr>
          <w:spacing w:val="-2"/>
          <w:szCs w:val="22"/>
        </w:rPr>
        <w:t>s</w:t>
      </w:r>
      <w:r w:rsidRPr="007B27CA">
        <w:rPr>
          <w:spacing w:val="-2"/>
          <w:szCs w:val="22"/>
        </w:rPr>
        <w:t xml:space="preserve"> have been a good fit for the disease profile in PNG, noting that most reports of non-usage of kit medicines related to issues of sta</w:t>
      </w:r>
      <w:r w:rsidR="00DE6BE8" w:rsidRPr="007B27CA">
        <w:rPr>
          <w:spacing w:val="-2"/>
          <w:szCs w:val="22"/>
        </w:rPr>
        <w:t>ff training or authoriz</w:t>
      </w:r>
      <w:r w:rsidRPr="007B27CA">
        <w:rPr>
          <w:spacing w:val="-2"/>
          <w:szCs w:val="22"/>
        </w:rPr>
        <w:t xml:space="preserve">ation, </w:t>
      </w:r>
      <w:r w:rsidR="0027359F" w:rsidRPr="007B27CA">
        <w:rPr>
          <w:spacing w:val="-2"/>
          <w:szCs w:val="22"/>
        </w:rPr>
        <w:t xml:space="preserve">and </w:t>
      </w:r>
      <w:r w:rsidR="0027359F" w:rsidRPr="007B27CA">
        <w:rPr>
          <w:spacing w:val="-2"/>
          <w:szCs w:val="22"/>
          <w:lang w:val="en-AU"/>
        </w:rPr>
        <w:t xml:space="preserve">that </w:t>
      </w:r>
      <w:r w:rsidR="00404A3E" w:rsidRPr="007B27CA">
        <w:rPr>
          <w:spacing w:val="-2"/>
          <w:szCs w:val="22"/>
          <w:lang w:val="en-AU"/>
        </w:rPr>
        <w:t>most</w:t>
      </w:r>
      <w:r w:rsidR="0027359F" w:rsidRPr="007B27CA">
        <w:rPr>
          <w:spacing w:val="-2"/>
          <w:szCs w:val="22"/>
          <w:lang w:val="en-AU"/>
        </w:rPr>
        <w:t xml:space="preserve"> </w:t>
      </w:r>
      <w:r w:rsidR="004426D4" w:rsidRPr="007B27CA">
        <w:rPr>
          <w:spacing w:val="-2"/>
          <w:szCs w:val="22"/>
          <w:lang w:val="en-AU"/>
        </w:rPr>
        <w:t xml:space="preserve">medical </w:t>
      </w:r>
      <w:r w:rsidR="0027359F" w:rsidRPr="007B27CA">
        <w:rPr>
          <w:spacing w:val="-2"/>
          <w:szCs w:val="22"/>
          <w:lang w:val="en-AU"/>
        </w:rPr>
        <w:t>supplies are being used to</w:t>
      </w:r>
      <w:r w:rsidR="004426D4" w:rsidRPr="007B27CA">
        <w:rPr>
          <w:spacing w:val="-2"/>
          <w:szCs w:val="22"/>
          <w:lang w:val="en-AU"/>
        </w:rPr>
        <w:t xml:space="preserve"> manage</w:t>
      </w:r>
      <w:r w:rsidR="0027359F" w:rsidRPr="007B27CA">
        <w:rPr>
          <w:spacing w:val="-2"/>
          <w:szCs w:val="22"/>
          <w:lang w:val="en-AU"/>
        </w:rPr>
        <w:t xml:space="preserve"> </w:t>
      </w:r>
      <w:r w:rsidR="00EE51D5" w:rsidRPr="007B27CA">
        <w:rPr>
          <w:spacing w:val="-2"/>
          <w:szCs w:val="22"/>
          <w:lang w:val="en-AU"/>
        </w:rPr>
        <w:t xml:space="preserve">conditions of population health </w:t>
      </w:r>
      <w:r w:rsidR="0027359F" w:rsidRPr="007B27CA">
        <w:rPr>
          <w:spacing w:val="-2"/>
          <w:szCs w:val="22"/>
          <w:lang w:val="en-AU"/>
        </w:rPr>
        <w:t>importan</w:t>
      </w:r>
      <w:r w:rsidR="00EE51D5" w:rsidRPr="007B27CA">
        <w:rPr>
          <w:spacing w:val="-2"/>
          <w:szCs w:val="22"/>
          <w:lang w:val="en-AU"/>
        </w:rPr>
        <w:t>ce</w:t>
      </w:r>
      <w:r w:rsidRPr="007B27CA">
        <w:rPr>
          <w:spacing w:val="-2"/>
          <w:szCs w:val="22"/>
          <w:lang w:val="en-AU"/>
        </w:rPr>
        <w:t>. While program impact on morbidity and mortality cannot be directly measured at present</w:t>
      </w:r>
      <w:r w:rsidR="0027359F" w:rsidRPr="007B27CA">
        <w:rPr>
          <w:rStyle w:val="FootnoteReference"/>
          <w:spacing w:val="-2"/>
          <w:szCs w:val="22"/>
          <w:lang w:val="en-AU"/>
        </w:rPr>
        <w:footnoteReference w:id="2"/>
      </w:r>
      <w:r w:rsidRPr="007B27CA">
        <w:rPr>
          <w:spacing w:val="-2"/>
          <w:szCs w:val="22"/>
          <w:lang w:val="en-AU"/>
        </w:rPr>
        <w:t xml:space="preserve">, the increase in medicines availability </w:t>
      </w:r>
      <w:r w:rsidR="00661DC1" w:rsidRPr="007B27CA">
        <w:rPr>
          <w:spacing w:val="-2"/>
          <w:szCs w:val="22"/>
          <w:lang w:val="en-AU"/>
        </w:rPr>
        <w:t>combined with our</w:t>
      </w:r>
      <w:r w:rsidR="0027359F" w:rsidRPr="007B27CA">
        <w:rPr>
          <w:spacing w:val="-2"/>
          <w:szCs w:val="22"/>
          <w:lang w:val="en-AU"/>
        </w:rPr>
        <w:t xml:space="preserve"> usage data may be used to model likely increases in </w:t>
      </w:r>
      <w:r w:rsidRPr="007B27CA">
        <w:rPr>
          <w:spacing w:val="-2"/>
          <w:szCs w:val="22"/>
          <w:lang w:val="en-AU"/>
        </w:rPr>
        <w:t xml:space="preserve">case management </w:t>
      </w:r>
      <w:r w:rsidR="0027359F" w:rsidRPr="007B27CA">
        <w:rPr>
          <w:spacing w:val="-2"/>
          <w:szCs w:val="22"/>
          <w:lang w:val="en-AU"/>
        </w:rPr>
        <w:t xml:space="preserve">coverage </w:t>
      </w:r>
      <w:r w:rsidRPr="007B27CA">
        <w:rPr>
          <w:spacing w:val="-2"/>
          <w:szCs w:val="22"/>
          <w:lang w:val="en-AU"/>
        </w:rPr>
        <w:t>and</w:t>
      </w:r>
      <w:r w:rsidR="0027359F" w:rsidRPr="007B27CA">
        <w:rPr>
          <w:spacing w:val="-2"/>
          <w:szCs w:val="22"/>
          <w:lang w:val="en-AU"/>
        </w:rPr>
        <w:t xml:space="preserve"> subsequent</w:t>
      </w:r>
      <w:r w:rsidRPr="007B27CA">
        <w:rPr>
          <w:spacing w:val="-2"/>
          <w:szCs w:val="22"/>
          <w:lang w:val="en-AU"/>
        </w:rPr>
        <w:t xml:space="preserve"> </w:t>
      </w:r>
      <w:r w:rsidR="00661DC1" w:rsidRPr="007B27CA">
        <w:rPr>
          <w:spacing w:val="-2"/>
          <w:szCs w:val="22"/>
          <w:lang w:val="en-AU"/>
        </w:rPr>
        <w:t>improved</w:t>
      </w:r>
      <w:r w:rsidRPr="007B27CA">
        <w:rPr>
          <w:spacing w:val="-2"/>
          <w:szCs w:val="22"/>
          <w:lang w:val="en-AU"/>
        </w:rPr>
        <w:t xml:space="preserve"> survival. </w:t>
      </w:r>
      <w:r w:rsidR="0027359F" w:rsidRPr="007B27CA">
        <w:rPr>
          <w:spacing w:val="-2"/>
          <w:szCs w:val="22"/>
          <w:lang w:val="en-AU"/>
        </w:rPr>
        <w:t xml:space="preserve">As </w:t>
      </w:r>
      <w:r w:rsidR="00846ED8" w:rsidRPr="007B27CA">
        <w:rPr>
          <w:spacing w:val="-2"/>
          <w:szCs w:val="22"/>
          <w:lang w:val="en-AU"/>
        </w:rPr>
        <w:t>demonstration</w:t>
      </w:r>
      <w:r w:rsidR="00E14B6C" w:rsidRPr="007B27CA">
        <w:rPr>
          <w:spacing w:val="-2"/>
          <w:szCs w:val="22"/>
          <w:lang w:val="en-AU"/>
        </w:rPr>
        <w:t xml:space="preserve"> of part of the potential impact of increased medicines availability</w:t>
      </w:r>
      <w:r w:rsidR="00846ED8" w:rsidRPr="007B27CA">
        <w:rPr>
          <w:spacing w:val="-2"/>
          <w:szCs w:val="22"/>
          <w:lang w:val="en-AU"/>
        </w:rPr>
        <w:t>,</w:t>
      </w:r>
      <w:r w:rsidR="0027359F" w:rsidRPr="007B27CA">
        <w:rPr>
          <w:spacing w:val="-2"/>
          <w:szCs w:val="22"/>
          <w:lang w:val="en-AU"/>
        </w:rPr>
        <w:t xml:space="preserve"> we modelled </w:t>
      </w:r>
      <w:r w:rsidR="00604C15">
        <w:rPr>
          <w:spacing w:val="-2"/>
          <w:szCs w:val="22"/>
          <w:lang w:val="en-AU"/>
        </w:rPr>
        <w:t xml:space="preserve">a </w:t>
      </w:r>
      <w:r w:rsidR="00FE446F" w:rsidRPr="007B27CA">
        <w:rPr>
          <w:spacing w:val="-2"/>
          <w:szCs w:val="22"/>
          <w:lang w:val="en-AU"/>
        </w:rPr>
        <w:lastRenderedPageBreak/>
        <w:t>possible</w:t>
      </w:r>
      <w:r w:rsidR="00604C15">
        <w:rPr>
          <w:spacing w:val="-2"/>
          <w:szCs w:val="22"/>
          <w:lang w:val="en-AU"/>
        </w:rPr>
        <w:t xml:space="preserve"> coverage increase</w:t>
      </w:r>
      <w:r w:rsidR="0027359F" w:rsidRPr="007B27CA">
        <w:rPr>
          <w:spacing w:val="-2"/>
          <w:szCs w:val="22"/>
          <w:lang w:val="en-AU"/>
        </w:rPr>
        <w:t xml:space="preserve"> </w:t>
      </w:r>
      <w:r w:rsidR="00846ED8" w:rsidRPr="007B27CA">
        <w:rPr>
          <w:spacing w:val="-2"/>
          <w:szCs w:val="22"/>
          <w:lang w:val="en-AU"/>
        </w:rPr>
        <w:t xml:space="preserve">just </w:t>
      </w:r>
      <w:r w:rsidR="0027359F" w:rsidRPr="007B27CA">
        <w:rPr>
          <w:spacing w:val="-2"/>
          <w:szCs w:val="22"/>
          <w:lang w:val="en-AU"/>
        </w:rPr>
        <w:t xml:space="preserve">in </w:t>
      </w:r>
      <w:r w:rsidR="001B10BD">
        <w:rPr>
          <w:spacing w:val="-2"/>
          <w:szCs w:val="22"/>
          <w:lang w:val="en-AU"/>
        </w:rPr>
        <w:t xml:space="preserve">childhood </w:t>
      </w:r>
      <w:r w:rsidR="0027359F" w:rsidRPr="007B27CA">
        <w:rPr>
          <w:spacing w:val="-2"/>
          <w:szCs w:val="22"/>
          <w:lang w:val="en-AU"/>
        </w:rPr>
        <w:t xml:space="preserve">pneumonia management </w:t>
      </w:r>
      <w:r w:rsidR="00846ED8" w:rsidRPr="007B27CA">
        <w:rPr>
          <w:spacing w:val="-2"/>
          <w:szCs w:val="22"/>
          <w:lang w:val="en-AU"/>
        </w:rPr>
        <w:t xml:space="preserve">as averting an extra 416 child </w:t>
      </w:r>
      <w:r w:rsidR="00677EB1">
        <w:rPr>
          <w:spacing w:val="-2"/>
          <w:szCs w:val="22"/>
          <w:lang w:val="en-AU"/>
        </w:rPr>
        <w:t xml:space="preserve">deaths </w:t>
      </w:r>
      <w:r w:rsidR="00E14B6C" w:rsidRPr="007B27CA">
        <w:rPr>
          <w:spacing w:val="-2"/>
          <w:szCs w:val="22"/>
          <w:lang w:val="en-AU"/>
        </w:rPr>
        <w:t xml:space="preserve">by 2013 compared to 2010, </w:t>
      </w:r>
      <w:r w:rsidR="0027359F" w:rsidRPr="007B27CA">
        <w:rPr>
          <w:spacing w:val="-2"/>
          <w:szCs w:val="22"/>
          <w:lang w:val="en-AU"/>
        </w:rPr>
        <w:t>using</w:t>
      </w:r>
      <w:r w:rsidR="00F97A60" w:rsidRPr="007B27CA">
        <w:rPr>
          <w:spacing w:val="-2"/>
          <w:szCs w:val="22"/>
          <w:lang w:val="en-AU"/>
        </w:rPr>
        <w:t xml:space="preserve"> the Lives Saved Tool</w:t>
      </w:r>
      <w:r w:rsidR="00846ED8" w:rsidRPr="007B27CA">
        <w:rPr>
          <w:rStyle w:val="FootnoteReference"/>
          <w:spacing w:val="-2"/>
          <w:szCs w:val="22"/>
          <w:lang w:val="en-AU"/>
        </w:rPr>
        <w:footnoteReference w:id="3"/>
      </w:r>
      <w:r w:rsidR="00E14B6C" w:rsidRPr="007B27CA">
        <w:rPr>
          <w:spacing w:val="-2"/>
          <w:szCs w:val="22"/>
          <w:lang w:val="en-AU"/>
        </w:rPr>
        <w:t>.</w:t>
      </w:r>
      <w:r w:rsidR="0027359F" w:rsidRPr="007B27CA">
        <w:rPr>
          <w:spacing w:val="-2"/>
          <w:szCs w:val="22"/>
          <w:lang w:val="en-AU"/>
        </w:rPr>
        <w:t xml:space="preserve"> </w:t>
      </w:r>
      <w:r w:rsidR="00E14B6C" w:rsidRPr="007B27CA">
        <w:rPr>
          <w:spacing w:val="-2"/>
          <w:szCs w:val="22"/>
          <w:lang w:val="en-AU"/>
        </w:rPr>
        <w:t xml:space="preserve">Further modelling using this evaluation’s data is </w:t>
      </w:r>
      <w:proofErr w:type="gramStart"/>
      <w:r w:rsidR="00E14B6C" w:rsidRPr="007B27CA">
        <w:rPr>
          <w:spacing w:val="-2"/>
          <w:szCs w:val="22"/>
          <w:lang w:val="en-AU"/>
        </w:rPr>
        <w:t>recommended</w:t>
      </w:r>
      <w:r w:rsidR="00604C15">
        <w:rPr>
          <w:spacing w:val="-2"/>
          <w:szCs w:val="22"/>
          <w:lang w:val="en-AU"/>
        </w:rPr>
        <w:t>,</w:t>
      </w:r>
      <w:proofErr w:type="gramEnd"/>
      <w:r w:rsidR="00604C15">
        <w:rPr>
          <w:spacing w:val="-2"/>
          <w:szCs w:val="22"/>
          <w:lang w:val="en-AU"/>
        </w:rPr>
        <w:t xml:space="preserve"> including examination of maternal deaths averted</w:t>
      </w:r>
      <w:r w:rsidR="00E14B6C" w:rsidRPr="007B27CA">
        <w:rPr>
          <w:spacing w:val="-2"/>
          <w:szCs w:val="22"/>
          <w:lang w:val="en-AU"/>
        </w:rPr>
        <w:t xml:space="preserve">, but is </w:t>
      </w:r>
      <w:r w:rsidRPr="007B27CA">
        <w:rPr>
          <w:spacing w:val="-2"/>
          <w:szCs w:val="22"/>
          <w:lang w:val="en-AU"/>
        </w:rPr>
        <w:t xml:space="preserve">best done in collaboration with in-country stakeholders, as </w:t>
      </w:r>
      <w:r w:rsidR="004426D4" w:rsidRPr="007B27CA">
        <w:rPr>
          <w:spacing w:val="-2"/>
          <w:szCs w:val="22"/>
          <w:lang w:val="en-AU"/>
        </w:rPr>
        <w:t>an adju</w:t>
      </w:r>
      <w:r w:rsidR="00DE6BE8" w:rsidRPr="007B27CA">
        <w:rPr>
          <w:spacing w:val="-2"/>
          <w:szCs w:val="22"/>
          <w:lang w:val="en-AU"/>
        </w:rPr>
        <w:t>n</w:t>
      </w:r>
      <w:r w:rsidR="004426D4" w:rsidRPr="007B27CA">
        <w:rPr>
          <w:spacing w:val="-2"/>
          <w:szCs w:val="22"/>
          <w:lang w:val="en-AU"/>
        </w:rPr>
        <w:t>ct to continuing evaluation</w:t>
      </w:r>
      <w:r w:rsidRPr="007B27CA">
        <w:rPr>
          <w:spacing w:val="-2"/>
          <w:szCs w:val="22"/>
          <w:lang w:val="en-AU"/>
        </w:rPr>
        <w:t xml:space="preserve">. </w:t>
      </w:r>
    </w:p>
    <w:p w14:paraId="1C095AE8" w14:textId="77777777" w:rsidR="00EB0E61" w:rsidRDefault="00EB0E61" w:rsidP="0042311B">
      <w:pPr>
        <w:rPr>
          <w:b/>
          <w:lang w:val="en-AU"/>
        </w:rPr>
      </w:pPr>
    </w:p>
    <w:p w14:paraId="1383D4BB" w14:textId="05C34AE4" w:rsidR="0042311B" w:rsidRDefault="0042311B" w:rsidP="0042311B">
      <w:pPr>
        <w:rPr>
          <w:lang w:val="en-AU"/>
        </w:rPr>
      </w:pPr>
      <w:r w:rsidRPr="00E96ABB">
        <w:rPr>
          <w:lang w:val="en-AU"/>
        </w:rPr>
        <w:t xml:space="preserve">Review of HF </w:t>
      </w:r>
      <w:r w:rsidR="00914C08">
        <w:rPr>
          <w:lang w:val="en-AU"/>
        </w:rPr>
        <w:t>emergency obstetric and newborn care</w:t>
      </w:r>
      <w:r w:rsidR="00914C08" w:rsidRPr="00E96ABB">
        <w:rPr>
          <w:lang w:val="en-AU"/>
        </w:rPr>
        <w:t xml:space="preserve"> </w:t>
      </w:r>
      <w:r w:rsidR="00914C08">
        <w:rPr>
          <w:lang w:val="en-AU"/>
        </w:rPr>
        <w:t>(</w:t>
      </w:r>
      <w:r w:rsidRPr="00E96ABB">
        <w:rPr>
          <w:lang w:val="en-AU"/>
        </w:rPr>
        <w:t>EMONC</w:t>
      </w:r>
      <w:r w:rsidR="00914C08">
        <w:rPr>
          <w:lang w:val="en-AU"/>
        </w:rPr>
        <w:t>)</w:t>
      </w:r>
      <w:r w:rsidRPr="00E96ABB">
        <w:rPr>
          <w:lang w:val="en-AU"/>
        </w:rPr>
        <w:t xml:space="preserve"> readiness, and of the spectrum of treatments made available through 100% kits, also establishes benchmarks for measurement of future progress in the health system’s capacity to manage important diseases.</w:t>
      </w:r>
      <w:r w:rsidR="00914C08">
        <w:rPr>
          <w:lang w:val="en-AU"/>
        </w:rPr>
        <w:t xml:space="preserve"> </w:t>
      </w:r>
      <w:r w:rsidR="003C2F89">
        <w:rPr>
          <w:lang w:val="en-AU"/>
        </w:rPr>
        <w:t>Serious</w:t>
      </w:r>
      <w:r w:rsidR="00914C08">
        <w:rPr>
          <w:lang w:val="en-AU"/>
        </w:rPr>
        <w:t xml:space="preserve"> coverage gaps in EMONC persist, particularly for remote communities, a constraint that represents a major hindrance to universal access to health care in PNG.</w:t>
      </w:r>
    </w:p>
    <w:p w14:paraId="10950218" w14:textId="77777777" w:rsidR="00F97A60" w:rsidRDefault="00F97A60" w:rsidP="0042311B">
      <w:pPr>
        <w:rPr>
          <w:lang w:val="en-AU"/>
        </w:rPr>
      </w:pPr>
    </w:p>
    <w:p w14:paraId="3F7E0106" w14:textId="7C116833" w:rsidR="00F97A60" w:rsidRPr="00E47533" w:rsidRDefault="00F97A60" w:rsidP="0042311B">
      <w:pPr>
        <w:rPr>
          <w:spacing w:val="-4"/>
          <w:szCs w:val="22"/>
          <w:lang w:val="en-AU"/>
        </w:rPr>
      </w:pPr>
      <w:r w:rsidRPr="00E47533">
        <w:rPr>
          <w:spacing w:val="-4"/>
          <w:szCs w:val="22"/>
          <w:lang w:val="en-AU"/>
        </w:rPr>
        <w:t xml:space="preserve">Other aspects of the evaluation focused on medical supply system determinants of availability and use of essential medicines, both in the government ‘pull’ system and the ‘push system, </w:t>
      </w:r>
      <w:r w:rsidR="00732D2B" w:rsidRPr="00E47533">
        <w:rPr>
          <w:spacing w:val="-4"/>
          <w:szCs w:val="22"/>
          <w:lang w:val="en-AU"/>
        </w:rPr>
        <w:t xml:space="preserve">are </w:t>
      </w:r>
      <w:r w:rsidRPr="00E47533">
        <w:rPr>
          <w:spacing w:val="-4"/>
          <w:szCs w:val="22"/>
          <w:lang w:val="en-AU"/>
        </w:rPr>
        <w:t>summarised below.</w:t>
      </w:r>
    </w:p>
    <w:p w14:paraId="59F82D8F" w14:textId="77777777" w:rsidR="0042311B" w:rsidRDefault="0042311B" w:rsidP="0042311B">
      <w:pPr>
        <w:rPr>
          <w:b/>
          <w:lang w:val="en-AU"/>
        </w:rPr>
      </w:pPr>
    </w:p>
    <w:p w14:paraId="32113354" w14:textId="0F656F58" w:rsidR="009B2D9F" w:rsidRPr="009B2D9F" w:rsidRDefault="009B2D9F" w:rsidP="009B2D9F">
      <w:pPr>
        <w:rPr>
          <w:b/>
          <w:lang w:val="en-AU"/>
        </w:rPr>
      </w:pPr>
      <w:r w:rsidRPr="009B2D9F">
        <w:rPr>
          <w:b/>
          <w:lang w:val="en-AU"/>
        </w:rPr>
        <w:t xml:space="preserve">National planning and </w:t>
      </w:r>
      <w:r w:rsidR="00F47822">
        <w:rPr>
          <w:b/>
          <w:lang w:val="en-AU"/>
        </w:rPr>
        <w:t>procurement tendering and governanc</w:t>
      </w:r>
      <w:r w:rsidR="00635F75">
        <w:rPr>
          <w:b/>
          <w:lang w:val="en-AU"/>
        </w:rPr>
        <w:t>e</w:t>
      </w:r>
    </w:p>
    <w:p w14:paraId="58EAE179" w14:textId="61BF1FBE" w:rsidR="009B2D9F" w:rsidRPr="009B2D9F" w:rsidRDefault="009B2D9F" w:rsidP="009B2D9F">
      <w:pPr>
        <w:rPr>
          <w:lang w:val="en-AU"/>
        </w:rPr>
      </w:pPr>
      <w:r w:rsidRPr="009B2D9F">
        <w:rPr>
          <w:lang w:val="en-AU"/>
        </w:rPr>
        <w:t xml:space="preserve">A new process of multi-year planning for medical supplies procurement commenced in 2012, supported by increasing budget allocations, but remains hampered by weaknesses in quantification, a critical lack of data on medicines usage and needs, and difficulties in </w:t>
      </w:r>
      <w:r w:rsidR="009E0FF6" w:rsidRPr="009B2D9F">
        <w:rPr>
          <w:lang w:val="en-AU"/>
        </w:rPr>
        <w:t xml:space="preserve">coordinating procurement </w:t>
      </w:r>
      <w:r w:rsidRPr="009B2D9F">
        <w:rPr>
          <w:lang w:val="en-AU"/>
        </w:rPr>
        <w:t xml:space="preserve">across </w:t>
      </w:r>
      <w:r w:rsidR="009E0FF6">
        <w:rPr>
          <w:lang w:val="en-AU"/>
        </w:rPr>
        <w:t>‘pull’</w:t>
      </w:r>
      <w:r w:rsidR="0097398E">
        <w:rPr>
          <w:lang w:val="en-AU"/>
        </w:rPr>
        <w:t>,</w:t>
      </w:r>
      <w:r w:rsidR="009E0FF6">
        <w:rPr>
          <w:lang w:val="en-AU"/>
        </w:rPr>
        <w:t xml:space="preserve"> ‘</w:t>
      </w:r>
      <w:r w:rsidRPr="009B2D9F">
        <w:rPr>
          <w:lang w:val="en-AU"/>
        </w:rPr>
        <w:t>vertical</w:t>
      </w:r>
      <w:r w:rsidR="009E0FF6">
        <w:rPr>
          <w:lang w:val="en-AU"/>
        </w:rPr>
        <w:t>’</w:t>
      </w:r>
      <w:r w:rsidRPr="009B2D9F">
        <w:rPr>
          <w:lang w:val="en-AU"/>
        </w:rPr>
        <w:t xml:space="preserve"> and </w:t>
      </w:r>
      <w:r w:rsidR="009E0FF6">
        <w:rPr>
          <w:lang w:val="en-AU"/>
        </w:rPr>
        <w:t>‘push’ systems</w:t>
      </w:r>
      <w:r w:rsidRPr="009B2D9F">
        <w:rPr>
          <w:lang w:val="en-AU"/>
        </w:rPr>
        <w:t>. National stock-outs and</w:t>
      </w:r>
      <w:r w:rsidR="009557DD">
        <w:rPr>
          <w:lang w:val="en-AU"/>
        </w:rPr>
        <w:t xml:space="preserve"> an </w:t>
      </w:r>
      <w:r w:rsidRPr="009B2D9F">
        <w:rPr>
          <w:lang w:val="en-AU"/>
        </w:rPr>
        <w:t>associated need for emergency procurements persist.</w:t>
      </w:r>
    </w:p>
    <w:p w14:paraId="73089220" w14:textId="47EB6288" w:rsidR="00F47822" w:rsidRPr="009B2D9F" w:rsidRDefault="00F47822" w:rsidP="009B2D9F">
      <w:pPr>
        <w:rPr>
          <w:b/>
          <w:lang w:val="en-AU"/>
        </w:rPr>
      </w:pPr>
    </w:p>
    <w:p w14:paraId="04F8AD2C" w14:textId="3C32A9B4" w:rsidR="009B2D9F" w:rsidRPr="009B2D9F" w:rsidRDefault="009B2D9F" w:rsidP="009B2D9F">
      <w:pPr>
        <w:rPr>
          <w:lang w:val="en-AU"/>
        </w:rPr>
      </w:pPr>
      <w:r w:rsidRPr="009B2D9F">
        <w:rPr>
          <w:lang w:val="en-AU"/>
        </w:rPr>
        <w:t xml:space="preserve">Recent </w:t>
      </w:r>
      <w:r w:rsidR="00577C7C">
        <w:rPr>
          <w:lang w:val="en-AU"/>
        </w:rPr>
        <w:t>reviews</w:t>
      </w:r>
      <w:r w:rsidRPr="009B2D9F">
        <w:rPr>
          <w:lang w:val="en-AU"/>
        </w:rPr>
        <w:t xml:space="preserve"> and </w:t>
      </w:r>
      <w:r w:rsidR="00577C7C">
        <w:rPr>
          <w:lang w:val="en-AU"/>
        </w:rPr>
        <w:t xml:space="preserve">stakeholder </w:t>
      </w:r>
      <w:r w:rsidRPr="009B2D9F">
        <w:rPr>
          <w:lang w:val="en-AU"/>
        </w:rPr>
        <w:t>interviews</w:t>
      </w:r>
      <w:r w:rsidR="00577C7C">
        <w:rPr>
          <w:lang w:val="en-AU"/>
        </w:rPr>
        <w:t xml:space="preserve"> </w:t>
      </w:r>
      <w:r w:rsidRPr="009B2D9F">
        <w:rPr>
          <w:lang w:val="en-AU"/>
        </w:rPr>
        <w:t>acknowledge the persistence of difficulties in procurement governance, with processes that still do not guarantee transparency and avoidance of conflict of interest. Current reforms are aiming to strengthen NDOH in-house systems for procurement and tendering, although there remains a mix of opinions as to whether out-sourcing procurement</w:t>
      </w:r>
      <w:r w:rsidR="00737C23">
        <w:rPr>
          <w:lang w:val="en-AU"/>
        </w:rPr>
        <w:t xml:space="preserve"> authorities</w:t>
      </w:r>
      <w:r w:rsidRPr="009B2D9F">
        <w:rPr>
          <w:lang w:val="en-AU"/>
        </w:rPr>
        <w:t xml:space="preserve"> would be of </w:t>
      </w:r>
      <w:r w:rsidR="0092281B">
        <w:rPr>
          <w:lang w:val="en-AU"/>
        </w:rPr>
        <w:t xml:space="preserve">greater </w:t>
      </w:r>
      <w:r w:rsidRPr="009B2D9F">
        <w:rPr>
          <w:lang w:val="en-AU"/>
        </w:rPr>
        <w:t xml:space="preserve">benefit. Some developments are evident in the current tender for 2014 kits, introducing international competition and more stringent quality requirements, </w:t>
      </w:r>
      <w:r w:rsidR="0097398E">
        <w:rPr>
          <w:lang w:val="en-AU"/>
        </w:rPr>
        <w:t>although</w:t>
      </w:r>
      <w:r w:rsidR="0097398E" w:rsidRPr="009B2D9F">
        <w:rPr>
          <w:lang w:val="en-AU"/>
        </w:rPr>
        <w:t xml:space="preserve"> </w:t>
      </w:r>
      <w:r w:rsidR="0097398E">
        <w:rPr>
          <w:lang w:val="en-AU"/>
        </w:rPr>
        <w:t xml:space="preserve">review of </w:t>
      </w:r>
      <w:r w:rsidRPr="009B2D9F">
        <w:rPr>
          <w:lang w:val="en-AU"/>
        </w:rPr>
        <w:t xml:space="preserve">implementation of improved procedures </w:t>
      </w:r>
      <w:r w:rsidR="0097398E">
        <w:rPr>
          <w:lang w:val="en-AU"/>
        </w:rPr>
        <w:t>reveals several needs for strengthening</w:t>
      </w:r>
      <w:r w:rsidRPr="009B2D9F">
        <w:rPr>
          <w:lang w:val="en-AU"/>
        </w:rPr>
        <w:t>.</w:t>
      </w:r>
    </w:p>
    <w:p w14:paraId="5318353E" w14:textId="77777777" w:rsidR="009B2D9F" w:rsidRDefault="009B2D9F" w:rsidP="009B2D9F">
      <w:pPr>
        <w:rPr>
          <w:lang w:val="en-AU"/>
        </w:rPr>
      </w:pPr>
    </w:p>
    <w:p w14:paraId="134A6E0A" w14:textId="2DDBA29F" w:rsidR="00737C23" w:rsidRPr="00DB6103" w:rsidRDefault="00737C23" w:rsidP="009B2D9F">
      <w:pPr>
        <w:rPr>
          <w:spacing w:val="-4"/>
          <w:szCs w:val="22"/>
          <w:lang w:val="en-AU"/>
        </w:rPr>
      </w:pPr>
      <w:r w:rsidRPr="00DB6103">
        <w:rPr>
          <w:spacing w:val="-4"/>
          <w:szCs w:val="22"/>
          <w:lang w:val="en-AU"/>
        </w:rPr>
        <w:t>The 100% medicines kit represent good value for money for the contents as tendered</w:t>
      </w:r>
      <w:r w:rsidR="009E0FF6" w:rsidRPr="00DB6103">
        <w:rPr>
          <w:spacing w:val="-4"/>
          <w:szCs w:val="22"/>
          <w:lang w:val="en-AU"/>
        </w:rPr>
        <w:t>, and represents excellent value when considering such kits provided a means to increase availability in some of the most remote health facilities in PNG</w:t>
      </w:r>
      <w:r w:rsidRPr="00DB6103">
        <w:rPr>
          <w:spacing w:val="-4"/>
          <w:szCs w:val="22"/>
          <w:lang w:val="en-AU"/>
        </w:rPr>
        <w:t>. Some contents were in over-supply (such as intravenous fluids</w:t>
      </w:r>
      <w:r w:rsidR="00DB6103">
        <w:rPr>
          <w:spacing w:val="-4"/>
          <w:szCs w:val="22"/>
          <w:lang w:val="en-AU"/>
        </w:rPr>
        <w:t>, due to difficulties in quantification</w:t>
      </w:r>
      <w:r w:rsidRPr="00DB6103">
        <w:rPr>
          <w:spacing w:val="-4"/>
          <w:szCs w:val="22"/>
          <w:lang w:val="en-AU"/>
        </w:rPr>
        <w:t xml:space="preserve">), some were not used as planned (such as </w:t>
      </w:r>
      <w:proofErr w:type="spellStart"/>
      <w:r w:rsidRPr="00DB6103">
        <w:rPr>
          <w:spacing w:val="-4"/>
          <w:szCs w:val="22"/>
          <w:lang w:val="en-AU"/>
        </w:rPr>
        <w:t>artesunate</w:t>
      </w:r>
      <w:proofErr w:type="spellEnd"/>
      <w:r w:rsidRPr="00DB6103">
        <w:rPr>
          <w:spacing w:val="-4"/>
          <w:szCs w:val="22"/>
          <w:lang w:val="en-AU"/>
        </w:rPr>
        <w:t xml:space="preserve"> suppository and zinc tablets), and others were consumed more quickly than planned (such as common antibiotics and analgesics), however much of the over- or under-use was due to poor compliance with standard treatment guidelines rather than a mismatch of contents with population health needs. In the absence of regular, reliable usage data, future quantification can be improved with attention to differential treatment roles at </w:t>
      </w:r>
      <w:r w:rsidR="00282A7A">
        <w:rPr>
          <w:spacing w:val="-4"/>
          <w:szCs w:val="22"/>
          <w:lang w:val="en-AU"/>
        </w:rPr>
        <w:t>health centre (</w:t>
      </w:r>
      <w:r w:rsidRPr="00DB6103">
        <w:rPr>
          <w:spacing w:val="-4"/>
          <w:szCs w:val="22"/>
          <w:lang w:val="en-AU"/>
        </w:rPr>
        <w:t>HC</w:t>
      </w:r>
      <w:r w:rsidR="00282A7A">
        <w:rPr>
          <w:spacing w:val="-4"/>
          <w:szCs w:val="22"/>
          <w:lang w:val="en-AU"/>
        </w:rPr>
        <w:t>)</w:t>
      </w:r>
      <w:r w:rsidRPr="00DB6103">
        <w:rPr>
          <w:spacing w:val="-4"/>
          <w:szCs w:val="22"/>
          <w:lang w:val="en-AU"/>
        </w:rPr>
        <w:t xml:space="preserve"> and</w:t>
      </w:r>
      <w:r w:rsidR="00282A7A">
        <w:rPr>
          <w:spacing w:val="-4"/>
          <w:szCs w:val="22"/>
          <w:lang w:val="en-AU"/>
        </w:rPr>
        <w:t xml:space="preserve"> aid post</w:t>
      </w:r>
      <w:r w:rsidRPr="00DB6103">
        <w:rPr>
          <w:spacing w:val="-4"/>
          <w:szCs w:val="22"/>
          <w:lang w:val="en-AU"/>
        </w:rPr>
        <w:t xml:space="preserve"> </w:t>
      </w:r>
      <w:r w:rsidR="00282A7A">
        <w:rPr>
          <w:spacing w:val="-4"/>
          <w:szCs w:val="22"/>
          <w:lang w:val="en-AU"/>
        </w:rPr>
        <w:t>(</w:t>
      </w:r>
      <w:r w:rsidRPr="00DB6103">
        <w:rPr>
          <w:spacing w:val="-4"/>
          <w:szCs w:val="22"/>
          <w:lang w:val="en-AU"/>
        </w:rPr>
        <w:t>AP</w:t>
      </w:r>
      <w:r w:rsidR="00282A7A">
        <w:rPr>
          <w:spacing w:val="-4"/>
          <w:szCs w:val="22"/>
          <w:lang w:val="en-AU"/>
        </w:rPr>
        <w:t>)</w:t>
      </w:r>
      <w:r w:rsidRPr="00DB6103">
        <w:rPr>
          <w:spacing w:val="-4"/>
          <w:szCs w:val="22"/>
          <w:lang w:val="en-AU"/>
        </w:rPr>
        <w:t xml:space="preserve"> levels, review of this survey’s findings, supplementary operational research into comprehensive medicines usage at health facilities, and efforts to improve rational use of medicines.</w:t>
      </w:r>
      <w:r w:rsidR="00492132">
        <w:rPr>
          <w:spacing w:val="-4"/>
          <w:szCs w:val="22"/>
          <w:lang w:val="en-AU"/>
        </w:rPr>
        <w:t xml:space="preserve"> </w:t>
      </w:r>
      <w:r w:rsidR="004707FD">
        <w:rPr>
          <w:spacing w:val="-4"/>
          <w:szCs w:val="22"/>
          <w:lang w:val="en-AU"/>
        </w:rPr>
        <w:t>E</w:t>
      </w:r>
      <w:r w:rsidR="0097398E">
        <w:rPr>
          <w:spacing w:val="-4"/>
          <w:szCs w:val="22"/>
          <w:lang w:val="en-AU"/>
        </w:rPr>
        <w:t xml:space="preserve">quivalent value for money assessments in the ‘pull’ system </w:t>
      </w:r>
      <w:r w:rsidR="00492132">
        <w:rPr>
          <w:spacing w:val="-4"/>
          <w:szCs w:val="22"/>
          <w:lang w:val="en-AU"/>
        </w:rPr>
        <w:t xml:space="preserve">are </w:t>
      </w:r>
      <w:r w:rsidR="0097398E">
        <w:rPr>
          <w:spacing w:val="-4"/>
          <w:szCs w:val="22"/>
          <w:lang w:val="en-AU"/>
        </w:rPr>
        <w:t>hampered by lack of documentation</w:t>
      </w:r>
      <w:r w:rsidR="004707FD">
        <w:rPr>
          <w:spacing w:val="-4"/>
          <w:szCs w:val="22"/>
          <w:lang w:val="en-AU"/>
        </w:rPr>
        <w:t xml:space="preserve">, although a 2012 rapid assessment noted that </w:t>
      </w:r>
      <w:r w:rsidR="00C61367">
        <w:rPr>
          <w:spacing w:val="-4"/>
          <w:szCs w:val="22"/>
          <w:lang w:val="en-AU"/>
        </w:rPr>
        <w:t>public</w:t>
      </w:r>
      <w:r w:rsidR="004707FD">
        <w:rPr>
          <w:spacing w:val="-4"/>
          <w:szCs w:val="22"/>
          <w:lang w:val="en-AU"/>
        </w:rPr>
        <w:t xml:space="preserve"> procurement prices </w:t>
      </w:r>
      <w:r w:rsidR="003E259D">
        <w:rPr>
          <w:spacing w:val="-4"/>
          <w:szCs w:val="22"/>
          <w:lang w:val="en-AU"/>
        </w:rPr>
        <w:t xml:space="preserve">were highly variable, with </w:t>
      </w:r>
      <w:r w:rsidR="004707FD">
        <w:rPr>
          <w:spacing w:val="-4"/>
          <w:szCs w:val="22"/>
          <w:lang w:val="en-AU"/>
        </w:rPr>
        <w:t>a</w:t>
      </w:r>
      <w:r w:rsidR="003E259D">
        <w:rPr>
          <w:spacing w:val="-4"/>
          <w:szCs w:val="22"/>
          <w:lang w:val="en-AU"/>
        </w:rPr>
        <w:t xml:space="preserve"> significant proportion exceeding</w:t>
      </w:r>
      <w:r w:rsidR="004707FD">
        <w:rPr>
          <w:spacing w:val="-4"/>
          <w:szCs w:val="22"/>
          <w:lang w:val="en-AU"/>
        </w:rPr>
        <w:t xml:space="preserve"> international median price ratios</w:t>
      </w:r>
      <w:r w:rsidR="00492132">
        <w:rPr>
          <w:spacing w:val="-4"/>
          <w:szCs w:val="22"/>
          <w:lang w:val="en-AU"/>
        </w:rPr>
        <w:t>.</w:t>
      </w:r>
    </w:p>
    <w:p w14:paraId="35410B0B" w14:textId="77777777" w:rsidR="00737C23" w:rsidRDefault="00737C23" w:rsidP="009B2D9F">
      <w:pPr>
        <w:rPr>
          <w:lang w:val="en-AU"/>
        </w:rPr>
      </w:pPr>
    </w:p>
    <w:p w14:paraId="62BF7791" w14:textId="77777777" w:rsidR="009B2D9F" w:rsidRPr="009B2D9F" w:rsidRDefault="009B2D9F" w:rsidP="009B2D9F">
      <w:pPr>
        <w:rPr>
          <w:b/>
          <w:lang w:val="en-AU"/>
        </w:rPr>
      </w:pPr>
      <w:r w:rsidRPr="009B2D9F">
        <w:rPr>
          <w:b/>
          <w:lang w:val="en-AU"/>
        </w:rPr>
        <w:t>Quality control and regulation</w:t>
      </w:r>
    </w:p>
    <w:p w14:paraId="3D9DF23C" w14:textId="38585828" w:rsidR="002C21FB" w:rsidRPr="00DC21D4" w:rsidRDefault="009B2D9F" w:rsidP="008D09DA">
      <w:pPr>
        <w:rPr>
          <w:spacing w:val="-2"/>
          <w:szCs w:val="22"/>
          <w:lang w:val="en-AU"/>
        </w:rPr>
      </w:pPr>
      <w:r w:rsidRPr="009B2D9F">
        <w:rPr>
          <w:lang w:val="en-AU"/>
        </w:rPr>
        <w:t xml:space="preserve">Standard Treatment Guidelines are generally up-to-date, relevant and available, however the recently </w:t>
      </w:r>
      <w:r w:rsidR="005E326F">
        <w:rPr>
          <w:lang w:val="en-AU"/>
        </w:rPr>
        <w:t xml:space="preserve">revised </w:t>
      </w:r>
      <w:r w:rsidR="005E326F" w:rsidRPr="005E326F">
        <w:rPr>
          <w:lang w:val="en-AU"/>
        </w:rPr>
        <w:t>national essential medicines catalogue/list</w:t>
      </w:r>
      <w:r w:rsidR="005E326F" w:rsidRPr="009B2D9F">
        <w:rPr>
          <w:lang w:val="en-AU"/>
        </w:rPr>
        <w:t xml:space="preserve"> </w:t>
      </w:r>
      <w:r w:rsidRPr="009B2D9F">
        <w:rPr>
          <w:lang w:val="en-AU"/>
        </w:rPr>
        <w:t>remains large and complex, and attempts to prioriti</w:t>
      </w:r>
      <w:r w:rsidR="00217089">
        <w:rPr>
          <w:lang w:val="en-AU"/>
        </w:rPr>
        <w:t>z</w:t>
      </w:r>
      <w:r w:rsidRPr="009B2D9F">
        <w:rPr>
          <w:lang w:val="en-AU"/>
        </w:rPr>
        <w:t xml:space="preserve">e vital and essential medicines within it are not yet operational. In-country quality testing is not yet functional, despite recent investment. </w:t>
      </w:r>
      <w:r w:rsidRPr="00483466">
        <w:rPr>
          <w:lang w:val="en-AU"/>
        </w:rPr>
        <w:t>There is some evidence of poor quality medicines distributed through the ‘pull’ system</w:t>
      </w:r>
      <w:r w:rsidR="00DC21D4">
        <w:rPr>
          <w:lang w:val="en-AU"/>
        </w:rPr>
        <w:t xml:space="preserve">, for example discoloration or crumbling (which may result from poor handling in supply chains as much as poor quality at manufacture). </w:t>
      </w:r>
      <w:r w:rsidR="00DC21D4">
        <w:rPr>
          <w:lang w:val="en-AU"/>
        </w:rPr>
        <w:lastRenderedPageBreak/>
        <w:t xml:space="preserve">However fewer concerns were seen in </w:t>
      </w:r>
      <w:r w:rsidRPr="00483466">
        <w:rPr>
          <w:lang w:val="en-AU"/>
        </w:rPr>
        <w:t xml:space="preserve">the 100% kits, whose contents were perceived as higher quality </w:t>
      </w:r>
      <w:r w:rsidR="009E0FF6" w:rsidRPr="00483466">
        <w:rPr>
          <w:lang w:val="en-AU"/>
        </w:rPr>
        <w:t>by health workers and community members</w:t>
      </w:r>
      <w:r w:rsidR="00DC21D4">
        <w:rPr>
          <w:lang w:val="en-AU"/>
        </w:rPr>
        <w:t>. There was some recognition of the fact that 100% kit medicines are procured from a quality-assured supplier</w:t>
      </w:r>
      <w:r w:rsidR="00663E5D">
        <w:rPr>
          <w:lang w:val="en-AU"/>
        </w:rPr>
        <w:t xml:space="preserve"> (IDA)</w:t>
      </w:r>
      <w:r w:rsidR="00DC21D4">
        <w:rPr>
          <w:lang w:val="en-AU"/>
        </w:rPr>
        <w:t>, whose spot-checking and other quality assurance mechanisms were verified in this evaluation</w:t>
      </w:r>
      <w:r w:rsidRPr="00483466">
        <w:rPr>
          <w:lang w:val="en-AU"/>
        </w:rPr>
        <w:t>.</w:t>
      </w:r>
    </w:p>
    <w:p w14:paraId="31748518" w14:textId="77777777" w:rsidR="00D704F8" w:rsidRDefault="00D704F8" w:rsidP="008D09DA">
      <w:pPr>
        <w:rPr>
          <w:b/>
          <w:lang w:val="en-AU"/>
        </w:rPr>
      </w:pPr>
    </w:p>
    <w:p w14:paraId="6CE2E3DC" w14:textId="4CDAB613" w:rsidR="008D09DA" w:rsidRPr="008D09DA" w:rsidRDefault="00596C6A" w:rsidP="008D09DA">
      <w:pPr>
        <w:rPr>
          <w:b/>
          <w:lang w:val="en-AU"/>
        </w:rPr>
      </w:pPr>
      <w:r>
        <w:rPr>
          <w:b/>
          <w:lang w:val="en-AU"/>
        </w:rPr>
        <w:t>S</w:t>
      </w:r>
      <w:r w:rsidR="00DB6103">
        <w:rPr>
          <w:b/>
          <w:lang w:val="en-AU"/>
        </w:rPr>
        <w:t xml:space="preserve">upply chain </w:t>
      </w:r>
      <w:r w:rsidR="008D09DA" w:rsidRPr="008D09DA">
        <w:rPr>
          <w:b/>
          <w:lang w:val="en-AU"/>
        </w:rPr>
        <w:t>planning</w:t>
      </w:r>
      <w:r w:rsidR="00450D33">
        <w:rPr>
          <w:b/>
          <w:lang w:val="en-AU"/>
        </w:rPr>
        <w:t>,</w:t>
      </w:r>
      <w:r w:rsidR="008D09DA" w:rsidRPr="008D09DA">
        <w:rPr>
          <w:b/>
          <w:lang w:val="en-AU"/>
        </w:rPr>
        <w:t xml:space="preserve"> governance </w:t>
      </w:r>
      <w:r w:rsidR="00450D33">
        <w:rPr>
          <w:b/>
          <w:lang w:val="en-AU"/>
        </w:rPr>
        <w:t>and management</w:t>
      </w:r>
    </w:p>
    <w:p w14:paraId="574C5559" w14:textId="6129FFD8" w:rsidR="008D09DA" w:rsidRPr="008D09DA" w:rsidRDefault="008D09DA" w:rsidP="008D09DA">
      <w:pPr>
        <w:rPr>
          <w:lang w:val="en-AU"/>
        </w:rPr>
      </w:pPr>
      <w:r w:rsidRPr="008D09DA">
        <w:rPr>
          <w:lang w:val="en-AU"/>
        </w:rPr>
        <w:t xml:space="preserve">National planning and governance of </w:t>
      </w:r>
      <w:r w:rsidR="004065B6">
        <w:rPr>
          <w:lang w:val="en-AU"/>
        </w:rPr>
        <w:t xml:space="preserve">the </w:t>
      </w:r>
      <w:r w:rsidR="00DB6103">
        <w:rPr>
          <w:lang w:val="en-AU"/>
        </w:rPr>
        <w:t>supply chain</w:t>
      </w:r>
      <w:r w:rsidR="004065B6">
        <w:rPr>
          <w:lang w:val="en-AU"/>
        </w:rPr>
        <w:t xml:space="preserve"> within PNG</w:t>
      </w:r>
      <w:r w:rsidR="00DB6103">
        <w:rPr>
          <w:lang w:val="en-AU"/>
        </w:rPr>
        <w:t xml:space="preserve"> </w:t>
      </w:r>
      <w:r w:rsidRPr="008D09DA">
        <w:rPr>
          <w:lang w:val="en-AU"/>
        </w:rPr>
        <w:t xml:space="preserve">in the ‘pull’ system is hampered by similar difficulties as for national procurement, with </w:t>
      </w:r>
      <w:r w:rsidR="00DB6103">
        <w:rPr>
          <w:lang w:val="en-AU"/>
        </w:rPr>
        <w:t xml:space="preserve">problems relating to </w:t>
      </w:r>
      <w:r w:rsidR="0095622E">
        <w:rPr>
          <w:lang w:val="en-AU"/>
        </w:rPr>
        <w:t>inadequate information on</w:t>
      </w:r>
      <w:r w:rsidRPr="008D09DA">
        <w:rPr>
          <w:lang w:val="en-AU"/>
        </w:rPr>
        <w:t xml:space="preserve"> performance</w:t>
      </w:r>
      <w:r w:rsidR="0095622E">
        <w:rPr>
          <w:lang w:val="en-AU"/>
        </w:rPr>
        <w:t>,</w:t>
      </w:r>
      <w:r w:rsidRPr="008D09DA">
        <w:rPr>
          <w:lang w:val="en-AU"/>
        </w:rPr>
        <w:t xml:space="preserve"> as well as transparency and accountability. District and provincial health manager opinions on the value of </w:t>
      </w:r>
      <w:r w:rsidR="00B93141">
        <w:rPr>
          <w:lang w:val="en-AU"/>
        </w:rPr>
        <w:t xml:space="preserve">the ‘pull’ system’s </w:t>
      </w:r>
      <w:r w:rsidRPr="008D09DA">
        <w:rPr>
          <w:lang w:val="en-AU"/>
        </w:rPr>
        <w:t>out-sourcing</w:t>
      </w:r>
      <w:r w:rsidR="00B93141">
        <w:rPr>
          <w:lang w:val="en-AU"/>
        </w:rPr>
        <w:t xml:space="preserve"> of</w:t>
      </w:r>
      <w:r w:rsidRPr="008D09DA">
        <w:rPr>
          <w:lang w:val="en-AU"/>
        </w:rPr>
        <w:t xml:space="preserve"> distribution are mixed, however </w:t>
      </w:r>
      <w:r w:rsidR="00CE467C">
        <w:rPr>
          <w:lang w:val="en-AU"/>
        </w:rPr>
        <w:t>most expressed a commitment to out-sourcing as</w:t>
      </w:r>
      <w:r w:rsidRPr="008D09DA">
        <w:rPr>
          <w:lang w:val="en-AU"/>
        </w:rPr>
        <w:t xml:space="preserve"> on balance the appropriate option</w:t>
      </w:r>
      <w:r w:rsidR="00CE467C">
        <w:rPr>
          <w:lang w:val="en-AU"/>
        </w:rPr>
        <w:t>, if there is stronger contract management</w:t>
      </w:r>
      <w:r w:rsidRPr="008D09DA">
        <w:rPr>
          <w:lang w:val="en-AU"/>
        </w:rPr>
        <w:t>. Th</w:t>
      </w:r>
      <w:r w:rsidR="00B93141">
        <w:rPr>
          <w:lang w:val="en-AU"/>
        </w:rPr>
        <w:t>e</w:t>
      </w:r>
      <w:r w:rsidRPr="008D09DA">
        <w:rPr>
          <w:lang w:val="en-AU"/>
        </w:rPr>
        <w:t xml:space="preserve"> introduction of a new </w:t>
      </w:r>
      <w:proofErr w:type="spellStart"/>
      <w:r w:rsidR="00B93141" w:rsidRPr="008D09DA">
        <w:rPr>
          <w:lang w:val="en-AU"/>
        </w:rPr>
        <w:t>eLMIS</w:t>
      </w:r>
      <w:proofErr w:type="spellEnd"/>
      <w:r w:rsidRPr="008D09DA">
        <w:rPr>
          <w:lang w:val="en-AU"/>
        </w:rPr>
        <w:t xml:space="preserve">, </w:t>
      </w:r>
      <w:proofErr w:type="spellStart"/>
      <w:r w:rsidRPr="008D09DA">
        <w:rPr>
          <w:lang w:val="en-AU"/>
        </w:rPr>
        <w:t>mSupply</w:t>
      </w:r>
      <w:proofErr w:type="spellEnd"/>
      <w:r w:rsidRPr="008D09DA">
        <w:rPr>
          <w:lang w:val="en-AU"/>
        </w:rPr>
        <w:t>, is one of the most critical investments for medical supplies management and has the potential to meet a crucial information need essential to development</w:t>
      </w:r>
      <w:r>
        <w:rPr>
          <w:lang w:val="en-AU"/>
        </w:rPr>
        <w:t xml:space="preserve">; </w:t>
      </w:r>
      <w:r w:rsidR="00F20D7E">
        <w:rPr>
          <w:lang w:val="en-AU"/>
        </w:rPr>
        <w:t>our findings support its extension to</w:t>
      </w:r>
      <w:r w:rsidRPr="008D09DA">
        <w:rPr>
          <w:lang w:val="en-AU"/>
        </w:rPr>
        <w:t xml:space="preserve"> AMS</w:t>
      </w:r>
      <w:r w:rsidR="00AC1265">
        <w:rPr>
          <w:lang w:val="en-AU"/>
        </w:rPr>
        <w:t>s</w:t>
      </w:r>
      <w:r w:rsidRPr="008D09DA">
        <w:rPr>
          <w:lang w:val="en-AU"/>
        </w:rPr>
        <w:t xml:space="preserve"> with good uptake capacity, and </w:t>
      </w:r>
      <w:r w:rsidR="00F20D7E">
        <w:rPr>
          <w:lang w:val="en-AU"/>
        </w:rPr>
        <w:t>to</w:t>
      </w:r>
      <w:r w:rsidR="00F20D7E" w:rsidRPr="008D09DA">
        <w:rPr>
          <w:lang w:val="en-AU"/>
        </w:rPr>
        <w:t xml:space="preserve"> </w:t>
      </w:r>
      <w:r w:rsidRPr="008D09DA">
        <w:rPr>
          <w:lang w:val="en-AU"/>
        </w:rPr>
        <w:t xml:space="preserve">a </w:t>
      </w:r>
      <w:r w:rsidR="00AC1265">
        <w:rPr>
          <w:lang w:val="en-AU"/>
        </w:rPr>
        <w:t xml:space="preserve">provincial </w:t>
      </w:r>
      <w:r w:rsidRPr="008D09DA">
        <w:rPr>
          <w:lang w:val="en-AU"/>
        </w:rPr>
        <w:t>pilot that can assess its contribution to HF-AMS communications.</w:t>
      </w:r>
    </w:p>
    <w:p w14:paraId="4B808FDA" w14:textId="57224D4E" w:rsidR="00700268" w:rsidRPr="008D09DA" w:rsidRDefault="00700268" w:rsidP="00700268">
      <w:pPr>
        <w:rPr>
          <w:b/>
          <w:lang w:val="en-AU"/>
        </w:rPr>
      </w:pPr>
    </w:p>
    <w:p w14:paraId="26731CDD" w14:textId="0D5AA16A" w:rsidR="00BA2AE3" w:rsidRPr="004065B6" w:rsidRDefault="00700268" w:rsidP="00700268">
      <w:pPr>
        <w:rPr>
          <w:spacing w:val="-4"/>
          <w:szCs w:val="22"/>
          <w:lang w:val="en-AU"/>
        </w:rPr>
      </w:pPr>
      <w:r>
        <w:rPr>
          <w:spacing w:val="-4"/>
          <w:szCs w:val="22"/>
          <w:lang w:val="en-AU"/>
        </w:rPr>
        <w:t>There were frequent reports</w:t>
      </w:r>
      <w:r w:rsidR="0092281B">
        <w:rPr>
          <w:spacing w:val="-4"/>
          <w:szCs w:val="22"/>
          <w:lang w:val="en-AU"/>
        </w:rPr>
        <w:t xml:space="preserve"> and letters of complaints</w:t>
      </w:r>
      <w:r>
        <w:rPr>
          <w:spacing w:val="-4"/>
          <w:szCs w:val="22"/>
          <w:lang w:val="en-AU"/>
        </w:rPr>
        <w:t xml:space="preserve"> of</w:t>
      </w:r>
      <w:r w:rsidRPr="00930D84">
        <w:rPr>
          <w:spacing w:val="-4"/>
          <w:szCs w:val="22"/>
          <w:lang w:val="en-AU"/>
        </w:rPr>
        <w:t xml:space="preserve"> failed delivery</w:t>
      </w:r>
      <w:r w:rsidR="00B93141">
        <w:rPr>
          <w:spacing w:val="-4"/>
          <w:szCs w:val="22"/>
          <w:lang w:val="en-AU"/>
        </w:rPr>
        <w:t xml:space="preserve"> in the </w:t>
      </w:r>
      <w:r w:rsidR="00B93141" w:rsidRPr="00930D84">
        <w:rPr>
          <w:spacing w:val="-4"/>
          <w:szCs w:val="22"/>
          <w:lang w:val="en-AU"/>
        </w:rPr>
        <w:t xml:space="preserve">‘pull’ systems </w:t>
      </w:r>
      <w:r>
        <w:rPr>
          <w:spacing w:val="-4"/>
          <w:szCs w:val="22"/>
          <w:lang w:val="en-AU"/>
        </w:rPr>
        <w:t>between AMS and HF</w:t>
      </w:r>
      <w:r w:rsidRPr="00930D84">
        <w:rPr>
          <w:spacing w:val="-4"/>
          <w:szCs w:val="22"/>
          <w:lang w:val="en-AU"/>
        </w:rPr>
        <w:t xml:space="preserve">, </w:t>
      </w:r>
      <w:r>
        <w:rPr>
          <w:spacing w:val="-4"/>
          <w:szCs w:val="22"/>
          <w:lang w:val="en-AU"/>
        </w:rPr>
        <w:t xml:space="preserve">especially to remote facilities, although records </w:t>
      </w:r>
      <w:r w:rsidR="00F33B57">
        <w:rPr>
          <w:spacing w:val="-4"/>
          <w:szCs w:val="22"/>
          <w:lang w:val="en-AU"/>
        </w:rPr>
        <w:t>to qua</w:t>
      </w:r>
      <w:r w:rsidR="0095622E">
        <w:rPr>
          <w:spacing w:val="-4"/>
          <w:szCs w:val="22"/>
          <w:lang w:val="en-AU"/>
        </w:rPr>
        <w:t xml:space="preserve">ntify this </w:t>
      </w:r>
      <w:r>
        <w:rPr>
          <w:spacing w:val="-4"/>
          <w:szCs w:val="22"/>
          <w:lang w:val="en-AU"/>
        </w:rPr>
        <w:t xml:space="preserve">are lacking. </w:t>
      </w:r>
      <w:r w:rsidR="004065B6">
        <w:rPr>
          <w:spacing w:val="-4"/>
          <w:szCs w:val="22"/>
          <w:lang w:val="en-AU"/>
        </w:rPr>
        <w:t>AMS</w:t>
      </w:r>
      <w:r w:rsidR="004065B6" w:rsidRPr="00930D84">
        <w:rPr>
          <w:spacing w:val="-4"/>
          <w:szCs w:val="22"/>
          <w:lang w:val="en-AU"/>
        </w:rPr>
        <w:t xml:space="preserve"> order processing and timeliness of delivery in the ‘pull’ system </w:t>
      </w:r>
      <w:r w:rsidR="00450D33">
        <w:rPr>
          <w:spacing w:val="-4"/>
          <w:szCs w:val="22"/>
          <w:lang w:val="en-AU"/>
        </w:rPr>
        <w:t xml:space="preserve">also </w:t>
      </w:r>
      <w:r w:rsidR="004065B6" w:rsidRPr="00930D84">
        <w:rPr>
          <w:spacing w:val="-4"/>
          <w:szCs w:val="22"/>
          <w:lang w:val="en-AU"/>
        </w:rPr>
        <w:t>received criticism from managers</w:t>
      </w:r>
      <w:r w:rsidR="00450D33">
        <w:rPr>
          <w:spacing w:val="-4"/>
          <w:szCs w:val="22"/>
          <w:lang w:val="en-AU"/>
        </w:rPr>
        <w:t xml:space="preserve"> and HF staff</w:t>
      </w:r>
      <w:r w:rsidR="004065B6" w:rsidRPr="00930D84">
        <w:rPr>
          <w:spacing w:val="-4"/>
          <w:szCs w:val="22"/>
          <w:lang w:val="en-AU"/>
        </w:rPr>
        <w:t xml:space="preserve">, </w:t>
      </w:r>
      <w:r w:rsidR="00FC2062" w:rsidRPr="0095622E">
        <w:rPr>
          <w:spacing w:val="-2"/>
          <w:szCs w:val="22"/>
          <w:lang w:val="en-AU"/>
        </w:rPr>
        <w:t xml:space="preserve">especially at </w:t>
      </w:r>
      <w:proofErr w:type="spellStart"/>
      <w:r w:rsidR="00FC2062" w:rsidRPr="0095622E">
        <w:rPr>
          <w:spacing w:val="-2"/>
          <w:szCs w:val="22"/>
          <w:lang w:val="en-AU"/>
        </w:rPr>
        <w:t>Badili</w:t>
      </w:r>
      <w:proofErr w:type="spellEnd"/>
      <w:r w:rsidR="00255DC6">
        <w:rPr>
          <w:spacing w:val="-2"/>
          <w:szCs w:val="22"/>
          <w:lang w:val="en-AU"/>
        </w:rPr>
        <w:t xml:space="preserve"> AMS</w:t>
      </w:r>
      <w:r w:rsidR="00FC2062" w:rsidRPr="0095622E">
        <w:rPr>
          <w:spacing w:val="-2"/>
          <w:szCs w:val="22"/>
          <w:lang w:val="en-AU"/>
        </w:rPr>
        <w:t xml:space="preserve">, </w:t>
      </w:r>
      <w:r w:rsidR="004065B6" w:rsidRPr="00930D84">
        <w:rPr>
          <w:spacing w:val="-4"/>
          <w:szCs w:val="22"/>
          <w:lang w:val="en-AU"/>
        </w:rPr>
        <w:t xml:space="preserve">and </w:t>
      </w:r>
      <w:r w:rsidR="0095622E">
        <w:rPr>
          <w:spacing w:val="-4"/>
          <w:szCs w:val="22"/>
          <w:lang w:val="en-AU"/>
        </w:rPr>
        <w:t>our</w:t>
      </w:r>
      <w:r w:rsidR="004065B6" w:rsidRPr="00930D84">
        <w:rPr>
          <w:spacing w:val="-4"/>
          <w:szCs w:val="22"/>
          <w:lang w:val="en-AU"/>
        </w:rPr>
        <w:t xml:space="preserve"> evaluation measured some baselines in relation to this</w:t>
      </w:r>
      <w:r w:rsidR="004065B6">
        <w:rPr>
          <w:spacing w:val="-4"/>
          <w:szCs w:val="22"/>
          <w:lang w:val="en-AU"/>
        </w:rPr>
        <w:t>. In the ‘push’ system d</w:t>
      </w:r>
      <w:r>
        <w:rPr>
          <w:spacing w:val="-4"/>
          <w:szCs w:val="22"/>
          <w:lang w:val="en-AU"/>
        </w:rPr>
        <w:t xml:space="preserve">elivery data </w:t>
      </w:r>
      <w:r w:rsidR="00282A7A">
        <w:rPr>
          <w:spacing w:val="-4"/>
          <w:szCs w:val="22"/>
          <w:lang w:val="en-AU"/>
        </w:rPr>
        <w:t>(more accessible but still incomplete)</w:t>
      </w:r>
      <w:r>
        <w:rPr>
          <w:spacing w:val="-4"/>
          <w:szCs w:val="22"/>
          <w:lang w:val="en-AU"/>
        </w:rPr>
        <w:t xml:space="preserve"> </w:t>
      </w:r>
      <w:r w:rsidR="004065B6">
        <w:rPr>
          <w:spacing w:val="-4"/>
          <w:szCs w:val="22"/>
          <w:lang w:val="en-AU"/>
        </w:rPr>
        <w:t>suggest</w:t>
      </w:r>
      <w:r>
        <w:rPr>
          <w:spacing w:val="-4"/>
          <w:szCs w:val="22"/>
          <w:lang w:val="en-AU"/>
        </w:rPr>
        <w:t xml:space="preserve"> high compliance and quality of transport</w:t>
      </w:r>
      <w:r w:rsidR="00282A7A">
        <w:rPr>
          <w:spacing w:val="-4"/>
          <w:szCs w:val="22"/>
          <w:lang w:val="en-AU"/>
        </w:rPr>
        <w:t xml:space="preserve"> for kits distribution; although there were some reports of failed </w:t>
      </w:r>
      <w:r w:rsidR="004065B6">
        <w:rPr>
          <w:spacing w:val="-4"/>
          <w:szCs w:val="22"/>
          <w:lang w:val="en-AU"/>
        </w:rPr>
        <w:t>supply</w:t>
      </w:r>
      <w:r w:rsidR="00282A7A">
        <w:rPr>
          <w:spacing w:val="-4"/>
          <w:szCs w:val="22"/>
          <w:lang w:val="en-AU"/>
        </w:rPr>
        <w:t xml:space="preserve">, these seemed to be </w:t>
      </w:r>
      <w:r w:rsidR="0056559A">
        <w:rPr>
          <w:spacing w:val="-4"/>
          <w:szCs w:val="22"/>
          <w:lang w:val="en-AU"/>
        </w:rPr>
        <w:t>traceable</w:t>
      </w:r>
      <w:r w:rsidR="00282A7A">
        <w:rPr>
          <w:spacing w:val="-4"/>
          <w:szCs w:val="22"/>
          <w:lang w:val="en-AU"/>
        </w:rPr>
        <w:t xml:space="preserve"> and </w:t>
      </w:r>
      <w:r w:rsidR="004065B6">
        <w:rPr>
          <w:spacing w:val="-4"/>
          <w:szCs w:val="22"/>
          <w:lang w:val="en-AU"/>
        </w:rPr>
        <w:t>uncommon</w:t>
      </w:r>
      <w:r w:rsidR="00282A7A">
        <w:rPr>
          <w:spacing w:val="-4"/>
          <w:szCs w:val="22"/>
          <w:lang w:val="en-AU"/>
        </w:rPr>
        <w:t xml:space="preserve">. </w:t>
      </w:r>
      <w:r w:rsidR="004065B6">
        <w:rPr>
          <w:spacing w:val="-4"/>
          <w:szCs w:val="22"/>
          <w:lang w:val="en-AU"/>
        </w:rPr>
        <w:t xml:space="preserve">Availability data suggests </w:t>
      </w:r>
      <w:r w:rsidRPr="00930D84">
        <w:rPr>
          <w:spacing w:val="-4"/>
          <w:szCs w:val="22"/>
          <w:lang w:val="en-AU"/>
        </w:rPr>
        <w:t>the kits’ ‘push’ system has been more effective in reaching the most peripheral facilities</w:t>
      </w:r>
      <w:r w:rsidR="00282A7A">
        <w:rPr>
          <w:spacing w:val="-4"/>
          <w:szCs w:val="22"/>
          <w:lang w:val="en-AU"/>
        </w:rPr>
        <w:t>, particularly APs</w:t>
      </w:r>
      <w:r w:rsidRPr="00930D84">
        <w:rPr>
          <w:spacing w:val="-4"/>
          <w:szCs w:val="22"/>
          <w:lang w:val="en-AU"/>
        </w:rPr>
        <w:t xml:space="preserve">. Criticisms of poor communication between kit delivery contractors and provincial/district health </w:t>
      </w:r>
      <w:proofErr w:type="gramStart"/>
      <w:r w:rsidRPr="00930D84">
        <w:rPr>
          <w:spacing w:val="-4"/>
          <w:szCs w:val="22"/>
          <w:lang w:val="en-AU"/>
        </w:rPr>
        <w:t>managers</w:t>
      </w:r>
      <w:proofErr w:type="gramEnd"/>
      <w:r w:rsidRPr="00930D84">
        <w:rPr>
          <w:spacing w:val="-4"/>
          <w:szCs w:val="22"/>
          <w:lang w:val="en-AU"/>
        </w:rPr>
        <w:t xml:space="preserve"> point to the need for </w:t>
      </w:r>
      <w:r w:rsidR="004065B6">
        <w:rPr>
          <w:spacing w:val="-4"/>
          <w:szCs w:val="22"/>
          <w:lang w:val="en-AU"/>
        </w:rPr>
        <w:t>integrated</w:t>
      </w:r>
      <w:r w:rsidRPr="00930D84">
        <w:rPr>
          <w:spacing w:val="-4"/>
          <w:szCs w:val="22"/>
          <w:lang w:val="en-AU"/>
        </w:rPr>
        <w:t xml:space="preserve"> </w:t>
      </w:r>
      <w:r w:rsidR="0095622E">
        <w:rPr>
          <w:spacing w:val="-4"/>
          <w:szCs w:val="22"/>
          <w:lang w:val="en-AU"/>
        </w:rPr>
        <w:t xml:space="preserve">and more consultative </w:t>
      </w:r>
      <w:r w:rsidRPr="00930D84">
        <w:rPr>
          <w:spacing w:val="-4"/>
          <w:szCs w:val="22"/>
          <w:lang w:val="en-AU"/>
        </w:rPr>
        <w:t>planning in future ‘push’ system distribution.</w:t>
      </w:r>
      <w:r w:rsidR="004065B6">
        <w:rPr>
          <w:spacing w:val="-4"/>
          <w:szCs w:val="22"/>
          <w:lang w:val="en-AU"/>
        </w:rPr>
        <w:t xml:space="preserve"> </w:t>
      </w:r>
      <w:r w:rsidR="003131FB" w:rsidRPr="00930D84">
        <w:rPr>
          <w:spacing w:val="-4"/>
          <w:szCs w:val="22"/>
          <w:lang w:val="en-AU"/>
        </w:rPr>
        <w:t>Improved communication and d</w:t>
      </w:r>
      <w:r w:rsidR="003131FB">
        <w:rPr>
          <w:spacing w:val="-4"/>
          <w:szCs w:val="22"/>
          <w:lang w:val="en-AU"/>
        </w:rPr>
        <w:t>ata flow, particularly through the</w:t>
      </w:r>
      <w:r w:rsidR="003131FB" w:rsidRPr="00930D84">
        <w:rPr>
          <w:spacing w:val="-4"/>
          <w:szCs w:val="22"/>
          <w:lang w:val="en-AU"/>
        </w:rPr>
        <w:t xml:space="preserve"> new </w:t>
      </w:r>
      <w:proofErr w:type="spellStart"/>
      <w:r w:rsidR="003131FB" w:rsidRPr="00930D84">
        <w:rPr>
          <w:spacing w:val="-4"/>
          <w:szCs w:val="22"/>
          <w:lang w:val="en-AU"/>
        </w:rPr>
        <w:t>eLMIS</w:t>
      </w:r>
      <w:proofErr w:type="spellEnd"/>
      <w:r w:rsidR="003131FB" w:rsidRPr="00930D84">
        <w:rPr>
          <w:spacing w:val="-4"/>
          <w:szCs w:val="22"/>
          <w:lang w:val="en-AU"/>
        </w:rPr>
        <w:t xml:space="preserve">, has the potential to support development in </w:t>
      </w:r>
      <w:r w:rsidR="00FA2099">
        <w:rPr>
          <w:spacing w:val="-4"/>
          <w:szCs w:val="22"/>
          <w:lang w:val="en-AU"/>
        </w:rPr>
        <w:t>both ‘pull’ and ‘push’ systems</w:t>
      </w:r>
      <w:r w:rsidR="003131FB" w:rsidRPr="00930D84">
        <w:rPr>
          <w:spacing w:val="-4"/>
          <w:szCs w:val="22"/>
          <w:lang w:val="en-AU"/>
        </w:rPr>
        <w:t>.</w:t>
      </w:r>
    </w:p>
    <w:p w14:paraId="49375876" w14:textId="77777777" w:rsidR="00700268" w:rsidRDefault="00700268" w:rsidP="008D09DA">
      <w:pPr>
        <w:rPr>
          <w:b/>
          <w:lang w:val="en-AU"/>
        </w:rPr>
      </w:pPr>
    </w:p>
    <w:p w14:paraId="58970B5D" w14:textId="4497AA11" w:rsidR="008D09DA" w:rsidRPr="0095622E" w:rsidRDefault="008D09DA" w:rsidP="008D09DA">
      <w:pPr>
        <w:rPr>
          <w:spacing w:val="-2"/>
          <w:szCs w:val="22"/>
          <w:lang w:val="en-AU"/>
        </w:rPr>
      </w:pPr>
      <w:r w:rsidRPr="0095622E">
        <w:rPr>
          <w:spacing w:val="-2"/>
          <w:szCs w:val="22"/>
          <w:lang w:val="en-AU"/>
        </w:rPr>
        <w:t>AMS stocks of essential medicines, measured in this evaluation at 73%</w:t>
      </w:r>
      <w:r w:rsidR="00351EAC" w:rsidRPr="0095622E">
        <w:rPr>
          <w:spacing w:val="-2"/>
          <w:szCs w:val="22"/>
          <w:lang w:val="en-AU"/>
        </w:rPr>
        <w:t>,</w:t>
      </w:r>
      <w:r w:rsidRPr="0095622E">
        <w:rPr>
          <w:spacing w:val="-2"/>
          <w:szCs w:val="22"/>
          <w:lang w:val="en-AU"/>
        </w:rPr>
        <w:t xml:space="preserve"> </w:t>
      </w:r>
      <w:r w:rsidR="0095622E" w:rsidRPr="0095622E">
        <w:rPr>
          <w:spacing w:val="-2"/>
          <w:szCs w:val="22"/>
          <w:lang w:val="en-AU"/>
        </w:rPr>
        <w:t>are</w:t>
      </w:r>
      <w:r w:rsidRPr="0095622E">
        <w:rPr>
          <w:spacing w:val="-2"/>
          <w:szCs w:val="22"/>
          <w:lang w:val="en-AU"/>
        </w:rPr>
        <w:t xml:space="preserve"> closer to the NDOH target (90%) than other recent estimates, although there are still critical shortages. AMS processes show many areas for potential improvement</w:t>
      </w:r>
      <w:r w:rsidR="00A06A10">
        <w:rPr>
          <w:spacing w:val="-2"/>
          <w:szCs w:val="22"/>
          <w:lang w:val="en-AU"/>
        </w:rPr>
        <w:t xml:space="preserve"> </w:t>
      </w:r>
      <w:r w:rsidRPr="0095622E">
        <w:rPr>
          <w:spacing w:val="-2"/>
          <w:szCs w:val="22"/>
          <w:lang w:val="en-AU"/>
        </w:rPr>
        <w:t>and planned refurbishments should be rolled out as soon as possible, to all stores.</w:t>
      </w:r>
      <w:r w:rsidR="00700268" w:rsidRPr="0095622E">
        <w:rPr>
          <w:spacing w:val="-2"/>
          <w:szCs w:val="22"/>
          <w:lang w:val="en-AU"/>
        </w:rPr>
        <w:t xml:space="preserve"> The establishment of Provincial Transit Stores (PTS) </w:t>
      </w:r>
      <w:r w:rsidR="0095622E">
        <w:rPr>
          <w:spacing w:val="-2"/>
          <w:szCs w:val="22"/>
          <w:lang w:val="en-AU"/>
        </w:rPr>
        <w:t>i</w:t>
      </w:r>
      <w:r w:rsidR="00700268" w:rsidRPr="0095622E">
        <w:rPr>
          <w:spacing w:val="-2"/>
          <w:szCs w:val="22"/>
          <w:lang w:val="en-AU"/>
        </w:rPr>
        <w:t>s</w:t>
      </w:r>
      <w:r w:rsidR="0095622E">
        <w:rPr>
          <w:spacing w:val="-2"/>
          <w:szCs w:val="22"/>
          <w:lang w:val="en-AU"/>
        </w:rPr>
        <w:t xml:space="preserve"> underway at some sites and</w:t>
      </w:r>
      <w:r w:rsidR="003A4379">
        <w:rPr>
          <w:spacing w:val="-2"/>
          <w:szCs w:val="22"/>
          <w:lang w:val="en-AU"/>
        </w:rPr>
        <w:t>,</w:t>
      </w:r>
      <w:r w:rsidR="0095622E">
        <w:rPr>
          <w:spacing w:val="-2"/>
          <w:szCs w:val="22"/>
          <w:lang w:val="en-AU"/>
        </w:rPr>
        <w:t xml:space="preserve"> if matched by </w:t>
      </w:r>
      <w:r w:rsidR="0095622E" w:rsidRPr="0095622E">
        <w:rPr>
          <w:spacing w:val="-2"/>
          <w:szCs w:val="22"/>
          <w:lang w:val="en-AU"/>
        </w:rPr>
        <w:t>increased provincial pharmacy staff</w:t>
      </w:r>
      <w:r w:rsidR="003A4379">
        <w:rPr>
          <w:spacing w:val="-2"/>
          <w:szCs w:val="22"/>
          <w:lang w:val="en-AU"/>
        </w:rPr>
        <w:t>,</w:t>
      </w:r>
      <w:r w:rsidR="00700268" w:rsidRPr="0095622E">
        <w:rPr>
          <w:spacing w:val="-2"/>
          <w:szCs w:val="22"/>
          <w:lang w:val="en-AU"/>
        </w:rPr>
        <w:t xml:space="preserve"> </w:t>
      </w:r>
      <w:r w:rsidR="0095622E">
        <w:rPr>
          <w:spacing w:val="-2"/>
          <w:szCs w:val="22"/>
          <w:lang w:val="en-AU"/>
        </w:rPr>
        <w:t>could</w:t>
      </w:r>
      <w:r w:rsidR="003A4379">
        <w:rPr>
          <w:spacing w:val="-2"/>
          <w:szCs w:val="22"/>
          <w:lang w:val="en-AU"/>
        </w:rPr>
        <w:t xml:space="preserve"> offer</w:t>
      </w:r>
      <w:r w:rsidR="00700268" w:rsidRPr="0095622E">
        <w:rPr>
          <w:spacing w:val="-2"/>
          <w:szCs w:val="22"/>
          <w:lang w:val="en-AU"/>
        </w:rPr>
        <w:t xml:space="preserve"> a productive way forward</w:t>
      </w:r>
      <w:r w:rsidR="0095622E">
        <w:rPr>
          <w:spacing w:val="-2"/>
          <w:szCs w:val="22"/>
          <w:lang w:val="en-AU"/>
        </w:rPr>
        <w:t xml:space="preserve"> for all provinces</w:t>
      </w:r>
      <w:r w:rsidR="003A4379">
        <w:rPr>
          <w:spacing w:val="-2"/>
          <w:szCs w:val="22"/>
          <w:lang w:val="en-AU"/>
        </w:rPr>
        <w:t xml:space="preserve">. Deficiencies in stock tracking at this level were commonly observed and would also require change as part of </w:t>
      </w:r>
      <w:r w:rsidR="003A4379" w:rsidRPr="00A376D0">
        <w:rPr>
          <w:spacing w:val="-2"/>
          <w:szCs w:val="22"/>
          <w:lang w:val="en-AU"/>
        </w:rPr>
        <w:t>instituting</w:t>
      </w:r>
      <w:r w:rsidR="003A4379">
        <w:rPr>
          <w:spacing w:val="-2"/>
          <w:szCs w:val="22"/>
          <w:lang w:val="en-AU"/>
        </w:rPr>
        <w:t xml:space="preserve"> PTSs as provincial supply hubs. </w:t>
      </w:r>
    </w:p>
    <w:p w14:paraId="789ADB36" w14:textId="77777777" w:rsidR="008D09DA" w:rsidRDefault="008D09DA" w:rsidP="00E16C77">
      <w:pPr>
        <w:rPr>
          <w:lang w:val="en-AU"/>
        </w:rPr>
      </w:pPr>
    </w:p>
    <w:p w14:paraId="67D8A70B" w14:textId="532FF0C8" w:rsidR="00E96ABB" w:rsidRPr="00E96ABB" w:rsidRDefault="00450D33" w:rsidP="00E96ABB">
      <w:pPr>
        <w:rPr>
          <w:b/>
          <w:lang w:val="en-AU"/>
        </w:rPr>
      </w:pPr>
      <w:r>
        <w:rPr>
          <w:b/>
          <w:lang w:val="en-AU"/>
        </w:rPr>
        <w:t xml:space="preserve">Handling and usage of </w:t>
      </w:r>
      <w:r w:rsidR="00E96ABB" w:rsidRPr="00E96ABB">
        <w:rPr>
          <w:b/>
          <w:lang w:val="en-AU"/>
        </w:rPr>
        <w:t xml:space="preserve">essential medicines </w:t>
      </w:r>
      <w:r>
        <w:rPr>
          <w:b/>
          <w:lang w:val="en-AU"/>
        </w:rPr>
        <w:t>in health facilities</w:t>
      </w:r>
    </w:p>
    <w:p w14:paraId="7D8D37B8" w14:textId="77777777" w:rsidR="00E96ABB" w:rsidRPr="0034098D" w:rsidRDefault="00E96ABB" w:rsidP="00E96ABB">
      <w:pPr>
        <w:rPr>
          <w:spacing w:val="-4"/>
          <w:szCs w:val="22"/>
          <w:lang w:val="en-AU"/>
        </w:rPr>
      </w:pPr>
      <w:r w:rsidRPr="0034098D">
        <w:rPr>
          <w:spacing w:val="-4"/>
          <w:szCs w:val="22"/>
          <w:lang w:val="en-AU"/>
        </w:rPr>
        <w:t>While many facilities are using medicines well, with good compliance with core aspects of STGs (including new malaria treatment protocols), there are few STGs that are followed completely. Over-use of some medicines (such as antibiotics) and under-use of others (such as zinc) are more likely to reflect deficiencies in staff training than community pressures. It was reported that information resources provided with kits could be more user-friendly and STGs could be helpfully tailored to the AP level.</w:t>
      </w:r>
    </w:p>
    <w:p w14:paraId="2D9F8F2C" w14:textId="77777777" w:rsidR="00E96ABB" w:rsidRDefault="00E96ABB" w:rsidP="00E16C77">
      <w:pPr>
        <w:rPr>
          <w:lang w:val="en-AU"/>
        </w:rPr>
      </w:pPr>
    </w:p>
    <w:p w14:paraId="2113E466" w14:textId="71351094" w:rsidR="00E96ABB" w:rsidRDefault="00E257ED" w:rsidP="00E96ABB">
      <w:pPr>
        <w:rPr>
          <w:lang w:val="en-AU"/>
        </w:rPr>
      </w:pPr>
      <w:r>
        <w:rPr>
          <w:lang w:val="en-AU"/>
        </w:rPr>
        <w:t xml:space="preserve">Both record keeping and storage facilities </w:t>
      </w:r>
      <w:r w:rsidR="00E96ABB" w:rsidRPr="00E96ABB">
        <w:rPr>
          <w:lang w:val="en-AU"/>
        </w:rPr>
        <w:t xml:space="preserve">at </w:t>
      </w:r>
      <w:r>
        <w:rPr>
          <w:lang w:val="en-AU"/>
        </w:rPr>
        <w:t>HFs require</w:t>
      </w:r>
      <w:r w:rsidR="00E96ABB" w:rsidRPr="00E96ABB">
        <w:rPr>
          <w:lang w:val="en-AU"/>
        </w:rPr>
        <w:t xml:space="preserve"> significant attention, with limited storage capacity negatively affecting their ability to store and process medicines in a systematic and hygienic manner. Temperature control, both in the regular monitoring of their cold storage and methods to cool the internal ambient temperature needs attention to maintain the quality of medicines</w:t>
      </w:r>
      <w:r w:rsidR="0042311B">
        <w:rPr>
          <w:lang w:val="en-AU"/>
        </w:rPr>
        <w:t>.</w:t>
      </w:r>
    </w:p>
    <w:p w14:paraId="370F7F0D" w14:textId="77777777" w:rsidR="0042311B" w:rsidRDefault="0042311B" w:rsidP="00E96ABB">
      <w:pPr>
        <w:rPr>
          <w:lang w:val="en-AU"/>
        </w:rPr>
      </w:pPr>
    </w:p>
    <w:p w14:paraId="29CAE073" w14:textId="1BBA77EA" w:rsidR="00E96ABB" w:rsidRPr="00E96ABB" w:rsidRDefault="0042311B" w:rsidP="00E96ABB">
      <w:pPr>
        <w:rPr>
          <w:lang w:val="en-AU"/>
        </w:rPr>
      </w:pPr>
      <w:r w:rsidRPr="00483466">
        <w:rPr>
          <w:lang w:val="en-AU"/>
        </w:rPr>
        <w:t>Although the kits</w:t>
      </w:r>
      <w:r w:rsidR="00E257ED" w:rsidRPr="00483466">
        <w:rPr>
          <w:lang w:val="en-AU"/>
        </w:rPr>
        <w:t xml:space="preserve"> </w:t>
      </w:r>
      <w:r w:rsidR="00F53D03" w:rsidRPr="00483466">
        <w:rPr>
          <w:lang w:val="en-AU"/>
        </w:rPr>
        <w:t xml:space="preserve">distribution </w:t>
      </w:r>
      <w:r w:rsidRPr="00483466">
        <w:rPr>
          <w:lang w:val="en-AU"/>
        </w:rPr>
        <w:t>ha</w:t>
      </w:r>
      <w:r w:rsidR="00E257ED" w:rsidRPr="00483466">
        <w:rPr>
          <w:lang w:val="en-AU"/>
        </w:rPr>
        <w:t>s</w:t>
      </w:r>
      <w:r w:rsidRPr="00483466">
        <w:rPr>
          <w:lang w:val="en-AU"/>
        </w:rPr>
        <w:t xml:space="preserve"> proven a valuable supplement, overall, stock</w:t>
      </w:r>
      <w:r w:rsidR="00F53D03" w:rsidRPr="00483466">
        <w:rPr>
          <w:lang w:val="en-AU"/>
        </w:rPr>
        <w:t>-</w:t>
      </w:r>
      <w:r w:rsidRPr="00483466">
        <w:rPr>
          <w:lang w:val="en-AU"/>
        </w:rPr>
        <w:t>outs are still common and the majority of HFs needed to privately purchase supplementary medicines at some point.</w:t>
      </w:r>
    </w:p>
    <w:p w14:paraId="67116F8C" w14:textId="77777777" w:rsidR="00E96ABB" w:rsidRPr="00E27200" w:rsidRDefault="00E96ABB" w:rsidP="00E16C77">
      <w:pPr>
        <w:rPr>
          <w:lang w:val="en-AU"/>
        </w:rPr>
      </w:pPr>
    </w:p>
    <w:p w14:paraId="22F12A8C" w14:textId="77777777" w:rsidR="002E1B96" w:rsidRDefault="002E1B96" w:rsidP="002E1B96">
      <w:pPr>
        <w:pStyle w:val="Heading3"/>
        <w:numPr>
          <w:ilvl w:val="0"/>
          <w:numId w:val="0"/>
        </w:numPr>
        <w:ind w:left="504" w:hanging="504"/>
      </w:pPr>
      <w:r>
        <w:t>Overview of implications and recommendations</w:t>
      </w:r>
      <w:r w:rsidR="0068073F" w:rsidRPr="00E27200">
        <w:t xml:space="preserve"> </w:t>
      </w:r>
    </w:p>
    <w:p w14:paraId="45E8A26C" w14:textId="752F0795" w:rsidR="00555F1A" w:rsidRDefault="00555F1A" w:rsidP="00555F1A">
      <w:pPr>
        <w:rPr>
          <w:b/>
          <w:lang w:val="en-AU"/>
        </w:rPr>
      </w:pPr>
      <w:r>
        <w:rPr>
          <w:lang w:val="en-AU"/>
        </w:rPr>
        <w:t>These findings call for continued investment in both ‘push’ and ‘pull’ system development, and in future evaluation of progress and impact, as discussed below and in the evaluation plan annexed.  It is also important to include in both development and evaluation, assessments of the way in which available medicines are used: a critical determinant of improved access to care.</w:t>
      </w:r>
      <w:r w:rsidR="00F97A60">
        <w:rPr>
          <w:lang w:val="en-AU"/>
        </w:rPr>
        <w:t xml:space="preserve"> Detailed program recommendations are provided in the report, of which the most important are summarised below.</w:t>
      </w:r>
    </w:p>
    <w:p w14:paraId="23EAAD5B" w14:textId="77777777" w:rsidR="00F97A60" w:rsidRDefault="00F97A60" w:rsidP="002E1B96">
      <w:pPr>
        <w:rPr>
          <w:spacing w:val="-4"/>
          <w:szCs w:val="22"/>
        </w:rPr>
      </w:pPr>
    </w:p>
    <w:p w14:paraId="56DB6E58" w14:textId="77777777" w:rsidR="00F97A60" w:rsidRPr="00DD077E" w:rsidRDefault="00F97A60" w:rsidP="00AD3F80">
      <w:pPr>
        <w:pStyle w:val="ListParagraph"/>
        <w:numPr>
          <w:ilvl w:val="0"/>
          <w:numId w:val="45"/>
        </w:numPr>
        <w:rPr>
          <w:rFonts w:asciiTheme="minorHAnsi" w:hAnsiTheme="minorHAnsi"/>
          <w:szCs w:val="22"/>
        </w:rPr>
      </w:pPr>
      <w:r w:rsidRPr="00DD077E">
        <w:rPr>
          <w:rFonts w:asciiTheme="minorHAnsi" w:hAnsiTheme="minorHAnsi"/>
          <w:b/>
          <w:szCs w:val="22"/>
        </w:rPr>
        <w:t>From 2014,</w:t>
      </w:r>
      <w:r w:rsidRPr="00DD077E">
        <w:rPr>
          <w:rFonts w:asciiTheme="minorHAnsi" w:hAnsiTheme="minorHAnsi"/>
          <w:szCs w:val="22"/>
        </w:rPr>
        <w:t xml:space="preserve"> once GoPNG has reached a clear position on </w:t>
      </w:r>
      <w:r w:rsidRPr="00DD077E">
        <w:rPr>
          <w:rFonts w:asciiTheme="minorHAnsi" w:hAnsiTheme="minorHAnsi"/>
          <w:b/>
          <w:szCs w:val="22"/>
        </w:rPr>
        <w:t>governance structures</w:t>
      </w:r>
      <w:r w:rsidRPr="00DD077E">
        <w:rPr>
          <w:rFonts w:asciiTheme="minorHAnsi" w:hAnsiTheme="minorHAnsi"/>
          <w:szCs w:val="22"/>
        </w:rPr>
        <w:t>: all agencies should work to strengthen transparency, value-for-money and an emphasis on quality assurance for health procurement structures, governance and institutional arrangements; including the outsourcing of procurement and supply chain operations accompanied by more detailed and stringent contract and performance management in the ‘pull’ system (which may draw on some of the procedures developed under the recent kits distribution).</w:t>
      </w:r>
    </w:p>
    <w:p w14:paraId="3B250BA6" w14:textId="0966D182" w:rsidR="00F97A60" w:rsidRPr="00DD077E" w:rsidRDefault="00F97A60" w:rsidP="00F97A60">
      <w:pPr>
        <w:ind w:left="1980"/>
        <w:rPr>
          <w:rFonts w:asciiTheme="minorHAnsi" w:hAnsiTheme="minorHAnsi"/>
          <w:szCs w:val="22"/>
        </w:rPr>
      </w:pPr>
      <w:r w:rsidRPr="00DD077E">
        <w:rPr>
          <w:rFonts w:asciiTheme="minorHAnsi" w:hAnsiTheme="minorHAnsi"/>
          <w:i/>
          <w:szCs w:val="22"/>
        </w:rPr>
        <w:t>Applicable to GoPNG</w:t>
      </w:r>
      <w:r w:rsidR="00CE467C">
        <w:rPr>
          <w:rFonts w:asciiTheme="minorHAnsi" w:hAnsiTheme="minorHAnsi"/>
          <w:i/>
          <w:szCs w:val="22"/>
        </w:rPr>
        <w:t xml:space="preserve"> central agencies (including procurement authorities), NDOH, provincial health agencies</w:t>
      </w:r>
      <w:r w:rsidRPr="00DD077E">
        <w:rPr>
          <w:rFonts w:asciiTheme="minorHAnsi" w:hAnsiTheme="minorHAnsi"/>
          <w:i/>
          <w:szCs w:val="22"/>
        </w:rPr>
        <w:t>, dev</w:t>
      </w:r>
      <w:r w:rsidR="00CE467C">
        <w:rPr>
          <w:rFonts w:asciiTheme="minorHAnsi" w:hAnsiTheme="minorHAnsi"/>
          <w:i/>
          <w:szCs w:val="22"/>
        </w:rPr>
        <w:t>elopment partners</w:t>
      </w:r>
    </w:p>
    <w:p w14:paraId="173CA571" w14:textId="77777777" w:rsidR="00F97A60" w:rsidRPr="00DD077E" w:rsidRDefault="00F97A60" w:rsidP="00AD3F80">
      <w:pPr>
        <w:pStyle w:val="ListParagraph"/>
        <w:numPr>
          <w:ilvl w:val="0"/>
          <w:numId w:val="45"/>
        </w:numPr>
        <w:rPr>
          <w:rFonts w:asciiTheme="minorHAnsi" w:hAnsiTheme="minorHAnsi"/>
          <w:szCs w:val="22"/>
        </w:rPr>
      </w:pPr>
      <w:r w:rsidRPr="00DD077E">
        <w:rPr>
          <w:rFonts w:asciiTheme="minorHAnsi" w:hAnsiTheme="minorHAnsi"/>
          <w:b/>
          <w:szCs w:val="22"/>
        </w:rPr>
        <w:t>From 2014 over next three to five years: continue the ‘push’ system</w:t>
      </w:r>
      <w:r w:rsidRPr="00DD077E">
        <w:rPr>
          <w:rFonts w:asciiTheme="minorHAnsi" w:hAnsiTheme="minorHAnsi"/>
          <w:szCs w:val="22"/>
        </w:rPr>
        <w:t xml:space="preserve"> of kit distribution, with out-sourced distribution directly to facilities (including APs), to promote equitable coverage until the ‘pull’ system reaches agreed benchmarks for accurate needs-based supply. </w:t>
      </w:r>
    </w:p>
    <w:p w14:paraId="0CA39421" w14:textId="632CFFD2" w:rsidR="00F97A60" w:rsidRPr="00DD077E" w:rsidRDefault="00F97A60" w:rsidP="00F97A60">
      <w:pPr>
        <w:ind w:left="1980"/>
        <w:rPr>
          <w:rFonts w:asciiTheme="minorHAnsi" w:hAnsiTheme="minorHAnsi"/>
          <w:szCs w:val="22"/>
        </w:rPr>
      </w:pPr>
      <w:r>
        <w:rPr>
          <w:rFonts w:asciiTheme="minorHAnsi" w:hAnsiTheme="minorHAnsi"/>
          <w:i/>
          <w:szCs w:val="22"/>
        </w:rPr>
        <w:t>Applicable to</w:t>
      </w:r>
      <w:r w:rsidRPr="00DD077E">
        <w:rPr>
          <w:rFonts w:asciiTheme="minorHAnsi" w:hAnsiTheme="minorHAnsi"/>
          <w:i/>
          <w:szCs w:val="22"/>
        </w:rPr>
        <w:t xml:space="preserve"> NDOH</w:t>
      </w:r>
      <w:r w:rsidR="004B7043" w:rsidRPr="004B7043">
        <w:rPr>
          <w:rFonts w:asciiTheme="minorHAnsi" w:hAnsiTheme="minorHAnsi"/>
          <w:i/>
          <w:szCs w:val="22"/>
        </w:rPr>
        <w:t xml:space="preserve"> </w:t>
      </w:r>
      <w:r w:rsidR="004B7043" w:rsidRPr="00DD077E">
        <w:rPr>
          <w:rFonts w:asciiTheme="minorHAnsi" w:hAnsiTheme="minorHAnsi"/>
          <w:i/>
          <w:szCs w:val="22"/>
        </w:rPr>
        <w:t>and Ministry of Health</w:t>
      </w:r>
      <w:r w:rsidRPr="00DD077E">
        <w:rPr>
          <w:rFonts w:asciiTheme="minorHAnsi" w:hAnsiTheme="minorHAnsi"/>
          <w:i/>
          <w:szCs w:val="22"/>
        </w:rPr>
        <w:t>, development partners</w:t>
      </w:r>
    </w:p>
    <w:p w14:paraId="7A7672AD" w14:textId="03B5909F" w:rsidR="00F97A60" w:rsidRPr="00DD077E" w:rsidRDefault="00F97A60" w:rsidP="00AD3F80">
      <w:pPr>
        <w:pStyle w:val="ListParagraph"/>
        <w:numPr>
          <w:ilvl w:val="0"/>
          <w:numId w:val="45"/>
        </w:numPr>
        <w:rPr>
          <w:rFonts w:asciiTheme="minorHAnsi" w:hAnsiTheme="minorHAnsi"/>
          <w:szCs w:val="22"/>
        </w:rPr>
      </w:pPr>
      <w:r w:rsidRPr="00DD077E">
        <w:rPr>
          <w:rFonts w:asciiTheme="minorHAnsi" w:hAnsiTheme="minorHAnsi"/>
          <w:b/>
          <w:szCs w:val="22"/>
        </w:rPr>
        <w:t>From 2014 over next two years: quantification</w:t>
      </w:r>
      <w:r w:rsidRPr="00DD077E">
        <w:rPr>
          <w:rFonts w:asciiTheme="minorHAnsi" w:hAnsiTheme="minorHAnsi"/>
          <w:szCs w:val="22"/>
        </w:rPr>
        <w:t xml:space="preserve"> for both ‘push’ system distribution kits and the NDOH multi-year procurement plan should be enhanced by i</w:t>
      </w:r>
      <w:r w:rsidR="003E6FAA">
        <w:rPr>
          <w:rFonts w:asciiTheme="minorHAnsi" w:hAnsiTheme="minorHAnsi"/>
          <w:szCs w:val="22"/>
        </w:rPr>
        <w:t>ntegrated estimates that maximiz</w:t>
      </w:r>
      <w:r w:rsidRPr="00DD077E">
        <w:rPr>
          <w:rFonts w:asciiTheme="minorHAnsi" w:hAnsiTheme="minorHAnsi"/>
          <w:szCs w:val="22"/>
        </w:rPr>
        <w:t xml:space="preserve">e all available information: from vertical programs and AMS medicines usage records, the ‘pull’ system’s vital and essential medicines review, and new </w:t>
      </w:r>
      <w:proofErr w:type="spellStart"/>
      <w:r w:rsidRPr="00DD077E">
        <w:rPr>
          <w:rFonts w:asciiTheme="minorHAnsi" w:hAnsiTheme="minorHAnsi"/>
          <w:szCs w:val="22"/>
        </w:rPr>
        <w:t>eLMIS</w:t>
      </w:r>
      <w:proofErr w:type="spellEnd"/>
      <w:r w:rsidRPr="00DD077E">
        <w:rPr>
          <w:rFonts w:asciiTheme="minorHAnsi" w:hAnsiTheme="minorHAnsi"/>
          <w:szCs w:val="22"/>
        </w:rPr>
        <w:t xml:space="preserve"> data; </w:t>
      </w:r>
      <w:r w:rsidRPr="00DD077E">
        <w:rPr>
          <w:rFonts w:asciiTheme="minorHAnsi" w:hAnsiTheme="minorHAnsi"/>
          <w:i/>
          <w:szCs w:val="22"/>
        </w:rPr>
        <w:t>and</w:t>
      </w:r>
      <w:r w:rsidRPr="00DD077E">
        <w:rPr>
          <w:rFonts w:asciiTheme="minorHAnsi" w:hAnsiTheme="minorHAnsi"/>
          <w:szCs w:val="22"/>
        </w:rPr>
        <w:t xml:space="preserve"> also be informed by rapid operational research (by WHO or another technical partner) into the full range of medicines usage </w:t>
      </w:r>
      <w:r>
        <w:rPr>
          <w:rFonts w:asciiTheme="minorHAnsi" w:hAnsiTheme="minorHAnsi"/>
          <w:szCs w:val="22"/>
        </w:rPr>
        <w:t xml:space="preserve">and disease threats in </w:t>
      </w:r>
      <w:r w:rsidRPr="00DD077E">
        <w:rPr>
          <w:rFonts w:asciiTheme="minorHAnsi" w:hAnsiTheme="minorHAnsi"/>
          <w:szCs w:val="22"/>
        </w:rPr>
        <w:t xml:space="preserve">a representative sample of HCs, SCs, and APs. This may allow revision of the NDOH multi-year plan in two </w:t>
      </w:r>
      <w:r w:rsidR="00D61B20" w:rsidRPr="00DD077E">
        <w:rPr>
          <w:rFonts w:asciiTheme="minorHAnsi" w:hAnsiTheme="minorHAnsi"/>
          <w:szCs w:val="22"/>
        </w:rPr>
        <w:t>years’ time</w:t>
      </w:r>
      <w:r w:rsidRPr="00DD077E">
        <w:rPr>
          <w:rFonts w:asciiTheme="minorHAnsi" w:hAnsiTheme="minorHAnsi"/>
          <w:szCs w:val="22"/>
        </w:rPr>
        <w:t>.</w:t>
      </w:r>
    </w:p>
    <w:p w14:paraId="2D1A5BFF" w14:textId="77777777" w:rsidR="00F97A60" w:rsidRPr="00DD077E" w:rsidRDefault="00F97A60" w:rsidP="00F97A60">
      <w:pPr>
        <w:ind w:left="1980"/>
        <w:rPr>
          <w:rFonts w:asciiTheme="minorHAnsi" w:hAnsiTheme="minorHAnsi"/>
          <w:i/>
          <w:szCs w:val="22"/>
        </w:rPr>
      </w:pPr>
      <w:r>
        <w:rPr>
          <w:rFonts w:asciiTheme="minorHAnsi" w:hAnsiTheme="minorHAnsi"/>
          <w:i/>
          <w:szCs w:val="22"/>
        </w:rPr>
        <w:t>Applicable to</w:t>
      </w:r>
      <w:r w:rsidRPr="00DD077E">
        <w:rPr>
          <w:rFonts w:asciiTheme="minorHAnsi" w:hAnsiTheme="minorHAnsi"/>
          <w:i/>
          <w:szCs w:val="22"/>
        </w:rPr>
        <w:t xml:space="preserve"> NDOH, development partners</w:t>
      </w:r>
    </w:p>
    <w:p w14:paraId="674816EF" w14:textId="440620D8" w:rsidR="00F97A60" w:rsidRPr="00DD077E" w:rsidRDefault="00F97A60" w:rsidP="00AD3F80">
      <w:pPr>
        <w:pStyle w:val="ListParagraph"/>
        <w:numPr>
          <w:ilvl w:val="0"/>
          <w:numId w:val="45"/>
        </w:numPr>
        <w:rPr>
          <w:rFonts w:asciiTheme="minorHAnsi" w:hAnsiTheme="minorHAnsi"/>
          <w:spacing w:val="-4"/>
          <w:szCs w:val="22"/>
        </w:rPr>
      </w:pPr>
      <w:r>
        <w:rPr>
          <w:rFonts w:asciiTheme="minorHAnsi" w:hAnsiTheme="minorHAnsi"/>
          <w:b/>
          <w:spacing w:val="-4"/>
          <w:szCs w:val="22"/>
        </w:rPr>
        <w:t>From 2014 over next three years</w:t>
      </w:r>
      <w:r w:rsidRPr="00DD077E">
        <w:rPr>
          <w:rFonts w:asciiTheme="minorHAnsi" w:hAnsiTheme="minorHAnsi"/>
          <w:b/>
          <w:spacing w:val="-4"/>
          <w:szCs w:val="22"/>
        </w:rPr>
        <w:t>:</w:t>
      </w:r>
      <w:r w:rsidRPr="00DD077E">
        <w:rPr>
          <w:rFonts w:asciiTheme="minorHAnsi" w:hAnsiTheme="minorHAnsi"/>
          <w:spacing w:val="-4"/>
          <w:szCs w:val="22"/>
        </w:rPr>
        <w:t xml:space="preserve"> </w:t>
      </w:r>
      <w:r>
        <w:rPr>
          <w:rFonts w:asciiTheme="minorHAnsi" w:hAnsiTheme="minorHAnsi"/>
          <w:b/>
          <w:spacing w:val="-4"/>
          <w:szCs w:val="22"/>
        </w:rPr>
        <w:t xml:space="preserve">intensify support to </w:t>
      </w:r>
      <w:r w:rsidRPr="00DD077E">
        <w:rPr>
          <w:rFonts w:asciiTheme="minorHAnsi" w:hAnsiTheme="minorHAnsi"/>
          <w:b/>
          <w:spacing w:val="-4"/>
          <w:szCs w:val="22"/>
        </w:rPr>
        <w:t>other current medical supplies management reforms,</w:t>
      </w:r>
      <w:r>
        <w:rPr>
          <w:rFonts w:asciiTheme="minorHAnsi" w:hAnsiTheme="minorHAnsi"/>
          <w:spacing w:val="-4"/>
          <w:szCs w:val="22"/>
        </w:rPr>
        <w:t xml:space="preserve"> as in the MSPD reform plan</w:t>
      </w:r>
      <w:r w:rsidRPr="00DD077E">
        <w:rPr>
          <w:rFonts w:asciiTheme="minorHAnsi" w:hAnsiTheme="minorHAnsi"/>
          <w:spacing w:val="-4"/>
          <w:szCs w:val="22"/>
        </w:rPr>
        <w:t>, particularly</w:t>
      </w:r>
      <w:r>
        <w:rPr>
          <w:rFonts w:asciiTheme="minorHAnsi" w:hAnsiTheme="minorHAnsi"/>
          <w:spacing w:val="-4"/>
          <w:szCs w:val="22"/>
        </w:rPr>
        <w:t>:</w:t>
      </w:r>
      <w:r w:rsidRPr="00DD077E">
        <w:rPr>
          <w:rFonts w:asciiTheme="minorHAnsi" w:hAnsiTheme="minorHAnsi"/>
          <w:spacing w:val="-4"/>
          <w:szCs w:val="22"/>
        </w:rPr>
        <w:t xml:space="preserve"> expanded introduction of </w:t>
      </w:r>
      <w:r w:rsidR="003E6FAA">
        <w:rPr>
          <w:rFonts w:asciiTheme="minorHAnsi" w:hAnsiTheme="minorHAnsi"/>
          <w:spacing w:val="-4"/>
          <w:szCs w:val="22"/>
        </w:rPr>
        <w:t>the</w:t>
      </w:r>
      <w:r>
        <w:rPr>
          <w:rFonts w:asciiTheme="minorHAnsi" w:hAnsiTheme="minorHAnsi"/>
          <w:spacing w:val="-4"/>
          <w:szCs w:val="22"/>
        </w:rPr>
        <w:t xml:space="preserve"> </w:t>
      </w:r>
      <w:proofErr w:type="spellStart"/>
      <w:r w:rsidRPr="00DD077E">
        <w:rPr>
          <w:rFonts w:asciiTheme="minorHAnsi" w:hAnsiTheme="minorHAnsi"/>
          <w:spacing w:val="-4"/>
          <w:szCs w:val="22"/>
        </w:rPr>
        <w:t>e</w:t>
      </w:r>
      <w:r>
        <w:rPr>
          <w:rFonts w:asciiTheme="minorHAnsi" w:hAnsiTheme="minorHAnsi"/>
          <w:spacing w:val="-4"/>
          <w:szCs w:val="22"/>
        </w:rPr>
        <w:t>LMIS</w:t>
      </w:r>
      <w:proofErr w:type="spellEnd"/>
      <w:r w:rsidRPr="00DD077E">
        <w:rPr>
          <w:rFonts w:asciiTheme="minorHAnsi" w:hAnsiTheme="minorHAnsi"/>
          <w:spacing w:val="-4"/>
          <w:szCs w:val="22"/>
        </w:rPr>
        <w:t xml:space="preserve"> (</w:t>
      </w:r>
      <w:proofErr w:type="spellStart"/>
      <w:r w:rsidRPr="00DD077E">
        <w:rPr>
          <w:rFonts w:asciiTheme="minorHAnsi" w:hAnsiTheme="minorHAnsi"/>
          <w:spacing w:val="-4"/>
          <w:szCs w:val="22"/>
        </w:rPr>
        <w:t>mSupply</w:t>
      </w:r>
      <w:proofErr w:type="spellEnd"/>
      <w:r w:rsidRPr="00DD077E">
        <w:rPr>
          <w:rFonts w:asciiTheme="minorHAnsi" w:hAnsiTheme="minorHAnsi"/>
          <w:spacing w:val="-4"/>
          <w:szCs w:val="22"/>
        </w:rPr>
        <w:t xml:space="preserve">) to </w:t>
      </w:r>
      <w:r>
        <w:rPr>
          <w:rFonts w:asciiTheme="minorHAnsi" w:hAnsiTheme="minorHAnsi"/>
          <w:spacing w:val="-4"/>
          <w:szCs w:val="22"/>
        </w:rPr>
        <w:t xml:space="preserve">regional </w:t>
      </w:r>
      <w:r w:rsidRPr="00DD077E">
        <w:rPr>
          <w:rFonts w:asciiTheme="minorHAnsi" w:hAnsiTheme="minorHAnsi"/>
          <w:spacing w:val="-4"/>
          <w:szCs w:val="22"/>
        </w:rPr>
        <w:t>AMS and pilot provincial locations</w:t>
      </w:r>
      <w:r>
        <w:rPr>
          <w:rFonts w:asciiTheme="minorHAnsi" w:hAnsiTheme="minorHAnsi"/>
          <w:spacing w:val="-4"/>
          <w:szCs w:val="22"/>
        </w:rPr>
        <w:t>;</w:t>
      </w:r>
      <w:r w:rsidRPr="00525D2E">
        <w:rPr>
          <w:rFonts w:asciiTheme="minorHAnsi" w:hAnsiTheme="minorHAnsi"/>
          <w:spacing w:val="-4"/>
          <w:szCs w:val="22"/>
        </w:rPr>
        <w:t xml:space="preserve"> integration of distribution resources and systems </w:t>
      </w:r>
      <w:r>
        <w:rPr>
          <w:rFonts w:asciiTheme="minorHAnsi" w:hAnsiTheme="minorHAnsi"/>
          <w:spacing w:val="-4"/>
          <w:szCs w:val="22"/>
        </w:rPr>
        <w:t>across</w:t>
      </w:r>
      <w:r w:rsidRPr="00525D2E">
        <w:rPr>
          <w:rFonts w:asciiTheme="minorHAnsi" w:hAnsiTheme="minorHAnsi"/>
          <w:spacing w:val="-4"/>
          <w:szCs w:val="22"/>
        </w:rPr>
        <w:t xml:space="preserve"> ‘pull’</w:t>
      </w:r>
      <w:r w:rsidR="00E257ED">
        <w:rPr>
          <w:rFonts w:asciiTheme="minorHAnsi" w:hAnsiTheme="minorHAnsi"/>
          <w:spacing w:val="-4"/>
          <w:szCs w:val="22"/>
        </w:rPr>
        <w:t>,</w:t>
      </w:r>
      <w:r w:rsidRPr="00525D2E">
        <w:rPr>
          <w:rFonts w:asciiTheme="minorHAnsi" w:hAnsiTheme="minorHAnsi"/>
          <w:spacing w:val="-4"/>
          <w:szCs w:val="22"/>
        </w:rPr>
        <w:t xml:space="preserve"> ‘push’ and vertical programs</w:t>
      </w:r>
      <w:r>
        <w:rPr>
          <w:rFonts w:asciiTheme="minorHAnsi" w:hAnsiTheme="minorHAnsi"/>
          <w:spacing w:val="-4"/>
          <w:szCs w:val="22"/>
        </w:rPr>
        <w:t>; and</w:t>
      </w:r>
      <w:r w:rsidRPr="00525D2E">
        <w:rPr>
          <w:rFonts w:asciiTheme="minorHAnsi" w:hAnsiTheme="minorHAnsi"/>
          <w:spacing w:val="-4"/>
          <w:szCs w:val="22"/>
        </w:rPr>
        <w:t xml:space="preserve"> </w:t>
      </w:r>
      <w:r w:rsidRPr="00DD077E">
        <w:rPr>
          <w:rFonts w:asciiTheme="minorHAnsi" w:hAnsiTheme="minorHAnsi"/>
          <w:spacing w:val="-4"/>
          <w:szCs w:val="22"/>
        </w:rPr>
        <w:t>expanded quality assurance staffing</w:t>
      </w:r>
      <w:r w:rsidR="00E257ED">
        <w:rPr>
          <w:rFonts w:asciiTheme="minorHAnsi" w:hAnsiTheme="minorHAnsi"/>
          <w:spacing w:val="-4"/>
          <w:szCs w:val="22"/>
        </w:rPr>
        <w:t>, equipment</w:t>
      </w:r>
      <w:r>
        <w:rPr>
          <w:rFonts w:asciiTheme="minorHAnsi" w:hAnsiTheme="minorHAnsi"/>
          <w:spacing w:val="-4"/>
          <w:szCs w:val="22"/>
        </w:rPr>
        <w:t xml:space="preserve"> and</w:t>
      </w:r>
      <w:r w:rsidRPr="00DD077E">
        <w:rPr>
          <w:rFonts w:asciiTheme="minorHAnsi" w:hAnsiTheme="minorHAnsi"/>
          <w:spacing w:val="-4"/>
          <w:szCs w:val="22"/>
        </w:rPr>
        <w:t xml:space="preserve"> </w:t>
      </w:r>
      <w:r w:rsidR="00E257ED">
        <w:rPr>
          <w:rFonts w:asciiTheme="minorHAnsi" w:hAnsiTheme="minorHAnsi"/>
          <w:spacing w:val="-4"/>
          <w:szCs w:val="22"/>
        </w:rPr>
        <w:t>procedures for</w:t>
      </w:r>
      <w:r>
        <w:rPr>
          <w:rFonts w:asciiTheme="minorHAnsi" w:hAnsiTheme="minorHAnsi"/>
          <w:spacing w:val="-4"/>
          <w:szCs w:val="22"/>
        </w:rPr>
        <w:t xml:space="preserve"> whole of system monitoring</w:t>
      </w:r>
      <w:r w:rsidRPr="00DD077E">
        <w:rPr>
          <w:rFonts w:asciiTheme="minorHAnsi" w:hAnsiTheme="minorHAnsi"/>
          <w:spacing w:val="-4"/>
          <w:szCs w:val="22"/>
        </w:rPr>
        <w:t xml:space="preserve">. </w:t>
      </w:r>
    </w:p>
    <w:p w14:paraId="53A4ABBC" w14:textId="77777777" w:rsidR="00F97A60" w:rsidRPr="00DD077E" w:rsidRDefault="00F97A60" w:rsidP="00F97A60">
      <w:pPr>
        <w:ind w:left="1980"/>
        <w:rPr>
          <w:rFonts w:asciiTheme="minorHAnsi" w:hAnsiTheme="minorHAnsi"/>
          <w:szCs w:val="22"/>
        </w:rPr>
      </w:pPr>
      <w:r w:rsidRPr="00DD077E">
        <w:rPr>
          <w:rFonts w:asciiTheme="minorHAnsi" w:hAnsiTheme="minorHAnsi"/>
          <w:i/>
          <w:szCs w:val="22"/>
        </w:rPr>
        <w:t xml:space="preserve">Applicable to NDOH, development partners, provincial health agencies, government and non-government health facilities with existing </w:t>
      </w:r>
      <w:proofErr w:type="spellStart"/>
      <w:r w:rsidRPr="00DD077E">
        <w:rPr>
          <w:rFonts w:asciiTheme="minorHAnsi" w:hAnsiTheme="minorHAnsi"/>
          <w:i/>
          <w:szCs w:val="22"/>
        </w:rPr>
        <w:t>eLMIS</w:t>
      </w:r>
      <w:proofErr w:type="spellEnd"/>
    </w:p>
    <w:p w14:paraId="6F5D2E20" w14:textId="099C603A" w:rsidR="00F97A60" w:rsidRPr="00DD077E" w:rsidRDefault="00F97A60" w:rsidP="00AD3F80">
      <w:pPr>
        <w:pStyle w:val="ListParagraph"/>
        <w:numPr>
          <w:ilvl w:val="0"/>
          <w:numId w:val="45"/>
        </w:numPr>
        <w:rPr>
          <w:rFonts w:asciiTheme="minorHAnsi" w:hAnsiTheme="minorHAnsi"/>
          <w:szCs w:val="22"/>
        </w:rPr>
      </w:pPr>
      <w:r w:rsidRPr="00DD077E">
        <w:rPr>
          <w:rFonts w:asciiTheme="minorHAnsi" w:hAnsiTheme="minorHAnsi"/>
          <w:b/>
          <w:szCs w:val="22"/>
        </w:rPr>
        <w:t>From 2014: Support provincial and district involvement</w:t>
      </w:r>
      <w:r w:rsidRPr="00DD077E">
        <w:rPr>
          <w:rFonts w:asciiTheme="minorHAnsi" w:hAnsiTheme="minorHAnsi"/>
          <w:szCs w:val="22"/>
        </w:rPr>
        <w:t xml:space="preserve"> in management and quality improvement for both ‘push’ system kits deliveries and the handling of medical supplies in rural facilities through planning meetings of contractors and provincial/district managers prior to kit deliveries; and support stronger integrated supervision of medicines management and rational usage within provinces by increasing pharmacist </w:t>
      </w:r>
      <w:r w:rsidR="00260136">
        <w:rPr>
          <w:rFonts w:asciiTheme="minorHAnsi" w:hAnsiTheme="minorHAnsi"/>
          <w:szCs w:val="22"/>
        </w:rPr>
        <w:t>and</w:t>
      </w:r>
      <w:r w:rsidRPr="00DD077E">
        <w:rPr>
          <w:rFonts w:asciiTheme="minorHAnsi" w:hAnsiTheme="minorHAnsi"/>
          <w:szCs w:val="22"/>
        </w:rPr>
        <w:t xml:space="preserve"> pharmacy technician positions and placements in provincial health agencies, including PTS, as well as supporting existing district/provincial managers and/or AMS staff in supervision visits at HFs.</w:t>
      </w:r>
    </w:p>
    <w:p w14:paraId="64BF71DE" w14:textId="77777777" w:rsidR="00F97A60" w:rsidRPr="00DD077E" w:rsidRDefault="00F97A60" w:rsidP="00F97A60">
      <w:pPr>
        <w:ind w:left="1980"/>
        <w:rPr>
          <w:rFonts w:asciiTheme="minorHAnsi" w:hAnsiTheme="minorHAnsi"/>
          <w:szCs w:val="22"/>
        </w:rPr>
      </w:pPr>
      <w:r w:rsidRPr="00DD077E">
        <w:rPr>
          <w:rFonts w:asciiTheme="minorHAnsi" w:hAnsiTheme="minorHAnsi"/>
          <w:i/>
          <w:szCs w:val="22"/>
        </w:rPr>
        <w:t>Applicable to provincial health managers, NDOH, development partner activity planners, non-government health planners, local health NGOs</w:t>
      </w:r>
    </w:p>
    <w:p w14:paraId="1F802F63" w14:textId="38A9F57C" w:rsidR="00F97A60" w:rsidRPr="00DD077E" w:rsidRDefault="00F97A60" w:rsidP="00AD3F80">
      <w:pPr>
        <w:pStyle w:val="ListParagraph"/>
        <w:numPr>
          <w:ilvl w:val="0"/>
          <w:numId w:val="45"/>
        </w:numPr>
        <w:rPr>
          <w:rFonts w:asciiTheme="minorHAnsi" w:hAnsiTheme="minorHAnsi"/>
          <w:spacing w:val="-4"/>
          <w:szCs w:val="22"/>
        </w:rPr>
      </w:pPr>
      <w:r w:rsidRPr="00DD077E">
        <w:rPr>
          <w:rFonts w:asciiTheme="minorHAnsi" w:hAnsiTheme="minorHAnsi"/>
          <w:b/>
          <w:szCs w:val="22"/>
        </w:rPr>
        <w:t xml:space="preserve">From 2014: continued commitment to evaluation, </w:t>
      </w:r>
      <w:r w:rsidRPr="00DD077E">
        <w:rPr>
          <w:rFonts w:asciiTheme="minorHAnsi" w:hAnsiTheme="minorHAnsi"/>
          <w:szCs w:val="22"/>
        </w:rPr>
        <w:t>tracking progress and impact</w:t>
      </w:r>
      <w:r w:rsidRPr="00DD077E">
        <w:rPr>
          <w:rFonts w:asciiTheme="minorHAnsi" w:hAnsiTheme="minorHAnsi"/>
          <w:b/>
          <w:szCs w:val="22"/>
        </w:rPr>
        <w:t xml:space="preserve"> </w:t>
      </w:r>
      <w:r w:rsidRPr="00DD077E">
        <w:rPr>
          <w:rFonts w:asciiTheme="minorHAnsi" w:hAnsiTheme="minorHAnsi"/>
          <w:szCs w:val="22"/>
        </w:rPr>
        <w:t>using the benchmarks in this first year’s work, maintaining the academic partnership with UPNG (noting their benefits in capacity development and sustainability)</w:t>
      </w:r>
      <w:r>
        <w:rPr>
          <w:rFonts w:asciiTheme="minorHAnsi" w:hAnsiTheme="minorHAnsi"/>
          <w:szCs w:val="22"/>
        </w:rPr>
        <w:t xml:space="preserve"> and other technical partners</w:t>
      </w:r>
      <w:r w:rsidRPr="00DD077E">
        <w:rPr>
          <w:rFonts w:asciiTheme="minorHAnsi" w:hAnsiTheme="minorHAnsi"/>
          <w:szCs w:val="22"/>
        </w:rPr>
        <w:t>, as well as review of findings in this report and the detailed recommendations below to inform program management.</w:t>
      </w:r>
      <w:r w:rsidR="000D75C2">
        <w:rPr>
          <w:rFonts w:asciiTheme="minorHAnsi" w:hAnsiTheme="minorHAnsi"/>
          <w:szCs w:val="22"/>
        </w:rPr>
        <w:t xml:space="preserve"> Consider review of the NHIS stock-out indicator.</w:t>
      </w:r>
    </w:p>
    <w:p w14:paraId="13A6A55C" w14:textId="77777777" w:rsidR="00F97A60" w:rsidRPr="001810B3" w:rsidRDefault="00F97A60" w:rsidP="00F97A60">
      <w:pPr>
        <w:ind w:left="1980"/>
        <w:rPr>
          <w:rFonts w:asciiTheme="minorHAnsi" w:hAnsiTheme="minorHAnsi"/>
          <w:i/>
          <w:spacing w:val="-4"/>
          <w:szCs w:val="22"/>
        </w:rPr>
      </w:pPr>
      <w:r w:rsidRPr="00DD077E">
        <w:rPr>
          <w:rFonts w:asciiTheme="minorHAnsi" w:hAnsiTheme="minorHAnsi"/>
          <w:i/>
          <w:spacing w:val="-4"/>
          <w:szCs w:val="22"/>
        </w:rPr>
        <w:t>Applicable to program managers at national and provincial levels, in government and development partner programs, NDOH, development partners</w:t>
      </w:r>
    </w:p>
    <w:p w14:paraId="41EEB4DB" w14:textId="47201ADC" w:rsidR="00BC7D3F" w:rsidRPr="00E27200" w:rsidRDefault="00BC7D3F" w:rsidP="00E16C77">
      <w:pPr>
        <w:pStyle w:val="Heading1"/>
      </w:pPr>
      <w:bookmarkStart w:id="11" w:name="_Toc245810735"/>
      <w:r w:rsidRPr="00E27200">
        <w:lastRenderedPageBreak/>
        <w:t>Introduction</w:t>
      </w:r>
      <w:bookmarkEnd w:id="9"/>
      <w:bookmarkEnd w:id="10"/>
      <w:bookmarkEnd w:id="11"/>
    </w:p>
    <w:p w14:paraId="7D9D1829" w14:textId="77777777" w:rsidR="00E7245F" w:rsidRPr="00E27200" w:rsidRDefault="00E7245F" w:rsidP="00E16C77">
      <w:pPr>
        <w:rPr>
          <w:lang w:val="en-AU"/>
        </w:rPr>
      </w:pPr>
      <w:bookmarkStart w:id="12" w:name="_Toc238867687"/>
    </w:p>
    <w:p w14:paraId="0EB4DE99" w14:textId="77777777" w:rsidR="00D64FD6" w:rsidRPr="00E27200" w:rsidRDefault="00D64FD6" w:rsidP="00E16C77">
      <w:pPr>
        <w:pStyle w:val="Heading2"/>
      </w:pPr>
      <w:bookmarkStart w:id="13" w:name="_Toc239058941"/>
      <w:bookmarkStart w:id="14" w:name="_Toc365283097"/>
      <w:bookmarkStart w:id="15" w:name="_Toc239217383"/>
      <w:bookmarkStart w:id="16" w:name="_Toc239221399"/>
      <w:bookmarkStart w:id="17" w:name="_Toc239324126"/>
      <w:bookmarkStart w:id="18" w:name="_Toc245620920"/>
      <w:bookmarkStart w:id="19" w:name="_Toc245621238"/>
      <w:bookmarkStart w:id="20" w:name="_Toc245621409"/>
      <w:bookmarkStart w:id="21" w:name="_Toc245810736"/>
      <w:r w:rsidRPr="00E27200">
        <w:t>Report overview and purpose</w:t>
      </w:r>
      <w:bookmarkEnd w:id="13"/>
      <w:bookmarkEnd w:id="14"/>
      <w:bookmarkEnd w:id="15"/>
      <w:bookmarkEnd w:id="16"/>
      <w:bookmarkEnd w:id="17"/>
      <w:bookmarkEnd w:id="18"/>
      <w:bookmarkEnd w:id="19"/>
      <w:bookmarkEnd w:id="20"/>
      <w:bookmarkEnd w:id="21"/>
    </w:p>
    <w:p w14:paraId="4BCC573E" w14:textId="77777777" w:rsidR="007D3B33" w:rsidRPr="00E27200" w:rsidRDefault="00D43F27" w:rsidP="00E16C77">
      <w:pPr>
        <w:rPr>
          <w:lang w:val="en-AU"/>
        </w:rPr>
      </w:pPr>
      <w:r w:rsidRPr="00E27200">
        <w:rPr>
          <w:lang w:val="en-AU"/>
        </w:rPr>
        <w:t xml:space="preserve">This report presents the methods, findings and recommendations arising from the first year of a multi-year impact evaluation of medical supplies reform in Papua New Guinea (PNG). </w:t>
      </w:r>
      <w:r w:rsidR="00E7245F" w:rsidRPr="00E27200">
        <w:rPr>
          <w:lang w:val="en-AU"/>
        </w:rPr>
        <w:t>The report is intended for use by the Government of PNG</w:t>
      </w:r>
      <w:r w:rsidR="00D64FD6" w:rsidRPr="00E27200">
        <w:rPr>
          <w:lang w:val="en-AU"/>
        </w:rPr>
        <w:t xml:space="preserve"> (GoPNG)</w:t>
      </w:r>
      <w:r w:rsidR="00E7245F" w:rsidRPr="00E27200">
        <w:rPr>
          <w:lang w:val="en-AU"/>
        </w:rPr>
        <w:t>, its development partners, stakeholders involved in medical</w:t>
      </w:r>
      <w:r w:rsidR="00D64FD6" w:rsidRPr="00E27200">
        <w:rPr>
          <w:lang w:val="en-AU"/>
        </w:rPr>
        <w:t xml:space="preserve"> supplies, and health service providers in government and non-government services.</w:t>
      </w:r>
    </w:p>
    <w:p w14:paraId="793BC02F" w14:textId="77777777" w:rsidR="00715A37" w:rsidRPr="00E27200" w:rsidRDefault="00715A37" w:rsidP="00E16C77">
      <w:pPr>
        <w:rPr>
          <w:lang w:val="en-AU"/>
        </w:rPr>
      </w:pPr>
    </w:p>
    <w:p w14:paraId="0448C30A" w14:textId="7B340209" w:rsidR="00715A37" w:rsidRPr="00E27200" w:rsidRDefault="00715A37" w:rsidP="00E16C77">
      <w:pPr>
        <w:rPr>
          <w:lang w:val="en-AU"/>
        </w:rPr>
      </w:pPr>
      <w:r w:rsidRPr="00E27200">
        <w:rPr>
          <w:lang w:val="en-AU"/>
        </w:rPr>
        <w:t>This report presents an overview of the methods used, then the findings of this year’s evaluation in separate sections representing different aspects of the medical supplies system, followed by a concluding section collating the various implications and recommendations from the evaluation team.</w:t>
      </w:r>
      <w:r w:rsidR="00561306" w:rsidRPr="00E27200">
        <w:rPr>
          <w:lang w:val="en-AU"/>
        </w:rPr>
        <w:t xml:space="preserve">  Annexes provided detailed findings from key </w:t>
      </w:r>
      <w:r w:rsidR="000016F3">
        <w:rPr>
          <w:lang w:val="en-AU"/>
        </w:rPr>
        <w:t xml:space="preserve">evaluation </w:t>
      </w:r>
      <w:r w:rsidR="00561306" w:rsidRPr="00E27200">
        <w:rPr>
          <w:lang w:val="en-AU"/>
        </w:rPr>
        <w:t>activities, including a large health facility survey</w:t>
      </w:r>
      <w:r w:rsidR="000016F3">
        <w:rPr>
          <w:lang w:val="en-AU"/>
        </w:rPr>
        <w:t>,</w:t>
      </w:r>
      <w:r w:rsidR="00561306" w:rsidRPr="00E27200">
        <w:rPr>
          <w:lang w:val="en-AU"/>
        </w:rPr>
        <w:t xml:space="preserve"> and qualitative analysis of data from interviews and written surveys.</w:t>
      </w:r>
    </w:p>
    <w:p w14:paraId="766F02C3" w14:textId="77777777" w:rsidR="00D64FD6" w:rsidRPr="00E27200" w:rsidRDefault="00D64FD6" w:rsidP="00E16C77">
      <w:pPr>
        <w:rPr>
          <w:lang w:val="en-AU"/>
        </w:rPr>
      </w:pPr>
    </w:p>
    <w:p w14:paraId="1BC9F285" w14:textId="77777777" w:rsidR="00D64FD6" w:rsidRPr="00E27200" w:rsidRDefault="00D64FD6" w:rsidP="00E16C77">
      <w:pPr>
        <w:pStyle w:val="Heading2"/>
      </w:pPr>
      <w:bookmarkStart w:id="22" w:name="_Toc239058942"/>
      <w:bookmarkStart w:id="23" w:name="_Toc365283098"/>
      <w:bookmarkStart w:id="24" w:name="_Toc239217384"/>
      <w:bookmarkStart w:id="25" w:name="_Toc239221400"/>
      <w:bookmarkStart w:id="26" w:name="_Toc239324127"/>
      <w:bookmarkStart w:id="27" w:name="_Toc245620921"/>
      <w:bookmarkStart w:id="28" w:name="_Toc245621239"/>
      <w:bookmarkStart w:id="29" w:name="_Toc245621410"/>
      <w:bookmarkStart w:id="30" w:name="_Toc245810737"/>
      <w:r w:rsidRPr="00E27200">
        <w:t>Background</w:t>
      </w:r>
      <w:bookmarkEnd w:id="22"/>
      <w:bookmarkEnd w:id="23"/>
      <w:bookmarkEnd w:id="24"/>
      <w:bookmarkEnd w:id="25"/>
      <w:bookmarkEnd w:id="26"/>
      <w:bookmarkEnd w:id="27"/>
      <w:bookmarkEnd w:id="28"/>
      <w:bookmarkEnd w:id="29"/>
      <w:bookmarkEnd w:id="30"/>
    </w:p>
    <w:p w14:paraId="2D699F93" w14:textId="77CFF495" w:rsidR="008E34AE" w:rsidRPr="00E27200" w:rsidRDefault="00D64FD6" w:rsidP="00E16C77">
      <w:pPr>
        <w:rPr>
          <w:lang w:val="en-AU"/>
        </w:rPr>
      </w:pPr>
      <w:r w:rsidRPr="00E27200">
        <w:rPr>
          <w:lang w:val="en-AU"/>
        </w:rPr>
        <w:t>The GoPNG is aiming to improve procurement and distribution systems to provide quality-assured medical supplies, especially essential medicines and life-saving commodities, to all health facilities.</w:t>
      </w:r>
      <w:r w:rsidR="008E34AE" w:rsidRPr="00E27200">
        <w:rPr>
          <w:lang w:val="en-AU"/>
        </w:rPr>
        <w:t xml:space="preserve"> The government and its development partners, in particular </w:t>
      </w:r>
      <w:r w:rsidR="007439AA">
        <w:rPr>
          <w:lang w:val="en-AU"/>
        </w:rPr>
        <w:t>the Australian Government</w:t>
      </w:r>
      <w:r w:rsidR="008E34AE" w:rsidRPr="00E27200">
        <w:rPr>
          <w:lang w:val="en-AU"/>
        </w:rPr>
        <w:t>, have been working on improving medical supplies availability for more than a decade.</w:t>
      </w:r>
      <w:r w:rsidRPr="00E27200">
        <w:rPr>
          <w:lang w:val="en-AU"/>
        </w:rPr>
        <w:t xml:space="preserve"> </w:t>
      </w:r>
      <w:r w:rsidR="00881EBA" w:rsidRPr="00E27200">
        <w:rPr>
          <w:lang w:val="en-AU"/>
        </w:rPr>
        <w:t xml:space="preserve">In response to what </w:t>
      </w:r>
      <w:r w:rsidR="00F11487" w:rsidRPr="00E27200">
        <w:rPr>
          <w:lang w:val="en-AU"/>
        </w:rPr>
        <w:t>a ministerial taskforce</w:t>
      </w:r>
      <w:r w:rsidR="00881EBA" w:rsidRPr="00E27200">
        <w:rPr>
          <w:lang w:val="en-AU"/>
        </w:rPr>
        <w:t xml:space="preserve"> termed “serious on-going medical supply problems”</w:t>
      </w:r>
      <w:r w:rsidR="006D4F4F" w:rsidRPr="00E27200">
        <w:rPr>
          <w:lang w:val="en-AU"/>
        </w:rPr>
        <w:fldChar w:fldCharType="begin"/>
      </w:r>
      <w:r w:rsidR="00113C9F" w:rsidRPr="00E27200">
        <w:rPr>
          <w:lang w:val="en-AU"/>
        </w:rPr>
        <w:instrText xml:space="preserve"> ADDIN EN.CITE &lt;EndNote&gt;&lt;Cite&gt;&lt;Author&gt;Ministerial Task Force on Medical Supplies&lt;/Author&gt;&lt;Year&gt;2008&lt;/Year&gt;&lt;RecNum&gt;53&lt;/RecNum&gt;&lt;DisplayText&gt;[1]&lt;/DisplayText&gt;&lt;record&gt;&lt;rec-number&gt;53&lt;/rec-number&gt;&lt;foreign-keys&gt;&lt;key app="EN" db-id="ex5s0vddkzxdfhese5yvf5vke2ree5azrt5t"&gt;53&lt;/key&gt;&lt;/foreign-keys&gt;&lt;ref-type name="Report"&gt;27&lt;/ref-type&gt;&lt;contributors&gt;&lt;authors&gt;&lt;author&gt;Ministerial Task Force on Medical Supplies,&lt;/author&gt;&lt;/authors&gt;&lt;/contributors&gt;&lt;titles&gt;&lt;title&gt;Medical Supplies Technical Review Mission, Report on Key Findings and Recommendations&lt;/title&gt;&lt;/titles&gt;&lt;dates&gt;&lt;year&gt;2008&lt;/year&gt;&lt;/dates&gt;&lt;pub-location&gt;Port Moresby&lt;/pub-location&gt;&lt;publisher&gt;MInistry of Health&lt;/publisher&gt;&lt;urls&gt;&lt;/urls&gt;&lt;/record&gt;&lt;/Cite&gt;&lt;/EndNote&gt;</w:instrText>
      </w:r>
      <w:r w:rsidR="006D4F4F" w:rsidRPr="00E27200">
        <w:rPr>
          <w:lang w:val="en-AU"/>
        </w:rPr>
        <w:fldChar w:fldCharType="separate"/>
      </w:r>
      <w:r w:rsidR="00113C9F" w:rsidRPr="00E27200">
        <w:rPr>
          <w:noProof/>
          <w:lang w:val="en-AU"/>
        </w:rPr>
        <w:t>[</w:t>
      </w:r>
      <w:hyperlink w:anchor="_ENREF_1" w:tooltip="Ministerial Task Force on Medical Supplies, 2008 #53" w:history="1">
        <w:r w:rsidR="00E62392" w:rsidRPr="00E27200">
          <w:rPr>
            <w:noProof/>
            <w:lang w:val="en-AU"/>
          </w:rPr>
          <w:t>1</w:t>
        </w:r>
      </w:hyperlink>
      <w:r w:rsidR="00113C9F" w:rsidRPr="00E27200">
        <w:rPr>
          <w:noProof/>
          <w:lang w:val="en-AU"/>
        </w:rPr>
        <w:t>]</w:t>
      </w:r>
      <w:r w:rsidR="006D4F4F" w:rsidRPr="00E27200">
        <w:rPr>
          <w:lang w:val="en-AU"/>
        </w:rPr>
        <w:fldChar w:fldCharType="end"/>
      </w:r>
      <w:r w:rsidR="00BE2FCB" w:rsidRPr="00E27200">
        <w:rPr>
          <w:rStyle w:val="FootnoteReference"/>
          <w:lang w:val="en-AU"/>
        </w:rPr>
        <w:footnoteReference w:id="4"/>
      </w:r>
      <w:r w:rsidR="00881EBA" w:rsidRPr="00E27200">
        <w:rPr>
          <w:lang w:val="en-AU"/>
        </w:rPr>
        <w:t xml:space="preserve"> </w:t>
      </w:r>
      <w:r w:rsidR="00D50707" w:rsidRPr="00E27200">
        <w:rPr>
          <w:lang w:val="en-AU"/>
        </w:rPr>
        <w:t xml:space="preserve">the Government of PNG commenced </w:t>
      </w:r>
      <w:r w:rsidR="00881EBA" w:rsidRPr="00E27200">
        <w:rPr>
          <w:lang w:val="en-AU"/>
        </w:rPr>
        <w:t>a</w:t>
      </w:r>
      <w:r w:rsidR="008E34AE" w:rsidRPr="00E27200">
        <w:rPr>
          <w:lang w:val="en-AU"/>
        </w:rPr>
        <w:t xml:space="preserve"> program of governance </w:t>
      </w:r>
      <w:r w:rsidR="00881EBA" w:rsidRPr="00E27200">
        <w:rPr>
          <w:lang w:val="en-AU"/>
        </w:rPr>
        <w:t xml:space="preserve">and implementation </w:t>
      </w:r>
      <w:r w:rsidR="00A33A5A" w:rsidRPr="00E27200">
        <w:rPr>
          <w:lang w:val="en-AU"/>
        </w:rPr>
        <w:t>reform</w:t>
      </w:r>
      <w:r w:rsidR="00881EBA" w:rsidRPr="00E27200">
        <w:rPr>
          <w:lang w:val="en-AU"/>
        </w:rPr>
        <w:t>s</w:t>
      </w:r>
      <w:r w:rsidR="00A33A5A" w:rsidRPr="00E27200">
        <w:rPr>
          <w:lang w:val="en-AU"/>
        </w:rPr>
        <w:t xml:space="preserve"> in 2009</w:t>
      </w:r>
      <w:r w:rsidR="006B4EDC" w:rsidRPr="00E27200">
        <w:rPr>
          <w:lang w:val="en-AU"/>
        </w:rPr>
        <w:t>,</w:t>
      </w:r>
      <w:r w:rsidR="00A33A5A" w:rsidRPr="00E27200">
        <w:rPr>
          <w:lang w:val="en-AU"/>
        </w:rPr>
        <w:t xml:space="preserve"> </w:t>
      </w:r>
      <w:r w:rsidR="006B4EDC" w:rsidRPr="00E27200">
        <w:rPr>
          <w:lang w:val="en-AU"/>
        </w:rPr>
        <w:t>including re-structuring of National Department of Health (NDOH) agencies, out-sourcing of distribution</w:t>
      </w:r>
      <w:r w:rsidR="003F241E" w:rsidRPr="00E27200">
        <w:rPr>
          <w:lang w:val="en-AU"/>
        </w:rPr>
        <w:t xml:space="preserve"> to a third-party logistics company</w:t>
      </w:r>
      <w:r w:rsidR="008F514B">
        <w:rPr>
          <w:lang w:val="en-AU"/>
        </w:rPr>
        <w:t>, LD Logistics,</w:t>
      </w:r>
      <w:r w:rsidR="003F241E" w:rsidRPr="00E27200">
        <w:rPr>
          <w:lang w:val="en-AU"/>
        </w:rPr>
        <w:t xml:space="preserve"> to distribute medicines between AMS and health facilities</w:t>
      </w:r>
      <w:r w:rsidR="008F514B">
        <w:rPr>
          <w:rStyle w:val="FootnoteReference"/>
          <w:lang w:val="en-AU"/>
        </w:rPr>
        <w:footnoteReference w:id="5"/>
      </w:r>
      <w:r w:rsidR="006B4EDC" w:rsidRPr="00E27200">
        <w:rPr>
          <w:lang w:val="en-AU"/>
        </w:rPr>
        <w:t xml:space="preserve">, and a request to </w:t>
      </w:r>
      <w:r w:rsidR="007439AA">
        <w:rPr>
          <w:lang w:val="en-AU"/>
        </w:rPr>
        <w:t xml:space="preserve">the </w:t>
      </w:r>
      <w:r w:rsidR="006713BE">
        <w:rPr>
          <w:lang w:val="en-AU"/>
        </w:rPr>
        <w:t xml:space="preserve">Australian </w:t>
      </w:r>
      <w:r w:rsidR="007439AA">
        <w:rPr>
          <w:lang w:val="en-AU"/>
        </w:rPr>
        <w:t>Government</w:t>
      </w:r>
      <w:r w:rsidR="007439AA" w:rsidRPr="00E27200">
        <w:rPr>
          <w:lang w:val="en-AU"/>
        </w:rPr>
        <w:t xml:space="preserve"> </w:t>
      </w:r>
      <w:r w:rsidR="006B4EDC" w:rsidRPr="00E27200">
        <w:rPr>
          <w:lang w:val="en-AU"/>
        </w:rPr>
        <w:t xml:space="preserve">to support </w:t>
      </w:r>
      <w:r w:rsidR="00D50707" w:rsidRPr="00E27200">
        <w:rPr>
          <w:lang w:val="en-AU"/>
        </w:rPr>
        <w:t xml:space="preserve">direct </w:t>
      </w:r>
      <w:r w:rsidR="006B4EDC" w:rsidRPr="00E27200">
        <w:rPr>
          <w:lang w:val="en-AU"/>
        </w:rPr>
        <w:t>distributio</w:t>
      </w:r>
      <w:r w:rsidR="008D0019" w:rsidRPr="00E27200">
        <w:rPr>
          <w:lang w:val="en-AU"/>
        </w:rPr>
        <w:t xml:space="preserve">n of medical supply ‘kits’ </w:t>
      </w:r>
      <w:r w:rsidR="003F241E" w:rsidRPr="00E27200">
        <w:rPr>
          <w:lang w:val="en-AU"/>
        </w:rPr>
        <w:t>(see below)</w:t>
      </w:r>
      <w:r w:rsidR="006B4EDC" w:rsidRPr="00E27200">
        <w:rPr>
          <w:lang w:val="en-AU"/>
        </w:rPr>
        <w:t>.</w:t>
      </w:r>
    </w:p>
    <w:p w14:paraId="481B9A47" w14:textId="77777777" w:rsidR="008E34AE" w:rsidRPr="00E27200" w:rsidRDefault="008E34AE" w:rsidP="00E16C77">
      <w:pPr>
        <w:rPr>
          <w:lang w:val="en-AU"/>
        </w:rPr>
      </w:pPr>
    </w:p>
    <w:p w14:paraId="65FA6165" w14:textId="77777777" w:rsidR="00D64FD6" w:rsidRPr="00E27200" w:rsidRDefault="008D0019" w:rsidP="00E16C77">
      <w:pPr>
        <w:rPr>
          <w:lang w:val="en-AU"/>
        </w:rPr>
      </w:pPr>
      <w:r w:rsidRPr="00E27200">
        <w:rPr>
          <w:lang w:val="en-AU"/>
        </w:rPr>
        <w:t>C</w:t>
      </w:r>
      <w:r w:rsidR="00D64FD6" w:rsidRPr="00E27200">
        <w:rPr>
          <w:lang w:val="en-AU"/>
        </w:rPr>
        <w:t xml:space="preserve">hanges </w:t>
      </w:r>
      <w:r w:rsidRPr="00E27200">
        <w:rPr>
          <w:lang w:val="en-AU"/>
        </w:rPr>
        <w:t xml:space="preserve">continued </w:t>
      </w:r>
      <w:r w:rsidR="00D64FD6" w:rsidRPr="00E27200">
        <w:rPr>
          <w:lang w:val="en-AU"/>
        </w:rPr>
        <w:t>in</w:t>
      </w:r>
      <w:r w:rsidR="008E34AE" w:rsidRPr="00E27200">
        <w:rPr>
          <w:lang w:val="en-AU"/>
        </w:rPr>
        <w:t xml:space="preserve"> the </w:t>
      </w:r>
      <w:r w:rsidR="00D50707" w:rsidRPr="00E27200">
        <w:rPr>
          <w:lang w:val="en-AU"/>
        </w:rPr>
        <w:t>period 2010 – 2012,</w:t>
      </w:r>
      <w:r w:rsidR="008E34AE" w:rsidRPr="00E27200">
        <w:rPr>
          <w:lang w:val="en-AU"/>
        </w:rPr>
        <w:t xml:space="preserve"> including a</w:t>
      </w:r>
      <w:r w:rsidR="00D64FD6" w:rsidRPr="00E27200">
        <w:rPr>
          <w:lang w:val="en-AU"/>
        </w:rPr>
        <w:t xml:space="preserve"> number of reviews of procurement and distribution, both of the general government system, and of the ‘vertical’ programs for malaria, tuberculosis, HIV, family planning and other reproductive hea</w:t>
      </w:r>
      <w:r w:rsidR="008E34AE" w:rsidRPr="00E27200">
        <w:rPr>
          <w:lang w:val="en-AU"/>
        </w:rPr>
        <w:t xml:space="preserve">lth commodities. The </w:t>
      </w:r>
      <w:r w:rsidR="006B4EDC" w:rsidRPr="00E27200">
        <w:rPr>
          <w:lang w:val="en-AU"/>
        </w:rPr>
        <w:t xml:space="preserve">NDOH </w:t>
      </w:r>
      <w:r w:rsidR="00D64FD6" w:rsidRPr="00E27200">
        <w:rPr>
          <w:lang w:val="en-AU"/>
        </w:rPr>
        <w:t>has developed a medical supplies reform plan, gearing up in 2013, including work on:</w:t>
      </w:r>
    </w:p>
    <w:p w14:paraId="51774418" w14:textId="77777777" w:rsidR="00D64FD6" w:rsidRPr="00E27200" w:rsidRDefault="00D64FD6" w:rsidP="004015A0">
      <w:pPr>
        <w:pStyle w:val="ListParagraph"/>
        <w:numPr>
          <w:ilvl w:val="0"/>
          <w:numId w:val="8"/>
        </w:numPr>
        <w:spacing w:after="120"/>
        <w:rPr>
          <w:lang w:val="en-AU"/>
        </w:rPr>
      </w:pPr>
      <w:r w:rsidRPr="00E27200">
        <w:rPr>
          <w:lang w:val="en-AU"/>
        </w:rPr>
        <w:t>Procurement and Supply Management Governance</w:t>
      </w:r>
      <w:r w:rsidR="008E34AE" w:rsidRPr="00E27200">
        <w:rPr>
          <w:lang w:val="en-AU"/>
        </w:rPr>
        <w:t>;</w:t>
      </w:r>
    </w:p>
    <w:p w14:paraId="677C35D7" w14:textId="77777777" w:rsidR="00D64FD6" w:rsidRPr="00E27200" w:rsidRDefault="00D64FD6" w:rsidP="004015A0">
      <w:pPr>
        <w:pStyle w:val="ListParagraph"/>
        <w:numPr>
          <w:ilvl w:val="0"/>
          <w:numId w:val="8"/>
        </w:numPr>
        <w:spacing w:after="120"/>
        <w:rPr>
          <w:lang w:val="en-AU"/>
        </w:rPr>
      </w:pPr>
      <w:r w:rsidRPr="00E27200">
        <w:rPr>
          <w:lang w:val="en-AU"/>
        </w:rPr>
        <w:t>Vital and Essential Medical Supplies Availability and a Multi-Year Procurement Plan</w:t>
      </w:r>
      <w:r w:rsidR="008E34AE" w:rsidRPr="00E27200">
        <w:rPr>
          <w:lang w:val="en-AU"/>
        </w:rPr>
        <w:t>;</w:t>
      </w:r>
    </w:p>
    <w:p w14:paraId="232A733E" w14:textId="319F20C5" w:rsidR="003F241E" w:rsidRPr="00E27200" w:rsidRDefault="00D64FD6" w:rsidP="004015A0">
      <w:pPr>
        <w:pStyle w:val="ListParagraph"/>
        <w:numPr>
          <w:ilvl w:val="0"/>
          <w:numId w:val="8"/>
        </w:numPr>
        <w:spacing w:after="120"/>
        <w:rPr>
          <w:lang w:val="en-AU"/>
        </w:rPr>
      </w:pPr>
      <w:r w:rsidRPr="00E27200">
        <w:rPr>
          <w:lang w:val="en-AU"/>
        </w:rPr>
        <w:t>Logistics Management Information System (</w:t>
      </w:r>
      <w:proofErr w:type="spellStart"/>
      <w:r w:rsidRPr="00E27200">
        <w:rPr>
          <w:lang w:val="en-AU"/>
        </w:rPr>
        <w:t>mSupply</w:t>
      </w:r>
      <w:proofErr w:type="spellEnd"/>
      <w:r w:rsidRPr="00E27200">
        <w:rPr>
          <w:lang w:val="en-AU"/>
        </w:rPr>
        <w:t>), improvement to logisti</w:t>
      </w:r>
      <w:r w:rsidR="006713BE">
        <w:rPr>
          <w:lang w:val="en-AU"/>
        </w:rPr>
        <w:t>c and distribution arrangements;</w:t>
      </w:r>
    </w:p>
    <w:p w14:paraId="2E93C7D9" w14:textId="77777777" w:rsidR="00D64FD6" w:rsidRPr="00E27200" w:rsidRDefault="00D64FD6" w:rsidP="004015A0">
      <w:pPr>
        <w:pStyle w:val="ListParagraph"/>
        <w:numPr>
          <w:ilvl w:val="0"/>
          <w:numId w:val="8"/>
        </w:numPr>
        <w:spacing w:after="120"/>
        <w:rPr>
          <w:lang w:val="en-AU"/>
        </w:rPr>
      </w:pPr>
      <w:r w:rsidRPr="00E27200">
        <w:rPr>
          <w:lang w:val="en-AU"/>
        </w:rPr>
        <w:t>Area Medical Stores refurbishments</w:t>
      </w:r>
      <w:r w:rsidR="003F241E" w:rsidRPr="00E27200">
        <w:rPr>
          <w:lang w:val="en-AU"/>
        </w:rPr>
        <w:t xml:space="preserve">, refocusing medical stores functions in just three Area Medical Stores (AMS: in </w:t>
      </w:r>
      <w:proofErr w:type="spellStart"/>
      <w:r w:rsidR="003F241E" w:rsidRPr="00E27200">
        <w:rPr>
          <w:lang w:val="en-AU"/>
        </w:rPr>
        <w:t>Baidili</w:t>
      </w:r>
      <w:proofErr w:type="spellEnd"/>
      <w:r w:rsidR="003F241E" w:rsidRPr="00E27200">
        <w:rPr>
          <w:lang w:val="en-AU"/>
        </w:rPr>
        <w:t xml:space="preserve">, </w:t>
      </w:r>
      <w:proofErr w:type="spellStart"/>
      <w:r w:rsidR="003F241E" w:rsidRPr="00E27200">
        <w:rPr>
          <w:lang w:val="en-AU"/>
        </w:rPr>
        <w:t>Lae</w:t>
      </w:r>
      <w:proofErr w:type="spellEnd"/>
      <w:r w:rsidR="003F241E" w:rsidRPr="00E27200">
        <w:rPr>
          <w:lang w:val="en-AU"/>
        </w:rPr>
        <w:t xml:space="preserve"> and Mt Hagen), </w:t>
      </w:r>
      <w:r w:rsidR="00F11487" w:rsidRPr="00E27200">
        <w:rPr>
          <w:lang w:val="en-AU"/>
        </w:rPr>
        <w:t xml:space="preserve">and </w:t>
      </w:r>
      <w:r w:rsidR="003F241E" w:rsidRPr="00E27200">
        <w:rPr>
          <w:lang w:val="en-AU"/>
        </w:rPr>
        <w:t>planning for Provincial Transit Stores (PTS) in each province</w:t>
      </w:r>
      <w:r w:rsidR="008E34AE" w:rsidRPr="00E27200">
        <w:rPr>
          <w:lang w:val="en-AU"/>
        </w:rPr>
        <w:t>;</w:t>
      </w:r>
    </w:p>
    <w:p w14:paraId="76669DC1" w14:textId="77777777" w:rsidR="00D64FD6" w:rsidRPr="00E27200" w:rsidRDefault="00F11487" w:rsidP="004015A0">
      <w:pPr>
        <w:pStyle w:val="ListParagraph"/>
        <w:numPr>
          <w:ilvl w:val="0"/>
          <w:numId w:val="8"/>
        </w:numPr>
        <w:spacing w:after="120"/>
        <w:rPr>
          <w:lang w:val="en-AU"/>
        </w:rPr>
      </w:pPr>
      <w:r w:rsidRPr="00E27200">
        <w:rPr>
          <w:lang w:val="en-AU"/>
        </w:rPr>
        <w:t xml:space="preserve">Continuing and strengthening </w:t>
      </w:r>
      <w:r w:rsidR="00D64FD6" w:rsidRPr="00E27200">
        <w:rPr>
          <w:lang w:val="en-AU"/>
        </w:rPr>
        <w:t>Medical Supply Kits, and Vertical Supply Chains</w:t>
      </w:r>
      <w:r w:rsidR="008E34AE" w:rsidRPr="00E27200">
        <w:rPr>
          <w:lang w:val="en-AU"/>
        </w:rPr>
        <w:t>;</w:t>
      </w:r>
    </w:p>
    <w:p w14:paraId="59BEF1B8" w14:textId="77777777" w:rsidR="00D64FD6" w:rsidRPr="00E27200" w:rsidRDefault="00D64FD6" w:rsidP="004015A0">
      <w:pPr>
        <w:pStyle w:val="ListParagraph"/>
        <w:numPr>
          <w:ilvl w:val="0"/>
          <w:numId w:val="8"/>
        </w:numPr>
        <w:spacing w:after="120"/>
        <w:rPr>
          <w:lang w:val="en-AU"/>
        </w:rPr>
      </w:pPr>
      <w:r w:rsidRPr="00E27200">
        <w:rPr>
          <w:lang w:val="en-AU"/>
        </w:rPr>
        <w:t>Quality Assurance, Policies, and Standard Operating Procedures</w:t>
      </w:r>
      <w:r w:rsidR="008E34AE" w:rsidRPr="00E27200">
        <w:rPr>
          <w:lang w:val="en-AU"/>
        </w:rPr>
        <w:t>; and</w:t>
      </w:r>
    </w:p>
    <w:p w14:paraId="0D4BFC62" w14:textId="77777777" w:rsidR="00D64FD6" w:rsidRPr="00E27200" w:rsidRDefault="00D64FD6" w:rsidP="004015A0">
      <w:pPr>
        <w:pStyle w:val="ListParagraph"/>
        <w:numPr>
          <w:ilvl w:val="0"/>
          <w:numId w:val="8"/>
        </w:numPr>
        <w:spacing w:after="120"/>
        <w:rPr>
          <w:lang w:val="en-AU"/>
        </w:rPr>
      </w:pPr>
      <w:r w:rsidRPr="00E27200">
        <w:rPr>
          <w:lang w:val="en-AU"/>
        </w:rPr>
        <w:t>Staff Development / Capacity Building, Communications and Engagement</w:t>
      </w:r>
      <w:r w:rsidR="008E34AE" w:rsidRPr="00E27200">
        <w:rPr>
          <w:lang w:val="en-AU"/>
        </w:rPr>
        <w:t>.</w:t>
      </w:r>
    </w:p>
    <w:p w14:paraId="371DFB97" w14:textId="77777777" w:rsidR="00D50707" w:rsidRPr="00E27200" w:rsidRDefault="00D50707" w:rsidP="00E16C77">
      <w:pPr>
        <w:rPr>
          <w:lang w:val="en-AU"/>
        </w:rPr>
      </w:pPr>
    </w:p>
    <w:p w14:paraId="1449AE58" w14:textId="14FB02EF" w:rsidR="00D50707" w:rsidRPr="00E27200" w:rsidRDefault="008D0019" w:rsidP="00E16C77">
      <w:pPr>
        <w:rPr>
          <w:spacing w:val="-4"/>
          <w:lang w:val="en-AU"/>
        </w:rPr>
      </w:pPr>
      <w:r w:rsidRPr="00E27200">
        <w:rPr>
          <w:lang w:val="en-AU"/>
        </w:rPr>
        <w:lastRenderedPageBreak/>
        <w:t>These</w:t>
      </w:r>
      <w:r w:rsidR="00D50707" w:rsidRPr="00E27200">
        <w:rPr>
          <w:lang w:val="en-AU"/>
        </w:rPr>
        <w:t xml:space="preserve"> years have also seen a major reinvestment </w:t>
      </w:r>
      <w:r w:rsidR="003E385B">
        <w:rPr>
          <w:lang w:val="en-AU"/>
        </w:rPr>
        <w:t xml:space="preserve">in </w:t>
      </w:r>
      <w:r w:rsidR="00D50707" w:rsidRPr="00E27200">
        <w:rPr>
          <w:lang w:val="en-AU"/>
        </w:rPr>
        <w:t xml:space="preserve">approaches to </w:t>
      </w:r>
      <w:r w:rsidR="00D50707" w:rsidRPr="00E27200">
        <w:rPr>
          <w:spacing w:val="-4"/>
          <w:lang w:val="en-AU"/>
        </w:rPr>
        <w:t xml:space="preserve">‘push’ systems of medical supply kits, that is: standard consignments of supplies delivered direct to health facilities at regular intervals. </w:t>
      </w:r>
      <w:r w:rsidR="003E385B">
        <w:rPr>
          <w:spacing w:val="-4"/>
          <w:lang w:val="en-AU"/>
        </w:rPr>
        <w:t xml:space="preserve">These had been employed in the past, with mixed results; the most recent implementation included new procedures to enable supplies to reach the most peripheral health facilities. </w:t>
      </w:r>
      <w:r w:rsidR="00D50707" w:rsidRPr="00E27200">
        <w:rPr>
          <w:spacing w:val="-4"/>
          <w:lang w:val="en-AU"/>
        </w:rPr>
        <w:t>These included, in 2011-12, the “</w:t>
      </w:r>
      <w:r w:rsidR="007C12C2" w:rsidRPr="00E27200">
        <w:rPr>
          <w:spacing w:val="-4"/>
        </w:rPr>
        <w:t>40%</w:t>
      </w:r>
      <w:r w:rsidR="007C12C2" w:rsidRPr="00E27200">
        <w:rPr>
          <w:rStyle w:val="FootnoteReference"/>
          <w:spacing w:val="-4"/>
        </w:rPr>
        <w:footnoteReference w:id="6"/>
      </w:r>
      <w:r w:rsidR="007C12C2" w:rsidRPr="00E27200">
        <w:rPr>
          <w:spacing w:val="-4"/>
        </w:rPr>
        <w:t xml:space="preserve"> HC and A</w:t>
      </w:r>
      <w:r w:rsidR="003E385B">
        <w:rPr>
          <w:spacing w:val="-4"/>
        </w:rPr>
        <w:t>P</w:t>
      </w:r>
      <w:r w:rsidR="007C12C2" w:rsidRPr="00E27200">
        <w:rPr>
          <w:spacing w:val="-4"/>
        </w:rPr>
        <w:t xml:space="preserve"> kits</w:t>
      </w:r>
      <w:r w:rsidR="00D50707" w:rsidRPr="00E27200">
        <w:rPr>
          <w:spacing w:val="-4"/>
          <w:lang w:val="en-AU"/>
        </w:rPr>
        <w:t xml:space="preserve">” that were procured by NDOH, but then (following a cancelled tender) distributed by </w:t>
      </w:r>
      <w:r w:rsidR="007439AA">
        <w:rPr>
          <w:spacing w:val="-4"/>
          <w:lang w:val="en-AU"/>
        </w:rPr>
        <w:t xml:space="preserve">the </w:t>
      </w:r>
      <w:r w:rsidR="00DC21D4">
        <w:rPr>
          <w:spacing w:val="-4"/>
          <w:lang w:val="en-AU"/>
        </w:rPr>
        <w:t xml:space="preserve">Australian </w:t>
      </w:r>
      <w:r w:rsidR="007439AA">
        <w:rPr>
          <w:spacing w:val="-4"/>
          <w:lang w:val="en-AU"/>
        </w:rPr>
        <w:t>Government</w:t>
      </w:r>
      <w:r w:rsidR="007439AA" w:rsidRPr="00E27200">
        <w:rPr>
          <w:spacing w:val="-4"/>
          <w:lang w:val="en-AU"/>
        </w:rPr>
        <w:t xml:space="preserve"> </w:t>
      </w:r>
      <w:r w:rsidR="00D50707" w:rsidRPr="00E27200">
        <w:rPr>
          <w:spacing w:val="-4"/>
          <w:lang w:val="en-AU"/>
        </w:rPr>
        <w:t>at NDOH’s request, using a single national logistics company.  Then from 2012 onwards, the “100% HC and A</w:t>
      </w:r>
      <w:r w:rsidR="003E385B">
        <w:rPr>
          <w:spacing w:val="-4"/>
          <w:lang w:val="en-AU"/>
        </w:rPr>
        <w:t>P</w:t>
      </w:r>
      <w:r w:rsidR="00D50707" w:rsidRPr="00E27200">
        <w:rPr>
          <w:spacing w:val="-4"/>
          <w:lang w:val="en-AU"/>
        </w:rPr>
        <w:t xml:space="preserve"> kits” were procured by </w:t>
      </w:r>
      <w:r w:rsidR="007439AA">
        <w:rPr>
          <w:spacing w:val="-4"/>
          <w:lang w:val="en-AU"/>
        </w:rPr>
        <w:t xml:space="preserve">the </w:t>
      </w:r>
      <w:r w:rsidR="00DC21D4">
        <w:rPr>
          <w:spacing w:val="-4"/>
          <w:lang w:val="en-AU"/>
        </w:rPr>
        <w:t xml:space="preserve">Australian </w:t>
      </w:r>
      <w:r w:rsidR="007439AA">
        <w:rPr>
          <w:spacing w:val="-4"/>
          <w:lang w:val="en-AU"/>
        </w:rPr>
        <w:t>Government</w:t>
      </w:r>
      <w:r w:rsidR="007439AA" w:rsidRPr="00E27200">
        <w:rPr>
          <w:spacing w:val="-4"/>
          <w:lang w:val="en-AU"/>
        </w:rPr>
        <w:t xml:space="preserve"> </w:t>
      </w:r>
      <w:r w:rsidR="00D50707" w:rsidRPr="00E27200">
        <w:rPr>
          <w:spacing w:val="-4"/>
          <w:lang w:val="en-AU"/>
        </w:rPr>
        <w:t xml:space="preserve">an international quality-assured supplier </w:t>
      </w:r>
      <w:r w:rsidR="00B629DF">
        <w:rPr>
          <w:spacing w:val="-4"/>
          <w:lang w:val="en-AU"/>
        </w:rPr>
        <w:t>(IDA in The Netherlands)</w:t>
      </w:r>
      <w:r w:rsidR="00B629DF" w:rsidRPr="00E27200">
        <w:rPr>
          <w:spacing w:val="-4"/>
          <w:lang w:val="en-AU"/>
        </w:rPr>
        <w:t xml:space="preserve"> </w:t>
      </w:r>
      <w:r w:rsidR="00D50707" w:rsidRPr="00E27200">
        <w:rPr>
          <w:spacing w:val="-4"/>
          <w:lang w:val="en-AU"/>
        </w:rPr>
        <w:t xml:space="preserve">and distributed in 2012 and 2013, using a </w:t>
      </w:r>
      <w:r w:rsidR="003F241E" w:rsidRPr="00E27200">
        <w:rPr>
          <w:spacing w:val="-4"/>
          <w:lang w:val="en-AU"/>
        </w:rPr>
        <w:t>commercial</w:t>
      </w:r>
      <w:r w:rsidR="00D50707" w:rsidRPr="00E27200">
        <w:rPr>
          <w:spacing w:val="-4"/>
          <w:lang w:val="en-AU"/>
        </w:rPr>
        <w:t xml:space="preserve"> agent </w:t>
      </w:r>
      <w:r w:rsidR="00B629DF">
        <w:rPr>
          <w:spacing w:val="-4"/>
          <w:lang w:val="en-AU"/>
        </w:rPr>
        <w:t xml:space="preserve">(CKP) </w:t>
      </w:r>
      <w:r w:rsidR="00D50707" w:rsidRPr="00E27200">
        <w:rPr>
          <w:spacing w:val="-4"/>
          <w:lang w:val="en-AU"/>
        </w:rPr>
        <w:t xml:space="preserve">managing three logistics companies. </w:t>
      </w:r>
      <w:r w:rsidR="007C12C2">
        <w:rPr>
          <w:spacing w:val="-4"/>
        </w:rPr>
        <w:t>ND</w:t>
      </w:r>
      <w:r w:rsidR="00023DD1">
        <w:rPr>
          <w:spacing w:val="-4"/>
        </w:rPr>
        <w:t>O</w:t>
      </w:r>
      <w:r w:rsidR="007C12C2">
        <w:rPr>
          <w:spacing w:val="-4"/>
        </w:rPr>
        <w:t>H with</w:t>
      </w:r>
      <w:r w:rsidR="007C12C2" w:rsidRPr="00E27200">
        <w:rPr>
          <w:spacing w:val="-4"/>
        </w:rPr>
        <w:t xml:space="preserve"> technical support</w:t>
      </w:r>
      <w:r w:rsidR="007C12C2">
        <w:rPr>
          <w:spacing w:val="-4"/>
        </w:rPr>
        <w:t xml:space="preserve"> from the </w:t>
      </w:r>
      <w:r w:rsidR="00023DD1">
        <w:rPr>
          <w:spacing w:val="-4"/>
        </w:rPr>
        <w:t>World Health Organization (</w:t>
      </w:r>
      <w:r w:rsidR="007C12C2">
        <w:rPr>
          <w:spacing w:val="-4"/>
        </w:rPr>
        <w:t>WHO</w:t>
      </w:r>
      <w:r w:rsidR="00023DD1">
        <w:rPr>
          <w:spacing w:val="-4"/>
        </w:rPr>
        <w:t>)</w:t>
      </w:r>
      <w:r w:rsidR="007C12C2" w:rsidRPr="00E27200">
        <w:rPr>
          <w:spacing w:val="-4"/>
        </w:rPr>
        <w:t xml:space="preserve"> developed standard contents lists for these kits</w:t>
      </w:r>
      <w:r w:rsidR="003F241E" w:rsidRPr="00E27200">
        <w:rPr>
          <w:spacing w:val="-4"/>
          <w:lang w:val="en-AU"/>
        </w:rPr>
        <w:t xml:space="preserve">, and volumes were adjusted according to reported numbers of outpatients at each facility. </w:t>
      </w:r>
      <w:r w:rsidRPr="00E27200">
        <w:rPr>
          <w:spacing w:val="-4"/>
          <w:lang w:val="en-AU"/>
        </w:rPr>
        <w:t>The</w:t>
      </w:r>
      <w:r w:rsidR="00D50707" w:rsidRPr="00E27200">
        <w:rPr>
          <w:spacing w:val="-4"/>
          <w:lang w:val="en-AU"/>
        </w:rPr>
        <w:t xml:space="preserve"> kit programs were intended to provide assured delivery of medical supplies directly to rural health facilities, including aid posts, without passing through the </w:t>
      </w:r>
      <w:r w:rsidR="003F241E" w:rsidRPr="00E27200">
        <w:rPr>
          <w:spacing w:val="-4"/>
          <w:lang w:val="en-AU"/>
        </w:rPr>
        <w:t xml:space="preserve">government </w:t>
      </w:r>
      <w:r w:rsidR="00D50707" w:rsidRPr="00E27200">
        <w:rPr>
          <w:spacing w:val="-4"/>
          <w:lang w:val="en-AU"/>
        </w:rPr>
        <w:t>medical stores of the standard ‘pull’ system.</w:t>
      </w:r>
    </w:p>
    <w:p w14:paraId="69B21B51" w14:textId="77777777" w:rsidR="00D50707" w:rsidRPr="00E27200" w:rsidRDefault="00D50707" w:rsidP="00E16C77">
      <w:pPr>
        <w:rPr>
          <w:lang w:val="en-AU"/>
        </w:rPr>
      </w:pPr>
    </w:p>
    <w:p w14:paraId="70CED8DA" w14:textId="6779CE8C" w:rsidR="00AC72B8" w:rsidRPr="00E27200" w:rsidRDefault="00FB1EDA" w:rsidP="00E16C77">
      <w:pPr>
        <w:rPr>
          <w:lang w:val="en-AU"/>
        </w:rPr>
      </w:pPr>
      <w:r w:rsidRPr="00E27200">
        <w:rPr>
          <w:lang w:val="en-AU"/>
        </w:rPr>
        <w:t xml:space="preserve">Work by NDOH, with partner support, to improve tendering processes </w:t>
      </w:r>
      <w:r w:rsidR="00023DD1">
        <w:rPr>
          <w:lang w:val="en-AU"/>
        </w:rPr>
        <w:t>w</w:t>
      </w:r>
      <w:r w:rsidRPr="00E27200">
        <w:rPr>
          <w:lang w:val="en-AU"/>
        </w:rPr>
        <w:t xml:space="preserve">as also </w:t>
      </w:r>
      <w:r w:rsidR="00D50707" w:rsidRPr="00E27200">
        <w:rPr>
          <w:lang w:val="en-AU"/>
        </w:rPr>
        <w:t>initiated</w:t>
      </w:r>
      <w:r w:rsidRPr="00E27200">
        <w:rPr>
          <w:lang w:val="en-AU"/>
        </w:rPr>
        <w:t>, including an international competitive tender, underway during the evaluation period in mid</w:t>
      </w:r>
      <w:r w:rsidR="00D52274">
        <w:rPr>
          <w:lang w:val="en-AU"/>
        </w:rPr>
        <w:t>-</w:t>
      </w:r>
      <w:r w:rsidRPr="00E27200">
        <w:rPr>
          <w:lang w:val="en-AU"/>
        </w:rPr>
        <w:t xml:space="preserve">2013, </w:t>
      </w:r>
      <w:r w:rsidR="007C12C2" w:rsidRPr="00E27200">
        <w:t>for new kits to be procured for 2014</w:t>
      </w:r>
      <w:r w:rsidR="007C12C2">
        <w:t>-16</w:t>
      </w:r>
      <w:r w:rsidRPr="00E27200">
        <w:rPr>
          <w:lang w:val="en-AU"/>
        </w:rPr>
        <w:t xml:space="preserve">.  </w:t>
      </w:r>
      <w:r w:rsidR="00D64FD6" w:rsidRPr="00E27200">
        <w:rPr>
          <w:lang w:val="en-AU"/>
        </w:rPr>
        <w:t xml:space="preserve">These </w:t>
      </w:r>
      <w:r w:rsidR="00AC72B8" w:rsidRPr="00E27200">
        <w:rPr>
          <w:lang w:val="en-AU"/>
        </w:rPr>
        <w:t>add to</w:t>
      </w:r>
      <w:r w:rsidR="00D64FD6" w:rsidRPr="00E27200">
        <w:rPr>
          <w:lang w:val="en-AU"/>
        </w:rPr>
        <w:t xml:space="preserve"> recent </w:t>
      </w:r>
      <w:r w:rsidR="00AC72B8" w:rsidRPr="00E27200">
        <w:rPr>
          <w:lang w:val="en-AU"/>
        </w:rPr>
        <w:t>attempts</w:t>
      </w:r>
      <w:r w:rsidR="00D64FD6" w:rsidRPr="00E27200">
        <w:rPr>
          <w:lang w:val="en-AU"/>
        </w:rPr>
        <w:t xml:space="preserve"> to strengthen the </w:t>
      </w:r>
      <w:r w:rsidR="00AC72B8" w:rsidRPr="00E27200">
        <w:rPr>
          <w:lang w:val="en-AU"/>
        </w:rPr>
        <w:t xml:space="preserve">standard </w:t>
      </w:r>
      <w:r w:rsidR="00D64FD6" w:rsidRPr="00E27200">
        <w:rPr>
          <w:lang w:val="en-AU"/>
        </w:rPr>
        <w:t>NDOH supply chain (‘pull’ system) through</w:t>
      </w:r>
      <w:r w:rsidR="003F241E" w:rsidRPr="00E27200">
        <w:rPr>
          <w:lang w:val="en-AU"/>
        </w:rPr>
        <w:t xml:space="preserve"> the NDOH medical supplies reform plan noted above</w:t>
      </w:r>
      <w:r w:rsidR="00113C9F" w:rsidRPr="00E27200">
        <w:rPr>
          <w:lang w:val="en-AU"/>
        </w:rPr>
        <w:t xml:space="preserve">. </w:t>
      </w:r>
    </w:p>
    <w:p w14:paraId="4A6208A6" w14:textId="77777777" w:rsidR="00715A37" w:rsidRPr="00E27200" w:rsidRDefault="00715A37" w:rsidP="00E16C77">
      <w:pPr>
        <w:rPr>
          <w:lang w:val="en-AU"/>
        </w:rPr>
      </w:pPr>
    </w:p>
    <w:p w14:paraId="2DF2A00C" w14:textId="7626E9EB" w:rsidR="00D64FD6" w:rsidRPr="00E27200" w:rsidRDefault="00D64FD6" w:rsidP="00E16C77">
      <w:pPr>
        <w:rPr>
          <w:lang w:val="en-AU"/>
        </w:rPr>
      </w:pPr>
      <w:r w:rsidRPr="00E27200">
        <w:rPr>
          <w:lang w:val="en-AU"/>
        </w:rPr>
        <w:t xml:space="preserve">As current options for medical supplies monitoring and evaluation are limited, and this represents an area of major investment by the GoPNG and development partners, </w:t>
      </w:r>
      <w:r w:rsidR="007439AA">
        <w:rPr>
          <w:lang w:val="en-AU"/>
        </w:rPr>
        <w:t xml:space="preserve">the </w:t>
      </w:r>
      <w:r w:rsidR="00A24AA4">
        <w:rPr>
          <w:lang w:val="en-AU"/>
        </w:rPr>
        <w:t xml:space="preserve">Australian </w:t>
      </w:r>
      <w:r w:rsidR="007439AA">
        <w:rPr>
          <w:lang w:val="en-AU"/>
        </w:rPr>
        <w:t>Government</w:t>
      </w:r>
      <w:r w:rsidR="007439AA" w:rsidRPr="00E27200">
        <w:rPr>
          <w:lang w:val="en-AU"/>
        </w:rPr>
        <w:t xml:space="preserve"> </w:t>
      </w:r>
      <w:r w:rsidRPr="00E27200">
        <w:rPr>
          <w:lang w:val="en-AU"/>
        </w:rPr>
        <w:t>is supporting a multi-year impact evaluation.</w:t>
      </w:r>
    </w:p>
    <w:p w14:paraId="4FF2BABC" w14:textId="77777777" w:rsidR="00D43F27" w:rsidRPr="00E27200" w:rsidRDefault="00D43F27" w:rsidP="00E16C77">
      <w:pPr>
        <w:rPr>
          <w:lang w:val="en-AU"/>
        </w:rPr>
      </w:pPr>
    </w:p>
    <w:bookmarkEnd w:id="12"/>
    <w:p w14:paraId="2DF297FD" w14:textId="77777777" w:rsidR="00715A37" w:rsidRPr="00E27200" w:rsidRDefault="00715A37" w:rsidP="00E16C77">
      <w:pPr>
        <w:rPr>
          <w:rFonts w:cs="Times New Roman"/>
          <w:b/>
          <w:bCs/>
          <w:spacing w:val="-10"/>
          <w:kern w:val="28"/>
          <w:sz w:val="36"/>
          <w:szCs w:val="36"/>
          <w:lang w:val="en-AU" w:eastAsia="en-AU"/>
        </w:rPr>
      </w:pPr>
      <w:r w:rsidRPr="00E27200">
        <w:rPr>
          <w:lang w:val="en-AU"/>
        </w:rPr>
        <w:br w:type="page"/>
      </w:r>
    </w:p>
    <w:p w14:paraId="4EBD88A5" w14:textId="77777777" w:rsidR="00BC7D3F" w:rsidRPr="00E27200" w:rsidRDefault="00B82241" w:rsidP="00E16C77">
      <w:pPr>
        <w:pStyle w:val="Heading1"/>
      </w:pPr>
      <w:bookmarkStart w:id="31" w:name="_Toc245810738"/>
      <w:r w:rsidRPr="00E27200">
        <w:lastRenderedPageBreak/>
        <w:t xml:space="preserve">Overview of </w:t>
      </w:r>
      <w:r w:rsidR="00607C00" w:rsidRPr="00E27200">
        <w:t xml:space="preserve">evaluation </w:t>
      </w:r>
      <w:r w:rsidRPr="00E27200">
        <w:t xml:space="preserve">methods </w:t>
      </w:r>
      <w:r w:rsidR="00744A7E" w:rsidRPr="00E27200">
        <w:t>for Year One</w:t>
      </w:r>
      <w:bookmarkEnd w:id="31"/>
    </w:p>
    <w:p w14:paraId="58300392" w14:textId="77777777" w:rsidR="00CA0EE5" w:rsidRPr="00E27200" w:rsidRDefault="00CA0EE5" w:rsidP="00E16C77">
      <w:pPr>
        <w:rPr>
          <w:lang w:val="en-AU"/>
        </w:rPr>
      </w:pPr>
    </w:p>
    <w:p w14:paraId="4505EBE1" w14:textId="77777777" w:rsidR="00CA0EE5" w:rsidRPr="00E27200" w:rsidRDefault="00CA0EE5" w:rsidP="00E16C77">
      <w:pPr>
        <w:pStyle w:val="Heading2"/>
      </w:pPr>
      <w:bookmarkStart w:id="32" w:name="_Toc239058944"/>
      <w:bookmarkStart w:id="33" w:name="_Toc365283100"/>
      <w:bookmarkStart w:id="34" w:name="_Toc239217386"/>
      <w:bookmarkStart w:id="35" w:name="_Toc239221402"/>
      <w:bookmarkStart w:id="36" w:name="_Toc239324129"/>
      <w:bookmarkStart w:id="37" w:name="_Toc245620923"/>
      <w:bookmarkStart w:id="38" w:name="_Toc245621241"/>
      <w:bookmarkStart w:id="39" w:name="_Toc245621412"/>
      <w:bookmarkStart w:id="40" w:name="_Toc245810739"/>
      <w:bookmarkStart w:id="41" w:name="_Toc358897252"/>
      <w:r w:rsidRPr="00E27200">
        <w:t>Overview of Year One evaluation approach</w:t>
      </w:r>
      <w:bookmarkEnd w:id="32"/>
      <w:bookmarkEnd w:id="33"/>
      <w:bookmarkEnd w:id="34"/>
      <w:bookmarkEnd w:id="35"/>
      <w:bookmarkEnd w:id="36"/>
      <w:bookmarkEnd w:id="37"/>
      <w:bookmarkEnd w:id="38"/>
      <w:bookmarkEnd w:id="39"/>
      <w:bookmarkEnd w:id="40"/>
    </w:p>
    <w:p w14:paraId="0F36E98A" w14:textId="77777777" w:rsidR="00F560DF" w:rsidRPr="00E27200" w:rsidRDefault="00F560DF" w:rsidP="00F560DF">
      <w:pPr>
        <w:rPr>
          <w:lang w:val="en-AU"/>
        </w:rPr>
      </w:pPr>
      <w:r w:rsidRPr="00E27200">
        <w:rPr>
          <w:lang w:val="en-AU"/>
        </w:rPr>
        <w:t xml:space="preserve">The overall objectives of the first year of the evaluation plan were to verify the efficiency, sustainability and progress towards PNG sector-wide medical supply reforms and their contribution towards health service delivery outcomes in PNG. </w:t>
      </w:r>
    </w:p>
    <w:p w14:paraId="35DA2230" w14:textId="77777777" w:rsidR="004E568E" w:rsidRDefault="004E568E" w:rsidP="00AD3F80">
      <w:pPr>
        <w:pStyle w:val="ListParagraph"/>
        <w:numPr>
          <w:ilvl w:val="0"/>
          <w:numId w:val="39"/>
        </w:numPr>
      </w:pPr>
      <w:r>
        <w:t xml:space="preserve">Review status in 2013 of procurement, distribution, access and usage of medical supplies, with a focus on recent procurement experiences; </w:t>
      </w:r>
    </w:p>
    <w:p w14:paraId="0C5E62E2" w14:textId="77777777" w:rsidR="004E568E" w:rsidRDefault="004E568E" w:rsidP="00AD3F80">
      <w:pPr>
        <w:pStyle w:val="ListParagraph"/>
        <w:numPr>
          <w:ilvl w:val="0"/>
          <w:numId w:val="39"/>
        </w:numPr>
      </w:pPr>
      <w:r>
        <w:t xml:space="preserve">Consider the broader evaluation needs of medical supplies in PNG, including development of a multi-year evaluation plan that proposes usable indicators to track future progress; and </w:t>
      </w:r>
    </w:p>
    <w:p w14:paraId="1C042A9B" w14:textId="77777777" w:rsidR="004E568E" w:rsidRDefault="004E568E" w:rsidP="00AD3F80">
      <w:pPr>
        <w:pStyle w:val="ListParagraph"/>
        <w:numPr>
          <w:ilvl w:val="0"/>
          <w:numId w:val="39"/>
        </w:numPr>
      </w:pPr>
      <w:r>
        <w:t xml:space="preserve">Provide short-term recommendations that can supplement other planning that is underway. </w:t>
      </w:r>
    </w:p>
    <w:p w14:paraId="746B2ED6" w14:textId="77777777" w:rsidR="005B69CE" w:rsidRPr="00E27200" w:rsidRDefault="005B69CE" w:rsidP="00E16C77">
      <w:pPr>
        <w:rPr>
          <w:lang w:val="en-AU"/>
        </w:rPr>
      </w:pPr>
    </w:p>
    <w:p w14:paraId="4EF0CCD0" w14:textId="77777777" w:rsidR="00CA0EE5" w:rsidRPr="00E27200" w:rsidRDefault="00067B5A" w:rsidP="00E16C77">
      <w:pPr>
        <w:rPr>
          <w:lang w:val="en-AU"/>
        </w:rPr>
      </w:pPr>
      <w:r w:rsidRPr="00E27200">
        <w:rPr>
          <w:lang w:val="en-AU"/>
        </w:rPr>
        <w:t>The evaluation work included</w:t>
      </w:r>
      <w:r w:rsidR="00CA0EE5" w:rsidRPr="00E27200">
        <w:rPr>
          <w:lang w:val="en-AU"/>
        </w:rPr>
        <w:t>:</w:t>
      </w:r>
    </w:p>
    <w:p w14:paraId="06EE382F" w14:textId="0E770A67" w:rsidR="00067B5A" w:rsidRPr="00E27200" w:rsidRDefault="00CA0EE5" w:rsidP="00AD3F80">
      <w:pPr>
        <w:pStyle w:val="ListParagraph"/>
        <w:numPr>
          <w:ilvl w:val="0"/>
          <w:numId w:val="20"/>
        </w:numPr>
        <w:rPr>
          <w:lang w:val="en-AU"/>
        </w:rPr>
      </w:pPr>
      <w:r w:rsidRPr="00E27200">
        <w:rPr>
          <w:b/>
          <w:lang w:val="en-AU"/>
        </w:rPr>
        <w:t>Desk review</w:t>
      </w:r>
      <w:r w:rsidR="008D0019" w:rsidRPr="00E27200">
        <w:rPr>
          <w:lang w:val="en-AU"/>
        </w:rPr>
        <w:t xml:space="preserve"> of previous assessments</w:t>
      </w:r>
      <w:r w:rsidR="00D52274">
        <w:rPr>
          <w:lang w:val="en-AU"/>
        </w:rPr>
        <w:t>;</w:t>
      </w:r>
    </w:p>
    <w:p w14:paraId="7BEE16C5" w14:textId="77777777" w:rsidR="00CA0EE5" w:rsidRPr="00E27200" w:rsidRDefault="008D0019" w:rsidP="00AD3F80">
      <w:pPr>
        <w:pStyle w:val="ListParagraph"/>
        <w:numPr>
          <w:ilvl w:val="0"/>
          <w:numId w:val="20"/>
        </w:numPr>
        <w:rPr>
          <w:lang w:val="en-AU"/>
        </w:rPr>
      </w:pPr>
      <w:r w:rsidRPr="00E27200">
        <w:rPr>
          <w:b/>
          <w:lang w:val="en-AU"/>
        </w:rPr>
        <w:t>A</w:t>
      </w:r>
      <w:r w:rsidR="00CA0EE5" w:rsidRPr="00E27200">
        <w:rPr>
          <w:b/>
          <w:lang w:val="en-AU"/>
        </w:rPr>
        <w:t>nalysis of NDOH health information</w:t>
      </w:r>
      <w:r w:rsidR="00CA0EE5" w:rsidRPr="00E27200">
        <w:rPr>
          <w:lang w:val="en-AU"/>
        </w:rPr>
        <w:t xml:space="preserve"> data –</w:t>
      </w:r>
      <w:r w:rsidR="00CA0EE5" w:rsidRPr="00E27200">
        <w:rPr>
          <w:i/>
          <w:lang w:val="en-AU"/>
        </w:rPr>
        <w:t xml:space="preserve"> </w:t>
      </w:r>
      <w:r w:rsidR="00CA0EE5" w:rsidRPr="00E27200">
        <w:rPr>
          <w:lang w:val="en-AU"/>
        </w:rPr>
        <w:t>in particular to conduct a detailed analysis of changes in stock-out records for individual commodities (currently consolidated as a single indicator) over 2010 to 2012;</w:t>
      </w:r>
    </w:p>
    <w:p w14:paraId="77EC9081" w14:textId="184B1A8E" w:rsidR="00CA0EE5" w:rsidRPr="00E27200" w:rsidRDefault="00CA0EE5" w:rsidP="00AD3F80">
      <w:pPr>
        <w:pStyle w:val="ListParagraph"/>
        <w:numPr>
          <w:ilvl w:val="0"/>
          <w:numId w:val="20"/>
        </w:numPr>
        <w:rPr>
          <w:lang w:val="en-AU"/>
        </w:rPr>
      </w:pPr>
      <w:r w:rsidRPr="00E27200">
        <w:rPr>
          <w:b/>
          <w:lang w:val="en-AU"/>
        </w:rPr>
        <w:t xml:space="preserve">International review of </w:t>
      </w:r>
      <w:r w:rsidR="00B629DF">
        <w:rPr>
          <w:b/>
          <w:lang w:val="en-AU"/>
        </w:rPr>
        <w:t xml:space="preserve">IDA, </w:t>
      </w:r>
      <w:r w:rsidRPr="00E27200">
        <w:rPr>
          <w:b/>
          <w:lang w:val="en-AU"/>
        </w:rPr>
        <w:t>the 100% kit supplier</w:t>
      </w:r>
      <w:r w:rsidR="00B629DF">
        <w:rPr>
          <w:b/>
          <w:lang w:val="en-AU"/>
        </w:rPr>
        <w:t>,</w:t>
      </w:r>
      <w:r w:rsidRPr="00E27200">
        <w:rPr>
          <w:b/>
          <w:lang w:val="en-AU"/>
        </w:rPr>
        <w:t xml:space="preserve"> </w:t>
      </w:r>
      <w:r w:rsidRPr="00E27200">
        <w:rPr>
          <w:lang w:val="en-AU"/>
        </w:rPr>
        <w:t xml:space="preserve">to assess quality, efficiency, performance and value, through a site visit to </w:t>
      </w:r>
      <w:r w:rsidR="00B629DF">
        <w:rPr>
          <w:lang w:val="en-AU"/>
        </w:rPr>
        <w:t>IDA</w:t>
      </w:r>
      <w:r w:rsidRPr="00E27200">
        <w:rPr>
          <w:lang w:val="en-AU"/>
        </w:rPr>
        <w:t>, document review and consultations with the transport management contr</w:t>
      </w:r>
      <w:r w:rsidR="00A26EF4">
        <w:rPr>
          <w:lang w:val="en-AU"/>
        </w:rPr>
        <w:t xml:space="preserve">actors and </w:t>
      </w:r>
      <w:r w:rsidR="00B629DF">
        <w:rPr>
          <w:lang w:val="en-AU"/>
        </w:rPr>
        <w:t xml:space="preserve">CKP, </w:t>
      </w:r>
      <w:r w:rsidR="00A26EF4">
        <w:rPr>
          <w:lang w:val="en-AU"/>
        </w:rPr>
        <w:t>their managing agent;</w:t>
      </w:r>
    </w:p>
    <w:p w14:paraId="49709854" w14:textId="77777777" w:rsidR="00CA0EE5" w:rsidRPr="00E27200" w:rsidRDefault="00CA0EE5" w:rsidP="00AD3F80">
      <w:pPr>
        <w:pStyle w:val="ListParagraph"/>
        <w:numPr>
          <w:ilvl w:val="0"/>
          <w:numId w:val="20"/>
        </w:numPr>
        <w:rPr>
          <w:lang w:val="en-AU"/>
        </w:rPr>
      </w:pPr>
      <w:r w:rsidRPr="00E27200">
        <w:rPr>
          <w:b/>
          <w:lang w:val="en-AU"/>
        </w:rPr>
        <w:t>National consultations</w:t>
      </w:r>
      <w:r w:rsidR="002828D6" w:rsidRPr="00E27200">
        <w:rPr>
          <w:lang w:val="en-AU"/>
        </w:rPr>
        <w:t xml:space="preserve"> with </w:t>
      </w:r>
      <w:r w:rsidR="00F560DF" w:rsidRPr="00E27200">
        <w:rPr>
          <w:lang w:val="en-AU"/>
        </w:rPr>
        <w:t xml:space="preserve">more than 30 </w:t>
      </w:r>
      <w:r w:rsidRPr="00E27200">
        <w:rPr>
          <w:lang w:val="en-AU"/>
        </w:rPr>
        <w:t xml:space="preserve">government and partner programs working on medical supplies procurement, </w:t>
      </w:r>
      <w:r w:rsidR="00F77E97" w:rsidRPr="00E27200">
        <w:rPr>
          <w:lang w:val="en-AU"/>
        </w:rPr>
        <w:t>‘push’ and ‘pull’ supply systems, and medical supply kit programs</w:t>
      </w:r>
      <w:r w:rsidRPr="00E27200">
        <w:rPr>
          <w:lang w:val="en-AU"/>
        </w:rPr>
        <w:t>;</w:t>
      </w:r>
    </w:p>
    <w:p w14:paraId="7F90A4E8" w14:textId="4E463721" w:rsidR="00CA0EE5" w:rsidRPr="00E27200" w:rsidRDefault="008D0019" w:rsidP="00AD3F80">
      <w:pPr>
        <w:pStyle w:val="ListParagraph"/>
        <w:numPr>
          <w:ilvl w:val="0"/>
          <w:numId w:val="20"/>
        </w:numPr>
        <w:rPr>
          <w:lang w:val="en-AU"/>
        </w:rPr>
      </w:pPr>
      <w:r w:rsidRPr="00E27200">
        <w:rPr>
          <w:b/>
          <w:lang w:val="en-AU"/>
        </w:rPr>
        <w:t>Consultations with</w:t>
      </w:r>
      <w:r w:rsidR="00F77E97" w:rsidRPr="00E27200">
        <w:rPr>
          <w:b/>
          <w:lang w:val="en-AU"/>
        </w:rPr>
        <w:t xml:space="preserve"> </w:t>
      </w:r>
      <w:r w:rsidR="0012176A" w:rsidRPr="00E27200">
        <w:rPr>
          <w:b/>
          <w:lang w:val="en-AU"/>
        </w:rPr>
        <w:t>131</w:t>
      </w:r>
      <w:r w:rsidR="002828D6" w:rsidRPr="00E27200">
        <w:rPr>
          <w:b/>
          <w:lang w:val="en-AU"/>
        </w:rPr>
        <w:t xml:space="preserve"> </w:t>
      </w:r>
      <w:r w:rsidRPr="00E27200">
        <w:rPr>
          <w:b/>
          <w:lang w:val="en-AU"/>
        </w:rPr>
        <w:t xml:space="preserve">provincial and district health managers </w:t>
      </w:r>
      <w:r w:rsidR="002828D6" w:rsidRPr="00E27200">
        <w:rPr>
          <w:lang w:val="en-AU"/>
        </w:rPr>
        <w:t>f</w:t>
      </w:r>
      <w:r w:rsidR="00067B5A" w:rsidRPr="00E27200">
        <w:rPr>
          <w:lang w:val="en-AU"/>
        </w:rPr>
        <w:t xml:space="preserve">rom all provinces in PNG </w:t>
      </w:r>
      <w:r w:rsidR="00CA0EE5" w:rsidRPr="00E27200">
        <w:rPr>
          <w:lang w:val="en-AU"/>
        </w:rPr>
        <w:t xml:space="preserve">as an addition to </w:t>
      </w:r>
      <w:r w:rsidR="00D05C0A" w:rsidRPr="00E27200">
        <w:t>Partnership in Health workshops carried out for another purpose in late June and July</w:t>
      </w:r>
      <w:r w:rsidR="00D05C0A">
        <w:t>, 2013</w:t>
      </w:r>
      <w:r w:rsidR="00CA0EE5" w:rsidRPr="00E27200">
        <w:rPr>
          <w:lang w:val="en-AU"/>
        </w:rPr>
        <w:t>;</w:t>
      </w:r>
    </w:p>
    <w:p w14:paraId="6B1342AD" w14:textId="77777777" w:rsidR="00CA0EE5" w:rsidRPr="00E27200" w:rsidRDefault="00CA0EE5" w:rsidP="00AD3F80">
      <w:pPr>
        <w:pStyle w:val="ListParagraph"/>
        <w:numPr>
          <w:ilvl w:val="0"/>
          <w:numId w:val="20"/>
        </w:numPr>
        <w:rPr>
          <w:lang w:val="en-AU"/>
        </w:rPr>
      </w:pPr>
      <w:r w:rsidRPr="00E27200">
        <w:rPr>
          <w:b/>
          <w:lang w:val="en-AU"/>
        </w:rPr>
        <w:t xml:space="preserve">A health facility survey </w:t>
      </w:r>
      <w:r w:rsidR="002828D6" w:rsidRPr="00E27200">
        <w:rPr>
          <w:b/>
          <w:lang w:val="en-AU"/>
        </w:rPr>
        <w:t xml:space="preserve">of more than 100 facilities and medical stores </w:t>
      </w:r>
      <w:r w:rsidRPr="00E27200">
        <w:rPr>
          <w:b/>
          <w:lang w:val="en-AU"/>
        </w:rPr>
        <w:t>in eight provinces</w:t>
      </w:r>
      <w:r w:rsidRPr="00E27200">
        <w:rPr>
          <w:lang w:val="en-AU"/>
        </w:rPr>
        <w:t xml:space="preserve"> being carried out in partnership with Department of Pharmacy at UPNG, and UNFPA, under the auspices of NDOH </w:t>
      </w:r>
      <w:r w:rsidR="002828D6" w:rsidRPr="00E27200">
        <w:rPr>
          <w:lang w:val="en-AU"/>
        </w:rPr>
        <w:t xml:space="preserve">Monitoring and Research Branch, </w:t>
      </w:r>
      <w:r w:rsidRPr="00E27200">
        <w:rPr>
          <w:lang w:val="en-AU"/>
        </w:rPr>
        <w:t>during June 6 – 22</w:t>
      </w:r>
      <w:r w:rsidR="002828D6" w:rsidRPr="00E27200">
        <w:rPr>
          <w:lang w:val="en-AU"/>
        </w:rPr>
        <w:t>, 2013</w:t>
      </w:r>
      <w:r w:rsidRPr="00E27200">
        <w:rPr>
          <w:lang w:val="en-AU"/>
        </w:rPr>
        <w:t>.</w:t>
      </w:r>
    </w:p>
    <w:p w14:paraId="5CF1E45A" w14:textId="77777777" w:rsidR="000A1D61" w:rsidRPr="00E27200" w:rsidRDefault="000A1D61" w:rsidP="00F560DF">
      <w:pPr>
        <w:rPr>
          <w:lang w:val="en-AU"/>
        </w:rPr>
      </w:pPr>
    </w:p>
    <w:p w14:paraId="46D23420" w14:textId="76BDD2D0" w:rsidR="000A1D61" w:rsidRPr="00E27200" w:rsidRDefault="00F560DF" w:rsidP="00E16C77">
      <w:pPr>
        <w:rPr>
          <w:lang w:val="en-AU"/>
        </w:rPr>
      </w:pPr>
      <w:r w:rsidRPr="00E27200">
        <w:rPr>
          <w:lang w:val="en-AU"/>
        </w:rPr>
        <w:t xml:space="preserve">Work in Year One respond to a set of </w:t>
      </w:r>
      <w:r w:rsidRPr="004D2B1D">
        <w:rPr>
          <w:b/>
          <w:lang w:val="en-AU"/>
        </w:rPr>
        <w:t>detailed evaluation questions</w:t>
      </w:r>
      <w:r w:rsidRPr="00E27200">
        <w:rPr>
          <w:lang w:val="en-AU"/>
        </w:rPr>
        <w:t xml:space="preserve"> provided in early terms of reference for a multi-year evaluation, and consolidated, for this work, as part of a Year One evaluation plan</w:t>
      </w:r>
      <w:r w:rsidR="00561306" w:rsidRPr="00E27200">
        <w:rPr>
          <w:lang w:val="en-AU"/>
        </w:rPr>
        <w:t xml:space="preserve"> (Annex </w:t>
      </w:r>
      <w:r w:rsidR="00F00D3A">
        <w:rPr>
          <w:lang w:val="en-AU"/>
        </w:rPr>
        <w:t>1</w:t>
      </w:r>
      <w:r w:rsidR="00DB0FAD">
        <w:rPr>
          <w:lang w:val="en-AU"/>
        </w:rPr>
        <w:t>1</w:t>
      </w:r>
      <w:r w:rsidR="00561306" w:rsidRPr="00E27200">
        <w:rPr>
          <w:lang w:val="en-AU"/>
        </w:rPr>
        <w:t>.5)</w:t>
      </w:r>
      <w:r w:rsidRPr="00E27200">
        <w:rPr>
          <w:lang w:val="en-AU"/>
        </w:rPr>
        <w:t xml:space="preserve">.  </w:t>
      </w:r>
      <w:r w:rsidR="00DB0FAD">
        <w:rPr>
          <w:lang w:val="en-AU"/>
        </w:rPr>
        <w:t xml:space="preserve">This annex also tabulates where in this report each question is addressed. </w:t>
      </w:r>
      <w:r w:rsidRPr="00E27200">
        <w:rPr>
          <w:lang w:val="en-AU"/>
        </w:rPr>
        <w:t>These questions covered topics</w:t>
      </w:r>
      <w:r w:rsidR="00561306" w:rsidRPr="00E27200">
        <w:rPr>
          <w:lang w:val="en-AU"/>
        </w:rPr>
        <w:t xml:space="preserve"> of:</w:t>
      </w:r>
    </w:p>
    <w:p w14:paraId="09268AE4" w14:textId="477316AE" w:rsidR="00561306" w:rsidRPr="00E27200" w:rsidRDefault="00561306" w:rsidP="00AD3F80">
      <w:pPr>
        <w:pStyle w:val="ListParagraph"/>
        <w:numPr>
          <w:ilvl w:val="0"/>
          <w:numId w:val="21"/>
        </w:numPr>
        <w:rPr>
          <w:lang w:val="en-AU"/>
        </w:rPr>
      </w:pPr>
      <w:r w:rsidRPr="00E27200">
        <w:rPr>
          <w:b/>
          <w:lang w:val="en-AU"/>
        </w:rPr>
        <w:t>Multi-year procurement planning and forecasting</w:t>
      </w:r>
      <w:r w:rsidR="00741FD6">
        <w:rPr>
          <w:lang w:val="en-AU"/>
        </w:rPr>
        <w:t>:</w:t>
      </w:r>
      <w:r w:rsidRPr="00E27200">
        <w:rPr>
          <w:lang w:val="en-AU"/>
        </w:rPr>
        <w:t xml:space="preserve"> accuracy of forecasting and quantification to reflect PNG essential medicine needs, feasibility of improvements required for current national information systems</w:t>
      </w:r>
      <w:r w:rsidR="008E2096">
        <w:rPr>
          <w:lang w:val="en-AU"/>
        </w:rPr>
        <w:t>;</w:t>
      </w:r>
    </w:p>
    <w:p w14:paraId="26AB0972" w14:textId="2539FF5C" w:rsidR="00561306" w:rsidRPr="00E27200" w:rsidRDefault="00561306" w:rsidP="00AD3F80">
      <w:pPr>
        <w:pStyle w:val="ListParagraph"/>
        <w:numPr>
          <w:ilvl w:val="0"/>
          <w:numId w:val="21"/>
        </w:numPr>
        <w:rPr>
          <w:lang w:val="en-AU"/>
        </w:rPr>
      </w:pPr>
      <w:r w:rsidRPr="00E27200">
        <w:rPr>
          <w:b/>
          <w:lang w:val="en-AU"/>
        </w:rPr>
        <w:t>Budgeting and expenditure</w:t>
      </w:r>
      <w:r w:rsidR="007308A1">
        <w:rPr>
          <w:lang w:val="en-AU"/>
        </w:rPr>
        <w:t>:</w:t>
      </w:r>
      <w:r w:rsidRPr="00E27200">
        <w:rPr>
          <w:lang w:val="en-AU"/>
        </w:rPr>
        <w:t xml:space="preserve"> effectiveness of medical supply expenditure and links to procurement planning</w:t>
      </w:r>
      <w:r w:rsidR="008E2096">
        <w:rPr>
          <w:lang w:val="en-AU"/>
        </w:rPr>
        <w:t>;</w:t>
      </w:r>
    </w:p>
    <w:p w14:paraId="0A96323C" w14:textId="5FF7C3B0" w:rsidR="00561306" w:rsidRPr="00E27200" w:rsidRDefault="00561306" w:rsidP="00AD3F80">
      <w:pPr>
        <w:pStyle w:val="ListParagraph"/>
        <w:numPr>
          <w:ilvl w:val="0"/>
          <w:numId w:val="21"/>
        </w:numPr>
        <w:rPr>
          <w:lang w:val="en-AU"/>
        </w:rPr>
      </w:pPr>
      <w:r w:rsidRPr="00E27200">
        <w:rPr>
          <w:b/>
          <w:lang w:val="en-AU"/>
        </w:rPr>
        <w:t>Quality control and regulation</w:t>
      </w:r>
      <w:r w:rsidR="007308A1">
        <w:rPr>
          <w:lang w:val="en-AU"/>
        </w:rPr>
        <w:t>:</w:t>
      </w:r>
      <w:r w:rsidRPr="00E27200">
        <w:rPr>
          <w:lang w:val="en-AU"/>
        </w:rPr>
        <w:t xml:space="preserve"> including </w:t>
      </w:r>
      <w:r w:rsidR="00D24338" w:rsidRPr="00E27200">
        <w:rPr>
          <w:lang w:val="en-AU"/>
        </w:rPr>
        <w:t xml:space="preserve">standard and quality of medical supplies, </w:t>
      </w:r>
      <w:r w:rsidRPr="00E27200">
        <w:rPr>
          <w:lang w:val="en-AU"/>
        </w:rPr>
        <w:t>appropriateness of the Standard Treatment Guidelines a</w:t>
      </w:r>
      <w:r w:rsidR="00D24338" w:rsidRPr="00E27200">
        <w:rPr>
          <w:lang w:val="en-AU"/>
        </w:rPr>
        <w:t xml:space="preserve">nd </w:t>
      </w:r>
      <w:r w:rsidR="001F3CD8">
        <w:rPr>
          <w:lang w:val="en-AU"/>
        </w:rPr>
        <w:t>Essential Medicines List (</w:t>
      </w:r>
      <w:r w:rsidR="00D24338" w:rsidRPr="00E27200">
        <w:rPr>
          <w:lang w:val="en-AU"/>
        </w:rPr>
        <w:t>medical and dental catalogue</w:t>
      </w:r>
      <w:r w:rsidR="001F3CD8">
        <w:rPr>
          <w:lang w:val="en-AU"/>
        </w:rPr>
        <w:t>);</w:t>
      </w:r>
    </w:p>
    <w:p w14:paraId="3F11D6C7" w14:textId="3D062059" w:rsidR="00561306" w:rsidRPr="00E27200" w:rsidRDefault="00561306" w:rsidP="00AD3F80">
      <w:pPr>
        <w:pStyle w:val="ListParagraph"/>
        <w:numPr>
          <w:ilvl w:val="0"/>
          <w:numId w:val="21"/>
        </w:numPr>
        <w:rPr>
          <w:lang w:val="en-AU"/>
        </w:rPr>
      </w:pPr>
      <w:r w:rsidRPr="00E27200">
        <w:rPr>
          <w:b/>
          <w:lang w:val="en-AU"/>
        </w:rPr>
        <w:t>Procurement and tendering</w:t>
      </w:r>
      <w:r w:rsidR="007308A1">
        <w:rPr>
          <w:lang w:val="en-AU"/>
        </w:rPr>
        <w:t>:</w:t>
      </w:r>
      <w:r w:rsidRPr="00E27200">
        <w:rPr>
          <w:lang w:val="en-AU"/>
        </w:rPr>
        <w:t xml:space="preserve"> changes of medical supply procurement through internationally competitive bidding and/or national standards, </w:t>
      </w:r>
      <w:r w:rsidR="00D24338" w:rsidRPr="00E27200">
        <w:rPr>
          <w:lang w:val="en-AU"/>
        </w:rPr>
        <w:t xml:space="preserve">and </w:t>
      </w:r>
      <w:r w:rsidRPr="00E27200">
        <w:rPr>
          <w:lang w:val="en-AU"/>
        </w:rPr>
        <w:t>procurement through quality assured suppliers</w:t>
      </w:r>
      <w:r w:rsidR="008E2096">
        <w:rPr>
          <w:lang w:val="en-AU"/>
        </w:rPr>
        <w:t>;</w:t>
      </w:r>
    </w:p>
    <w:p w14:paraId="2A6965DD" w14:textId="10AEEFB0" w:rsidR="00561306" w:rsidRPr="00E27200" w:rsidRDefault="00561306" w:rsidP="00AD3F80">
      <w:pPr>
        <w:pStyle w:val="ListParagraph"/>
        <w:numPr>
          <w:ilvl w:val="0"/>
          <w:numId w:val="21"/>
        </w:numPr>
        <w:rPr>
          <w:lang w:val="en-AU"/>
        </w:rPr>
      </w:pPr>
      <w:r w:rsidRPr="00E27200">
        <w:rPr>
          <w:b/>
          <w:lang w:val="en-AU"/>
        </w:rPr>
        <w:t>Distribution, warehousing and inventory control</w:t>
      </w:r>
      <w:r w:rsidR="008E2096">
        <w:rPr>
          <w:lang w:val="en-AU"/>
        </w:rPr>
        <w:t>:</w:t>
      </w:r>
      <w:r w:rsidRPr="00E27200">
        <w:rPr>
          <w:lang w:val="en-AU"/>
        </w:rPr>
        <w:t xml:space="preserve"> availability and timeliness of medical supplies, especially changes since the introducti</w:t>
      </w:r>
      <w:r w:rsidR="008E2096">
        <w:rPr>
          <w:lang w:val="en-AU"/>
        </w:rPr>
        <w:t>on of the 100% kit system;</w:t>
      </w:r>
    </w:p>
    <w:p w14:paraId="28759366" w14:textId="58546681" w:rsidR="00561306" w:rsidRPr="00E27200" w:rsidRDefault="00561306" w:rsidP="00AD3F80">
      <w:pPr>
        <w:pStyle w:val="ListParagraph"/>
        <w:numPr>
          <w:ilvl w:val="0"/>
          <w:numId w:val="21"/>
        </w:numPr>
        <w:rPr>
          <w:lang w:val="en-AU"/>
        </w:rPr>
      </w:pPr>
      <w:r w:rsidRPr="00E27200">
        <w:rPr>
          <w:b/>
          <w:lang w:val="en-AU"/>
        </w:rPr>
        <w:t>Facility storage, supplies management and waste management</w:t>
      </w:r>
      <w:r w:rsidR="008E2096">
        <w:rPr>
          <w:lang w:val="en-AU"/>
        </w:rPr>
        <w:t>:</w:t>
      </w:r>
      <w:r w:rsidRPr="00E27200">
        <w:rPr>
          <w:lang w:val="en-AU"/>
        </w:rPr>
        <w:t xml:space="preserve"> appropriateness of medical supplies and quantities between dif</w:t>
      </w:r>
      <w:r w:rsidR="001F3CD8">
        <w:rPr>
          <w:lang w:val="en-AU"/>
        </w:rPr>
        <w:t>ferent distribution systems;</w:t>
      </w:r>
    </w:p>
    <w:p w14:paraId="41A467CD" w14:textId="003E9711" w:rsidR="00561306" w:rsidRPr="00E27200" w:rsidRDefault="00561306" w:rsidP="00AD3F80">
      <w:pPr>
        <w:pStyle w:val="ListParagraph"/>
        <w:numPr>
          <w:ilvl w:val="0"/>
          <w:numId w:val="21"/>
        </w:numPr>
        <w:rPr>
          <w:lang w:val="en-AU"/>
        </w:rPr>
      </w:pPr>
      <w:r w:rsidRPr="00E27200">
        <w:rPr>
          <w:b/>
          <w:lang w:val="en-AU"/>
        </w:rPr>
        <w:lastRenderedPageBreak/>
        <w:t>Access and utilisation (including rational use of medicines)</w:t>
      </w:r>
      <w:r w:rsidR="008E2096">
        <w:rPr>
          <w:lang w:val="en-AU"/>
        </w:rPr>
        <w:t>:</w:t>
      </w:r>
      <w:r w:rsidRPr="00E27200">
        <w:rPr>
          <w:lang w:val="en-AU"/>
        </w:rPr>
        <w:t xml:space="preserve"> changes in stock</w:t>
      </w:r>
      <w:r w:rsidR="00880150">
        <w:rPr>
          <w:lang w:val="en-AU"/>
        </w:rPr>
        <w:t>-</w:t>
      </w:r>
      <w:r w:rsidRPr="00E27200">
        <w:rPr>
          <w:lang w:val="en-AU"/>
        </w:rPr>
        <w:t>out rates, medicines availability and the contribution by different distribution programs, changes in government and household spending on medicines, rational use of</w:t>
      </w:r>
      <w:r w:rsidR="001F3CD8">
        <w:rPr>
          <w:lang w:val="en-AU"/>
        </w:rPr>
        <w:t xml:space="preserve"> medicines and compliance with Standard Treatment G</w:t>
      </w:r>
      <w:r w:rsidRPr="00E27200">
        <w:rPr>
          <w:lang w:val="en-AU"/>
        </w:rPr>
        <w:t>uidelines</w:t>
      </w:r>
      <w:r w:rsidR="001F3CD8">
        <w:rPr>
          <w:lang w:val="en-AU"/>
        </w:rPr>
        <w:t>;</w:t>
      </w:r>
    </w:p>
    <w:p w14:paraId="5B2F02B5" w14:textId="42980B1E" w:rsidR="00561306" w:rsidRPr="00E27200" w:rsidRDefault="00561306" w:rsidP="00AD3F80">
      <w:pPr>
        <w:pStyle w:val="ListParagraph"/>
        <w:numPr>
          <w:ilvl w:val="0"/>
          <w:numId w:val="21"/>
        </w:numPr>
        <w:rPr>
          <w:lang w:val="en-AU"/>
        </w:rPr>
      </w:pPr>
      <w:r w:rsidRPr="00E27200">
        <w:rPr>
          <w:b/>
          <w:lang w:val="en-AU"/>
        </w:rPr>
        <w:t>Community engagement</w:t>
      </w:r>
      <w:r w:rsidR="008E2096">
        <w:rPr>
          <w:lang w:val="en-AU"/>
        </w:rPr>
        <w:t>:</w:t>
      </w:r>
      <w:r w:rsidRPr="00E27200">
        <w:rPr>
          <w:lang w:val="en-AU"/>
        </w:rPr>
        <w:t xml:space="preserve"> perception of change in medicines availability and quality, consultation of community members regarding medical supplies and health facility management</w:t>
      </w:r>
      <w:r w:rsidR="001F3CD8">
        <w:rPr>
          <w:lang w:val="en-AU"/>
        </w:rPr>
        <w:t>;</w:t>
      </w:r>
    </w:p>
    <w:p w14:paraId="3587AE6D" w14:textId="42113ED1" w:rsidR="00561306" w:rsidRPr="00E27200" w:rsidRDefault="00561306" w:rsidP="00AD3F80">
      <w:pPr>
        <w:pStyle w:val="ListParagraph"/>
        <w:numPr>
          <w:ilvl w:val="0"/>
          <w:numId w:val="21"/>
        </w:numPr>
        <w:rPr>
          <w:lang w:val="en-AU"/>
        </w:rPr>
      </w:pPr>
      <w:r w:rsidRPr="00E27200">
        <w:rPr>
          <w:b/>
          <w:lang w:val="en-AU"/>
        </w:rPr>
        <w:t>Transparency, governance and anti-corruption</w:t>
      </w:r>
      <w:r w:rsidR="008E2096">
        <w:rPr>
          <w:lang w:val="en-AU"/>
        </w:rPr>
        <w:t>:</w:t>
      </w:r>
      <w:r w:rsidRPr="00E27200">
        <w:rPr>
          <w:lang w:val="en-AU"/>
        </w:rPr>
        <w:t xml:space="preserve"> impacts of anti-corruption efforts on medical supply reforms and perceptions of corruption</w:t>
      </w:r>
      <w:r w:rsidR="001F3CD8">
        <w:rPr>
          <w:lang w:val="en-AU"/>
        </w:rPr>
        <w:t>; and</w:t>
      </w:r>
    </w:p>
    <w:p w14:paraId="313B48D1" w14:textId="625DDB1A" w:rsidR="00561306" w:rsidRPr="00E27200" w:rsidRDefault="00561306" w:rsidP="00AD3F80">
      <w:pPr>
        <w:pStyle w:val="ListParagraph"/>
        <w:numPr>
          <w:ilvl w:val="0"/>
          <w:numId w:val="21"/>
        </w:numPr>
        <w:rPr>
          <w:lang w:val="en-AU"/>
        </w:rPr>
      </w:pPr>
      <w:r w:rsidRPr="00E27200">
        <w:rPr>
          <w:b/>
          <w:lang w:val="en-AU"/>
        </w:rPr>
        <w:t>Health impacts</w:t>
      </w:r>
      <w:r w:rsidR="008E2096">
        <w:rPr>
          <w:lang w:val="en-AU"/>
        </w:rPr>
        <w:t>:</w:t>
      </w:r>
      <w:r w:rsidRPr="00E27200">
        <w:rPr>
          <w:lang w:val="en-AU"/>
        </w:rPr>
        <w:t xml:space="preserve"> changes in morbidity and mortality attributed to increased availability of quality assured medicines</w:t>
      </w:r>
      <w:r w:rsidR="001F3CD8">
        <w:rPr>
          <w:lang w:val="en-AU"/>
        </w:rPr>
        <w:t>.</w:t>
      </w:r>
    </w:p>
    <w:p w14:paraId="4A653CC3" w14:textId="77777777" w:rsidR="000A1D61" w:rsidRPr="00E27200" w:rsidRDefault="000A1D61" w:rsidP="00E16C77">
      <w:pPr>
        <w:rPr>
          <w:lang w:val="en-AU"/>
        </w:rPr>
      </w:pPr>
    </w:p>
    <w:p w14:paraId="28D8DF94" w14:textId="77777777" w:rsidR="00CA0EE5" w:rsidRPr="00E27200" w:rsidRDefault="00CA0EE5" w:rsidP="00E16C77">
      <w:pPr>
        <w:pStyle w:val="Heading2"/>
      </w:pPr>
      <w:bookmarkStart w:id="42" w:name="_Toc239058945"/>
      <w:bookmarkStart w:id="43" w:name="_Toc365283101"/>
      <w:bookmarkStart w:id="44" w:name="_Toc239217387"/>
      <w:bookmarkStart w:id="45" w:name="_Toc239221403"/>
      <w:bookmarkStart w:id="46" w:name="_Toc239324130"/>
      <w:bookmarkStart w:id="47" w:name="_Toc245620924"/>
      <w:bookmarkStart w:id="48" w:name="_Toc245621242"/>
      <w:bookmarkStart w:id="49" w:name="_Toc245621413"/>
      <w:bookmarkStart w:id="50" w:name="_Toc245810740"/>
      <w:r w:rsidRPr="00E27200">
        <w:t>National consultations</w:t>
      </w:r>
      <w:bookmarkEnd w:id="42"/>
      <w:bookmarkEnd w:id="43"/>
      <w:bookmarkEnd w:id="44"/>
      <w:bookmarkEnd w:id="45"/>
      <w:bookmarkEnd w:id="46"/>
      <w:bookmarkEnd w:id="47"/>
      <w:bookmarkEnd w:id="48"/>
      <w:bookmarkEnd w:id="49"/>
      <w:bookmarkEnd w:id="50"/>
    </w:p>
    <w:p w14:paraId="23060955" w14:textId="77777777" w:rsidR="00F77E97" w:rsidRPr="00E27200" w:rsidRDefault="00CA0EE5" w:rsidP="00A376D0">
      <w:pPr>
        <w:rPr>
          <w:lang w:val="en-AU"/>
        </w:rPr>
      </w:pPr>
      <w:r w:rsidRPr="00E27200">
        <w:rPr>
          <w:lang w:val="en-AU"/>
        </w:rPr>
        <w:t xml:space="preserve">The medical supplies team met with </w:t>
      </w:r>
      <w:r w:rsidR="00C73439" w:rsidRPr="00E27200">
        <w:rPr>
          <w:lang w:val="en-AU"/>
        </w:rPr>
        <w:t>over 30</w:t>
      </w:r>
      <w:r w:rsidR="00053017" w:rsidRPr="00E27200">
        <w:rPr>
          <w:lang w:val="en-AU"/>
        </w:rPr>
        <w:t xml:space="preserve"> nationally based</w:t>
      </w:r>
      <w:r w:rsidRPr="00E27200">
        <w:rPr>
          <w:lang w:val="en-AU"/>
        </w:rPr>
        <w:t xml:space="preserve"> </w:t>
      </w:r>
      <w:r w:rsidR="00C73439" w:rsidRPr="00E27200">
        <w:rPr>
          <w:lang w:val="en-AU"/>
        </w:rPr>
        <w:t xml:space="preserve">stakeholders from </w:t>
      </w:r>
      <w:r w:rsidRPr="00E27200">
        <w:rPr>
          <w:lang w:val="en-AU"/>
        </w:rPr>
        <w:t>government</w:t>
      </w:r>
      <w:r w:rsidR="00C73439" w:rsidRPr="00E27200">
        <w:rPr>
          <w:lang w:val="en-AU"/>
        </w:rPr>
        <w:t>, contractors,</w:t>
      </w:r>
      <w:r w:rsidRPr="00E27200">
        <w:rPr>
          <w:lang w:val="en-AU"/>
        </w:rPr>
        <w:t xml:space="preserve"> and </w:t>
      </w:r>
      <w:r w:rsidR="00C73439" w:rsidRPr="00E27200">
        <w:rPr>
          <w:lang w:val="en-AU"/>
        </w:rPr>
        <w:t xml:space="preserve">development </w:t>
      </w:r>
      <w:r w:rsidRPr="00E27200">
        <w:rPr>
          <w:lang w:val="en-AU"/>
        </w:rPr>
        <w:t xml:space="preserve">partner programs working on medical supplies procurement, tendering </w:t>
      </w:r>
      <w:r w:rsidR="00FE5412" w:rsidRPr="00E27200">
        <w:rPr>
          <w:lang w:val="en-AU"/>
        </w:rPr>
        <w:t>and distribution. They included stakeholders in:</w:t>
      </w:r>
    </w:p>
    <w:p w14:paraId="39A0D02E" w14:textId="77777777" w:rsidR="00FE5412" w:rsidRPr="00E27200" w:rsidRDefault="00FE5412" w:rsidP="00FE5412">
      <w:pPr>
        <w:rPr>
          <w:lang w:val="en-AU"/>
        </w:rPr>
        <w:sectPr w:rsidR="00FE5412" w:rsidRPr="00E272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695F476E" w14:textId="07D6DCE0" w:rsidR="00FE5412" w:rsidRPr="00E27200" w:rsidRDefault="00FE5412" w:rsidP="00AD3F80">
      <w:pPr>
        <w:pStyle w:val="ListParagraph"/>
        <w:numPr>
          <w:ilvl w:val="0"/>
          <w:numId w:val="22"/>
        </w:numPr>
        <w:shd w:val="clear" w:color="auto" w:fill="FFFFFF"/>
        <w:ind w:left="714" w:hanging="357"/>
        <w:rPr>
          <w:lang w:val="en-AU"/>
        </w:rPr>
      </w:pPr>
      <w:r w:rsidRPr="00E27200">
        <w:rPr>
          <w:lang w:val="en-AU"/>
        </w:rPr>
        <w:lastRenderedPageBreak/>
        <w:t>National Department of Health</w:t>
      </w:r>
      <w:r w:rsidR="00D52274">
        <w:rPr>
          <w:lang w:val="en-AU"/>
        </w:rPr>
        <w:t>;</w:t>
      </w:r>
    </w:p>
    <w:p w14:paraId="0744352F" w14:textId="168D394E" w:rsidR="00FE5412" w:rsidRPr="00E27200" w:rsidRDefault="00765675" w:rsidP="00AD3F80">
      <w:pPr>
        <w:pStyle w:val="ListParagraph"/>
        <w:numPr>
          <w:ilvl w:val="0"/>
          <w:numId w:val="10"/>
        </w:numPr>
        <w:shd w:val="clear" w:color="auto" w:fill="FFFFFF"/>
        <w:spacing w:before="100" w:beforeAutospacing="1" w:after="100" w:afterAutospacing="1"/>
        <w:ind w:left="1134"/>
        <w:rPr>
          <w:lang w:val="en-AU"/>
        </w:rPr>
      </w:pPr>
      <w:r w:rsidRPr="00E27200">
        <w:rPr>
          <w:lang w:val="en-AU"/>
        </w:rPr>
        <w:t>Secretary</w:t>
      </w:r>
      <w:r w:rsidR="00880150">
        <w:rPr>
          <w:lang w:val="en-AU"/>
        </w:rPr>
        <w:t>,</w:t>
      </w:r>
      <w:r w:rsidRPr="00E27200">
        <w:rPr>
          <w:lang w:val="en-AU"/>
        </w:rPr>
        <w:t xml:space="preserve"> deputy Secretaries and senior executive, </w:t>
      </w:r>
      <w:r w:rsidR="00E91DD2" w:rsidRPr="00E27200">
        <w:rPr>
          <w:lang w:val="en-AU"/>
        </w:rPr>
        <w:t>including National</w:t>
      </w:r>
      <w:r w:rsidRPr="00E27200">
        <w:rPr>
          <w:lang w:val="en-AU"/>
        </w:rPr>
        <w:t xml:space="preserve"> Health Policy and Corporate S</w:t>
      </w:r>
      <w:r w:rsidR="00FE5412" w:rsidRPr="00E27200">
        <w:rPr>
          <w:lang w:val="en-AU"/>
        </w:rPr>
        <w:t>ervices</w:t>
      </w:r>
      <w:r w:rsidRPr="00E27200">
        <w:rPr>
          <w:lang w:val="en-AU"/>
        </w:rPr>
        <w:t xml:space="preserve">, as well as senior managers from </w:t>
      </w:r>
      <w:r w:rsidR="00FE5412" w:rsidRPr="00E27200">
        <w:rPr>
          <w:lang w:val="en-AU"/>
        </w:rPr>
        <w:t>Strategic Policy,</w:t>
      </w:r>
      <w:r w:rsidR="00FE5412" w:rsidRPr="00E27200">
        <w:rPr>
          <w:rFonts w:asciiTheme="minorHAnsi" w:eastAsiaTheme="minorEastAsia" w:hAnsiTheme="minorHAnsi" w:cs="Arial"/>
          <w:szCs w:val="22"/>
          <w:lang w:val="en-AU"/>
        </w:rPr>
        <w:t xml:space="preserve"> Medical Standards, Public Health, </w:t>
      </w:r>
      <w:r w:rsidR="00F0789A" w:rsidRPr="00E27200">
        <w:rPr>
          <w:rFonts w:asciiTheme="minorHAnsi" w:eastAsiaTheme="minorEastAsia" w:hAnsiTheme="minorHAnsi" w:cs="Arial"/>
          <w:szCs w:val="22"/>
          <w:lang w:val="en-AU"/>
        </w:rPr>
        <w:t xml:space="preserve">Family Health, </w:t>
      </w:r>
      <w:r w:rsidR="00FE5412" w:rsidRPr="00E27200">
        <w:rPr>
          <w:rFonts w:asciiTheme="minorHAnsi" w:eastAsiaTheme="minorEastAsia" w:hAnsiTheme="minorHAnsi" w:cs="Arial"/>
          <w:szCs w:val="22"/>
          <w:lang w:val="en-AU"/>
        </w:rPr>
        <w:t>Corporate Services</w:t>
      </w:r>
    </w:p>
    <w:p w14:paraId="5EB906F7" w14:textId="77777777" w:rsidR="00765675" w:rsidRPr="00E27200" w:rsidRDefault="00765675" w:rsidP="00AD3F80">
      <w:pPr>
        <w:pStyle w:val="ListParagraph"/>
        <w:numPr>
          <w:ilvl w:val="0"/>
          <w:numId w:val="10"/>
        </w:numPr>
        <w:shd w:val="clear" w:color="auto" w:fill="FFFFFF"/>
        <w:spacing w:before="100" w:beforeAutospacing="1" w:after="100" w:afterAutospacing="1"/>
        <w:ind w:left="1134"/>
        <w:rPr>
          <w:lang w:val="en-AU"/>
        </w:rPr>
      </w:pPr>
      <w:r w:rsidRPr="00E27200">
        <w:rPr>
          <w:lang w:val="en-AU"/>
        </w:rPr>
        <w:t>Managers from Medical Supply Procurement and Distribution</w:t>
      </w:r>
      <w:r w:rsidRPr="00E27200">
        <w:rPr>
          <w:rFonts w:asciiTheme="minorHAnsi" w:eastAsiaTheme="minorEastAsia" w:hAnsiTheme="minorHAnsi" w:cs="Arial"/>
          <w:szCs w:val="22"/>
          <w:lang w:val="en-AU"/>
        </w:rPr>
        <w:t>, Financial Management Services, Commercial Support,</w:t>
      </w:r>
      <w:r w:rsidRPr="00E27200">
        <w:rPr>
          <w:lang w:val="en-AU"/>
        </w:rPr>
        <w:t xml:space="preserve"> Central Public Health Laboratory, </w:t>
      </w:r>
      <w:r w:rsidRPr="00E27200">
        <w:rPr>
          <w:rFonts w:asciiTheme="minorHAnsi" w:eastAsiaTheme="minorEastAsia" w:hAnsiTheme="minorHAnsi" w:cs="Arial"/>
          <w:szCs w:val="22"/>
          <w:lang w:val="en-AU"/>
        </w:rPr>
        <w:t xml:space="preserve">Performance Monitoring and Research, </w:t>
      </w:r>
      <w:r w:rsidRPr="00E27200">
        <w:rPr>
          <w:lang w:val="en-AU"/>
        </w:rPr>
        <w:t xml:space="preserve">Pharmaceutical Standards </w:t>
      </w:r>
    </w:p>
    <w:p w14:paraId="7B4D2917" w14:textId="77777777" w:rsidR="00FE5412" w:rsidRPr="00E27200" w:rsidRDefault="00765675" w:rsidP="00AD3F80">
      <w:pPr>
        <w:pStyle w:val="ListParagraph"/>
        <w:numPr>
          <w:ilvl w:val="0"/>
          <w:numId w:val="10"/>
        </w:numPr>
        <w:shd w:val="clear" w:color="auto" w:fill="FFFFFF"/>
        <w:spacing w:before="100" w:beforeAutospacing="1" w:after="100" w:afterAutospacing="1"/>
        <w:ind w:left="1134"/>
        <w:rPr>
          <w:lang w:val="en-AU"/>
        </w:rPr>
      </w:pPr>
      <w:r w:rsidRPr="00E27200">
        <w:rPr>
          <w:lang w:val="en-AU"/>
        </w:rPr>
        <w:t xml:space="preserve">International advisors supporting Medical Supplies </w:t>
      </w:r>
      <w:r w:rsidR="00FE5412" w:rsidRPr="00E27200">
        <w:rPr>
          <w:lang w:val="en-AU"/>
        </w:rPr>
        <w:t>Procurement</w:t>
      </w:r>
      <w:r w:rsidRPr="00E27200">
        <w:rPr>
          <w:lang w:val="en-AU"/>
        </w:rPr>
        <w:t xml:space="preserve"> and Distribution</w:t>
      </w:r>
      <w:r w:rsidR="00FE5412" w:rsidRPr="00E27200">
        <w:rPr>
          <w:lang w:val="en-AU"/>
        </w:rPr>
        <w:t xml:space="preserve">, </w:t>
      </w:r>
      <w:r w:rsidR="00FE5412" w:rsidRPr="00E27200">
        <w:rPr>
          <w:rFonts w:asciiTheme="minorHAnsi" w:eastAsiaTheme="minorEastAsia" w:hAnsiTheme="minorHAnsi" w:cs="Arial"/>
          <w:szCs w:val="22"/>
          <w:lang w:val="en-AU"/>
        </w:rPr>
        <w:t>Public Health Management</w:t>
      </w:r>
      <w:r w:rsidRPr="00E27200">
        <w:rPr>
          <w:rFonts w:asciiTheme="minorHAnsi" w:eastAsiaTheme="minorEastAsia" w:hAnsiTheme="minorHAnsi" w:cs="Arial"/>
          <w:szCs w:val="22"/>
          <w:lang w:val="en-AU"/>
        </w:rPr>
        <w:t>, Warehousing, Health Information systems</w:t>
      </w:r>
    </w:p>
    <w:p w14:paraId="5A2E3EC1" w14:textId="239AFFC4" w:rsidR="00BF4177" w:rsidRPr="00E27200" w:rsidRDefault="00765675" w:rsidP="00AD3F80">
      <w:pPr>
        <w:pStyle w:val="ListParagraph"/>
        <w:numPr>
          <w:ilvl w:val="0"/>
          <w:numId w:val="22"/>
        </w:numPr>
        <w:jc w:val="left"/>
        <w:rPr>
          <w:lang w:val="en-AU"/>
        </w:rPr>
      </w:pPr>
      <w:r w:rsidRPr="00E27200">
        <w:rPr>
          <w:rFonts w:asciiTheme="minorHAnsi" w:eastAsiaTheme="minorEastAsia" w:hAnsiTheme="minorHAnsi" w:cs="Arial"/>
          <w:szCs w:val="22"/>
          <w:lang w:val="en-AU"/>
        </w:rPr>
        <w:t>Managers in other government departments coordinating contract m</w:t>
      </w:r>
      <w:r w:rsidR="00FE5412" w:rsidRPr="00E27200">
        <w:rPr>
          <w:rFonts w:asciiTheme="minorHAnsi" w:eastAsiaTheme="minorEastAsia" w:hAnsiTheme="minorHAnsi" w:cs="Arial"/>
          <w:szCs w:val="22"/>
          <w:lang w:val="en-AU"/>
        </w:rPr>
        <w:t>anagement</w:t>
      </w:r>
      <w:r w:rsidRPr="00E27200">
        <w:rPr>
          <w:rFonts w:asciiTheme="minorHAnsi" w:eastAsiaTheme="minorEastAsia" w:hAnsiTheme="minorHAnsi" w:cs="Arial"/>
          <w:szCs w:val="22"/>
          <w:lang w:val="en-AU"/>
        </w:rPr>
        <w:t xml:space="preserve"> and pr</w:t>
      </w:r>
      <w:r w:rsidR="00FE5412" w:rsidRPr="00E27200">
        <w:rPr>
          <w:rFonts w:asciiTheme="minorHAnsi" w:eastAsiaTheme="minorEastAsia" w:hAnsiTheme="minorHAnsi" w:cs="Arial"/>
          <w:szCs w:val="22"/>
          <w:lang w:val="en-AU"/>
        </w:rPr>
        <w:t>ocurement</w:t>
      </w:r>
      <w:r w:rsidRPr="00E27200">
        <w:rPr>
          <w:rFonts w:asciiTheme="minorHAnsi" w:eastAsiaTheme="minorEastAsia" w:hAnsiTheme="minorHAnsi" w:cs="Arial"/>
          <w:szCs w:val="22"/>
          <w:lang w:val="en-AU"/>
        </w:rPr>
        <w:t>, as well in the Central Supply and Tenders Board</w:t>
      </w:r>
      <w:r w:rsidR="00BF4177" w:rsidRPr="00E27200">
        <w:rPr>
          <w:lang w:val="en-AU"/>
        </w:rPr>
        <w:t>, Auditor General Office</w:t>
      </w:r>
      <w:r w:rsidR="00D52274">
        <w:rPr>
          <w:lang w:val="en-AU"/>
        </w:rPr>
        <w:t>;</w:t>
      </w:r>
    </w:p>
    <w:p w14:paraId="3B2A656E" w14:textId="70F01754" w:rsidR="00FE5412" w:rsidRPr="00E27200" w:rsidRDefault="00BF4177" w:rsidP="00AD3F80">
      <w:pPr>
        <w:pStyle w:val="ListParagraph"/>
        <w:numPr>
          <w:ilvl w:val="0"/>
          <w:numId w:val="23"/>
        </w:numPr>
        <w:shd w:val="clear" w:color="auto" w:fill="FFFFFF"/>
        <w:spacing w:before="100" w:beforeAutospacing="1" w:after="200" w:afterAutospacing="1" w:line="276" w:lineRule="auto"/>
        <w:rPr>
          <w:rFonts w:asciiTheme="minorHAnsi" w:eastAsiaTheme="minorEastAsia" w:hAnsiTheme="minorHAnsi" w:cs="Arial"/>
          <w:szCs w:val="22"/>
          <w:lang w:val="en-AU"/>
        </w:rPr>
      </w:pPr>
      <w:r w:rsidRPr="00E27200">
        <w:rPr>
          <w:lang w:val="en-AU"/>
        </w:rPr>
        <w:t>Academic institutions including National Research Institute</w:t>
      </w:r>
      <w:r w:rsidR="00EE34A3">
        <w:rPr>
          <w:lang w:val="en-AU"/>
        </w:rPr>
        <w:t xml:space="preserve"> (including the Promoting Effective Public Expenditure (PEPE) project team)</w:t>
      </w:r>
      <w:r w:rsidRPr="00E27200">
        <w:rPr>
          <w:lang w:val="en-AU"/>
        </w:rPr>
        <w:t>, Institute for Medical Research, Divine Word University, University of PNG</w:t>
      </w:r>
      <w:r w:rsidR="00D52274">
        <w:rPr>
          <w:lang w:val="en-AU"/>
        </w:rPr>
        <w:t>;</w:t>
      </w:r>
    </w:p>
    <w:p w14:paraId="6481F557" w14:textId="6B553CF5" w:rsidR="00FE5412" w:rsidRPr="00E27200" w:rsidRDefault="00765675" w:rsidP="00AD3F80">
      <w:pPr>
        <w:pStyle w:val="ListParagraph"/>
        <w:numPr>
          <w:ilvl w:val="0"/>
          <w:numId w:val="23"/>
        </w:numPr>
        <w:shd w:val="clear" w:color="auto" w:fill="FFFFFF"/>
        <w:spacing w:before="100" w:beforeAutospacing="1" w:after="200" w:afterAutospacing="1" w:line="276" w:lineRule="auto"/>
        <w:rPr>
          <w:lang w:val="en-AU"/>
        </w:rPr>
      </w:pPr>
      <w:r w:rsidRPr="00E27200">
        <w:rPr>
          <w:lang w:val="en-AU"/>
        </w:rPr>
        <w:t xml:space="preserve">Senior clinicians including the </w:t>
      </w:r>
      <w:r w:rsidR="00FE5412" w:rsidRPr="00E27200">
        <w:rPr>
          <w:lang w:val="en-AU"/>
        </w:rPr>
        <w:t>Director of Medical Services and Pharmacy Staff, Port Moresby General Hospital</w:t>
      </w:r>
      <w:r w:rsidR="00BF4177" w:rsidRPr="00E27200">
        <w:rPr>
          <w:lang w:val="en-AU"/>
        </w:rPr>
        <w:t xml:space="preserve">, </w:t>
      </w:r>
      <w:r w:rsidR="007A448D" w:rsidRPr="00E27200">
        <w:rPr>
          <w:lang w:val="en-AU"/>
        </w:rPr>
        <w:t xml:space="preserve">Churches of Medical Council, </w:t>
      </w:r>
      <w:r w:rsidR="00BF4177" w:rsidRPr="00E27200">
        <w:rPr>
          <w:lang w:val="en-AU"/>
        </w:rPr>
        <w:t>and Church Health Services liaison office</w:t>
      </w:r>
      <w:r w:rsidR="00D52274">
        <w:rPr>
          <w:lang w:val="en-AU"/>
        </w:rPr>
        <w:t>;</w:t>
      </w:r>
    </w:p>
    <w:p w14:paraId="68ADF646" w14:textId="4FEC2B66" w:rsidR="00FE5412" w:rsidRPr="00E27200" w:rsidRDefault="00765675" w:rsidP="00AD3F80">
      <w:pPr>
        <w:pStyle w:val="ListParagraph"/>
        <w:numPr>
          <w:ilvl w:val="0"/>
          <w:numId w:val="22"/>
        </w:numPr>
        <w:jc w:val="left"/>
        <w:rPr>
          <w:rFonts w:asciiTheme="minorHAnsi" w:eastAsiaTheme="minorEastAsia" w:hAnsiTheme="minorHAnsi" w:cs="Arial"/>
          <w:szCs w:val="22"/>
          <w:lang w:val="en-AU"/>
        </w:rPr>
      </w:pPr>
      <w:r w:rsidRPr="00E27200">
        <w:rPr>
          <w:rFonts w:asciiTheme="minorHAnsi" w:eastAsiaTheme="minorEastAsia" w:hAnsiTheme="minorHAnsi" w:cs="Arial"/>
          <w:szCs w:val="22"/>
          <w:lang w:val="en-AU"/>
        </w:rPr>
        <w:t xml:space="preserve">Development partners including </w:t>
      </w:r>
      <w:r w:rsidR="00FE5412" w:rsidRPr="00E27200">
        <w:rPr>
          <w:rFonts w:asciiTheme="minorHAnsi" w:eastAsiaTheme="minorEastAsia" w:hAnsiTheme="minorHAnsi" w:cstheme="minorBidi"/>
          <w:szCs w:val="22"/>
          <w:lang w:val="en-AU"/>
        </w:rPr>
        <w:t>In</w:t>
      </w:r>
      <w:r w:rsidRPr="00E27200">
        <w:rPr>
          <w:rFonts w:asciiTheme="minorHAnsi" w:eastAsiaTheme="minorEastAsia" w:hAnsiTheme="minorHAnsi" w:cstheme="minorBidi"/>
          <w:szCs w:val="22"/>
          <w:lang w:val="en-AU"/>
        </w:rPr>
        <w:t xml:space="preserve">ternational Finance Corporation, </w:t>
      </w:r>
      <w:r w:rsidRPr="00E27200">
        <w:rPr>
          <w:lang w:val="en-AU"/>
        </w:rPr>
        <w:t>Rural Primary Health Services Delivery Project</w:t>
      </w:r>
      <w:r w:rsidR="009859CB">
        <w:rPr>
          <w:lang w:val="en-AU"/>
        </w:rPr>
        <w:t xml:space="preserve">, </w:t>
      </w:r>
      <w:r w:rsidR="00BF4177" w:rsidRPr="00E27200">
        <w:rPr>
          <w:lang w:val="en-AU"/>
        </w:rPr>
        <w:t>WHO, UNICEF, UNFPA, Asian Development Bank, World Bank, Oil Search, Global Fund</w:t>
      </w:r>
      <w:r w:rsidR="00E33A8E" w:rsidRPr="00E27200">
        <w:rPr>
          <w:lang w:val="en-AU"/>
        </w:rPr>
        <w:t>, World Vision, Medicines Sans Frontiers, Transparency International, Population Services International, Clinton Health Access Initiative, Business Coalition Against HIV and AIDS</w:t>
      </w:r>
      <w:r w:rsidR="00EE34A3">
        <w:rPr>
          <w:lang w:val="en-AU"/>
        </w:rPr>
        <w:t xml:space="preserve">, </w:t>
      </w:r>
      <w:proofErr w:type="spellStart"/>
      <w:r w:rsidR="00EE34A3" w:rsidRPr="00E27200">
        <w:rPr>
          <w:lang w:val="en-AU"/>
        </w:rPr>
        <w:t>Strongim</w:t>
      </w:r>
      <w:proofErr w:type="spellEnd"/>
      <w:r w:rsidR="00EE34A3" w:rsidRPr="00E27200">
        <w:rPr>
          <w:lang w:val="en-AU"/>
        </w:rPr>
        <w:t xml:space="preserve"> </w:t>
      </w:r>
      <w:proofErr w:type="spellStart"/>
      <w:r w:rsidR="00EE34A3" w:rsidRPr="00E27200">
        <w:rPr>
          <w:lang w:val="en-AU"/>
        </w:rPr>
        <w:t>Pipol</w:t>
      </w:r>
      <w:proofErr w:type="spellEnd"/>
      <w:r w:rsidR="00EE34A3" w:rsidRPr="00E27200">
        <w:rPr>
          <w:lang w:val="en-AU"/>
        </w:rPr>
        <w:t xml:space="preserve"> </w:t>
      </w:r>
      <w:proofErr w:type="spellStart"/>
      <w:r w:rsidR="00EE34A3" w:rsidRPr="00E27200">
        <w:rPr>
          <w:lang w:val="en-AU"/>
        </w:rPr>
        <w:t>Strongim</w:t>
      </w:r>
      <w:proofErr w:type="spellEnd"/>
      <w:r w:rsidR="00EE34A3" w:rsidRPr="00E27200">
        <w:rPr>
          <w:lang w:val="en-AU"/>
        </w:rPr>
        <w:t xml:space="preserve"> </w:t>
      </w:r>
      <w:proofErr w:type="spellStart"/>
      <w:r w:rsidR="00EE34A3" w:rsidRPr="00E27200">
        <w:rPr>
          <w:lang w:val="en-AU"/>
        </w:rPr>
        <w:t>Nesen</w:t>
      </w:r>
      <w:proofErr w:type="spellEnd"/>
      <w:r w:rsidR="00D52274">
        <w:rPr>
          <w:lang w:val="en-AU"/>
        </w:rPr>
        <w:t>;</w:t>
      </w:r>
    </w:p>
    <w:p w14:paraId="2DD19495" w14:textId="77777777" w:rsidR="00B629DF" w:rsidRDefault="00BF4177" w:rsidP="00AD3F80">
      <w:pPr>
        <w:pStyle w:val="ListParagraph"/>
        <w:numPr>
          <w:ilvl w:val="0"/>
          <w:numId w:val="22"/>
        </w:numPr>
        <w:shd w:val="clear" w:color="auto" w:fill="FFFFFF"/>
        <w:spacing w:before="100" w:beforeAutospacing="1" w:after="100" w:afterAutospacing="1"/>
        <w:jc w:val="left"/>
        <w:rPr>
          <w:lang w:val="en-AU"/>
        </w:rPr>
      </w:pPr>
      <w:r w:rsidRPr="00E27200">
        <w:rPr>
          <w:lang w:val="en-AU"/>
        </w:rPr>
        <w:t xml:space="preserve">Commercial contractors working in medical supplies including </w:t>
      </w:r>
      <w:r w:rsidR="00FE5412" w:rsidRPr="00E27200">
        <w:rPr>
          <w:lang w:val="en-AU"/>
        </w:rPr>
        <w:t xml:space="preserve">Charles Kendall </w:t>
      </w:r>
      <w:r w:rsidR="00EE34A3">
        <w:rPr>
          <w:lang w:val="en-AU"/>
        </w:rPr>
        <w:t xml:space="preserve">and </w:t>
      </w:r>
      <w:r w:rsidR="00FE5412" w:rsidRPr="00E27200">
        <w:rPr>
          <w:lang w:val="en-AU"/>
        </w:rPr>
        <w:t>Partners</w:t>
      </w:r>
      <w:r w:rsidRPr="00E27200">
        <w:rPr>
          <w:lang w:val="en-AU"/>
        </w:rPr>
        <w:t xml:space="preserve">, </w:t>
      </w:r>
      <w:proofErr w:type="spellStart"/>
      <w:r w:rsidRPr="00E27200">
        <w:rPr>
          <w:lang w:val="en-AU"/>
        </w:rPr>
        <w:t>Loha</w:t>
      </w:r>
      <w:proofErr w:type="spellEnd"/>
      <w:r w:rsidRPr="00E27200">
        <w:rPr>
          <w:lang w:val="en-AU"/>
        </w:rPr>
        <w:t xml:space="preserve"> C</w:t>
      </w:r>
      <w:r w:rsidR="00FE5412" w:rsidRPr="00E27200">
        <w:rPr>
          <w:lang w:val="en-AU"/>
        </w:rPr>
        <w:t>ustom</w:t>
      </w:r>
      <w:r w:rsidRPr="00E27200">
        <w:rPr>
          <w:lang w:val="en-AU"/>
        </w:rPr>
        <w:t xml:space="preserve">s, </w:t>
      </w:r>
      <w:proofErr w:type="spellStart"/>
      <w:r w:rsidR="00D05C0A">
        <w:t>Panamaseier</w:t>
      </w:r>
      <w:proofErr w:type="spellEnd"/>
      <w:r w:rsidRPr="00E27200">
        <w:rPr>
          <w:lang w:val="en-AU"/>
        </w:rPr>
        <w:t xml:space="preserve">, Post PNG, </w:t>
      </w:r>
      <w:proofErr w:type="spellStart"/>
      <w:r w:rsidRPr="00E27200">
        <w:rPr>
          <w:lang w:val="en-AU"/>
        </w:rPr>
        <w:t>Protoca</w:t>
      </w:r>
      <w:r w:rsidR="00FE5412" w:rsidRPr="00E27200">
        <w:rPr>
          <w:lang w:val="en-AU"/>
        </w:rPr>
        <w:t>l</w:t>
      </w:r>
      <w:proofErr w:type="spellEnd"/>
      <w:r w:rsidR="00FE5412" w:rsidRPr="00E27200">
        <w:rPr>
          <w:lang w:val="en-AU"/>
        </w:rPr>
        <w:t xml:space="preserve"> Investment, LD Logistics</w:t>
      </w:r>
      <w:r w:rsidRPr="00E27200">
        <w:rPr>
          <w:lang w:val="en-AU"/>
        </w:rPr>
        <w:t xml:space="preserve"> </w:t>
      </w:r>
    </w:p>
    <w:p w14:paraId="74CDDC4E" w14:textId="53152143" w:rsidR="00FE5412" w:rsidRPr="00E27200" w:rsidRDefault="00B629DF" w:rsidP="00AD3F80">
      <w:pPr>
        <w:pStyle w:val="ListParagraph"/>
        <w:numPr>
          <w:ilvl w:val="0"/>
          <w:numId w:val="22"/>
        </w:numPr>
        <w:shd w:val="clear" w:color="auto" w:fill="FFFFFF"/>
        <w:spacing w:before="100" w:beforeAutospacing="1" w:after="100" w:afterAutospacing="1"/>
        <w:jc w:val="left"/>
        <w:rPr>
          <w:lang w:val="en-AU"/>
        </w:rPr>
      </w:pPr>
      <w:r>
        <w:rPr>
          <w:lang w:val="en-AU"/>
        </w:rPr>
        <w:t xml:space="preserve">IDA, Borneo Pacific </w:t>
      </w:r>
      <w:r w:rsidR="00BF4177" w:rsidRPr="00E27200">
        <w:rPr>
          <w:lang w:val="en-AU"/>
        </w:rPr>
        <w:t xml:space="preserve">and </w:t>
      </w:r>
      <w:r>
        <w:rPr>
          <w:lang w:val="en-AU"/>
        </w:rPr>
        <w:t xml:space="preserve">other </w:t>
      </w:r>
      <w:r w:rsidR="00BF4177" w:rsidRPr="00E27200">
        <w:rPr>
          <w:lang w:val="en-AU"/>
        </w:rPr>
        <w:t>pharmaceutical suppliers</w:t>
      </w:r>
      <w:r w:rsidR="00D52274">
        <w:rPr>
          <w:lang w:val="en-AU"/>
        </w:rPr>
        <w:t>;</w:t>
      </w:r>
      <w:r w:rsidR="007A448D" w:rsidRPr="00E27200">
        <w:rPr>
          <w:lang w:val="en-AU"/>
        </w:rPr>
        <w:t xml:space="preserve"> </w:t>
      </w:r>
    </w:p>
    <w:p w14:paraId="1889865D" w14:textId="10B263E9" w:rsidR="00FE5412" w:rsidRPr="00E27200" w:rsidRDefault="00FE5412" w:rsidP="00AD3F80">
      <w:pPr>
        <w:pStyle w:val="ListParagraph"/>
        <w:numPr>
          <w:ilvl w:val="0"/>
          <w:numId w:val="22"/>
        </w:numPr>
        <w:jc w:val="left"/>
        <w:rPr>
          <w:lang w:val="en-AU"/>
        </w:rPr>
      </w:pPr>
      <w:r w:rsidRPr="00E27200">
        <w:rPr>
          <w:lang w:val="en-AU"/>
        </w:rPr>
        <w:t xml:space="preserve">Non-government organisations; </w:t>
      </w:r>
      <w:r w:rsidR="00D52274">
        <w:rPr>
          <w:lang w:val="en-AU"/>
        </w:rPr>
        <w:t>and</w:t>
      </w:r>
    </w:p>
    <w:p w14:paraId="6EF45228" w14:textId="77777777" w:rsidR="00FE5412" w:rsidRPr="00E27200" w:rsidRDefault="00E33A8E" w:rsidP="00AD3F80">
      <w:pPr>
        <w:pStyle w:val="ListParagraph"/>
        <w:numPr>
          <w:ilvl w:val="0"/>
          <w:numId w:val="22"/>
        </w:numPr>
        <w:shd w:val="clear" w:color="auto" w:fill="FFFFFF"/>
        <w:spacing w:before="100" w:beforeAutospacing="1" w:after="100" w:afterAutospacing="1"/>
        <w:jc w:val="left"/>
        <w:rPr>
          <w:rFonts w:cs="Arial"/>
          <w:lang w:val="en-AU"/>
        </w:rPr>
      </w:pPr>
      <w:r w:rsidRPr="00E27200">
        <w:rPr>
          <w:rFonts w:cs="Arial"/>
          <w:lang w:val="en-AU"/>
        </w:rPr>
        <w:t xml:space="preserve">Australian </w:t>
      </w:r>
      <w:r w:rsidR="00FE5412" w:rsidRPr="00E27200">
        <w:rPr>
          <w:rFonts w:cs="Arial"/>
          <w:lang w:val="en-AU"/>
        </w:rPr>
        <w:t>Therape</w:t>
      </w:r>
      <w:r w:rsidRPr="00E27200">
        <w:rPr>
          <w:rFonts w:cs="Arial"/>
          <w:lang w:val="en-AU"/>
        </w:rPr>
        <w:t>utic Goods Administration (TGA).</w:t>
      </w:r>
    </w:p>
    <w:p w14:paraId="2E00C776" w14:textId="77777777" w:rsidR="00F77E97" w:rsidRPr="00E27200" w:rsidRDefault="00F77E97" w:rsidP="00A10B43">
      <w:pPr>
        <w:shd w:val="clear" w:color="auto" w:fill="FFFFFF"/>
        <w:spacing w:before="100" w:beforeAutospacing="1" w:after="100" w:afterAutospacing="1"/>
        <w:rPr>
          <w:lang w:val="en-AU"/>
        </w:rPr>
        <w:sectPr w:rsidR="00F77E97" w:rsidRPr="00E27200">
          <w:type w:val="continuous"/>
          <w:pgSz w:w="11906" w:h="16838"/>
          <w:pgMar w:top="1440" w:right="1440" w:bottom="1440" w:left="1440" w:header="709" w:footer="709" w:gutter="0"/>
          <w:cols w:space="708"/>
          <w:titlePg/>
          <w:docGrid w:linePitch="360"/>
        </w:sectPr>
      </w:pPr>
    </w:p>
    <w:p w14:paraId="6EF0C851" w14:textId="77777777" w:rsidR="00CA0EE5" w:rsidRPr="00E27200" w:rsidRDefault="00CA0EE5" w:rsidP="00E16C77">
      <w:pPr>
        <w:pStyle w:val="Heading2"/>
      </w:pPr>
      <w:bookmarkStart w:id="51" w:name="_Toc239058946"/>
      <w:bookmarkStart w:id="52" w:name="_Toc365283102"/>
      <w:bookmarkStart w:id="53" w:name="_Toc239217388"/>
      <w:bookmarkStart w:id="54" w:name="_Toc239221404"/>
      <w:bookmarkStart w:id="55" w:name="_Toc239324131"/>
      <w:bookmarkStart w:id="56" w:name="_Toc245620925"/>
      <w:bookmarkStart w:id="57" w:name="_Toc245621243"/>
      <w:bookmarkStart w:id="58" w:name="_Toc245621414"/>
      <w:bookmarkStart w:id="59" w:name="_Toc245810741"/>
      <w:r w:rsidRPr="00E27200">
        <w:lastRenderedPageBreak/>
        <w:t>Health</w:t>
      </w:r>
      <w:r w:rsidR="00053017" w:rsidRPr="00E27200">
        <w:t xml:space="preserve"> facility survey</w:t>
      </w:r>
      <w:bookmarkEnd w:id="51"/>
      <w:bookmarkEnd w:id="52"/>
      <w:bookmarkEnd w:id="53"/>
      <w:bookmarkEnd w:id="54"/>
      <w:bookmarkEnd w:id="55"/>
      <w:bookmarkEnd w:id="56"/>
      <w:bookmarkEnd w:id="57"/>
      <w:bookmarkEnd w:id="58"/>
      <w:bookmarkEnd w:id="59"/>
    </w:p>
    <w:p w14:paraId="2641AC16" w14:textId="77777777" w:rsidR="00DF6777" w:rsidRPr="00E27200" w:rsidRDefault="00E33A8E" w:rsidP="00E33A8E">
      <w:pPr>
        <w:rPr>
          <w:lang w:val="en-AU"/>
        </w:rPr>
      </w:pPr>
      <w:r w:rsidRPr="00E27200">
        <w:rPr>
          <w:lang w:val="en-AU"/>
        </w:rPr>
        <w:t xml:space="preserve">A national survey of health facilities was conducted to allow objective </w:t>
      </w:r>
      <w:r w:rsidR="00674A47" w:rsidRPr="00E27200">
        <w:rPr>
          <w:lang w:val="en-AU"/>
        </w:rPr>
        <w:t>measurement</w:t>
      </w:r>
      <w:r w:rsidRPr="00E27200">
        <w:rPr>
          <w:lang w:val="en-AU"/>
        </w:rPr>
        <w:t xml:space="preserve"> of the impact of outsourced procu</w:t>
      </w:r>
      <w:r w:rsidR="00674A47" w:rsidRPr="00E27200">
        <w:rPr>
          <w:lang w:val="en-AU"/>
        </w:rPr>
        <w:t xml:space="preserve">rement and direct distribution and establish benchmarks against a number of the evaluation questions for future measurement. </w:t>
      </w:r>
    </w:p>
    <w:p w14:paraId="407387C2" w14:textId="77777777" w:rsidR="00DF6777" w:rsidRPr="00E27200" w:rsidRDefault="00DF6777" w:rsidP="00E33A8E">
      <w:pPr>
        <w:rPr>
          <w:lang w:val="en-AU"/>
        </w:rPr>
      </w:pPr>
    </w:p>
    <w:p w14:paraId="2B2BE70F" w14:textId="175CF54F" w:rsidR="00DF6777" w:rsidRPr="00E27200" w:rsidRDefault="00E33A8E" w:rsidP="00E33A8E">
      <w:pPr>
        <w:rPr>
          <w:lang w:val="en-AU"/>
        </w:rPr>
      </w:pPr>
      <w:r w:rsidRPr="00E27200">
        <w:rPr>
          <w:lang w:val="en-AU"/>
        </w:rPr>
        <w:lastRenderedPageBreak/>
        <w:t>The WHO Operational Package for Assessing, Monitoring and Evaluating Country Pharmaceutical Situations was adapted for use in PNG for reliable methodology and international comparability. The survey purposively sampled geographic areas, with a mix of purposive and random sampling within those areas, as recommended in the WHO Operational Package</w:t>
      </w:r>
      <w:r w:rsidR="00674A47" w:rsidRPr="00E27200">
        <w:rPr>
          <w:lang w:val="en-AU"/>
        </w:rPr>
        <w:t xml:space="preserve"> (detailed methodology is provided in Annex </w:t>
      </w:r>
      <w:r w:rsidR="00FF3A63">
        <w:rPr>
          <w:lang w:val="en-AU"/>
        </w:rPr>
        <w:t>11</w:t>
      </w:r>
      <w:r w:rsidR="00674A47" w:rsidRPr="00E27200">
        <w:rPr>
          <w:lang w:val="en-AU"/>
        </w:rPr>
        <w:t>.1)</w:t>
      </w:r>
      <w:r w:rsidRPr="00E27200">
        <w:rPr>
          <w:lang w:val="en-AU"/>
        </w:rPr>
        <w:t xml:space="preserve">. Two provinces </w:t>
      </w:r>
      <w:r w:rsidR="00D05C0A">
        <w:t>from each of PNG’s four regions</w:t>
      </w:r>
      <w:r w:rsidR="00D05C0A" w:rsidRPr="00E27200" w:rsidDel="00D05C0A">
        <w:rPr>
          <w:lang w:val="en-AU"/>
        </w:rPr>
        <w:t xml:space="preserve"> </w:t>
      </w:r>
      <w:r w:rsidRPr="00E27200">
        <w:rPr>
          <w:lang w:val="en-AU"/>
        </w:rPr>
        <w:t>were sampled, which provided contrasts in the primary mode of transport access, distribution methods, and socio-cultural makeup. At least one province per region with a higher proportion of districts classified as most disadvantaged and where distribution problems have been noted were included. Additionally, there was inclusion of provinces that were deemed to be developme</w:t>
      </w:r>
      <w:r w:rsidR="00674A47" w:rsidRPr="00E27200">
        <w:rPr>
          <w:lang w:val="en-AU"/>
        </w:rPr>
        <w:t xml:space="preserve">nt priorities due to population </w:t>
      </w:r>
      <w:r w:rsidRPr="00E27200">
        <w:rPr>
          <w:lang w:val="en-AU"/>
        </w:rPr>
        <w:t xml:space="preserve">health needs and a commitment to governance reform. Mixed purposive sampling and random selection within each province included hospitals, health centres, sub centres and aid posts. In each province, a set of alternate sites were pre-selected, using an extension of the above criteria, if unexpected security or weather events required a change in plans. </w:t>
      </w:r>
    </w:p>
    <w:p w14:paraId="4E4BEC29" w14:textId="77777777" w:rsidR="00DF6777" w:rsidRPr="00E27200" w:rsidRDefault="00DF6777" w:rsidP="00E33A8E">
      <w:pPr>
        <w:rPr>
          <w:lang w:val="en-AU"/>
        </w:rPr>
      </w:pPr>
    </w:p>
    <w:p w14:paraId="51AFC632" w14:textId="038D8519" w:rsidR="00E33A8E" w:rsidRPr="00E27200" w:rsidRDefault="00DF6777" w:rsidP="00E33A8E">
      <w:pPr>
        <w:rPr>
          <w:lang w:val="en-AU"/>
        </w:rPr>
      </w:pPr>
      <w:r w:rsidRPr="00E27200">
        <w:rPr>
          <w:lang w:val="en-AU"/>
        </w:rPr>
        <w:t xml:space="preserve">The survey </w:t>
      </w:r>
      <w:r w:rsidR="00110B87">
        <w:rPr>
          <w:lang w:val="en-AU"/>
        </w:rPr>
        <w:t>visited 103 health facilities, eight</w:t>
      </w:r>
      <w:r w:rsidRPr="00E27200">
        <w:rPr>
          <w:lang w:val="en-AU"/>
        </w:rPr>
        <w:t xml:space="preserve"> medical stores and interviewed 487 patients, observing 1088 prescriptions. The survey</w:t>
      </w:r>
      <w:r w:rsidR="00110B87">
        <w:rPr>
          <w:lang w:val="en-AU"/>
        </w:rPr>
        <w:t xml:space="preserve"> was conducted by 61 students, five staff and four</w:t>
      </w:r>
      <w:r w:rsidRPr="00E27200">
        <w:rPr>
          <w:lang w:val="en-AU"/>
        </w:rPr>
        <w:t xml:space="preserve"> specialists during June 6 – 22, 2013.</w:t>
      </w:r>
    </w:p>
    <w:p w14:paraId="5F535C2E" w14:textId="77777777" w:rsidR="00DF6777" w:rsidRPr="00E27200" w:rsidRDefault="00DF6777" w:rsidP="00DF6777">
      <w:pPr>
        <w:rPr>
          <w:lang w:val="en-AU"/>
        </w:rPr>
      </w:pPr>
    </w:p>
    <w:p w14:paraId="1C043FC2" w14:textId="77777777" w:rsidR="00E33A8E" w:rsidRPr="00E27200" w:rsidRDefault="00E76E71" w:rsidP="00E33A8E">
      <w:pPr>
        <w:rPr>
          <w:b/>
          <w:lang w:val="en-AU"/>
        </w:rPr>
      </w:pPr>
      <w:r w:rsidRPr="00E27200">
        <w:rPr>
          <w:b/>
          <w:lang w:val="en-AU"/>
        </w:rPr>
        <w:t>Table 1</w:t>
      </w:r>
      <w:r w:rsidR="00DF6777" w:rsidRPr="00E27200">
        <w:rPr>
          <w:b/>
          <w:lang w:val="en-AU"/>
        </w:rPr>
        <w:t>: Summary of recruited sites by geographical area and facility type.</w:t>
      </w:r>
    </w:p>
    <w:tbl>
      <w:tblPr>
        <w:tblStyle w:val="TableGrid"/>
        <w:tblW w:w="8505" w:type="dxa"/>
        <w:tblInd w:w="108" w:type="dxa"/>
        <w:tblLayout w:type="fixed"/>
        <w:tblLook w:val="04A0" w:firstRow="1" w:lastRow="0" w:firstColumn="1" w:lastColumn="0" w:noHBand="0" w:noVBand="1"/>
      </w:tblPr>
      <w:tblGrid>
        <w:gridCol w:w="1985"/>
        <w:gridCol w:w="1276"/>
        <w:gridCol w:w="1134"/>
        <w:gridCol w:w="992"/>
        <w:gridCol w:w="992"/>
        <w:gridCol w:w="992"/>
        <w:gridCol w:w="1134"/>
      </w:tblGrid>
      <w:tr w:rsidR="00DF6777" w:rsidRPr="00E27200" w14:paraId="7713E1BC" w14:textId="77777777">
        <w:tc>
          <w:tcPr>
            <w:tcW w:w="1985" w:type="dxa"/>
          </w:tcPr>
          <w:p w14:paraId="6A0EB04B" w14:textId="77777777" w:rsidR="00DF6777" w:rsidRPr="00E27200" w:rsidRDefault="00DF6777" w:rsidP="00DF6777">
            <w:pPr>
              <w:rPr>
                <w:lang w:val="en-AU"/>
              </w:rPr>
            </w:pPr>
          </w:p>
        </w:tc>
        <w:tc>
          <w:tcPr>
            <w:tcW w:w="6520" w:type="dxa"/>
            <w:gridSpan w:val="6"/>
          </w:tcPr>
          <w:p w14:paraId="508E1DA3" w14:textId="77777777" w:rsidR="00DF6777" w:rsidRPr="00E27200" w:rsidRDefault="00DF6777" w:rsidP="00DF6777">
            <w:pPr>
              <w:rPr>
                <w:lang w:val="en-AU"/>
              </w:rPr>
            </w:pPr>
            <w:r w:rsidRPr="00E27200">
              <w:rPr>
                <w:lang w:val="en-AU"/>
              </w:rPr>
              <w:t>Number of sites</w:t>
            </w:r>
          </w:p>
        </w:tc>
      </w:tr>
      <w:tr w:rsidR="00DF6777" w:rsidRPr="00E27200" w14:paraId="61D232F9" w14:textId="77777777">
        <w:tc>
          <w:tcPr>
            <w:tcW w:w="1985" w:type="dxa"/>
          </w:tcPr>
          <w:p w14:paraId="50C7DC3C" w14:textId="77777777" w:rsidR="00DF6777" w:rsidRPr="00E27200" w:rsidRDefault="00DF6777" w:rsidP="00DF6777">
            <w:pPr>
              <w:rPr>
                <w:b/>
                <w:lang w:val="en-AU"/>
              </w:rPr>
            </w:pPr>
            <w:r w:rsidRPr="00E27200">
              <w:rPr>
                <w:b/>
                <w:lang w:val="en-AU"/>
              </w:rPr>
              <w:t>Geographical area</w:t>
            </w:r>
          </w:p>
        </w:tc>
        <w:tc>
          <w:tcPr>
            <w:tcW w:w="1276" w:type="dxa"/>
          </w:tcPr>
          <w:p w14:paraId="1E58DC37" w14:textId="77777777" w:rsidR="00DF6777" w:rsidRPr="00E27200" w:rsidRDefault="00DF6777" w:rsidP="00DF6777">
            <w:pPr>
              <w:rPr>
                <w:b/>
                <w:lang w:val="en-AU"/>
              </w:rPr>
            </w:pPr>
            <w:r w:rsidRPr="00E27200">
              <w:rPr>
                <w:b/>
                <w:lang w:val="en-AU"/>
              </w:rPr>
              <w:t>Hospital</w:t>
            </w:r>
          </w:p>
        </w:tc>
        <w:tc>
          <w:tcPr>
            <w:tcW w:w="1134" w:type="dxa"/>
          </w:tcPr>
          <w:p w14:paraId="5204EB78" w14:textId="77777777" w:rsidR="00DF6777" w:rsidRPr="00E27200" w:rsidRDefault="00DF6777" w:rsidP="00DF6777">
            <w:pPr>
              <w:rPr>
                <w:b/>
                <w:lang w:val="en-AU"/>
              </w:rPr>
            </w:pPr>
            <w:r w:rsidRPr="00E27200">
              <w:rPr>
                <w:b/>
                <w:lang w:val="en-AU"/>
              </w:rPr>
              <w:t xml:space="preserve">Health </w:t>
            </w:r>
          </w:p>
          <w:p w14:paraId="21CA2AFE" w14:textId="77777777" w:rsidR="00DF6777" w:rsidRPr="00E27200" w:rsidRDefault="00DF6777" w:rsidP="00DF6777">
            <w:pPr>
              <w:rPr>
                <w:b/>
                <w:lang w:val="en-AU"/>
              </w:rPr>
            </w:pPr>
            <w:r w:rsidRPr="00E27200">
              <w:rPr>
                <w:b/>
                <w:lang w:val="en-AU"/>
              </w:rPr>
              <w:t>Centre</w:t>
            </w:r>
          </w:p>
        </w:tc>
        <w:tc>
          <w:tcPr>
            <w:tcW w:w="992" w:type="dxa"/>
          </w:tcPr>
          <w:p w14:paraId="63E0284A" w14:textId="77777777" w:rsidR="00DF6777" w:rsidRPr="00E27200" w:rsidRDefault="00DF6777" w:rsidP="00DF6777">
            <w:pPr>
              <w:rPr>
                <w:b/>
                <w:lang w:val="en-AU"/>
              </w:rPr>
            </w:pPr>
            <w:r w:rsidRPr="00E27200">
              <w:rPr>
                <w:b/>
                <w:lang w:val="en-AU"/>
              </w:rPr>
              <w:t xml:space="preserve">Sub </w:t>
            </w:r>
          </w:p>
          <w:p w14:paraId="29768CCE" w14:textId="77777777" w:rsidR="00DF6777" w:rsidRPr="00E27200" w:rsidRDefault="00DF6777" w:rsidP="00DF6777">
            <w:pPr>
              <w:rPr>
                <w:b/>
                <w:lang w:val="en-AU"/>
              </w:rPr>
            </w:pPr>
            <w:r w:rsidRPr="00E27200">
              <w:rPr>
                <w:b/>
                <w:lang w:val="en-AU"/>
              </w:rPr>
              <w:t>Centre</w:t>
            </w:r>
          </w:p>
        </w:tc>
        <w:tc>
          <w:tcPr>
            <w:tcW w:w="992" w:type="dxa"/>
          </w:tcPr>
          <w:p w14:paraId="44048038" w14:textId="77777777" w:rsidR="00DF6777" w:rsidRPr="00E27200" w:rsidRDefault="00DF6777" w:rsidP="00DF6777">
            <w:pPr>
              <w:rPr>
                <w:b/>
                <w:lang w:val="en-AU"/>
              </w:rPr>
            </w:pPr>
            <w:r w:rsidRPr="00E27200">
              <w:rPr>
                <w:b/>
                <w:lang w:val="en-AU"/>
              </w:rPr>
              <w:t>Aid</w:t>
            </w:r>
          </w:p>
          <w:p w14:paraId="7BB7C5D2" w14:textId="77777777" w:rsidR="00DF6777" w:rsidRPr="00E27200" w:rsidRDefault="00DF6777" w:rsidP="00DF6777">
            <w:pPr>
              <w:rPr>
                <w:b/>
                <w:lang w:val="en-AU"/>
              </w:rPr>
            </w:pPr>
            <w:r w:rsidRPr="00E27200">
              <w:rPr>
                <w:b/>
                <w:lang w:val="en-AU"/>
              </w:rPr>
              <w:t>Post*</w:t>
            </w:r>
          </w:p>
        </w:tc>
        <w:tc>
          <w:tcPr>
            <w:tcW w:w="992" w:type="dxa"/>
          </w:tcPr>
          <w:p w14:paraId="542D158E" w14:textId="77777777" w:rsidR="00DF6777" w:rsidRPr="00E27200" w:rsidRDefault="00DF6777" w:rsidP="00DF6777">
            <w:pPr>
              <w:rPr>
                <w:b/>
                <w:lang w:val="en-AU"/>
              </w:rPr>
            </w:pPr>
            <w:r w:rsidRPr="00E27200">
              <w:rPr>
                <w:b/>
                <w:lang w:val="en-AU"/>
              </w:rPr>
              <w:t>Area Medical</w:t>
            </w:r>
          </w:p>
          <w:p w14:paraId="60A0C39F" w14:textId="77777777" w:rsidR="00DF6777" w:rsidRPr="00E27200" w:rsidRDefault="00DF6777" w:rsidP="00DF6777">
            <w:pPr>
              <w:rPr>
                <w:b/>
                <w:lang w:val="en-AU"/>
              </w:rPr>
            </w:pPr>
            <w:r w:rsidRPr="00E27200">
              <w:rPr>
                <w:b/>
                <w:lang w:val="en-AU"/>
              </w:rPr>
              <w:t xml:space="preserve"> Store</w:t>
            </w:r>
          </w:p>
        </w:tc>
        <w:tc>
          <w:tcPr>
            <w:tcW w:w="1134" w:type="dxa"/>
          </w:tcPr>
          <w:p w14:paraId="127D9F34" w14:textId="77777777" w:rsidR="00DF6777" w:rsidRPr="00E27200" w:rsidRDefault="00DF6777" w:rsidP="00DF6777">
            <w:pPr>
              <w:rPr>
                <w:b/>
                <w:lang w:val="en-AU"/>
              </w:rPr>
            </w:pPr>
            <w:r w:rsidRPr="00E27200">
              <w:rPr>
                <w:b/>
                <w:lang w:val="en-AU"/>
              </w:rPr>
              <w:t xml:space="preserve">Provincial Transit </w:t>
            </w:r>
          </w:p>
          <w:p w14:paraId="78514BB4" w14:textId="77777777" w:rsidR="00DF6777" w:rsidRPr="00E27200" w:rsidRDefault="00DF6777" w:rsidP="00DF6777">
            <w:pPr>
              <w:rPr>
                <w:b/>
                <w:lang w:val="en-AU"/>
              </w:rPr>
            </w:pPr>
            <w:r w:rsidRPr="00E27200">
              <w:rPr>
                <w:b/>
                <w:lang w:val="en-AU"/>
              </w:rPr>
              <w:t>Store</w:t>
            </w:r>
          </w:p>
        </w:tc>
      </w:tr>
      <w:tr w:rsidR="00DF6777" w:rsidRPr="00E27200" w14:paraId="44A14941" w14:textId="77777777">
        <w:tc>
          <w:tcPr>
            <w:tcW w:w="1985" w:type="dxa"/>
          </w:tcPr>
          <w:p w14:paraId="57FA5A97" w14:textId="77777777" w:rsidR="00DF6777" w:rsidRPr="00E27200" w:rsidRDefault="00DF6777" w:rsidP="00DF6777">
            <w:pPr>
              <w:rPr>
                <w:b/>
                <w:lang w:val="en-AU"/>
              </w:rPr>
            </w:pPr>
            <w:r w:rsidRPr="00E27200">
              <w:rPr>
                <w:b/>
                <w:lang w:val="en-AU"/>
              </w:rPr>
              <w:t>SOUTHERN</w:t>
            </w:r>
          </w:p>
        </w:tc>
        <w:tc>
          <w:tcPr>
            <w:tcW w:w="1276" w:type="dxa"/>
            <w:vAlign w:val="center"/>
          </w:tcPr>
          <w:p w14:paraId="3A722E6B" w14:textId="77777777" w:rsidR="00DF6777" w:rsidRPr="00E27200" w:rsidRDefault="00DF6777" w:rsidP="00DF6777">
            <w:pPr>
              <w:jc w:val="center"/>
              <w:rPr>
                <w:lang w:val="en-AU"/>
              </w:rPr>
            </w:pPr>
          </w:p>
        </w:tc>
        <w:tc>
          <w:tcPr>
            <w:tcW w:w="1134" w:type="dxa"/>
            <w:vAlign w:val="center"/>
          </w:tcPr>
          <w:p w14:paraId="496B975C" w14:textId="77777777" w:rsidR="00DF6777" w:rsidRPr="00E27200" w:rsidRDefault="00DF6777" w:rsidP="00DF6777">
            <w:pPr>
              <w:jc w:val="center"/>
              <w:rPr>
                <w:lang w:val="en-AU"/>
              </w:rPr>
            </w:pPr>
          </w:p>
        </w:tc>
        <w:tc>
          <w:tcPr>
            <w:tcW w:w="992" w:type="dxa"/>
            <w:vAlign w:val="center"/>
          </w:tcPr>
          <w:p w14:paraId="3F9A921E" w14:textId="77777777" w:rsidR="00DF6777" w:rsidRPr="00E27200" w:rsidRDefault="00DF6777" w:rsidP="00DF6777">
            <w:pPr>
              <w:jc w:val="center"/>
              <w:rPr>
                <w:lang w:val="en-AU"/>
              </w:rPr>
            </w:pPr>
          </w:p>
        </w:tc>
        <w:tc>
          <w:tcPr>
            <w:tcW w:w="992" w:type="dxa"/>
            <w:vAlign w:val="center"/>
          </w:tcPr>
          <w:p w14:paraId="27E45FBE" w14:textId="77777777" w:rsidR="00DF6777" w:rsidRPr="00E27200" w:rsidRDefault="00DF6777" w:rsidP="00DF6777">
            <w:pPr>
              <w:jc w:val="center"/>
              <w:rPr>
                <w:lang w:val="en-AU"/>
              </w:rPr>
            </w:pPr>
          </w:p>
        </w:tc>
        <w:tc>
          <w:tcPr>
            <w:tcW w:w="992" w:type="dxa"/>
            <w:vAlign w:val="center"/>
          </w:tcPr>
          <w:p w14:paraId="7F39C380" w14:textId="77777777" w:rsidR="00DF6777" w:rsidRPr="00E27200" w:rsidRDefault="00DF6777" w:rsidP="00DF6777">
            <w:pPr>
              <w:jc w:val="center"/>
              <w:rPr>
                <w:lang w:val="en-AU"/>
              </w:rPr>
            </w:pPr>
          </w:p>
        </w:tc>
        <w:tc>
          <w:tcPr>
            <w:tcW w:w="1134" w:type="dxa"/>
            <w:vAlign w:val="center"/>
          </w:tcPr>
          <w:p w14:paraId="660E10A4" w14:textId="77777777" w:rsidR="00DF6777" w:rsidRPr="00E27200" w:rsidRDefault="00DF6777" w:rsidP="00DF6777">
            <w:pPr>
              <w:jc w:val="center"/>
              <w:rPr>
                <w:lang w:val="en-AU"/>
              </w:rPr>
            </w:pPr>
          </w:p>
        </w:tc>
      </w:tr>
      <w:tr w:rsidR="00DF6777" w:rsidRPr="00E27200" w14:paraId="4433C3AE" w14:textId="77777777">
        <w:tc>
          <w:tcPr>
            <w:tcW w:w="1985" w:type="dxa"/>
          </w:tcPr>
          <w:p w14:paraId="7A842F1B" w14:textId="77777777" w:rsidR="00DF6777" w:rsidRPr="00E27200" w:rsidRDefault="00DF6777" w:rsidP="00DF6777">
            <w:pPr>
              <w:rPr>
                <w:lang w:val="en-AU"/>
              </w:rPr>
            </w:pPr>
            <w:r w:rsidRPr="00E27200">
              <w:rPr>
                <w:lang w:val="en-AU"/>
              </w:rPr>
              <w:t>Western</w:t>
            </w:r>
          </w:p>
        </w:tc>
        <w:tc>
          <w:tcPr>
            <w:tcW w:w="1276" w:type="dxa"/>
            <w:vAlign w:val="center"/>
          </w:tcPr>
          <w:p w14:paraId="3C101F9C" w14:textId="77777777" w:rsidR="00DF6777" w:rsidRPr="00E27200" w:rsidRDefault="00DF6777" w:rsidP="00DF6777">
            <w:pPr>
              <w:jc w:val="center"/>
              <w:rPr>
                <w:lang w:val="en-AU"/>
              </w:rPr>
            </w:pPr>
            <w:r w:rsidRPr="00E27200">
              <w:rPr>
                <w:lang w:val="en-AU"/>
              </w:rPr>
              <w:t>3</w:t>
            </w:r>
          </w:p>
        </w:tc>
        <w:tc>
          <w:tcPr>
            <w:tcW w:w="1134" w:type="dxa"/>
            <w:vAlign w:val="center"/>
          </w:tcPr>
          <w:p w14:paraId="519986CD" w14:textId="77777777" w:rsidR="00DF6777" w:rsidRPr="00E27200" w:rsidRDefault="00DF6777" w:rsidP="00DF6777">
            <w:pPr>
              <w:jc w:val="center"/>
              <w:rPr>
                <w:lang w:val="en-AU"/>
              </w:rPr>
            </w:pPr>
            <w:r w:rsidRPr="00E27200">
              <w:rPr>
                <w:lang w:val="en-AU"/>
              </w:rPr>
              <w:t>4</w:t>
            </w:r>
          </w:p>
        </w:tc>
        <w:tc>
          <w:tcPr>
            <w:tcW w:w="992" w:type="dxa"/>
            <w:vAlign w:val="center"/>
          </w:tcPr>
          <w:p w14:paraId="09D54C3B" w14:textId="77777777" w:rsidR="00DF6777" w:rsidRPr="00E27200" w:rsidRDefault="00DF6777" w:rsidP="00DF6777">
            <w:pPr>
              <w:jc w:val="center"/>
              <w:rPr>
                <w:lang w:val="en-AU"/>
              </w:rPr>
            </w:pPr>
            <w:r w:rsidRPr="00E27200">
              <w:rPr>
                <w:lang w:val="en-AU"/>
              </w:rPr>
              <w:t>1</w:t>
            </w:r>
          </w:p>
        </w:tc>
        <w:tc>
          <w:tcPr>
            <w:tcW w:w="992" w:type="dxa"/>
            <w:vAlign w:val="center"/>
          </w:tcPr>
          <w:p w14:paraId="56DA1A2C" w14:textId="77777777" w:rsidR="00DF6777" w:rsidRPr="00E27200" w:rsidRDefault="00DF6777" w:rsidP="00DF6777">
            <w:pPr>
              <w:jc w:val="center"/>
              <w:rPr>
                <w:lang w:val="en-AU"/>
              </w:rPr>
            </w:pPr>
            <w:r w:rsidRPr="00E27200">
              <w:rPr>
                <w:lang w:val="en-AU"/>
              </w:rPr>
              <w:t>6</w:t>
            </w:r>
          </w:p>
        </w:tc>
        <w:tc>
          <w:tcPr>
            <w:tcW w:w="992" w:type="dxa"/>
            <w:vAlign w:val="center"/>
          </w:tcPr>
          <w:p w14:paraId="082AE04E" w14:textId="77777777" w:rsidR="00DF6777" w:rsidRPr="00E27200" w:rsidRDefault="00DF6777" w:rsidP="00DF6777">
            <w:pPr>
              <w:jc w:val="center"/>
              <w:rPr>
                <w:lang w:val="en-AU"/>
              </w:rPr>
            </w:pPr>
          </w:p>
        </w:tc>
        <w:tc>
          <w:tcPr>
            <w:tcW w:w="1134" w:type="dxa"/>
            <w:vAlign w:val="center"/>
          </w:tcPr>
          <w:p w14:paraId="6FEBCD66" w14:textId="77777777" w:rsidR="00DF6777" w:rsidRPr="00E27200" w:rsidRDefault="00DF6777" w:rsidP="00DF6777">
            <w:pPr>
              <w:jc w:val="center"/>
              <w:rPr>
                <w:lang w:val="en-AU"/>
              </w:rPr>
            </w:pPr>
            <w:r w:rsidRPr="00E27200">
              <w:rPr>
                <w:lang w:val="en-AU"/>
              </w:rPr>
              <w:t>1</w:t>
            </w:r>
          </w:p>
        </w:tc>
      </w:tr>
      <w:tr w:rsidR="00DF6777" w:rsidRPr="00E27200" w14:paraId="6311F6F5" w14:textId="77777777">
        <w:tc>
          <w:tcPr>
            <w:tcW w:w="1985" w:type="dxa"/>
          </w:tcPr>
          <w:p w14:paraId="10E6CD58" w14:textId="77777777" w:rsidR="00DF6777" w:rsidRPr="00E27200" w:rsidRDefault="00DF6777" w:rsidP="00DF6777">
            <w:pPr>
              <w:rPr>
                <w:lang w:val="en-AU"/>
              </w:rPr>
            </w:pPr>
            <w:r w:rsidRPr="00E27200">
              <w:rPr>
                <w:lang w:val="en-AU"/>
              </w:rPr>
              <w:t>Milne Bay</w:t>
            </w:r>
          </w:p>
        </w:tc>
        <w:tc>
          <w:tcPr>
            <w:tcW w:w="1276" w:type="dxa"/>
            <w:vAlign w:val="center"/>
          </w:tcPr>
          <w:p w14:paraId="0160685D" w14:textId="77777777" w:rsidR="00DF6777" w:rsidRPr="00E27200" w:rsidRDefault="00DF6777" w:rsidP="00DF6777">
            <w:pPr>
              <w:jc w:val="center"/>
              <w:rPr>
                <w:lang w:val="en-AU"/>
              </w:rPr>
            </w:pPr>
            <w:r w:rsidRPr="00E27200">
              <w:rPr>
                <w:lang w:val="en-AU"/>
              </w:rPr>
              <w:t>1</w:t>
            </w:r>
          </w:p>
        </w:tc>
        <w:tc>
          <w:tcPr>
            <w:tcW w:w="1134" w:type="dxa"/>
            <w:vAlign w:val="center"/>
          </w:tcPr>
          <w:p w14:paraId="6A905E85" w14:textId="77777777" w:rsidR="00DF6777" w:rsidRPr="00E27200" w:rsidRDefault="00DF6777" w:rsidP="00DF6777">
            <w:pPr>
              <w:jc w:val="center"/>
              <w:rPr>
                <w:lang w:val="en-AU"/>
              </w:rPr>
            </w:pPr>
            <w:r w:rsidRPr="00E27200">
              <w:rPr>
                <w:lang w:val="en-AU"/>
              </w:rPr>
              <w:t>4</w:t>
            </w:r>
          </w:p>
        </w:tc>
        <w:tc>
          <w:tcPr>
            <w:tcW w:w="992" w:type="dxa"/>
            <w:vAlign w:val="center"/>
          </w:tcPr>
          <w:p w14:paraId="3F871100" w14:textId="77777777" w:rsidR="00DF6777" w:rsidRPr="00E27200" w:rsidRDefault="00DF6777" w:rsidP="00DF6777">
            <w:pPr>
              <w:jc w:val="center"/>
              <w:rPr>
                <w:lang w:val="en-AU"/>
              </w:rPr>
            </w:pPr>
          </w:p>
        </w:tc>
        <w:tc>
          <w:tcPr>
            <w:tcW w:w="992" w:type="dxa"/>
            <w:vAlign w:val="center"/>
          </w:tcPr>
          <w:p w14:paraId="3BA3F588" w14:textId="77777777" w:rsidR="00DF6777" w:rsidRPr="00E27200" w:rsidRDefault="00DF6777" w:rsidP="00DF6777">
            <w:pPr>
              <w:jc w:val="center"/>
              <w:rPr>
                <w:lang w:val="en-AU"/>
              </w:rPr>
            </w:pPr>
            <w:r w:rsidRPr="00E27200">
              <w:rPr>
                <w:lang w:val="en-AU"/>
              </w:rPr>
              <w:t>5</w:t>
            </w:r>
          </w:p>
        </w:tc>
        <w:tc>
          <w:tcPr>
            <w:tcW w:w="992" w:type="dxa"/>
            <w:vAlign w:val="center"/>
          </w:tcPr>
          <w:p w14:paraId="1C0F35A7" w14:textId="77777777" w:rsidR="00DF6777" w:rsidRPr="00E27200" w:rsidRDefault="00DF6777" w:rsidP="00DF6777">
            <w:pPr>
              <w:jc w:val="center"/>
              <w:rPr>
                <w:lang w:val="en-AU"/>
              </w:rPr>
            </w:pPr>
          </w:p>
        </w:tc>
        <w:tc>
          <w:tcPr>
            <w:tcW w:w="1134" w:type="dxa"/>
            <w:vAlign w:val="center"/>
          </w:tcPr>
          <w:p w14:paraId="0E8A19F1" w14:textId="77777777" w:rsidR="00DF6777" w:rsidRPr="00E27200" w:rsidRDefault="00DF6777" w:rsidP="00DF6777">
            <w:pPr>
              <w:jc w:val="center"/>
              <w:rPr>
                <w:lang w:val="en-AU"/>
              </w:rPr>
            </w:pPr>
            <w:r w:rsidRPr="00E27200">
              <w:rPr>
                <w:lang w:val="en-AU"/>
              </w:rPr>
              <w:t>1</w:t>
            </w:r>
          </w:p>
        </w:tc>
      </w:tr>
      <w:tr w:rsidR="00DF6777" w:rsidRPr="00E27200" w14:paraId="13A2B7CF" w14:textId="77777777">
        <w:tc>
          <w:tcPr>
            <w:tcW w:w="1985" w:type="dxa"/>
          </w:tcPr>
          <w:p w14:paraId="433C0EFD" w14:textId="77777777" w:rsidR="00DF6777" w:rsidRPr="00E27200" w:rsidRDefault="00DF6777" w:rsidP="00DF6777">
            <w:pPr>
              <w:rPr>
                <w:b/>
                <w:lang w:val="en-AU"/>
              </w:rPr>
            </w:pPr>
            <w:r w:rsidRPr="00E27200">
              <w:rPr>
                <w:b/>
                <w:lang w:val="en-AU"/>
              </w:rPr>
              <w:t>MOMASE</w:t>
            </w:r>
          </w:p>
        </w:tc>
        <w:tc>
          <w:tcPr>
            <w:tcW w:w="1276" w:type="dxa"/>
            <w:vAlign w:val="center"/>
          </w:tcPr>
          <w:p w14:paraId="7217CEA8" w14:textId="77777777" w:rsidR="00DF6777" w:rsidRPr="00E27200" w:rsidRDefault="00DF6777" w:rsidP="00DF6777">
            <w:pPr>
              <w:jc w:val="center"/>
              <w:rPr>
                <w:lang w:val="en-AU"/>
              </w:rPr>
            </w:pPr>
          </w:p>
        </w:tc>
        <w:tc>
          <w:tcPr>
            <w:tcW w:w="1134" w:type="dxa"/>
            <w:vAlign w:val="center"/>
          </w:tcPr>
          <w:p w14:paraId="165FFF91" w14:textId="77777777" w:rsidR="00DF6777" w:rsidRPr="00E27200" w:rsidRDefault="00DF6777" w:rsidP="00DF6777">
            <w:pPr>
              <w:jc w:val="center"/>
              <w:rPr>
                <w:lang w:val="en-AU"/>
              </w:rPr>
            </w:pPr>
          </w:p>
        </w:tc>
        <w:tc>
          <w:tcPr>
            <w:tcW w:w="992" w:type="dxa"/>
            <w:vAlign w:val="center"/>
          </w:tcPr>
          <w:p w14:paraId="7BDC0CF4" w14:textId="77777777" w:rsidR="00DF6777" w:rsidRPr="00E27200" w:rsidRDefault="00DF6777" w:rsidP="00DF6777">
            <w:pPr>
              <w:jc w:val="center"/>
              <w:rPr>
                <w:lang w:val="en-AU"/>
              </w:rPr>
            </w:pPr>
          </w:p>
        </w:tc>
        <w:tc>
          <w:tcPr>
            <w:tcW w:w="992" w:type="dxa"/>
            <w:vAlign w:val="center"/>
          </w:tcPr>
          <w:p w14:paraId="43E9DE15" w14:textId="77777777" w:rsidR="00DF6777" w:rsidRPr="00E27200" w:rsidRDefault="00DF6777" w:rsidP="00DF6777">
            <w:pPr>
              <w:jc w:val="center"/>
              <w:rPr>
                <w:lang w:val="en-AU"/>
              </w:rPr>
            </w:pPr>
          </w:p>
        </w:tc>
        <w:tc>
          <w:tcPr>
            <w:tcW w:w="992" w:type="dxa"/>
            <w:vAlign w:val="center"/>
          </w:tcPr>
          <w:p w14:paraId="7DF9A5C4" w14:textId="77777777" w:rsidR="00DF6777" w:rsidRPr="00E27200" w:rsidRDefault="00DF6777" w:rsidP="00DF6777">
            <w:pPr>
              <w:jc w:val="center"/>
              <w:rPr>
                <w:lang w:val="en-AU"/>
              </w:rPr>
            </w:pPr>
          </w:p>
        </w:tc>
        <w:tc>
          <w:tcPr>
            <w:tcW w:w="1134" w:type="dxa"/>
            <w:vAlign w:val="center"/>
          </w:tcPr>
          <w:p w14:paraId="6D593DBF" w14:textId="77777777" w:rsidR="00DF6777" w:rsidRPr="00E27200" w:rsidRDefault="00DF6777" w:rsidP="00DF6777">
            <w:pPr>
              <w:jc w:val="center"/>
              <w:rPr>
                <w:lang w:val="en-AU"/>
              </w:rPr>
            </w:pPr>
          </w:p>
        </w:tc>
      </w:tr>
      <w:tr w:rsidR="00DF6777" w:rsidRPr="00E27200" w14:paraId="1FF5AD6B" w14:textId="77777777">
        <w:tc>
          <w:tcPr>
            <w:tcW w:w="1985" w:type="dxa"/>
          </w:tcPr>
          <w:p w14:paraId="64723792" w14:textId="77777777" w:rsidR="00DF6777" w:rsidRPr="00E27200" w:rsidRDefault="00DF6777" w:rsidP="00DF6777">
            <w:pPr>
              <w:rPr>
                <w:lang w:val="en-AU"/>
              </w:rPr>
            </w:pPr>
            <w:proofErr w:type="spellStart"/>
            <w:r w:rsidRPr="00E27200">
              <w:rPr>
                <w:lang w:val="en-AU"/>
              </w:rPr>
              <w:t>Madang</w:t>
            </w:r>
            <w:proofErr w:type="spellEnd"/>
          </w:p>
        </w:tc>
        <w:tc>
          <w:tcPr>
            <w:tcW w:w="1276" w:type="dxa"/>
            <w:vAlign w:val="center"/>
          </w:tcPr>
          <w:p w14:paraId="0CCABECC" w14:textId="77777777" w:rsidR="00DF6777" w:rsidRPr="00E27200" w:rsidRDefault="00DF6777" w:rsidP="00DF6777">
            <w:pPr>
              <w:jc w:val="center"/>
              <w:rPr>
                <w:lang w:val="en-AU"/>
              </w:rPr>
            </w:pPr>
            <w:r w:rsidRPr="00E27200">
              <w:rPr>
                <w:lang w:val="en-AU"/>
              </w:rPr>
              <w:t>1</w:t>
            </w:r>
          </w:p>
        </w:tc>
        <w:tc>
          <w:tcPr>
            <w:tcW w:w="1134" w:type="dxa"/>
            <w:vAlign w:val="center"/>
          </w:tcPr>
          <w:p w14:paraId="59065B05" w14:textId="77777777" w:rsidR="00DF6777" w:rsidRPr="00E27200" w:rsidRDefault="00DF6777" w:rsidP="00DF6777">
            <w:pPr>
              <w:jc w:val="center"/>
              <w:rPr>
                <w:lang w:val="en-AU"/>
              </w:rPr>
            </w:pPr>
            <w:r w:rsidRPr="00E27200">
              <w:rPr>
                <w:lang w:val="en-AU"/>
              </w:rPr>
              <w:t>5</w:t>
            </w:r>
          </w:p>
        </w:tc>
        <w:tc>
          <w:tcPr>
            <w:tcW w:w="992" w:type="dxa"/>
            <w:vAlign w:val="center"/>
          </w:tcPr>
          <w:p w14:paraId="63DEB085" w14:textId="77777777" w:rsidR="00DF6777" w:rsidRPr="00E27200" w:rsidRDefault="00DF6777" w:rsidP="00DF6777">
            <w:pPr>
              <w:jc w:val="center"/>
              <w:rPr>
                <w:lang w:val="en-AU"/>
              </w:rPr>
            </w:pPr>
            <w:r w:rsidRPr="00E27200">
              <w:rPr>
                <w:lang w:val="en-AU"/>
              </w:rPr>
              <w:t>1</w:t>
            </w:r>
          </w:p>
        </w:tc>
        <w:tc>
          <w:tcPr>
            <w:tcW w:w="992" w:type="dxa"/>
            <w:vAlign w:val="center"/>
          </w:tcPr>
          <w:p w14:paraId="7126D91F" w14:textId="77777777" w:rsidR="00DF6777" w:rsidRPr="00E27200" w:rsidRDefault="00DF6777" w:rsidP="00DF6777">
            <w:pPr>
              <w:jc w:val="center"/>
              <w:rPr>
                <w:lang w:val="en-AU"/>
              </w:rPr>
            </w:pPr>
            <w:r w:rsidRPr="00E27200">
              <w:rPr>
                <w:lang w:val="en-AU"/>
              </w:rPr>
              <w:t>8</w:t>
            </w:r>
          </w:p>
        </w:tc>
        <w:tc>
          <w:tcPr>
            <w:tcW w:w="992" w:type="dxa"/>
            <w:vAlign w:val="center"/>
          </w:tcPr>
          <w:p w14:paraId="7A646F4C" w14:textId="77777777" w:rsidR="00DF6777" w:rsidRPr="00E27200" w:rsidRDefault="00DF6777" w:rsidP="00DF6777">
            <w:pPr>
              <w:jc w:val="center"/>
              <w:rPr>
                <w:lang w:val="en-AU"/>
              </w:rPr>
            </w:pPr>
          </w:p>
        </w:tc>
        <w:tc>
          <w:tcPr>
            <w:tcW w:w="1134" w:type="dxa"/>
            <w:vAlign w:val="center"/>
          </w:tcPr>
          <w:p w14:paraId="7A0EAC52" w14:textId="77777777" w:rsidR="00DF6777" w:rsidRPr="00E27200" w:rsidRDefault="00DF6777" w:rsidP="00DF6777">
            <w:pPr>
              <w:jc w:val="center"/>
              <w:rPr>
                <w:lang w:val="en-AU"/>
              </w:rPr>
            </w:pPr>
            <w:r w:rsidRPr="00E27200">
              <w:rPr>
                <w:lang w:val="en-AU"/>
              </w:rPr>
              <w:t>1</w:t>
            </w:r>
          </w:p>
        </w:tc>
      </w:tr>
      <w:tr w:rsidR="00DF6777" w:rsidRPr="00E27200" w14:paraId="1201D868" w14:textId="77777777">
        <w:tc>
          <w:tcPr>
            <w:tcW w:w="1985" w:type="dxa"/>
          </w:tcPr>
          <w:p w14:paraId="2F0A9D71" w14:textId="77777777" w:rsidR="00DF6777" w:rsidRPr="00E27200" w:rsidRDefault="00DF6777" w:rsidP="00DF6777">
            <w:pPr>
              <w:rPr>
                <w:lang w:val="en-AU"/>
              </w:rPr>
            </w:pPr>
            <w:r w:rsidRPr="00E27200">
              <w:rPr>
                <w:lang w:val="en-AU"/>
              </w:rPr>
              <w:t>West Sepik</w:t>
            </w:r>
          </w:p>
        </w:tc>
        <w:tc>
          <w:tcPr>
            <w:tcW w:w="1276" w:type="dxa"/>
            <w:vAlign w:val="center"/>
          </w:tcPr>
          <w:p w14:paraId="4546BB09" w14:textId="77777777" w:rsidR="00DF6777" w:rsidRPr="00E27200" w:rsidRDefault="00DF6777" w:rsidP="00DF6777">
            <w:pPr>
              <w:jc w:val="center"/>
              <w:rPr>
                <w:lang w:val="en-AU"/>
              </w:rPr>
            </w:pPr>
            <w:r w:rsidRPr="00E27200">
              <w:rPr>
                <w:lang w:val="en-AU"/>
              </w:rPr>
              <w:t>1</w:t>
            </w:r>
          </w:p>
        </w:tc>
        <w:tc>
          <w:tcPr>
            <w:tcW w:w="1134" w:type="dxa"/>
            <w:vAlign w:val="center"/>
          </w:tcPr>
          <w:p w14:paraId="458230F2" w14:textId="77777777" w:rsidR="00DF6777" w:rsidRPr="00E27200" w:rsidRDefault="00DF6777" w:rsidP="00DF6777">
            <w:pPr>
              <w:jc w:val="center"/>
              <w:rPr>
                <w:lang w:val="en-AU"/>
              </w:rPr>
            </w:pPr>
            <w:r w:rsidRPr="00E27200">
              <w:rPr>
                <w:lang w:val="en-AU"/>
              </w:rPr>
              <w:t>4</w:t>
            </w:r>
          </w:p>
        </w:tc>
        <w:tc>
          <w:tcPr>
            <w:tcW w:w="992" w:type="dxa"/>
            <w:vAlign w:val="center"/>
          </w:tcPr>
          <w:p w14:paraId="2E9C843D" w14:textId="77777777" w:rsidR="00DF6777" w:rsidRPr="00E27200" w:rsidRDefault="00DF6777" w:rsidP="00DF6777">
            <w:pPr>
              <w:jc w:val="center"/>
              <w:rPr>
                <w:lang w:val="en-AU"/>
              </w:rPr>
            </w:pPr>
            <w:r w:rsidRPr="00E27200">
              <w:rPr>
                <w:lang w:val="en-AU"/>
              </w:rPr>
              <w:t>1</w:t>
            </w:r>
          </w:p>
        </w:tc>
        <w:tc>
          <w:tcPr>
            <w:tcW w:w="992" w:type="dxa"/>
            <w:vAlign w:val="center"/>
          </w:tcPr>
          <w:p w14:paraId="4589E736" w14:textId="77777777" w:rsidR="00DF6777" w:rsidRPr="00E27200" w:rsidRDefault="00DF6777" w:rsidP="00DF6777">
            <w:pPr>
              <w:jc w:val="center"/>
              <w:rPr>
                <w:lang w:val="en-AU"/>
              </w:rPr>
            </w:pPr>
            <w:r w:rsidRPr="00E27200">
              <w:rPr>
                <w:lang w:val="en-AU"/>
              </w:rPr>
              <w:t>4</w:t>
            </w:r>
          </w:p>
        </w:tc>
        <w:tc>
          <w:tcPr>
            <w:tcW w:w="992" w:type="dxa"/>
            <w:vAlign w:val="center"/>
          </w:tcPr>
          <w:p w14:paraId="5677CE4B" w14:textId="77777777" w:rsidR="00DF6777" w:rsidRPr="00E27200" w:rsidRDefault="00DF6777" w:rsidP="00DF6777">
            <w:pPr>
              <w:jc w:val="center"/>
              <w:rPr>
                <w:lang w:val="en-AU"/>
              </w:rPr>
            </w:pPr>
          </w:p>
        </w:tc>
        <w:tc>
          <w:tcPr>
            <w:tcW w:w="1134" w:type="dxa"/>
            <w:vAlign w:val="center"/>
          </w:tcPr>
          <w:p w14:paraId="4D31FE9E" w14:textId="77777777" w:rsidR="00DF6777" w:rsidRPr="00E27200" w:rsidRDefault="00DF6777" w:rsidP="00DF6777">
            <w:pPr>
              <w:jc w:val="center"/>
              <w:rPr>
                <w:lang w:val="en-AU"/>
              </w:rPr>
            </w:pPr>
          </w:p>
        </w:tc>
      </w:tr>
      <w:tr w:rsidR="00DF6777" w:rsidRPr="00E27200" w14:paraId="426B957A" w14:textId="77777777">
        <w:tc>
          <w:tcPr>
            <w:tcW w:w="1985" w:type="dxa"/>
          </w:tcPr>
          <w:p w14:paraId="6BD7BB8F" w14:textId="77777777" w:rsidR="00DF6777" w:rsidRPr="00E27200" w:rsidRDefault="00DF6777" w:rsidP="00DF6777">
            <w:pPr>
              <w:rPr>
                <w:b/>
                <w:lang w:val="en-AU"/>
              </w:rPr>
            </w:pPr>
            <w:r w:rsidRPr="00E27200">
              <w:rPr>
                <w:b/>
                <w:lang w:val="en-AU"/>
              </w:rPr>
              <w:t>ISLANDS</w:t>
            </w:r>
          </w:p>
        </w:tc>
        <w:tc>
          <w:tcPr>
            <w:tcW w:w="1276" w:type="dxa"/>
            <w:vAlign w:val="center"/>
          </w:tcPr>
          <w:p w14:paraId="4E435C7A" w14:textId="77777777" w:rsidR="00DF6777" w:rsidRPr="00E27200" w:rsidRDefault="00DF6777" w:rsidP="00DF6777">
            <w:pPr>
              <w:jc w:val="center"/>
              <w:rPr>
                <w:lang w:val="en-AU"/>
              </w:rPr>
            </w:pPr>
          </w:p>
        </w:tc>
        <w:tc>
          <w:tcPr>
            <w:tcW w:w="1134" w:type="dxa"/>
            <w:vAlign w:val="center"/>
          </w:tcPr>
          <w:p w14:paraId="093F9428" w14:textId="77777777" w:rsidR="00DF6777" w:rsidRPr="00E27200" w:rsidRDefault="00DF6777" w:rsidP="00DF6777">
            <w:pPr>
              <w:jc w:val="center"/>
              <w:rPr>
                <w:lang w:val="en-AU"/>
              </w:rPr>
            </w:pPr>
          </w:p>
        </w:tc>
        <w:tc>
          <w:tcPr>
            <w:tcW w:w="992" w:type="dxa"/>
            <w:vAlign w:val="center"/>
          </w:tcPr>
          <w:p w14:paraId="67238238" w14:textId="77777777" w:rsidR="00DF6777" w:rsidRPr="00E27200" w:rsidRDefault="00DF6777" w:rsidP="00DF6777">
            <w:pPr>
              <w:jc w:val="center"/>
              <w:rPr>
                <w:lang w:val="en-AU"/>
              </w:rPr>
            </w:pPr>
          </w:p>
        </w:tc>
        <w:tc>
          <w:tcPr>
            <w:tcW w:w="992" w:type="dxa"/>
            <w:vAlign w:val="center"/>
          </w:tcPr>
          <w:p w14:paraId="58478751" w14:textId="77777777" w:rsidR="00DF6777" w:rsidRPr="00E27200" w:rsidRDefault="00DF6777" w:rsidP="00DF6777">
            <w:pPr>
              <w:jc w:val="center"/>
              <w:rPr>
                <w:lang w:val="en-AU"/>
              </w:rPr>
            </w:pPr>
          </w:p>
        </w:tc>
        <w:tc>
          <w:tcPr>
            <w:tcW w:w="992" w:type="dxa"/>
            <w:vAlign w:val="center"/>
          </w:tcPr>
          <w:p w14:paraId="4B1F1A9F" w14:textId="77777777" w:rsidR="00DF6777" w:rsidRPr="00E27200" w:rsidRDefault="00DF6777" w:rsidP="00DF6777">
            <w:pPr>
              <w:jc w:val="center"/>
              <w:rPr>
                <w:lang w:val="en-AU"/>
              </w:rPr>
            </w:pPr>
          </w:p>
        </w:tc>
        <w:tc>
          <w:tcPr>
            <w:tcW w:w="1134" w:type="dxa"/>
            <w:vAlign w:val="center"/>
          </w:tcPr>
          <w:p w14:paraId="034D2AB2" w14:textId="77777777" w:rsidR="00DF6777" w:rsidRPr="00E27200" w:rsidRDefault="00DF6777" w:rsidP="00DF6777">
            <w:pPr>
              <w:jc w:val="center"/>
              <w:rPr>
                <w:lang w:val="en-AU"/>
              </w:rPr>
            </w:pPr>
          </w:p>
        </w:tc>
      </w:tr>
      <w:tr w:rsidR="00DF6777" w:rsidRPr="00E27200" w14:paraId="439CD8A6" w14:textId="77777777">
        <w:tc>
          <w:tcPr>
            <w:tcW w:w="1985" w:type="dxa"/>
          </w:tcPr>
          <w:p w14:paraId="3452469C" w14:textId="77777777" w:rsidR="00DF6777" w:rsidRPr="00E27200" w:rsidRDefault="00DF6777" w:rsidP="00DF6777">
            <w:pPr>
              <w:rPr>
                <w:lang w:val="en-AU"/>
              </w:rPr>
            </w:pPr>
            <w:r w:rsidRPr="00E27200">
              <w:rPr>
                <w:lang w:val="en-AU"/>
              </w:rPr>
              <w:t>East New Britain</w:t>
            </w:r>
          </w:p>
        </w:tc>
        <w:tc>
          <w:tcPr>
            <w:tcW w:w="1276" w:type="dxa"/>
            <w:vAlign w:val="center"/>
          </w:tcPr>
          <w:p w14:paraId="536B9E9F" w14:textId="77777777" w:rsidR="00DF6777" w:rsidRPr="00E27200" w:rsidRDefault="00DF6777" w:rsidP="00DF6777">
            <w:pPr>
              <w:jc w:val="center"/>
              <w:rPr>
                <w:lang w:val="en-AU"/>
              </w:rPr>
            </w:pPr>
            <w:r w:rsidRPr="00E27200">
              <w:rPr>
                <w:lang w:val="en-AU"/>
              </w:rPr>
              <w:t>2</w:t>
            </w:r>
          </w:p>
        </w:tc>
        <w:tc>
          <w:tcPr>
            <w:tcW w:w="1134" w:type="dxa"/>
            <w:vAlign w:val="center"/>
          </w:tcPr>
          <w:p w14:paraId="62B10C55" w14:textId="77777777" w:rsidR="00DF6777" w:rsidRPr="00E27200" w:rsidRDefault="00DF6777" w:rsidP="00DF6777">
            <w:pPr>
              <w:jc w:val="center"/>
              <w:rPr>
                <w:lang w:val="en-AU"/>
              </w:rPr>
            </w:pPr>
            <w:r w:rsidRPr="00E27200">
              <w:rPr>
                <w:lang w:val="en-AU"/>
              </w:rPr>
              <w:t>3</w:t>
            </w:r>
          </w:p>
        </w:tc>
        <w:tc>
          <w:tcPr>
            <w:tcW w:w="992" w:type="dxa"/>
            <w:vAlign w:val="center"/>
          </w:tcPr>
          <w:p w14:paraId="3D32F92A" w14:textId="77777777" w:rsidR="00DF6777" w:rsidRPr="00E27200" w:rsidRDefault="00DF6777" w:rsidP="00DF6777">
            <w:pPr>
              <w:jc w:val="center"/>
              <w:rPr>
                <w:lang w:val="en-AU"/>
              </w:rPr>
            </w:pPr>
            <w:r w:rsidRPr="00E27200">
              <w:rPr>
                <w:lang w:val="en-AU"/>
              </w:rPr>
              <w:t>2</w:t>
            </w:r>
          </w:p>
        </w:tc>
        <w:tc>
          <w:tcPr>
            <w:tcW w:w="992" w:type="dxa"/>
            <w:vAlign w:val="center"/>
          </w:tcPr>
          <w:p w14:paraId="678D8364" w14:textId="77777777" w:rsidR="00DF6777" w:rsidRPr="00E27200" w:rsidRDefault="00DF6777" w:rsidP="00DF6777">
            <w:pPr>
              <w:jc w:val="center"/>
              <w:rPr>
                <w:lang w:val="en-AU"/>
              </w:rPr>
            </w:pPr>
            <w:r w:rsidRPr="00E27200">
              <w:rPr>
                <w:lang w:val="en-AU"/>
              </w:rPr>
              <w:t>7</w:t>
            </w:r>
          </w:p>
        </w:tc>
        <w:tc>
          <w:tcPr>
            <w:tcW w:w="992" w:type="dxa"/>
            <w:vAlign w:val="center"/>
          </w:tcPr>
          <w:p w14:paraId="3AF689F1" w14:textId="77777777" w:rsidR="00DF6777" w:rsidRPr="00E27200" w:rsidRDefault="00DF6777" w:rsidP="00DF6777">
            <w:pPr>
              <w:jc w:val="center"/>
              <w:rPr>
                <w:lang w:val="en-AU"/>
              </w:rPr>
            </w:pPr>
            <w:r w:rsidRPr="00E27200">
              <w:rPr>
                <w:lang w:val="en-AU"/>
              </w:rPr>
              <w:t>1</w:t>
            </w:r>
          </w:p>
        </w:tc>
        <w:tc>
          <w:tcPr>
            <w:tcW w:w="1134" w:type="dxa"/>
            <w:vAlign w:val="center"/>
          </w:tcPr>
          <w:p w14:paraId="1F16AAA2" w14:textId="77777777" w:rsidR="00DF6777" w:rsidRPr="00E27200" w:rsidRDefault="00DF6777" w:rsidP="00DF6777">
            <w:pPr>
              <w:jc w:val="center"/>
              <w:rPr>
                <w:lang w:val="en-AU"/>
              </w:rPr>
            </w:pPr>
          </w:p>
        </w:tc>
      </w:tr>
      <w:tr w:rsidR="00DF6777" w:rsidRPr="00E27200" w14:paraId="1949A7BE" w14:textId="77777777">
        <w:tc>
          <w:tcPr>
            <w:tcW w:w="1985" w:type="dxa"/>
          </w:tcPr>
          <w:p w14:paraId="7330434D" w14:textId="77777777" w:rsidR="00DF6777" w:rsidRPr="00E27200" w:rsidRDefault="00DF6777" w:rsidP="00DF6777">
            <w:pPr>
              <w:rPr>
                <w:lang w:val="en-AU"/>
              </w:rPr>
            </w:pPr>
            <w:r w:rsidRPr="00E27200">
              <w:rPr>
                <w:lang w:val="en-AU"/>
              </w:rPr>
              <w:t xml:space="preserve">North </w:t>
            </w:r>
            <w:proofErr w:type="spellStart"/>
            <w:r w:rsidRPr="00E27200">
              <w:rPr>
                <w:lang w:val="en-AU"/>
              </w:rPr>
              <w:t>Solomons</w:t>
            </w:r>
            <w:proofErr w:type="spellEnd"/>
          </w:p>
        </w:tc>
        <w:tc>
          <w:tcPr>
            <w:tcW w:w="1276" w:type="dxa"/>
            <w:vAlign w:val="center"/>
          </w:tcPr>
          <w:p w14:paraId="1D92C980" w14:textId="77777777" w:rsidR="00DF6777" w:rsidRPr="00E27200" w:rsidRDefault="00DF6777" w:rsidP="00DF6777">
            <w:pPr>
              <w:jc w:val="center"/>
              <w:rPr>
                <w:lang w:val="en-AU"/>
              </w:rPr>
            </w:pPr>
            <w:r w:rsidRPr="00E27200">
              <w:rPr>
                <w:lang w:val="en-AU"/>
              </w:rPr>
              <w:t>1</w:t>
            </w:r>
          </w:p>
        </w:tc>
        <w:tc>
          <w:tcPr>
            <w:tcW w:w="1134" w:type="dxa"/>
            <w:vAlign w:val="center"/>
          </w:tcPr>
          <w:p w14:paraId="2348F5F7" w14:textId="77777777" w:rsidR="00DF6777" w:rsidRPr="00E27200" w:rsidRDefault="00DF6777" w:rsidP="00DF6777">
            <w:pPr>
              <w:jc w:val="center"/>
              <w:rPr>
                <w:lang w:val="en-AU"/>
              </w:rPr>
            </w:pPr>
            <w:r w:rsidRPr="00E27200">
              <w:rPr>
                <w:lang w:val="en-AU"/>
              </w:rPr>
              <w:t>5</w:t>
            </w:r>
          </w:p>
        </w:tc>
        <w:tc>
          <w:tcPr>
            <w:tcW w:w="992" w:type="dxa"/>
            <w:vAlign w:val="center"/>
          </w:tcPr>
          <w:p w14:paraId="4110BCA1" w14:textId="77777777" w:rsidR="00DF6777" w:rsidRPr="00E27200" w:rsidRDefault="00DF6777" w:rsidP="00DF6777">
            <w:pPr>
              <w:jc w:val="center"/>
              <w:rPr>
                <w:lang w:val="en-AU"/>
              </w:rPr>
            </w:pPr>
            <w:r w:rsidRPr="00E27200">
              <w:rPr>
                <w:lang w:val="en-AU"/>
              </w:rPr>
              <w:t>1</w:t>
            </w:r>
          </w:p>
        </w:tc>
        <w:tc>
          <w:tcPr>
            <w:tcW w:w="992" w:type="dxa"/>
            <w:vAlign w:val="center"/>
          </w:tcPr>
          <w:p w14:paraId="3A21334C" w14:textId="77777777" w:rsidR="00DF6777" w:rsidRPr="00E27200" w:rsidRDefault="00DF6777" w:rsidP="00DF6777">
            <w:pPr>
              <w:jc w:val="center"/>
              <w:rPr>
                <w:lang w:val="en-AU"/>
              </w:rPr>
            </w:pPr>
            <w:r w:rsidRPr="00E27200">
              <w:rPr>
                <w:lang w:val="en-AU"/>
              </w:rPr>
              <w:t>12</w:t>
            </w:r>
          </w:p>
        </w:tc>
        <w:tc>
          <w:tcPr>
            <w:tcW w:w="992" w:type="dxa"/>
            <w:vAlign w:val="center"/>
          </w:tcPr>
          <w:p w14:paraId="26B9B70A" w14:textId="77777777" w:rsidR="00DF6777" w:rsidRPr="00E27200" w:rsidRDefault="00DF6777" w:rsidP="00DF6777">
            <w:pPr>
              <w:jc w:val="center"/>
              <w:rPr>
                <w:lang w:val="en-AU"/>
              </w:rPr>
            </w:pPr>
          </w:p>
        </w:tc>
        <w:tc>
          <w:tcPr>
            <w:tcW w:w="1134" w:type="dxa"/>
            <w:vAlign w:val="center"/>
          </w:tcPr>
          <w:p w14:paraId="3DAFB899" w14:textId="77777777" w:rsidR="00DF6777" w:rsidRPr="00E27200" w:rsidRDefault="00DF6777" w:rsidP="00DF6777">
            <w:pPr>
              <w:jc w:val="center"/>
              <w:rPr>
                <w:lang w:val="en-AU"/>
              </w:rPr>
            </w:pPr>
            <w:r w:rsidRPr="00E27200">
              <w:rPr>
                <w:lang w:val="en-AU"/>
              </w:rPr>
              <w:t>1</w:t>
            </w:r>
          </w:p>
        </w:tc>
      </w:tr>
      <w:tr w:rsidR="00DF6777" w:rsidRPr="00E27200" w14:paraId="04AECAE9" w14:textId="77777777">
        <w:tc>
          <w:tcPr>
            <w:tcW w:w="1985" w:type="dxa"/>
          </w:tcPr>
          <w:p w14:paraId="39B4D58D" w14:textId="77777777" w:rsidR="00DF6777" w:rsidRPr="00E27200" w:rsidRDefault="00DF6777" w:rsidP="00DF6777">
            <w:pPr>
              <w:rPr>
                <w:b/>
                <w:lang w:val="en-AU"/>
              </w:rPr>
            </w:pPr>
            <w:r w:rsidRPr="00E27200">
              <w:rPr>
                <w:b/>
                <w:lang w:val="en-AU"/>
              </w:rPr>
              <w:t>HIGHLANDS</w:t>
            </w:r>
          </w:p>
        </w:tc>
        <w:tc>
          <w:tcPr>
            <w:tcW w:w="1276" w:type="dxa"/>
            <w:vAlign w:val="center"/>
          </w:tcPr>
          <w:p w14:paraId="69715E88" w14:textId="77777777" w:rsidR="00DF6777" w:rsidRPr="00E27200" w:rsidRDefault="00DF6777" w:rsidP="00DF6777">
            <w:pPr>
              <w:jc w:val="center"/>
              <w:rPr>
                <w:lang w:val="en-AU"/>
              </w:rPr>
            </w:pPr>
          </w:p>
        </w:tc>
        <w:tc>
          <w:tcPr>
            <w:tcW w:w="1134" w:type="dxa"/>
            <w:vAlign w:val="center"/>
          </w:tcPr>
          <w:p w14:paraId="3D447F38" w14:textId="77777777" w:rsidR="00DF6777" w:rsidRPr="00E27200" w:rsidRDefault="00DF6777" w:rsidP="00DF6777">
            <w:pPr>
              <w:jc w:val="center"/>
              <w:rPr>
                <w:lang w:val="en-AU"/>
              </w:rPr>
            </w:pPr>
          </w:p>
        </w:tc>
        <w:tc>
          <w:tcPr>
            <w:tcW w:w="992" w:type="dxa"/>
            <w:vAlign w:val="center"/>
          </w:tcPr>
          <w:p w14:paraId="07D14BD5" w14:textId="77777777" w:rsidR="00DF6777" w:rsidRPr="00E27200" w:rsidRDefault="00DF6777" w:rsidP="00DF6777">
            <w:pPr>
              <w:jc w:val="center"/>
              <w:rPr>
                <w:lang w:val="en-AU"/>
              </w:rPr>
            </w:pPr>
          </w:p>
        </w:tc>
        <w:tc>
          <w:tcPr>
            <w:tcW w:w="992" w:type="dxa"/>
            <w:vAlign w:val="center"/>
          </w:tcPr>
          <w:p w14:paraId="0356DE9C" w14:textId="77777777" w:rsidR="00DF6777" w:rsidRPr="00E27200" w:rsidRDefault="00DF6777" w:rsidP="00DF6777">
            <w:pPr>
              <w:jc w:val="center"/>
              <w:rPr>
                <w:lang w:val="en-AU"/>
              </w:rPr>
            </w:pPr>
          </w:p>
        </w:tc>
        <w:tc>
          <w:tcPr>
            <w:tcW w:w="992" w:type="dxa"/>
            <w:vAlign w:val="center"/>
          </w:tcPr>
          <w:p w14:paraId="36A6AAF0" w14:textId="77777777" w:rsidR="00DF6777" w:rsidRPr="00E27200" w:rsidRDefault="00DF6777" w:rsidP="00DF6777">
            <w:pPr>
              <w:jc w:val="center"/>
              <w:rPr>
                <w:lang w:val="en-AU"/>
              </w:rPr>
            </w:pPr>
          </w:p>
        </w:tc>
        <w:tc>
          <w:tcPr>
            <w:tcW w:w="1134" w:type="dxa"/>
            <w:vAlign w:val="center"/>
          </w:tcPr>
          <w:p w14:paraId="32F88FBB" w14:textId="77777777" w:rsidR="00DF6777" w:rsidRPr="00E27200" w:rsidRDefault="00DF6777" w:rsidP="00DF6777">
            <w:pPr>
              <w:jc w:val="center"/>
              <w:rPr>
                <w:lang w:val="en-AU"/>
              </w:rPr>
            </w:pPr>
          </w:p>
        </w:tc>
      </w:tr>
      <w:tr w:rsidR="00DF6777" w:rsidRPr="00E27200" w14:paraId="2B33D96B" w14:textId="77777777">
        <w:tc>
          <w:tcPr>
            <w:tcW w:w="1985" w:type="dxa"/>
          </w:tcPr>
          <w:p w14:paraId="40AAF52E" w14:textId="77777777" w:rsidR="00DF6777" w:rsidRPr="00E27200" w:rsidRDefault="00DF6777" w:rsidP="00DF6777">
            <w:pPr>
              <w:rPr>
                <w:lang w:val="en-AU"/>
              </w:rPr>
            </w:pPr>
            <w:proofErr w:type="spellStart"/>
            <w:r w:rsidRPr="00E27200">
              <w:rPr>
                <w:lang w:val="en-AU"/>
              </w:rPr>
              <w:t>Enga</w:t>
            </w:r>
            <w:proofErr w:type="spellEnd"/>
          </w:p>
        </w:tc>
        <w:tc>
          <w:tcPr>
            <w:tcW w:w="1276" w:type="dxa"/>
            <w:vAlign w:val="center"/>
          </w:tcPr>
          <w:p w14:paraId="798CC9D0" w14:textId="77777777" w:rsidR="00DF6777" w:rsidRPr="00E27200" w:rsidRDefault="00DF6777" w:rsidP="00DF6777">
            <w:pPr>
              <w:jc w:val="center"/>
              <w:rPr>
                <w:lang w:val="en-AU"/>
              </w:rPr>
            </w:pPr>
            <w:r w:rsidRPr="00E27200">
              <w:rPr>
                <w:lang w:val="en-AU"/>
              </w:rPr>
              <w:t>3</w:t>
            </w:r>
          </w:p>
        </w:tc>
        <w:tc>
          <w:tcPr>
            <w:tcW w:w="1134" w:type="dxa"/>
            <w:vAlign w:val="center"/>
          </w:tcPr>
          <w:p w14:paraId="2927242E" w14:textId="77777777" w:rsidR="00DF6777" w:rsidRPr="00E27200" w:rsidRDefault="00DF6777" w:rsidP="00DF6777">
            <w:pPr>
              <w:jc w:val="center"/>
              <w:rPr>
                <w:lang w:val="en-AU"/>
              </w:rPr>
            </w:pPr>
            <w:r w:rsidRPr="00E27200">
              <w:rPr>
                <w:lang w:val="en-AU"/>
              </w:rPr>
              <w:t>2</w:t>
            </w:r>
          </w:p>
        </w:tc>
        <w:tc>
          <w:tcPr>
            <w:tcW w:w="992" w:type="dxa"/>
            <w:vAlign w:val="center"/>
          </w:tcPr>
          <w:p w14:paraId="5DA3B6AD" w14:textId="77777777" w:rsidR="00DF6777" w:rsidRPr="00E27200" w:rsidRDefault="00DF6777" w:rsidP="00DF6777">
            <w:pPr>
              <w:jc w:val="center"/>
              <w:rPr>
                <w:lang w:val="en-AU"/>
              </w:rPr>
            </w:pPr>
            <w:r w:rsidRPr="00E27200">
              <w:rPr>
                <w:lang w:val="en-AU"/>
              </w:rPr>
              <w:t>2</w:t>
            </w:r>
          </w:p>
        </w:tc>
        <w:tc>
          <w:tcPr>
            <w:tcW w:w="992" w:type="dxa"/>
            <w:vAlign w:val="center"/>
          </w:tcPr>
          <w:p w14:paraId="6CA3ED00" w14:textId="77777777" w:rsidR="00DF6777" w:rsidRPr="00E27200" w:rsidRDefault="00DF6777" w:rsidP="00DF6777">
            <w:pPr>
              <w:jc w:val="center"/>
              <w:rPr>
                <w:lang w:val="en-AU"/>
              </w:rPr>
            </w:pPr>
            <w:r w:rsidRPr="00E27200">
              <w:rPr>
                <w:lang w:val="en-AU"/>
              </w:rPr>
              <w:t>4</w:t>
            </w:r>
          </w:p>
        </w:tc>
        <w:tc>
          <w:tcPr>
            <w:tcW w:w="992" w:type="dxa"/>
            <w:vAlign w:val="center"/>
          </w:tcPr>
          <w:p w14:paraId="67C81741" w14:textId="77777777" w:rsidR="00DF6777" w:rsidRPr="00E27200" w:rsidRDefault="00DF6777" w:rsidP="00DF6777">
            <w:pPr>
              <w:jc w:val="center"/>
              <w:rPr>
                <w:lang w:val="en-AU"/>
              </w:rPr>
            </w:pPr>
          </w:p>
        </w:tc>
        <w:tc>
          <w:tcPr>
            <w:tcW w:w="1134" w:type="dxa"/>
            <w:vAlign w:val="center"/>
          </w:tcPr>
          <w:p w14:paraId="0230F501" w14:textId="77777777" w:rsidR="00DF6777" w:rsidRPr="00E27200" w:rsidRDefault="00DF6777" w:rsidP="00DF6777">
            <w:pPr>
              <w:jc w:val="center"/>
              <w:rPr>
                <w:lang w:val="en-AU"/>
              </w:rPr>
            </w:pPr>
          </w:p>
        </w:tc>
      </w:tr>
      <w:tr w:rsidR="00DF6777" w:rsidRPr="00E27200" w14:paraId="79B5DBB1" w14:textId="77777777">
        <w:tc>
          <w:tcPr>
            <w:tcW w:w="1985" w:type="dxa"/>
          </w:tcPr>
          <w:p w14:paraId="7F289E3C" w14:textId="77777777" w:rsidR="00DF6777" w:rsidRPr="00E27200" w:rsidRDefault="00DF6777" w:rsidP="00DF6777">
            <w:pPr>
              <w:rPr>
                <w:lang w:val="en-AU"/>
              </w:rPr>
            </w:pPr>
            <w:r w:rsidRPr="00E27200">
              <w:rPr>
                <w:lang w:val="en-AU"/>
              </w:rPr>
              <w:t>Western Highlands</w:t>
            </w:r>
          </w:p>
        </w:tc>
        <w:tc>
          <w:tcPr>
            <w:tcW w:w="1276" w:type="dxa"/>
            <w:vAlign w:val="center"/>
          </w:tcPr>
          <w:p w14:paraId="544B55C3" w14:textId="77777777" w:rsidR="00DF6777" w:rsidRPr="00E27200" w:rsidRDefault="00DF6777" w:rsidP="00DF6777">
            <w:pPr>
              <w:jc w:val="center"/>
              <w:rPr>
                <w:lang w:val="en-AU"/>
              </w:rPr>
            </w:pPr>
            <w:r w:rsidRPr="00E27200">
              <w:rPr>
                <w:lang w:val="en-AU"/>
              </w:rPr>
              <w:t>1</w:t>
            </w:r>
          </w:p>
        </w:tc>
        <w:tc>
          <w:tcPr>
            <w:tcW w:w="1134" w:type="dxa"/>
            <w:vAlign w:val="center"/>
          </w:tcPr>
          <w:p w14:paraId="6925FE51" w14:textId="77777777" w:rsidR="00DF6777" w:rsidRPr="00E27200" w:rsidRDefault="00DF6777" w:rsidP="00DF6777">
            <w:pPr>
              <w:jc w:val="center"/>
              <w:rPr>
                <w:lang w:val="en-AU"/>
              </w:rPr>
            </w:pPr>
            <w:r w:rsidRPr="00E27200">
              <w:rPr>
                <w:lang w:val="en-AU"/>
              </w:rPr>
              <w:t>3</w:t>
            </w:r>
          </w:p>
        </w:tc>
        <w:tc>
          <w:tcPr>
            <w:tcW w:w="992" w:type="dxa"/>
            <w:vAlign w:val="center"/>
          </w:tcPr>
          <w:p w14:paraId="719A5984" w14:textId="77777777" w:rsidR="00DF6777" w:rsidRPr="00E27200" w:rsidRDefault="00DF6777" w:rsidP="00DF6777">
            <w:pPr>
              <w:jc w:val="center"/>
              <w:rPr>
                <w:lang w:val="en-AU"/>
              </w:rPr>
            </w:pPr>
            <w:r w:rsidRPr="00E27200">
              <w:rPr>
                <w:lang w:val="en-AU"/>
              </w:rPr>
              <w:t>2</w:t>
            </w:r>
          </w:p>
        </w:tc>
        <w:tc>
          <w:tcPr>
            <w:tcW w:w="992" w:type="dxa"/>
            <w:vAlign w:val="center"/>
          </w:tcPr>
          <w:p w14:paraId="496912F7" w14:textId="77777777" w:rsidR="00DF6777" w:rsidRPr="00E27200" w:rsidRDefault="00DF6777" w:rsidP="00DF6777">
            <w:pPr>
              <w:jc w:val="center"/>
              <w:rPr>
                <w:lang w:val="en-AU"/>
              </w:rPr>
            </w:pPr>
            <w:r w:rsidRPr="00E27200">
              <w:rPr>
                <w:lang w:val="en-AU"/>
              </w:rPr>
              <w:t>4</w:t>
            </w:r>
          </w:p>
        </w:tc>
        <w:tc>
          <w:tcPr>
            <w:tcW w:w="992" w:type="dxa"/>
            <w:vAlign w:val="center"/>
          </w:tcPr>
          <w:p w14:paraId="5F096ADD" w14:textId="77777777" w:rsidR="00DF6777" w:rsidRPr="00E27200" w:rsidRDefault="00DF6777" w:rsidP="00DF6777">
            <w:pPr>
              <w:jc w:val="center"/>
              <w:rPr>
                <w:lang w:val="en-AU"/>
              </w:rPr>
            </w:pPr>
            <w:r w:rsidRPr="00E27200">
              <w:rPr>
                <w:lang w:val="en-AU"/>
              </w:rPr>
              <w:t>1</w:t>
            </w:r>
          </w:p>
        </w:tc>
        <w:tc>
          <w:tcPr>
            <w:tcW w:w="1134" w:type="dxa"/>
            <w:vAlign w:val="center"/>
          </w:tcPr>
          <w:p w14:paraId="07559806" w14:textId="77777777" w:rsidR="00DF6777" w:rsidRPr="00E27200" w:rsidRDefault="00DF6777" w:rsidP="00DF6777">
            <w:pPr>
              <w:jc w:val="center"/>
              <w:rPr>
                <w:lang w:val="en-AU"/>
              </w:rPr>
            </w:pPr>
          </w:p>
        </w:tc>
      </w:tr>
      <w:tr w:rsidR="00DF6777" w:rsidRPr="00E27200" w14:paraId="5E51A7FE" w14:textId="77777777">
        <w:tc>
          <w:tcPr>
            <w:tcW w:w="1985" w:type="dxa"/>
          </w:tcPr>
          <w:p w14:paraId="50BA1A5F" w14:textId="77777777" w:rsidR="00DF6777" w:rsidRPr="00E27200" w:rsidRDefault="00DF6777" w:rsidP="00DF6777">
            <w:pPr>
              <w:rPr>
                <w:b/>
                <w:lang w:val="en-AU"/>
              </w:rPr>
            </w:pPr>
            <w:r w:rsidRPr="00E27200">
              <w:rPr>
                <w:b/>
                <w:lang w:val="en-AU"/>
              </w:rPr>
              <w:t>OTHER</w:t>
            </w:r>
          </w:p>
        </w:tc>
        <w:tc>
          <w:tcPr>
            <w:tcW w:w="1276" w:type="dxa"/>
            <w:vAlign w:val="center"/>
          </w:tcPr>
          <w:p w14:paraId="0E929F22" w14:textId="77777777" w:rsidR="00DF6777" w:rsidRPr="00E27200" w:rsidRDefault="00DF6777" w:rsidP="00DF6777">
            <w:pPr>
              <w:jc w:val="center"/>
              <w:rPr>
                <w:lang w:val="en-AU"/>
              </w:rPr>
            </w:pPr>
          </w:p>
        </w:tc>
        <w:tc>
          <w:tcPr>
            <w:tcW w:w="1134" w:type="dxa"/>
            <w:vAlign w:val="center"/>
          </w:tcPr>
          <w:p w14:paraId="29EF8F0E" w14:textId="77777777" w:rsidR="00DF6777" w:rsidRPr="00E27200" w:rsidRDefault="00DF6777" w:rsidP="00DF6777">
            <w:pPr>
              <w:jc w:val="center"/>
              <w:rPr>
                <w:lang w:val="en-AU"/>
              </w:rPr>
            </w:pPr>
          </w:p>
        </w:tc>
        <w:tc>
          <w:tcPr>
            <w:tcW w:w="992" w:type="dxa"/>
            <w:vAlign w:val="center"/>
          </w:tcPr>
          <w:p w14:paraId="664FCC4C" w14:textId="77777777" w:rsidR="00DF6777" w:rsidRPr="00E27200" w:rsidRDefault="00DF6777" w:rsidP="00DF6777">
            <w:pPr>
              <w:jc w:val="center"/>
              <w:rPr>
                <w:lang w:val="en-AU"/>
              </w:rPr>
            </w:pPr>
          </w:p>
        </w:tc>
        <w:tc>
          <w:tcPr>
            <w:tcW w:w="992" w:type="dxa"/>
            <w:vAlign w:val="center"/>
          </w:tcPr>
          <w:p w14:paraId="1E5D7300" w14:textId="77777777" w:rsidR="00DF6777" w:rsidRPr="00E27200" w:rsidRDefault="00DF6777" w:rsidP="00DF6777">
            <w:pPr>
              <w:jc w:val="center"/>
              <w:rPr>
                <w:lang w:val="en-AU"/>
              </w:rPr>
            </w:pPr>
          </w:p>
        </w:tc>
        <w:tc>
          <w:tcPr>
            <w:tcW w:w="992" w:type="dxa"/>
            <w:vAlign w:val="center"/>
          </w:tcPr>
          <w:p w14:paraId="0211965A" w14:textId="77777777" w:rsidR="00DF6777" w:rsidRPr="00E27200" w:rsidRDefault="00DF6777" w:rsidP="00DF6777">
            <w:pPr>
              <w:jc w:val="center"/>
              <w:rPr>
                <w:lang w:val="en-AU"/>
              </w:rPr>
            </w:pPr>
          </w:p>
        </w:tc>
        <w:tc>
          <w:tcPr>
            <w:tcW w:w="1134" w:type="dxa"/>
            <w:vAlign w:val="center"/>
          </w:tcPr>
          <w:p w14:paraId="77C1BBE1" w14:textId="77777777" w:rsidR="00DF6777" w:rsidRPr="00E27200" w:rsidRDefault="00DF6777" w:rsidP="00DF6777">
            <w:pPr>
              <w:jc w:val="center"/>
              <w:rPr>
                <w:lang w:val="en-AU"/>
              </w:rPr>
            </w:pPr>
          </w:p>
        </w:tc>
      </w:tr>
      <w:tr w:rsidR="00DF6777" w:rsidRPr="00E27200" w14:paraId="4D5767BD" w14:textId="77777777">
        <w:tc>
          <w:tcPr>
            <w:tcW w:w="1985" w:type="dxa"/>
          </w:tcPr>
          <w:p w14:paraId="7DA69269" w14:textId="77777777" w:rsidR="00DF6777" w:rsidRPr="00E27200" w:rsidRDefault="00DF6777" w:rsidP="00DF6777">
            <w:pPr>
              <w:rPr>
                <w:lang w:val="en-AU"/>
              </w:rPr>
            </w:pPr>
            <w:proofErr w:type="spellStart"/>
            <w:r w:rsidRPr="00E27200">
              <w:rPr>
                <w:lang w:val="en-AU"/>
              </w:rPr>
              <w:t>Lae</w:t>
            </w:r>
            <w:proofErr w:type="spellEnd"/>
          </w:p>
        </w:tc>
        <w:tc>
          <w:tcPr>
            <w:tcW w:w="1276" w:type="dxa"/>
            <w:vAlign w:val="center"/>
          </w:tcPr>
          <w:p w14:paraId="7A4BCFDC" w14:textId="77777777" w:rsidR="00DF6777" w:rsidRPr="00E27200" w:rsidRDefault="00DF6777" w:rsidP="00DF6777">
            <w:pPr>
              <w:jc w:val="center"/>
              <w:rPr>
                <w:lang w:val="en-AU"/>
              </w:rPr>
            </w:pPr>
          </w:p>
        </w:tc>
        <w:tc>
          <w:tcPr>
            <w:tcW w:w="1134" w:type="dxa"/>
            <w:vAlign w:val="center"/>
          </w:tcPr>
          <w:p w14:paraId="497225BB" w14:textId="77777777" w:rsidR="00DF6777" w:rsidRPr="00E27200" w:rsidRDefault="00DF6777" w:rsidP="00DF6777">
            <w:pPr>
              <w:jc w:val="center"/>
              <w:rPr>
                <w:lang w:val="en-AU"/>
              </w:rPr>
            </w:pPr>
          </w:p>
        </w:tc>
        <w:tc>
          <w:tcPr>
            <w:tcW w:w="992" w:type="dxa"/>
            <w:vAlign w:val="center"/>
          </w:tcPr>
          <w:p w14:paraId="3B1E45AF" w14:textId="77777777" w:rsidR="00DF6777" w:rsidRPr="00E27200" w:rsidRDefault="00DF6777" w:rsidP="00DF6777">
            <w:pPr>
              <w:jc w:val="center"/>
              <w:rPr>
                <w:lang w:val="en-AU"/>
              </w:rPr>
            </w:pPr>
          </w:p>
        </w:tc>
        <w:tc>
          <w:tcPr>
            <w:tcW w:w="992" w:type="dxa"/>
            <w:vAlign w:val="center"/>
          </w:tcPr>
          <w:p w14:paraId="136420BF" w14:textId="77777777" w:rsidR="00DF6777" w:rsidRPr="00E27200" w:rsidRDefault="00DF6777" w:rsidP="00DF6777">
            <w:pPr>
              <w:jc w:val="center"/>
              <w:rPr>
                <w:lang w:val="en-AU"/>
              </w:rPr>
            </w:pPr>
          </w:p>
        </w:tc>
        <w:tc>
          <w:tcPr>
            <w:tcW w:w="992" w:type="dxa"/>
            <w:vAlign w:val="center"/>
          </w:tcPr>
          <w:p w14:paraId="0348EE85" w14:textId="77777777" w:rsidR="00DF6777" w:rsidRPr="00E27200" w:rsidRDefault="00DF6777" w:rsidP="00DF6777">
            <w:pPr>
              <w:jc w:val="center"/>
              <w:rPr>
                <w:lang w:val="en-AU"/>
              </w:rPr>
            </w:pPr>
            <w:r w:rsidRPr="00E27200">
              <w:rPr>
                <w:lang w:val="en-AU"/>
              </w:rPr>
              <w:t>1</w:t>
            </w:r>
          </w:p>
        </w:tc>
        <w:tc>
          <w:tcPr>
            <w:tcW w:w="1134" w:type="dxa"/>
            <w:vAlign w:val="center"/>
          </w:tcPr>
          <w:p w14:paraId="1FF32176" w14:textId="77777777" w:rsidR="00DF6777" w:rsidRPr="00E27200" w:rsidRDefault="00DF6777" w:rsidP="00DF6777">
            <w:pPr>
              <w:jc w:val="center"/>
              <w:rPr>
                <w:lang w:val="en-AU"/>
              </w:rPr>
            </w:pPr>
          </w:p>
        </w:tc>
      </w:tr>
      <w:tr w:rsidR="00DF6777" w:rsidRPr="00E27200" w14:paraId="63AFF1CC" w14:textId="77777777">
        <w:tc>
          <w:tcPr>
            <w:tcW w:w="1985" w:type="dxa"/>
          </w:tcPr>
          <w:p w14:paraId="2D338D29" w14:textId="77777777" w:rsidR="00DF6777" w:rsidRPr="00E27200" w:rsidRDefault="00DF6777" w:rsidP="00DF6777">
            <w:pPr>
              <w:rPr>
                <w:lang w:val="en-AU"/>
              </w:rPr>
            </w:pPr>
            <w:r w:rsidRPr="00E27200">
              <w:rPr>
                <w:lang w:val="en-AU"/>
              </w:rPr>
              <w:t>Port Moresby</w:t>
            </w:r>
          </w:p>
        </w:tc>
        <w:tc>
          <w:tcPr>
            <w:tcW w:w="1276" w:type="dxa"/>
            <w:vAlign w:val="center"/>
          </w:tcPr>
          <w:p w14:paraId="2DBB2D05" w14:textId="77777777" w:rsidR="00DF6777" w:rsidRPr="00E27200" w:rsidRDefault="00DF6777" w:rsidP="00DF6777">
            <w:pPr>
              <w:jc w:val="center"/>
              <w:rPr>
                <w:lang w:val="en-AU"/>
              </w:rPr>
            </w:pPr>
          </w:p>
        </w:tc>
        <w:tc>
          <w:tcPr>
            <w:tcW w:w="1134" w:type="dxa"/>
            <w:vAlign w:val="center"/>
          </w:tcPr>
          <w:p w14:paraId="00BAEB77" w14:textId="77777777" w:rsidR="00DF6777" w:rsidRPr="00E27200" w:rsidRDefault="00DF6777" w:rsidP="00DF6777">
            <w:pPr>
              <w:jc w:val="center"/>
              <w:rPr>
                <w:lang w:val="en-AU"/>
              </w:rPr>
            </w:pPr>
          </w:p>
        </w:tc>
        <w:tc>
          <w:tcPr>
            <w:tcW w:w="992" w:type="dxa"/>
            <w:vAlign w:val="center"/>
          </w:tcPr>
          <w:p w14:paraId="1DE7F51F" w14:textId="77777777" w:rsidR="00DF6777" w:rsidRPr="00E27200" w:rsidRDefault="00DF6777" w:rsidP="00DF6777">
            <w:pPr>
              <w:jc w:val="center"/>
              <w:rPr>
                <w:lang w:val="en-AU"/>
              </w:rPr>
            </w:pPr>
          </w:p>
        </w:tc>
        <w:tc>
          <w:tcPr>
            <w:tcW w:w="992" w:type="dxa"/>
            <w:vAlign w:val="center"/>
          </w:tcPr>
          <w:p w14:paraId="66B36547" w14:textId="77777777" w:rsidR="00DF6777" w:rsidRPr="00E27200" w:rsidRDefault="00DF6777" w:rsidP="00DF6777">
            <w:pPr>
              <w:jc w:val="center"/>
              <w:rPr>
                <w:lang w:val="en-AU"/>
              </w:rPr>
            </w:pPr>
          </w:p>
        </w:tc>
        <w:tc>
          <w:tcPr>
            <w:tcW w:w="992" w:type="dxa"/>
            <w:vAlign w:val="center"/>
          </w:tcPr>
          <w:p w14:paraId="0B4130EC" w14:textId="77777777" w:rsidR="00DF6777" w:rsidRPr="00E27200" w:rsidRDefault="00DF6777" w:rsidP="00DF6777">
            <w:pPr>
              <w:jc w:val="center"/>
              <w:rPr>
                <w:lang w:val="en-AU"/>
              </w:rPr>
            </w:pPr>
            <w:r w:rsidRPr="00E27200">
              <w:rPr>
                <w:lang w:val="en-AU"/>
              </w:rPr>
              <w:t>1</w:t>
            </w:r>
          </w:p>
        </w:tc>
        <w:tc>
          <w:tcPr>
            <w:tcW w:w="1134" w:type="dxa"/>
            <w:vAlign w:val="center"/>
          </w:tcPr>
          <w:p w14:paraId="5EFE7A8A" w14:textId="77777777" w:rsidR="00DF6777" w:rsidRPr="00E27200" w:rsidRDefault="00DF6777" w:rsidP="00DF6777">
            <w:pPr>
              <w:jc w:val="center"/>
              <w:rPr>
                <w:lang w:val="en-AU"/>
              </w:rPr>
            </w:pPr>
          </w:p>
        </w:tc>
      </w:tr>
      <w:tr w:rsidR="00DF6777" w:rsidRPr="00E27200" w14:paraId="79E9A8A2" w14:textId="77777777">
        <w:tc>
          <w:tcPr>
            <w:tcW w:w="1985" w:type="dxa"/>
          </w:tcPr>
          <w:p w14:paraId="6FDC0E00" w14:textId="77777777" w:rsidR="00DF6777" w:rsidRPr="00E27200" w:rsidRDefault="00DF6777" w:rsidP="00DF6777">
            <w:pPr>
              <w:rPr>
                <w:b/>
                <w:lang w:val="en-AU"/>
              </w:rPr>
            </w:pPr>
            <w:r w:rsidRPr="00E27200">
              <w:rPr>
                <w:b/>
                <w:lang w:val="en-AU"/>
              </w:rPr>
              <w:t>TOTAL</w:t>
            </w:r>
          </w:p>
        </w:tc>
        <w:tc>
          <w:tcPr>
            <w:tcW w:w="1276" w:type="dxa"/>
            <w:vAlign w:val="center"/>
          </w:tcPr>
          <w:p w14:paraId="68120F9B" w14:textId="77777777" w:rsidR="00DF6777" w:rsidRPr="00E27200" w:rsidRDefault="00DF6777" w:rsidP="00DF6777">
            <w:pPr>
              <w:jc w:val="center"/>
              <w:rPr>
                <w:b/>
                <w:lang w:val="en-AU"/>
              </w:rPr>
            </w:pPr>
            <w:r w:rsidRPr="00E27200">
              <w:rPr>
                <w:b/>
                <w:lang w:val="en-AU"/>
              </w:rPr>
              <w:t>13</w:t>
            </w:r>
          </w:p>
        </w:tc>
        <w:tc>
          <w:tcPr>
            <w:tcW w:w="1134" w:type="dxa"/>
            <w:vAlign w:val="center"/>
          </w:tcPr>
          <w:p w14:paraId="17EDA605" w14:textId="77777777" w:rsidR="00DF6777" w:rsidRPr="00E27200" w:rsidRDefault="00DF6777" w:rsidP="00DF6777">
            <w:pPr>
              <w:jc w:val="center"/>
              <w:rPr>
                <w:b/>
                <w:lang w:val="en-AU"/>
              </w:rPr>
            </w:pPr>
            <w:r w:rsidRPr="00E27200">
              <w:rPr>
                <w:b/>
                <w:lang w:val="en-AU"/>
              </w:rPr>
              <w:t>30</w:t>
            </w:r>
          </w:p>
        </w:tc>
        <w:tc>
          <w:tcPr>
            <w:tcW w:w="992" w:type="dxa"/>
            <w:vAlign w:val="center"/>
          </w:tcPr>
          <w:p w14:paraId="1306D933" w14:textId="77777777" w:rsidR="00DF6777" w:rsidRPr="00E27200" w:rsidRDefault="00DF6777" w:rsidP="00DF6777">
            <w:pPr>
              <w:jc w:val="center"/>
              <w:rPr>
                <w:b/>
                <w:lang w:val="en-AU"/>
              </w:rPr>
            </w:pPr>
            <w:r w:rsidRPr="00E27200">
              <w:rPr>
                <w:b/>
                <w:lang w:val="en-AU"/>
              </w:rPr>
              <w:t>10</w:t>
            </w:r>
          </w:p>
        </w:tc>
        <w:tc>
          <w:tcPr>
            <w:tcW w:w="992" w:type="dxa"/>
            <w:vAlign w:val="center"/>
          </w:tcPr>
          <w:p w14:paraId="08C722AB" w14:textId="77777777" w:rsidR="00DF6777" w:rsidRPr="00E27200" w:rsidRDefault="00DF6777" w:rsidP="00DF6777">
            <w:pPr>
              <w:jc w:val="center"/>
              <w:rPr>
                <w:b/>
                <w:lang w:val="en-AU"/>
              </w:rPr>
            </w:pPr>
            <w:r w:rsidRPr="00E27200">
              <w:rPr>
                <w:b/>
                <w:lang w:val="en-AU"/>
              </w:rPr>
              <w:t>50</w:t>
            </w:r>
          </w:p>
        </w:tc>
        <w:tc>
          <w:tcPr>
            <w:tcW w:w="992" w:type="dxa"/>
            <w:vAlign w:val="center"/>
          </w:tcPr>
          <w:p w14:paraId="5A89A2E1" w14:textId="77777777" w:rsidR="00DF6777" w:rsidRPr="00E27200" w:rsidRDefault="00DF6777" w:rsidP="00DF6777">
            <w:pPr>
              <w:jc w:val="center"/>
              <w:rPr>
                <w:b/>
                <w:lang w:val="en-AU"/>
              </w:rPr>
            </w:pPr>
            <w:r w:rsidRPr="00E27200">
              <w:rPr>
                <w:b/>
                <w:lang w:val="en-AU"/>
              </w:rPr>
              <w:t>4</w:t>
            </w:r>
          </w:p>
        </w:tc>
        <w:tc>
          <w:tcPr>
            <w:tcW w:w="1134" w:type="dxa"/>
            <w:vAlign w:val="center"/>
          </w:tcPr>
          <w:p w14:paraId="6D3A8ABF" w14:textId="77777777" w:rsidR="00DF6777" w:rsidRPr="00E27200" w:rsidRDefault="00DF6777" w:rsidP="00DF6777">
            <w:pPr>
              <w:jc w:val="center"/>
              <w:rPr>
                <w:b/>
                <w:lang w:val="en-AU"/>
              </w:rPr>
            </w:pPr>
            <w:r w:rsidRPr="00E27200">
              <w:rPr>
                <w:b/>
                <w:lang w:val="en-AU"/>
              </w:rPr>
              <w:t>4</w:t>
            </w:r>
          </w:p>
        </w:tc>
      </w:tr>
    </w:tbl>
    <w:p w14:paraId="13F75ABF" w14:textId="77777777" w:rsidR="00DF6777" w:rsidRPr="00E27200" w:rsidRDefault="00DF6777" w:rsidP="00DF6777">
      <w:pPr>
        <w:rPr>
          <w:sz w:val="20"/>
          <w:lang w:val="en-AU"/>
        </w:rPr>
      </w:pPr>
      <w:r w:rsidRPr="00E27200">
        <w:rPr>
          <w:sz w:val="20"/>
          <w:lang w:val="en-AU"/>
        </w:rPr>
        <w:t xml:space="preserve">*Includes APS that were visited and 12 that were not visited but whose </w:t>
      </w:r>
      <w:proofErr w:type="gramStart"/>
      <w:r w:rsidRPr="00E27200">
        <w:rPr>
          <w:sz w:val="20"/>
          <w:lang w:val="en-AU"/>
        </w:rPr>
        <w:t>staff were</w:t>
      </w:r>
      <w:proofErr w:type="gramEnd"/>
      <w:r w:rsidRPr="00E27200">
        <w:rPr>
          <w:sz w:val="20"/>
          <w:lang w:val="en-AU"/>
        </w:rPr>
        <w:t xml:space="preserve"> interviewed off-site.</w:t>
      </w:r>
    </w:p>
    <w:p w14:paraId="136109A9" w14:textId="77777777" w:rsidR="00DF6777" w:rsidRPr="00E27200" w:rsidRDefault="00DF6777" w:rsidP="00E33A8E">
      <w:pPr>
        <w:rPr>
          <w:lang w:val="en-AU"/>
        </w:rPr>
      </w:pPr>
    </w:p>
    <w:p w14:paraId="0CBC5BAF" w14:textId="77777777" w:rsidR="00E33A8E" w:rsidRPr="00E27200" w:rsidRDefault="00E33A8E" w:rsidP="00E33A8E">
      <w:pPr>
        <w:rPr>
          <w:lang w:val="en-AU"/>
        </w:rPr>
      </w:pPr>
      <w:r w:rsidRPr="00E27200">
        <w:rPr>
          <w:lang w:val="en-AU"/>
        </w:rPr>
        <w:t xml:space="preserve">This survey added a limited set of open qualitative questions, on four areas: supplies availability, stores management procedures, </w:t>
      </w:r>
      <w:r w:rsidR="00674A47" w:rsidRPr="00E27200">
        <w:rPr>
          <w:lang w:val="en-AU"/>
        </w:rPr>
        <w:t xml:space="preserve">medical supplies distribution (especially the 100% kits), </w:t>
      </w:r>
      <w:r w:rsidRPr="00E27200">
        <w:rPr>
          <w:lang w:val="en-AU"/>
        </w:rPr>
        <w:t xml:space="preserve">recording of health information on medical supplies, and the rational use of medicines.  This provided additional information on health worker and patient opinions. </w:t>
      </w:r>
      <w:r w:rsidR="00674A47" w:rsidRPr="00E27200">
        <w:rPr>
          <w:lang w:val="en-AU"/>
        </w:rPr>
        <w:t xml:space="preserve"> </w:t>
      </w:r>
      <w:r w:rsidRPr="00E27200">
        <w:rPr>
          <w:lang w:val="en-AU"/>
        </w:rPr>
        <w:t>The assessment of health facility readiness for emergenc</w:t>
      </w:r>
      <w:r w:rsidR="00674A47" w:rsidRPr="00E27200">
        <w:rPr>
          <w:lang w:val="en-AU"/>
        </w:rPr>
        <w:t>y obstetric and newborn care (EM</w:t>
      </w:r>
      <w:r w:rsidRPr="00E27200">
        <w:rPr>
          <w:lang w:val="en-AU"/>
        </w:rPr>
        <w:t>ONC), a limited set of questions on EMONC equipment and its usage was addressed through observation and interview.  These quantitative re</w:t>
      </w:r>
      <w:r w:rsidR="00674A47" w:rsidRPr="00E27200">
        <w:rPr>
          <w:lang w:val="en-AU"/>
        </w:rPr>
        <w:t>sponses were derived from the EM</w:t>
      </w:r>
      <w:r w:rsidRPr="00E27200">
        <w:rPr>
          <w:lang w:val="en-AU"/>
        </w:rPr>
        <w:t>ONC Needs Assessment tool from the WHO-accredited program at Columbia University, Averting Maternal Death and Disability, which is an acknowledged global standard.</w:t>
      </w:r>
    </w:p>
    <w:p w14:paraId="31160066" w14:textId="77777777" w:rsidR="00DF6777" w:rsidRPr="00E27200" w:rsidRDefault="00DF6777" w:rsidP="00E33A8E">
      <w:pPr>
        <w:rPr>
          <w:lang w:val="en-AU"/>
        </w:rPr>
      </w:pPr>
    </w:p>
    <w:p w14:paraId="341A08E5" w14:textId="7C319BDA" w:rsidR="00E33A8E" w:rsidRPr="00E27200" w:rsidRDefault="00E33A8E" w:rsidP="00E33A8E">
      <w:pPr>
        <w:rPr>
          <w:lang w:val="en-AU"/>
        </w:rPr>
      </w:pPr>
      <w:r w:rsidRPr="00E27200">
        <w:rPr>
          <w:lang w:val="en-AU"/>
        </w:rPr>
        <w:t>The health facility survey was undertaken in collaboration with the University of PNG, School of Medicine and Health Sciences (SMHS)’s Department of Pharmacy.</w:t>
      </w:r>
      <w:r w:rsidR="00DF6777" w:rsidRPr="00E27200">
        <w:rPr>
          <w:lang w:val="en-AU"/>
        </w:rPr>
        <w:t xml:space="preserve"> </w:t>
      </w:r>
      <w:r w:rsidRPr="00E27200">
        <w:rPr>
          <w:lang w:val="en-AU"/>
        </w:rPr>
        <w:t>Staff and students highly valued their involvement</w:t>
      </w:r>
      <w:r w:rsidR="0097736A">
        <w:rPr>
          <w:lang w:val="en-AU"/>
        </w:rPr>
        <w:t>,</w:t>
      </w:r>
      <w:r w:rsidRPr="00E27200">
        <w:rPr>
          <w:lang w:val="en-AU"/>
        </w:rPr>
        <w:t xml:space="preserve"> with students learning good international practice related to rational </w:t>
      </w:r>
      <w:r w:rsidR="00724DC2">
        <w:rPr>
          <w:lang w:val="en-AU"/>
        </w:rPr>
        <w:t>medicines</w:t>
      </w:r>
      <w:r w:rsidR="00724DC2" w:rsidRPr="00E27200">
        <w:rPr>
          <w:lang w:val="en-AU"/>
        </w:rPr>
        <w:t xml:space="preserve"> </w:t>
      </w:r>
      <w:r w:rsidRPr="00E27200">
        <w:rPr>
          <w:lang w:val="en-AU"/>
        </w:rPr>
        <w:lastRenderedPageBreak/>
        <w:t xml:space="preserve">use and activities to improve access to essential medicines, while experiencing rural health system realities, often for the first time. Student involvement enabled survey </w:t>
      </w:r>
      <w:r w:rsidR="00834E8C" w:rsidRPr="00E27200">
        <w:rPr>
          <w:lang w:val="en-AU"/>
        </w:rPr>
        <w:t>fieldwork</w:t>
      </w:r>
      <w:r w:rsidRPr="00E27200">
        <w:rPr>
          <w:lang w:val="en-AU"/>
        </w:rPr>
        <w:t xml:space="preserve"> to be conducted in just two weeks and exposed them to international research methods. The mobilisation of participants and logistics of the survey was successfully conducted by </w:t>
      </w:r>
      <w:r w:rsidR="007439AA">
        <w:rPr>
          <w:lang w:val="en-AU"/>
        </w:rPr>
        <w:t xml:space="preserve">the </w:t>
      </w:r>
      <w:r w:rsidRPr="00E27200">
        <w:rPr>
          <w:lang w:val="en-AU"/>
        </w:rPr>
        <w:t>Aus</w:t>
      </w:r>
      <w:r w:rsidR="00C058DF">
        <w:rPr>
          <w:lang w:val="en-AU"/>
        </w:rPr>
        <w:t xml:space="preserve">tralian </w:t>
      </w:r>
      <w:r w:rsidR="007439AA">
        <w:rPr>
          <w:lang w:val="en-AU"/>
        </w:rPr>
        <w:t>Government’s</w:t>
      </w:r>
      <w:r w:rsidR="007439AA" w:rsidRPr="00E27200">
        <w:rPr>
          <w:lang w:val="en-AU"/>
        </w:rPr>
        <w:t xml:space="preserve"> </w:t>
      </w:r>
      <w:r w:rsidRPr="00E27200">
        <w:rPr>
          <w:lang w:val="en-AU"/>
        </w:rPr>
        <w:t>Health and HIV Implementation Services Provider (HHISP).</w:t>
      </w:r>
      <w:r w:rsidR="00EB22AE">
        <w:rPr>
          <w:lang w:val="en-AU"/>
        </w:rPr>
        <w:t xml:space="preserve"> The EMO</w:t>
      </w:r>
      <w:r w:rsidR="00AB0B7E">
        <w:rPr>
          <w:lang w:val="en-AU"/>
        </w:rPr>
        <w:t xml:space="preserve">NC assessment was performed in </w:t>
      </w:r>
      <w:r w:rsidR="00EB22AE">
        <w:rPr>
          <w:lang w:val="en-AU"/>
        </w:rPr>
        <w:t>partnership with UNFPA PNG Country Office and the Family Health Services Division of NDOH.</w:t>
      </w:r>
    </w:p>
    <w:p w14:paraId="65D409BD" w14:textId="77777777" w:rsidR="00DF6777" w:rsidRPr="00E27200" w:rsidRDefault="00DF6777" w:rsidP="00E33A8E">
      <w:pPr>
        <w:rPr>
          <w:lang w:val="en-AU"/>
        </w:rPr>
      </w:pPr>
    </w:p>
    <w:p w14:paraId="12867B9E" w14:textId="55F19299" w:rsidR="00DF6777" w:rsidRPr="008D11AA" w:rsidRDefault="00DF6777" w:rsidP="00E33A8E">
      <w:pPr>
        <w:rPr>
          <w:spacing w:val="-4"/>
          <w:szCs w:val="22"/>
          <w:lang w:val="en-AU"/>
        </w:rPr>
      </w:pPr>
      <w:r w:rsidRPr="008D11AA">
        <w:rPr>
          <w:spacing w:val="-4"/>
          <w:szCs w:val="22"/>
          <w:lang w:val="en-AU"/>
        </w:rPr>
        <w:t>Ethics approval to conduct the survey was received both from the Alfred Ethics Committee, Melbourne, Australia, the University of PNG, and the Medical Research Advisory Committee, ND</w:t>
      </w:r>
      <w:r w:rsidR="00C058DF">
        <w:rPr>
          <w:spacing w:val="-4"/>
          <w:szCs w:val="22"/>
          <w:lang w:val="en-AU"/>
        </w:rPr>
        <w:t>O</w:t>
      </w:r>
      <w:r w:rsidRPr="008D11AA">
        <w:rPr>
          <w:spacing w:val="-4"/>
          <w:szCs w:val="22"/>
          <w:lang w:val="en-AU"/>
        </w:rPr>
        <w:t xml:space="preserve">H, PNG. </w:t>
      </w:r>
    </w:p>
    <w:p w14:paraId="4C411BB6" w14:textId="77777777" w:rsidR="0010007E" w:rsidRPr="00E27200" w:rsidRDefault="0010007E" w:rsidP="00E16C77">
      <w:pPr>
        <w:rPr>
          <w:lang w:val="en-AU"/>
        </w:rPr>
      </w:pPr>
    </w:p>
    <w:p w14:paraId="78D1019C" w14:textId="77777777" w:rsidR="00CA0EE5" w:rsidRPr="00E27200" w:rsidRDefault="00053017" w:rsidP="00E16C77">
      <w:pPr>
        <w:pStyle w:val="Heading2"/>
      </w:pPr>
      <w:bookmarkStart w:id="60" w:name="_Toc239058947"/>
      <w:bookmarkStart w:id="61" w:name="_Toc365283103"/>
      <w:bookmarkStart w:id="62" w:name="_Toc239217389"/>
      <w:bookmarkStart w:id="63" w:name="_Toc239221405"/>
      <w:bookmarkStart w:id="64" w:name="_Toc239324132"/>
      <w:bookmarkStart w:id="65" w:name="_Toc245620926"/>
      <w:bookmarkStart w:id="66" w:name="_Toc245621244"/>
      <w:bookmarkStart w:id="67" w:name="_Toc245621415"/>
      <w:bookmarkStart w:id="68" w:name="_Toc245810742"/>
      <w:bookmarkEnd w:id="41"/>
      <w:r w:rsidRPr="00E27200">
        <w:t xml:space="preserve">Consultation with </w:t>
      </w:r>
      <w:r w:rsidR="00CA0EE5" w:rsidRPr="00E27200">
        <w:t>church, provincial and district health managers</w:t>
      </w:r>
      <w:bookmarkEnd w:id="60"/>
      <w:bookmarkEnd w:id="61"/>
      <w:bookmarkEnd w:id="62"/>
      <w:bookmarkEnd w:id="63"/>
      <w:bookmarkEnd w:id="64"/>
      <w:bookmarkEnd w:id="65"/>
      <w:bookmarkEnd w:id="66"/>
      <w:bookmarkEnd w:id="67"/>
      <w:bookmarkEnd w:id="68"/>
      <w:r w:rsidR="00CA0EE5" w:rsidRPr="00E27200">
        <w:t xml:space="preserve"> </w:t>
      </w:r>
    </w:p>
    <w:p w14:paraId="121D30BF" w14:textId="2B686B8E" w:rsidR="00AB1D94" w:rsidRPr="00E27200" w:rsidRDefault="00CA0EE5" w:rsidP="00E16C77">
      <w:pPr>
        <w:rPr>
          <w:lang w:val="en-AU"/>
        </w:rPr>
      </w:pPr>
      <w:r w:rsidRPr="00E27200">
        <w:rPr>
          <w:lang w:val="en-AU"/>
        </w:rPr>
        <w:t>The medical supplies team administered surveys and held interviews and focus group discussions (FGD) with</w:t>
      </w:r>
      <w:r w:rsidR="00F2515F" w:rsidRPr="00E27200">
        <w:rPr>
          <w:lang w:val="en-AU"/>
        </w:rPr>
        <w:t xml:space="preserve"> </w:t>
      </w:r>
      <w:r w:rsidR="0012176A" w:rsidRPr="00E27200">
        <w:rPr>
          <w:lang w:val="en-AU"/>
        </w:rPr>
        <w:t xml:space="preserve">28 </w:t>
      </w:r>
      <w:r w:rsidRPr="00E27200">
        <w:rPr>
          <w:lang w:val="en-AU"/>
        </w:rPr>
        <w:t>provincial</w:t>
      </w:r>
      <w:r w:rsidR="00F2515F" w:rsidRPr="00E27200">
        <w:rPr>
          <w:lang w:val="en-AU"/>
        </w:rPr>
        <w:t xml:space="preserve">, </w:t>
      </w:r>
      <w:r w:rsidR="0012176A" w:rsidRPr="00E27200">
        <w:rPr>
          <w:lang w:val="en-AU"/>
        </w:rPr>
        <w:t xml:space="preserve">57 </w:t>
      </w:r>
      <w:r w:rsidRPr="00E27200">
        <w:rPr>
          <w:lang w:val="en-AU"/>
        </w:rPr>
        <w:t>district</w:t>
      </w:r>
      <w:r w:rsidR="00F2515F" w:rsidRPr="00E27200">
        <w:rPr>
          <w:lang w:val="en-AU"/>
        </w:rPr>
        <w:t>, and 46 church health service</w:t>
      </w:r>
      <w:r w:rsidRPr="00E27200">
        <w:rPr>
          <w:lang w:val="en-AU"/>
        </w:rPr>
        <w:t xml:space="preserve"> health managers from </w:t>
      </w:r>
      <w:r w:rsidR="00053017" w:rsidRPr="00E27200">
        <w:rPr>
          <w:lang w:val="en-AU"/>
        </w:rPr>
        <w:t>all</w:t>
      </w:r>
      <w:r w:rsidRPr="00E27200">
        <w:rPr>
          <w:lang w:val="en-AU"/>
        </w:rPr>
        <w:t xml:space="preserve"> </w:t>
      </w:r>
      <w:r w:rsidR="00F2515F" w:rsidRPr="00E27200">
        <w:rPr>
          <w:lang w:val="en-AU"/>
        </w:rPr>
        <w:t>provinces in the country</w:t>
      </w:r>
      <w:r w:rsidRPr="00E27200">
        <w:rPr>
          <w:lang w:val="en-AU"/>
        </w:rPr>
        <w:t xml:space="preserve">. </w:t>
      </w:r>
      <w:r w:rsidR="00053017" w:rsidRPr="00E27200">
        <w:rPr>
          <w:lang w:val="en-AU"/>
        </w:rPr>
        <w:t>This took advantage of Partnership in Health workshops that brought these managers together for another purpose.</w:t>
      </w:r>
      <w:r w:rsidR="00EF1EF6">
        <w:rPr>
          <w:lang w:val="en-AU"/>
        </w:rPr>
        <w:t xml:space="preserve">  </w:t>
      </w:r>
      <w:r w:rsidRPr="00E27200">
        <w:rPr>
          <w:lang w:val="en-AU"/>
        </w:rPr>
        <w:t xml:space="preserve">All </w:t>
      </w:r>
      <w:r w:rsidR="00053017" w:rsidRPr="00E27200">
        <w:rPr>
          <w:lang w:val="en-AU"/>
        </w:rPr>
        <w:t>managers</w:t>
      </w:r>
      <w:r w:rsidRPr="00E27200">
        <w:rPr>
          <w:lang w:val="en-AU"/>
        </w:rPr>
        <w:t xml:space="preserve"> were </w:t>
      </w:r>
      <w:r w:rsidR="00053017" w:rsidRPr="00E27200">
        <w:rPr>
          <w:lang w:val="en-AU"/>
        </w:rPr>
        <w:t>first asked to</w:t>
      </w:r>
      <w:r w:rsidRPr="00E27200">
        <w:rPr>
          <w:lang w:val="en-AU"/>
        </w:rPr>
        <w:t xml:space="preserve"> complete a short </w:t>
      </w:r>
      <w:r w:rsidR="00053017" w:rsidRPr="00E27200">
        <w:rPr>
          <w:lang w:val="en-AU"/>
        </w:rPr>
        <w:t xml:space="preserve">anonymous </w:t>
      </w:r>
      <w:r w:rsidRPr="00E27200">
        <w:rPr>
          <w:lang w:val="en-AU"/>
        </w:rPr>
        <w:t>written survey regarding their perceptions of the medical supplies system</w:t>
      </w:r>
      <w:r w:rsidR="00053017" w:rsidRPr="00E27200">
        <w:rPr>
          <w:lang w:val="en-AU"/>
        </w:rPr>
        <w:t xml:space="preserve">. After this, </w:t>
      </w:r>
      <w:r w:rsidRPr="00E27200">
        <w:rPr>
          <w:lang w:val="en-AU"/>
        </w:rPr>
        <w:t xml:space="preserve">participants were involved in a </w:t>
      </w:r>
      <w:r w:rsidR="00947DFA" w:rsidRPr="00E27200">
        <w:rPr>
          <w:lang w:val="en-AU"/>
        </w:rPr>
        <w:t>group discussion (</w:t>
      </w:r>
      <w:r w:rsidRPr="00E27200">
        <w:rPr>
          <w:lang w:val="en-AU"/>
        </w:rPr>
        <w:t>FGD</w:t>
      </w:r>
      <w:r w:rsidR="00947DFA" w:rsidRPr="00E27200">
        <w:rPr>
          <w:lang w:val="en-AU"/>
        </w:rPr>
        <w:t>)</w:t>
      </w:r>
      <w:r w:rsidRPr="00E27200">
        <w:rPr>
          <w:lang w:val="en-AU"/>
        </w:rPr>
        <w:t xml:space="preserve"> to discuss issues rel</w:t>
      </w:r>
      <w:r w:rsidR="00947DFA" w:rsidRPr="00E27200">
        <w:rPr>
          <w:lang w:val="en-AU"/>
        </w:rPr>
        <w:t xml:space="preserve">ating to the research questions, with separate groups for church health service managers, provincial health office managers, and district health managers. </w:t>
      </w:r>
      <w:r w:rsidRPr="00E27200">
        <w:rPr>
          <w:lang w:val="en-AU"/>
        </w:rPr>
        <w:t>The findings were compiled and analysed using NVIVO, and are presented in the Qualitative fi</w:t>
      </w:r>
      <w:r w:rsidR="00947DFA" w:rsidRPr="00E27200">
        <w:rPr>
          <w:lang w:val="en-AU"/>
        </w:rPr>
        <w:t>ndings section</w:t>
      </w:r>
      <w:r w:rsidR="00834E8C" w:rsidRPr="00E27200">
        <w:rPr>
          <w:lang w:val="en-AU"/>
        </w:rPr>
        <w:t xml:space="preserve"> (Annex </w:t>
      </w:r>
      <w:r w:rsidR="00AB0B7E">
        <w:rPr>
          <w:lang w:val="en-AU"/>
        </w:rPr>
        <w:t>11</w:t>
      </w:r>
      <w:r w:rsidR="00834E8C" w:rsidRPr="00E27200">
        <w:rPr>
          <w:lang w:val="en-AU"/>
        </w:rPr>
        <w:t>.4)</w:t>
      </w:r>
      <w:r w:rsidR="00947DFA" w:rsidRPr="00E27200">
        <w:rPr>
          <w:lang w:val="en-AU"/>
        </w:rPr>
        <w:t>. Detailed tools and a report on the findings are annexed.  These findings also contributed to the main body of this report at appropriate points.</w:t>
      </w:r>
    </w:p>
    <w:p w14:paraId="04E3DC7E" w14:textId="77777777" w:rsidR="00AB1D94" w:rsidRPr="00E27200" w:rsidRDefault="00AB1D94" w:rsidP="00E16C77">
      <w:pPr>
        <w:rPr>
          <w:lang w:val="en-AU"/>
        </w:rPr>
      </w:pPr>
    </w:p>
    <w:p w14:paraId="348E7DBB" w14:textId="77777777" w:rsidR="00AB1D94" w:rsidRPr="00E27200" w:rsidRDefault="00AB1D94" w:rsidP="00E16C77">
      <w:pPr>
        <w:pStyle w:val="Heading2"/>
      </w:pPr>
      <w:bookmarkStart w:id="69" w:name="_Toc358897256"/>
      <w:bookmarkStart w:id="70" w:name="_Toc239058948"/>
      <w:bookmarkStart w:id="71" w:name="_Toc365283104"/>
      <w:bookmarkStart w:id="72" w:name="_Toc239217390"/>
      <w:bookmarkStart w:id="73" w:name="_Toc239221406"/>
      <w:bookmarkStart w:id="74" w:name="_Toc239324133"/>
      <w:bookmarkStart w:id="75" w:name="_Toc245620927"/>
      <w:bookmarkStart w:id="76" w:name="_Toc245621245"/>
      <w:bookmarkStart w:id="77" w:name="_Toc245621416"/>
      <w:bookmarkStart w:id="78" w:name="_Toc245810743"/>
      <w:r w:rsidRPr="00E27200">
        <w:t>Data analysis, interpretation and dissemination</w:t>
      </w:r>
      <w:bookmarkEnd w:id="69"/>
      <w:bookmarkEnd w:id="70"/>
      <w:bookmarkEnd w:id="71"/>
      <w:bookmarkEnd w:id="72"/>
      <w:bookmarkEnd w:id="73"/>
      <w:bookmarkEnd w:id="74"/>
      <w:bookmarkEnd w:id="75"/>
      <w:bookmarkEnd w:id="76"/>
      <w:bookmarkEnd w:id="77"/>
      <w:bookmarkEnd w:id="78"/>
    </w:p>
    <w:p w14:paraId="5DB2DA3F" w14:textId="22924A0E" w:rsidR="00EF1EF6" w:rsidRDefault="00AB1D94" w:rsidP="00E16C77">
      <w:pPr>
        <w:rPr>
          <w:lang w:val="en-AU"/>
        </w:rPr>
      </w:pPr>
      <w:r w:rsidRPr="00E27200">
        <w:rPr>
          <w:lang w:val="en-AU"/>
        </w:rPr>
        <w:t xml:space="preserve">Quantitative data </w:t>
      </w:r>
      <w:r w:rsidR="00F4540D">
        <w:rPr>
          <w:lang w:val="en-AU"/>
        </w:rPr>
        <w:t>were</w:t>
      </w:r>
      <w:r w:rsidR="00F4540D" w:rsidRPr="00E27200">
        <w:rPr>
          <w:lang w:val="en-AU"/>
        </w:rPr>
        <w:t xml:space="preserve"> </w:t>
      </w:r>
      <w:r w:rsidRPr="00E27200">
        <w:rPr>
          <w:lang w:val="en-AU"/>
        </w:rPr>
        <w:t>analysed in standard analysis software (STATA</w:t>
      </w:r>
      <w:r w:rsidRPr="00E27200">
        <w:rPr>
          <w:rStyle w:val="FootnoteReference"/>
          <w:lang w:val="en-AU"/>
        </w:rPr>
        <w:footnoteReference w:id="7"/>
      </w:r>
      <w:r w:rsidRPr="00E27200">
        <w:rPr>
          <w:lang w:val="en-AU"/>
        </w:rPr>
        <w:t xml:space="preserve">), with associations and </w:t>
      </w:r>
      <w:r w:rsidR="00963172">
        <w:rPr>
          <w:lang w:val="en-AU"/>
        </w:rPr>
        <w:t>precision</w:t>
      </w:r>
      <w:r w:rsidR="00963172" w:rsidRPr="00E27200">
        <w:rPr>
          <w:lang w:val="en-AU"/>
        </w:rPr>
        <w:t xml:space="preserve"> </w:t>
      </w:r>
      <w:r w:rsidR="009B20EB">
        <w:rPr>
          <w:lang w:val="en-AU"/>
        </w:rPr>
        <w:t xml:space="preserve">examined </w:t>
      </w:r>
      <w:r w:rsidR="00963172">
        <w:rPr>
          <w:lang w:val="en-AU"/>
        </w:rPr>
        <w:t xml:space="preserve">with reference to </w:t>
      </w:r>
      <w:r w:rsidRPr="00E27200">
        <w:rPr>
          <w:lang w:val="en-AU"/>
        </w:rPr>
        <w:t>95% confidence intervals</w:t>
      </w:r>
      <w:r w:rsidR="009B20EB">
        <w:rPr>
          <w:lang w:val="en-AU"/>
        </w:rPr>
        <w:t xml:space="preserve">. Given the purposeful nature of the sampling, such confidence intervals </w:t>
      </w:r>
      <w:r w:rsidR="00E01F14">
        <w:rPr>
          <w:lang w:val="en-AU"/>
        </w:rPr>
        <w:t xml:space="preserve">were generally not useful </w:t>
      </w:r>
      <w:r w:rsidR="009B20EB">
        <w:rPr>
          <w:lang w:val="en-AU"/>
        </w:rPr>
        <w:t>to determine statistically s</w:t>
      </w:r>
      <w:r w:rsidR="00E01F14">
        <w:rPr>
          <w:lang w:val="en-AU"/>
        </w:rPr>
        <w:t>ignificant differences in means. They</w:t>
      </w:r>
      <w:r w:rsidR="009B20EB">
        <w:rPr>
          <w:lang w:val="en-AU"/>
        </w:rPr>
        <w:t xml:space="preserve"> have been used to gain insight into the spread of standard error in our measures (and in this report </w:t>
      </w:r>
      <w:r w:rsidR="00EF1EF6">
        <w:rPr>
          <w:lang w:val="en-AU"/>
        </w:rPr>
        <w:t xml:space="preserve">are displayed only </w:t>
      </w:r>
      <w:r w:rsidR="009B20EB">
        <w:rPr>
          <w:lang w:val="en-AU"/>
        </w:rPr>
        <w:t xml:space="preserve">where this is helpful). Calculation of means, especially in relation to medicines availability, </w:t>
      </w:r>
      <w:r w:rsidR="00EF1EF6">
        <w:rPr>
          <w:lang w:val="en-AU"/>
        </w:rPr>
        <w:t>has</w:t>
      </w:r>
      <w:r w:rsidR="009B20EB">
        <w:rPr>
          <w:lang w:val="en-AU"/>
        </w:rPr>
        <w:t xml:space="preserve"> been weighted according to variety of medicines sampled at different levels in the health system. In </w:t>
      </w:r>
      <w:r w:rsidR="00EF1EF6">
        <w:rPr>
          <w:lang w:val="en-AU"/>
        </w:rPr>
        <w:t>many cases</w:t>
      </w:r>
      <w:r w:rsidR="009B20EB">
        <w:rPr>
          <w:lang w:val="en-AU"/>
        </w:rPr>
        <w:t>, m</w:t>
      </w:r>
      <w:r w:rsidR="009B20EB" w:rsidRPr="009B20EB">
        <w:rPr>
          <w:lang w:val="en-AU"/>
        </w:rPr>
        <w:t xml:space="preserve">edian values were used to better </w:t>
      </w:r>
      <w:r w:rsidR="00EF1EF6">
        <w:rPr>
          <w:lang w:val="en-AU"/>
        </w:rPr>
        <w:t>characterise measurements,</w:t>
      </w:r>
      <w:r w:rsidR="009B20EB" w:rsidRPr="009B20EB">
        <w:rPr>
          <w:lang w:val="en-AU"/>
        </w:rPr>
        <w:t xml:space="preserve"> due to</w:t>
      </w:r>
      <w:r w:rsidR="00EF1EF6">
        <w:rPr>
          <w:lang w:val="en-AU"/>
        </w:rPr>
        <w:t xml:space="preserve"> the large variation in numbers and </w:t>
      </w:r>
      <w:r w:rsidR="009B20EB" w:rsidRPr="009B20EB">
        <w:rPr>
          <w:lang w:val="en-AU"/>
        </w:rPr>
        <w:t>responses.</w:t>
      </w:r>
      <w:r w:rsidR="009B20EB">
        <w:rPr>
          <w:lang w:val="en-AU"/>
        </w:rPr>
        <w:t xml:space="preserve"> </w:t>
      </w:r>
    </w:p>
    <w:p w14:paraId="05AAC594" w14:textId="77777777" w:rsidR="00EF1EF6" w:rsidRDefault="00EF1EF6" w:rsidP="00E16C77">
      <w:pPr>
        <w:rPr>
          <w:lang w:val="en-AU"/>
        </w:rPr>
      </w:pPr>
    </w:p>
    <w:p w14:paraId="3EF6D743" w14:textId="53018A14" w:rsidR="00AB1D94" w:rsidRDefault="00AB1D94" w:rsidP="00E16C77">
      <w:pPr>
        <w:rPr>
          <w:lang w:val="en-AU"/>
        </w:rPr>
      </w:pPr>
      <w:r w:rsidRPr="00E27200">
        <w:rPr>
          <w:lang w:val="en-AU"/>
        </w:rPr>
        <w:t xml:space="preserve">Qualitative data </w:t>
      </w:r>
      <w:r w:rsidR="00066A2A">
        <w:rPr>
          <w:lang w:val="en-AU"/>
        </w:rPr>
        <w:t>were</w:t>
      </w:r>
      <w:r w:rsidR="00066A2A" w:rsidRPr="00E27200">
        <w:rPr>
          <w:lang w:val="en-AU"/>
        </w:rPr>
        <w:t xml:space="preserve"> </w:t>
      </w:r>
      <w:r w:rsidRPr="00E27200">
        <w:rPr>
          <w:lang w:val="en-AU"/>
        </w:rPr>
        <w:t xml:space="preserve">subject to thematic analysis by </w:t>
      </w:r>
      <w:r w:rsidR="00066A2A">
        <w:rPr>
          <w:lang w:val="en-AU"/>
        </w:rPr>
        <w:t xml:space="preserve">use of the </w:t>
      </w:r>
      <w:r w:rsidRPr="00E27200">
        <w:rPr>
          <w:lang w:val="en-AU"/>
        </w:rPr>
        <w:t>analysis software NVIVO</w:t>
      </w:r>
      <w:r w:rsidRPr="00E27200">
        <w:rPr>
          <w:rStyle w:val="FootnoteReference"/>
          <w:lang w:val="en-AU"/>
        </w:rPr>
        <w:footnoteReference w:id="8"/>
      </w:r>
      <w:r w:rsidRPr="00E27200">
        <w:rPr>
          <w:lang w:val="en-AU"/>
        </w:rPr>
        <w:t>.  Thematic analysis was verified by two researchers independently, conducted separately to quantitative measures, and used to triangulate quantitative measures of relevant indicators.</w:t>
      </w:r>
    </w:p>
    <w:p w14:paraId="036A7EE9" w14:textId="77777777" w:rsidR="00EF1EF6" w:rsidRPr="00E27200" w:rsidRDefault="00EF1EF6" w:rsidP="00E16C77">
      <w:pPr>
        <w:rPr>
          <w:lang w:val="en-AU"/>
        </w:rPr>
      </w:pPr>
    </w:p>
    <w:p w14:paraId="1EAD0853" w14:textId="77777777" w:rsidR="00AB1D94" w:rsidRPr="00E27200" w:rsidRDefault="00AB1D94" w:rsidP="00E16C77">
      <w:pPr>
        <w:rPr>
          <w:lang w:val="en-AU"/>
        </w:rPr>
      </w:pPr>
      <w:r w:rsidRPr="00E27200">
        <w:rPr>
          <w:lang w:val="en-AU"/>
        </w:rPr>
        <w:t>Direc</w:t>
      </w:r>
      <w:r w:rsidR="00947DFA" w:rsidRPr="00E27200">
        <w:rPr>
          <w:lang w:val="en-AU"/>
        </w:rPr>
        <w:t>t measurements from the survey we</w:t>
      </w:r>
      <w:r w:rsidRPr="00E27200">
        <w:rPr>
          <w:lang w:val="en-AU"/>
        </w:rPr>
        <w:t>re expected to comprise:</w:t>
      </w:r>
    </w:p>
    <w:p w14:paraId="6F25099A" w14:textId="20D25EE3" w:rsidR="00AB1D94" w:rsidRPr="00E27200" w:rsidRDefault="00AB1D94" w:rsidP="00AD3F80">
      <w:pPr>
        <w:pStyle w:val="ListParagraph"/>
        <w:numPr>
          <w:ilvl w:val="0"/>
          <w:numId w:val="47"/>
        </w:numPr>
        <w:rPr>
          <w:lang w:val="en-AU"/>
        </w:rPr>
      </w:pPr>
      <w:r w:rsidRPr="00E27200">
        <w:rPr>
          <w:lang w:val="en-AU"/>
        </w:rPr>
        <w:t>availability of the key tracer medicines and EMONC equip</w:t>
      </w:r>
      <w:r w:rsidR="009850E9">
        <w:rPr>
          <w:lang w:val="en-AU"/>
        </w:rPr>
        <w:t>ment, brand origins and quality;</w:t>
      </w:r>
    </w:p>
    <w:p w14:paraId="7AEE54A6" w14:textId="418EDEEA" w:rsidR="00AB1D94" w:rsidRPr="00E27200" w:rsidRDefault="00AB1D94" w:rsidP="00AD3F80">
      <w:pPr>
        <w:pStyle w:val="ListParagraph"/>
        <w:numPr>
          <w:ilvl w:val="0"/>
          <w:numId w:val="47"/>
        </w:numPr>
        <w:spacing w:after="200"/>
        <w:rPr>
          <w:lang w:val="en-AU"/>
        </w:rPr>
      </w:pPr>
      <w:r w:rsidRPr="00E27200">
        <w:rPr>
          <w:lang w:val="en-AU"/>
        </w:rPr>
        <w:t>affordability of key medicines</w:t>
      </w:r>
      <w:r w:rsidR="009850E9">
        <w:rPr>
          <w:lang w:val="en-AU"/>
        </w:rPr>
        <w:t>;</w:t>
      </w:r>
    </w:p>
    <w:p w14:paraId="24326050" w14:textId="77777777" w:rsidR="00AB1D94" w:rsidRPr="00E27200" w:rsidRDefault="00AB1D94" w:rsidP="00AD3F80">
      <w:pPr>
        <w:pStyle w:val="ListParagraph"/>
        <w:numPr>
          <w:ilvl w:val="0"/>
          <w:numId w:val="47"/>
        </w:numPr>
        <w:spacing w:after="200"/>
        <w:rPr>
          <w:lang w:val="en-AU"/>
        </w:rPr>
      </w:pPr>
      <w:r w:rsidRPr="00E27200">
        <w:rPr>
          <w:lang w:val="en-AU"/>
        </w:rPr>
        <w:t>prescribing and rational usage of key tracer medicines, and in key tracer medical conditions (including pneumonia and EMONC), compliance with Standard Treatment Guidelines;</w:t>
      </w:r>
    </w:p>
    <w:p w14:paraId="3BA5A837" w14:textId="319BCEE7" w:rsidR="00AB1D94" w:rsidRPr="00E27200" w:rsidRDefault="00AB1D94" w:rsidP="00AD3F80">
      <w:pPr>
        <w:pStyle w:val="ListParagraph"/>
        <w:numPr>
          <w:ilvl w:val="0"/>
          <w:numId w:val="47"/>
        </w:numPr>
        <w:spacing w:after="200"/>
        <w:rPr>
          <w:lang w:val="en-AU"/>
        </w:rPr>
      </w:pPr>
      <w:r w:rsidRPr="00E27200">
        <w:rPr>
          <w:lang w:val="en-AU"/>
        </w:rPr>
        <w:t>quality of medical supplies management, staffing and infrastructure;</w:t>
      </w:r>
      <w:r w:rsidR="00DE460D">
        <w:rPr>
          <w:lang w:val="en-AU"/>
        </w:rPr>
        <w:t xml:space="preserve"> and</w:t>
      </w:r>
    </w:p>
    <w:p w14:paraId="5D3326F0" w14:textId="77777777" w:rsidR="00AB1D94" w:rsidRPr="00E27200" w:rsidRDefault="00AB1D94" w:rsidP="00AD3F80">
      <w:pPr>
        <w:pStyle w:val="ListParagraph"/>
        <w:numPr>
          <w:ilvl w:val="0"/>
          <w:numId w:val="47"/>
        </w:numPr>
        <w:spacing w:after="200"/>
        <w:rPr>
          <w:lang w:val="en-AU"/>
        </w:rPr>
      </w:pPr>
      <w:proofErr w:type="gramStart"/>
      <w:r w:rsidRPr="00E27200">
        <w:rPr>
          <w:lang w:val="en-AU"/>
        </w:rPr>
        <w:t>validation</w:t>
      </w:r>
      <w:proofErr w:type="gramEnd"/>
      <w:r w:rsidRPr="00E27200">
        <w:rPr>
          <w:lang w:val="en-AU"/>
        </w:rPr>
        <w:t xml:space="preserve"> of some aspects of health information system reporting on pneumonia case fatality rates, EMONC outcomes and medical supplies stock-outs.</w:t>
      </w:r>
    </w:p>
    <w:p w14:paraId="0BBE996C" w14:textId="77777777" w:rsidR="00867580" w:rsidRDefault="00867580" w:rsidP="00E16C77">
      <w:pPr>
        <w:rPr>
          <w:lang w:val="en-AU"/>
        </w:rPr>
      </w:pPr>
    </w:p>
    <w:p w14:paraId="0E69A0AE" w14:textId="77777777" w:rsidR="00AB1D94" w:rsidRPr="00E27200" w:rsidRDefault="00AB1D94" w:rsidP="00E16C77">
      <w:pPr>
        <w:rPr>
          <w:lang w:val="en-AU"/>
        </w:rPr>
      </w:pPr>
      <w:r w:rsidRPr="00E27200">
        <w:rPr>
          <w:lang w:val="en-AU"/>
        </w:rPr>
        <w:lastRenderedPageBreak/>
        <w:t xml:space="preserve">The sampling methods </w:t>
      </w:r>
      <w:r w:rsidR="00947DFA" w:rsidRPr="00E27200">
        <w:rPr>
          <w:lang w:val="en-AU"/>
        </w:rPr>
        <w:t>could</w:t>
      </w:r>
      <w:r w:rsidRPr="00E27200">
        <w:rPr>
          <w:lang w:val="en-AU"/>
        </w:rPr>
        <w:t xml:space="preserve"> allow for comparison tests to contrast by:</w:t>
      </w:r>
    </w:p>
    <w:p w14:paraId="0545DE60" w14:textId="77777777" w:rsidR="00AB1D94" w:rsidRPr="00E27200" w:rsidRDefault="00AB1D94" w:rsidP="00AD3F80">
      <w:pPr>
        <w:pStyle w:val="ListParagraph"/>
        <w:numPr>
          <w:ilvl w:val="0"/>
          <w:numId w:val="48"/>
        </w:numPr>
        <w:rPr>
          <w:lang w:val="en-AU"/>
        </w:rPr>
      </w:pPr>
      <w:r w:rsidRPr="00E27200">
        <w:rPr>
          <w:lang w:val="en-AU"/>
        </w:rPr>
        <w:t>region (ecological zone), predominant means of transport;</w:t>
      </w:r>
    </w:p>
    <w:p w14:paraId="6470ADF6" w14:textId="77777777" w:rsidR="00AB1D94" w:rsidRPr="00E27200" w:rsidRDefault="00AB1D94" w:rsidP="00AD3F80">
      <w:pPr>
        <w:pStyle w:val="ListParagraph"/>
        <w:numPr>
          <w:ilvl w:val="0"/>
          <w:numId w:val="48"/>
        </w:numPr>
        <w:rPr>
          <w:lang w:val="en-AU"/>
        </w:rPr>
      </w:pPr>
      <w:r w:rsidRPr="00E27200">
        <w:rPr>
          <w:lang w:val="en-AU"/>
        </w:rPr>
        <w:t>remoteness of facilities;</w:t>
      </w:r>
    </w:p>
    <w:p w14:paraId="51CEB332" w14:textId="215E9588" w:rsidR="00AB1D94" w:rsidRPr="00E27200" w:rsidRDefault="00A77DEB" w:rsidP="00AD3F80">
      <w:pPr>
        <w:pStyle w:val="ListParagraph"/>
        <w:numPr>
          <w:ilvl w:val="0"/>
          <w:numId w:val="48"/>
        </w:numPr>
        <w:rPr>
          <w:lang w:val="en-AU"/>
        </w:rPr>
      </w:pPr>
      <w:r>
        <w:rPr>
          <w:lang w:val="en-AU"/>
        </w:rPr>
        <w:t>mechanism</w:t>
      </w:r>
      <w:r w:rsidRPr="00E27200">
        <w:rPr>
          <w:lang w:val="en-AU"/>
        </w:rPr>
        <w:t xml:space="preserve"> </w:t>
      </w:r>
      <w:r w:rsidR="00AB1D94" w:rsidRPr="00E27200">
        <w:rPr>
          <w:lang w:val="en-AU"/>
        </w:rPr>
        <w:t>of supplies distribution, comparing direct distribution “100% kits” with</w:t>
      </w:r>
      <w:r w:rsidR="008520D2">
        <w:rPr>
          <w:lang w:val="en-AU"/>
        </w:rPr>
        <w:t xml:space="preserve"> a vertical program (</w:t>
      </w:r>
      <w:r w:rsidR="00AB1D94" w:rsidRPr="00E27200">
        <w:rPr>
          <w:lang w:val="en-AU"/>
        </w:rPr>
        <w:t>malaria</w:t>
      </w:r>
      <w:r w:rsidR="008520D2">
        <w:rPr>
          <w:lang w:val="en-AU"/>
        </w:rPr>
        <w:t>)</w:t>
      </w:r>
      <w:r w:rsidR="00AB1D94" w:rsidRPr="00E27200">
        <w:rPr>
          <w:lang w:val="en-AU"/>
        </w:rPr>
        <w:t xml:space="preserve"> supplies</w:t>
      </w:r>
      <w:r w:rsidR="008520D2">
        <w:rPr>
          <w:lang w:val="en-AU"/>
        </w:rPr>
        <w:t>,</w:t>
      </w:r>
      <w:r w:rsidR="00AB1D94" w:rsidRPr="00E27200">
        <w:rPr>
          <w:lang w:val="en-AU"/>
        </w:rPr>
        <w:t xml:space="preserve"> and the ‘pull’ system; and</w:t>
      </w:r>
    </w:p>
    <w:p w14:paraId="01BD7689" w14:textId="77777777" w:rsidR="00AB1D94" w:rsidRPr="00E27200" w:rsidRDefault="00AB1D94" w:rsidP="00AD3F80">
      <w:pPr>
        <w:pStyle w:val="ListParagraph"/>
        <w:numPr>
          <w:ilvl w:val="0"/>
          <w:numId w:val="48"/>
        </w:numPr>
        <w:spacing w:after="200"/>
        <w:rPr>
          <w:lang w:val="en-AU"/>
        </w:rPr>
      </w:pPr>
      <w:proofErr w:type="gramStart"/>
      <w:r w:rsidRPr="00E27200">
        <w:rPr>
          <w:lang w:val="en-AU"/>
        </w:rPr>
        <w:t>level</w:t>
      </w:r>
      <w:proofErr w:type="gramEnd"/>
      <w:r w:rsidRPr="00E27200">
        <w:rPr>
          <w:lang w:val="en-AU"/>
        </w:rPr>
        <w:t xml:space="preserve"> in the health system, hospitals, health centres and aid posts.</w:t>
      </w:r>
    </w:p>
    <w:p w14:paraId="5C79126D" w14:textId="77777777" w:rsidR="00AB1D94" w:rsidRPr="00E27200" w:rsidRDefault="00AB1D94" w:rsidP="00E16C77">
      <w:pPr>
        <w:rPr>
          <w:lang w:val="en-AU"/>
        </w:rPr>
      </w:pPr>
      <w:r w:rsidRPr="00E27200">
        <w:rPr>
          <w:lang w:val="en-AU"/>
        </w:rPr>
        <w:t>Further analysis and interpretation included triangulation against two NHIS indicators, reporting case-fatality rates in childhood pneumonia, an</w:t>
      </w:r>
      <w:r w:rsidR="00947DFA" w:rsidRPr="00E27200">
        <w:rPr>
          <w:lang w:val="en-AU"/>
        </w:rPr>
        <w:t xml:space="preserve">d medical supplies stock-outs. </w:t>
      </w:r>
    </w:p>
    <w:p w14:paraId="2BC4C355" w14:textId="77777777" w:rsidR="00326F7B" w:rsidRPr="00E27200" w:rsidRDefault="00326F7B" w:rsidP="00E16C77">
      <w:pPr>
        <w:rPr>
          <w:lang w:val="en-AU"/>
        </w:rPr>
      </w:pPr>
    </w:p>
    <w:p w14:paraId="3686554B" w14:textId="77777777" w:rsidR="00326F7B" w:rsidRPr="00E27200" w:rsidRDefault="00326F7B" w:rsidP="00E16C77">
      <w:pPr>
        <w:pStyle w:val="Heading2"/>
      </w:pPr>
      <w:bookmarkStart w:id="79" w:name="_Toc358897251"/>
      <w:bookmarkStart w:id="80" w:name="_Toc239058949"/>
      <w:bookmarkStart w:id="81" w:name="_Toc365283105"/>
      <w:bookmarkStart w:id="82" w:name="_Toc239217391"/>
      <w:bookmarkStart w:id="83" w:name="_Toc239221407"/>
      <w:bookmarkStart w:id="84" w:name="_Toc239324134"/>
      <w:bookmarkStart w:id="85" w:name="_Toc245620928"/>
      <w:bookmarkStart w:id="86" w:name="_Toc245621246"/>
      <w:bookmarkStart w:id="87" w:name="_Toc245621417"/>
      <w:bookmarkStart w:id="88" w:name="_Toc245810744"/>
      <w:r w:rsidRPr="00E27200">
        <w:t>Evaluation team</w:t>
      </w:r>
      <w:r w:rsidR="00744A7E" w:rsidRPr="00E27200">
        <w:t>, roles</w:t>
      </w:r>
      <w:r w:rsidRPr="00E27200">
        <w:t xml:space="preserve"> and oversight</w:t>
      </w:r>
      <w:bookmarkEnd w:id="79"/>
      <w:bookmarkEnd w:id="80"/>
      <w:bookmarkEnd w:id="81"/>
      <w:bookmarkEnd w:id="82"/>
      <w:bookmarkEnd w:id="83"/>
      <w:bookmarkEnd w:id="84"/>
      <w:bookmarkEnd w:id="85"/>
      <w:bookmarkEnd w:id="86"/>
      <w:bookmarkEnd w:id="87"/>
      <w:bookmarkEnd w:id="88"/>
    </w:p>
    <w:p w14:paraId="5A82E7AD" w14:textId="50A86290" w:rsidR="007D37DD" w:rsidRPr="00E27200" w:rsidRDefault="00326F7B" w:rsidP="00E16C77">
      <w:pPr>
        <w:rPr>
          <w:lang w:val="en-AU"/>
        </w:rPr>
      </w:pPr>
      <w:r w:rsidRPr="00E27200">
        <w:rPr>
          <w:lang w:val="en-AU"/>
        </w:rPr>
        <w:t xml:space="preserve">The evaluation team was </w:t>
      </w:r>
      <w:r w:rsidR="007439AA">
        <w:rPr>
          <w:lang w:val="en-AU"/>
        </w:rPr>
        <w:t>contracted</w:t>
      </w:r>
      <w:r w:rsidR="007439AA" w:rsidRPr="00E27200">
        <w:rPr>
          <w:lang w:val="en-AU"/>
        </w:rPr>
        <w:t xml:space="preserve"> </w:t>
      </w:r>
      <w:r w:rsidRPr="00E27200">
        <w:rPr>
          <w:lang w:val="en-AU"/>
        </w:rPr>
        <w:t xml:space="preserve">by </w:t>
      </w:r>
      <w:r w:rsidR="007439AA">
        <w:rPr>
          <w:lang w:val="en-AU"/>
        </w:rPr>
        <w:t xml:space="preserve">the </w:t>
      </w:r>
      <w:r w:rsidR="00DC21D4">
        <w:rPr>
          <w:lang w:val="en-AU"/>
        </w:rPr>
        <w:t xml:space="preserve">Australian </w:t>
      </w:r>
      <w:r w:rsidR="007439AA">
        <w:rPr>
          <w:lang w:val="en-AU"/>
        </w:rPr>
        <w:t>Government</w:t>
      </w:r>
      <w:r w:rsidRPr="00E27200">
        <w:rPr>
          <w:lang w:val="en-AU"/>
        </w:rPr>
        <w:t xml:space="preserve">, with mobilization and logistics for all aspects of the work provided by the HHISP. The team comprised four researchers (supported by management and analysis staff) provided by the Burnet Institute, whose Public Health Specialist led the process, and an independent Procurement Specialist.  The large health facility survey in this year was conducted in partnership with the </w:t>
      </w:r>
      <w:r w:rsidR="00974BAE">
        <w:rPr>
          <w:lang w:val="en-AU"/>
        </w:rPr>
        <w:t>U</w:t>
      </w:r>
      <w:r w:rsidRPr="00E27200">
        <w:rPr>
          <w:lang w:val="en-AU"/>
        </w:rPr>
        <w:t xml:space="preserve">PNG, School of Medicine and Health Sciences (SMHS)’s Department of Pharmacy, the </w:t>
      </w:r>
      <w:r w:rsidR="003D4949">
        <w:rPr>
          <w:lang w:val="en-AU"/>
        </w:rPr>
        <w:t>NDOH</w:t>
      </w:r>
      <w:r w:rsidRPr="00E27200">
        <w:rPr>
          <w:lang w:val="en-AU"/>
        </w:rPr>
        <w:t xml:space="preserve"> and the United Nations Family Planning Association </w:t>
      </w:r>
      <w:r w:rsidR="003D4949">
        <w:rPr>
          <w:lang w:val="en-AU"/>
        </w:rPr>
        <w:t xml:space="preserve">(UNFPA) </w:t>
      </w:r>
      <w:r w:rsidRPr="00E27200">
        <w:rPr>
          <w:lang w:val="en-AU"/>
        </w:rPr>
        <w:t xml:space="preserve">country office. </w:t>
      </w:r>
      <w:r w:rsidR="007D37DD" w:rsidRPr="00E27200">
        <w:rPr>
          <w:lang w:val="en-AU"/>
        </w:rPr>
        <w:t>Burnet Institute, the independent Procurement Specialist, and UPNG</w:t>
      </w:r>
      <w:r w:rsidR="00CB7FF2" w:rsidRPr="00E27200">
        <w:rPr>
          <w:lang w:val="en-AU"/>
        </w:rPr>
        <w:t>,</w:t>
      </w:r>
      <w:r w:rsidR="007D37DD" w:rsidRPr="00E27200">
        <w:rPr>
          <w:lang w:val="en-AU"/>
        </w:rPr>
        <w:t xml:space="preserve"> provided the objectivity of independent </w:t>
      </w:r>
      <w:r w:rsidR="00CB7FF2" w:rsidRPr="00E27200">
        <w:rPr>
          <w:lang w:val="en-AU"/>
        </w:rPr>
        <w:t>agencies</w:t>
      </w:r>
      <w:r w:rsidR="007D37DD" w:rsidRPr="00E27200">
        <w:rPr>
          <w:lang w:val="en-AU"/>
        </w:rPr>
        <w:t xml:space="preserve"> with no direct responsibility for medical supplies provision in PNG.</w:t>
      </w:r>
    </w:p>
    <w:p w14:paraId="6AFEB1FC" w14:textId="77777777" w:rsidR="007D37DD" w:rsidRPr="00E27200" w:rsidRDefault="007D37DD" w:rsidP="00E16C77">
      <w:pPr>
        <w:rPr>
          <w:lang w:val="en-AU"/>
        </w:rPr>
      </w:pPr>
    </w:p>
    <w:p w14:paraId="47FEFE18" w14:textId="77777777" w:rsidR="00722B7C" w:rsidRPr="00E27200" w:rsidRDefault="00326F7B" w:rsidP="00E16C77">
      <w:pPr>
        <w:rPr>
          <w:lang w:val="en-AU"/>
        </w:rPr>
      </w:pPr>
      <w:r w:rsidRPr="00E27200">
        <w:rPr>
          <w:lang w:val="en-AU"/>
        </w:rPr>
        <w:t xml:space="preserve">The Burnet Institute’s research team coordinated the </w:t>
      </w:r>
      <w:r w:rsidR="007D37DD" w:rsidRPr="00E27200">
        <w:rPr>
          <w:lang w:val="en-AU"/>
        </w:rPr>
        <w:t xml:space="preserve">health facility </w:t>
      </w:r>
      <w:r w:rsidRPr="00E27200">
        <w:rPr>
          <w:lang w:val="en-AU"/>
        </w:rPr>
        <w:t xml:space="preserve">survey, including all aspects of sampling, survey instruments, data entry, storage and analysis. </w:t>
      </w:r>
      <w:r w:rsidR="007D37DD" w:rsidRPr="00E27200">
        <w:rPr>
          <w:lang w:val="en-AU"/>
        </w:rPr>
        <w:t xml:space="preserve">SMHS </w:t>
      </w:r>
      <w:r w:rsidR="00CE74B1" w:rsidRPr="00E27200">
        <w:rPr>
          <w:lang w:val="en-AU"/>
        </w:rPr>
        <w:t>academic staff</w:t>
      </w:r>
      <w:r w:rsidR="007D37DD" w:rsidRPr="00E27200">
        <w:rPr>
          <w:lang w:val="en-AU"/>
        </w:rPr>
        <w:t xml:space="preserve"> advised on survey structure and su</w:t>
      </w:r>
      <w:r w:rsidR="001F6B64">
        <w:rPr>
          <w:lang w:val="en-AU"/>
        </w:rPr>
        <w:t>rveyor training, enabled 61</w:t>
      </w:r>
      <w:r w:rsidR="007D37DD" w:rsidRPr="00E27200">
        <w:rPr>
          <w:lang w:val="en-AU"/>
        </w:rPr>
        <w:t xml:space="preserve"> pharmacy students to support data collection alongside Burnet staff and SMHS Academic staff, and reviewed initial survey findings.   </w:t>
      </w:r>
    </w:p>
    <w:p w14:paraId="1C66A7C7" w14:textId="77777777" w:rsidR="00722B7C" w:rsidRPr="00E27200" w:rsidRDefault="00722B7C" w:rsidP="00E16C77">
      <w:pPr>
        <w:rPr>
          <w:lang w:val="en-AU"/>
        </w:rPr>
      </w:pPr>
    </w:p>
    <w:p w14:paraId="293F3497" w14:textId="0F8A13EF" w:rsidR="007D37DD" w:rsidRPr="00E27200" w:rsidRDefault="00433BB8" w:rsidP="00E16C77">
      <w:pPr>
        <w:rPr>
          <w:lang w:val="en-AU"/>
        </w:rPr>
      </w:pPr>
      <w:r>
        <w:t>The core evaluation team</w:t>
      </w:r>
      <w:r w:rsidRPr="00E27200" w:rsidDel="00433BB8">
        <w:rPr>
          <w:lang w:val="en-AU"/>
        </w:rPr>
        <w:t xml:space="preserve"> </w:t>
      </w:r>
      <w:r w:rsidR="007D37DD" w:rsidRPr="00E27200">
        <w:rPr>
          <w:lang w:val="en-AU"/>
        </w:rPr>
        <w:t>conducted the national consultations in May</w:t>
      </w:r>
      <w:r w:rsidR="00A376D0">
        <w:rPr>
          <w:lang w:val="en-AU"/>
        </w:rPr>
        <w:t xml:space="preserve"> and </w:t>
      </w:r>
      <w:r w:rsidR="007D37DD" w:rsidRPr="00E27200">
        <w:rPr>
          <w:lang w:val="en-AU"/>
        </w:rPr>
        <w:t>June</w:t>
      </w:r>
      <w:r>
        <w:rPr>
          <w:lang w:val="en-AU"/>
        </w:rPr>
        <w:t xml:space="preserve"> 2013</w:t>
      </w:r>
      <w:r w:rsidR="007D37DD" w:rsidRPr="00E27200">
        <w:rPr>
          <w:lang w:val="en-AU"/>
        </w:rPr>
        <w:t>, with both contributing to the analysis and findings in this report.</w:t>
      </w:r>
      <w:r w:rsidR="00722B7C" w:rsidRPr="00E27200">
        <w:rPr>
          <w:lang w:val="en-AU"/>
        </w:rPr>
        <w:t xml:space="preserve"> The Burnet team and SMHS academic staff conducted the provincial and district</w:t>
      </w:r>
      <w:r w:rsidR="00CE74B1" w:rsidRPr="00E27200">
        <w:rPr>
          <w:lang w:val="en-AU"/>
        </w:rPr>
        <w:t xml:space="preserve"> health manager surveys and focus group discussions, with Burnet staff responsible for the collation and analysis of this qualitative data.</w:t>
      </w:r>
    </w:p>
    <w:p w14:paraId="78D160A4" w14:textId="77777777" w:rsidR="00CB7FF2" w:rsidRPr="00E27200" w:rsidRDefault="00CB7FF2" w:rsidP="00E16C77">
      <w:pPr>
        <w:rPr>
          <w:lang w:val="en-AU"/>
        </w:rPr>
      </w:pPr>
    </w:p>
    <w:p w14:paraId="137560FA" w14:textId="43874B8E" w:rsidR="00CB7FF2" w:rsidRPr="00E27200" w:rsidRDefault="00CB7FF2" w:rsidP="00E16C77">
      <w:pPr>
        <w:rPr>
          <w:lang w:val="en-AU"/>
        </w:rPr>
      </w:pPr>
      <w:r w:rsidRPr="00E27200">
        <w:rPr>
          <w:lang w:val="en-AU"/>
        </w:rPr>
        <w:t>The HHISP coordinated travel, security and logistics for all meetings, as well as the extensive field tra</w:t>
      </w:r>
      <w:r w:rsidR="00757E37" w:rsidRPr="00E27200">
        <w:rPr>
          <w:lang w:val="en-AU"/>
        </w:rPr>
        <w:t>vel involving over 70 surveyors</w:t>
      </w:r>
      <w:r w:rsidRPr="00E27200">
        <w:rPr>
          <w:lang w:val="en-AU"/>
        </w:rPr>
        <w:t xml:space="preserve"> travelling </w:t>
      </w:r>
      <w:r w:rsidR="00757E37" w:rsidRPr="00E27200">
        <w:rPr>
          <w:lang w:val="en-AU"/>
        </w:rPr>
        <w:t xml:space="preserve">to </w:t>
      </w:r>
      <w:r w:rsidR="00E94C8C">
        <w:rPr>
          <w:lang w:val="en-AU"/>
        </w:rPr>
        <w:t>ten</w:t>
      </w:r>
      <w:r w:rsidR="00757E37" w:rsidRPr="00E27200">
        <w:rPr>
          <w:lang w:val="en-AU"/>
        </w:rPr>
        <w:t xml:space="preserve"> provinces within a two-</w:t>
      </w:r>
      <w:r w:rsidRPr="00E27200">
        <w:rPr>
          <w:lang w:val="en-AU"/>
        </w:rPr>
        <w:t>week period in June 2013.</w:t>
      </w:r>
    </w:p>
    <w:p w14:paraId="191611CB" w14:textId="77777777" w:rsidR="007D37DD" w:rsidRPr="00E27200" w:rsidRDefault="007D37DD" w:rsidP="00E16C77">
      <w:pPr>
        <w:rPr>
          <w:lang w:val="en-AU"/>
        </w:rPr>
      </w:pPr>
    </w:p>
    <w:p w14:paraId="7EB54A58" w14:textId="0F79D96E" w:rsidR="00B82241" w:rsidRPr="00930D84" w:rsidRDefault="00326F7B" w:rsidP="00E16C77">
      <w:pPr>
        <w:rPr>
          <w:lang w:val="en-AU"/>
        </w:rPr>
      </w:pPr>
      <w:r w:rsidRPr="00E27200">
        <w:rPr>
          <w:lang w:val="en-AU"/>
        </w:rPr>
        <w:t xml:space="preserve">A Technical Review Committee was formed to provide advice on the adaptation of standard methods to PNG, </w:t>
      </w:r>
      <w:r w:rsidR="00433BB8">
        <w:t>to determine the type of tracer medicines selected</w:t>
      </w:r>
      <w:r w:rsidR="00433BB8" w:rsidRPr="00E27200">
        <w:rPr>
          <w:lang w:val="en-AU"/>
        </w:rPr>
        <w:t xml:space="preserve"> </w:t>
      </w:r>
      <w:r w:rsidRPr="00E27200">
        <w:rPr>
          <w:lang w:val="en-AU"/>
        </w:rPr>
        <w:t>and to ensure that details of importance to national medical supply ref</w:t>
      </w:r>
      <w:r w:rsidR="007D37DD" w:rsidRPr="00E27200">
        <w:rPr>
          <w:lang w:val="en-AU"/>
        </w:rPr>
        <w:t xml:space="preserve">orms are included in the survey. </w:t>
      </w:r>
      <w:r w:rsidRPr="00E27200">
        <w:rPr>
          <w:lang w:val="en-AU"/>
        </w:rPr>
        <w:t>This committee first met on 8</w:t>
      </w:r>
      <w:r w:rsidRPr="00E27200">
        <w:rPr>
          <w:vertAlign w:val="superscript"/>
          <w:lang w:val="en-AU"/>
        </w:rPr>
        <w:t>th</w:t>
      </w:r>
      <w:r w:rsidRPr="00E27200">
        <w:rPr>
          <w:lang w:val="en-AU"/>
        </w:rPr>
        <w:t xml:space="preserve"> May 2013, and provided advice to inform the methods proposed below. </w:t>
      </w:r>
      <w:r w:rsidR="00E94C8C">
        <w:rPr>
          <w:lang w:val="en-AU"/>
        </w:rPr>
        <w:t>This committee includes: PNG NDO</w:t>
      </w:r>
      <w:r w:rsidRPr="00E27200">
        <w:rPr>
          <w:lang w:val="en-AU"/>
        </w:rPr>
        <w:t>H Monitori</w:t>
      </w:r>
      <w:r w:rsidR="00E94C8C">
        <w:rPr>
          <w:lang w:val="en-AU"/>
        </w:rPr>
        <w:t>ng and Research section, PNG NDO</w:t>
      </w:r>
      <w:r w:rsidRPr="00E27200">
        <w:rPr>
          <w:lang w:val="en-AU"/>
        </w:rPr>
        <w:t>H Medical Supplies Procurement a</w:t>
      </w:r>
      <w:r w:rsidR="00E94C8C">
        <w:rPr>
          <w:lang w:val="en-AU"/>
        </w:rPr>
        <w:t>nd Distribution section, PNG NDO</w:t>
      </w:r>
      <w:r w:rsidRPr="00E27200">
        <w:rPr>
          <w:lang w:val="en-AU"/>
        </w:rPr>
        <w:t xml:space="preserve">H Pharmaceutical Standards section, WHO Country Office, UNICEF Country Office, UNFPA Country Office, </w:t>
      </w:r>
      <w:r w:rsidR="00DC21D4">
        <w:rPr>
          <w:lang w:val="en-AU"/>
        </w:rPr>
        <w:t>Australian Aid</w:t>
      </w:r>
      <w:r w:rsidRPr="00E27200">
        <w:rPr>
          <w:lang w:val="en-AU"/>
        </w:rPr>
        <w:t xml:space="preserve"> Health </w:t>
      </w:r>
      <w:r w:rsidR="00EE34A3">
        <w:rPr>
          <w:lang w:val="en-AU"/>
        </w:rPr>
        <w:t xml:space="preserve">and HIV </w:t>
      </w:r>
      <w:r w:rsidRPr="00E27200">
        <w:rPr>
          <w:lang w:val="en-AU"/>
        </w:rPr>
        <w:t xml:space="preserve">Program (including those responsible for medical supplies distribution contracts), and the independent Procurement Specialist.  This committee, with other observers, also received an Aide Memoire report on the evaluation </w:t>
      </w:r>
      <w:r w:rsidR="00E76E71" w:rsidRPr="00E27200">
        <w:rPr>
          <w:lang w:val="en-AU"/>
        </w:rPr>
        <w:t>fieldwork</w:t>
      </w:r>
      <w:r w:rsidRPr="00E27200">
        <w:rPr>
          <w:lang w:val="en-AU"/>
        </w:rPr>
        <w:t xml:space="preserve"> and initial interim findings on June 27</w:t>
      </w:r>
      <w:r w:rsidRPr="00E27200">
        <w:rPr>
          <w:vertAlign w:val="superscript"/>
          <w:lang w:val="en-AU"/>
        </w:rPr>
        <w:t>th</w:t>
      </w:r>
      <w:r w:rsidRPr="00E27200">
        <w:rPr>
          <w:lang w:val="en-AU"/>
        </w:rPr>
        <w:t xml:space="preserve"> June 2013. </w:t>
      </w:r>
      <w:r w:rsidR="00426405" w:rsidRPr="00E27200">
        <w:rPr>
          <w:lang w:val="en-AU"/>
        </w:rPr>
        <w:t xml:space="preserve">It will review the draft of this report and receive a final presentation of findings, </w:t>
      </w:r>
      <w:r w:rsidRPr="00E27200">
        <w:rPr>
          <w:lang w:val="en-AU"/>
        </w:rPr>
        <w:t xml:space="preserve">however the responsibility for final analysis, interpretation and conclusions rested with the </w:t>
      </w:r>
      <w:r w:rsidR="00A376D0">
        <w:rPr>
          <w:lang w:val="en-AU"/>
        </w:rPr>
        <w:t>core evaluation team</w:t>
      </w:r>
      <w:r w:rsidRPr="00E27200">
        <w:rPr>
          <w:lang w:val="en-AU"/>
        </w:rPr>
        <w:t xml:space="preserve"> and other academic partners who contribute as authors on technical reports and publications.</w:t>
      </w:r>
      <w:r w:rsidR="00B82241" w:rsidRPr="00E27200">
        <w:rPr>
          <w:lang w:val="en-AU"/>
        </w:rPr>
        <w:br w:type="page"/>
      </w:r>
    </w:p>
    <w:p w14:paraId="0BF21B9E" w14:textId="77777777" w:rsidR="00B82241" w:rsidRPr="00E27200" w:rsidRDefault="00607C00" w:rsidP="00E16C77">
      <w:pPr>
        <w:pStyle w:val="Heading1"/>
      </w:pPr>
      <w:bookmarkStart w:id="89" w:name="_Toc245810745"/>
      <w:r w:rsidRPr="00E27200">
        <w:lastRenderedPageBreak/>
        <w:t>Findings: n</w:t>
      </w:r>
      <w:r w:rsidR="00DE02D0" w:rsidRPr="00E27200">
        <w:t>ational planning</w:t>
      </w:r>
      <w:r w:rsidR="00DF57FC" w:rsidRPr="00E27200">
        <w:t xml:space="preserve">, </w:t>
      </w:r>
      <w:r w:rsidR="00B82241" w:rsidRPr="00E27200">
        <w:t>procurement</w:t>
      </w:r>
      <w:r w:rsidR="00DF57FC" w:rsidRPr="00E27200">
        <w:t xml:space="preserve"> and regulation</w:t>
      </w:r>
      <w:bookmarkEnd w:id="89"/>
    </w:p>
    <w:p w14:paraId="621A236F" w14:textId="77777777" w:rsidR="00F425C4" w:rsidRPr="00E27200" w:rsidRDefault="00F425C4" w:rsidP="00E16C77">
      <w:pPr>
        <w:rPr>
          <w:lang w:val="en-AU"/>
        </w:rPr>
      </w:pPr>
      <w:r w:rsidRPr="00E27200">
        <w:rPr>
          <w:lang w:val="en-AU"/>
        </w:rPr>
        <w:t>This section presents findings on national planning, financing and procurement of medical supplies, including considerations of governance and trans</w:t>
      </w:r>
      <w:r w:rsidR="00D43F27" w:rsidRPr="00E27200">
        <w:rPr>
          <w:lang w:val="en-AU"/>
        </w:rPr>
        <w:t>parency in these functions. The majority of findings in this section were derived from national consultation interviews and document review</w:t>
      </w:r>
      <w:r w:rsidR="000A1D61" w:rsidRPr="00E27200">
        <w:rPr>
          <w:lang w:val="en-AU"/>
        </w:rPr>
        <w:t>, although some assessments draw on health facility survey measurements</w:t>
      </w:r>
      <w:r w:rsidR="00D43F27" w:rsidRPr="00E27200">
        <w:rPr>
          <w:lang w:val="en-AU"/>
        </w:rPr>
        <w:t>.</w:t>
      </w:r>
    </w:p>
    <w:p w14:paraId="1FCE4B84" w14:textId="77777777" w:rsidR="00F425C4" w:rsidRPr="00E27200" w:rsidRDefault="00F425C4" w:rsidP="00E16C77">
      <w:pPr>
        <w:rPr>
          <w:lang w:val="en-AU"/>
        </w:rPr>
      </w:pPr>
    </w:p>
    <w:p w14:paraId="4833D9E6" w14:textId="77777777" w:rsidR="00B82241" w:rsidRPr="00E27200" w:rsidRDefault="00F425C4" w:rsidP="00E16C77">
      <w:pPr>
        <w:pStyle w:val="Heading2"/>
      </w:pPr>
      <w:bookmarkStart w:id="90" w:name="_Toc245810746"/>
      <w:r w:rsidRPr="00E27200">
        <w:t>National planning and budgeting</w:t>
      </w:r>
      <w:bookmarkEnd w:id="90"/>
    </w:p>
    <w:p w14:paraId="083B2952" w14:textId="7248691B" w:rsidR="00F425C4" w:rsidRDefault="00F425C4" w:rsidP="00E16C77">
      <w:pPr>
        <w:ind w:left="432"/>
        <w:rPr>
          <w:i/>
          <w:lang w:val="en-AU"/>
        </w:rPr>
      </w:pPr>
      <w:r w:rsidRPr="00E27200">
        <w:rPr>
          <w:b/>
          <w:i/>
          <w:lang w:val="en-AU"/>
        </w:rPr>
        <w:t xml:space="preserve">Key finding: </w:t>
      </w:r>
      <w:r w:rsidRPr="00E27200">
        <w:rPr>
          <w:i/>
          <w:lang w:val="en-AU"/>
        </w:rPr>
        <w:t>A new process of multi-year planning for medical supplies procurement commenced in 2012, supported by increasing budget allocations, but remains hampered by weaknesses in quantification,</w:t>
      </w:r>
      <w:r w:rsidR="007C5778" w:rsidRPr="00E27200">
        <w:rPr>
          <w:i/>
          <w:lang w:val="en-AU"/>
        </w:rPr>
        <w:t xml:space="preserve"> </w:t>
      </w:r>
      <w:r w:rsidRPr="00E27200">
        <w:rPr>
          <w:i/>
          <w:lang w:val="en-AU"/>
        </w:rPr>
        <w:t>a critical lack of data on medicines usage and needs</w:t>
      </w:r>
      <w:r w:rsidR="007C5778" w:rsidRPr="00E27200">
        <w:rPr>
          <w:i/>
          <w:lang w:val="en-AU"/>
        </w:rPr>
        <w:t xml:space="preserve">, </w:t>
      </w:r>
      <w:r w:rsidR="00A117CB" w:rsidRPr="00E27200">
        <w:rPr>
          <w:i/>
          <w:lang w:val="en-AU"/>
        </w:rPr>
        <w:t xml:space="preserve">and </w:t>
      </w:r>
      <w:r w:rsidR="007C5778" w:rsidRPr="00E27200">
        <w:rPr>
          <w:i/>
          <w:lang w:val="en-AU"/>
        </w:rPr>
        <w:t xml:space="preserve">difficulties in coordinating </w:t>
      </w:r>
      <w:r w:rsidR="00A117CB" w:rsidRPr="00E27200">
        <w:rPr>
          <w:i/>
          <w:lang w:val="en-AU"/>
        </w:rPr>
        <w:t xml:space="preserve">procurement across </w:t>
      </w:r>
      <w:r w:rsidR="009E0FF6">
        <w:rPr>
          <w:i/>
          <w:lang w:val="en-AU"/>
        </w:rPr>
        <w:t xml:space="preserve">‘pull’, </w:t>
      </w:r>
      <w:r w:rsidR="007C5778" w:rsidRPr="00E27200">
        <w:rPr>
          <w:i/>
          <w:lang w:val="en-AU"/>
        </w:rPr>
        <w:t xml:space="preserve">vertical and </w:t>
      </w:r>
      <w:r w:rsidR="009E0FF6">
        <w:rPr>
          <w:i/>
          <w:lang w:val="en-AU"/>
        </w:rPr>
        <w:t xml:space="preserve">‘push’ </w:t>
      </w:r>
      <w:r w:rsidR="00433BB8">
        <w:rPr>
          <w:i/>
          <w:lang w:val="en-AU"/>
        </w:rPr>
        <w:t>programs</w:t>
      </w:r>
      <w:r w:rsidRPr="00E27200">
        <w:rPr>
          <w:i/>
          <w:lang w:val="en-AU"/>
        </w:rPr>
        <w:t>.</w:t>
      </w:r>
      <w:r w:rsidR="00C20103" w:rsidRPr="00E27200">
        <w:rPr>
          <w:i/>
          <w:lang w:val="en-AU"/>
        </w:rPr>
        <w:t xml:space="preserve"> National stock-outs and </w:t>
      </w:r>
      <w:r w:rsidR="00A117CB" w:rsidRPr="00E27200">
        <w:rPr>
          <w:i/>
          <w:lang w:val="en-AU"/>
        </w:rPr>
        <w:t xml:space="preserve">associated </w:t>
      </w:r>
      <w:r w:rsidR="00C20103" w:rsidRPr="00E27200">
        <w:rPr>
          <w:i/>
          <w:lang w:val="en-AU"/>
        </w:rPr>
        <w:t>need for</w:t>
      </w:r>
      <w:r w:rsidR="00A117CB" w:rsidRPr="00E27200">
        <w:rPr>
          <w:i/>
          <w:lang w:val="en-AU"/>
        </w:rPr>
        <w:t xml:space="preserve"> emergency procurements persist</w:t>
      </w:r>
      <w:r w:rsidR="00C20103" w:rsidRPr="00E27200">
        <w:rPr>
          <w:i/>
          <w:lang w:val="en-AU"/>
        </w:rPr>
        <w:t>.</w:t>
      </w:r>
      <w:r w:rsidR="00365016">
        <w:rPr>
          <w:i/>
          <w:lang w:val="en-AU"/>
        </w:rPr>
        <w:t xml:space="preserve"> </w:t>
      </w:r>
      <w:r w:rsidR="00365016" w:rsidRPr="00E27200">
        <w:rPr>
          <w:i/>
          <w:lang w:val="en-AU"/>
        </w:rPr>
        <w:t>The</w:t>
      </w:r>
      <w:r w:rsidR="0028736D">
        <w:rPr>
          <w:i/>
          <w:lang w:val="en-AU"/>
        </w:rPr>
        <w:t xml:space="preserve"> recent</w:t>
      </w:r>
      <w:r w:rsidR="00365016" w:rsidRPr="00E27200">
        <w:rPr>
          <w:i/>
          <w:lang w:val="en-AU"/>
        </w:rPr>
        <w:t xml:space="preserve"> 100% </w:t>
      </w:r>
      <w:r w:rsidR="0028736D">
        <w:rPr>
          <w:i/>
          <w:lang w:val="en-AU"/>
        </w:rPr>
        <w:t xml:space="preserve">HC and AP </w:t>
      </w:r>
      <w:r w:rsidR="00365016" w:rsidRPr="00E27200">
        <w:rPr>
          <w:i/>
          <w:lang w:val="en-AU"/>
        </w:rPr>
        <w:t>kit</w:t>
      </w:r>
      <w:r w:rsidR="0028736D">
        <w:rPr>
          <w:i/>
          <w:lang w:val="en-AU"/>
        </w:rPr>
        <w:t xml:space="preserve"> procurement</w:t>
      </w:r>
      <w:r w:rsidR="00365016" w:rsidRPr="00E27200">
        <w:rPr>
          <w:i/>
          <w:lang w:val="en-AU"/>
        </w:rPr>
        <w:t xml:space="preserve"> represent</w:t>
      </w:r>
      <w:r w:rsidR="00365016">
        <w:rPr>
          <w:i/>
          <w:lang w:val="en-AU"/>
        </w:rPr>
        <w:t>ed</w:t>
      </w:r>
      <w:r w:rsidR="00365016" w:rsidRPr="00E27200">
        <w:rPr>
          <w:i/>
          <w:lang w:val="en-AU"/>
        </w:rPr>
        <w:t xml:space="preserve"> good value for money for the contents as tendered</w:t>
      </w:r>
      <w:r w:rsidR="00365016">
        <w:rPr>
          <w:i/>
          <w:lang w:val="en-AU"/>
        </w:rPr>
        <w:t xml:space="preserve">, with </w:t>
      </w:r>
      <w:r w:rsidR="00B629DF">
        <w:rPr>
          <w:i/>
          <w:lang w:val="en-AU"/>
        </w:rPr>
        <w:t xml:space="preserve">the supplier, IDA, </w:t>
      </w:r>
      <w:r w:rsidR="0028736D">
        <w:rPr>
          <w:i/>
          <w:lang w:val="en-AU"/>
        </w:rPr>
        <w:t xml:space="preserve">and the </w:t>
      </w:r>
      <w:r w:rsidR="00365016">
        <w:rPr>
          <w:i/>
          <w:lang w:val="en-AU"/>
        </w:rPr>
        <w:t xml:space="preserve">payment procedures </w:t>
      </w:r>
      <w:r w:rsidR="0028736D">
        <w:rPr>
          <w:i/>
          <w:lang w:val="en-AU"/>
        </w:rPr>
        <w:t>enabling good quality provision at a competitive price.</w:t>
      </w:r>
      <w:r w:rsidR="0012385F">
        <w:rPr>
          <w:i/>
          <w:lang w:val="en-AU"/>
        </w:rPr>
        <w:t xml:space="preserve"> </w:t>
      </w:r>
    </w:p>
    <w:p w14:paraId="6D606CED" w14:textId="77777777" w:rsidR="00075805" w:rsidRDefault="00075805" w:rsidP="00E16C77">
      <w:pPr>
        <w:ind w:left="432"/>
        <w:rPr>
          <w:b/>
          <w:i/>
          <w:lang w:val="en-AU"/>
        </w:rPr>
      </w:pPr>
    </w:p>
    <w:p w14:paraId="273FA63A" w14:textId="5CEB9173" w:rsidR="00075805" w:rsidRPr="008D11AA" w:rsidRDefault="00075805" w:rsidP="00E16C77">
      <w:pPr>
        <w:ind w:left="432"/>
        <w:rPr>
          <w:i/>
          <w:lang w:val="en-AU"/>
        </w:rPr>
      </w:pPr>
      <w:r>
        <w:rPr>
          <w:i/>
          <w:lang w:val="en-AU"/>
        </w:rPr>
        <w:t>For the ‘push’ system kits, d</w:t>
      </w:r>
      <w:r w:rsidRPr="00E27200">
        <w:rPr>
          <w:i/>
          <w:lang w:val="en-AU"/>
        </w:rPr>
        <w:t>ifficulties in quantification meant some contents were in over-</w:t>
      </w:r>
      <w:r>
        <w:rPr>
          <w:i/>
          <w:lang w:val="en-AU"/>
        </w:rPr>
        <w:t xml:space="preserve"> </w:t>
      </w:r>
      <w:r w:rsidR="00E10E6E">
        <w:rPr>
          <w:i/>
          <w:lang w:val="en-AU"/>
        </w:rPr>
        <w:t>o</w:t>
      </w:r>
      <w:r>
        <w:rPr>
          <w:i/>
          <w:lang w:val="en-AU"/>
        </w:rPr>
        <w:t>r under-</w:t>
      </w:r>
      <w:r w:rsidRPr="00E27200">
        <w:rPr>
          <w:i/>
          <w:lang w:val="en-AU"/>
        </w:rPr>
        <w:t xml:space="preserve">supply </w:t>
      </w:r>
      <w:r>
        <w:rPr>
          <w:i/>
          <w:lang w:val="en-AU"/>
        </w:rPr>
        <w:t>however evaluation findings suggest this</w:t>
      </w:r>
      <w:r w:rsidRPr="00E27200">
        <w:rPr>
          <w:i/>
          <w:lang w:val="en-AU"/>
        </w:rPr>
        <w:t xml:space="preserve"> was due to poor compliance with standard treatment guidelines rather than a mismatch of contents with population health needs. In the absence of regular, reliable usage data, future quantification can be improved with attention to differential treatment roles at HC and AP levels, review of this survey’s findings, supplementary operational research into comprehensive medicines usage at health facilities, and efforts to improve rational use of medicines.</w:t>
      </w:r>
    </w:p>
    <w:p w14:paraId="60ACDD51" w14:textId="77777777" w:rsidR="00F425C4" w:rsidRPr="00E27200" w:rsidRDefault="00F425C4" w:rsidP="00E16C77">
      <w:pPr>
        <w:ind w:left="432"/>
        <w:rPr>
          <w:b/>
          <w:i/>
          <w:lang w:val="en-AU"/>
        </w:rPr>
      </w:pPr>
    </w:p>
    <w:p w14:paraId="62B364E9" w14:textId="77777777" w:rsidR="00DF57FC" w:rsidRPr="00E27200" w:rsidRDefault="00DF57FC" w:rsidP="00E16C77">
      <w:pPr>
        <w:pStyle w:val="Heading3"/>
      </w:pPr>
      <w:r w:rsidRPr="00E27200">
        <w:t>National planning of multi-year procurement and quantification</w:t>
      </w:r>
    </w:p>
    <w:p w14:paraId="17331B7C" w14:textId="1635069D" w:rsidR="00AC72B8" w:rsidRPr="00E27200" w:rsidRDefault="00AC72B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National consultations and document review demonstrated increased attention to national planning for estimation of medical supplies needs</w:t>
      </w:r>
      <w:r w:rsidR="007C5778" w:rsidRPr="00E27200">
        <w:rPr>
          <w:rFonts w:asciiTheme="minorHAnsi" w:hAnsiTheme="minorHAnsi" w:cs="Arial"/>
          <w:color w:val="000000"/>
          <w:szCs w:val="22"/>
          <w:lang w:val="en-AU"/>
        </w:rPr>
        <w:t>, although external technical assistance continues to be required</w:t>
      </w:r>
      <w:r w:rsidRPr="00E27200">
        <w:rPr>
          <w:rFonts w:asciiTheme="minorHAnsi" w:hAnsiTheme="minorHAnsi" w:cs="Arial"/>
          <w:color w:val="000000"/>
          <w:szCs w:val="22"/>
          <w:lang w:val="en-AU"/>
        </w:rPr>
        <w:t xml:space="preserve">. In 2012 quantification of HIV, malaria, tuberculosis, vaccines and other essential </w:t>
      </w:r>
      <w:r w:rsidR="00724DC2">
        <w:rPr>
          <w:rFonts w:asciiTheme="minorHAnsi" w:hAnsiTheme="minorHAnsi" w:cs="Arial"/>
          <w:color w:val="000000"/>
          <w:szCs w:val="22"/>
          <w:lang w:val="en-AU"/>
        </w:rPr>
        <w:t>medicines</w:t>
      </w:r>
      <w:r w:rsidR="00724DC2" w:rsidRPr="00E27200">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was undertaken with international development partner support (</w:t>
      </w:r>
      <w:r w:rsidR="007439AA">
        <w:rPr>
          <w:rFonts w:asciiTheme="minorHAnsi" w:hAnsiTheme="minorHAnsi" w:cs="Arial"/>
          <w:color w:val="000000"/>
          <w:szCs w:val="22"/>
          <w:lang w:val="en-AU"/>
        </w:rPr>
        <w:t xml:space="preserve">the </w:t>
      </w:r>
      <w:r w:rsidR="00DC21D4">
        <w:rPr>
          <w:rFonts w:asciiTheme="minorHAnsi" w:hAnsiTheme="minorHAnsi" w:cs="Arial"/>
          <w:color w:val="000000"/>
          <w:szCs w:val="22"/>
          <w:lang w:val="en-AU"/>
        </w:rPr>
        <w:t xml:space="preserve">Australian </w:t>
      </w:r>
      <w:r w:rsidR="007439AA">
        <w:rPr>
          <w:rFonts w:asciiTheme="minorHAnsi" w:hAnsiTheme="minorHAnsi" w:cs="Arial"/>
          <w:color w:val="000000"/>
          <w:szCs w:val="22"/>
          <w:lang w:val="en-AU"/>
        </w:rPr>
        <w:t>Government</w:t>
      </w:r>
      <w:r w:rsidRPr="00E27200">
        <w:rPr>
          <w:rFonts w:asciiTheme="minorHAnsi" w:hAnsiTheme="minorHAnsi" w:cs="Arial"/>
          <w:color w:val="000000"/>
          <w:szCs w:val="22"/>
          <w:lang w:val="en-AU"/>
        </w:rPr>
        <w:t>, GF and WHO) to inform a n</w:t>
      </w:r>
      <w:r w:rsidR="007C5778" w:rsidRPr="00E27200">
        <w:rPr>
          <w:rFonts w:asciiTheme="minorHAnsi" w:hAnsiTheme="minorHAnsi" w:cs="Arial"/>
          <w:color w:val="000000"/>
          <w:szCs w:val="22"/>
          <w:lang w:val="en-AU"/>
        </w:rPr>
        <w:t>ew three-year procurement plan.</w:t>
      </w:r>
      <w:r w:rsidRPr="00E27200">
        <w:rPr>
          <w:rFonts w:asciiTheme="minorHAnsi" w:hAnsiTheme="minorHAnsi" w:cs="Arial"/>
          <w:color w:val="000000"/>
          <w:szCs w:val="22"/>
          <w:lang w:val="en-AU"/>
        </w:rPr>
        <w:t xml:space="preserve"> Associated commodity and shipment costs were also included. The intention was to </w:t>
      </w:r>
      <w:r w:rsidRPr="00E27200">
        <w:rPr>
          <w:rFonts w:asciiTheme="minorHAnsi" w:hAnsiTheme="minorHAnsi"/>
          <w:szCs w:val="22"/>
          <w:lang w:val="en-AU"/>
        </w:rPr>
        <w:t xml:space="preserve">identify all procurements required during this time period, value of procurement, funder and financial gaps to ensure predictable funding to cover medicine requirements. </w:t>
      </w:r>
      <w:r w:rsidRPr="00E27200">
        <w:rPr>
          <w:rFonts w:asciiTheme="minorHAnsi" w:hAnsiTheme="minorHAnsi" w:cs="Arial"/>
          <w:color w:val="000000"/>
          <w:szCs w:val="22"/>
          <w:lang w:val="en-AU"/>
        </w:rPr>
        <w:t xml:space="preserve">To date this procurement strategy is in its infancy and is only partially adopted within NDOH systems. </w:t>
      </w:r>
      <w:r w:rsidRPr="00E27200">
        <w:rPr>
          <w:rFonts w:asciiTheme="minorHAnsi" w:hAnsiTheme="minorHAnsi"/>
          <w:szCs w:val="22"/>
          <w:lang w:val="en-AU"/>
        </w:rPr>
        <w:t xml:space="preserve">The brief plan put together by the NDOH </w:t>
      </w:r>
      <w:r w:rsidRPr="00E27200">
        <w:rPr>
          <w:rFonts w:asciiTheme="minorHAnsi" w:hAnsiTheme="minorHAnsi" w:cs="Arial"/>
          <w:color w:val="000000"/>
          <w:szCs w:val="22"/>
          <w:lang w:val="en-AU"/>
        </w:rPr>
        <w:t>lists tenders and prospective procurements but it is not comprehensive and has not been used to track procurements as yet.  A</w:t>
      </w:r>
      <w:r w:rsidR="00811332" w:rsidRPr="00E27200">
        <w:rPr>
          <w:rFonts w:asciiTheme="minorHAnsi" w:hAnsiTheme="minorHAnsi" w:cs="Arial"/>
          <w:color w:val="000000"/>
          <w:szCs w:val="22"/>
          <w:lang w:val="en-AU"/>
        </w:rPr>
        <w:t xml:space="preserve"> Medical Supplies Management Committee</w:t>
      </w:r>
      <w:r w:rsidR="00E204A2" w:rsidRPr="00E27200">
        <w:rPr>
          <w:rFonts w:asciiTheme="minorHAnsi" w:hAnsiTheme="minorHAnsi" w:cs="Arial"/>
          <w:color w:val="000000"/>
          <w:szCs w:val="22"/>
          <w:lang w:val="en-AU"/>
        </w:rPr>
        <w:t xml:space="preserve"> is established and being strengthened</w:t>
      </w:r>
      <w:r w:rsidR="00917981" w:rsidRPr="00E27200">
        <w:rPr>
          <w:rFonts w:asciiTheme="minorHAnsi" w:hAnsiTheme="minorHAnsi" w:cs="Arial"/>
          <w:color w:val="000000"/>
          <w:szCs w:val="22"/>
          <w:lang w:val="en-AU"/>
        </w:rPr>
        <w:t xml:space="preserve"> to operationalize some aspects of the plan.</w:t>
      </w:r>
      <w:r w:rsidR="00811332" w:rsidRPr="00E27200">
        <w:rPr>
          <w:rFonts w:asciiTheme="minorHAnsi" w:hAnsiTheme="minorHAnsi" w:cs="Arial"/>
          <w:color w:val="000000"/>
          <w:szCs w:val="22"/>
          <w:lang w:val="en-AU"/>
        </w:rPr>
        <w:t xml:space="preserve"> </w:t>
      </w:r>
    </w:p>
    <w:p w14:paraId="1EB2198C" w14:textId="77777777" w:rsidR="00AC72B8" w:rsidRPr="00E27200" w:rsidRDefault="00AC72B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318ADDDC" w14:textId="58653835" w:rsidR="00AC72B8" w:rsidRPr="00E27200" w:rsidRDefault="00AC72B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A major limitation is the absence of timely, accurate data on usage or stock levels across the health system, and this gap drives some of the NDOH medical reform planning discussed below</w:t>
      </w:r>
      <w:r w:rsidR="00A97A1F" w:rsidRPr="00E27200">
        <w:rPr>
          <w:rFonts w:asciiTheme="minorHAnsi" w:hAnsiTheme="minorHAnsi" w:cs="Arial"/>
          <w:color w:val="000000"/>
          <w:szCs w:val="22"/>
          <w:lang w:val="en-AU"/>
        </w:rPr>
        <w:t>, such as the Logistics Management Information System</w:t>
      </w:r>
      <w:r w:rsidRPr="00E27200">
        <w:rPr>
          <w:rFonts w:asciiTheme="minorHAnsi" w:hAnsiTheme="minorHAnsi" w:cs="Arial"/>
          <w:color w:val="000000"/>
          <w:szCs w:val="22"/>
          <w:lang w:val="en-AU"/>
        </w:rPr>
        <w:t xml:space="preserve">. </w:t>
      </w:r>
      <w:r w:rsidR="00A85240">
        <w:rPr>
          <w:rFonts w:asciiTheme="minorHAnsi" w:hAnsiTheme="minorHAnsi" w:cs="Arial"/>
          <w:color w:val="000000"/>
          <w:szCs w:val="22"/>
          <w:lang w:val="en-AU"/>
        </w:rPr>
        <w:t>Although some consumption information is recorded, including in the NHIS</w:t>
      </w:r>
      <w:r w:rsidRPr="00E27200">
        <w:rPr>
          <w:rFonts w:asciiTheme="minorHAnsi" w:hAnsiTheme="minorHAnsi" w:cs="Arial"/>
          <w:color w:val="000000"/>
          <w:szCs w:val="22"/>
          <w:lang w:val="en-AU"/>
        </w:rPr>
        <w:t>, there is</w:t>
      </w:r>
      <w:r w:rsidR="00A97A1F" w:rsidRPr="00E27200">
        <w:rPr>
          <w:rFonts w:asciiTheme="minorHAnsi" w:hAnsiTheme="minorHAnsi" w:cs="Arial"/>
          <w:color w:val="000000"/>
          <w:szCs w:val="22"/>
          <w:lang w:val="en-AU"/>
        </w:rPr>
        <w:t xml:space="preserve"> currently</w:t>
      </w:r>
      <w:r w:rsidRPr="00E27200">
        <w:rPr>
          <w:rFonts w:asciiTheme="minorHAnsi" w:hAnsiTheme="minorHAnsi" w:cs="Arial"/>
          <w:color w:val="000000"/>
          <w:szCs w:val="22"/>
          <w:lang w:val="en-AU"/>
        </w:rPr>
        <w:t xml:space="preserve"> no broad data collection method that would enable consumption data to be captured and used to inform annual forecasts. Information related to facility orders held by Area Medical Stores (AMS) is incomplete and reportedly inaccurate. There is also no established system for monitoring of effective procurement planning thus far.  Current plans do not yet include a mechanism to analyse actual usage against disease burden or population health needs (for example to predict reductions in irrational usage of medicines) as part of quantification.</w:t>
      </w:r>
      <w:r w:rsidR="006B1711" w:rsidRPr="00E27200">
        <w:rPr>
          <w:rFonts w:asciiTheme="minorHAnsi" w:hAnsiTheme="minorHAnsi" w:cs="Arial"/>
          <w:color w:val="000000"/>
          <w:szCs w:val="22"/>
          <w:lang w:val="en-AU"/>
        </w:rPr>
        <w:t xml:space="preserve"> </w:t>
      </w:r>
      <w:r w:rsidR="00A85240">
        <w:rPr>
          <w:rFonts w:asciiTheme="minorHAnsi" w:hAnsiTheme="minorHAnsi" w:cs="Arial"/>
          <w:color w:val="000000"/>
          <w:szCs w:val="22"/>
          <w:lang w:val="en-AU"/>
        </w:rPr>
        <w:t xml:space="preserve">The planned vital and essential medicines review will help compensate for the data gap, but is challenged by the size </w:t>
      </w:r>
      <w:r w:rsidR="000964FE">
        <w:rPr>
          <w:rFonts w:asciiTheme="minorHAnsi" w:hAnsiTheme="minorHAnsi" w:cs="Arial"/>
          <w:color w:val="000000"/>
          <w:szCs w:val="22"/>
          <w:lang w:val="en-AU"/>
        </w:rPr>
        <w:t xml:space="preserve">of the essential medicines list (see below). </w:t>
      </w:r>
      <w:r w:rsidR="006B1711" w:rsidRPr="00E27200">
        <w:rPr>
          <w:rFonts w:asciiTheme="minorHAnsi" w:hAnsiTheme="minorHAnsi" w:cs="Arial"/>
          <w:color w:val="000000"/>
          <w:szCs w:val="22"/>
          <w:lang w:val="en-AU"/>
        </w:rPr>
        <w:t xml:space="preserve">At present annual forecasts use </w:t>
      </w:r>
      <w:r w:rsidR="006B1711" w:rsidRPr="00E27200">
        <w:rPr>
          <w:rFonts w:asciiTheme="minorHAnsi" w:hAnsiTheme="minorHAnsi" w:cs="Arial"/>
          <w:color w:val="000000"/>
          <w:szCs w:val="22"/>
          <w:lang w:val="en-AU"/>
        </w:rPr>
        <w:lastRenderedPageBreak/>
        <w:t>issues data</w:t>
      </w:r>
      <w:r w:rsidR="006B1711" w:rsidRPr="00E27200">
        <w:rPr>
          <w:rStyle w:val="FootnoteReference"/>
          <w:rFonts w:asciiTheme="minorHAnsi" w:hAnsiTheme="minorHAnsi" w:cs="Arial"/>
          <w:color w:val="000000"/>
          <w:szCs w:val="22"/>
          <w:lang w:val="en-AU"/>
        </w:rPr>
        <w:footnoteReference w:id="9"/>
      </w:r>
      <w:r w:rsidR="006B1711" w:rsidRPr="00E27200">
        <w:rPr>
          <w:rFonts w:asciiTheme="minorHAnsi" w:hAnsiTheme="minorHAnsi" w:cs="Arial"/>
          <w:color w:val="000000"/>
          <w:szCs w:val="22"/>
          <w:lang w:val="en-AU"/>
        </w:rPr>
        <w:t xml:space="preserve"> from the A</w:t>
      </w:r>
      <w:r w:rsidR="00AB0694" w:rsidRPr="00E27200">
        <w:rPr>
          <w:rFonts w:asciiTheme="minorHAnsi" w:hAnsiTheme="minorHAnsi" w:cs="Arial"/>
          <w:color w:val="000000"/>
          <w:szCs w:val="22"/>
          <w:lang w:val="en-AU"/>
        </w:rPr>
        <w:t>MS</w:t>
      </w:r>
      <w:r w:rsidR="006B1711" w:rsidRPr="00E27200">
        <w:rPr>
          <w:rFonts w:asciiTheme="minorHAnsi" w:hAnsiTheme="minorHAnsi" w:cs="Arial"/>
          <w:color w:val="000000"/>
          <w:szCs w:val="22"/>
          <w:lang w:val="en-AU"/>
        </w:rPr>
        <w:t xml:space="preserve"> and other historical data such as </w:t>
      </w:r>
      <w:proofErr w:type="spellStart"/>
      <w:r w:rsidR="006B1711" w:rsidRPr="00E27200">
        <w:rPr>
          <w:rFonts w:asciiTheme="minorHAnsi" w:hAnsiTheme="minorHAnsi" w:cs="Arial"/>
          <w:color w:val="000000"/>
          <w:szCs w:val="22"/>
          <w:lang w:val="en-AU"/>
        </w:rPr>
        <w:t>outdated</w:t>
      </w:r>
      <w:proofErr w:type="spellEnd"/>
      <w:r w:rsidR="006B1711" w:rsidRPr="00E27200">
        <w:rPr>
          <w:rFonts w:asciiTheme="minorHAnsi" w:hAnsiTheme="minorHAnsi" w:cs="Arial"/>
          <w:color w:val="000000"/>
          <w:szCs w:val="22"/>
          <w:lang w:val="en-AU"/>
        </w:rPr>
        <w:t xml:space="preserve"> forecasts</w:t>
      </w:r>
      <w:r w:rsidR="00AB0694" w:rsidRPr="00E27200">
        <w:rPr>
          <w:rFonts w:asciiTheme="minorHAnsi" w:hAnsiTheme="minorHAnsi" w:cs="Arial"/>
          <w:color w:val="000000"/>
          <w:szCs w:val="22"/>
          <w:lang w:val="en-AU"/>
        </w:rPr>
        <w:t xml:space="preserve">, </w:t>
      </w:r>
      <w:r w:rsidR="006B1711" w:rsidRPr="00E27200">
        <w:rPr>
          <w:rFonts w:asciiTheme="minorHAnsi" w:hAnsiTheme="minorHAnsi" w:cs="Arial"/>
          <w:color w:val="000000"/>
          <w:szCs w:val="22"/>
          <w:lang w:val="en-AU"/>
        </w:rPr>
        <w:t xml:space="preserve">adjusted by adding a small </w:t>
      </w:r>
      <w:r w:rsidR="00AB0694" w:rsidRPr="00E27200">
        <w:rPr>
          <w:rFonts w:asciiTheme="minorHAnsi" w:hAnsiTheme="minorHAnsi" w:cs="Arial"/>
          <w:color w:val="000000"/>
          <w:szCs w:val="22"/>
          <w:lang w:val="en-AU"/>
        </w:rPr>
        <w:t xml:space="preserve">arbitrary </w:t>
      </w:r>
      <w:r w:rsidR="00D94915" w:rsidRPr="00E27200">
        <w:rPr>
          <w:rFonts w:asciiTheme="minorHAnsi" w:hAnsiTheme="minorHAnsi" w:cs="Arial"/>
          <w:color w:val="000000"/>
          <w:szCs w:val="22"/>
          <w:lang w:val="en-AU"/>
        </w:rPr>
        <w:t xml:space="preserve">percentage. </w:t>
      </w:r>
      <w:r w:rsidR="006B1711" w:rsidRPr="00E27200">
        <w:rPr>
          <w:rFonts w:asciiTheme="minorHAnsi" w:hAnsiTheme="minorHAnsi" w:cs="Arial"/>
          <w:color w:val="000000"/>
          <w:szCs w:val="22"/>
          <w:lang w:val="en-AU"/>
        </w:rPr>
        <w:t>A six month buffer stock of medicines is intended, however the 2012 procurement specialists exit report</w:t>
      </w:r>
      <w:r w:rsidR="006D4F4F" w:rsidRPr="00E27200">
        <w:rPr>
          <w:rFonts w:asciiTheme="minorHAnsi" w:hAnsiTheme="minorHAnsi" w:cs="Arial"/>
          <w:color w:val="000000"/>
          <w:szCs w:val="22"/>
          <w:lang w:val="en-AU"/>
        </w:rPr>
        <w:fldChar w:fldCharType="begin"/>
      </w:r>
      <w:r w:rsidR="0005002A" w:rsidRPr="00E27200">
        <w:rPr>
          <w:rFonts w:asciiTheme="minorHAnsi" w:hAnsiTheme="minorHAnsi" w:cs="Arial"/>
          <w:color w:val="000000"/>
          <w:szCs w:val="22"/>
          <w:lang w:val="en-AU"/>
        </w:rPr>
        <w:instrText xml:space="preserve"> ADDIN EN.CITE &lt;EndNote&gt;&lt;Cite&gt;&lt;Author&gt;Health and HIV Implementation Services Provider&lt;/Author&gt;&lt;Year&gt;2012&lt;/Year&gt;&lt;RecNum&gt;55&lt;/RecNum&gt;&lt;DisplayText&gt;[2]&lt;/DisplayText&gt;&lt;record&gt;&lt;rec-number&gt;55&lt;/rec-number&gt;&lt;foreign-keys&gt;&lt;key app="EN" db-id="ex5s0vddkzxdfhese5yvf5vke2ree5azrt5t"&gt;55&lt;/key&gt;&lt;/foreign-keys&gt;&lt;ref-type name="Journal Article"&gt;17&lt;/ref-type&gt;&lt;contributors&gt;&lt;authors&gt;&lt;author&gt;Health and HIV Implementation Services Provider,&lt;/author&gt;&lt;/authors&gt;&lt;/contributors&gt;&lt;titles&gt;&lt;title&gt;Specialist Procurement Adviser Report&lt;/title&gt;&lt;secondary-title&gt;National Department of Health and AusAID&lt;/secondary-title&gt;&lt;/titles&gt;&lt;periodical&gt;&lt;full-title&gt;National Department of Health and AusAID&lt;/full-title&gt;&lt;/periodical&gt;&lt;dates&gt;&lt;year&gt;2012&lt;/year&gt;&lt;pub-dates&gt;&lt;date&gt;December&lt;/date&gt;&lt;/pub-dates&gt;&lt;/dates&gt;&lt;urls&gt;&lt;/urls&gt;&lt;/record&gt;&lt;/Cite&gt;&lt;/EndNote&gt;</w:instrText>
      </w:r>
      <w:r w:rsidR="006D4F4F" w:rsidRPr="00E27200">
        <w:rPr>
          <w:rFonts w:asciiTheme="minorHAnsi" w:hAnsiTheme="minorHAnsi" w:cs="Arial"/>
          <w:color w:val="000000"/>
          <w:szCs w:val="22"/>
          <w:lang w:val="en-AU"/>
        </w:rPr>
        <w:fldChar w:fldCharType="separate"/>
      </w:r>
      <w:r w:rsidR="0005002A" w:rsidRPr="00E27200">
        <w:rPr>
          <w:rFonts w:asciiTheme="minorHAnsi" w:hAnsiTheme="minorHAnsi" w:cs="Arial"/>
          <w:noProof/>
          <w:color w:val="000000"/>
          <w:szCs w:val="22"/>
          <w:lang w:val="en-AU"/>
        </w:rPr>
        <w:t>[</w:t>
      </w:r>
      <w:hyperlink w:anchor="_ENREF_2" w:tooltip="Health and HIV Implementation Services Provider, 2012 #55" w:history="1">
        <w:r w:rsidR="00E62392" w:rsidRPr="00E27200">
          <w:rPr>
            <w:rFonts w:asciiTheme="minorHAnsi" w:hAnsiTheme="minorHAnsi" w:cs="Arial"/>
            <w:noProof/>
            <w:color w:val="000000"/>
            <w:szCs w:val="22"/>
            <w:lang w:val="en-AU"/>
          </w:rPr>
          <w:t>2</w:t>
        </w:r>
      </w:hyperlink>
      <w:r w:rsidR="0005002A" w:rsidRPr="00E27200">
        <w:rPr>
          <w:rFonts w:asciiTheme="minorHAnsi" w:hAnsiTheme="minorHAnsi" w:cs="Arial"/>
          <w:noProof/>
          <w:color w:val="000000"/>
          <w:szCs w:val="22"/>
          <w:lang w:val="en-AU"/>
        </w:rPr>
        <w:t>]</w:t>
      </w:r>
      <w:r w:rsidR="006D4F4F" w:rsidRPr="00E27200">
        <w:rPr>
          <w:rFonts w:asciiTheme="minorHAnsi" w:hAnsiTheme="minorHAnsi" w:cs="Arial"/>
          <w:color w:val="000000"/>
          <w:szCs w:val="22"/>
          <w:lang w:val="en-AU"/>
        </w:rPr>
        <w:fldChar w:fldCharType="end"/>
      </w:r>
      <w:r w:rsidR="006B1711" w:rsidRPr="00E27200">
        <w:rPr>
          <w:rFonts w:asciiTheme="minorHAnsi" w:hAnsiTheme="minorHAnsi" w:cs="Arial"/>
          <w:color w:val="000000"/>
          <w:szCs w:val="22"/>
          <w:lang w:val="en-AU"/>
        </w:rPr>
        <w:t xml:space="preserve"> revealed that in the </w:t>
      </w:r>
      <w:r w:rsidR="00AB0694" w:rsidRPr="00E27200">
        <w:rPr>
          <w:rFonts w:asciiTheme="minorHAnsi" w:hAnsiTheme="minorHAnsi"/>
          <w:bCs/>
          <w:szCs w:val="22"/>
          <w:lang w:val="en-AU"/>
        </w:rPr>
        <w:t>AMS</w:t>
      </w:r>
      <w:r w:rsidR="006B1711" w:rsidRPr="00E27200">
        <w:rPr>
          <w:rFonts w:asciiTheme="minorHAnsi" w:hAnsiTheme="minorHAnsi"/>
          <w:bCs/>
          <w:szCs w:val="22"/>
          <w:lang w:val="en-AU"/>
        </w:rPr>
        <w:t xml:space="preserve"> more than 71% of the items had less than </w:t>
      </w:r>
      <w:r w:rsidR="00974BAE">
        <w:rPr>
          <w:rFonts w:asciiTheme="minorHAnsi" w:hAnsiTheme="minorHAnsi"/>
          <w:bCs/>
          <w:szCs w:val="22"/>
          <w:lang w:val="en-AU"/>
        </w:rPr>
        <w:t>three</w:t>
      </w:r>
      <w:r w:rsidR="006B1711" w:rsidRPr="00E27200">
        <w:rPr>
          <w:rFonts w:asciiTheme="minorHAnsi" w:hAnsiTheme="minorHAnsi"/>
          <w:bCs/>
          <w:szCs w:val="22"/>
          <w:lang w:val="en-AU"/>
        </w:rPr>
        <w:t xml:space="preserve"> months stock. </w:t>
      </w:r>
      <w:r w:rsidR="002F5938" w:rsidRPr="00E27200">
        <w:rPr>
          <w:rFonts w:asciiTheme="minorHAnsi" w:hAnsiTheme="minorHAnsi"/>
          <w:bCs/>
          <w:szCs w:val="22"/>
          <w:lang w:val="en-AU"/>
        </w:rPr>
        <w:t>Stock on hand data, expired and locally procured medicines were excluded from the quantification</w:t>
      </w:r>
      <w:r w:rsidR="006B1711" w:rsidRPr="00E27200">
        <w:rPr>
          <w:rFonts w:asciiTheme="minorHAnsi" w:hAnsiTheme="minorHAnsi"/>
          <w:bCs/>
          <w:szCs w:val="22"/>
          <w:lang w:val="en-AU"/>
        </w:rPr>
        <w:t>.  Outstanding purchase orders whose status could not be ascertained were excluded.</w:t>
      </w:r>
    </w:p>
    <w:p w14:paraId="376E1E22" w14:textId="77777777" w:rsidR="00AC72B8" w:rsidRPr="00E27200" w:rsidRDefault="00AC72B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1686D6B2" w14:textId="4126F724" w:rsidR="00AC72B8" w:rsidRPr="00E27200" w:rsidRDefault="00AC72B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 xml:space="preserve">Emergency orders to fill unanticipated shortages are common. These requirements may not be shown in current procurement planning particularly those that are procured outside the NDOH.  AMS </w:t>
      </w:r>
      <w:proofErr w:type="spellStart"/>
      <w:r w:rsidRPr="00E27200">
        <w:rPr>
          <w:rFonts w:asciiTheme="minorHAnsi" w:hAnsiTheme="minorHAnsi" w:cs="Arial"/>
          <w:color w:val="000000"/>
          <w:szCs w:val="22"/>
          <w:lang w:val="en-AU"/>
        </w:rPr>
        <w:t>Badili</w:t>
      </w:r>
      <w:proofErr w:type="spellEnd"/>
      <w:r w:rsidRPr="00E27200">
        <w:rPr>
          <w:rFonts w:asciiTheme="minorHAnsi" w:hAnsiTheme="minorHAnsi" w:cs="Arial"/>
          <w:color w:val="000000"/>
          <w:szCs w:val="22"/>
          <w:lang w:val="en-AU"/>
        </w:rPr>
        <w:t xml:space="preserve"> records could not quantify the </w:t>
      </w:r>
      <w:r w:rsidR="003E79E3">
        <w:rPr>
          <w:rFonts w:asciiTheme="minorHAnsi" w:hAnsiTheme="minorHAnsi" w:cs="Arial"/>
          <w:color w:val="000000"/>
          <w:szCs w:val="22"/>
          <w:lang w:val="en-AU"/>
        </w:rPr>
        <w:t>frequency or size</w:t>
      </w:r>
      <w:r w:rsidR="003E79E3" w:rsidRPr="00E27200">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 xml:space="preserve">of emergency orders that they placed although it was </w:t>
      </w:r>
      <w:r w:rsidR="00FA0B13" w:rsidRPr="00E27200">
        <w:rPr>
          <w:rFonts w:asciiTheme="minorHAnsi" w:hAnsiTheme="minorHAnsi" w:cs="Arial"/>
          <w:color w:val="000000"/>
          <w:szCs w:val="22"/>
          <w:lang w:val="en-AU"/>
        </w:rPr>
        <w:t>reported</w:t>
      </w:r>
      <w:r w:rsidRPr="00E27200">
        <w:rPr>
          <w:rFonts w:asciiTheme="minorHAnsi" w:hAnsiTheme="minorHAnsi" w:cs="Arial"/>
          <w:color w:val="000000"/>
          <w:szCs w:val="22"/>
          <w:lang w:val="en-AU"/>
        </w:rPr>
        <w:t xml:space="preserve"> that this was a routine activity once it was known that an item was in low supply with no stock in the pipeline. Analysis in 2008 suggested 18% of total procurement as emergency orders</w:t>
      </w:r>
      <w:r w:rsidR="006D4F4F" w:rsidRPr="00E27200">
        <w:rPr>
          <w:rFonts w:asciiTheme="minorHAnsi" w:hAnsiTheme="minorHAnsi" w:cs="Arial"/>
          <w:color w:val="000000"/>
          <w:szCs w:val="22"/>
          <w:lang w:val="en-AU"/>
        </w:rPr>
        <w:fldChar w:fldCharType="begin"/>
      </w:r>
      <w:r w:rsidRPr="00E27200">
        <w:rPr>
          <w:rFonts w:asciiTheme="minorHAnsi" w:hAnsiTheme="minorHAnsi" w:cs="Arial"/>
          <w:color w:val="000000"/>
          <w:szCs w:val="22"/>
          <w:lang w:val="en-AU"/>
        </w:rPr>
        <w:instrText xml:space="preserve"> ADDIN EN.CITE &lt;EndNote&gt;&lt;Cite&gt;&lt;Author&gt;Ministerial Task Force on Medical Supplies&lt;/Author&gt;&lt;Year&gt;2008&lt;/Year&gt;&lt;RecNum&gt;53&lt;/RecNum&gt;&lt;DisplayText&gt;[1]&lt;/DisplayText&gt;&lt;record&gt;&lt;rec-number&gt;53&lt;/rec-number&gt;&lt;foreign-keys&gt;&lt;key app="EN" db-id="ex5s0vddkzxdfhese5yvf5vke2ree5azrt5t"&gt;53&lt;/key&gt;&lt;/foreign-keys&gt;&lt;ref-type name="Report"&gt;27&lt;/ref-type&gt;&lt;contributors&gt;&lt;authors&gt;&lt;author&gt;Ministerial Task Force on Medical Supplies,&lt;/author&gt;&lt;/authors&gt;&lt;/contributors&gt;&lt;titles&gt;&lt;title&gt;Medical Supplies Technical Review Mission, Report on Key Findings and Recommendations&lt;/title&gt;&lt;/titles&gt;&lt;dates&gt;&lt;year&gt;2008&lt;/year&gt;&lt;/dates&gt;&lt;pub-location&gt;Port Moresby&lt;/pub-location&gt;&lt;publisher&gt;MInistry of Health&lt;/publisher&gt;&lt;urls&gt;&lt;/urls&gt;&lt;/record&gt;&lt;/Cite&gt;&lt;/EndNote&gt;</w:instrText>
      </w:r>
      <w:r w:rsidR="006D4F4F" w:rsidRPr="00E27200">
        <w:rPr>
          <w:rFonts w:asciiTheme="minorHAnsi" w:hAnsiTheme="minorHAnsi" w:cs="Arial"/>
          <w:color w:val="000000"/>
          <w:szCs w:val="22"/>
          <w:lang w:val="en-AU"/>
        </w:rPr>
        <w:fldChar w:fldCharType="separate"/>
      </w:r>
      <w:r w:rsidRPr="00E27200">
        <w:rPr>
          <w:rFonts w:asciiTheme="minorHAnsi" w:hAnsiTheme="minorHAnsi" w:cs="Arial"/>
          <w:noProof/>
          <w:color w:val="000000"/>
          <w:szCs w:val="22"/>
          <w:lang w:val="en-AU"/>
        </w:rPr>
        <w:t>[</w:t>
      </w:r>
      <w:hyperlink w:anchor="_ENREF_1" w:tooltip="Ministerial Task Force on Medical Supplies, 2008 #53" w:history="1">
        <w:r w:rsidR="00E62392" w:rsidRPr="00E27200">
          <w:rPr>
            <w:rFonts w:asciiTheme="minorHAnsi" w:hAnsiTheme="minorHAnsi" w:cs="Arial"/>
            <w:noProof/>
            <w:color w:val="000000"/>
            <w:szCs w:val="22"/>
            <w:lang w:val="en-AU"/>
          </w:rPr>
          <w:t>1</w:t>
        </w:r>
      </w:hyperlink>
      <w:r w:rsidRPr="00E27200">
        <w:rPr>
          <w:rFonts w:asciiTheme="minorHAnsi" w:hAnsiTheme="minorHAnsi" w:cs="Arial"/>
          <w:noProof/>
          <w:color w:val="000000"/>
          <w:szCs w:val="22"/>
          <w:lang w:val="en-AU"/>
        </w:rPr>
        <w:t>]</w:t>
      </w:r>
      <w:r w:rsidR="006D4F4F" w:rsidRPr="00E27200">
        <w:rPr>
          <w:rFonts w:asciiTheme="minorHAnsi" w:hAnsiTheme="minorHAnsi" w:cs="Arial"/>
          <w:color w:val="000000"/>
          <w:szCs w:val="22"/>
          <w:lang w:val="en-AU"/>
        </w:rPr>
        <w:fldChar w:fldCharType="end"/>
      </w:r>
      <w:r w:rsidRPr="00E27200">
        <w:rPr>
          <w:rFonts w:asciiTheme="minorHAnsi" w:hAnsiTheme="minorHAnsi" w:cs="Arial"/>
          <w:color w:val="000000"/>
          <w:szCs w:val="22"/>
          <w:lang w:val="en-AU"/>
        </w:rPr>
        <w:t xml:space="preserve">, </w:t>
      </w:r>
      <w:r w:rsidR="00547FF9">
        <w:rPr>
          <w:rFonts w:asciiTheme="minorHAnsi" w:hAnsiTheme="minorHAnsi" w:cs="Arial"/>
          <w:color w:val="000000"/>
          <w:szCs w:val="22"/>
          <w:lang w:val="en-AU"/>
        </w:rPr>
        <w:t>and a 2012 rapid assessment confirmed a high frequency of purchase orders. H</w:t>
      </w:r>
      <w:r w:rsidRPr="00E27200">
        <w:rPr>
          <w:rFonts w:asciiTheme="minorHAnsi" w:hAnsiTheme="minorHAnsi" w:cs="Arial"/>
          <w:color w:val="000000"/>
          <w:szCs w:val="22"/>
          <w:lang w:val="en-AU"/>
        </w:rPr>
        <w:t xml:space="preserve">owever it is not yet possible to quantify changes at a national level. Sub-nationally, analysis of the </w:t>
      </w:r>
      <w:proofErr w:type="spellStart"/>
      <w:r w:rsidRPr="00E27200">
        <w:rPr>
          <w:rFonts w:asciiTheme="minorHAnsi" w:hAnsiTheme="minorHAnsi" w:cs="Arial"/>
          <w:color w:val="000000"/>
          <w:szCs w:val="22"/>
          <w:lang w:val="en-AU"/>
        </w:rPr>
        <w:t>Lae</w:t>
      </w:r>
      <w:proofErr w:type="spellEnd"/>
      <w:r w:rsidRPr="00E27200">
        <w:rPr>
          <w:rFonts w:asciiTheme="minorHAnsi" w:hAnsiTheme="minorHAnsi" w:cs="Arial"/>
          <w:color w:val="000000"/>
          <w:szCs w:val="22"/>
          <w:lang w:val="en-AU"/>
        </w:rPr>
        <w:t xml:space="preserve"> AMS records </w:t>
      </w:r>
      <w:r w:rsidR="005D4293" w:rsidRPr="00E27200">
        <w:rPr>
          <w:rFonts w:asciiTheme="minorHAnsi" w:hAnsiTheme="minorHAnsi" w:cs="Arial"/>
          <w:color w:val="000000"/>
          <w:szCs w:val="22"/>
          <w:lang w:val="en-AU"/>
        </w:rPr>
        <w:t xml:space="preserve">from January to March 2013 </w:t>
      </w:r>
      <w:r w:rsidR="00FA0B13" w:rsidRPr="00E27200">
        <w:rPr>
          <w:rFonts w:asciiTheme="minorHAnsi" w:hAnsiTheme="minorHAnsi" w:cs="Arial"/>
          <w:color w:val="000000"/>
          <w:szCs w:val="22"/>
          <w:lang w:val="en-AU"/>
        </w:rPr>
        <w:t>suggest</w:t>
      </w:r>
      <w:r w:rsidR="001F6B64">
        <w:rPr>
          <w:rFonts w:asciiTheme="minorHAnsi" w:hAnsiTheme="minorHAnsi" w:cs="Arial"/>
          <w:color w:val="000000"/>
          <w:szCs w:val="22"/>
          <w:lang w:val="en-AU"/>
        </w:rPr>
        <w:t>ed</w:t>
      </w:r>
      <w:r w:rsidR="00FA0B13" w:rsidRPr="00E27200">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 xml:space="preserve">19% of registered orders from facilities were emergency orders. Improved records may allow tracking of this into the future and is considered in </w:t>
      </w:r>
      <w:r w:rsidR="005D4293" w:rsidRPr="00E27200">
        <w:rPr>
          <w:rFonts w:asciiTheme="minorHAnsi" w:hAnsiTheme="minorHAnsi" w:cs="Arial"/>
          <w:color w:val="000000"/>
          <w:szCs w:val="22"/>
          <w:lang w:val="en-AU"/>
        </w:rPr>
        <w:t xml:space="preserve">our proposals for </w:t>
      </w:r>
      <w:r w:rsidRPr="00E27200">
        <w:rPr>
          <w:rFonts w:asciiTheme="minorHAnsi" w:hAnsiTheme="minorHAnsi" w:cs="Arial"/>
          <w:color w:val="000000"/>
          <w:szCs w:val="22"/>
          <w:lang w:val="en-AU"/>
        </w:rPr>
        <w:t>evaluation planning.</w:t>
      </w:r>
      <w:r w:rsidR="00C20103" w:rsidRPr="00E27200">
        <w:rPr>
          <w:rFonts w:asciiTheme="minorHAnsi" w:hAnsiTheme="minorHAnsi" w:cs="Arial"/>
          <w:color w:val="000000"/>
          <w:szCs w:val="22"/>
          <w:lang w:val="en-AU"/>
        </w:rPr>
        <w:t xml:space="preserve"> </w:t>
      </w:r>
      <w:r w:rsidR="00FA0B13" w:rsidRPr="00E27200">
        <w:rPr>
          <w:rFonts w:asciiTheme="minorHAnsi" w:hAnsiTheme="minorHAnsi" w:cs="Arial"/>
          <w:color w:val="000000"/>
          <w:szCs w:val="22"/>
          <w:lang w:val="en-AU"/>
        </w:rPr>
        <w:t xml:space="preserve">Other subnational emergency order frequencies are discussed in the Distribution section below. </w:t>
      </w:r>
      <w:r w:rsidR="00C20103" w:rsidRPr="00E27200">
        <w:rPr>
          <w:rFonts w:asciiTheme="minorHAnsi" w:hAnsiTheme="minorHAnsi" w:cs="Arial"/>
          <w:color w:val="000000"/>
          <w:szCs w:val="22"/>
          <w:lang w:val="en-AU"/>
        </w:rPr>
        <w:t>Qualitative data from AMS and provincial health manager interviews report national shortages as a persisting reason behind AMS failing to fill some health facility orders.</w:t>
      </w:r>
    </w:p>
    <w:p w14:paraId="4DE7240F" w14:textId="77777777" w:rsidR="00AC72B8" w:rsidRPr="00E27200" w:rsidRDefault="00AC72B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375F3289" w14:textId="0EE3E8B0" w:rsidR="001147C8" w:rsidRPr="00E27200" w:rsidRDefault="001147C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 xml:space="preserve">Overstocking of </w:t>
      </w:r>
      <w:r w:rsidR="00205DB0" w:rsidRPr="00E27200">
        <w:rPr>
          <w:rFonts w:asciiTheme="minorHAnsi" w:hAnsiTheme="minorHAnsi" w:cs="Arial"/>
          <w:color w:val="000000"/>
          <w:szCs w:val="22"/>
          <w:lang w:val="en-AU"/>
        </w:rPr>
        <w:t>some</w:t>
      </w:r>
      <w:r w:rsidRPr="00E27200">
        <w:rPr>
          <w:rFonts w:asciiTheme="minorHAnsi" w:hAnsiTheme="minorHAnsi" w:cs="Arial"/>
          <w:color w:val="000000"/>
          <w:szCs w:val="22"/>
          <w:lang w:val="en-AU"/>
        </w:rPr>
        <w:t xml:space="preserve"> items continues, with a range of </w:t>
      </w:r>
      <w:r w:rsidR="00205DB0" w:rsidRPr="00E27200">
        <w:rPr>
          <w:rFonts w:asciiTheme="minorHAnsi" w:hAnsiTheme="minorHAnsi" w:cs="Arial"/>
          <w:color w:val="000000"/>
          <w:szCs w:val="22"/>
          <w:lang w:val="en-AU"/>
        </w:rPr>
        <w:t xml:space="preserve">slow-moving </w:t>
      </w:r>
      <w:r w:rsidRPr="00E27200">
        <w:rPr>
          <w:rFonts w:asciiTheme="minorHAnsi" w:hAnsiTheme="minorHAnsi" w:cs="Arial"/>
          <w:color w:val="000000"/>
          <w:szCs w:val="22"/>
          <w:lang w:val="en-AU"/>
        </w:rPr>
        <w:t>items routinely expiring (for instance tracheal tubes)</w:t>
      </w:r>
      <w:r w:rsidRPr="00E27200">
        <w:rPr>
          <w:rStyle w:val="FootnoteReference"/>
          <w:rFonts w:asciiTheme="minorHAnsi" w:hAnsiTheme="minorHAnsi" w:cs="Arial"/>
          <w:color w:val="000000"/>
          <w:szCs w:val="22"/>
          <w:lang w:val="en-AU"/>
        </w:rPr>
        <w:footnoteReference w:id="10"/>
      </w:r>
      <w:r w:rsidR="00205DB0" w:rsidRPr="00E27200">
        <w:rPr>
          <w:rFonts w:asciiTheme="minorHAnsi" w:hAnsiTheme="minorHAnsi" w:cs="Arial"/>
          <w:color w:val="000000"/>
          <w:szCs w:val="22"/>
          <w:lang w:val="en-AU"/>
        </w:rPr>
        <w:t>, as well as general medicines that are in oversupply. A 2010 study by an AMS pharmacist</w:t>
      </w:r>
      <w:r w:rsidR="001D66B5">
        <w:rPr>
          <w:rStyle w:val="FootnoteReference"/>
          <w:rFonts w:asciiTheme="minorHAnsi" w:hAnsiTheme="minorHAnsi"/>
          <w:color w:val="000000"/>
          <w:szCs w:val="22"/>
          <w:lang w:val="en-AU"/>
        </w:rPr>
        <w:footnoteReference w:id="11"/>
      </w:r>
      <w:r w:rsidR="00205DB0" w:rsidRPr="00E27200">
        <w:rPr>
          <w:rFonts w:asciiTheme="minorHAnsi" w:hAnsiTheme="minorHAnsi" w:cs="Arial"/>
          <w:color w:val="000000"/>
          <w:szCs w:val="22"/>
          <w:lang w:val="en-AU"/>
        </w:rPr>
        <w:t xml:space="preserve"> estimated expired medicines in </w:t>
      </w:r>
      <w:proofErr w:type="spellStart"/>
      <w:r w:rsidR="00205DB0" w:rsidRPr="00E27200">
        <w:rPr>
          <w:rFonts w:asciiTheme="minorHAnsi" w:hAnsiTheme="minorHAnsi" w:cs="Arial"/>
          <w:color w:val="000000"/>
          <w:szCs w:val="22"/>
          <w:lang w:val="en-AU"/>
        </w:rPr>
        <w:t>Badili</w:t>
      </w:r>
      <w:proofErr w:type="spellEnd"/>
      <w:r w:rsidR="00205DB0" w:rsidRPr="00E27200">
        <w:rPr>
          <w:rFonts w:asciiTheme="minorHAnsi" w:hAnsiTheme="minorHAnsi" w:cs="Arial"/>
          <w:color w:val="000000"/>
          <w:szCs w:val="22"/>
          <w:lang w:val="en-AU"/>
        </w:rPr>
        <w:t xml:space="preserve">, </w:t>
      </w:r>
      <w:proofErr w:type="spellStart"/>
      <w:r w:rsidR="00205DB0" w:rsidRPr="00E27200">
        <w:rPr>
          <w:rFonts w:asciiTheme="minorHAnsi" w:hAnsiTheme="minorHAnsi" w:cs="Arial"/>
          <w:color w:val="000000"/>
          <w:szCs w:val="22"/>
          <w:lang w:val="en-AU"/>
        </w:rPr>
        <w:t>Lae</w:t>
      </w:r>
      <w:proofErr w:type="spellEnd"/>
      <w:r w:rsidR="00205DB0" w:rsidRPr="00E27200">
        <w:rPr>
          <w:rFonts w:asciiTheme="minorHAnsi" w:hAnsiTheme="minorHAnsi" w:cs="Arial"/>
          <w:color w:val="000000"/>
          <w:szCs w:val="22"/>
          <w:lang w:val="en-AU"/>
        </w:rPr>
        <w:t xml:space="preserve"> and Hagen to account for a value of 2.2, 1.6, and 0.9 million PGK respectively. </w:t>
      </w:r>
      <w:r w:rsidR="00DF1B05">
        <w:rPr>
          <w:rFonts w:asciiTheme="minorHAnsi" w:hAnsiTheme="minorHAnsi" w:cs="Arial"/>
          <w:color w:val="000000"/>
          <w:szCs w:val="22"/>
          <w:lang w:val="en-AU"/>
        </w:rPr>
        <w:t>The pharmacist’s</w:t>
      </w:r>
      <w:r w:rsidR="005B6C38">
        <w:rPr>
          <w:rFonts w:asciiTheme="minorHAnsi" w:hAnsiTheme="minorHAnsi" w:cs="Arial"/>
          <w:color w:val="000000"/>
          <w:szCs w:val="22"/>
          <w:lang w:val="en-AU"/>
        </w:rPr>
        <w:t xml:space="preserve"> st</w:t>
      </w:r>
      <w:r w:rsidR="00DF1B05">
        <w:rPr>
          <w:rFonts w:asciiTheme="minorHAnsi" w:hAnsiTheme="minorHAnsi" w:cs="Arial"/>
          <w:color w:val="000000"/>
          <w:szCs w:val="22"/>
          <w:lang w:val="en-AU"/>
        </w:rPr>
        <w:t xml:space="preserve">udy also quoted historical estimates of wastage </w:t>
      </w:r>
      <w:r w:rsidR="00205DB0" w:rsidRPr="00E27200">
        <w:rPr>
          <w:rFonts w:asciiTheme="minorHAnsi" w:hAnsiTheme="minorHAnsi" w:cs="Arial"/>
          <w:color w:val="000000"/>
          <w:szCs w:val="22"/>
          <w:lang w:val="en-AU"/>
        </w:rPr>
        <w:t xml:space="preserve">of significantly greater amounts. </w:t>
      </w:r>
      <w:r w:rsidR="00FA0B13" w:rsidRPr="00E27200">
        <w:rPr>
          <w:rFonts w:asciiTheme="minorHAnsi" w:hAnsiTheme="minorHAnsi" w:cs="Arial"/>
          <w:color w:val="000000"/>
          <w:szCs w:val="22"/>
          <w:lang w:val="en-AU"/>
        </w:rPr>
        <w:t>Qualitative data from provincial and district health managers</w:t>
      </w:r>
      <w:r w:rsidR="00DF1B05">
        <w:rPr>
          <w:rFonts w:asciiTheme="minorHAnsi" w:hAnsiTheme="minorHAnsi" w:cs="Arial"/>
          <w:color w:val="000000"/>
          <w:szCs w:val="22"/>
          <w:lang w:val="en-AU"/>
        </w:rPr>
        <w:t xml:space="preserve"> in our evaluation</w:t>
      </w:r>
      <w:r w:rsidR="00FA0B13" w:rsidRPr="00E27200">
        <w:rPr>
          <w:rFonts w:asciiTheme="minorHAnsi" w:hAnsiTheme="minorHAnsi" w:cs="Arial"/>
          <w:color w:val="000000"/>
          <w:szCs w:val="22"/>
          <w:lang w:val="en-AU"/>
        </w:rPr>
        <w:t xml:space="preserve"> suggest a common practice </w:t>
      </w:r>
      <w:r w:rsidR="00B27167">
        <w:rPr>
          <w:rFonts w:asciiTheme="minorHAnsi" w:hAnsiTheme="minorHAnsi" w:cs="Arial"/>
          <w:color w:val="000000"/>
          <w:szCs w:val="22"/>
          <w:lang w:val="en-AU"/>
        </w:rPr>
        <w:t xml:space="preserve">within the ‘pull’ system </w:t>
      </w:r>
      <w:r w:rsidR="00FA0B13" w:rsidRPr="00E27200">
        <w:rPr>
          <w:rFonts w:asciiTheme="minorHAnsi" w:hAnsiTheme="minorHAnsi" w:cs="Arial"/>
          <w:color w:val="000000"/>
          <w:szCs w:val="22"/>
          <w:lang w:val="en-AU"/>
        </w:rPr>
        <w:t>of dispatching supplies with short expiry times from medical stores to health facilities</w:t>
      </w:r>
      <w:r w:rsidR="002D3800" w:rsidRPr="00E27200">
        <w:rPr>
          <w:rFonts w:asciiTheme="minorHAnsi" w:hAnsiTheme="minorHAnsi" w:cs="Arial"/>
          <w:color w:val="000000"/>
          <w:szCs w:val="22"/>
          <w:lang w:val="en-AU"/>
        </w:rPr>
        <w:t xml:space="preserve"> – a practice that recipients sometimes viewed as ‘dumping’ especially when the short-dated supplies had not been ordered by the facility.</w:t>
      </w:r>
    </w:p>
    <w:p w14:paraId="5A227880" w14:textId="77777777" w:rsidR="002701D1" w:rsidRPr="00E27200" w:rsidRDefault="002701D1"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7775B252" w14:textId="3E2A409E" w:rsidR="002701D1" w:rsidRPr="00E27200" w:rsidRDefault="002701D1"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lang w:val="en-AU"/>
        </w:rPr>
        <w:t>Until there is widespread use of usage tracking, such as stock</w:t>
      </w:r>
      <w:r w:rsidR="00974BAE">
        <w:rPr>
          <w:lang w:val="en-AU"/>
        </w:rPr>
        <w:t>-</w:t>
      </w:r>
      <w:r w:rsidRPr="00E27200">
        <w:rPr>
          <w:lang w:val="en-AU"/>
        </w:rPr>
        <w:t>cards at the HF level,</w:t>
      </w:r>
      <w:r w:rsidR="005D4293" w:rsidRPr="00E27200">
        <w:rPr>
          <w:lang w:val="en-AU"/>
        </w:rPr>
        <w:t xml:space="preserve"> additional </w:t>
      </w:r>
      <w:r w:rsidR="008770B8" w:rsidRPr="00E27200">
        <w:rPr>
          <w:lang w:val="en-AU"/>
        </w:rPr>
        <w:t xml:space="preserve">pharmaceutically trained </w:t>
      </w:r>
      <w:r w:rsidR="005D4293" w:rsidRPr="00E27200">
        <w:rPr>
          <w:lang w:val="en-AU"/>
        </w:rPr>
        <w:t>staff</w:t>
      </w:r>
      <w:r w:rsidR="008770B8" w:rsidRPr="00E27200">
        <w:rPr>
          <w:lang w:val="en-AU"/>
        </w:rPr>
        <w:t xml:space="preserve"> to monitor supplies management</w:t>
      </w:r>
      <w:r w:rsidR="005D4293" w:rsidRPr="00E27200">
        <w:rPr>
          <w:lang w:val="en-AU"/>
        </w:rPr>
        <w:t>,</w:t>
      </w:r>
      <w:r w:rsidRPr="00E27200">
        <w:rPr>
          <w:lang w:val="en-AU"/>
        </w:rPr>
        <w:t xml:space="preserve"> and an electronic logistic management information system</w:t>
      </w:r>
      <w:r w:rsidR="008770B8" w:rsidRPr="00E27200">
        <w:rPr>
          <w:lang w:val="en-AU"/>
        </w:rPr>
        <w:t xml:space="preserve"> (</w:t>
      </w:r>
      <w:proofErr w:type="spellStart"/>
      <w:r w:rsidR="008770B8" w:rsidRPr="00E27200">
        <w:rPr>
          <w:lang w:val="en-AU"/>
        </w:rPr>
        <w:t>eLMIS</w:t>
      </w:r>
      <w:proofErr w:type="spellEnd"/>
      <w:r w:rsidR="008770B8" w:rsidRPr="00E27200">
        <w:rPr>
          <w:lang w:val="en-AU"/>
        </w:rPr>
        <w:t>)</w:t>
      </w:r>
      <w:r w:rsidRPr="00E27200">
        <w:rPr>
          <w:lang w:val="en-AU"/>
        </w:rPr>
        <w:t xml:space="preserve"> at the medical stores level, what constitutes as ‘appropriate’ quantities cannot be understood. Vertical programs which have access to specific case management data can attempt more accurate estimations on needs and demands. However in the case of Malaria, despite point-of-care testing for more accurate case-finding, mismatch between supply and demand for ACTs has continued in this evaluation period. The other major contributor is the level of staff training in standard treatment guidelines (STG, discussed below) to avoid under- or over-use of supplies.</w:t>
      </w:r>
    </w:p>
    <w:p w14:paraId="7946DC3C" w14:textId="77777777" w:rsidR="00735E0F" w:rsidRPr="00E27200" w:rsidRDefault="00735E0F" w:rsidP="00E16C77">
      <w:pPr>
        <w:rPr>
          <w:rFonts w:asciiTheme="minorHAnsi" w:hAnsiTheme="minorHAnsi" w:cs="Arial"/>
          <w:color w:val="000000"/>
          <w:szCs w:val="22"/>
          <w:lang w:val="en-AU"/>
        </w:rPr>
      </w:pPr>
    </w:p>
    <w:p w14:paraId="2E7BF218" w14:textId="77777777" w:rsidR="00DF57FC" w:rsidRPr="00E27200" w:rsidRDefault="00DF57FC" w:rsidP="00E16C77">
      <w:pPr>
        <w:pStyle w:val="Heading3"/>
      </w:pPr>
      <w:r w:rsidRPr="00E27200">
        <w:t>Coordination among procurement programs</w:t>
      </w:r>
    </w:p>
    <w:p w14:paraId="640345C7" w14:textId="77777777" w:rsidR="00420A04" w:rsidRPr="00E27200" w:rsidRDefault="00DE02D0"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There are a number of procurement programs operating in parallel with the NDOH ‘pull’ system</w:t>
      </w:r>
      <w:r w:rsidR="00420A04" w:rsidRPr="00E27200">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for</w:t>
      </w:r>
      <w:r w:rsidR="00420A04" w:rsidRPr="00E27200">
        <w:rPr>
          <w:rFonts w:asciiTheme="minorHAnsi" w:hAnsiTheme="minorHAnsi" w:cs="Arial"/>
          <w:color w:val="000000"/>
          <w:szCs w:val="22"/>
          <w:lang w:val="en-AU"/>
        </w:rPr>
        <w:t>:</w:t>
      </w:r>
      <w:r w:rsidRPr="00E27200">
        <w:rPr>
          <w:rFonts w:asciiTheme="minorHAnsi" w:hAnsiTheme="minorHAnsi" w:cs="Arial"/>
          <w:color w:val="000000"/>
          <w:szCs w:val="22"/>
          <w:lang w:val="en-AU"/>
        </w:rPr>
        <w:t xml:space="preserve"> </w:t>
      </w:r>
    </w:p>
    <w:p w14:paraId="6C98D2EF" w14:textId="49DE7B00" w:rsidR="00420A04" w:rsidRPr="00E27200" w:rsidRDefault="00DE02D0" w:rsidP="00AD3F8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 xml:space="preserve">health </w:t>
      </w:r>
      <w:r w:rsidR="00433BB8">
        <w:rPr>
          <w:rFonts w:asciiTheme="minorHAnsi" w:hAnsiTheme="minorHAnsi" w:cs="Arial"/>
          <w:color w:val="000000"/>
          <w:szCs w:val="22"/>
          <w:lang w:val="en-AU"/>
        </w:rPr>
        <w:t>facility</w:t>
      </w:r>
      <w:r w:rsidR="00433BB8" w:rsidRPr="00E27200">
        <w:rPr>
          <w:rFonts w:asciiTheme="minorHAnsi" w:hAnsiTheme="minorHAnsi" w:cs="Arial"/>
          <w:color w:val="000000"/>
          <w:szCs w:val="22"/>
          <w:lang w:val="en-AU"/>
        </w:rPr>
        <w:t xml:space="preserve"> </w:t>
      </w:r>
      <w:r w:rsidR="00FD0ABD">
        <w:rPr>
          <w:rFonts w:asciiTheme="minorHAnsi" w:hAnsiTheme="minorHAnsi" w:cs="Arial"/>
          <w:color w:val="000000"/>
          <w:szCs w:val="22"/>
          <w:lang w:val="en-AU"/>
        </w:rPr>
        <w:t>kits;</w:t>
      </w:r>
      <w:r w:rsidRPr="00E27200">
        <w:rPr>
          <w:rFonts w:asciiTheme="minorHAnsi" w:hAnsiTheme="minorHAnsi" w:cs="Arial"/>
          <w:color w:val="000000"/>
          <w:szCs w:val="22"/>
          <w:lang w:val="en-AU"/>
        </w:rPr>
        <w:t xml:space="preserve"> </w:t>
      </w:r>
    </w:p>
    <w:p w14:paraId="3DE10D64" w14:textId="5CBF2F73" w:rsidR="00420A04" w:rsidRPr="00E27200" w:rsidRDefault="00DE02D0" w:rsidP="00AD3F8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vertical disease control programs i</w:t>
      </w:r>
      <w:r w:rsidR="00FD0ABD">
        <w:rPr>
          <w:rFonts w:asciiTheme="minorHAnsi" w:hAnsiTheme="minorHAnsi" w:cs="Arial"/>
          <w:color w:val="000000"/>
          <w:szCs w:val="22"/>
          <w:lang w:val="en-AU"/>
        </w:rPr>
        <w:t>n HIV, tuberculosis and malaria;</w:t>
      </w:r>
      <w:r w:rsidRPr="00E27200">
        <w:rPr>
          <w:rFonts w:asciiTheme="minorHAnsi" w:hAnsiTheme="minorHAnsi" w:cs="Arial"/>
          <w:color w:val="000000"/>
          <w:szCs w:val="22"/>
          <w:lang w:val="en-AU"/>
        </w:rPr>
        <w:t xml:space="preserve"> </w:t>
      </w:r>
    </w:p>
    <w:p w14:paraId="7DCB84D3" w14:textId="2D8C2AB7" w:rsidR="008770B8" w:rsidRPr="00E27200" w:rsidRDefault="008770B8" w:rsidP="00AD3F8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vaccines and related consumables</w:t>
      </w:r>
      <w:r w:rsidR="00FD0ABD">
        <w:rPr>
          <w:rFonts w:asciiTheme="minorHAnsi" w:hAnsiTheme="minorHAnsi" w:cs="Arial"/>
          <w:color w:val="000000"/>
          <w:szCs w:val="22"/>
          <w:lang w:val="en-AU"/>
        </w:rPr>
        <w:t>;</w:t>
      </w:r>
    </w:p>
    <w:p w14:paraId="03B38825" w14:textId="78383C6F" w:rsidR="00420A04" w:rsidRPr="00E27200" w:rsidRDefault="00FD0ABD" w:rsidP="00AD3F8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Pr>
          <w:rFonts w:asciiTheme="minorHAnsi" w:hAnsiTheme="minorHAnsi" w:cs="Arial"/>
          <w:color w:val="000000"/>
          <w:szCs w:val="22"/>
          <w:lang w:val="en-AU"/>
        </w:rPr>
        <w:lastRenderedPageBreak/>
        <w:t>family planning commodities; and</w:t>
      </w:r>
    </w:p>
    <w:p w14:paraId="197A9FBA" w14:textId="77777777" w:rsidR="00420A04" w:rsidRPr="00E27200" w:rsidRDefault="00DE02D0" w:rsidP="00AD3F8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roofErr w:type="gramStart"/>
      <w:r w:rsidRPr="00E27200">
        <w:rPr>
          <w:rFonts w:asciiTheme="minorHAnsi" w:hAnsiTheme="minorHAnsi" w:cs="Arial"/>
          <w:color w:val="000000"/>
          <w:szCs w:val="22"/>
          <w:lang w:val="en-AU"/>
        </w:rPr>
        <w:t>other</w:t>
      </w:r>
      <w:proofErr w:type="gramEnd"/>
      <w:r w:rsidRPr="00E27200">
        <w:rPr>
          <w:rFonts w:asciiTheme="minorHAnsi" w:hAnsiTheme="minorHAnsi" w:cs="Arial"/>
          <w:color w:val="000000"/>
          <w:szCs w:val="22"/>
          <w:lang w:val="en-AU"/>
        </w:rPr>
        <w:t xml:space="preserve"> specific supplies, such as for obstetric equipment. </w:t>
      </w:r>
    </w:p>
    <w:p w14:paraId="104E6376" w14:textId="77777777" w:rsidR="00420A04" w:rsidRPr="00E27200" w:rsidRDefault="00420A04" w:rsidP="00E16C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2A4A64E2" w14:textId="0ECCCB16" w:rsidR="00F848A4" w:rsidRPr="00E27200" w:rsidRDefault="0072693C" w:rsidP="00E16C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inorHAnsi" w:hAnsiTheme="minorHAnsi" w:cs="Arial"/>
          <w:color w:val="000000"/>
          <w:szCs w:val="22"/>
          <w:lang w:val="en-AU"/>
        </w:rPr>
      </w:pPr>
      <w:r w:rsidRPr="00E27200">
        <w:rPr>
          <w:rFonts w:asciiTheme="minorHAnsi" w:hAnsiTheme="minorHAnsi" w:cs="Arial"/>
          <w:color w:val="000000"/>
          <w:szCs w:val="22"/>
          <w:lang w:val="en-AU"/>
        </w:rPr>
        <w:t xml:space="preserve">These </w:t>
      </w:r>
      <w:r w:rsidR="008770B8" w:rsidRPr="00E27200">
        <w:rPr>
          <w:rFonts w:asciiTheme="minorHAnsi" w:hAnsiTheme="minorHAnsi" w:cs="Arial"/>
          <w:color w:val="000000"/>
          <w:szCs w:val="22"/>
          <w:lang w:val="en-AU"/>
        </w:rPr>
        <w:t xml:space="preserve">parallel programs </w:t>
      </w:r>
      <w:r w:rsidR="00A85240">
        <w:rPr>
          <w:rFonts w:asciiTheme="minorHAnsi" w:hAnsiTheme="minorHAnsi" w:cs="Arial"/>
          <w:color w:val="000000"/>
          <w:szCs w:val="22"/>
          <w:lang w:val="en-AU"/>
        </w:rPr>
        <w:t xml:space="preserve">were intended to be included in </w:t>
      </w:r>
      <w:r w:rsidRPr="00E27200">
        <w:rPr>
          <w:rFonts w:asciiTheme="minorHAnsi" w:hAnsiTheme="minorHAnsi" w:cs="Arial"/>
          <w:color w:val="000000"/>
          <w:szCs w:val="22"/>
          <w:lang w:val="en-AU"/>
        </w:rPr>
        <w:t>recent national quantification exercises</w:t>
      </w:r>
      <w:r w:rsidR="000964FE">
        <w:rPr>
          <w:rFonts w:asciiTheme="minorHAnsi" w:hAnsiTheme="minorHAnsi" w:cs="Arial"/>
          <w:color w:val="000000"/>
          <w:szCs w:val="22"/>
          <w:lang w:val="en-AU"/>
        </w:rPr>
        <w:t xml:space="preserve">, however </w:t>
      </w:r>
      <w:r w:rsidR="00267C91">
        <w:rPr>
          <w:rFonts w:asciiTheme="minorHAnsi" w:hAnsiTheme="minorHAnsi" w:cs="Arial"/>
          <w:color w:val="000000"/>
          <w:szCs w:val="22"/>
          <w:lang w:val="en-AU"/>
        </w:rPr>
        <w:t xml:space="preserve">unreliability of usage data (perhaps with the exception of tuberculosis medicines) in both vertical programs and the general ‘pull’ system means that it was estimated that true integrated quantification may not be possible until 2015 or later. Several vertical programs, and the ‘push’ system have so far </w:t>
      </w:r>
      <w:r w:rsidRPr="00E27200">
        <w:rPr>
          <w:rFonts w:asciiTheme="minorHAnsi" w:hAnsiTheme="minorHAnsi" w:cs="Arial"/>
          <w:color w:val="000000"/>
          <w:szCs w:val="22"/>
          <w:lang w:val="en-AU"/>
        </w:rPr>
        <w:t>operate</w:t>
      </w:r>
      <w:r w:rsidR="00267C91">
        <w:rPr>
          <w:rFonts w:asciiTheme="minorHAnsi" w:hAnsiTheme="minorHAnsi" w:cs="Arial"/>
          <w:color w:val="000000"/>
          <w:szCs w:val="22"/>
          <w:lang w:val="en-AU"/>
        </w:rPr>
        <w:t>d</w:t>
      </w:r>
      <w:r w:rsidRPr="00E27200">
        <w:rPr>
          <w:rFonts w:asciiTheme="minorHAnsi" w:hAnsiTheme="minorHAnsi" w:cs="Arial"/>
          <w:color w:val="000000"/>
          <w:szCs w:val="22"/>
          <w:lang w:val="en-AU"/>
        </w:rPr>
        <w:t xml:space="preserve"> independently</w:t>
      </w:r>
      <w:r w:rsidR="008770B8" w:rsidRPr="00E27200">
        <w:rPr>
          <w:rFonts w:asciiTheme="minorHAnsi" w:hAnsiTheme="minorHAnsi" w:cs="Arial"/>
          <w:color w:val="000000"/>
          <w:szCs w:val="22"/>
          <w:lang w:val="en-AU"/>
        </w:rPr>
        <w:t xml:space="preserve">, although reproductive health commodities such as </w:t>
      </w:r>
      <w:proofErr w:type="spellStart"/>
      <w:r w:rsidR="008770B8" w:rsidRPr="00E27200">
        <w:rPr>
          <w:rFonts w:asciiTheme="minorHAnsi" w:hAnsiTheme="minorHAnsi" w:cs="Arial"/>
          <w:color w:val="000000"/>
          <w:szCs w:val="22"/>
          <w:lang w:val="en-AU"/>
        </w:rPr>
        <w:t>medroxyprogesterone</w:t>
      </w:r>
      <w:proofErr w:type="spellEnd"/>
      <w:r w:rsidR="008770B8" w:rsidRPr="00E27200">
        <w:rPr>
          <w:rFonts w:asciiTheme="minorHAnsi" w:hAnsiTheme="minorHAnsi" w:cs="Arial"/>
          <w:color w:val="000000"/>
          <w:szCs w:val="22"/>
          <w:lang w:val="en-AU"/>
        </w:rPr>
        <w:t xml:space="preserve"> are procured by UNFPA and then incorporated directly into the NDOH system</w:t>
      </w:r>
      <w:r w:rsidRPr="00E27200">
        <w:rPr>
          <w:rFonts w:asciiTheme="minorHAnsi" w:hAnsiTheme="minorHAnsi" w:cs="Arial"/>
          <w:color w:val="000000"/>
          <w:szCs w:val="22"/>
          <w:lang w:val="en-AU"/>
        </w:rPr>
        <w:t xml:space="preserve">. </w:t>
      </w:r>
      <w:r w:rsidR="00F848A4" w:rsidRPr="00E27200">
        <w:rPr>
          <w:rFonts w:asciiTheme="minorHAnsi" w:hAnsiTheme="minorHAnsi" w:cs="Arial"/>
          <w:color w:val="000000"/>
          <w:szCs w:val="22"/>
          <w:lang w:val="en-AU"/>
        </w:rPr>
        <w:t>For many programs, especially if values are below a certain threshold, procurement continues to take place without reference to the NDOH medical supplies management.</w:t>
      </w:r>
    </w:p>
    <w:p w14:paraId="030D02BA" w14:textId="77777777" w:rsidR="00F848A4" w:rsidRPr="00E27200" w:rsidRDefault="00F848A4" w:rsidP="00E16C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inorHAnsi" w:hAnsiTheme="minorHAnsi" w:cs="Arial"/>
          <w:color w:val="000000"/>
          <w:szCs w:val="22"/>
          <w:lang w:val="en-AU"/>
        </w:rPr>
      </w:pPr>
    </w:p>
    <w:p w14:paraId="0B99844C" w14:textId="08CC1E43" w:rsidR="000964FE" w:rsidRDefault="007C5778" w:rsidP="00E16C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inorHAnsi" w:hAnsiTheme="minorHAnsi" w:cs="Arial"/>
          <w:color w:val="000000"/>
          <w:spacing w:val="-2"/>
          <w:szCs w:val="22"/>
          <w:lang w:val="en-AU"/>
        </w:rPr>
      </w:pPr>
      <w:r w:rsidRPr="00E27200">
        <w:rPr>
          <w:rFonts w:asciiTheme="minorHAnsi" w:hAnsiTheme="minorHAnsi" w:cs="Arial"/>
          <w:color w:val="000000"/>
          <w:spacing w:val="-2"/>
          <w:szCs w:val="22"/>
          <w:lang w:val="en-AU"/>
        </w:rPr>
        <w:t>Only some medicines and medi</w:t>
      </w:r>
      <w:r w:rsidR="00DE02D0" w:rsidRPr="00E27200">
        <w:rPr>
          <w:rFonts w:asciiTheme="minorHAnsi" w:hAnsiTheme="minorHAnsi" w:cs="Arial"/>
          <w:color w:val="000000"/>
          <w:spacing w:val="-2"/>
          <w:szCs w:val="22"/>
          <w:lang w:val="en-AU"/>
        </w:rPr>
        <w:t>cal supplies in the kit system we</w:t>
      </w:r>
      <w:r w:rsidRPr="00E27200">
        <w:rPr>
          <w:rFonts w:asciiTheme="minorHAnsi" w:hAnsiTheme="minorHAnsi" w:cs="Arial"/>
          <w:color w:val="000000"/>
          <w:spacing w:val="-2"/>
          <w:szCs w:val="22"/>
          <w:lang w:val="en-AU"/>
        </w:rPr>
        <w:t xml:space="preserve">re included in past forecasts (among the 85 medicines from the health centre kits) with potential overstocks of some medicines and under stocks of others. For forecasting purposes, </w:t>
      </w:r>
      <w:r w:rsidR="0072693C" w:rsidRPr="00E27200">
        <w:rPr>
          <w:rFonts w:asciiTheme="minorHAnsi" w:hAnsiTheme="minorHAnsi" w:cs="Arial"/>
          <w:color w:val="000000"/>
          <w:spacing w:val="-2"/>
          <w:szCs w:val="22"/>
          <w:lang w:val="en-AU"/>
        </w:rPr>
        <w:t xml:space="preserve">the </w:t>
      </w:r>
      <w:r w:rsidRPr="00E27200">
        <w:rPr>
          <w:rFonts w:asciiTheme="minorHAnsi" w:hAnsiTheme="minorHAnsi"/>
          <w:spacing w:val="-2"/>
          <w:szCs w:val="22"/>
          <w:lang w:val="en-AU"/>
        </w:rPr>
        <w:t>100% Aid Post kit content was assumed to cover</w:t>
      </w:r>
      <w:r w:rsidR="0072693C" w:rsidRPr="00E27200">
        <w:rPr>
          <w:rFonts w:asciiTheme="minorHAnsi" w:hAnsiTheme="minorHAnsi"/>
          <w:spacing w:val="-2"/>
          <w:szCs w:val="22"/>
          <w:lang w:val="en-AU"/>
        </w:rPr>
        <w:t xml:space="preserve"> all </w:t>
      </w:r>
      <w:r w:rsidR="00A74824" w:rsidRPr="00E27200">
        <w:rPr>
          <w:rFonts w:asciiTheme="minorHAnsi" w:hAnsiTheme="minorHAnsi"/>
          <w:spacing w:val="-2"/>
          <w:szCs w:val="22"/>
          <w:lang w:val="en-AU"/>
        </w:rPr>
        <w:t>AP</w:t>
      </w:r>
      <w:r w:rsidR="0072693C" w:rsidRPr="00E27200">
        <w:rPr>
          <w:rFonts w:asciiTheme="minorHAnsi" w:hAnsiTheme="minorHAnsi"/>
          <w:spacing w:val="-2"/>
          <w:szCs w:val="22"/>
          <w:lang w:val="en-AU"/>
        </w:rPr>
        <w:t xml:space="preserve"> needs. This particular quantification was </w:t>
      </w:r>
      <w:r w:rsidR="00647839">
        <w:rPr>
          <w:rFonts w:asciiTheme="minorHAnsi" w:hAnsiTheme="minorHAnsi"/>
          <w:spacing w:val="-2"/>
          <w:szCs w:val="22"/>
          <w:lang w:val="en-AU"/>
        </w:rPr>
        <w:t xml:space="preserve">conducted by </w:t>
      </w:r>
      <w:proofErr w:type="gramStart"/>
      <w:r w:rsidR="0072693C" w:rsidRPr="00E27200">
        <w:rPr>
          <w:rFonts w:asciiTheme="minorHAnsi" w:hAnsiTheme="minorHAnsi"/>
          <w:spacing w:val="-2"/>
          <w:szCs w:val="22"/>
          <w:lang w:val="en-AU"/>
        </w:rPr>
        <w:t>WHO</w:t>
      </w:r>
      <w:proofErr w:type="gramEnd"/>
      <w:r w:rsidR="00647839">
        <w:rPr>
          <w:rFonts w:asciiTheme="minorHAnsi" w:hAnsiTheme="minorHAnsi"/>
          <w:spacing w:val="-2"/>
          <w:szCs w:val="22"/>
          <w:lang w:val="en-AU"/>
        </w:rPr>
        <w:t xml:space="preserve"> </w:t>
      </w:r>
      <w:r w:rsidR="00267C91">
        <w:rPr>
          <w:rFonts w:asciiTheme="minorHAnsi" w:hAnsiTheme="minorHAnsi"/>
          <w:spacing w:val="-2"/>
          <w:szCs w:val="22"/>
          <w:lang w:val="en-AU"/>
        </w:rPr>
        <w:t>on behalf of NDOH</w:t>
      </w:r>
      <w:r w:rsidR="00647839">
        <w:rPr>
          <w:rFonts w:asciiTheme="minorHAnsi" w:hAnsiTheme="minorHAnsi"/>
          <w:spacing w:val="-2"/>
          <w:szCs w:val="22"/>
          <w:lang w:val="en-AU"/>
        </w:rPr>
        <w:t xml:space="preserve"> and</w:t>
      </w:r>
      <w:r w:rsidR="0072693C" w:rsidRPr="00E27200">
        <w:rPr>
          <w:rFonts w:asciiTheme="minorHAnsi" w:hAnsiTheme="minorHAnsi" w:cs="Arial"/>
          <w:color w:val="000000"/>
          <w:spacing w:val="-2"/>
          <w:szCs w:val="22"/>
          <w:lang w:val="en-AU"/>
        </w:rPr>
        <w:t xml:space="preserve"> </w:t>
      </w:r>
      <w:r w:rsidRPr="00E27200">
        <w:rPr>
          <w:rFonts w:asciiTheme="minorHAnsi" w:hAnsiTheme="minorHAnsi" w:cs="Arial"/>
          <w:color w:val="000000"/>
          <w:spacing w:val="-2"/>
          <w:szCs w:val="22"/>
          <w:lang w:val="en-AU"/>
        </w:rPr>
        <w:t xml:space="preserve">based on </w:t>
      </w:r>
      <w:r w:rsidR="0072693C" w:rsidRPr="00E27200">
        <w:rPr>
          <w:rFonts w:asciiTheme="minorHAnsi" w:hAnsiTheme="minorHAnsi" w:cs="Arial"/>
          <w:color w:val="000000"/>
          <w:spacing w:val="-2"/>
          <w:szCs w:val="22"/>
          <w:lang w:val="en-AU"/>
        </w:rPr>
        <w:t xml:space="preserve">international standardized </w:t>
      </w:r>
      <w:r w:rsidRPr="00E27200">
        <w:rPr>
          <w:rFonts w:asciiTheme="minorHAnsi" w:hAnsiTheme="minorHAnsi" w:cs="Arial"/>
          <w:color w:val="000000"/>
          <w:spacing w:val="-2"/>
          <w:szCs w:val="22"/>
          <w:lang w:val="en-AU"/>
        </w:rPr>
        <w:t>morbidity and mortality data together with a comparison of t</w:t>
      </w:r>
      <w:r w:rsidR="0072693C" w:rsidRPr="00E27200">
        <w:rPr>
          <w:rFonts w:asciiTheme="minorHAnsi" w:hAnsiTheme="minorHAnsi" w:cs="Arial"/>
          <w:color w:val="000000"/>
          <w:spacing w:val="-2"/>
          <w:szCs w:val="22"/>
          <w:lang w:val="en-AU"/>
        </w:rPr>
        <w:t>he United Nations emergency kit</w:t>
      </w:r>
      <w:r w:rsidR="0083595A">
        <w:rPr>
          <w:rFonts w:asciiTheme="minorHAnsi" w:hAnsiTheme="minorHAnsi" w:cs="Arial"/>
          <w:color w:val="000000"/>
          <w:spacing w:val="-2"/>
          <w:szCs w:val="22"/>
          <w:lang w:val="en-AU"/>
        </w:rPr>
        <w:t xml:space="preserve">. It was tailored to PNG using </w:t>
      </w:r>
      <w:r w:rsidR="0083595A" w:rsidRPr="0083595A">
        <w:rPr>
          <w:rFonts w:asciiTheme="minorHAnsi" w:hAnsiTheme="minorHAnsi" w:cs="Arial"/>
          <w:color w:val="000000"/>
          <w:spacing w:val="-2"/>
          <w:szCs w:val="22"/>
          <w:lang w:val="en-AU"/>
        </w:rPr>
        <w:t xml:space="preserve">NHIS outpatient data </w:t>
      </w:r>
      <w:r w:rsidR="007A0743">
        <w:rPr>
          <w:rFonts w:asciiTheme="minorHAnsi" w:hAnsiTheme="minorHAnsi" w:cs="Arial"/>
          <w:color w:val="000000"/>
          <w:spacing w:val="-2"/>
          <w:szCs w:val="22"/>
          <w:lang w:val="en-AU"/>
        </w:rPr>
        <w:t xml:space="preserve">with one HC </w:t>
      </w:r>
      <w:r w:rsidR="0083595A" w:rsidRPr="0083595A">
        <w:rPr>
          <w:rFonts w:asciiTheme="minorHAnsi" w:hAnsiTheme="minorHAnsi" w:cs="Arial"/>
          <w:color w:val="000000"/>
          <w:spacing w:val="-2"/>
          <w:szCs w:val="22"/>
          <w:lang w:val="en-AU"/>
        </w:rPr>
        <w:t>kit</w:t>
      </w:r>
      <w:r w:rsidR="007A0743">
        <w:rPr>
          <w:rFonts w:asciiTheme="minorHAnsi" w:hAnsiTheme="minorHAnsi" w:cs="Arial"/>
          <w:color w:val="000000"/>
          <w:spacing w:val="-2"/>
          <w:szCs w:val="22"/>
          <w:lang w:val="en-AU"/>
        </w:rPr>
        <w:t xml:space="preserve"> equated to</w:t>
      </w:r>
      <w:r w:rsidR="0083595A" w:rsidRPr="0083595A">
        <w:rPr>
          <w:rFonts w:asciiTheme="minorHAnsi" w:hAnsiTheme="minorHAnsi" w:cs="Arial"/>
          <w:color w:val="000000"/>
          <w:spacing w:val="-2"/>
          <w:szCs w:val="22"/>
          <w:lang w:val="en-AU"/>
        </w:rPr>
        <w:t xml:space="preserve"> 5</w:t>
      </w:r>
      <w:r w:rsidR="007A0743">
        <w:rPr>
          <w:rFonts w:asciiTheme="minorHAnsi" w:hAnsiTheme="minorHAnsi" w:cs="Arial"/>
          <w:color w:val="000000"/>
          <w:spacing w:val="-2"/>
          <w:szCs w:val="22"/>
          <w:lang w:val="en-AU"/>
        </w:rPr>
        <w:t>,</w:t>
      </w:r>
      <w:r w:rsidR="0083595A" w:rsidRPr="0083595A">
        <w:rPr>
          <w:rFonts w:asciiTheme="minorHAnsi" w:hAnsiTheme="minorHAnsi" w:cs="Arial"/>
          <w:color w:val="000000"/>
          <w:spacing w:val="-2"/>
          <w:szCs w:val="22"/>
          <w:lang w:val="en-AU"/>
        </w:rPr>
        <w:t>000 outpatient visits</w:t>
      </w:r>
      <w:r w:rsidR="007A0743">
        <w:rPr>
          <w:rFonts w:asciiTheme="minorHAnsi" w:hAnsiTheme="minorHAnsi" w:cs="Arial"/>
          <w:color w:val="000000"/>
          <w:spacing w:val="-2"/>
          <w:szCs w:val="22"/>
          <w:lang w:val="en-AU"/>
        </w:rPr>
        <w:t xml:space="preserve"> per year, </w:t>
      </w:r>
      <w:r w:rsidR="0072693C" w:rsidRPr="00E27200">
        <w:rPr>
          <w:rFonts w:asciiTheme="minorHAnsi" w:hAnsiTheme="minorHAnsi" w:cs="Arial"/>
          <w:color w:val="000000"/>
          <w:spacing w:val="-2"/>
          <w:szCs w:val="22"/>
          <w:lang w:val="en-AU"/>
        </w:rPr>
        <w:t xml:space="preserve">however </w:t>
      </w:r>
      <w:r w:rsidR="007A0743">
        <w:rPr>
          <w:rFonts w:asciiTheme="minorHAnsi" w:hAnsiTheme="minorHAnsi" w:cs="Arial"/>
          <w:color w:val="000000"/>
          <w:spacing w:val="-2"/>
          <w:szCs w:val="22"/>
          <w:lang w:val="en-AU"/>
        </w:rPr>
        <w:t xml:space="preserve">inconsistencies in local databases made this difficult, and </w:t>
      </w:r>
      <w:r w:rsidR="0072693C" w:rsidRPr="00E27200">
        <w:rPr>
          <w:rFonts w:asciiTheme="minorHAnsi" w:hAnsiTheme="minorHAnsi" w:cs="Arial"/>
          <w:color w:val="000000"/>
          <w:spacing w:val="-2"/>
          <w:szCs w:val="22"/>
          <w:lang w:val="en-AU"/>
        </w:rPr>
        <w:t xml:space="preserve">it was not possible to incorporate information on </w:t>
      </w:r>
      <w:r w:rsidR="007A0743">
        <w:rPr>
          <w:rFonts w:asciiTheme="minorHAnsi" w:hAnsiTheme="minorHAnsi" w:cs="Arial"/>
          <w:color w:val="000000"/>
          <w:spacing w:val="-2"/>
          <w:szCs w:val="22"/>
          <w:lang w:val="en-AU"/>
        </w:rPr>
        <w:t xml:space="preserve">disease profiles </w:t>
      </w:r>
      <w:r w:rsidR="0072693C" w:rsidRPr="00E27200">
        <w:rPr>
          <w:rFonts w:asciiTheme="minorHAnsi" w:hAnsiTheme="minorHAnsi" w:cs="Arial"/>
          <w:color w:val="000000"/>
          <w:spacing w:val="-2"/>
          <w:szCs w:val="22"/>
          <w:lang w:val="en-AU"/>
        </w:rPr>
        <w:t xml:space="preserve">derived from local settings in PNG. </w:t>
      </w:r>
    </w:p>
    <w:p w14:paraId="74A177E0" w14:textId="77777777" w:rsidR="000964FE" w:rsidRDefault="000964FE" w:rsidP="00E16C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inorHAnsi" w:hAnsiTheme="minorHAnsi" w:cs="Arial"/>
          <w:color w:val="000000"/>
          <w:spacing w:val="-2"/>
          <w:szCs w:val="22"/>
          <w:lang w:val="en-AU"/>
        </w:rPr>
      </w:pPr>
    </w:p>
    <w:p w14:paraId="252E5E22" w14:textId="201BF9E9" w:rsidR="00AC72B8" w:rsidRDefault="0072693C" w:rsidP="00E16C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inorHAnsi" w:hAnsiTheme="minorHAnsi" w:cs="Arial"/>
          <w:color w:val="000000"/>
          <w:spacing w:val="-2"/>
          <w:szCs w:val="22"/>
          <w:lang w:val="en-AU"/>
        </w:rPr>
      </w:pPr>
      <w:r w:rsidRPr="00E27200">
        <w:rPr>
          <w:rFonts w:asciiTheme="minorHAnsi" w:hAnsiTheme="minorHAnsi" w:cs="Arial"/>
          <w:color w:val="000000"/>
          <w:spacing w:val="-2"/>
          <w:szCs w:val="22"/>
          <w:lang w:val="en-AU"/>
        </w:rPr>
        <w:t>In the absence of representative usage data (as noted above) t</w:t>
      </w:r>
      <w:r w:rsidR="007C5778" w:rsidRPr="00E27200">
        <w:rPr>
          <w:rFonts w:asciiTheme="minorHAnsi" w:hAnsiTheme="minorHAnsi" w:cs="Arial"/>
          <w:color w:val="000000"/>
          <w:spacing w:val="-2"/>
          <w:szCs w:val="22"/>
          <w:lang w:val="en-AU"/>
        </w:rPr>
        <w:t xml:space="preserve">he contents </w:t>
      </w:r>
      <w:r w:rsidRPr="00E27200">
        <w:rPr>
          <w:rFonts w:asciiTheme="minorHAnsi" w:hAnsiTheme="minorHAnsi" w:cs="Arial"/>
          <w:color w:val="000000"/>
          <w:spacing w:val="-2"/>
          <w:szCs w:val="22"/>
          <w:lang w:val="en-AU"/>
        </w:rPr>
        <w:t>for</w:t>
      </w:r>
      <w:r w:rsidR="007C5778" w:rsidRPr="00E27200">
        <w:rPr>
          <w:rFonts w:asciiTheme="minorHAnsi" w:hAnsiTheme="minorHAnsi" w:cs="Arial"/>
          <w:color w:val="000000"/>
          <w:spacing w:val="-2"/>
          <w:szCs w:val="22"/>
          <w:lang w:val="en-AU"/>
        </w:rPr>
        <w:t xml:space="preserve"> the </w:t>
      </w:r>
      <w:r w:rsidRPr="00E27200">
        <w:rPr>
          <w:rFonts w:asciiTheme="minorHAnsi" w:hAnsiTheme="minorHAnsi" w:cs="Arial"/>
          <w:color w:val="000000"/>
          <w:spacing w:val="-2"/>
          <w:szCs w:val="22"/>
          <w:lang w:val="en-AU"/>
        </w:rPr>
        <w:t>2014</w:t>
      </w:r>
      <w:r w:rsidR="007C5778" w:rsidRPr="00E27200">
        <w:rPr>
          <w:rFonts w:asciiTheme="minorHAnsi" w:hAnsiTheme="minorHAnsi" w:cs="Arial"/>
          <w:color w:val="000000"/>
          <w:spacing w:val="-2"/>
          <w:szCs w:val="22"/>
          <w:lang w:val="en-AU"/>
        </w:rPr>
        <w:t xml:space="preserve"> kit </w:t>
      </w:r>
      <w:r w:rsidRPr="00E27200">
        <w:rPr>
          <w:rFonts w:asciiTheme="minorHAnsi" w:hAnsiTheme="minorHAnsi" w:cs="Arial"/>
          <w:color w:val="000000"/>
          <w:spacing w:val="-2"/>
          <w:szCs w:val="22"/>
          <w:lang w:val="en-AU"/>
        </w:rPr>
        <w:t>tender</w:t>
      </w:r>
      <w:r w:rsidR="007C5778" w:rsidRPr="00E27200">
        <w:rPr>
          <w:rFonts w:asciiTheme="minorHAnsi" w:hAnsiTheme="minorHAnsi" w:cs="Arial"/>
          <w:color w:val="000000"/>
          <w:spacing w:val="-2"/>
          <w:szCs w:val="22"/>
          <w:lang w:val="en-AU"/>
        </w:rPr>
        <w:t xml:space="preserve"> </w:t>
      </w:r>
      <w:r w:rsidRPr="00E27200">
        <w:rPr>
          <w:rFonts w:asciiTheme="minorHAnsi" w:hAnsiTheme="minorHAnsi" w:cs="Arial"/>
          <w:color w:val="000000"/>
          <w:spacing w:val="-2"/>
          <w:szCs w:val="22"/>
          <w:lang w:val="en-AU"/>
        </w:rPr>
        <w:t>had to be revised on the basis of feedback</w:t>
      </w:r>
      <w:r w:rsidR="00B61A8C">
        <w:rPr>
          <w:rFonts w:asciiTheme="minorHAnsi" w:hAnsiTheme="minorHAnsi" w:cs="Arial"/>
          <w:color w:val="000000"/>
          <w:spacing w:val="-2"/>
          <w:szCs w:val="22"/>
          <w:lang w:val="en-AU"/>
        </w:rPr>
        <w:t xml:space="preserve"> received during monitoring visits and in delivery reports.</w:t>
      </w:r>
      <w:r w:rsidR="0017057E">
        <w:rPr>
          <w:rFonts w:asciiTheme="minorHAnsi" w:hAnsiTheme="minorHAnsi" w:cs="Arial"/>
          <w:color w:val="000000"/>
          <w:spacing w:val="-2"/>
          <w:szCs w:val="22"/>
          <w:lang w:val="en-AU"/>
        </w:rPr>
        <w:t xml:space="preserve"> Additional consultation for this included </w:t>
      </w:r>
      <w:r w:rsidR="0017057E" w:rsidRPr="0017057E">
        <w:rPr>
          <w:rFonts w:asciiTheme="minorHAnsi" w:hAnsiTheme="minorHAnsi" w:cs="Arial"/>
          <w:color w:val="000000"/>
          <w:spacing w:val="-2"/>
          <w:szCs w:val="22"/>
          <w:lang w:val="en-AU"/>
        </w:rPr>
        <w:t xml:space="preserve">HC and AP health workers, </w:t>
      </w:r>
      <w:r w:rsidR="0017057E">
        <w:rPr>
          <w:rFonts w:asciiTheme="minorHAnsi" w:hAnsiTheme="minorHAnsi" w:cs="Arial"/>
          <w:color w:val="000000"/>
          <w:spacing w:val="-2"/>
          <w:szCs w:val="22"/>
          <w:lang w:val="en-AU"/>
        </w:rPr>
        <w:t xml:space="preserve">NDOH’s </w:t>
      </w:r>
      <w:r w:rsidR="0017057E" w:rsidRPr="0017057E">
        <w:rPr>
          <w:rFonts w:asciiTheme="minorHAnsi" w:hAnsiTheme="minorHAnsi" w:cs="Arial"/>
          <w:color w:val="000000"/>
          <w:spacing w:val="-2"/>
          <w:szCs w:val="22"/>
          <w:lang w:val="en-AU"/>
        </w:rPr>
        <w:t xml:space="preserve">Chief </w:t>
      </w:r>
      <w:r w:rsidR="0017057E">
        <w:rPr>
          <w:rFonts w:asciiTheme="minorHAnsi" w:hAnsiTheme="minorHAnsi" w:cs="Arial"/>
          <w:color w:val="000000"/>
          <w:spacing w:val="-2"/>
          <w:szCs w:val="22"/>
          <w:lang w:val="en-AU"/>
        </w:rPr>
        <w:t>Specialists</w:t>
      </w:r>
      <w:r w:rsidR="0017057E" w:rsidRPr="0017057E">
        <w:rPr>
          <w:rFonts w:asciiTheme="minorHAnsi" w:hAnsiTheme="minorHAnsi" w:cs="Arial"/>
          <w:color w:val="000000"/>
          <w:spacing w:val="-2"/>
          <w:szCs w:val="22"/>
          <w:lang w:val="en-AU"/>
        </w:rPr>
        <w:t xml:space="preserve"> and the WHO.</w:t>
      </w:r>
      <w:r w:rsidR="0020713F" w:rsidRPr="00E27200">
        <w:rPr>
          <w:rFonts w:asciiTheme="minorHAnsi" w:hAnsiTheme="minorHAnsi" w:cs="Arial"/>
          <w:color w:val="000000"/>
          <w:spacing w:val="-2"/>
          <w:szCs w:val="22"/>
          <w:lang w:val="en-AU"/>
        </w:rPr>
        <w:t xml:space="preserve"> </w:t>
      </w:r>
      <w:r w:rsidR="00B61A8C">
        <w:rPr>
          <w:rFonts w:asciiTheme="minorHAnsi" w:hAnsiTheme="minorHAnsi" w:cs="Arial"/>
          <w:color w:val="000000"/>
          <w:spacing w:val="-2"/>
          <w:szCs w:val="22"/>
          <w:lang w:val="en-AU"/>
        </w:rPr>
        <w:t>The tender for kits for 2014 was incorporated in</w:t>
      </w:r>
      <w:r w:rsidR="0017057E">
        <w:rPr>
          <w:rFonts w:asciiTheme="minorHAnsi" w:hAnsiTheme="minorHAnsi" w:cs="Arial"/>
          <w:color w:val="000000"/>
          <w:spacing w:val="-2"/>
          <w:szCs w:val="22"/>
          <w:lang w:val="en-AU"/>
        </w:rPr>
        <w:t>to</w:t>
      </w:r>
      <w:r w:rsidR="00B61A8C">
        <w:rPr>
          <w:rFonts w:asciiTheme="minorHAnsi" w:hAnsiTheme="minorHAnsi" w:cs="Arial"/>
          <w:color w:val="000000"/>
          <w:spacing w:val="-2"/>
          <w:szCs w:val="22"/>
          <w:lang w:val="en-AU"/>
        </w:rPr>
        <w:t xml:space="preserve"> an integrated </w:t>
      </w:r>
      <w:r w:rsidR="004B06F2">
        <w:rPr>
          <w:rFonts w:asciiTheme="minorHAnsi" w:hAnsiTheme="minorHAnsi" w:cs="Arial"/>
          <w:color w:val="000000"/>
          <w:spacing w:val="-2"/>
          <w:szCs w:val="22"/>
          <w:lang w:val="en-AU"/>
        </w:rPr>
        <w:t xml:space="preserve">national </w:t>
      </w:r>
      <w:r w:rsidR="00B61A8C">
        <w:rPr>
          <w:rFonts w:asciiTheme="minorHAnsi" w:hAnsiTheme="minorHAnsi" w:cs="Arial"/>
          <w:color w:val="000000"/>
          <w:spacing w:val="-2"/>
          <w:szCs w:val="22"/>
          <w:lang w:val="en-AU"/>
        </w:rPr>
        <w:t xml:space="preserve">budgeting process, but the continuing difficulties in estimating expected consumption mean it will be impossible to </w:t>
      </w:r>
      <w:r w:rsidR="002701D1" w:rsidRPr="00E27200">
        <w:rPr>
          <w:rFonts w:asciiTheme="minorHAnsi" w:hAnsiTheme="minorHAnsi" w:cs="Arial"/>
          <w:color w:val="000000"/>
          <w:spacing w:val="-2"/>
          <w:szCs w:val="22"/>
          <w:lang w:val="en-AU"/>
        </w:rPr>
        <w:t>avoid</w:t>
      </w:r>
      <w:r w:rsidR="00B61A8C">
        <w:rPr>
          <w:rFonts w:asciiTheme="minorHAnsi" w:hAnsiTheme="minorHAnsi" w:cs="Arial"/>
          <w:color w:val="000000"/>
          <w:spacing w:val="-2"/>
          <w:szCs w:val="22"/>
          <w:lang w:val="en-AU"/>
        </w:rPr>
        <w:t xml:space="preserve"> some</w:t>
      </w:r>
      <w:r w:rsidR="002701D1" w:rsidRPr="00E27200">
        <w:rPr>
          <w:rFonts w:asciiTheme="minorHAnsi" w:hAnsiTheme="minorHAnsi" w:cs="Arial"/>
          <w:color w:val="000000"/>
          <w:spacing w:val="-2"/>
          <w:szCs w:val="22"/>
          <w:lang w:val="en-AU"/>
        </w:rPr>
        <w:t xml:space="preserve"> duplication</w:t>
      </w:r>
      <w:r w:rsidR="004B06F2">
        <w:rPr>
          <w:rFonts w:asciiTheme="minorHAnsi" w:hAnsiTheme="minorHAnsi" w:cs="Arial"/>
          <w:color w:val="000000"/>
          <w:spacing w:val="-2"/>
          <w:szCs w:val="22"/>
          <w:lang w:val="en-AU"/>
        </w:rPr>
        <w:t xml:space="preserve"> with the ‘pull’ system</w:t>
      </w:r>
      <w:r w:rsidR="002701D1" w:rsidRPr="00E27200">
        <w:rPr>
          <w:rFonts w:asciiTheme="minorHAnsi" w:hAnsiTheme="minorHAnsi" w:cs="Arial"/>
          <w:color w:val="000000"/>
          <w:spacing w:val="-2"/>
          <w:szCs w:val="22"/>
          <w:lang w:val="en-AU"/>
        </w:rPr>
        <w:t>.</w:t>
      </w:r>
    </w:p>
    <w:p w14:paraId="27DBD382" w14:textId="77777777" w:rsidR="009700AB" w:rsidRDefault="009700AB" w:rsidP="00E16C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inorHAnsi" w:hAnsiTheme="minorHAnsi" w:cs="Arial"/>
          <w:color w:val="000000"/>
          <w:spacing w:val="-2"/>
          <w:szCs w:val="22"/>
          <w:lang w:val="en-AU"/>
        </w:rPr>
      </w:pPr>
    </w:p>
    <w:p w14:paraId="374DED3B" w14:textId="530F67FA" w:rsidR="009700AB" w:rsidRPr="00E27200" w:rsidRDefault="009700AB" w:rsidP="008D11AA">
      <w:pPr>
        <w:rPr>
          <w:lang w:val="en-AU"/>
        </w:rPr>
      </w:pPr>
      <w:r w:rsidRPr="00E27200">
        <w:rPr>
          <w:szCs w:val="22"/>
          <w:lang w:val="en-AU"/>
        </w:rPr>
        <w:t>Given th</w:t>
      </w:r>
      <w:r>
        <w:rPr>
          <w:szCs w:val="22"/>
          <w:lang w:val="en-AU"/>
        </w:rPr>
        <w:t>is</w:t>
      </w:r>
      <w:r w:rsidRPr="00E27200">
        <w:rPr>
          <w:szCs w:val="22"/>
          <w:lang w:val="en-AU"/>
        </w:rPr>
        <w:t xml:space="preserve">, quantification </w:t>
      </w:r>
      <w:r>
        <w:rPr>
          <w:szCs w:val="22"/>
          <w:lang w:val="en-AU"/>
        </w:rPr>
        <w:t xml:space="preserve">of </w:t>
      </w:r>
      <w:r w:rsidR="00DF4A84">
        <w:rPr>
          <w:szCs w:val="22"/>
          <w:lang w:val="en-AU"/>
        </w:rPr>
        <w:t>‘push’ system kits, which remain essential in the medium-term, presents significant challenges. If possible, f</w:t>
      </w:r>
      <w:r w:rsidRPr="00E27200">
        <w:rPr>
          <w:szCs w:val="22"/>
          <w:lang w:val="en-AU"/>
        </w:rPr>
        <w:t xml:space="preserve">uture exercises should attempt to </w:t>
      </w:r>
      <w:r w:rsidR="00DF4A84">
        <w:rPr>
          <w:szCs w:val="22"/>
          <w:lang w:val="en-AU"/>
        </w:rPr>
        <w:t>incorporate</w:t>
      </w:r>
      <w:r w:rsidRPr="00E27200">
        <w:rPr>
          <w:szCs w:val="22"/>
          <w:lang w:val="en-AU"/>
        </w:rPr>
        <w:t xml:space="preserve"> expired and locally procured supplies into the final procured quantities.  Without adequate use of records such as stock cards at the HF level and no electronic logistic management information system (</w:t>
      </w:r>
      <w:proofErr w:type="spellStart"/>
      <w:r w:rsidRPr="00E27200">
        <w:rPr>
          <w:szCs w:val="22"/>
          <w:lang w:val="en-AU"/>
        </w:rPr>
        <w:t>eLMIS</w:t>
      </w:r>
      <w:proofErr w:type="spellEnd"/>
      <w:r w:rsidRPr="00E27200">
        <w:rPr>
          <w:szCs w:val="22"/>
          <w:lang w:val="en-AU"/>
        </w:rPr>
        <w:t xml:space="preserve">) at the medical stores level, what constitutes ‘appropriate’ quantities remain difficult to clearly define.  The detailed notes on HF opinions captured in this survey (see Annex </w:t>
      </w:r>
      <w:r>
        <w:rPr>
          <w:szCs w:val="22"/>
          <w:lang w:val="en-AU"/>
        </w:rPr>
        <w:t>1</w:t>
      </w:r>
      <w:r w:rsidR="00DF4A84">
        <w:rPr>
          <w:szCs w:val="22"/>
          <w:lang w:val="en-AU"/>
        </w:rPr>
        <w:t>1</w:t>
      </w:r>
      <w:r w:rsidRPr="00E27200">
        <w:rPr>
          <w:szCs w:val="22"/>
          <w:lang w:val="en-AU"/>
        </w:rPr>
        <w:t xml:space="preserve">.2) may provide some additional insights.  In addition, operational research into comprehensive use of medicines at rural facilities for all conditions seen (something beyond the scope of this evaluation), </w:t>
      </w:r>
      <w:r w:rsidR="00DF4A84">
        <w:rPr>
          <w:szCs w:val="22"/>
          <w:lang w:val="en-AU"/>
        </w:rPr>
        <w:t>will</w:t>
      </w:r>
      <w:r w:rsidRPr="00E27200">
        <w:rPr>
          <w:szCs w:val="22"/>
          <w:lang w:val="en-AU"/>
        </w:rPr>
        <w:t xml:space="preserve"> help fill information gaps while routine LMIS is being introduced.</w:t>
      </w:r>
    </w:p>
    <w:p w14:paraId="7EDDF98B" w14:textId="77777777" w:rsidR="00AC72B8" w:rsidRPr="00E27200" w:rsidRDefault="00AC72B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24BB4D5F" w14:textId="77777777" w:rsidR="00DF57FC" w:rsidRPr="00E27200" w:rsidRDefault="00DF57FC" w:rsidP="00E16C77">
      <w:pPr>
        <w:pStyle w:val="Heading3"/>
      </w:pPr>
      <w:r w:rsidRPr="00E27200">
        <w:t>Budgets and expenditure</w:t>
      </w:r>
    </w:p>
    <w:p w14:paraId="3BCC5469" w14:textId="66447379" w:rsidR="00D016D1" w:rsidRDefault="00AC72B8" w:rsidP="00AA115A">
      <w:r w:rsidRPr="00E27200">
        <w:rPr>
          <w:rFonts w:asciiTheme="minorHAnsi" w:hAnsiTheme="minorHAnsi" w:cs="Arial"/>
          <w:color w:val="000000"/>
          <w:szCs w:val="22"/>
          <w:lang w:val="en-AU"/>
        </w:rPr>
        <w:t>Budgets for medical supplies are increasing, as are overall PNG government health.  In 2012 there was a budget of K112</w:t>
      </w:r>
      <w:r w:rsidR="00D146DB">
        <w:rPr>
          <w:rFonts w:asciiTheme="minorHAnsi" w:hAnsiTheme="minorHAnsi" w:cs="Arial"/>
          <w:color w:val="000000"/>
          <w:szCs w:val="22"/>
          <w:lang w:val="en-AU"/>
        </w:rPr>
        <w:t xml:space="preserve"> (or K127m</w:t>
      </w:r>
      <w:r w:rsidR="00D146DB">
        <w:rPr>
          <w:rStyle w:val="FootnoteReference"/>
          <w:rFonts w:asciiTheme="minorHAnsi" w:hAnsiTheme="minorHAnsi"/>
          <w:color w:val="000000"/>
          <w:szCs w:val="22"/>
          <w:lang w:val="en-AU"/>
        </w:rPr>
        <w:footnoteReference w:id="12"/>
      </w:r>
      <w:r w:rsidR="00D146DB">
        <w:rPr>
          <w:rFonts w:asciiTheme="minorHAnsi" w:hAnsiTheme="minorHAnsi" w:cs="Arial"/>
          <w:color w:val="000000"/>
          <w:szCs w:val="22"/>
          <w:lang w:val="en-AU"/>
        </w:rPr>
        <w:t>)</w:t>
      </w:r>
      <w:r w:rsidRPr="00E27200">
        <w:rPr>
          <w:rFonts w:asciiTheme="minorHAnsi" w:hAnsiTheme="minorHAnsi" w:cs="Arial"/>
          <w:color w:val="000000"/>
          <w:szCs w:val="22"/>
          <w:lang w:val="en-AU"/>
        </w:rPr>
        <w:t xml:space="preserve"> million, K133 </w:t>
      </w:r>
      <w:r w:rsidR="00D146DB">
        <w:rPr>
          <w:rFonts w:asciiTheme="minorHAnsi" w:hAnsiTheme="minorHAnsi" w:cs="Arial"/>
          <w:color w:val="000000"/>
          <w:szCs w:val="22"/>
          <w:lang w:val="en-AU"/>
        </w:rPr>
        <w:t xml:space="preserve">(or K148m) </w:t>
      </w:r>
      <w:r w:rsidRPr="00E27200">
        <w:rPr>
          <w:rFonts w:asciiTheme="minorHAnsi" w:hAnsiTheme="minorHAnsi" w:cs="Arial"/>
          <w:color w:val="000000"/>
          <w:szCs w:val="22"/>
          <w:lang w:val="en-AU"/>
        </w:rPr>
        <w:t>million allocated for 2013 and a significant increase to K214</w:t>
      </w:r>
      <w:r w:rsidR="00D146DB">
        <w:rPr>
          <w:rFonts w:asciiTheme="minorHAnsi" w:hAnsiTheme="minorHAnsi" w:cs="Arial"/>
          <w:color w:val="000000"/>
          <w:szCs w:val="22"/>
          <w:lang w:val="en-AU"/>
        </w:rPr>
        <w:t xml:space="preserve"> (or K229m)</w:t>
      </w:r>
      <w:r w:rsidRPr="00E27200">
        <w:rPr>
          <w:rFonts w:asciiTheme="minorHAnsi" w:hAnsiTheme="minorHAnsi" w:cs="Arial"/>
          <w:color w:val="000000"/>
          <w:szCs w:val="22"/>
          <w:lang w:val="en-AU"/>
        </w:rPr>
        <w:t xml:space="preserve"> is being programmed for 2014</w:t>
      </w:r>
      <w:r w:rsidR="00D146DB">
        <w:rPr>
          <w:rFonts w:asciiTheme="minorHAnsi" w:hAnsiTheme="minorHAnsi" w:cs="Arial"/>
          <w:color w:val="000000"/>
          <w:szCs w:val="22"/>
          <w:lang w:val="en-AU"/>
        </w:rPr>
        <w:t>,</w:t>
      </w:r>
      <w:r w:rsidR="00176EE5">
        <w:rPr>
          <w:rFonts w:asciiTheme="minorHAnsi" w:hAnsiTheme="minorHAnsi" w:cs="Arial"/>
          <w:color w:val="000000"/>
          <w:szCs w:val="22"/>
          <w:lang w:val="en-AU"/>
        </w:rPr>
        <w:t xml:space="preserve"> including allocation for HC and AP kits</w:t>
      </w:r>
      <w:r w:rsidRPr="00E27200">
        <w:rPr>
          <w:rFonts w:asciiTheme="minorHAnsi" w:hAnsiTheme="minorHAnsi" w:cs="Arial"/>
          <w:color w:val="000000"/>
          <w:szCs w:val="22"/>
          <w:lang w:val="en-AU"/>
        </w:rPr>
        <w:t xml:space="preserve">.  </w:t>
      </w:r>
      <w:r w:rsidR="00176EE5">
        <w:rPr>
          <w:rFonts w:asciiTheme="minorHAnsi" w:hAnsiTheme="minorHAnsi" w:cs="Arial"/>
          <w:color w:val="000000"/>
          <w:szCs w:val="22"/>
          <w:lang w:val="en-AU"/>
        </w:rPr>
        <w:t xml:space="preserve">Some expert assessments suggested that this still represents an under-estimate of PNG’s true medical supply needs, however concerns regarding the health system’s capacity to make use of supplies have restrained greater increases. </w:t>
      </w:r>
      <w:r w:rsidR="00FB0698">
        <w:t xml:space="preserve"> </w:t>
      </w:r>
      <w:r w:rsidRPr="00E27200">
        <w:rPr>
          <w:rFonts w:asciiTheme="minorHAnsi" w:hAnsiTheme="minorHAnsi" w:cs="Arial"/>
          <w:color w:val="000000"/>
          <w:szCs w:val="22"/>
          <w:lang w:val="en-AU"/>
        </w:rPr>
        <w:t xml:space="preserve">The World Bank </w:t>
      </w:r>
      <w:r w:rsidR="00176EE5">
        <w:rPr>
          <w:rFonts w:asciiTheme="minorHAnsi" w:hAnsiTheme="minorHAnsi" w:cs="Arial"/>
          <w:color w:val="000000"/>
          <w:szCs w:val="22"/>
          <w:lang w:val="en-AU"/>
        </w:rPr>
        <w:t xml:space="preserve">has </w:t>
      </w:r>
      <w:r w:rsidR="00FB0698">
        <w:rPr>
          <w:rFonts w:asciiTheme="minorHAnsi" w:hAnsiTheme="minorHAnsi" w:cs="Arial"/>
          <w:color w:val="000000"/>
          <w:szCs w:val="22"/>
          <w:lang w:val="en-AU"/>
        </w:rPr>
        <w:t xml:space="preserve">in the past </w:t>
      </w:r>
      <w:r w:rsidRPr="00E27200">
        <w:rPr>
          <w:rFonts w:asciiTheme="minorHAnsi" w:hAnsiTheme="minorHAnsi" w:cs="Arial"/>
          <w:color w:val="000000"/>
          <w:szCs w:val="22"/>
          <w:lang w:val="en-AU"/>
        </w:rPr>
        <w:t>estimate</w:t>
      </w:r>
      <w:r w:rsidR="00176EE5">
        <w:rPr>
          <w:rFonts w:asciiTheme="minorHAnsi" w:hAnsiTheme="minorHAnsi" w:cs="Arial"/>
          <w:color w:val="000000"/>
          <w:szCs w:val="22"/>
          <w:lang w:val="en-AU"/>
        </w:rPr>
        <w:t xml:space="preserve">d that </w:t>
      </w:r>
      <w:r w:rsidRPr="00E27200">
        <w:rPr>
          <w:rFonts w:asciiTheme="minorHAnsi" w:hAnsiTheme="minorHAnsi" w:cs="Arial"/>
          <w:color w:val="000000"/>
          <w:szCs w:val="22"/>
          <w:lang w:val="en-AU"/>
        </w:rPr>
        <w:t>about 80% of health expenditure is funded by the national government</w:t>
      </w:r>
      <w:r w:rsidR="006D4F4F" w:rsidRPr="00E27200">
        <w:rPr>
          <w:rFonts w:asciiTheme="minorHAnsi" w:hAnsiTheme="minorHAnsi" w:cs="Arial"/>
          <w:color w:val="000000"/>
          <w:szCs w:val="22"/>
          <w:lang w:val="en-AU"/>
        </w:rPr>
        <w:fldChar w:fldCharType="begin"/>
      </w:r>
      <w:r w:rsidR="0005002A" w:rsidRPr="00E27200">
        <w:rPr>
          <w:rFonts w:asciiTheme="minorHAnsi" w:hAnsiTheme="minorHAnsi" w:cs="Arial"/>
          <w:color w:val="000000"/>
          <w:szCs w:val="22"/>
          <w:lang w:val="en-AU"/>
        </w:rPr>
        <w:instrText xml:space="preserve"> ADDIN EN.CITE &lt;EndNote&gt;&lt;Cite&gt;&lt;Author&gt;Central Operations Services Unit&lt;/Author&gt;&lt;Year&gt;2006&lt;/Year&gt;&lt;RecNum&gt;22&lt;/RecNum&gt;&lt;DisplayText&gt;[3]&lt;/DisplayText&gt;&lt;record&gt;&lt;rec-number&gt;22&lt;/rec-number&gt;&lt;foreign-keys&gt;&lt;key app="EN" db-id="ex5s0vddkzxdfhese5yvf5vke2ree5azrt5t"&gt;22&lt;/key&gt;&lt;/foreign-keys&gt;&lt;ref-type name="Report"&gt;27&lt;/ref-type&gt;&lt;contributors&gt;&lt;authors&gt;&lt;author&gt;Central Operations Services Unit,&lt;/author&gt;&lt;/authors&gt;&lt;tertiary-authors&gt;&lt;author&gt;The World Bank&lt;/author&gt;&lt;/tertiary-authors&gt;&lt;/contributors&gt;&lt;titles&gt;&lt;title&gt;Papua New Guinea Country Procurement Assessment Report&lt;/title&gt;&lt;/titles&gt;&lt;dates&gt;&lt;year&gt;2006&lt;/year&gt;&lt;pub-dates&gt;&lt;date&gt;June&lt;/date&gt;&lt;/pub-dates&gt;&lt;/dates&gt;&lt;urls&gt;&lt;/urls&gt;&lt;/record&gt;&lt;/Cite&gt;&lt;/EndNote&gt;</w:instrText>
      </w:r>
      <w:r w:rsidR="006D4F4F" w:rsidRPr="00E27200">
        <w:rPr>
          <w:rFonts w:asciiTheme="minorHAnsi" w:hAnsiTheme="minorHAnsi" w:cs="Arial"/>
          <w:color w:val="000000"/>
          <w:szCs w:val="22"/>
          <w:lang w:val="en-AU"/>
        </w:rPr>
        <w:fldChar w:fldCharType="separate"/>
      </w:r>
      <w:r w:rsidR="0005002A" w:rsidRPr="00E27200">
        <w:rPr>
          <w:rFonts w:asciiTheme="minorHAnsi" w:hAnsiTheme="minorHAnsi" w:cs="Arial"/>
          <w:noProof/>
          <w:color w:val="000000"/>
          <w:szCs w:val="22"/>
          <w:lang w:val="en-AU"/>
        </w:rPr>
        <w:t>[</w:t>
      </w:r>
      <w:hyperlink w:anchor="_ENREF_3" w:tooltip="Central Operations Services Unit, 2006 #22" w:history="1">
        <w:r w:rsidR="00E62392" w:rsidRPr="00E27200">
          <w:rPr>
            <w:rFonts w:asciiTheme="minorHAnsi" w:hAnsiTheme="minorHAnsi" w:cs="Arial"/>
            <w:noProof/>
            <w:color w:val="000000"/>
            <w:szCs w:val="22"/>
            <w:lang w:val="en-AU"/>
          </w:rPr>
          <w:t>3</w:t>
        </w:r>
      </w:hyperlink>
      <w:r w:rsidR="0005002A" w:rsidRPr="00E27200">
        <w:rPr>
          <w:rFonts w:asciiTheme="minorHAnsi" w:hAnsiTheme="minorHAnsi" w:cs="Arial"/>
          <w:noProof/>
          <w:color w:val="000000"/>
          <w:szCs w:val="22"/>
          <w:lang w:val="en-AU"/>
        </w:rPr>
        <w:t>]</w:t>
      </w:r>
      <w:r w:rsidR="006D4F4F" w:rsidRPr="00E27200">
        <w:rPr>
          <w:rFonts w:asciiTheme="minorHAnsi" w:hAnsiTheme="minorHAnsi" w:cs="Arial"/>
          <w:color w:val="000000"/>
          <w:szCs w:val="22"/>
          <w:lang w:val="en-AU"/>
        </w:rPr>
        <w:fldChar w:fldCharType="end"/>
      </w:r>
      <w:r w:rsidRPr="00E27200">
        <w:rPr>
          <w:rFonts w:asciiTheme="minorHAnsi" w:hAnsiTheme="minorHAnsi" w:cs="Arial"/>
          <w:color w:val="000000"/>
          <w:szCs w:val="22"/>
          <w:lang w:val="en-AU"/>
        </w:rPr>
        <w:t xml:space="preserve"> although this figure does not include health expenditures by private providers. </w:t>
      </w:r>
      <w:r w:rsidR="00602DB4">
        <w:rPr>
          <w:rFonts w:asciiTheme="minorHAnsi" w:hAnsiTheme="minorHAnsi" w:cs="Arial"/>
          <w:color w:val="000000"/>
          <w:szCs w:val="22"/>
          <w:lang w:val="en-AU"/>
        </w:rPr>
        <w:t xml:space="preserve">Informal reports suggest that there have been significant delays in </w:t>
      </w:r>
      <w:r w:rsidR="00D016D1">
        <w:t xml:space="preserve">in the Department of Treasury releasing funds for medical supplies procurement and distribution. In 2011 and 2012, the first </w:t>
      </w:r>
      <w:r w:rsidR="00AA115A">
        <w:t>substantial</w:t>
      </w:r>
      <w:r w:rsidR="00D016D1">
        <w:t xml:space="preserve"> tranche was received during the second </w:t>
      </w:r>
      <w:r w:rsidR="00D016D1">
        <w:lastRenderedPageBreak/>
        <w:t xml:space="preserve">quarter of the year and funding </w:t>
      </w:r>
      <w:r w:rsidR="00AA115A">
        <w:t xml:space="preserve">did not meet planned </w:t>
      </w:r>
      <w:r w:rsidR="00D016D1">
        <w:t xml:space="preserve">expenditure </w:t>
      </w:r>
      <w:r w:rsidR="00AA115A">
        <w:t>until</w:t>
      </w:r>
      <w:r w:rsidR="00D016D1">
        <w:t xml:space="preserve"> the fourth quarter. In 2013, the funding did arrive </w:t>
      </w:r>
      <w:r w:rsidR="00AA115A">
        <w:t>in a relatively timely fashion</w:t>
      </w:r>
      <w:r w:rsidR="00D016D1">
        <w:t xml:space="preserve"> (February)</w:t>
      </w:r>
      <w:r w:rsidR="00AA115A">
        <w:t xml:space="preserve">. This </w:t>
      </w:r>
      <w:r w:rsidR="00D016D1">
        <w:t xml:space="preserve">was sufficient to cover </w:t>
      </w:r>
      <w:r w:rsidR="00AA115A">
        <w:t>approximately two thirds of annual planned expenditure.</w:t>
      </w:r>
    </w:p>
    <w:p w14:paraId="2D49DD07" w14:textId="77777777" w:rsidR="00D016D1" w:rsidRDefault="00D016D1" w:rsidP="006A08F1">
      <w:pPr>
        <w:rPr>
          <w:rFonts w:asciiTheme="minorHAnsi" w:hAnsiTheme="minorHAnsi" w:cs="Arial"/>
          <w:color w:val="000000"/>
          <w:szCs w:val="22"/>
          <w:lang w:val="en-AU"/>
        </w:rPr>
      </w:pPr>
    </w:p>
    <w:p w14:paraId="29910776" w14:textId="3BD877C5" w:rsidR="00176EE5" w:rsidRDefault="00FB0698" w:rsidP="006A08F1">
      <w:r>
        <w:t>Until now expenditure reporting has not provided a helpful gauge of budget accuracy and a rapid assessment in 2012 confirmed a very poor match between budget and reported expenditure, with approximately 50% of budget not captured in expenditure reports. A finance advisor reports that t</w:t>
      </w:r>
      <w:r w:rsidR="00176EE5">
        <w:t>he medical supplies budget has</w:t>
      </w:r>
      <w:r>
        <w:t xml:space="preserve"> usually</w:t>
      </w:r>
      <w:r w:rsidR="00176EE5">
        <w:t xml:space="preserve"> been either expended fully or slightly underspent</w:t>
      </w:r>
      <w:r>
        <w:t>, although</w:t>
      </w:r>
      <w:r w:rsidR="00176EE5">
        <w:t xml:space="preserve"> </w:t>
      </w:r>
      <w:r>
        <w:t xml:space="preserve">accounting is made more difficult by the fact that medical supply </w:t>
      </w:r>
      <w:r w:rsidR="00176EE5">
        <w:t xml:space="preserve">budget lines </w:t>
      </w:r>
      <w:r>
        <w:t xml:space="preserve">have been shifted to </w:t>
      </w:r>
      <w:r w:rsidR="00D016D1">
        <w:t xml:space="preserve">other purposes; a practice that may account for up </w:t>
      </w:r>
      <w:r w:rsidR="00176EE5">
        <w:t>to 15% of the total annual budget</w:t>
      </w:r>
      <w:r w:rsidR="00D016D1">
        <w:t>. Other accounting practices make this difficult to correlate: budget orders</w:t>
      </w:r>
      <w:r w:rsidR="00176EE5">
        <w:t xml:space="preserve"> are based on</w:t>
      </w:r>
      <w:r w:rsidR="00D016D1">
        <w:t xml:space="preserve"> expected consumption, while </w:t>
      </w:r>
      <w:r w:rsidR="00176EE5">
        <w:t>expenditure is recorded only when the cash actually leaves the Department bank account. Th</w:t>
      </w:r>
      <w:r w:rsidR="00D016D1">
        <w:t xml:space="preserve">is timing </w:t>
      </w:r>
      <w:r w:rsidR="00176EE5">
        <w:t xml:space="preserve">gap </w:t>
      </w:r>
      <w:r w:rsidR="00D016D1">
        <w:t xml:space="preserve">may amount to </w:t>
      </w:r>
      <w:r w:rsidR="00176EE5">
        <w:t>several months</w:t>
      </w:r>
      <w:r w:rsidR="00D016D1">
        <w:t xml:space="preserve">, with </w:t>
      </w:r>
      <w:r w:rsidR="00176EE5">
        <w:t>few supplies paid for in advance</w:t>
      </w:r>
      <w:r w:rsidR="00D016D1">
        <w:t>, all leading to irregular expenditure patterns.</w:t>
      </w:r>
      <w:r w:rsidR="006B0BCF">
        <w:t xml:space="preserve"> The expenditure figures for 2013 </w:t>
      </w:r>
      <w:r w:rsidR="00581511">
        <w:t xml:space="preserve">are hoped to provide a better assessment </w:t>
      </w:r>
      <w:r w:rsidR="006B0BCF">
        <w:t>of the accuracy of the budgeting process</w:t>
      </w:r>
      <w:r w:rsidR="00581511">
        <w:t xml:space="preserve">, through </w:t>
      </w:r>
      <w:r w:rsidR="006B0BCF">
        <w:t>improvements underway in both the financial management and the procurement management systems.</w:t>
      </w:r>
    </w:p>
    <w:p w14:paraId="56B3803C" w14:textId="77777777" w:rsidR="00581511" w:rsidRDefault="00581511" w:rsidP="006A08F1">
      <w:pPr>
        <w:rPr>
          <w:rFonts w:asciiTheme="minorHAnsi" w:hAnsiTheme="minorHAnsi" w:cs="Arial"/>
          <w:color w:val="000000"/>
          <w:szCs w:val="22"/>
          <w:lang w:val="en-AU"/>
        </w:rPr>
      </w:pPr>
    </w:p>
    <w:p w14:paraId="6EA84ED9" w14:textId="6B0EE603" w:rsidR="00D41890" w:rsidRDefault="00AC72B8" w:rsidP="006A08F1">
      <w:pPr>
        <w:rPr>
          <w:rFonts w:asciiTheme="minorHAnsi" w:hAnsiTheme="minorHAnsi" w:cs="Arial"/>
          <w:color w:val="000000"/>
          <w:szCs w:val="22"/>
          <w:lang w:val="en-AU"/>
        </w:rPr>
      </w:pPr>
      <w:r w:rsidRPr="00E27200">
        <w:rPr>
          <w:rFonts w:asciiTheme="minorHAnsi" w:hAnsiTheme="minorHAnsi" w:cs="Arial"/>
          <w:color w:val="000000"/>
          <w:szCs w:val="22"/>
          <w:lang w:val="en-AU"/>
        </w:rPr>
        <w:t>As national medical supplies expenditures</w:t>
      </w:r>
      <w:r w:rsidR="00D41890">
        <w:rPr>
          <w:rFonts w:asciiTheme="minorHAnsi" w:hAnsiTheme="minorHAnsi" w:cs="Arial"/>
          <w:color w:val="000000"/>
          <w:szCs w:val="22"/>
          <w:lang w:val="en-AU"/>
        </w:rPr>
        <w:t xml:space="preserve">, in </w:t>
      </w:r>
      <w:r w:rsidR="00B179A0">
        <w:rPr>
          <w:rFonts w:asciiTheme="minorHAnsi" w:hAnsiTheme="minorHAnsi" w:cs="Arial"/>
          <w:color w:val="000000"/>
          <w:szCs w:val="22"/>
          <w:lang w:val="en-AU"/>
        </w:rPr>
        <w:t>the ‘pull’ system</w:t>
      </w:r>
      <w:r w:rsidRPr="00E27200">
        <w:rPr>
          <w:rFonts w:asciiTheme="minorHAnsi" w:hAnsiTheme="minorHAnsi" w:cs="Arial"/>
          <w:color w:val="000000"/>
          <w:szCs w:val="22"/>
          <w:lang w:val="en-AU"/>
        </w:rPr>
        <w:t xml:space="preserve"> are made after delivery, acquittals do not present a major concern at this level. However, it is reported in focus group discussions that for local procurement, provinces may make advance payments for medicines that have not been delivered.  Inspection of purchase orders in </w:t>
      </w:r>
      <w:proofErr w:type="spellStart"/>
      <w:r w:rsidRPr="00E27200">
        <w:rPr>
          <w:rFonts w:asciiTheme="minorHAnsi" w:hAnsiTheme="minorHAnsi" w:cs="Arial"/>
          <w:color w:val="000000"/>
          <w:szCs w:val="22"/>
          <w:lang w:val="en-AU"/>
        </w:rPr>
        <w:t>Lae</w:t>
      </w:r>
      <w:proofErr w:type="spellEnd"/>
      <w:r w:rsidRPr="00E27200">
        <w:rPr>
          <w:rFonts w:asciiTheme="minorHAnsi" w:hAnsiTheme="minorHAnsi" w:cs="Arial"/>
          <w:color w:val="000000"/>
          <w:szCs w:val="22"/>
          <w:lang w:val="en-AU"/>
        </w:rPr>
        <w:t xml:space="preserve"> AMS during the </w:t>
      </w:r>
      <w:r w:rsidR="00D41890">
        <w:rPr>
          <w:rFonts w:asciiTheme="minorHAnsi" w:hAnsiTheme="minorHAnsi" w:cs="Arial"/>
          <w:color w:val="000000"/>
          <w:szCs w:val="22"/>
          <w:lang w:val="en-AU"/>
        </w:rPr>
        <w:t>HF</w:t>
      </w:r>
      <w:r w:rsidR="00D41890" w:rsidRPr="00E27200">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 xml:space="preserve">survey found that </w:t>
      </w:r>
      <w:r w:rsidR="008770B8" w:rsidRPr="00E27200">
        <w:rPr>
          <w:rFonts w:asciiTheme="minorHAnsi" w:hAnsiTheme="minorHAnsi" w:cs="Arial"/>
          <w:color w:val="000000"/>
          <w:szCs w:val="22"/>
          <w:lang w:val="en-AU"/>
        </w:rPr>
        <w:t>not all of ordered supplies were delivered and many were unlikely to have been delivered without follow up with the suppliers.</w:t>
      </w:r>
      <w:r w:rsidRPr="00E27200">
        <w:rPr>
          <w:rFonts w:asciiTheme="minorHAnsi" w:hAnsiTheme="minorHAnsi" w:cs="Arial"/>
          <w:color w:val="000000"/>
          <w:szCs w:val="22"/>
          <w:lang w:val="en-AU"/>
        </w:rPr>
        <w:t xml:space="preserve"> These expenditures are audited as part of the annual audit report carried out by the Auditor General’s office, however information later than 2011 is not yet available. </w:t>
      </w:r>
    </w:p>
    <w:p w14:paraId="0ED4DF44" w14:textId="77777777" w:rsidR="00D41890" w:rsidRDefault="00D41890" w:rsidP="006A08F1">
      <w:pPr>
        <w:rPr>
          <w:rFonts w:asciiTheme="minorHAnsi" w:hAnsiTheme="minorHAnsi" w:cs="Arial"/>
          <w:color w:val="000000"/>
          <w:szCs w:val="22"/>
          <w:lang w:val="en-AU"/>
        </w:rPr>
      </w:pPr>
    </w:p>
    <w:p w14:paraId="7A77A3EB" w14:textId="380F8CB2" w:rsidR="00581511" w:rsidRDefault="00B12E32" w:rsidP="00FA3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Pr>
          <w:rFonts w:asciiTheme="minorHAnsi" w:hAnsiTheme="minorHAnsi" w:cs="Arial"/>
          <w:color w:val="000000"/>
          <w:szCs w:val="22"/>
          <w:lang w:val="en-AU"/>
        </w:rPr>
        <w:t xml:space="preserve">Detailed review of </w:t>
      </w:r>
      <w:r w:rsidR="00B629DF">
        <w:rPr>
          <w:rFonts w:asciiTheme="minorHAnsi" w:hAnsiTheme="minorHAnsi" w:cs="Arial"/>
          <w:color w:val="000000"/>
          <w:szCs w:val="22"/>
          <w:lang w:val="en-AU"/>
        </w:rPr>
        <w:t xml:space="preserve">IDA, </w:t>
      </w:r>
      <w:r>
        <w:rPr>
          <w:rFonts w:asciiTheme="minorHAnsi" w:hAnsiTheme="minorHAnsi" w:cs="Arial"/>
          <w:color w:val="000000"/>
          <w:szCs w:val="22"/>
          <w:lang w:val="en-AU"/>
        </w:rPr>
        <w:t>the international supplier of the 100% HC and AP kits</w:t>
      </w:r>
      <w:r w:rsidR="00B629DF">
        <w:rPr>
          <w:rFonts w:asciiTheme="minorHAnsi" w:hAnsiTheme="minorHAnsi" w:cs="Arial"/>
          <w:color w:val="000000"/>
          <w:szCs w:val="22"/>
          <w:lang w:val="en-AU"/>
        </w:rPr>
        <w:t>,</w:t>
      </w:r>
      <w:r>
        <w:rPr>
          <w:rFonts w:asciiTheme="minorHAnsi" w:hAnsiTheme="minorHAnsi" w:cs="Arial"/>
          <w:color w:val="000000"/>
          <w:szCs w:val="22"/>
          <w:lang w:val="en-AU"/>
        </w:rPr>
        <w:t xml:space="preserve"> suggests that this achieved acceptable value for money. </w:t>
      </w:r>
      <w:r w:rsidRPr="00E27200">
        <w:rPr>
          <w:rFonts w:asciiTheme="minorHAnsi" w:hAnsiTheme="minorHAnsi" w:cs="Helvetica"/>
          <w:bCs/>
          <w:color w:val="000000"/>
          <w:szCs w:val="19"/>
          <w:lang w:val="en-AU"/>
        </w:rPr>
        <w:t xml:space="preserve">This included review of contracting documentation, visit to </w:t>
      </w:r>
      <w:r w:rsidR="00B629DF">
        <w:rPr>
          <w:rFonts w:asciiTheme="minorHAnsi" w:hAnsiTheme="minorHAnsi" w:cs="Arial"/>
          <w:color w:val="000000"/>
          <w:szCs w:val="22"/>
          <w:lang w:val="en-AU"/>
        </w:rPr>
        <w:t>IDA operations,</w:t>
      </w:r>
      <w:r w:rsidRPr="00E27200">
        <w:rPr>
          <w:rFonts w:asciiTheme="minorHAnsi" w:hAnsiTheme="minorHAnsi" w:cs="Helvetica"/>
          <w:bCs/>
          <w:color w:val="000000"/>
          <w:szCs w:val="19"/>
          <w:lang w:val="en-AU"/>
        </w:rPr>
        <w:t xml:space="preserve"> and triangulation against manager consultations and HF survey findings. This confirms that the kits contain quality assured medicines and were efficiently handled </w:t>
      </w:r>
      <w:r w:rsidR="00BF1A77">
        <w:rPr>
          <w:rFonts w:asciiTheme="minorHAnsi" w:hAnsiTheme="minorHAnsi" w:cs="Helvetica"/>
          <w:bCs/>
          <w:color w:val="000000"/>
          <w:szCs w:val="19"/>
          <w:lang w:val="en-AU"/>
        </w:rPr>
        <w:t xml:space="preserve">in their supply chain (see below). </w:t>
      </w:r>
      <w:r w:rsidR="00581511">
        <w:rPr>
          <w:rFonts w:asciiTheme="minorHAnsi" w:hAnsiTheme="minorHAnsi" w:cs="Arial"/>
          <w:color w:val="000000"/>
          <w:szCs w:val="22"/>
          <w:lang w:val="en-AU"/>
        </w:rPr>
        <w:t>Advance payments for the 100% kits supply were noted as a means of achieving better value for money</w:t>
      </w:r>
      <w:r w:rsidR="00581511" w:rsidRPr="00E27200">
        <w:rPr>
          <w:rFonts w:asciiTheme="minorHAnsi" w:hAnsiTheme="minorHAnsi" w:cs="Helvetica"/>
          <w:bCs/>
          <w:color w:val="000000"/>
          <w:szCs w:val="19"/>
          <w:lang w:val="en-AU"/>
        </w:rPr>
        <w:t xml:space="preserve"> </w:t>
      </w:r>
      <w:r>
        <w:rPr>
          <w:rFonts w:asciiTheme="minorHAnsi" w:hAnsiTheme="minorHAnsi" w:cs="Helvetica"/>
          <w:bCs/>
          <w:color w:val="000000"/>
          <w:szCs w:val="19"/>
          <w:lang w:val="en-AU"/>
        </w:rPr>
        <w:t xml:space="preserve"> </w:t>
      </w:r>
      <w:r w:rsidR="00581511">
        <w:rPr>
          <w:rFonts w:asciiTheme="minorHAnsi" w:hAnsiTheme="minorHAnsi" w:cs="Helvetica"/>
          <w:bCs/>
          <w:color w:val="000000"/>
          <w:szCs w:val="19"/>
          <w:lang w:val="en-AU"/>
        </w:rPr>
        <w:t>By provision of</w:t>
      </w:r>
      <w:r w:rsidR="00581511" w:rsidRPr="00E27200">
        <w:rPr>
          <w:rFonts w:asciiTheme="minorHAnsi" w:hAnsiTheme="minorHAnsi" w:cs="Helvetica"/>
          <w:bCs/>
          <w:color w:val="000000"/>
          <w:szCs w:val="19"/>
          <w:lang w:val="en-AU"/>
        </w:rPr>
        <w:t xml:space="preserve"> payment for the whole 5 round deliveries at the outset, the </w:t>
      </w:r>
      <w:r w:rsidR="00581511" w:rsidRPr="00E27200">
        <w:rPr>
          <w:lang w:val="en-AU"/>
        </w:rPr>
        <w:t>pharmaceutical supply contractor</w:t>
      </w:r>
      <w:r w:rsidR="00581511" w:rsidRPr="00E27200">
        <w:rPr>
          <w:rFonts w:asciiTheme="minorHAnsi" w:hAnsiTheme="minorHAnsi" w:cs="Helvetica"/>
          <w:bCs/>
          <w:color w:val="000000"/>
          <w:szCs w:val="19"/>
          <w:lang w:val="en-AU"/>
        </w:rPr>
        <w:t xml:space="preserve"> was able to negotiate advantageous pricing for the duration of the </w:t>
      </w:r>
      <w:r w:rsidR="00581511">
        <w:rPr>
          <w:rFonts w:asciiTheme="minorHAnsi" w:hAnsiTheme="minorHAnsi" w:cs="Helvetica"/>
          <w:bCs/>
          <w:color w:val="000000"/>
          <w:szCs w:val="19"/>
          <w:lang w:val="en-AU"/>
        </w:rPr>
        <w:t xml:space="preserve">100% HC and AP </w:t>
      </w:r>
      <w:r w:rsidR="00581511" w:rsidRPr="00E27200">
        <w:rPr>
          <w:rFonts w:asciiTheme="minorHAnsi" w:hAnsiTheme="minorHAnsi" w:cs="Helvetica"/>
          <w:bCs/>
          <w:color w:val="000000"/>
          <w:szCs w:val="19"/>
          <w:lang w:val="en-AU"/>
        </w:rPr>
        <w:t xml:space="preserve">kit contract (around 18 months).  </w:t>
      </w:r>
      <w:r w:rsidR="00B629DF">
        <w:rPr>
          <w:rFonts w:asciiTheme="minorHAnsi" w:hAnsiTheme="minorHAnsi" w:cs="Helvetica"/>
          <w:bCs/>
          <w:color w:val="000000"/>
          <w:szCs w:val="19"/>
          <w:lang w:val="en-AU"/>
        </w:rPr>
        <w:t>IDA</w:t>
      </w:r>
      <w:r>
        <w:rPr>
          <w:rFonts w:asciiTheme="minorHAnsi" w:hAnsiTheme="minorHAnsi" w:cs="Helvetica"/>
          <w:bCs/>
          <w:color w:val="000000"/>
          <w:szCs w:val="19"/>
          <w:lang w:val="en-AU"/>
        </w:rPr>
        <w:t xml:space="preserve"> reported that there was a direct positive correlation between the price and the length of time that </w:t>
      </w:r>
      <w:proofErr w:type="gramStart"/>
      <w:r>
        <w:rPr>
          <w:rFonts w:asciiTheme="minorHAnsi" w:hAnsiTheme="minorHAnsi" w:cs="Helvetica"/>
          <w:bCs/>
          <w:color w:val="000000"/>
          <w:szCs w:val="19"/>
          <w:lang w:val="en-AU"/>
        </w:rPr>
        <w:t>a price</w:t>
      </w:r>
      <w:proofErr w:type="gramEnd"/>
      <w:r>
        <w:rPr>
          <w:rFonts w:asciiTheme="minorHAnsi" w:hAnsiTheme="minorHAnsi" w:cs="Helvetica"/>
          <w:bCs/>
          <w:color w:val="000000"/>
          <w:szCs w:val="19"/>
          <w:lang w:val="en-AU"/>
        </w:rPr>
        <w:t xml:space="preserve"> validity was required. However this was able to be offset by</w:t>
      </w:r>
      <w:r w:rsidR="00CE5B27">
        <w:rPr>
          <w:rFonts w:asciiTheme="minorHAnsi" w:hAnsiTheme="minorHAnsi" w:cs="Helvetica"/>
          <w:bCs/>
          <w:color w:val="000000"/>
          <w:szCs w:val="19"/>
          <w:lang w:val="en-AU"/>
        </w:rPr>
        <w:t xml:space="preserve"> </w:t>
      </w:r>
      <w:r>
        <w:rPr>
          <w:rFonts w:asciiTheme="minorHAnsi" w:hAnsiTheme="minorHAnsi" w:cs="Helvetica"/>
          <w:bCs/>
          <w:color w:val="000000"/>
          <w:szCs w:val="19"/>
          <w:lang w:val="en-AU"/>
        </w:rPr>
        <w:t>providing pre-payment to manufacturers to enable them to buy raw material in bulk at the outset of project</w:t>
      </w:r>
      <w:r w:rsidRPr="00483466">
        <w:rPr>
          <w:rFonts w:asciiTheme="minorHAnsi" w:hAnsiTheme="minorHAnsi" w:cs="Helvetica"/>
          <w:bCs/>
          <w:color w:val="000000"/>
          <w:szCs w:val="19"/>
          <w:lang w:val="en-AU"/>
        </w:rPr>
        <w:t>.</w:t>
      </w:r>
      <w:r w:rsidR="00A7535D" w:rsidRPr="00483466">
        <w:rPr>
          <w:rFonts w:asciiTheme="minorHAnsi" w:hAnsiTheme="minorHAnsi" w:cs="Helvetica"/>
          <w:bCs/>
          <w:color w:val="000000"/>
          <w:szCs w:val="19"/>
          <w:lang w:val="en-AU"/>
        </w:rPr>
        <w:t xml:space="preserve"> The kit cost could have been more cost effective if quantifications were made closer to requirements (though note the difficulties in achieving this discussed below).</w:t>
      </w:r>
    </w:p>
    <w:p w14:paraId="5AD86907" w14:textId="77777777" w:rsidR="00581511" w:rsidRDefault="00581511" w:rsidP="006A08F1">
      <w:pPr>
        <w:rPr>
          <w:rFonts w:asciiTheme="minorHAnsi" w:hAnsiTheme="minorHAnsi" w:cs="Arial"/>
          <w:color w:val="000000"/>
          <w:szCs w:val="22"/>
          <w:lang w:val="en-AU"/>
        </w:rPr>
      </w:pPr>
    </w:p>
    <w:p w14:paraId="0951D610" w14:textId="5068703B" w:rsidR="00326F7B" w:rsidRDefault="00DA1765" w:rsidP="0037274E">
      <w:pPr>
        <w:rPr>
          <w:lang w:val="en-AU"/>
        </w:rPr>
      </w:pPr>
      <w:r w:rsidRPr="00DA1765">
        <w:rPr>
          <w:spacing w:val="-2"/>
          <w:szCs w:val="22"/>
        </w:rPr>
        <w:t>Equivalent value-for-</w:t>
      </w:r>
      <w:r w:rsidR="00D41890" w:rsidRPr="00DA1765">
        <w:rPr>
          <w:spacing w:val="-2"/>
          <w:szCs w:val="22"/>
        </w:rPr>
        <w:t xml:space="preserve">money assessments in the ‘pull’ system are hampered by lack of documentation. </w:t>
      </w:r>
      <w:r w:rsidR="006A08F1" w:rsidRPr="00DA1765">
        <w:rPr>
          <w:spacing w:val="-2"/>
          <w:szCs w:val="22"/>
          <w:lang w:val="en-AU"/>
        </w:rPr>
        <w:t>In the</w:t>
      </w:r>
      <w:r w:rsidR="0005002A" w:rsidRPr="00DA1765">
        <w:rPr>
          <w:spacing w:val="-2"/>
          <w:szCs w:val="22"/>
          <w:lang w:val="en-AU"/>
        </w:rPr>
        <w:t xml:space="preserve"> 2012 </w:t>
      </w:r>
      <w:r w:rsidR="00D41890" w:rsidRPr="00DA1765">
        <w:rPr>
          <w:spacing w:val="-2"/>
          <w:szCs w:val="22"/>
          <w:lang w:val="en-AU"/>
        </w:rPr>
        <w:t>rapid p</w:t>
      </w:r>
      <w:r w:rsidR="0005002A" w:rsidRPr="00DA1765">
        <w:rPr>
          <w:spacing w:val="-2"/>
          <w:szCs w:val="22"/>
          <w:lang w:val="en-AU"/>
        </w:rPr>
        <w:t>rocurement assessment</w:t>
      </w:r>
      <w:r w:rsidR="006D4F4F" w:rsidRPr="00DA1765">
        <w:rPr>
          <w:spacing w:val="-2"/>
          <w:szCs w:val="22"/>
          <w:lang w:val="en-AU"/>
        </w:rPr>
        <w:fldChar w:fldCharType="begin"/>
      </w:r>
      <w:r w:rsidR="0005002A" w:rsidRPr="00DA1765">
        <w:rPr>
          <w:spacing w:val="-2"/>
          <w:szCs w:val="22"/>
          <w:lang w:val="en-AU"/>
        </w:rPr>
        <w:instrText xml:space="preserve"> ADDIN EN.CITE &lt;EndNote&gt;&lt;Cite&gt;&lt;Author&gt;Health and HIV Implementation Services Provider&lt;/Author&gt;&lt;Year&gt;2012&lt;/Year&gt;&lt;RecNum&gt;55&lt;/RecNum&gt;&lt;DisplayText&gt;[2]&lt;/DisplayText&gt;&lt;record&gt;&lt;rec-number&gt;55&lt;/rec-number&gt;&lt;foreign-keys&gt;&lt;key app="EN" db-id="ex5s0vddkzxdfhese5yvf5vke2ree5azrt5t"&gt;55&lt;/key&gt;&lt;/foreign-keys&gt;&lt;ref-type name="Journal Article"&gt;17&lt;/ref-type&gt;&lt;contributors&gt;&lt;authors&gt;&lt;author&gt;Health and HIV Implementation Services Provider,&lt;/author&gt;&lt;/authors&gt;&lt;/contributors&gt;&lt;titles&gt;&lt;title&gt;Specialist Procurement Adviser Report&lt;/title&gt;&lt;secondary-title&gt;National Department of Health and AusAID&lt;/secondary-title&gt;&lt;/titles&gt;&lt;periodical&gt;&lt;full-title&gt;National Department of Health and AusAID&lt;/full-title&gt;&lt;/periodical&gt;&lt;dates&gt;&lt;year&gt;2012&lt;/year&gt;&lt;pub-dates&gt;&lt;date&gt;December&lt;/date&gt;&lt;/pub-dates&gt;&lt;/dates&gt;&lt;urls&gt;&lt;/urls&gt;&lt;/record&gt;&lt;/Cite&gt;&lt;/EndNote&gt;</w:instrText>
      </w:r>
      <w:r w:rsidR="006D4F4F" w:rsidRPr="00DA1765">
        <w:rPr>
          <w:spacing w:val="-2"/>
          <w:szCs w:val="22"/>
          <w:lang w:val="en-AU"/>
        </w:rPr>
        <w:fldChar w:fldCharType="separate"/>
      </w:r>
      <w:r w:rsidR="0005002A" w:rsidRPr="00DA1765">
        <w:rPr>
          <w:noProof/>
          <w:spacing w:val="-2"/>
          <w:szCs w:val="22"/>
          <w:lang w:val="en-AU"/>
        </w:rPr>
        <w:t>[</w:t>
      </w:r>
      <w:hyperlink w:anchor="_ENREF_2" w:tooltip="Health and HIV Implementation Services Provider, 2012 #55" w:history="1">
        <w:r w:rsidR="00E62392" w:rsidRPr="00DA1765">
          <w:rPr>
            <w:noProof/>
            <w:spacing w:val="-2"/>
            <w:szCs w:val="22"/>
            <w:lang w:val="en-AU"/>
          </w:rPr>
          <w:t>2</w:t>
        </w:r>
      </w:hyperlink>
      <w:r w:rsidR="0005002A" w:rsidRPr="00DA1765">
        <w:rPr>
          <w:noProof/>
          <w:spacing w:val="-2"/>
          <w:szCs w:val="22"/>
          <w:lang w:val="en-AU"/>
        </w:rPr>
        <w:t>]</w:t>
      </w:r>
      <w:r w:rsidR="006D4F4F" w:rsidRPr="00DA1765">
        <w:rPr>
          <w:spacing w:val="-2"/>
          <w:szCs w:val="22"/>
          <w:lang w:val="en-AU"/>
        </w:rPr>
        <w:fldChar w:fldCharType="end"/>
      </w:r>
      <w:r w:rsidR="0005002A" w:rsidRPr="00DA1765">
        <w:rPr>
          <w:spacing w:val="-2"/>
          <w:szCs w:val="22"/>
          <w:lang w:val="en-AU"/>
        </w:rPr>
        <w:t xml:space="preserve"> </w:t>
      </w:r>
      <w:r w:rsidR="006A08F1" w:rsidRPr="00DA1765">
        <w:rPr>
          <w:spacing w:val="-2"/>
          <w:szCs w:val="22"/>
          <w:lang w:val="en-AU"/>
        </w:rPr>
        <w:t xml:space="preserve">it was found not all procurement is at international prices: </w:t>
      </w:r>
      <w:r w:rsidR="005510EB" w:rsidRPr="00DA1765">
        <w:rPr>
          <w:spacing w:val="-2"/>
          <w:szCs w:val="22"/>
          <w:lang w:val="en-AU"/>
        </w:rPr>
        <w:t>50% of</w:t>
      </w:r>
      <w:r w:rsidR="005510EB" w:rsidRPr="00DA1765">
        <w:rPr>
          <w:rFonts w:asciiTheme="majorHAnsi" w:hAnsiTheme="majorHAnsi"/>
          <w:spacing w:val="-2"/>
          <w:szCs w:val="22"/>
          <w:lang w:val="en-AU"/>
        </w:rPr>
        <w:t xml:space="preserve"> </w:t>
      </w:r>
      <w:r w:rsidR="005510EB" w:rsidRPr="00DA1765">
        <w:rPr>
          <w:spacing w:val="-2"/>
          <w:szCs w:val="22"/>
          <w:lang w:val="en-AU"/>
        </w:rPr>
        <w:t xml:space="preserve">medicines surveyed </w:t>
      </w:r>
      <w:r w:rsidR="006A08F1" w:rsidRPr="00DA1765">
        <w:rPr>
          <w:spacing w:val="-2"/>
          <w:szCs w:val="22"/>
          <w:lang w:val="en-AU"/>
        </w:rPr>
        <w:t>exceeded the Median Price Ratio</w:t>
      </w:r>
      <w:r w:rsidR="005510EB" w:rsidRPr="00DA1765">
        <w:rPr>
          <w:spacing w:val="-2"/>
          <w:szCs w:val="22"/>
          <w:lang w:val="en-AU"/>
        </w:rPr>
        <w:t>s (MPR) cut off for international prices</w:t>
      </w:r>
      <w:r w:rsidR="00D41890" w:rsidRPr="00DA1765">
        <w:rPr>
          <w:spacing w:val="-2"/>
          <w:szCs w:val="22"/>
          <w:lang w:val="en-AU"/>
        </w:rPr>
        <w:t>.</w:t>
      </w:r>
      <w:r w:rsidR="005510EB" w:rsidRPr="00DA1765">
        <w:rPr>
          <w:spacing w:val="-2"/>
          <w:szCs w:val="22"/>
          <w:lang w:val="en-AU"/>
        </w:rPr>
        <w:t xml:space="preserve"> </w:t>
      </w:r>
      <w:r w:rsidR="00D41890" w:rsidRPr="00DA1765">
        <w:rPr>
          <w:spacing w:val="-2"/>
          <w:szCs w:val="22"/>
          <w:lang w:val="en-AU"/>
        </w:rPr>
        <w:t>This assessment noted that there was a great deal of variability in prices paid, with</w:t>
      </w:r>
      <w:r w:rsidR="00D41890" w:rsidRPr="00DA1765" w:rsidDel="00D41890">
        <w:rPr>
          <w:spacing w:val="-2"/>
          <w:szCs w:val="22"/>
          <w:lang w:val="en-AU"/>
        </w:rPr>
        <w:t xml:space="preserve"> </w:t>
      </w:r>
      <w:r w:rsidR="005510EB" w:rsidRPr="00DA1765">
        <w:rPr>
          <w:spacing w:val="-2"/>
          <w:szCs w:val="22"/>
          <w:lang w:val="en-AU"/>
        </w:rPr>
        <w:t>27% of the procurement prices more than twice the international prices for national procurement.</w:t>
      </w:r>
      <w:r w:rsidR="00D41890" w:rsidRPr="00DA1765">
        <w:rPr>
          <w:spacing w:val="-2"/>
          <w:szCs w:val="22"/>
          <w:lang w:val="en-AU"/>
        </w:rPr>
        <w:t xml:space="preserve"> </w:t>
      </w:r>
    </w:p>
    <w:p w14:paraId="7D4527C7" w14:textId="77777777" w:rsidR="00365016" w:rsidRPr="00E27200" w:rsidRDefault="00365016" w:rsidP="00E16C77">
      <w:pPr>
        <w:rPr>
          <w:lang w:val="en-AU"/>
        </w:rPr>
      </w:pPr>
    </w:p>
    <w:p w14:paraId="238DDE09" w14:textId="77777777" w:rsidR="00AC72B8" w:rsidRPr="00E27200" w:rsidRDefault="00AC72B8" w:rsidP="00E16C77">
      <w:pPr>
        <w:pStyle w:val="Heading2"/>
      </w:pPr>
      <w:bookmarkStart w:id="91" w:name="_Toc245810747"/>
      <w:r w:rsidRPr="00E27200">
        <w:t>Procurement tendering and governance</w:t>
      </w:r>
      <w:bookmarkEnd w:id="91"/>
    </w:p>
    <w:p w14:paraId="148BB7EB" w14:textId="77777777" w:rsidR="00420A04" w:rsidRPr="00E27200" w:rsidRDefault="00420A04" w:rsidP="00E16C77">
      <w:pPr>
        <w:ind w:left="432"/>
        <w:rPr>
          <w:i/>
          <w:lang w:val="en-AU"/>
        </w:rPr>
      </w:pPr>
      <w:r w:rsidRPr="00E27200">
        <w:rPr>
          <w:b/>
          <w:i/>
          <w:lang w:val="en-AU"/>
        </w:rPr>
        <w:t xml:space="preserve">Key finding: </w:t>
      </w:r>
      <w:r w:rsidR="00EA64C6" w:rsidRPr="00E27200">
        <w:rPr>
          <w:i/>
          <w:lang w:val="en-AU"/>
        </w:rPr>
        <w:t>Recent reports</w:t>
      </w:r>
      <w:r w:rsidR="006C124D" w:rsidRPr="00E27200">
        <w:rPr>
          <w:i/>
          <w:lang w:val="en-AU"/>
        </w:rPr>
        <w:t>,</w:t>
      </w:r>
      <w:r w:rsidR="00EA64C6" w:rsidRPr="00E27200">
        <w:rPr>
          <w:i/>
          <w:lang w:val="en-AU"/>
        </w:rPr>
        <w:t xml:space="preserve"> and interviews </w:t>
      </w:r>
      <w:r w:rsidR="007147AE" w:rsidRPr="00E27200">
        <w:rPr>
          <w:i/>
          <w:lang w:val="en-AU"/>
        </w:rPr>
        <w:t>in this</w:t>
      </w:r>
      <w:r w:rsidR="006C124D" w:rsidRPr="00E27200">
        <w:rPr>
          <w:i/>
          <w:lang w:val="en-AU"/>
        </w:rPr>
        <w:t xml:space="preserve"> evaluation, </w:t>
      </w:r>
      <w:r w:rsidR="00EA64C6" w:rsidRPr="00E27200">
        <w:rPr>
          <w:i/>
          <w:lang w:val="en-AU"/>
        </w:rPr>
        <w:t>acknowledge the persistence</w:t>
      </w:r>
      <w:r w:rsidR="006C124D" w:rsidRPr="00E27200">
        <w:rPr>
          <w:i/>
          <w:lang w:val="en-AU"/>
        </w:rPr>
        <w:t xml:space="preserve"> of difficulties in procurement governance, with processes that still do not guarantee transparency and avoidance of conflict of interest. </w:t>
      </w:r>
      <w:r w:rsidR="00EA64C6" w:rsidRPr="00E27200">
        <w:rPr>
          <w:i/>
          <w:lang w:val="en-AU"/>
        </w:rPr>
        <w:t>Current reforms are aiming to strengthen NDOH in-house systems for procurement and tendering</w:t>
      </w:r>
      <w:r w:rsidR="006C124D" w:rsidRPr="00E27200">
        <w:rPr>
          <w:i/>
          <w:lang w:val="en-AU"/>
        </w:rPr>
        <w:t xml:space="preserve">, although there remains a mix of opinions as to whether out-sourcing procurement would be of benefit. </w:t>
      </w:r>
      <w:r w:rsidR="00B324FB" w:rsidRPr="00E27200">
        <w:rPr>
          <w:i/>
          <w:lang w:val="en-AU"/>
        </w:rPr>
        <w:t>Some developments are evident</w:t>
      </w:r>
      <w:r w:rsidR="00AE6BFC" w:rsidRPr="00E27200">
        <w:rPr>
          <w:i/>
          <w:lang w:val="en-AU"/>
        </w:rPr>
        <w:t xml:space="preserve"> in the </w:t>
      </w:r>
      <w:r w:rsidR="006C124D" w:rsidRPr="00E27200">
        <w:rPr>
          <w:i/>
          <w:lang w:val="en-AU"/>
        </w:rPr>
        <w:t>current</w:t>
      </w:r>
      <w:r w:rsidR="00AE6BFC" w:rsidRPr="00E27200">
        <w:rPr>
          <w:i/>
          <w:lang w:val="en-AU"/>
        </w:rPr>
        <w:t xml:space="preserve"> </w:t>
      </w:r>
      <w:r w:rsidR="00AE6BFC" w:rsidRPr="00E27200">
        <w:rPr>
          <w:i/>
          <w:lang w:val="en-AU"/>
        </w:rPr>
        <w:lastRenderedPageBreak/>
        <w:t>tender for 2014 kits, introducing greater</w:t>
      </w:r>
      <w:r w:rsidR="006C124D" w:rsidRPr="00E27200">
        <w:rPr>
          <w:i/>
          <w:lang w:val="en-AU"/>
        </w:rPr>
        <w:t xml:space="preserve"> inter</w:t>
      </w:r>
      <w:r w:rsidR="00AE6BFC" w:rsidRPr="00E27200">
        <w:rPr>
          <w:i/>
          <w:lang w:val="en-AU"/>
        </w:rPr>
        <w:t xml:space="preserve">national competition and more stringent quality requirements, however the implementation of some of these improved procedures remains </w:t>
      </w:r>
      <w:r w:rsidR="00B324FB" w:rsidRPr="00E27200">
        <w:rPr>
          <w:i/>
          <w:lang w:val="en-AU"/>
        </w:rPr>
        <w:t>weak</w:t>
      </w:r>
      <w:r w:rsidR="00AE6BFC" w:rsidRPr="00E27200">
        <w:rPr>
          <w:i/>
          <w:lang w:val="en-AU"/>
        </w:rPr>
        <w:t>.</w:t>
      </w:r>
    </w:p>
    <w:p w14:paraId="4F1B7222" w14:textId="77777777" w:rsidR="00AC72B8" w:rsidRPr="00E27200" w:rsidRDefault="00AC72B8" w:rsidP="00E16C77">
      <w:pPr>
        <w:rPr>
          <w:rFonts w:asciiTheme="minorHAnsi" w:hAnsiTheme="minorHAnsi" w:cs="Arial"/>
          <w:color w:val="000000"/>
          <w:szCs w:val="19"/>
          <w:lang w:val="en-AU"/>
        </w:rPr>
      </w:pPr>
    </w:p>
    <w:p w14:paraId="6AF6724B" w14:textId="77777777" w:rsidR="006D0FD5" w:rsidRPr="00E27200" w:rsidRDefault="006D0FD5" w:rsidP="00E16C77">
      <w:pPr>
        <w:pStyle w:val="Heading3"/>
      </w:pPr>
      <w:r w:rsidRPr="00E27200">
        <w:t>Internal governance of medical supplies procurement</w:t>
      </w:r>
    </w:p>
    <w:p w14:paraId="0B8B8F53" w14:textId="7C3C015F" w:rsidR="009107A5" w:rsidRPr="00E27200" w:rsidRDefault="002D3800"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A number of assessments and reviews pointed out significant problems persisting in PNG in procurement </w:t>
      </w:r>
      <w:r w:rsidR="00200AA0" w:rsidRPr="00E27200">
        <w:rPr>
          <w:rFonts w:asciiTheme="minorHAnsi" w:hAnsiTheme="minorHAnsi" w:cs="Arial"/>
          <w:color w:val="000000"/>
          <w:szCs w:val="19"/>
          <w:lang w:val="en-AU"/>
        </w:rPr>
        <w:t xml:space="preserve">(flowing through to </w:t>
      </w:r>
      <w:r w:rsidRPr="00E27200">
        <w:rPr>
          <w:rFonts w:asciiTheme="minorHAnsi" w:hAnsiTheme="minorHAnsi" w:cs="Arial"/>
          <w:color w:val="000000"/>
          <w:szCs w:val="19"/>
          <w:lang w:val="en-AU"/>
        </w:rPr>
        <w:t>supply chain</w:t>
      </w:r>
      <w:r w:rsidR="00200AA0" w:rsidRPr="00E27200">
        <w:rPr>
          <w:rFonts w:asciiTheme="minorHAnsi" w:hAnsiTheme="minorHAnsi" w:cs="Arial"/>
          <w:color w:val="000000"/>
          <w:szCs w:val="19"/>
          <w:lang w:val="en-AU"/>
        </w:rPr>
        <w:t>, as noted below)</w:t>
      </w:r>
      <w:r w:rsidRPr="00E27200">
        <w:rPr>
          <w:rFonts w:asciiTheme="minorHAnsi" w:hAnsiTheme="minorHAnsi" w:cs="Arial"/>
          <w:color w:val="000000"/>
          <w:szCs w:val="19"/>
          <w:lang w:val="en-AU"/>
        </w:rPr>
        <w:t xml:space="preserve"> of medicines and medical commodities.   Reforms have been put in place to strengthen the curre</w:t>
      </w:r>
      <w:r w:rsidR="0029304F">
        <w:rPr>
          <w:rFonts w:asciiTheme="minorHAnsi" w:hAnsiTheme="minorHAnsi" w:cs="Arial"/>
          <w:color w:val="000000"/>
          <w:szCs w:val="19"/>
          <w:lang w:val="en-AU"/>
        </w:rPr>
        <w:t>nt system rather than to instil</w:t>
      </w:r>
      <w:r w:rsidRPr="00E27200">
        <w:rPr>
          <w:rFonts w:asciiTheme="minorHAnsi" w:hAnsiTheme="minorHAnsi" w:cs="Arial"/>
          <w:color w:val="000000"/>
          <w:szCs w:val="19"/>
          <w:lang w:val="en-AU"/>
        </w:rPr>
        <w:t xml:space="preserve"> ne</w:t>
      </w:r>
      <w:r w:rsidR="0017057E">
        <w:rPr>
          <w:rFonts w:asciiTheme="minorHAnsi" w:hAnsiTheme="minorHAnsi" w:cs="Arial"/>
          <w:color w:val="000000"/>
          <w:szCs w:val="19"/>
          <w:lang w:val="en-AU"/>
        </w:rPr>
        <w:t>w</w:t>
      </w:r>
      <w:r w:rsidRPr="00E27200">
        <w:rPr>
          <w:rFonts w:asciiTheme="minorHAnsi" w:hAnsiTheme="minorHAnsi" w:cs="Arial"/>
          <w:color w:val="000000"/>
          <w:szCs w:val="19"/>
          <w:lang w:val="en-AU"/>
        </w:rPr>
        <w:t xml:space="preserve"> procurement structures (or seek outsourced third or fourth party logistics solutions</w:t>
      </w:r>
      <w:r w:rsidRPr="00E27200">
        <w:rPr>
          <w:rStyle w:val="FootnoteReference"/>
          <w:rFonts w:asciiTheme="minorHAnsi" w:hAnsiTheme="minorHAnsi" w:cs="Arial"/>
          <w:color w:val="000000"/>
          <w:szCs w:val="19"/>
          <w:lang w:val="en-AU"/>
        </w:rPr>
        <w:footnoteReference w:id="13"/>
      </w:r>
      <w:r w:rsidRPr="00E27200">
        <w:rPr>
          <w:rFonts w:asciiTheme="minorHAnsi" w:hAnsiTheme="minorHAnsi" w:cs="Arial"/>
          <w:color w:val="000000"/>
          <w:szCs w:val="19"/>
          <w:lang w:val="en-AU"/>
        </w:rPr>
        <w:t xml:space="preserve">). </w:t>
      </w:r>
      <w:r w:rsidR="00200AA0" w:rsidRPr="00E27200">
        <w:rPr>
          <w:rFonts w:asciiTheme="minorHAnsi" w:hAnsiTheme="minorHAnsi" w:cs="Arial"/>
          <w:color w:val="000000"/>
          <w:szCs w:val="19"/>
          <w:lang w:val="en-AU"/>
        </w:rPr>
        <w:t>Among interviewees, including some government interlocutors</w:t>
      </w:r>
      <w:r w:rsidRPr="00E27200">
        <w:rPr>
          <w:rFonts w:asciiTheme="minorHAnsi" w:hAnsiTheme="minorHAnsi" w:cs="Arial"/>
          <w:color w:val="000000"/>
          <w:szCs w:val="19"/>
          <w:lang w:val="en-AU"/>
        </w:rPr>
        <w:t>, opinion was divided</w:t>
      </w:r>
      <w:r w:rsidR="003972AC">
        <w:rPr>
          <w:rFonts w:asciiTheme="minorHAnsi" w:hAnsiTheme="minorHAnsi" w:cs="Arial"/>
          <w:color w:val="000000"/>
          <w:szCs w:val="19"/>
          <w:lang w:val="en-AU"/>
        </w:rPr>
        <w:t>. S</w:t>
      </w:r>
      <w:r w:rsidRPr="00E27200">
        <w:rPr>
          <w:rFonts w:asciiTheme="minorHAnsi" w:hAnsiTheme="minorHAnsi" w:cs="Arial"/>
          <w:color w:val="000000"/>
          <w:szCs w:val="19"/>
          <w:lang w:val="en-AU"/>
        </w:rPr>
        <w:t xml:space="preserve">ome strongly supported the notion of strengthening in house systems </w:t>
      </w:r>
      <w:r w:rsidR="00200AA0" w:rsidRPr="00E27200">
        <w:rPr>
          <w:rFonts w:asciiTheme="minorHAnsi" w:hAnsiTheme="minorHAnsi" w:cs="Arial"/>
          <w:color w:val="000000"/>
          <w:szCs w:val="19"/>
          <w:lang w:val="en-AU"/>
        </w:rPr>
        <w:t>on the rationale of</w:t>
      </w:r>
      <w:r w:rsidRPr="00E27200">
        <w:rPr>
          <w:rFonts w:asciiTheme="minorHAnsi" w:hAnsiTheme="minorHAnsi" w:cs="Arial"/>
          <w:color w:val="000000"/>
          <w:szCs w:val="19"/>
          <w:lang w:val="en-AU"/>
        </w:rPr>
        <w:t xml:space="preserve"> sustainability</w:t>
      </w:r>
      <w:r w:rsidR="00200AA0" w:rsidRPr="00E27200">
        <w:rPr>
          <w:rFonts w:asciiTheme="minorHAnsi" w:hAnsiTheme="minorHAnsi" w:cs="Arial"/>
          <w:color w:val="000000"/>
          <w:szCs w:val="19"/>
          <w:lang w:val="en-AU"/>
        </w:rPr>
        <w:t>, while o</w:t>
      </w:r>
      <w:r w:rsidRPr="00E27200">
        <w:rPr>
          <w:rFonts w:asciiTheme="minorHAnsi" w:hAnsiTheme="minorHAnsi" w:cs="Arial"/>
          <w:color w:val="000000"/>
          <w:szCs w:val="19"/>
          <w:lang w:val="en-AU"/>
        </w:rPr>
        <w:t xml:space="preserve">thers </w:t>
      </w:r>
      <w:r w:rsidR="00200AA0" w:rsidRPr="00E27200">
        <w:rPr>
          <w:rFonts w:asciiTheme="minorHAnsi" w:hAnsiTheme="minorHAnsi" w:cs="Arial"/>
          <w:color w:val="000000"/>
          <w:szCs w:val="19"/>
          <w:lang w:val="en-AU"/>
        </w:rPr>
        <w:t>–</w:t>
      </w:r>
      <w:r w:rsidRPr="00E27200">
        <w:rPr>
          <w:rFonts w:asciiTheme="minorHAnsi" w:hAnsiTheme="minorHAnsi" w:cs="Arial"/>
          <w:color w:val="000000"/>
          <w:szCs w:val="19"/>
          <w:lang w:val="en-AU"/>
        </w:rPr>
        <w:t xml:space="preserve"> </w:t>
      </w:r>
      <w:r w:rsidR="00200AA0" w:rsidRPr="00E27200">
        <w:rPr>
          <w:rFonts w:asciiTheme="minorHAnsi" w:hAnsiTheme="minorHAnsi" w:cs="Arial"/>
          <w:color w:val="000000"/>
          <w:szCs w:val="19"/>
          <w:lang w:val="en-AU"/>
        </w:rPr>
        <w:t xml:space="preserve">including </w:t>
      </w:r>
      <w:r w:rsidR="0017057E">
        <w:rPr>
          <w:rFonts w:asciiTheme="minorHAnsi" w:hAnsiTheme="minorHAnsi" w:cs="Arial"/>
          <w:color w:val="000000"/>
          <w:szCs w:val="19"/>
          <w:lang w:val="en-AU"/>
        </w:rPr>
        <w:t>a previous Minister of Health and HIV/AIDS</w:t>
      </w:r>
      <w:r w:rsidR="00200AA0" w:rsidRPr="00E27200">
        <w:rPr>
          <w:rFonts w:asciiTheme="minorHAnsi" w:hAnsiTheme="minorHAnsi" w:cs="Arial"/>
          <w:color w:val="000000"/>
          <w:szCs w:val="19"/>
          <w:lang w:val="en-AU"/>
        </w:rPr>
        <w:t xml:space="preserve"> - </w:t>
      </w:r>
      <w:r w:rsidR="00EC71CF" w:rsidRPr="00E27200">
        <w:rPr>
          <w:rFonts w:cs="Arial"/>
          <w:color w:val="000000"/>
          <w:szCs w:val="19"/>
        </w:rPr>
        <w:t>supported an independent Health Procurement Authority (HPA)</w:t>
      </w:r>
      <w:r w:rsidR="00AB56A4">
        <w:rPr>
          <w:rStyle w:val="FootnoteReference"/>
          <w:color w:val="000000"/>
          <w:szCs w:val="19"/>
        </w:rPr>
        <w:footnoteReference w:id="14"/>
      </w:r>
      <w:r w:rsidR="00EC71CF" w:rsidRPr="00E27200">
        <w:rPr>
          <w:rFonts w:cs="Arial"/>
          <w:color w:val="000000"/>
          <w:szCs w:val="19"/>
        </w:rPr>
        <w:t xml:space="preserve"> tasked </w:t>
      </w:r>
      <w:r w:rsidR="00EC71CF">
        <w:rPr>
          <w:rFonts w:cs="Arial"/>
          <w:color w:val="000000"/>
          <w:szCs w:val="19"/>
        </w:rPr>
        <w:t>to manage</w:t>
      </w:r>
      <w:r w:rsidR="00EC71CF" w:rsidRPr="00E27200">
        <w:rPr>
          <w:rFonts w:cs="Arial"/>
          <w:color w:val="000000"/>
          <w:szCs w:val="19"/>
        </w:rPr>
        <w:t xml:space="preserve"> the procurement and distribution </w:t>
      </w:r>
      <w:r w:rsidR="00EC71CF">
        <w:rPr>
          <w:rFonts w:cs="Arial"/>
          <w:color w:val="000000"/>
          <w:szCs w:val="19"/>
        </w:rPr>
        <w:t>of</w:t>
      </w:r>
      <w:r w:rsidR="00EC71CF" w:rsidRPr="00E27200">
        <w:rPr>
          <w:rFonts w:cs="Arial"/>
          <w:color w:val="000000"/>
          <w:szCs w:val="19"/>
        </w:rPr>
        <w:t xml:space="preserve"> medicines and medical supplies</w:t>
      </w:r>
      <w:r w:rsidRPr="00E27200">
        <w:rPr>
          <w:rFonts w:asciiTheme="minorHAnsi" w:hAnsiTheme="minorHAnsi" w:cs="Arial"/>
          <w:color w:val="000000"/>
          <w:szCs w:val="19"/>
          <w:lang w:val="en-AU"/>
        </w:rPr>
        <w:t>.</w:t>
      </w:r>
      <w:r w:rsidR="00200AA0" w:rsidRPr="00E27200">
        <w:rPr>
          <w:rFonts w:asciiTheme="minorHAnsi" w:hAnsiTheme="minorHAnsi" w:cs="Arial"/>
          <w:color w:val="000000"/>
          <w:szCs w:val="19"/>
          <w:lang w:val="en-AU"/>
        </w:rPr>
        <w:t xml:space="preserve"> </w:t>
      </w:r>
    </w:p>
    <w:p w14:paraId="4F3A9974" w14:textId="77777777" w:rsidR="00117EF5" w:rsidRDefault="00117EF5"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7881FA6D" w14:textId="4020B98B" w:rsidR="00F82D9D" w:rsidRPr="00E27200" w:rsidRDefault="00F82D9D" w:rsidP="00F82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t xml:space="preserve">The Government of PNG has </w:t>
      </w:r>
      <w:r w:rsidR="003C7DE9">
        <w:t>examined</w:t>
      </w:r>
      <w:r>
        <w:t xml:space="preserve"> a cabinet submission in 2013 to establish an independent HPA. This is currently being consulted with central agencies prior to submission to the Central Agencies Coordinating Committee (CACC) and National Executive Council (NEC) for endorsement</w:t>
      </w:r>
      <w:r w:rsidRPr="00E27200">
        <w:rPr>
          <w:rFonts w:asciiTheme="minorHAnsi" w:hAnsiTheme="minorHAnsi" w:cs="Arial"/>
          <w:color w:val="000000"/>
          <w:szCs w:val="19"/>
          <w:lang w:val="en-AU"/>
        </w:rPr>
        <w:t xml:space="preserve">. </w:t>
      </w:r>
      <w:r w:rsidR="003C7DE9">
        <w:rPr>
          <w:rFonts w:asciiTheme="minorHAnsi" w:hAnsiTheme="minorHAnsi" w:cs="Arial"/>
          <w:color w:val="000000"/>
          <w:szCs w:val="19"/>
          <w:lang w:val="en-AU"/>
        </w:rPr>
        <w:t xml:space="preserve">Other options, including appointment of </w:t>
      </w:r>
      <w:r w:rsidR="006575F2" w:rsidRPr="00E27200">
        <w:rPr>
          <w:rFonts w:asciiTheme="minorHAnsi" w:hAnsiTheme="minorHAnsi" w:cs="Arial"/>
          <w:color w:val="000000"/>
          <w:szCs w:val="19"/>
          <w:lang w:val="en-AU"/>
        </w:rPr>
        <w:t>a procurement agent, especially if using international competitive means, could provide increased governance and transparency in support of internal procurement systems, particularly to resist undue pressures from individual medical suppliers.  Agencies such as the World Bank were reported to support outsourcing of all procurement and supply chain functions to a quality operator that can be managed through a set of performance indicators.  If the government so wishes, such contracts could include capacity building and institutionalization, which in other countries has led to privatisation of these functions.</w:t>
      </w:r>
    </w:p>
    <w:p w14:paraId="49C07CD6" w14:textId="77777777" w:rsidR="00F82D9D" w:rsidRPr="00E27200" w:rsidRDefault="00F82D9D"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7A599C3E" w14:textId="77777777" w:rsidR="0025029A" w:rsidRPr="00E27200" w:rsidRDefault="0025029A"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szCs w:val="22"/>
          <w:lang w:val="en-AU"/>
        </w:rPr>
        <w:t>Current developments include reinstatement of a Pharmaceutical Supply and Tenders Board (PSTB) that was abolished in 2009. For this reinstatement to be functional, an extension of their procurement delegation, such as to PGK 5 million, is sought. At present, procurement greater than PGK 300,000 and up to PGK 10 million are handled by</w:t>
      </w:r>
      <w:r w:rsidRPr="00E27200">
        <w:rPr>
          <w:rFonts w:asciiTheme="minorHAnsi" w:hAnsiTheme="minorHAnsi" w:cs="Arial"/>
          <w:color w:val="000000"/>
          <w:szCs w:val="22"/>
          <w:lang w:val="en-AU"/>
        </w:rPr>
        <w:t xml:space="preserve"> the Central Supply and Tenders Board (CSTB), a central government agency beyond the health sector. Information available to this evaluation suggests that it is not yet clear that there </w:t>
      </w:r>
      <w:r w:rsidR="00B44E10" w:rsidRPr="00E27200">
        <w:rPr>
          <w:rFonts w:asciiTheme="minorHAnsi" w:hAnsiTheme="minorHAnsi" w:cs="Arial"/>
          <w:color w:val="000000"/>
          <w:szCs w:val="22"/>
          <w:lang w:val="en-AU"/>
        </w:rPr>
        <w:t>has</w:t>
      </w:r>
      <w:r w:rsidRPr="00E27200">
        <w:rPr>
          <w:rFonts w:asciiTheme="minorHAnsi" w:hAnsiTheme="minorHAnsi" w:cs="Arial"/>
          <w:color w:val="000000"/>
          <w:szCs w:val="22"/>
          <w:lang w:val="en-AU"/>
        </w:rPr>
        <w:t xml:space="preserve"> been </w:t>
      </w:r>
      <w:r w:rsidRPr="005F567C">
        <w:rPr>
          <w:rFonts w:asciiTheme="minorHAnsi" w:hAnsiTheme="minorHAnsi" w:cs="Arial"/>
          <w:color w:val="000000"/>
          <w:szCs w:val="22"/>
          <w:lang w:val="en-AU"/>
        </w:rPr>
        <w:t>sufficient change in proposed PSTB structures and procedures to avoid recurrence of earlier problems, which historically were cited as including collusion, inefficiency and lack of transparency. It is currently</w:t>
      </w:r>
      <w:r w:rsidRPr="00E27200">
        <w:rPr>
          <w:rFonts w:asciiTheme="minorHAnsi" w:hAnsiTheme="minorHAnsi" w:cs="Arial"/>
          <w:color w:val="000000"/>
          <w:szCs w:val="22"/>
          <w:lang w:val="en-AU"/>
        </w:rPr>
        <w:t xml:space="preserve"> unclear how a PSTB would work alongside a CSTB to improve procurement practices.  </w:t>
      </w:r>
    </w:p>
    <w:p w14:paraId="5ACBE172" w14:textId="77777777" w:rsidR="0025029A" w:rsidRPr="00E27200" w:rsidRDefault="0025029A"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5A94B40B" w14:textId="77777777" w:rsidR="0025029A" w:rsidRPr="00E27200" w:rsidRDefault="0025029A"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 xml:space="preserve">One critical issue is representation on either the PSTB or CSTB. The Auditor General noted that the former PSTB membership required review due to inappropriate representation, which limited accountability. </w:t>
      </w:r>
      <w:r w:rsidR="00B44E10" w:rsidRPr="00E27200">
        <w:rPr>
          <w:rFonts w:asciiTheme="minorHAnsi" w:hAnsiTheme="minorHAnsi" w:cs="Arial"/>
          <w:color w:val="000000"/>
          <w:szCs w:val="22"/>
          <w:lang w:val="en-AU"/>
        </w:rPr>
        <w:t xml:space="preserve">Interviewees, and document review, reported that </w:t>
      </w:r>
      <w:r w:rsidR="00B44E10" w:rsidRPr="00E27200">
        <w:rPr>
          <w:rFonts w:asciiTheme="minorHAnsi" w:hAnsiTheme="minorHAnsi" w:cs="Arial"/>
          <w:color w:val="000000"/>
          <w:szCs w:val="19"/>
          <w:lang w:val="en-AU"/>
        </w:rPr>
        <w:t>b</w:t>
      </w:r>
      <w:r w:rsidRPr="00E27200">
        <w:rPr>
          <w:rFonts w:asciiTheme="minorHAnsi" w:hAnsiTheme="minorHAnsi" w:cs="Arial"/>
          <w:color w:val="000000"/>
          <w:szCs w:val="19"/>
          <w:lang w:val="en-AU"/>
        </w:rPr>
        <w:t xml:space="preserve">oth the NDOH evaluation team and the CSTB tender evaluation team are reported to lack broader participation that is common in other settings, such as academics, health professionals, senior staff from other Government </w:t>
      </w:r>
      <w:r w:rsidRPr="00E27200">
        <w:rPr>
          <w:rFonts w:asciiTheme="minorHAnsi" w:hAnsiTheme="minorHAnsi" w:cs="Arial"/>
          <w:color w:val="000000"/>
          <w:szCs w:val="19"/>
          <w:lang w:val="en-AU"/>
        </w:rPr>
        <w:lastRenderedPageBreak/>
        <w:t>departments and others holding relevant positions in the public and private sectors.  A number of written and verbal reports suggested current str</w:t>
      </w:r>
      <w:r w:rsidR="00C61D70" w:rsidRPr="00E27200">
        <w:rPr>
          <w:rFonts w:asciiTheme="minorHAnsi" w:hAnsiTheme="minorHAnsi" w:cs="Arial"/>
          <w:color w:val="000000"/>
          <w:szCs w:val="19"/>
          <w:lang w:val="en-AU"/>
        </w:rPr>
        <w:t xml:space="preserve">uctures favour local suppliers </w:t>
      </w:r>
      <w:r w:rsidRPr="00E27200">
        <w:rPr>
          <w:rFonts w:asciiTheme="minorHAnsi" w:hAnsiTheme="minorHAnsi" w:cs="Arial"/>
          <w:color w:val="000000"/>
          <w:szCs w:val="19"/>
          <w:lang w:val="en-AU"/>
        </w:rPr>
        <w:t>without ensuring appropriate guarantees on value for money, quality or appropriateness of supply.</w:t>
      </w:r>
    </w:p>
    <w:p w14:paraId="1E3AF5F6" w14:textId="77777777" w:rsidR="002D3800" w:rsidRPr="00E27200" w:rsidRDefault="002D3800"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19"/>
          <w:lang w:val="en-AU"/>
        </w:rPr>
      </w:pPr>
    </w:p>
    <w:p w14:paraId="027AD22C" w14:textId="0C3647EB" w:rsidR="006575F2" w:rsidRDefault="006D0FD5" w:rsidP="00657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19"/>
          <w:lang w:val="en-AU"/>
        </w:rPr>
        <w:t>Such developments</w:t>
      </w:r>
      <w:r w:rsidR="00634209" w:rsidRPr="00E27200">
        <w:rPr>
          <w:rFonts w:asciiTheme="minorHAnsi" w:hAnsiTheme="minorHAnsi" w:cs="Arial"/>
          <w:color w:val="000000"/>
          <w:szCs w:val="19"/>
          <w:lang w:val="en-AU"/>
        </w:rPr>
        <w:t xml:space="preserve"> and potential gains</w:t>
      </w:r>
      <w:r w:rsidRPr="00E27200">
        <w:rPr>
          <w:rFonts w:asciiTheme="minorHAnsi" w:hAnsiTheme="minorHAnsi" w:cs="Arial"/>
          <w:color w:val="000000"/>
          <w:szCs w:val="19"/>
          <w:lang w:val="en-AU"/>
        </w:rPr>
        <w:t>, at the time of the evaluation, remain hypothetical, and the actual implementation of these changes is yet to be seen.</w:t>
      </w:r>
      <w:r w:rsidR="00634209" w:rsidRPr="00E27200">
        <w:rPr>
          <w:rFonts w:asciiTheme="minorHAnsi" w:hAnsiTheme="minorHAnsi" w:cs="Arial"/>
          <w:color w:val="000000"/>
          <w:szCs w:val="19"/>
          <w:lang w:val="en-AU"/>
        </w:rPr>
        <w:t xml:space="preserve"> </w:t>
      </w:r>
      <w:r w:rsidR="00917981" w:rsidRPr="00E27200">
        <w:rPr>
          <w:rFonts w:asciiTheme="minorHAnsi" w:hAnsiTheme="minorHAnsi" w:cs="Arial"/>
          <w:color w:val="000000"/>
          <w:szCs w:val="22"/>
          <w:lang w:val="en-AU"/>
        </w:rPr>
        <w:t>An updated draft National Medicines Policy, July 2013</w:t>
      </w:r>
      <w:r w:rsidR="006D4F4F" w:rsidRPr="00E27200">
        <w:rPr>
          <w:rFonts w:asciiTheme="minorHAnsi" w:hAnsiTheme="minorHAnsi" w:cs="Arial"/>
          <w:color w:val="000000"/>
          <w:szCs w:val="22"/>
          <w:lang w:val="en-AU"/>
        </w:rPr>
        <w:fldChar w:fldCharType="begin"/>
      </w:r>
      <w:r w:rsidR="0005002A" w:rsidRPr="00E27200">
        <w:rPr>
          <w:rFonts w:asciiTheme="minorHAnsi" w:hAnsiTheme="minorHAnsi" w:cs="Arial"/>
          <w:color w:val="000000"/>
          <w:szCs w:val="22"/>
          <w:lang w:val="en-AU"/>
        </w:rPr>
        <w:instrText xml:space="preserve"> ADDIN EN.CITE &lt;EndNote&gt;&lt;Cite&gt;&lt;Author&gt;National Department of Health Papua New Guinea&lt;/Author&gt;&lt;Year&gt;2013&lt;/Year&gt;&lt;RecNum&gt;54&lt;/RecNum&gt;&lt;DisplayText&gt;[4]&lt;/DisplayText&gt;&lt;record&gt;&lt;rec-number&gt;54&lt;/rec-number&gt;&lt;foreign-keys&gt;&lt;key app="EN" db-id="ex5s0vddkzxdfhese5yvf5vke2ree5azrt5t"&gt;54&lt;/key&gt;&lt;/foreign-keys&gt;&lt;ref-type name="Report"&gt;27&lt;/ref-type&gt;&lt;contributors&gt;&lt;authors&gt;&lt;author&gt;National Department of Health Papua New Guinea, &lt;/author&gt;&lt;/authors&gt;&lt;tertiary-authors&gt;&lt;author&gt;Papua New Guinea: Papua New Guinea Government.&lt;/author&gt;&lt;/tertiary-authors&gt;&lt;/contributors&gt;&lt;titles&gt;&lt;title&gt;The National Medicines Policy&lt;/title&gt;&lt;/titles&gt;&lt;volume&gt;Draft of 15 July 2013&lt;/volume&gt;&lt;dates&gt;&lt;year&gt;2013&lt;/year&gt;&lt;/dates&gt;&lt;urls&gt;&lt;/urls&gt;&lt;/record&gt;&lt;/Cite&gt;&lt;/EndNote&gt;</w:instrText>
      </w:r>
      <w:r w:rsidR="006D4F4F" w:rsidRPr="00E27200">
        <w:rPr>
          <w:rFonts w:asciiTheme="minorHAnsi" w:hAnsiTheme="minorHAnsi" w:cs="Arial"/>
          <w:color w:val="000000"/>
          <w:szCs w:val="22"/>
          <w:lang w:val="en-AU"/>
        </w:rPr>
        <w:fldChar w:fldCharType="separate"/>
      </w:r>
      <w:r w:rsidR="0005002A" w:rsidRPr="00E27200">
        <w:rPr>
          <w:rFonts w:asciiTheme="minorHAnsi" w:hAnsiTheme="minorHAnsi" w:cs="Arial"/>
          <w:noProof/>
          <w:color w:val="000000"/>
          <w:szCs w:val="22"/>
          <w:lang w:val="en-AU"/>
        </w:rPr>
        <w:t>[</w:t>
      </w:r>
      <w:hyperlink w:anchor="_ENREF_4" w:tooltip="National Department of Health Papua New Guinea, 2013 #54" w:history="1">
        <w:r w:rsidR="00E62392" w:rsidRPr="00E27200">
          <w:rPr>
            <w:rFonts w:asciiTheme="minorHAnsi" w:hAnsiTheme="minorHAnsi" w:cs="Arial"/>
            <w:noProof/>
            <w:color w:val="000000"/>
            <w:szCs w:val="22"/>
            <w:lang w:val="en-AU"/>
          </w:rPr>
          <w:t>4</w:t>
        </w:r>
      </w:hyperlink>
      <w:r w:rsidR="0005002A" w:rsidRPr="00E27200">
        <w:rPr>
          <w:rFonts w:asciiTheme="minorHAnsi" w:hAnsiTheme="minorHAnsi" w:cs="Arial"/>
          <w:noProof/>
          <w:color w:val="000000"/>
          <w:szCs w:val="22"/>
          <w:lang w:val="en-AU"/>
        </w:rPr>
        <w:t>]</w:t>
      </w:r>
      <w:r w:rsidR="006D4F4F" w:rsidRPr="00E27200">
        <w:rPr>
          <w:rFonts w:asciiTheme="minorHAnsi" w:hAnsiTheme="minorHAnsi" w:cs="Arial"/>
          <w:color w:val="000000"/>
          <w:szCs w:val="22"/>
          <w:lang w:val="en-AU"/>
        </w:rPr>
        <w:fldChar w:fldCharType="end"/>
      </w:r>
      <w:r w:rsidR="00917981" w:rsidRPr="00E27200">
        <w:rPr>
          <w:rFonts w:asciiTheme="minorHAnsi" w:hAnsiTheme="minorHAnsi" w:cs="Arial"/>
          <w:color w:val="000000"/>
          <w:szCs w:val="22"/>
          <w:lang w:val="en-AU"/>
        </w:rPr>
        <w:t xml:space="preserve">, did become available at the end of this evaluation period, which describes helpful intended developments, however it lacks a detailed implementation plan to support the medical supplies reform planning mentioned above. </w:t>
      </w:r>
    </w:p>
    <w:p w14:paraId="1BB5E1CD" w14:textId="77777777" w:rsidR="006575F2" w:rsidRDefault="006575F2" w:rsidP="00657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56FA9524" w14:textId="49FFDA09" w:rsidR="002D3800" w:rsidRPr="00E27200" w:rsidRDefault="00917981" w:rsidP="00657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Importantly, </w:t>
      </w:r>
      <w:r w:rsidR="006575F2">
        <w:rPr>
          <w:rFonts w:asciiTheme="minorHAnsi" w:hAnsiTheme="minorHAnsi" w:cs="Arial"/>
          <w:color w:val="000000"/>
          <w:szCs w:val="19"/>
          <w:lang w:val="en-AU"/>
        </w:rPr>
        <w:t>it</w:t>
      </w:r>
      <w:r w:rsidR="006575F2" w:rsidRPr="00E27200">
        <w:rPr>
          <w:rFonts w:asciiTheme="minorHAnsi" w:hAnsiTheme="minorHAnsi" w:cs="Arial"/>
          <w:color w:val="000000"/>
          <w:szCs w:val="19"/>
          <w:lang w:val="en-AU"/>
        </w:rPr>
        <w:t xml:space="preserve"> </w:t>
      </w:r>
      <w:r w:rsidRPr="00E27200">
        <w:rPr>
          <w:rFonts w:asciiTheme="minorHAnsi" w:hAnsiTheme="minorHAnsi" w:cs="Arial"/>
          <w:color w:val="000000"/>
          <w:szCs w:val="19"/>
          <w:lang w:val="en-AU"/>
        </w:rPr>
        <w:t>seems a</w:t>
      </w:r>
      <w:r w:rsidR="00634209" w:rsidRPr="00E27200">
        <w:rPr>
          <w:rFonts w:asciiTheme="minorHAnsi" w:hAnsiTheme="minorHAnsi" w:cs="Arial"/>
          <w:color w:val="000000"/>
          <w:szCs w:val="19"/>
          <w:lang w:val="en-AU"/>
        </w:rPr>
        <w:t>t present</w:t>
      </w:r>
      <w:r w:rsidR="00AB32D4">
        <w:rPr>
          <w:rFonts w:asciiTheme="minorHAnsi" w:hAnsiTheme="minorHAnsi" w:cs="Arial"/>
          <w:color w:val="000000"/>
          <w:szCs w:val="19"/>
          <w:lang w:val="en-AU"/>
        </w:rPr>
        <w:t xml:space="preserve"> that despite a large number of procurement process assessments</w:t>
      </w:r>
      <w:r w:rsidR="006575F2">
        <w:rPr>
          <w:rFonts w:asciiTheme="minorHAnsi" w:hAnsiTheme="minorHAnsi" w:cs="Arial"/>
          <w:color w:val="000000"/>
          <w:szCs w:val="19"/>
          <w:lang w:val="en-AU"/>
        </w:rPr>
        <w:t xml:space="preserve"> over the past decade</w:t>
      </w:r>
      <w:r w:rsidR="00AB32D4">
        <w:rPr>
          <w:rFonts w:asciiTheme="minorHAnsi" w:hAnsiTheme="minorHAnsi" w:cs="Arial"/>
          <w:color w:val="000000"/>
          <w:szCs w:val="19"/>
          <w:lang w:val="en-AU"/>
        </w:rPr>
        <w:t xml:space="preserve">, including </w:t>
      </w:r>
      <w:r w:rsidR="005A7955">
        <w:rPr>
          <w:rFonts w:asciiTheme="minorHAnsi" w:hAnsiTheme="minorHAnsi" w:cs="Arial"/>
          <w:color w:val="000000"/>
          <w:szCs w:val="19"/>
          <w:lang w:val="en-AU"/>
        </w:rPr>
        <w:t xml:space="preserve">of </w:t>
      </w:r>
      <w:r w:rsidR="00AB32D4">
        <w:rPr>
          <w:rFonts w:asciiTheme="minorHAnsi" w:hAnsiTheme="minorHAnsi" w:cs="Arial"/>
          <w:color w:val="000000"/>
          <w:szCs w:val="19"/>
          <w:lang w:val="en-AU"/>
        </w:rPr>
        <w:t xml:space="preserve">the CSTB and individual sectors, </w:t>
      </w:r>
      <w:r w:rsidR="00AB32D4" w:rsidRPr="00AB32D4">
        <w:rPr>
          <w:rFonts w:asciiTheme="minorHAnsi" w:hAnsiTheme="minorHAnsi" w:cs="Arial"/>
          <w:color w:val="000000"/>
          <w:szCs w:val="19"/>
          <w:lang w:val="en-AU"/>
        </w:rPr>
        <w:t xml:space="preserve">there is still no </w:t>
      </w:r>
      <w:r w:rsidR="00AB32D4">
        <w:rPr>
          <w:rFonts w:asciiTheme="minorHAnsi" w:hAnsiTheme="minorHAnsi" w:cs="Arial"/>
          <w:color w:val="000000"/>
          <w:szCs w:val="19"/>
          <w:lang w:val="en-AU"/>
        </w:rPr>
        <w:t xml:space="preserve">consistent </w:t>
      </w:r>
      <w:r w:rsidR="00AB32D4" w:rsidRPr="00AB32D4">
        <w:rPr>
          <w:rFonts w:asciiTheme="minorHAnsi" w:hAnsiTheme="minorHAnsi" w:cs="Arial"/>
          <w:color w:val="000000"/>
          <w:szCs w:val="19"/>
          <w:lang w:val="en-AU"/>
        </w:rPr>
        <w:t xml:space="preserve">whole-of-government commitment to implement </w:t>
      </w:r>
      <w:r w:rsidR="006575F2">
        <w:rPr>
          <w:rFonts w:asciiTheme="minorHAnsi" w:hAnsiTheme="minorHAnsi" w:cs="Arial"/>
          <w:color w:val="000000"/>
          <w:szCs w:val="19"/>
          <w:lang w:val="en-AU"/>
        </w:rPr>
        <w:t xml:space="preserve">agreed </w:t>
      </w:r>
      <w:r w:rsidR="00AB32D4" w:rsidRPr="00AB32D4">
        <w:rPr>
          <w:rFonts w:asciiTheme="minorHAnsi" w:hAnsiTheme="minorHAnsi" w:cs="Arial"/>
          <w:color w:val="000000"/>
          <w:szCs w:val="19"/>
          <w:lang w:val="en-AU"/>
        </w:rPr>
        <w:t xml:space="preserve">reforms </w:t>
      </w:r>
      <w:r w:rsidR="00AB32D4">
        <w:rPr>
          <w:rFonts w:asciiTheme="minorHAnsi" w:hAnsiTheme="minorHAnsi" w:cs="Arial"/>
          <w:color w:val="000000"/>
          <w:szCs w:val="19"/>
          <w:lang w:val="en-AU"/>
        </w:rPr>
        <w:t>for</w:t>
      </w:r>
      <w:r w:rsidR="00AB32D4" w:rsidRPr="00AB32D4">
        <w:rPr>
          <w:rFonts w:asciiTheme="minorHAnsi" w:hAnsiTheme="minorHAnsi" w:cs="Arial"/>
          <w:color w:val="000000"/>
          <w:szCs w:val="19"/>
          <w:lang w:val="en-AU"/>
        </w:rPr>
        <w:t xml:space="preserve"> accountability and transparency.</w:t>
      </w:r>
    </w:p>
    <w:p w14:paraId="66385773" w14:textId="77777777" w:rsidR="002D3800" w:rsidRPr="00E27200" w:rsidRDefault="002D3800"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19"/>
          <w:lang w:val="en-AU"/>
        </w:rPr>
      </w:pPr>
    </w:p>
    <w:p w14:paraId="1A7FBAA9" w14:textId="77777777" w:rsidR="002D3800" w:rsidRPr="00E27200" w:rsidRDefault="002D3800" w:rsidP="00E16C77">
      <w:pPr>
        <w:pStyle w:val="Heading3"/>
      </w:pPr>
      <w:r w:rsidRPr="00E27200">
        <w:t>Medical Supply kit tender process</w:t>
      </w:r>
      <w:r w:rsidR="004146E9" w:rsidRPr="00E27200">
        <w:t xml:space="preserve"> in 2013</w:t>
      </w:r>
    </w:p>
    <w:p w14:paraId="31289DBE" w14:textId="277E663C" w:rsidR="002D3800" w:rsidRPr="00E27200" w:rsidRDefault="007439AA"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t xml:space="preserve">The </w:t>
      </w:r>
      <w:r w:rsidR="00DC21D4">
        <w:t xml:space="preserve">Australian </w:t>
      </w:r>
      <w:r>
        <w:t xml:space="preserve">Government </w:t>
      </w:r>
      <w:r w:rsidR="0004024E">
        <w:t xml:space="preserve">funded the procurement and distribution of 100% kits in 2012-13 as a short-term measure to address critical shortage and quality of rural health medical supplies. In mid-2013, the NDOH opened an international multi-year tender for procurement of 2014-16 medical supply kits. They will fund the procurement, with </w:t>
      </w:r>
      <w:r>
        <w:t xml:space="preserve">the </w:t>
      </w:r>
      <w:r w:rsidR="007E4313">
        <w:t xml:space="preserve">Australian </w:t>
      </w:r>
      <w:r>
        <w:t xml:space="preserve">Government </w:t>
      </w:r>
      <w:r w:rsidR="0004024E">
        <w:t>to fund the distribution of kits over 2014-2016 subject to an international competitive, transparent and fair tender process and awarding the contract to a quality-assured supplier. The conduct of this tender</w:t>
      </w:r>
      <w:r w:rsidR="001A6BB7" w:rsidRPr="00E27200">
        <w:rPr>
          <w:rFonts w:asciiTheme="minorHAnsi" w:hAnsiTheme="minorHAnsi"/>
          <w:lang w:val="en-AU"/>
        </w:rPr>
        <w:t>, preceding some of the planned changes noted above, is a significant development in tendering practice for PNG.</w:t>
      </w:r>
      <w:r w:rsidR="002D3800" w:rsidRPr="00E27200">
        <w:rPr>
          <w:rFonts w:asciiTheme="minorHAnsi" w:hAnsiTheme="minorHAnsi" w:cs="Arial"/>
          <w:color w:val="000000"/>
          <w:szCs w:val="19"/>
          <w:lang w:val="en-AU"/>
        </w:rPr>
        <w:t xml:space="preserve"> </w:t>
      </w:r>
      <w:r w:rsidR="001E7388" w:rsidRPr="00E27200">
        <w:rPr>
          <w:rFonts w:asciiTheme="minorHAnsi" w:hAnsiTheme="minorHAnsi" w:cs="Arial"/>
          <w:color w:val="000000"/>
          <w:szCs w:val="19"/>
          <w:lang w:val="en-AU"/>
        </w:rPr>
        <w:t xml:space="preserve">This </w:t>
      </w:r>
      <w:r w:rsidR="001A6BB7" w:rsidRPr="00E27200">
        <w:rPr>
          <w:rFonts w:asciiTheme="minorHAnsi" w:hAnsiTheme="minorHAnsi" w:cs="Arial"/>
          <w:color w:val="000000"/>
          <w:szCs w:val="19"/>
          <w:lang w:val="en-AU"/>
        </w:rPr>
        <w:t xml:space="preserve">tender </w:t>
      </w:r>
      <w:r w:rsidR="001A6BB7" w:rsidRPr="00E27200">
        <w:rPr>
          <w:rFonts w:asciiTheme="minorHAnsi" w:hAnsiTheme="minorHAnsi"/>
          <w:lang w:val="en-AU"/>
        </w:rPr>
        <w:t>represented</w:t>
      </w:r>
      <w:r w:rsidR="001E7388" w:rsidRPr="00E27200">
        <w:rPr>
          <w:rFonts w:asciiTheme="minorHAnsi" w:hAnsiTheme="minorHAnsi"/>
          <w:lang w:val="en-AU"/>
        </w:rPr>
        <w:t xml:space="preserve"> a new approach to international competitive tendering, with conditions specifying the need for quality-assurance standards to be met by tenderers. </w:t>
      </w:r>
      <w:r w:rsidR="00DF2E69" w:rsidRPr="00483466">
        <w:rPr>
          <w:rFonts w:asciiTheme="minorHAnsi" w:hAnsiTheme="minorHAnsi" w:cs="Arial"/>
          <w:color w:val="000000"/>
          <w:szCs w:val="19"/>
          <w:lang w:val="en-AU"/>
        </w:rPr>
        <w:t>Some extensions</w:t>
      </w:r>
      <w:r w:rsidR="001A6BB7" w:rsidRPr="00483466">
        <w:rPr>
          <w:rFonts w:asciiTheme="minorHAnsi" w:hAnsiTheme="minorHAnsi" w:cs="Arial"/>
          <w:color w:val="000000"/>
          <w:szCs w:val="19"/>
          <w:lang w:val="en-AU"/>
        </w:rPr>
        <w:t xml:space="preserve"> of time</w:t>
      </w:r>
      <w:r w:rsidR="00DF2E69" w:rsidRPr="00483466">
        <w:rPr>
          <w:rFonts w:asciiTheme="minorHAnsi" w:hAnsiTheme="minorHAnsi" w:cs="Arial"/>
          <w:color w:val="000000"/>
          <w:szCs w:val="19"/>
          <w:lang w:val="en-AU"/>
        </w:rPr>
        <w:t xml:space="preserve"> and changes to conditions were observed during the tender process, </w:t>
      </w:r>
      <w:r w:rsidR="00483466" w:rsidRPr="00483466">
        <w:rPr>
          <w:rFonts w:asciiTheme="minorHAnsi" w:hAnsiTheme="minorHAnsi" w:cs="Arial"/>
          <w:color w:val="000000"/>
          <w:szCs w:val="19"/>
          <w:lang w:val="en-AU"/>
        </w:rPr>
        <w:t>including</w:t>
      </w:r>
      <w:r w:rsidR="00DF2E69" w:rsidRPr="00483466">
        <w:rPr>
          <w:rFonts w:asciiTheme="minorHAnsi" w:hAnsiTheme="minorHAnsi" w:cs="Arial"/>
          <w:color w:val="000000"/>
          <w:szCs w:val="19"/>
          <w:lang w:val="en-AU"/>
        </w:rPr>
        <w:t xml:space="preserve"> the waiving of quality certification requirements.</w:t>
      </w:r>
      <w:r w:rsidR="00DF2E69" w:rsidRPr="00E27200">
        <w:rPr>
          <w:rFonts w:asciiTheme="minorHAnsi" w:hAnsiTheme="minorHAnsi" w:cs="Arial"/>
          <w:color w:val="000000"/>
          <w:szCs w:val="19"/>
          <w:lang w:val="en-AU"/>
        </w:rPr>
        <w:t xml:space="preserve"> Bids were opened in late </w:t>
      </w:r>
      <w:r w:rsidR="002D3800" w:rsidRPr="00E27200">
        <w:rPr>
          <w:rFonts w:asciiTheme="minorHAnsi" w:hAnsiTheme="minorHAnsi" w:cs="Arial"/>
          <w:color w:val="000000"/>
          <w:szCs w:val="19"/>
          <w:lang w:val="en-AU"/>
        </w:rPr>
        <w:t>June</w:t>
      </w:r>
      <w:r w:rsidR="00DF2E69" w:rsidRPr="00E27200">
        <w:rPr>
          <w:rFonts w:asciiTheme="minorHAnsi" w:hAnsiTheme="minorHAnsi" w:cs="Arial"/>
          <w:color w:val="000000"/>
          <w:szCs w:val="19"/>
          <w:lang w:val="en-AU"/>
        </w:rPr>
        <w:t>, with bid prices displayed in accordance with</w:t>
      </w:r>
      <w:r w:rsidR="002D3800" w:rsidRPr="00E27200">
        <w:rPr>
          <w:rFonts w:asciiTheme="minorHAnsi" w:hAnsiTheme="minorHAnsi" w:cs="Arial"/>
          <w:color w:val="000000"/>
          <w:szCs w:val="19"/>
          <w:lang w:val="en-AU"/>
        </w:rPr>
        <w:t xml:space="preserve"> </w:t>
      </w:r>
      <w:r w:rsidR="00DF2E69" w:rsidRPr="00E27200">
        <w:rPr>
          <w:rFonts w:asciiTheme="minorHAnsi" w:hAnsiTheme="minorHAnsi" w:cs="Arial"/>
          <w:color w:val="000000"/>
          <w:szCs w:val="19"/>
          <w:lang w:val="en-AU"/>
        </w:rPr>
        <w:t xml:space="preserve">current practice, showing a wide range across </w:t>
      </w:r>
      <w:r w:rsidR="002D3800" w:rsidRPr="00E27200">
        <w:rPr>
          <w:rFonts w:asciiTheme="minorHAnsi" w:hAnsiTheme="minorHAnsi" w:cs="Arial"/>
          <w:color w:val="000000"/>
          <w:szCs w:val="19"/>
          <w:lang w:val="en-AU"/>
        </w:rPr>
        <w:t xml:space="preserve">six </w:t>
      </w:r>
      <w:r w:rsidR="00DF2E69" w:rsidRPr="00E27200">
        <w:rPr>
          <w:rFonts w:asciiTheme="minorHAnsi" w:hAnsiTheme="minorHAnsi" w:cs="Arial"/>
          <w:color w:val="000000"/>
          <w:szCs w:val="19"/>
          <w:lang w:val="en-AU"/>
        </w:rPr>
        <w:t xml:space="preserve">international and local </w:t>
      </w:r>
      <w:r w:rsidR="002D3800" w:rsidRPr="00E27200">
        <w:rPr>
          <w:rFonts w:asciiTheme="minorHAnsi" w:hAnsiTheme="minorHAnsi" w:cs="Arial"/>
          <w:color w:val="000000"/>
          <w:szCs w:val="19"/>
          <w:lang w:val="en-AU"/>
        </w:rPr>
        <w:t>suppliers</w:t>
      </w:r>
      <w:r w:rsidR="00DF2E69" w:rsidRPr="00E27200">
        <w:rPr>
          <w:rFonts w:asciiTheme="minorHAnsi" w:hAnsiTheme="minorHAnsi" w:cs="Arial"/>
          <w:color w:val="000000"/>
          <w:szCs w:val="19"/>
          <w:lang w:val="en-AU"/>
        </w:rPr>
        <w:t xml:space="preserve">, with some at the lower range coming from quality-assured suppliers. </w:t>
      </w:r>
      <w:r w:rsidR="002D3800" w:rsidRPr="00E27200">
        <w:rPr>
          <w:rFonts w:asciiTheme="minorHAnsi" w:hAnsiTheme="minorHAnsi" w:cs="Arial"/>
          <w:color w:val="000000"/>
          <w:szCs w:val="19"/>
          <w:lang w:val="en-AU"/>
        </w:rPr>
        <w:t>As at end of July (completion of this evaluation data collection) the p</w:t>
      </w:r>
      <w:r w:rsidR="00191B91" w:rsidRPr="00E27200">
        <w:rPr>
          <w:rFonts w:asciiTheme="minorHAnsi" w:hAnsiTheme="minorHAnsi" w:cs="Arial"/>
          <w:color w:val="000000"/>
          <w:szCs w:val="19"/>
          <w:lang w:val="en-AU"/>
        </w:rPr>
        <w:t>rocess has not been finalized</w:t>
      </w:r>
      <w:r w:rsidR="001A6BB7" w:rsidRPr="00E27200">
        <w:rPr>
          <w:rFonts w:asciiTheme="minorHAnsi" w:hAnsiTheme="minorHAnsi" w:cs="Arial"/>
          <w:color w:val="000000"/>
          <w:szCs w:val="19"/>
          <w:lang w:val="en-AU"/>
        </w:rPr>
        <w:t xml:space="preserve">, however the outcome will help define viable routes for future development and should be included in future </w:t>
      </w:r>
      <w:r w:rsidR="00E76E71" w:rsidRPr="00E27200">
        <w:rPr>
          <w:rFonts w:asciiTheme="minorHAnsi" w:hAnsiTheme="minorHAnsi" w:cs="Arial"/>
          <w:color w:val="000000"/>
          <w:szCs w:val="19"/>
          <w:lang w:val="en-AU"/>
        </w:rPr>
        <w:t>evaluations.</w:t>
      </w:r>
    </w:p>
    <w:p w14:paraId="7E384C46" w14:textId="77777777" w:rsidR="002D3800" w:rsidRPr="00E27200" w:rsidRDefault="002D3800"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19"/>
          <w:lang w:val="en-AU"/>
        </w:rPr>
      </w:pPr>
    </w:p>
    <w:p w14:paraId="50D319DB" w14:textId="00E1C7BB" w:rsidR="002D3800" w:rsidRPr="00E27200" w:rsidRDefault="00191B91"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This experience demonstrates the difficulties any new procurement governance in PNG will need to address, especially if principles of support to local agencies and quality assurance remain in direct conflict. </w:t>
      </w:r>
      <w:r w:rsidR="005C27E0" w:rsidRPr="00E27200">
        <w:rPr>
          <w:rFonts w:asciiTheme="minorHAnsi" w:hAnsiTheme="minorHAnsi" w:cs="Arial"/>
          <w:color w:val="000000"/>
          <w:szCs w:val="19"/>
          <w:lang w:val="en-AU"/>
        </w:rPr>
        <w:t>One avenue to support q</w:t>
      </w:r>
      <w:r w:rsidR="002D3800" w:rsidRPr="00E27200">
        <w:rPr>
          <w:rFonts w:asciiTheme="minorHAnsi" w:hAnsiTheme="minorHAnsi" w:cs="Arial"/>
          <w:color w:val="000000"/>
          <w:szCs w:val="19"/>
          <w:lang w:val="en-AU"/>
        </w:rPr>
        <w:t xml:space="preserve">uality principles </w:t>
      </w:r>
      <w:r w:rsidR="005C27E0" w:rsidRPr="00E27200">
        <w:rPr>
          <w:rFonts w:asciiTheme="minorHAnsi" w:hAnsiTheme="minorHAnsi" w:cs="Arial"/>
          <w:color w:val="000000"/>
          <w:szCs w:val="19"/>
          <w:lang w:val="en-AU"/>
        </w:rPr>
        <w:t xml:space="preserve">may be through broader participation in tender </w:t>
      </w:r>
      <w:r w:rsidR="002D3800" w:rsidRPr="00E27200">
        <w:rPr>
          <w:rFonts w:asciiTheme="minorHAnsi" w:hAnsiTheme="minorHAnsi" w:cs="Arial"/>
          <w:color w:val="000000"/>
          <w:szCs w:val="19"/>
          <w:lang w:val="en-AU"/>
        </w:rPr>
        <w:t>evaluation</w:t>
      </w:r>
      <w:r w:rsidR="005C27E0" w:rsidRPr="00E27200">
        <w:rPr>
          <w:rFonts w:asciiTheme="minorHAnsi" w:hAnsiTheme="minorHAnsi" w:cs="Arial"/>
          <w:color w:val="000000"/>
          <w:szCs w:val="19"/>
          <w:lang w:val="en-AU"/>
        </w:rPr>
        <w:t xml:space="preserve">s, as discussed above. Closer collaboration </w:t>
      </w:r>
      <w:r w:rsidR="001A6BB7" w:rsidRPr="00E27200">
        <w:rPr>
          <w:rFonts w:asciiTheme="minorHAnsi" w:hAnsiTheme="minorHAnsi" w:cs="Arial"/>
          <w:color w:val="000000"/>
          <w:szCs w:val="19"/>
          <w:lang w:val="en-AU"/>
        </w:rPr>
        <w:t xml:space="preserve">with CSTB at earlier stages </w:t>
      </w:r>
      <w:r w:rsidR="005C27E0" w:rsidRPr="00E27200">
        <w:rPr>
          <w:rFonts w:asciiTheme="minorHAnsi" w:hAnsiTheme="minorHAnsi" w:cs="Arial"/>
          <w:color w:val="000000"/>
          <w:szCs w:val="19"/>
          <w:lang w:val="en-AU"/>
        </w:rPr>
        <w:t xml:space="preserve">in tender evaluation </w:t>
      </w:r>
      <w:r w:rsidR="001A6BB7" w:rsidRPr="00E27200">
        <w:rPr>
          <w:rFonts w:asciiTheme="minorHAnsi" w:hAnsiTheme="minorHAnsi" w:cs="Arial"/>
          <w:color w:val="000000"/>
          <w:szCs w:val="19"/>
          <w:lang w:val="en-AU"/>
        </w:rPr>
        <w:t>may also support more streamlined and effective assessments</w:t>
      </w:r>
      <w:r w:rsidR="00B87F78">
        <w:rPr>
          <w:rFonts w:asciiTheme="minorHAnsi" w:hAnsiTheme="minorHAnsi" w:cs="Arial"/>
          <w:color w:val="000000"/>
          <w:szCs w:val="19"/>
          <w:lang w:val="en-AU"/>
        </w:rPr>
        <w:t>. However, a larger issue reported by a number of informants, is the degree to which political or other considerations mean central procurement authorities, such as CSTB, take a position that conflicts with health sector recommendations. Progress on this seems to rest on the need for whole-of-government commitment to procurement reforms, as noted above.</w:t>
      </w:r>
    </w:p>
    <w:p w14:paraId="4D93CD49" w14:textId="77777777" w:rsidR="002D3800" w:rsidRPr="00E27200" w:rsidRDefault="002D3800"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19"/>
          <w:lang w:val="en-AU"/>
        </w:rPr>
      </w:pPr>
    </w:p>
    <w:p w14:paraId="3A37447C" w14:textId="77777777" w:rsidR="00866D9A" w:rsidRPr="00E27200" w:rsidRDefault="00866D9A" w:rsidP="00E16C77">
      <w:pPr>
        <w:pStyle w:val="Heading2"/>
      </w:pPr>
      <w:bookmarkStart w:id="92" w:name="_Toc245810748"/>
      <w:r w:rsidRPr="00E27200">
        <w:t>Quality control and regulation</w:t>
      </w:r>
      <w:bookmarkEnd w:id="92"/>
    </w:p>
    <w:p w14:paraId="754B1027" w14:textId="3F0E85CB" w:rsidR="00866D9A" w:rsidRPr="00E27200" w:rsidRDefault="00866D9A" w:rsidP="00E16C77">
      <w:pPr>
        <w:ind w:left="432"/>
        <w:rPr>
          <w:i/>
          <w:lang w:val="en-AU"/>
        </w:rPr>
      </w:pPr>
      <w:r w:rsidRPr="00E27200">
        <w:rPr>
          <w:b/>
          <w:i/>
          <w:lang w:val="en-AU"/>
        </w:rPr>
        <w:t xml:space="preserve">Key finding: </w:t>
      </w:r>
      <w:r w:rsidRPr="00E27200">
        <w:rPr>
          <w:i/>
          <w:lang w:val="en-AU"/>
        </w:rPr>
        <w:t>Standard Treatment Guidelines are generally up-to-date, relevant and available, however the recently revised national</w:t>
      </w:r>
      <w:r w:rsidR="005E326F">
        <w:rPr>
          <w:i/>
          <w:lang w:val="en-AU"/>
        </w:rPr>
        <w:t xml:space="preserve"> essential</w:t>
      </w:r>
      <w:r w:rsidRPr="00E27200">
        <w:rPr>
          <w:i/>
          <w:lang w:val="en-AU"/>
        </w:rPr>
        <w:t xml:space="preserve"> medicines catalogue</w:t>
      </w:r>
      <w:r w:rsidR="005E326F">
        <w:rPr>
          <w:i/>
          <w:lang w:val="en-AU"/>
        </w:rPr>
        <w:t>/list</w:t>
      </w:r>
      <w:r w:rsidRPr="00E27200">
        <w:rPr>
          <w:i/>
          <w:lang w:val="en-AU"/>
        </w:rPr>
        <w:t xml:space="preserve"> remains large and complex, and attempts to prioritise vital and essential medicines within it are not yet operational. In-country quality testing is not yet functional, despite recent investment. </w:t>
      </w:r>
      <w:r w:rsidR="009A4A70" w:rsidRPr="009A4A70">
        <w:rPr>
          <w:i/>
          <w:lang w:val="en-AU"/>
        </w:rPr>
        <w:t xml:space="preserve">There is some evidence of poor quality medicines distributed through the ‘pull’ system, for example discoloration or crumbling (which may result from poor handling in supply chains as much as poor quality at manufacture). However fewer concerns were seen in the 100% kits, whose contents were perceived as higher quality by health workers and community members. There </w:t>
      </w:r>
      <w:r w:rsidR="009A4A70" w:rsidRPr="009A4A70">
        <w:rPr>
          <w:i/>
          <w:lang w:val="en-AU"/>
        </w:rPr>
        <w:lastRenderedPageBreak/>
        <w:t>was some recognition of the fact that 100% kit medicines are procured from a quality-assured supplier, whose spot-checking and other quality assurance mechanisms were verified in this evaluation.</w:t>
      </w:r>
    </w:p>
    <w:p w14:paraId="5BB79077" w14:textId="77777777" w:rsidR="00866D9A" w:rsidRPr="00E27200" w:rsidRDefault="00866D9A" w:rsidP="00E16C77">
      <w:pPr>
        <w:rPr>
          <w:lang w:val="en-AU"/>
        </w:rPr>
      </w:pPr>
    </w:p>
    <w:p w14:paraId="2C2E1F71" w14:textId="77777777" w:rsidR="00DF57FC" w:rsidRPr="00E27200" w:rsidRDefault="00DF57FC" w:rsidP="00E16C77">
      <w:pPr>
        <w:pStyle w:val="Heading3"/>
      </w:pPr>
      <w:r w:rsidRPr="00E27200">
        <w:t>Standard Treatment Guidelines and Essential Medicines designations</w:t>
      </w:r>
    </w:p>
    <w:p w14:paraId="0078EF59" w14:textId="75FDB9E6" w:rsidR="00866D9A" w:rsidRPr="00E27200" w:rsidRDefault="00866D9A" w:rsidP="00E16C77">
      <w:pPr>
        <w:rPr>
          <w:lang w:val="en-AU"/>
        </w:rPr>
      </w:pPr>
      <w:r w:rsidRPr="00E27200">
        <w:rPr>
          <w:lang w:val="en-AU"/>
        </w:rPr>
        <w:t>Standard Treatment Guidelines (STG) in key areas of adult, child and reproductive health are updated by specialist professional societies, sometimes with external assistance, on a regular basis.  The most recent significant change to national treatment policy, for malaria, was well-distributed across health facilities and well-recognised by health staff (described further under rational use of medicines below). Most facilities (85%) had a copy of the Adult STG</w:t>
      </w:r>
      <w:r w:rsidR="001F1115" w:rsidRPr="00E27200">
        <w:rPr>
          <w:lang w:val="en-AU"/>
        </w:rPr>
        <w:t>, although only 43% had the latest 2012 edition</w:t>
      </w:r>
      <w:r w:rsidR="00495F37" w:rsidRPr="00E27200">
        <w:rPr>
          <w:lang w:val="en-AU"/>
        </w:rPr>
        <w:t>,</w:t>
      </w:r>
      <w:r w:rsidR="001F1115" w:rsidRPr="00E27200">
        <w:rPr>
          <w:lang w:val="en-AU"/>
        </w:rPr>
        <w:t xml:space="preserve"> </w:t>
      </w:r>
      <w:r w:rsidRPr="00E27200">
        <w:rPr>
          <w:lang w:val="en-AU"/>
        </w:rPr>
        <w:t xml:space="preserve">and overall 58% of facilities had copies of </w:t>
      </w:r>
      <w:r w:rsidRPr="00E27200">
        <w:rPr>
          <w:i/>
          <w:lang w:val="en-AU"/>
        </w:rPr>
        <w:t>all</w:t>
      </w:r>
      <w:r w:rsidRPr="00E27200">
        <w:rPr>
          <w:lang w:val="en-AU"/>
        </w:rPr>
        <w:t xml:space="preserve"> the surveyed STGs and essential medicines list of which 58% were the latest editions. Availability </w:t>
      </w:r>
      <w:r w:rsidR="00495F37" w:rsidRPr="00E27200">
        <w:rPr>
          <w:lang w:val="en-AU"/>
        </w:rPr>
        <w:t xml:space="preserve">of STGs </w:t>
      </w:r>
      <w:r w:rsidRPr="00E27200">
        <w:rPr>
          <w:lang w:val="en-AU"/>
        </w:rPr>
        <w:t>was comparable to regional norms</w:t>
      </w:r>
      <w:r w:rsidR="006D4F4F" w:rsidRPr="00E27200">
        <w:rPr>
          <w:lang w:val="en-AU"/>
        </w:rPr>
        <w:fldChar w:fldCharType="begin"/>
      </w:r>
      <w:r w:rsidRPr="00E27200">
        <w:rPr>
          <w:lang w:val="en-AU"/>
        </w:rPr>
        <w:instrText xml:space="preserve"> ADDIN EN.CITE &lt;EndNote&gt;&lt;Cite&gt;&lt;Author&gt;World Health Organization&lt;/Author&gt;&lt;Year&gt;2011&lt;/Year&gt;&lt;RecNum&gt;56&lt;/RecNum&gt;&lt;DisplayText&gt;[5]&lt;/DisplayText&gt;&lt;record&gt;&lt;rec-number&gt;56&lt;/rec-number&gt;&lt;foreign-keys&gt;&lt;key app="EN" db-id="ex5s0vddkzxdfhese5yvf5vke2ree5azrt5t"&gt;56&lt;/key&gt;&lt;/foreign-keys&gt;&lt;ref-type name="Report"&gt;27&lt;/ref-type&gt;&lt;contributors&gt;&lt;authors&gt;&lt;author&gt;World Health Organization,&lt;/author&gt;&lt;/authors&gt;&lt;/contributors&gt;&lt;titles&gt;&lt;title&gt;Synthesis Report of Pharmaceutical Country Profiles 2011 (DRAFT)&lt;/title&gt;&lt;/titles&gt;&lt;dates&gt;&lt;year&gt;2011&lt;/year&gt;&lt;/dates&gt;&lt;pub-location&gt;Manila&lt;/pub-location&gt;&lt;publisher&gt;Western Pacific Regional Office of WHO&lt;/publisher&gt;&lt;urls&gt;&lt;/urls&gt;&lt;/record&gt;&lt;/Cite&gt;&lt;/EndNote&gt;</w:instrText>
      </w:r>
      <w:r w:rsidR="006D4F4F" w:rsidRPr="00E27200">
        <w:rPr>
          <w:lang w:val="en-AU"/>
        </w:rPr>
        <w:fldChar w:fldCharType="separate"/>
      </w:r>
      <w:r w:rsidRPr="00E27200">
        <w:rPr>
          <w:noProof/>
          <w:lang w:val="en-AU"/>
        </w:rPr>
        <w:t>[</w:t>
      </w:r>
      <w:hyperlink w:anchor="_ENREF_5" w:tooltip="World Health Organization, 2011 #56" w:history="1">
        <w:r w:rsidR="00E62392" w:rsidRPr="00E27200">
          <w:rPr>
            <w:noProof/>
            <w:lang w:val="en-AU"/>
          </w:rPr>
          <w:t>5</w:t>
        </w:r>
      </w:hyperlink>
      <w:r w:rsidRPr="00E27200">
        <w:rPr>
          <w:noProof/>
          <w:lang w:val="en-AU"/>
        </w:rPr>
        <w:t>]</w:t>
      </w:r>
      <w:r w:rsidR="006D4F4F" w:rsidRPr="00E27200">
        <w:rPr>
          <w:lang w:val="en-AU"/>
        </w:rPr>
        <w:fldChar w:fldCharType="end"/>
      </w:r>
      <w:r w:rsidRPr="00E27200">
        <w:rPr>
          <w:lang w:val="en-AU"/>
        </w:rPr>
        <w:t xml:space="preserve"> seen in WHO studies. Annex </w:t>
      </w:r>
      <w:r w:rsidR="003647DB">
        <w:rPr>
          <w:lang w:val="en-AU"/>
        </w:rPr>
        <w:t>11</w:t>
      </w:r>
      <w:r w:rsidR="00495F37" w:rsidRPr="00E27200">
        <w:rPr>
          <w:lang w:val="en-AU"/>
        </w:rPr>
        <w:t xml:space="preserve">.2 </w:t>
      </w:r>
      <w:r w:rsidRPr="00E27200">
        <w:rPr>
          <w:lang w:val="en-AU"/>
        </w:rPr>
        <w:t>contains complete data on STG availability.</w:t>
      </w:r>
    </w:p>
    <w:p w14:paraId="3A82CCC6" w14:textId="77777777" w:rsidR="00866D9A" w:rsidRPr="00E27200" w:rsidRDefault="00866D9A" w:rsidP="00E16C77">
      <w:pPr>
        <w:rPr>
          <w:lang w:val="en-AU"/>
        </w:rPr>
      </w:pPr>
    </w:p>
    <w:p w14:paraId="46F69E8C" w14:textId="7EAE63E0" w:rsidR="00866D9A" w:rsidRPr="00E27200" w:rsidRDefault="00866D9A" w:rsidP="00E16C77">
      <w:pPr>
        <w:rPr>
          <w:lang w:val="en-AU"/>
        </w:rPr>
      </w:pPr>
      <w:r w:rsidRPr="00E27200">
        <w:rPr>
          <w:lang w:val="en-AU"/>
        </w:rPr>
        <w:t xml:space="preserve">The recently updated 2012 Medical and Dental Catalogue (PNG’s equivalent of an Essential Medicines List (EML)) </w:t>
      </w:r>
      <w:r w:rsidR="002E785F" w:rsidRPr="00E27200">
        <w:rPr>
          <w:lang w:val="en-AU"/>
        </w:rPr>
        <w:t>have</w:t>
      </w:r>
      <w:r w:rsidRPr="00E27200">
        <w:rPr>
          <w:lang w:val="en-AU"/>
        </w:rPr>
        <w:t xml:space="preserve"> only been recently disseminated</w:t>
      </w:r>
      <w:r w:rsidR="00BD5E90" w:rsidRPr="00E27200">
        <w:rPr>
          <w:lang w:val="en-AU"/>
        </w:rPr>
        <w:t xml:space="preserve"> – it was available in 38% of surveyed facilities and fewer (27%) had a copy of PNG’s National Formulary. PNG’s</w:t>
      </w:r>
      <w:r w:rsidRPr="00E27200">
        <w:rPr>
          <w:lang w:val="en-AU"/>
        </w:rPr>
        <w:t xml:space="preserve"> </w:t>
      </w:r>
      <w:r w:rsidR="00BD5E90" w:rsidRPr="00E27200">
        <w:rPr>
          <w:lang w:val="en-AU"/>
        </w:rPr>
        <w:t xml:space="preserve">EML </w:t>
      </w:r>
      <w:r w:rsidRPr="00E27200">
        <w:rPr>
          <w:lang w:val="en-AU"/>
        </w:rPr>
        <w:t xml:space="preserve">contains 900 medicines and a total of 4500 items. By comparison, the WHO Model Essential Drug List (2011) has approximately 445 items, </w:t>
      </w:r>
      <w:r w:rsidR="00F15184" w:rsidRPr="00E27200">
        <w:rPr>
          <w:lang w:val="en-AU"/>
        </w:rPr>
        <w:t xml:space="preserve">and </w:t>
      </w:r>
      <w:r w:rsidRPr="00E27200">
        <w:rPr>
          <w:lang w:val="en-AU"/>
        </w:rPr>
        <w:t xml:space="preserve">the Tamil Nadu Medical Services in India, which runs a successful supply </w:t>
      </w:r>
      <w:proofErr w:type="gramStart"/>
      <w:r w:rsidRPr="00E27200">
        <w:rPr>
          <w:lang w:val="en-AU"/>
        </w:rPr>
        <w:t>chain</w:t>
      </w:r>
      <w:proofErr w:type="gramEnd"/>
      <w:r w:rsidRPr="00E27200">
        <w:rPr>
          <w:lang w:val="en-AU"/>
        </w:rPr>
        <w:t xml:space="preserve"> has around 450 items, and globally in 2007, there were a median of 397 medicines on EMLs.  The current EML seems unsustainable in r</w:t>
      </w:r>
      <w:r w:rsidR="00E56F21" w:rsidRPr="00E27200">
        <w:rPr>
          <w:lang w:val="en-AU"/>
        </w:rPr>
        <w:t xml:space="preserve">elation to procurement </w:t>
      </w:r>
      <w:r w:rsidR="00F15184" w:rsidRPr="00E27200">
        <w:rPr>
          <w:lang w:val="en-AU"/>
        </w:rPr>
        <w:t>and</w:t>
      </w:r>
      <w:r w:rsidR="00E56F21" w:rsidRPr="00E27200">
        <w:rPr>
          <w:lang w:val="en-AU"/>
        </w:rPr>
        <w:t xml:space="preserve"> storage,</w:t>
      </w:r>
      <w:r w:rsidRPr="00E27200">
        <w:rPr>
          <w:lang w:val="en-AU"/>
        </w:rPr>
        <w:t xml:space="preserve"> and its large size may work against promoting rational medicine use. Examination of the EML shows multiple strengths and formulations for the same </w:t>
      </w:r>
      <w:r w:rsidR="00BE4E38">
        <w:rPr>
          <w:lang w:val="en-AU"/>
        </w:rPr>
        <w:t>medicine</w:t>
      </w:r>
      <w:r w:rsidRPr="00E27200">
        <w:rPr>
          <w:lang w:val="en-AU"/>
        </w:rPr>
        <w:t xml:space="preserve">. The EML also shows very expensive and clinically complex items such as peritoneal dialysis fluids and cancer chemotherapeutic agents - medical supplies unlikely to be used by the majority of the population </w:t>
      </w:r>
      <w:r w:rsidR="00BE4E38">
        <w:rPr>
          <w:lang w:val="en-AU"/>
        </w:rPr>
        <w:t>and that</w:t>
      </w:r>
      <w:r w:rsidRPr="00E27200">
        <w:rPr>
          <w:lang w:val="en-AU"/>
        </w:rPr>
        <w:t xml:space="preserve"> have a high cost. A recent study by a UPNG student found peritoneal dialysis fluids represented the largest proportion of expired IV fluids among three large Area Medical Stores.  Some items in the EML have no clear specifications for easy procurement (</w:t>
      </w:r>
      <w:r w:rsidR="002E785F" w:rsidRPr="00E27200">
        <w:rPr>
          <w:lang w:val="en-AU"/>
        </w:rPr>
        <w:t>e.g.</w:t>
      </w:r>
      <w:r w:rsidR="00BD5E90" w:rsidRPr="00E27200">
        <w:rPr>
          <w:lang w:val="en-AU"/>
        </w:rPr>
        <w:t>:</w:t>
      </w:r>
      <w:r w:rsidRPr="00E27200">
        <w:rPr>
          <w:lang w:val="en-AU"/>
        </w:rPr>
        <w:t xml:space="preserve"> “Scabies/Head Lice Lotion” 1%)</w:t>
      </w:r>
      <w:r w:rsidR="00BD5E90" w:rsidRPr="00E27200">
        <w:rPr>
          <w:lang w:val="en-AU"/>
        </w:rPr>
        <w:t xml:space="preserve"> and some seem unnecessary (e</w:t>
      </w:r>
      <w:r w:rsidR="00B634FB">
        <w:rPr>
          <w:lang w:val="en-AU"/>
        </w:rPr>
        <w:t>.</w:t>
      </w:r>
      <w:r w:rsidR="00BD5E90" w:rsidRPr="00E27200">
        <w:rPr>
          <w:lang w:val="en-AU"/>
        </w:rPr>
        <w:t>g</w:t>
      </w:r>
      <w:r w:rsidR="00B634FB">
        <w:rPr>
          <w:lang w:val="en-AU"/>
        </w:rPr>
        <w:t>.</w:t>
      </w:r>
      <w:r w:rsidR="00BD5E90" w:rsidRPr="00E27200">
        <w:rPr>
          <w:lang w:val="en-AU"/>
        </w:rPr>
        <w:t>:</w:t>
      </w:r>
      <w:r w:rsidRPr="00E27200">
        <w:rPr>
          <w:lang w:val="en-AU"/>
        </w:rPr>
        <w:t xml:space="preserve"> Vitamin C 50mg tablets).  </w:t>
      </w:r>
    </w:p>
    <w:p w14:paraId="7E2D4543" w14:textId="77777777" w:rsidR="00866D9A" w:rsidRPr="00E27200" w:rsidRDefault="00866D9A" w:rsidP="00E16C77">
      <w:pPr>
        <w:rPr>
          <w:lang w:val="en-AU"/>
        </w:rPr>
      </w:pPr>
    </w:p>
    <w:p w14:paraId="29C70477" w14:textId="77777777" w:rsidR="00BD5E90" w:rsidRPr="00E27200" w:rsidRDefault="00866D9A" w:rsidP="00E16C77">
      <w:pPr>
        <w:rPr>
          <w:rFonts w:asciiTheme="minorHAnsi" w:hAnsiTheme="minorHAnsi" w:cs="Arial"/>
          <w:color w:val="000000"/>
          <w:szCs w:val="22"/>
          <w:lang w:val="en-AU"/>
        </w:rPr>
      </w:pPr>
      <w:r w:rsidRPr="00E27200">
        <w:rPr>
          <w:rFonts w:asciiTheme="minorHAnsi" w:hAnsiTheme="minorHAnsi" w:cs="Arial"/>
          <w:color w:val="000000"/>
          <w:szCs w:val="22"/>
          <w:lang w:val="en-AU"/>
        </w:rPr>
        <w:t>As part of reforms, a sub-committee of the Pharmaceutical Advisory Committee (in consultation with WHO and other technical assistance) is in the process of defining and assessing “</w:t>
      </w:r>
      <w:r w:rsidR="00BD5E90" w:rsidRPr="00E27200">
        <w:rPr>
          <w:rFonts w:asciiTheme="minorHAnsi" w:hAnsiTheme="minorHAnsi" w:cs="Arial"/>
          <w:i/>
          <w:color w:val="000000"/>
          <w:szCs w:val="22"/>
          <w:lang w:val="en-AU"/>
        </w:rPr>
        <w:t>Vital and E</w:t>
      </w:r>
      <w:r w:rsidRPr="00E27200">
        <w:rPr>
          <w:rFonts w:asciiTheme="minorHAnsi" w:hAnsiTheme="minorHAnsi" w:cs="Arial"/>
          <w:i/>
          <w:color w:val="000000"/>
          <w:szCs w:val="22"/>
          <w:lang w:val="en-AU"/>
        </w:rPr>
        <w:t xml:space="preserve">ssential medical supplies” </w:t>
      </w:r>
      <w:r w:rsidRPr="00E27200">
        <w:rPr>
          <w:rFonts w:asciiTheme="minorHAnsi" w:hAnsiTheme="minorHAnsi" w:cs="Arial"/>
          <w:color w:val="000000"/>
          <w:szCs w:val="22"/>
          <w:lang w:val="en-AU"/>
        </w:rPr>
        <w:t>to ensure continuous availability and quality of this subset medical supplies.  It is expected that the 2014 procurement will be based on this outcome</w:t>
      </w:r>
      <w:r w:rsidR="00BD5E90" w:rsidRPr="00E27200">
        <w:rPr>
          <w:rFonts w:asciiTheme="minorHAnsi" w:hAnsiTheme="minorHAnsi" w:cs="Arial"/>
          <w:color w:val="000000"/>
          <w:szCs w:val="22"/>
          <w:lang w:val="en-AU"/>
        </w:rPr>
        <w:t xml:space="preserve"> – adding focus to future procurement if this does take place, something that should be assessed as part of continuing evaluation</w:t>
      </w:r>
      <w:r w:rsidRPr="00E27200">
        <w:rPr>
          <w:rFonts w:asciiTheme="minorHAnsi" w:hAnsiTheme="minorHAnsi" w:cs="Arial"/>
          <w:color w:val="000000"/>
          <w:szCs w:val="22"/>
          <w:lang w:val="en-AU"/>
        </w:rPr>
        <w:t xml:space="preserve">. </w:t>
      </w:r>
    </w:p>
    <w:p w14:paraId="53031D13" w14:textId="77777777" w:rsidR="007A5715" w:rsidRPr="00E27200" w:rsidRDefault="007A5715" w:rsidP="00E16C77">
      <w:pPr>
        <w:rPr>
          <w:rFonts w:asciiTheme="minorHAnsi" w:hAnsiTheme="minorHAnsi" w:cs="Arial"/>
          <w:color w:val="000000"/>
          <w:szCs w:val="22"/>
          <w:lang w:val="en-AU"/>
        </w:rPr>
      </w:pPr>
    </w:p>
    <w:p w14:paraId="6C6472FF" w14:textId="490BB46D" w:rsidR="00E1651E" w:rsidRDefault="00E56F21" w:rsidP="00E16C77">
      <w:pPr>
        <w:rPr>
          <w:rFonts w:asciiTheme="minorHAnsi" w:hAnsiTheme="minorHAnsi" w:cs="Arial"/>
          <w:color w:val="000000"/>
          <w:szCs w:val="22"/>
          <w:lang w:val="en-AU"/>
        </w:rPr>
      </w:pPr>
      <w:r w:rsidRPr="00E27200">
        <w:rPr>
          <w:rFonts w:asciiTheme="minorHAnsi" w:hAnsiTheme="minorHAnsi" w:cs="Arial"/>
          <w:color w:val="000000"/>
          <w:szCs w:val="22"/>
          <w:lang w:val="en-AU"/>
        </w:rPr>
        <w:t>Central regulation also impacts usage of medicines</w:t>
      </w:r>
      <w:r w:rsidR="00DC00FD" w:rsidRPr="00E27200">
        <w:rPr>
          <w:rFonts w:asciiTheme="minorHAnsi" w:hAnsiTheme="minorHAnsi" w:cs="Arial"/>
          <w:color w:val="000000"/>
          <w:szCs w:val="22"/>
          <w:lang w:val="en-AU"/>
        </w:rPr>
        <w:t xml:space="preserve">, with concerns raised around </w:t>
      </w:r>
      <w:r w:rsidR="00DC00FD" w:rsidRPr="00E27200">
        <w:rPr>
          <w:lang w:val="en-AU"/>
        </w:rPr>
        <w:t>the need for the supply of medicines to be matched to the level of health facility and to the prescribing and dispensing level of the health worker</w:t>
      </w:r>
      <w:r w:rsidRPr="00E27200">
        <w:rPr>
          <w:rFonts w:asciiTheme="minorHAnsi" w:hAnsiTheme="minorHAnsi" w:cs="Arial"/>
          <w:color w:val="000000"/>
          <w:szCs w:val="22"/>
          <w:lang w:val="en-AU"/>
        </w:rPr>
        <w:t xml:space="preserve">. Qualitative data from health manager consultations (both provincial and district informants) suggested </w:t>
      </w:r>
      <w:r w:rsidR="007A5715" w:rsidRPr="00E27200">
        <w:rPr>
          <w:rFonts w:asciiTheme="minorHAnsi" w:hAnsiTheme="minorHAnsi" w:cs="Arial"/>
          <w:color w:val="000000"/>
          <w:szCs w:val="22"/>
          <w:lang w:val="en-AU"/>
        </w:rPr>
        <w:t>that the recent changes in the categories of medicines in the 2012 Medical/Dental catalogue and the corresponding changes in the list of items that can be ordered have restricted the number of ‘category A’ (</w:t>
      </w:r>
      <w:r w:rsidR="00724DC2">
        <w:rPr>
          <w:rFonts w:asciiTheme="minorHAnsi" w:hAnsiTheme="minorHAnsi" w:cs="Arial"/>
          <w:color w:val="000000"/>
          <w:szCs w:val="22"/>
          <w:lang w:val="en-AU"/>
        </w:rPr>
        <w:t xml:space="preserve">medicines </w:t>
      </w:r>
      <w:r w:rsidR="007A5715" w:rsidRPr="00E27200">
        <w:rPr>
          <w:rFonts w:asciiTheme="minorHAnsi" w:hAnsiTheme="minorHAnsi" w:cs="Arial"/>
          <w:color w:val="000000"/>
          <w:szCs w:val="22"/>
          <w:lang w:val="en-AU"/>
        </w:rPr>
        <w:t xml:space="preserve">allowed to be used by all workers) Aid Posts can order, even though some APs have adequate skills to administer these </w:t>
      </w:r>
      <w:r w:rsidR="00724DC2">
        <w:rPr>
          <w:rFonts w:asciiTheme="minorHAnsi" w:hAnsiTheme="minorHAnsi" w:cs="Arial"/>
          <w:color w:val="000000"/>
          <w:szCs w:val="22"/>
          <w:lang w:val="en-AU"/>
        </w:rPr>
        <w:t>medicine</w:t>
      </w:r>
      <w:r w:rsidR="007A5715" w:rsidRPr="00E27200">
        <w:rPr>
          <w:rFonts w:asciiTheme="minorHAnsi" w:hAnsiTheme="minorHAnsi" w:cs="Arial"/>
          <w:color w:val="000000"/>
          <w:szCs w:val="22"/>
          <w:lang w:val="en-AU"/>
        </w:rPr>
        <w:t>s</w:t>
      </w:r>
      <w:r w:rsidR="00A74824" w:rsidRPr="00E27200">
        <w:rPr>
          <w:rFonts w:asciiTheme="minorHAnsi" w:hAnsiTheme="minorHAnsi" w:cs="Arial"/>
          <w:color w:val="000000"/>
          <w:szCs w:val="22"/>
          <w:lang w:val="en-AU"/>
        </w:rPr>
        <w:t xml:space="preserve">. </w:t>
      </w:r>
      <w:r w:rsidR="007A5715" w:rsidRPr="00E27200">
        <w:rPr>
          <w:rFonts w:asciiTheme="minorHAnsi" w:hAnsiTheme="minorHAnsi" w:cs="Arial"/>
          <w:color w:val="000000"/>
          <w:szCs w:val="22"/>
          <w:lang w:val="en-AU"/>
        </w:rPr>
        <w:t xml:space="preserve">Our survey found that despite APs being supplied only </w:t>
      </w:r>
      <w:r w:rsidR="002D7B79">
        <w:rPr>
          <w:rFonts w:asciiTheme="minorHAnsi" w:hAnsiTheme="minorHAnsi" w:cs="Arial"/>
          <w:color w:val="000000"/>
          <w:szCs w:val="22"/>
          <w:lang w:val="en-AU"/>
        </w:rPr>
        <w:t>authorised medicines</w:t>
      </w:r>
      <w:r w:rsidR="007A5715" w:rsidRPr="00E27200">
        <w:rPr>
          <w:rFonts w:asciiTheme="minorHAnsi" w:hAnsiTheme="minorHAnsi" w:cs="Arial"/>
          <w:color w:val="000000"/>
          <w:szCs w:val="22"/>
          <w:lang w:val="en-AU"/>
        </w:rPr>
        <w:t xml:space="preserve"> </w:t>
      </w:r>
      <w:r w:rsidR="002D7B79">
        <w:rPr>
          <w:rFonts w:asciiTheme="minorHAnsi" w:hAnsiTheme="minorHAnsi" w:cs="Arial"/>
          <w:color w:val="000000"/>
          <w:szCs w:val="22"/>
          <w:lang w:val="en-AU"/>
        </w:rPr>
        <w:t>in the ‘push’ system</w:t>
      </w:r>
      <w:r w:rsidR="002D7B79" w:rsidRPr="00E27200">
        <w:rPr>
          <w:rFonts w:asciiTheme="minorHAnsi" w:hAnsiTheme="minorHAnsi" w:cs="Arial"/>
          <w:color w:val="000000"/>
          <w:szCs w:val="22"/>
          <w:lang w:val="en-AU"/>
        </w:rPr>
        <w:t xml:space="preserve"> </w:t>
      </w:r>
      <w:r w:rsidR="007A5715" w:rsidRPr="00E27200">
        <w:rPr>
          <w:rFonts w:asciiTheme="minorHAnsi" w:hAnsiTheme="minorHAnsi" w:cs="Arial"/>
          <w:color w:val="000000"/>
          <w:szCs w:val="22"/>
          <w:lang w:val="en-AU"/>
        </w:rPr>
        <w:t>kits,</w:t>
      </w:r>
      <w:r w:rsidR="002D7B79">
        <w:rPr>
          <w:rFonts w:asciiTheme="minorHAnsi" w:hAnsiTheme="minorHAnsi" w:cs="Arial"/>
          <w:color w:val="000000"/>
          <w:szCs w:val="22"/>
          <w:lang w:val="en-AU"/>
        </w:rPr>
        <w:t xml:space="preserve"> other medicines were available to them through the ‘pull’ system</w:t>
      </w:r>
      <w:r w:rsidR="00E1651E">
        <w:rPr>
          <w:rFonts w:asciiTheme="minorHAnsi" w:hAnsiTheme="minorHAnsi" w:cs="Arial"/>
          <w:color w:val="000000"/>
          <w:szCs w:val="22"/>
          <w:lang w:val="en-AU"/>
        </w:rPr>
        <w:t xml:space="preserve"> and informal transfers between HFs</w:t>
      </w:r>
      <w:r w:rsidR="002D7B79">
        <w:rPr>
          <w:rFonts w:asciiTheme="minorHAnsi" w:hAnsiTheme="minorHAnsi" w:cs="Arial"/>
          <w:color w:val="000000"/>
          <w:szCs w:val="22"/>
          <w:lang w:val="en-AU"/>
        </w:rPr>
        <w:t xml:space="preserve">. </w:t>
      </w:r>
      <w:r w:rsidR="00E1651E">
        <w:rPr>
          <w:rFonts w:asciiTheme="minorHAnsi" w:hAnsiTheme="minorHAnsi" w:cs="Arial"/>
          <w:color w:val="000000"/>
          <w:szCs w:val="22"/>
          <w:lang w:val="en-AU"/>
        </w:rPr>
        <w:t>Some examples detected at APs in our survey</w:t>
      </w:r>
      <w:r w:rsidR="002D7B79">
        <w:rPr>
          <w:rFonts w:asciiTheme="minorHAnsi" w:hAnsiTheme="minorHAnsi" w:cs="Arial"/>
          <w:color w:val="000000"/>
          <w:szCs w:val="22"/>
          <w:lang w:val="en-AU"/>
        </w:rPr>
        <w:t xml:space="preserve"> included</w:t>
      </w:r>
      <w:r w:rsidR="007A5715" w:rsidRPr="00E27200">
        <w:rPr>
          <w:rFonts w:asciiTheme="minorHAnsi" w:hAnsiTheme="minorHAnsi" w:cs="Arial"/>
          <w:color w:val="000000"/>
          <w:szCs w:val="22"/>
          <w:lang w:val="en-AU"/>
        </w:rPr>
        <w:t xml:space="preserve"> some injectable </w:t>
      </w:r>
      <w:r w:rsidR="00724DC2">
        <w:rPr>
          <w:rFonts w:asciiTheme="minorHAnsi" w:hAnsiTheme="minorHAnsi" w:cs="Arial"/>
          <w:color w:val="000000"/>
          <w:szCs w:val="22"/>
          <w:lang w:val="en-AU"/>
        </w:rPr>
        <w:t>medicine</w:t>
      </w:r>
      <w:r w:rsidR="007A5715" w:rsidRPr="00E27200">
        <w:rPr>
          <w:rFonts w:asciiTheme="minorHAnsi" w:hAnsiTheme="minorHAnsi" w:cs="Arial"/>
          <w:color w:val="000000"/>
          <w:szCs w:val="22"/>
          <w:lang w:val="en-AU"/>
        </w:rPr>
        <w:t>s</w:t>
      </w:r>
      <w:r w:rsidR="001C21E4" w:rsidRPr="00E27200">
        <w:rPr>
          <w:rFonts w:asciiTheme="minorHAnsi" w:hAnsiTheme="minorHAnsi" w:cs="Arial"/>
          <w:color w:val="000000"/>
          <w:szCs w:val="22"/>
          <w:lang w:val="en-AU"/>
        </w:rPr>
        <w:t xml:space="preserve"> that AP staff were theoretically not intended to administer</w:t>
      </w:r>
      <w:r w:rsidR="00E16C77" w:rsidRPr="00E27200">
        <w:rPr>
          <w:rFonts w:asciiTheme="minorHAnsi" w:hAnsiTheme="minorHAnsi" w:cs="Arial"/>
          <w:color w:val="000000"/>
          <w:szCs w:val="22"/>
          <w:lang w:val="en-AU"/>
        </w:rPr>
        <w:t>, such as c</w:t>
      </w:r>
      <w:r w:rsidR="007A5715" w:rsidRPr="00E27200">
        <w:rPr>
          <w:rFonts w:asciiTheme="minorHAnsi" w:hAnsiTheme="minorHAnsi" w:cs="Arial"/>
          <w:color w:val="000000"/>
          <w:szCs w:val="22"/>
          <w:lang w:val="en-AU"/>
        </w:rPr>
        <w:t xml:space="preserve">hloramphenicol </w:t>
      </w:r>
      <w:r w:rsidR="00E16C77" w:rsidRPr="00E27200">
        <w:rPr>
          <w:rFonts w:asciiTheme="minorHAnsi" w:hAnsiTheme="minorHAnsi" w:cs="Arial"/>
          <w:color w:val="000000"/>
          <w:szCs w:val="22"/>
          <w:lang w:val="en-AU"/>
        </w:rPr>
        <w:t xml:space="preserve">injection, </w:t>
      </w:r>
      <w:r w:rsidR="007A5715" w:rsidRPr="00E27200">
        <w:rPr>
          <w:rFonts w:asciiTheme="minorHAnsi" w:hAnsiTheme="minorHAnsi" w:cs="Arial"/>
          <w:color w:val="000000"/>
          <w:szCs w:val="22"/>
          <w:lang w:val="en-AU"/>
        </w:rPr>
        <w:t>found in 61% of APs,</w:t>
      </w:r>
      <w:r w:rsidR="001C21E4" w:rsidRPr="00E27200">
        <w:rPr>
          <w:rFonts w:asciiTheme="minorHAnsi" w:hAnsiTheme="minorHAnsi" w:cs="Arial"/>
          <w:color w:val="000000"/>
          <w:szCs w:val="22"/>
          <w:lang w:val="en-AU"/>
        </w:rPr>
        <w:t xml:space="preserve"> as well as</w:t>
      </w:r>
      <w:r w:rsidR="007A5715" w:rsidRPr="00E27200">
        <w:rPr>
          <w:rFonts w:asciiTheme="minorHAnsi" w:hAnsiTheme="minorHAnsi" w:cs="Arial"/>
          <w:color w:val="000000"/>
          <w:szCs w:val="22"/>
          <w:lang w:val="en-AU"/>
        </w:rPr>
        <w:t xml:space="preserve"> Oxytocin 28%, Saline infusion 17%, Ampicillin 14%, magnesium sulphate 9%, and gentamicin 8</w:t>
      </w:r>
      <w:r w:rsidR="00A74824" w:rsidRPr="00E27200">
        <w:rPr>
          <w:rFonts w:asciiTheme="minorHAnsi" w:hAnsiTheme="minorHAnsi" w:cs="Arial"/>
          <w:color w:val="000000"/>
          <w:szCs w:val="22"/>
          <w:lang w:val="en-AU"/>
        </w:rPr>
        <w:t xml:space="preserve">%. </w:t>
      </w:r>
      <w:r w:rsidR="00E1651E">
        <w:rPr>
          <w:rFonts w:asciiTheme="minorHAnsi" w:hAnsiTheme="minorHAnsi" w:cs="Arial"/>
          <w:color w:val="000000"/>
          <w:szCs w:val="22"/>
          <w:lang w:val="en-AU"/>
        </w:rPr>
        <w:t>Supply of medicines that they were not authorised</w:t>
      </w:r>
      <w:r w:rsidR="007369F0">
        <w:rPr>
          <w:rFonts w:asciiTheme="minorHAnsi" w:hAnsiTheme="minorHAnsi" w:cs="Arial"/>
          <w:color w:val="000000"/>
          <w:szCs w:val="22"/>
          <w:lang w:val="en-AU"/>
        </w:rPr>
        <w:t xml:space="preserve"> </w:t>
      </w:r>
      <w:r w:rsidR="00E1651E">
        <w:rPr>
          <w:rFonts w:asciiTheme="minorHAnsi" w:hAnsiTheme="minorHAnsi" w:cs="Arial"/>
          <w:color w:val="000000"/>
          <w:szCs w:val="22"/>
          <w:lang w:val="en-AU"/>
        </w:rPr>
        <w:t xml:space="preserve">to use </w:t>
      </w:r>
      <w:r w:rsidR="007369F0">
        <w:rPr>
          <w:rFonts w:asciiTheme="minorHAnsi" w:hAnsiTheme="minorHAnsi" w:cs="Arial"/>
          <w:color w:val="000000"/>
          <w:szCs w:val="22"/>
          <w:lang w:val="en-AU"/>
        </w:rPr>
        <w:t>was also mentioned as a problem by a small number of HF staff</w:t>
      </w:r>
      <w:r w:rsidR="00E1651E">
        <w:rPr>
          <w:rFonts w:asciiTheme="minorHAnsi" w:hAnsiTheme="minorHAnsi" w:cs="Arial"/>
          <w:color w:val="000000"/>
          <w:szCs w:val="22"/>
          <w:lang w:val="en-AU"/>
        </w:rPr>
        <w:t>, both HC and AP,</w:t>
      </w:r>
      <w:r w:rsidR="007369F0">
        <w:rPr>
          <w:rFonts w:asciiTheme="minorHAnsi" w:hAnsiTheme="minorHAnsi" w:cs="Arial"/>
          <w:color w:val="000000"/>
          <w:szCs w:val="22"/>
          <w:lang w:val="en-AU"/>
        </w:rPr>
        <w:t xml:space="preserve"> during field survey interviews, </w:t>
      </w:r>
      <w:r w:rsidR="00E1651E">
        <w:rPr>
          <w:rFonts w:asciiTheme="minorHAnsi" w:hAnsiTheme="minorHAnsi" w:cs="Arial"/>
          <w:color w:val="000000"/>
          <w:szCs w:val="22"/>
          <w:lang w:val="en-AU"/>
        </w:rPr>
        <w:t xml:space="preserve">but a greater </w:t>
      </w:r>
      <w:r w:rsidR="00E1651E">
        <w:rPr>
          <w:rFonts w:asciiTheme="minorHAnsi" w:hAnsiTheme="minorHAnsi" w:cs="Arial"/>
          <w:color w:val="000000"/>
          <w:szCs w:val="22"/>
          <w:lang w:val="en-AU"/>
        </w:rPr>
        <w:lastRenderedPageBreak/>
        <w:t xml:space="preserve">proportion of HF staff reported </w:t>
      </w:r>
      <w:r w:rsidR="00017986">
        <w:rPr>
          <w:rFonts w:asciiTheme="minorHAnsi" w:hAnsiTheme="minorHAnsi" w:cs="Arial"/>
          <w:color w:val="000000"/>
          <w:szCs w:val="22"/>
          <w:lang w:val="en-AU"/>
        </w:rPr>
        <w:t>managing</w:t>
      </w:r>
      <w:r w:rsidR="00E1651E">
        <w:rPr>
          <w:rFonts w:asciiTheme="minorHAnsi" w:hAnsiTheme="minorHAnsi" w:cs="Arial"/>
          <w:color w:val="000000"/>
          <w:szCs w:val="22"/>
          <w:lang w:val="en-AU"/>
        </w:rPr>
        <w:t xml:space="preserve"> this by returning supplies to hospitals or medical stores, and many staff </w:t>
      </w:r>
      <w:r w:rsidR="00017986">
        <w:rPr>
          <w:rFonts w:asciiTheme="minorHAnsi" w:hAnsiTheme="minorHAnsi" w:cs="Arial"/>
          <w:color w:val="000000"/>
          <w:szCs w:val="22"/>
          <w:lang w:val="en-AU"/>
        </w:rPr>
        <w:t>simply</w:t>
      </w:r>
      <w:r w:rsidR="00E1651E">
        <w:rPr>
          <w:rFonts w:asciiTheme="minorHAnsi" w:hAnsiTheme="minorHAnsi" w:cs="Arial"/>
          <w:color w:val="000000"/>
          <w:szCs w:val="22"/>
          <w:lang w:val="en-AU"/>
        </w:rPr>
        <w:t xml:space="preserve"> made use of all medicines that they felt were needed and within their actual competence. </w:t>
      </w:r>
    </w:p>
    <w:p w14:paraId="6332DF22" w14:textId="77777777" w:rsidR="00E1651E" w:rsidRDefault="00E1651E" w:rsidP="00E16C77">
      <w:pPr>
        <w:rPr>
          <w:rFonts w:asciiTheme="minorHAnsi" w:hAnsiTheme="minorHAnsi" w:cs="Arial"/>
          <w:color w:val="000000"/>
          <w:szCs w:val="22"/>
          <w:lang w:val="en-AU"/>
        </w:rPr>
      </w:pPr>
    </w:p>
    <w:p w14:paraId="397F458F" w14:textId="26ABAC6A" w:rsidR="00A74824" w:rsidRPr="00E27200" w:rsidRDefault="001C21E4" w:rsidP="00E16C77">
      <w:pPr>
        <w:rPr>
          <w:rFonts w:asciiTheme="minorHAnsi" w:hAnsiTheme="minorHAnsi" w:cs="Arial"/>
          <w:color w:val="000000"/>
          <w:szCs w:val="22"/>
          <w:lang w:val="en-AU"/>
        </w:rPr>
      </w:pPr>
      <w:r w:rsidRPr="00E27200">
        <w:rPr>
          <w:rFonts w:asciiTheme="minorHAnsi" w:hAnsiTheme="minorHAnsi" w:cs="Arial"/>
          <w:color w:val="000000"/>
          <w:szCs w:val="22"/>
          <w:lang w:val="en-AU"/>
        </w:rPr>
        <w:t>District and provincial health managers</w:t>
      </w:r>
      <w:r w:rsidR="007A5715" w:rsidRPr="00E27200">
        <w:rPr>
          <w:rFonts w:asciiTheme="minorHAnsi" w:hAnsiTheme="minorHAnsi" w:cs="Arial"/>
          <w:color w:val="000000"/>
          <w:szCs w:val="22"/>
          <w:lang w:val="en-AU"/>
        </w:rPr>
        <w:t xml:space="preserve"> also reported not being </w:t>
      </w:r>
      <w:r w:rsidRPr="00E27200">
        <w:rPr>
          <w:rFonts w:asciiTheme="minorHAnsi" w:hAnsiTheme="minorHAnsi" w:cs="Arial"/>
          <w:color w:val="000000"/>
          <w:szCs w:val="22"/>
          <w:lang w:val="en-AU"/>
        </w:rPr>
        <w:t xml:space="preserve">consulted during </w:t>
      </w:r>
      <w:r w:rsidR="007A5715" w:rsidRPr="00E27200">
        <w:rPr>
          <w:rFonts w:asciiTheme="minorHAnsi" w:hAnsiTheme="minorHAnsi" w:cs="Arial"/>
          <w:color w:val="000000"/>
          <w:szCs w:val="22"/>
          <w:lang w:val="en-AU"/>
        </w:rPr>
        <w:t xml:space="preserve">the review for the 2012 catalogue. </w:t>
      </w:r>
      <w:r w:rsidR="00DC00FD" w:rsidRPr="00AE3194">
        <w:rPr>
          <w:rFonts w:asciiTheme="minorHAnsi" w:hAnsiTheme="minorHAnsi" w:cs="Arial"/>
          <w:color w:val="000000"/>
          <w:szCs w:val="22"/>
          <w:lang w:val="en-AU"/>
        </w:rPr>
        <w:t xml:space="preserve">Other managers had different concerns </w:t>
      </w:r>
      <w:r w:rsidR="008E70C1" w:rsidRPr="00AE3194">
        <w:rPr>
          <w:rFonts w:asciiTheme="minorHAnsi" w:hAnsiTheme="minorHAnsi" w:cs="Arial"/>
          <w:color w:val="000000"/>
          <w:szCs w:val="22"/>
          <w:lang w:val="en-AU"/>
        </w:rPr>
        <w:t xml:space="preserve">when </w:t>
      </w:r>
      <w:r w:rsidR="00DC00FD" w:rsidRPr="00AE3194">
        <w:rPr>
          <w:rFonts w:asciiTheme="minorHAnsi" w:hAnsiTheme="minorHAnsi" w:cs="Arial"/>
          <w:color w:val="000000"/>
          <w:szCs w:val="22"/>
          <w:lang w:val="en-AU"/>
        </w:rPr>
        <w:t xml:space="preserve">reporting that </w:t>
      </w:r>
      <w:r w:rsidR="00DC00FD" w:rsidRPr="00AE3194">
        <w:rPr>
          <w:lang w:val="en-AU"/>
        </w:rPr>
        <w:t xml:space="preserve">category C or D medicines such as morphine and ketamine were being </w:t>
      </w:r>
      <w:r w:rsidR="00BB73A9">
        <w:rPr>
          <w:lang w:val="en-AU"/>
        </w:rPr>
        <w:t>made available</w:t>
      </w:r>
      <w:r w:rsidR="00BB73A9" w:rsidRPr="00AE3194">
        <w:rPr>
          <w:lang w:val="en-AU"/>
        </w:rPr>
        <w:t xml:space="preserve"> </w:t>
      </w:r>
      <w:r w:rsidR="00DC00FD" w:rsidRPr="00AE3194">
        <w:rPr>
          <w:lang w:val="en-AU"/>
        </w:rPr>
        <w:t xml:space="preserve">at the </w:t>
      </w:r>
      <w:r w:rsidR="00BB73A9">
        <w:rPr>
          <w:lang w:val="en-AU"/>
        </w:rPr>
        <w:t xml:space="preserve">HC or AP </w:t>
      </w:r>
      <w:r w:rsidR="00DC00FD" w:rsidRPr="00AE3194">
        <w:rPr>
          <w:lang w:val="en-AU"/>
        </w:rPr>
        <w:t>level,</w:t>
      </w:r>
      <w:r w:rsidR="00BB73A9">
        <w:rPr>
          <w:lang w:val="en-AU"/>
        </w:rPr>
        <w:t xml:space="preserve"> </w:t>
      </w:r>
      <w:r w:rsidR="00DC00FD" w:rsidRPr="00AE3194">
        <w:rPr>
          <w:lang w:val="en-AU"/>
        </w:rPr>
        <w:t>which was in conflict with current prescribing guidelines.</w:t>
      </w:r>
      <w:r w:rsidR="00BB73A9">
        <w:rPr>
          <w:lang w:val="en-AU"/>
        </w:rPr>
        <w:t xml:space="preserve"> No category C or D were supplied in the AP kits, but limited category C (diazepam and morphine) were supplied in the HC kits, on the rationale that they could be authorised by medical officers remotely by telephone or radio. Our field survey found that, such medicines were often returned to higher levels; we did not find any specific examples of abuse related to this aspect of the ‘push’ distribution.</w:t>
      </w:r>
      <w:r w:rsidR="00FA5DCD">
        <w:rPr>
          <w:lang w:val="en-AU"/>
        </w:rPr>
        <w:t xml:space="preserve"> Category C or D medicines could also migrate to HCs through the ‘pull’ system or informal transfers.</w:t>
      </w:r>
    </w:p>
    <w:p w14:paraId="629C48C0" w14:textId="77777777" w:rsidR="00A74824" w:rsidRPr="00E27200" w:rsidRDefault="00A74824" w:rsidP="00E16C77">
      <w:pPr>
        <w:rPr>
          <w:rFonts w:asciiTheme="minorHAnsi" w:hAnsiTheme="minorHAnsi" w:cs="Arial"/>
          <w:color w:val="000000"/>
          <w:szCs w:val="22"/>
          <w:lang w:val="en-AU"/>
        </w:rPr>
      </w:pPr>
    </w:p>
    <w:p w14:paraId="209FEABC" w14:textId="61158785" w:rsidR="007A5715" w:rsidRPr="00E27200" w:rsidRDefault="001C21E4" w:rsidP="00E16C77">
      <w:pPr>
        <w:rPr>
          <w:rFonts w:asciiTheme="minorHAnsi" w:hAnsiTheme="minorHAnsi" w:cs="Arial"/>
          <w:color w:val="000000"/>
          <w:szCs w:val="22"/>
          <w:lang w:val="en-AU"/>
        </w:rPr>
      </w:pPr>
      <w:r w:rsidRPr="00E27200">
        <w:rPr>
          <w:rFonts w:asciiTheme="minorHAnsi" w:hAnsiTheme="minorHAnsi" w:cs="Arial"/>
          <w:color w:val="000000"/>
          <w:szCs w:val="22"/>
          <w:lang w:val="en-AU"/>
        </w:rPr>
        <w:t xml:space="preserve">Within the vertical program for malaria, qualitative data suggest there is a very strong link made in training between use of new treatment (ACT) and a positive rapid diagnostic test (RDT) – important for correct treatment and minimization of </w:t>
      </w:r>
      <w:r w:rsidR="00724DC2">
        <w:rPr>
          <w:rFonts w:asciiTheme="minorHAnsi" w:hAnsiTheme="minorHAnsi" w:cs="Arial"/>
          <w:color w:val="000000"/>
          <w:szCs w:val="22"/>
          <w:lang w:val="en-AU"/>
        </w:rPr>
        <w:t>medicine</w:t>
      </w:r>
      <w:r w:rsidRPr="00E27200">
        <w:rPr>
          <w:rFonts w:asciiTheme="minorHAnsi" w:hAnsiTheme="minorHAnsi" w:cs="Arial"/>
          <w:color w:val="000000"/>
          <w:szCs w:val="22"/>
          <w:lang w:val="en-AU"/>
        </w:rPr>
        <w:t xml:space="preserve"> resistance – however RDTs were reported to be limited in distribution to HC level, restricting the malaria treatment options at APs. </w:t>
      </w:r>
      <w:r w:rsidR="00A74824" w:rsidRPr="00E27200">
        <w:rPr>
          <w:rFonts w:asciiTheme="minorHAnsi" w:hAnsiTheme="minorHAnsi" w:cs="Arial"/>
          <w:color w:val="000000"/>
          <w:szCs w:val="22"/>
          <w:lang w:val="en-AU"/>
        </w:rPr>
        <w:t>As reported below this had some consequences in inappropriate management of fever, when RDT was negative, with older anti-</w:t>
      </w:r>
      <w:proofErr w:type="spellStart"/>
      <w:r w:rsidR="00A74824" w:rsidRPr="00E27200">
        <w:rPr>
          <w:rFonts w:asciiTheme="minorHAnsi" w:hAnsiTheme="minorHAnsi" w:cs="Arial"/>
          <w:color w:val="000000"/>
          <w:szCs w:val="22"/>
          <w:lang w:val="en-AU"/>
        </w:rPr>
        <w:t>malarials</w:t>
      </w:r>
      <w:proofErr w:type="spellEnd"/>
      <w:r w:rsidR="00A74824" w:rsidRPr="00E27200">
        <w:rPr>
          <w:rFonts w:asciiTheme="minorHAnsi" w:hAnsiTheme="minorHAnsi" w:cs="Arial"/>
          <w:color w:val="000000"/>
          <w:szCs w:val="22"/>
          <w:lang w:val="en-AU"/>
        </w:rPr>
        <w:t xml:space="preserve">. </w:t>
      </w:r>
    </w:p>
    <w:p w14:paraId="31FCE0E0" w14:textId="77777777" w:rsidR="00607C00" w:rsidRPr="00E27200" w:rsidRDefault="00607C00" w:rsidP="00E16C77">
      <w:pPr>
        <w:rPr>
          <w:rFonts w:asciiTheme="minorHAnsi" w:hAnsiTheme="minorHAnsi" w:cs="Arial"/>
          <w:color w:val="000000"/>
          <w:szCs w:val="22"/>
          <w:lang w:val="en-AU"/>
        </w:rPr>
      </w:pPr>
    </w:p>
    <w:p w14:paraId="4D4BBC27" w14:textId="77777777" w:rsidR="00607C00" w:rsidRPr="00E27200" w:rsidRDefault="00607C00" w:rsidP="00E16C77">
      <w:pPr>
        <w:pStyle w:val="Heading3"/>
      </w:pPr>
      <w:r w:rsidRPr="00E27200">
        <w:t xml:space="preserve">Quality of </w:t>
      </w:r>
      <w:r w:rsidR="00F73A7F" w:rsidRPr="00E27200">
        <w:t>medicines observed and perceived</w:t>
      </w:r>
    </w:p>
    <w:p w14:paraId="6D7E08A5" w14:textId="11FCF5ED" w:rsidR="009E0C76" w:rsidRPr="00E27200" w:rsidRDefault="009E0C76" w:rsidP="00E16C77">
      <w:pPr>
        <w:rPr>
          <w:rFonts w:asciiTheme="minorHAnsi" w:hAnsiTheme="minorHAnsi" w:cs="Arial"/>
          <w:color w:val="000000"/>
          <w:szCs w:val="22"/>
          <w:lang w:val="en-AU"/>
        </w:rPr>
      </w:pPr>
      <w:r w:rsidRPr="00E27200">
        <w:rPr>
          <w:rFonts w:asciiTheme="minorHAnsi" w:hAnsiTheme="minorHAnsi" w:cs="Arial"/>
          <w:color w:val="000000"/>
          <w:szCs w:val="22"/>
          <w:lang w:val="en-AU"/>
        </w:rPr>
        <w:t>There have been recent reports of poor quality medical supplies</w:t>
      </w:r>
      <w:r w:rsidR="006D4F4F" w:rsidRPr="00E27200">
        <w:rPr>
          <w:rFonts w:asciiTheme="minorHAnsi" w:hAnsiTheme="minorHAnsi" w:cs="Arial"/>
          <w:color w:val="000000"/>
          <w:szCs w:val="22"/>
          <w:lang w:val="en-AU"/>
        </w:rPr>
        <w:fldChar w:fldCharType="begin"/>
      </w:r>
      <w:r w:rsidRPr="00E27200">
        <w:rPr>
          <w:rFonts w:asciiTheme="minorHAnsi" w:hAnsiTheme="minorHAnsi" w:cs="Arial"/>
          <w:color w:val="000000"/>
          <w:szCs w:val="22"/>
          <w:lang w:val="en-AU"/>
        </w:rPr>
        <w:instrText xml:space="preserve"> ADDIN EN.CITE &lt;EndNote&gt;&lt;Cite&gt;&lt;Author&gt;Nair&lt;/Author&gt;&lt;Year&gt;2011&lt;/Year&gt;&lt;RecNum&gt;3&lt;/RecNum&gt;&lt;DisplayText&gt;[6]&lt;/DisplayText&gt;&lt;record&gt;&lt;rec-number&gt;3&lt;/rec-number&gt;&lt;foreign-keys&gt;&lt;key app="EN" db-id="ex5s0vddkzxdfhese5yvf5vke2ree5azrt5t"&gt;3&lt;/key&gt;&lt;/foreign-keys&gt;&lt;ref-type name="Journal Article"&gt;17&lt;/ref-type&gt;&lt;contributors&gt;&lt;authors&gt;&lt;author&gt;Nair, A&lt;/author&gt;&lt;author&gt;Strauch, S&lt;/author&gt;&lt;author&gt;Lauwo, J&lt;/author&gt;&lt;author&gt;Jahnke, R. W&lt;/author&gt;&lt;author&gt;Dressman, J&lt;/author&gt;&lt;/authors&gt;&lt;/contributors&gt;&lt;auth-address&gt;Department of Pharmaceutical Technology, Goethe University, Frankfurt 60438, Germany.&lt;/auth-address&gt;&lt;titles&gt;&lt;title&gt;Are counterfeit or substandard anti-infective products the cause of treatment failure in Papua New Guinea?&lt;/title&gt;&lt;secondary-title&gt;J Pharm Sci&lt;/secondary-title&gt;&lt;alt-title&gt;Journal of pharmaceutical sciences&lt;/alt-title&gt;&lt;/titles&gt;&lt;alt-periodical&gt;&lt;full-title&gt;Journal of Pharmaceutical Sciences&lt;/full-title&gt;&lt;/alt-periodical&gt;&lt;pages&gt;5059-68&lt;/pages&gt;&lt;volume&gt;100&lt;/volume&gt;&lt;number&gt;11&lt;/number&gt;&lt;keywords&gt;&lt;keyword&gt;Anti-Infective Agents/*therapeutic use&lt;/keyword&gt;&lt;keyword&gt;Chromatography, High Pressure Liquid&lt;/keyword&gt;&lt;keyword&gt;Chromatography, Thin Layer&lt;/keyword&gt;&lt;keyword&gt;*Counterfeit Drugs&lt;/keyword&gt;&lt;keyword&gt;Humans&lt;/keyword&gt;&lt;keyword&gt;Papua New Guinea&lt;/keyword&gt;&lt;keyword&gt;Quality Control&lt;/keyword&gt;&lt;keyword&gt;Solubility&lt;/keyword&gt;&lt;keyword&gt;Treatment Outcome&lt;/keyword&gt;&lt;/keywords&gt;&lt;dates&gt;&lt;year&gt;2011&lt;/year&gt;&lt;pub-dates&gt;&lt;date&gt;Nov&lt;/date&gt;&lt;/pub-dates&gt;&lt;/dates&gt;&lt;isbn&gt;1520-6017 (Electronic)&amp;#xD;0022-3549 (Linking)&lt;/isbn&gt;&lt;accession-num&gt;21721006&lt;/accession-num&gt;&lt;urls&gt;&lt;related-urls&gt;&lt;url&gt;http://www.ncbi.nlm.nih.gov/pubmed/21721006&lt;/url&gt;&lt;/related-urls&gt;&lt;/urls&gt;&lt;electronic-resource-num&gt;10.1002/jps.22691&lt;/electronic-resource-num&gt;&lt;/record&gt;&lt;/Cite&gt;&lt;/EndNote&gt;</w:instrText>
      </w:r>
      <w:r w:rsidR="006D4F4F" w:rsidRPr="00E27200">
        <w:rPr>
          <w:rFonts w:asciiTheme="minorHAnsi" w:hAnsiTheme="minorHAnsi" w:cs="Arial"/>
          <w:color w:val="000000"/>
          <w:szCs w:val="22"/>
          <w:lang w:val="en-AU"/>
        </w:rPr>
        <w:fldChar w:fldCharType="separate"/>
      </w:r>
      <w:r w:rsidRPr="00E27200">
        <w:rPr>
          <w:rFonts w:asciiTheme="minorHAnsi" w:hAnsiTheme="minorHAnsi" w:cs="Arial"/>
          <w:noProof/>
          <w:color w:val="000000"/>
          <w:szCs w:val="22"/>
          <w:lang w:val="en-AU"/>
        </w:rPr>
        <w:t>[</w:t>
      </w:r>
      <w:hyperlink w:anchor="_ENREF_6" w:tooltip="Nair, 2011 #3" w:history="1">
        <w:r w:rsidR="00E62392" w:rsidRPr="00E27200">
          <w:rPr>
            <w:rFonts w:asciiTheme="minorHAnsi" w:hAnsiTheme="minorHAnsi" w:cs="Arial"/>
            <w:noProof/>
            <w:color w:val="000000"/>
            <w:szCs w:val="22"/>
            <w:lang w:val="en-AU"/>
          </w:rPr>
          <w:t>6</w:t>
        </w:r>
      </w:hyperlink>
      <w:r w:rsidRPr="00E27200">
        <w:rPr>
          <w:rFonts w:asciiTheme="minorHAnsi" w:hAnsiTheme="minorHAnsi" w:cs="Arial"/>
          <w:noProof/>
          <w:color w:val="000000"/>
          <w:szCs w:val="22"/>
          <w:lang w:val="en-AU"/>
        </w:rPr>
        <w:t>]</w:t>
      </w:r>
      <w:r w:rsidR="006D4F4F" w:rsidRPr="00E27200">
        <w:rPr>
          <w:rFonts w:asciiTheme="minorHAnsi" w:hAnsiTheme="minorHAnsi" w:cs="Arial"/>
          <w:color w:val="000000"/>
          <w:szCs w:val="22"/>
          <w:lang w:val="en-AU"/>
        </w:rPr>
        <w:fldChar w:fldCharType="end"/>
      </w:r>
      <w:r w:rsidRPr="00E27200">
        <w:rPr>
          <w:rFonts w:asciiTheme="minorHAnsi" w:hAnsiTheme="minorHAnsi" w:cs="Arial"/>
          <w:color w:val="000000"/>
          <w:szCs w:val="22"/>
          <w:lang w:val="en-AU"/>
        </w:rPr>
        <w:t xml:space="preserve"> </w:t>
      </w:r>
      <w:r w:rsidR="00F73A7F" w:rsidRPr="00E27200">
        <w:rPr>
          <w:rFonts w:asciiTheme="minorHAnsi" w:hAnsiTheme="minorHAnsi" w:cs="Arial"/>
          <w:color w:val="000000"/>
          <w:szCs w:val="22"/>
          <w:lang w:val="en-AU"/>
        </w:rPr>
        <w:t>through both supplier problems as well as storage deficiencies. T</w:t>
      </w:r>
      <w:r w:rsidRPr="00E27200">
        <w:rPr>
          <w:rFonts w:asciiTheme="minorHAnsi" w:hAnsiTheme="minorHAnsi" w:cs="Arial"/>
          <w:color w:val="000000"/>
          <w:szCs w:val="22"/>
          <w:lang w:val="en-AU"/>
        </w:rPr>
        <w:t xml:space="preserve">he </w:t>
      </w:r>
      <w:r w:rsidR="005800C7">
        <w:rPr>
          <w:rFonts w:asciiTheme="minorHAnsi" w:hAnsiTheme="minorHAnsi" w:cs="Arial"/>
          <w:color w:val="000000"/>
          <w:szCs w:val="22"/>
          <w:lang w:val="en-AU"/>
        </w:rPr>
        <w:t>HF</w:t>
      </w:r>
      <w:r w:rsidRPr="00E27200">
        <w:rPr>
          <w:rFonts w:asciiTheme="minorHAnsi" w:hAnsiTheme="minorHAnsi" w:cs="Arial"/>
          <w:color w:val="000000"/>
          <w:szCs w:val="22"/>
          <w:lang w:val="en-AU"/>
        </w:rPr>
        <w:t xml:space="preserve"> survey also attempted to </w:t>
      </w:r>
      <w:r w:rsidR="00F73A7F" w:rsidRPr="00E27200">
        <w:rPr>
          <w:rFonts w:asciiTheme="minorHAnsi" w:hAnsiTheme="minorHAnsi" w:cs="Arial"/>
          <w:color w:val="000000"/>
          <w:szCs w:val="22"/>
          <w:lang w:val="en-AU"/>
        </w:rPr>
        <w:t>assess</w:t>
      </w:r>
      <w:r w:rsidRPr="00E27200">
        <w:rPr>
          <w:rFonts w:asciiTheme="minorHAnsi" w:hAnsiTheme="minorHAnsi" w:cs="Arial"/>
          <w:color w:val="000000"/>
          <w:szCs w:val="22"/>
          <w:lang w:val="en-AU"/>
        </w:rPr>
        <w:t xml:space="preserve"> this (se</w:t>
      </w:r>
      <w:r w:rsidR="00FA0B79">
        <w:rPr>
          <w:rFonts w:asciiTheme="minorHAnsi" w:hAnsiTheme="minorHAnsi" w:cs="Arial"/>
          <w:color w:val="000000"/>
          <w:szCs w:val="22"/>
          <w:lang w:val="en-AU"/>
        </w:rPr>
        <w:t>e Annex 11</w:t>
      </w:r>
      <w:r w:rsidRPr="00E27200">
        <w:rPr>
          <w:rFonts w:asciiTheme="minorHAnsi" w:hAnsiTheme="minorHAnsi" w:cs="Arial"/>
          <w:color w:val="000000"/>
          <w:szCs w:val="22"/>
          <w:lang w:val="en-AU"/>
        </w:rPr>
        <w:t xml:space="preserve">.2). Surveyors were asked to inspect medicines from open containers at HFs and comment on their quality – both of the </w:t>
      </w:r>
      <w:r w:rsidR="005800C7">
        <w:rPr>
          <w:rFonts w:asciiTheme="minorHAnsi" w:hAnsiTheme="minorHAnsi" w:cs="Arial"/>
          <w:color w:val="000000"/>
          <w:szCs w:val="22"/>
          <w:lang w:val="en-AU"/>
        </w:rPr>
        <w:t>medicine</w:t>
      </w:r>
      <w:r w:rsidR="005800C7" w:rsidRPr="00E27200">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 xml:space="preserve">and the packaging. </w:t>
      </w:r>
      <w:r w:rsidRPr="00483466">
        <w:rPr>
          <w:rFonts w:asciiTheme="minorHAnsi" w:hAnsiTheme="minorHAnsi" w:cs="Arial"/>
          <w:color w:val="000000"/>
          <w:szCs w:val="22"/>
          <w:lang w:val="en-AU"/>
        </w:rPr>
        <w:t xml:space="preserve">Overall </w:t>
      </w:r>
      <w:r w:rsidR="005800C7" w:rsidRPr="00483466">
        <w:rPr>
          <w:rFonts w:asciiTheme="minorHAnsi" w:hAnsiTheme="minorHAnsi" w:cs="Arial"/>
          <w:color w:val="000000"/>
          <w:szCs w:val="22"/>
          <w:lang w:val="en-AU"/>
        </w:rPr>
        <w:t xml:space="preserve">instances of </w:t>
      </w:r>
      <w:r w:rsidRPr="00483466">
        <w:rPr>
          <w:rFonts w:asciiTheme="minorHAnsi" w:hAnsiTheme="minorHAnsi" w:cs="Arial"/>
          <w:color w:val="000000"/>
          <w:szCs w:val="22"/>
          <w:lang w:val="en-AU"/>
        </w:rPr>
        <w:t xml:space="preserve">poorer quality </w:t>
      </w:r>
      <w:r w:rsidR="00724DC2">
        <w:rPr>
          <w:rFonts w:asciiTheme="minorHAnsi" w:hAnsiTheme="minorHAnsi" w:cs="Arial"/>
          <w:color w:val="000000"/>
          <w:szCs w:val="22"/>
          <w:lang w:val="en-AU"/>
        </w:rPr>
        <w:t>medicine</w:t>
      </w:r>
      <w:r w:rsidRPr="00483466">
        <w:rPr>
          <w:rFonts w:asciiTheme="minorHAnsi" w:hAnsiTheme="minorHAnsi" w:cs="Arial"/>
          <w:color w:val="000000"/>
          <w:szCs w:val="22"/>
          <w:lang w:val="en-AU"/>
        </w:rPr>
        <w:t xml:space="preserve">s were more often </w:t>
      </w:r>
      <w:r w:rsidR="005800C7" w:rsidRPr="00483466">
        <w:rPr>
          <w:rFonts w:asciiTheme="minorHAnsi" w:hAnsiTheme="minorHAnsi" w:cs="Arial"/>
          <w:color w:val="000000"/>
          <w:szCs w:val="22"/>
          <w:lang w:val="en-AU"/>
        </w:rPr>
        <w:t xml:space="preserve">reported </w:t>
      </w:r>
      <w:r w:rsidRPr="00483466">
        <w:rPr>
          <w:rFonts w:asciiTheme="minorHAnsi" w:hAnsiTheme="minorHAnsi" w:cs="Arial"/>
          <w:color w:val="000000"/>
          <w:szCs w:val="22"/>
          <w:lang w:val="en-AU"/>
        </w:rPr>
        <w:t xml:space="preserve">among non-kit medicines compared to medicines from the </w:t>
      </w:r>
      <w:r w:rsidR="00704A42" w:rsidRPr="00483466">
        <w:rPr>
          <w:rFonts w:asciiTheme="minorHAnsi" w:hAnsiTheme="minorHAnsi" w:cs="Arial"/>
          <w:color w:val="000000"/>
          <w:szCs w:val="22"/>
          <w:lang w:val="en-AU"/>
        </w:rPr>
        <w:t xml:space="preserve">100% kits (26% </w:t>
      </w:r>
      <w:r w:rsidR="002E785F" w:rsidRPr="00483466">
        <w:rPr>
          <w:rFonts w:asciiTheme="minorHAnsi" w:hAnsiTheme="minorHAnsi" w:cs="Arial"/>
          <w:color w:val="000000"/>
          <w:szCs w:val="22"/>
          <w:lang w:val="en-AU"/>
        </w:rPr>
        <w:t>vs.</w:t>
      </w:r>
      <w:r w:rsidR="00704A42" w:rsidRPr="00483466">
        <w:rPr>
          <w:rFonts w:asciiTheme="minorHAnsi" w:hAnsiTheme="minorHAnsi" w:cs="Arial"/>
          <w:color w:val="000000"/>
          <w:szCs w:val="22"/>
          <w:lang w:val="en-AU"/>
        </w:rPr>
        <w:t xml:space="preserve"> 11%).</w:t>
      </w:r>
      <w:r w:rsidR="00E204A2" w:rsidRPr="00483466">
        <w:rPr>
          <w:rFonts w:asciiTheme="minorHAnsi" w:hAnsiTheme="minorHAnsi" w:cs="Arial"/>
          <w:color w:val="000000"/>
          <w:szCs w:val="22"/>
          <w:lang w:val="en-AU"/>
        </w:rPr>
        <w:t xml:space="preserve">  Quality of medicines is also affected by deficiencies</w:t>
      </w:r>
      <w:r w:rsidR="00E204A2" w:rsidRPr="00E27200">
        <w:rPr>
          <w:rFonts w:asciiTheme="minorHAnsi" w:hAnsiTheme="minorHAnsi" w:cs="Arial"/>
          <w:color w:val="000000"/>
          <w:szCs w:val="22"/>
          <w:lang w:val="en-AU"/>
        </w:rPr>
        <w:t xml:space="preserve"> in storage and handling at various levels, discussed in section</w:t>
      </w:r>
      <w:r w:rsidR="00CC7B21" w:rsidRPr="00E27200">
        <w:rPr>
          <w:rFonts w:asciiTheme="minorHAnsi" w:hAnsiTheme="minorHAnsi" w:cs="Arial"/>
          <w:color w:val="000000"/>
          <w:szCs w:val="22"/>
          <w:lang w:val="en-AU"/>
        </w:rPr>
        <w:t xml:space="preserve"> 6</w:t>
      </w:r>
      <w:r w:rsidR="00E204A2" w:rsidRPr="00E27200">
        <w:rPr>
          <w:rFonts w:asciiTheme="minorHAnsi" w:hAnsiTheme="minorHAnsi" w:cs="Arial"/>
          <w:color w:val="000000"/>
          <w:szCs w:val="22"/>
          <w:lang w:val="en-AU"/>
        </w:rPr>
        <w:t xml:space="preserve"> below.</w:t>
      </w:r>
    </w:p>
    <w:p w14:paraId="171E9209" w14:textId="77777777" w:rsidR="009E0C76" w:rsidRPr="00E27200" w:rsidRDefault="009E0C76" w:rsidP="00E16C77">
      <w:pPr>
        <w:rPr>
          <w:b/>
          <w:lang w:val="en-AU"/>
        </w:rPr>
      </w:pPr>
    </w:p>
    <w:p w14:paraId="0AD532EC" w14:textId="30733B32" w:rsidR="009E0C76" w:rsidRPr="00E27200" w:rsidRDefault="002E785F" w:rsidP="00E16C77">
      <w:pPr>
        <w:rPr>
          <w:b/>
          <w:lang w:val="en-AU"/>
        </w:rPr>
      </w:pPr>
      <w:r w:rsidRPr="00483466">
        <w:rPr>
          <w:b/>
          <w:lang w:val="en-AU"/>
        </w:rPr>
        <w:t>Table 2</w:t>
      </w:r>
      <w:r w:rsidR="009E0C76" w:rsidRPr="00483466">
        <w:rPr>
          <w:b/>
          <w:lang w:val="en-AU"/>
        </w:rPr>
        <w:t xml:space="preserve">: </w:t>
      </w:r>
      <w:r w:rsidR="005800C7" w:rsidRPr="00483466">
        <w:rPr>
          <w:b/>
          <w:lang w:val="en-AU"/>
        </w:rPr>
        <w:t>Proportion (</w:t>
      </w:r>
      <w:r w:rsidR="009E0C76" w:rsidRPr="00483466">
        <w:rPr>
          <w:b/>
          <w:lang w:val="en-AU"/>
        </w:rPr>
        <w:t>%</w:t>
      </w:r>
      <w:r w:rsidR="005800C7" w:rsidRPr="00483466">
        <w:rPr>
          <w:b/>
          <w:lang w:val="en-AU"/>
        </w:rPr>
        <w:t>)</w:t>
      </w:r>
      <w:r w:rsidR="009E0C76" w:rsidRPr="00483466">
        <w:rPr>
          <w:b/>
          <w:lang w:val="en-AU"/>
        </w:rPr>
        <w:t xml:space="preserve"> reporting YES to </w:t>
      </w:r>
      <w:r w:rsidR="00724DC2">
        <w:rPr>
          <w:b/>
          <w:lang w:val="en-AU"/>
        </w:rPr>
        <w:t>medicine</w:t>
      </w:r>
      <w:r w:rsidR="009E0C76" w:rsidRPr="00483466">
        <w:rPr>
          <w:b/>
          <w:lang w:val="en-AU"/>
        </w:rPr>
        <w:t xml:space="preserve"> quality questions (N=95)</w:t>
      </w:r>
    </w:p>
    <w:tbl>
      <w:tblPr>
        <w:tblStyle w:val="TableGrid"/>
        <w:tblW w:w="8789" w:type="dxa"/>
        <w:tblInd w:w="108" w:type="dxa"/>
        <w:tblLayout w:type="fixed"/>
        <w:tblLook w:val="04A0" w:firstRow="1" w:lastRow="0" w:firstColumn="1" w:lastColumn="0" w:noHBand="0" w:noVBand="1"/>
      </w:tblPr>
      <w:tblGrid>
        <w:gridCol w:w="1701"/>
        <w:gridCol w:w="709"/>
        <w:gridCol w:w="992"/>
        <w:gridCol w:w="709"/>
        <w:gridCol w:w="709"/>
        <w:gridCol w:w="709"/>
        <w:gridCol w:w="708"/>
        <w:gridCol w:w="709"/>
        <w:gridCol w:w="851"/>
        <w:gridCol w:w="992"/>
      </w:tblGrid>
      <w:tr w:rsidR="00F73A7F" w:rsidRPr="00E27200" w14:paraId="2C5A8CA7" w14:textId="77777777">
        <w:tc>
          <w:tcPr>
            <w:tcW w:w="1701" w:type="dxa"/>
            <w:vAlign w:val="center"/>
          </w:tcPr>
          <w:p w14:paraId="300F3E6F" w14:textId="77777777" w:rsidR="00F73A7F" w:rsidRPr="00E27200" w:rsidRDefault="00F73A7F" w:rsidP="00E16C77">
            <w:pPr>
              <w:rPr>
                <w:sz w:val="18"/>
                <w:szCs w:val="18"/>
                <w:lang w:val="en-AU"/>
              </w:rPr>
            </w:pPr>
          </w:p>
        </w:tc>
        <w:tc>
          <w:tcPr>
            <w:tcW w:w="3119" w:type="dxa"/>
            <w:gridSpan w:val="4"/>
            <w:vAlign w:val="center"/>
          </w:tcPr>
          <w:p w14:paraId="53DAF2BA" w14:textId="1306C451" w:rsidR="00F73A7F" w:rsidRPr="00E27200" w:rsidRDefault="00F73A7F" w:rsidP="005800C7">
            <w:pPr>
              <w:jc w:val="center"/>
              <w:rPr>
                <w:sz w:val="18"/>
                <w:szCs w:val="18"/>
                <w:lang w:val="en-AU"/>
              </w:rPr>
            </w:pPr>
            <w:r w:rsidRPr="00E27200">
              <w:rPr>
                <w:sz w:val="18"/>
                <w:szCs w:val="18"/>
                <w:lang w:val="en-AU"/>
              </w:rPr>
              <w:t xml:space="preserve">100% kit </w:t>
            </w:r>
            <w:r w:rsidR="005800C7">
              <w:rPr>
                <w:sz w:val="18"/>
                <w:szCs w:val="18"/>
                <w:lang w:val="en-AU"/>
              </w:rPr>
              <w:t>medicines</w:t>
            </w:r>
          </w:p>
        </w:tc>
        <w:tc>
          <w:tcPr>
            <w:tcW w:w="2977" w:type="dxa"/>
            <w:gridSpan w:val="4"/>
            <w:vAlign w:val="center"/>
          </w:tcPr>
          <w:p w14:paraId="119EB193" w14:textId="05A60B0E" w:rsidR="00F73A7F" w:rsidRPr="00E27200" w:rsidRDefault="00F73A7F" w:rsidP="005800C7">
            <w:pPr>
              <w:jc w:val="center"/>
              <w:rPr>
                <w:sz w:val="18"/>
                <w:szCs w:val="18"/>
                <w:lang w:val="en-AU"/>
              </w:rPr>
            </w:pPr>
            <w:r w:rsidRPr="00E27200">
              <w:rPr>
                <w:sz w:val="18"/>
                <w:szCs w:val="18"/>
                <w:lang w:val="en-AU"/>
              </w:rPr>
              <w:t xml:space="preserve">Non-100% kit </w:t>
            </w:r>
            <w:r w:rsidR="005800C7">
              <w:rPr>
                <w:sz w:val="18"/>
                <w:szCs w:val="18"/>
                <w:lang w:val="en-AU"/>
              </w:rPr>
              <w:t>medicines</w:t>
            </w:r>
          </w:p>
        </w:tc>
        <w:tc>
          <w:tcPr>
            <w:tcW w:w="992" w:type="dxa"/>
            <w:vMerge w:val="restart"/>
            <w:shd w:val="clear" w:color="auto" w:fill="BFBFBF" w:themeFill="background1" w:themeFillShade="BF"/>
            <w:vAlign w:val="center"/>
          </w:tcPr>
          <w:p w14:paraId="100F0C61" w14:textId="77777777" w:rsidR="00F73A7F" w:rsidRPr="00E27200" w:rsidRDefault="00F73A7F" w:rsidP="00E16C77">
            <w:pPr>
              <w:pStyle w:val="Textotabela10"/>
              <w:rPr>
                <w:b/>
                <w:sz w:val="18"/>
                <w:szCs w:val="18"/>
                <w:lang w:val="en-AU"/>
              </w:rPr>
            </w:pPr>
            <w:r w:rsidRPr="00E27200">
              <w:rPr>
                <w:rFonts w:asciiTheme="minorHAnsi" w:eastAsiaTheme="minorHAnsi" w:hAnsiTheme="minorHAnsi" w:cstheme="minorBidi"/>
                <w:b/>
                <w:sz w:val="18"/>
                <w:szCs w:val="18"/>
                <w:lang w:val="en-AU" w:eastAsia="en-US"/>
              </w:rPr>
              <w:t>TOTAL</w:t>
            </w:r>
          </w:p>
        </w:tc>
      </w:tr>
      <w:tr w:rsidR="00F73A7F" w:rsidRPr="00E27200" w14:paraId="37222D57" w14:textId="77777777">
        <w:tc>
          <w:tcPr>
            <w:tcW w:w="1701" w:type="dxa"/>
            <w:vAlign w:val="center"/>
          </w:tcPr>
          <w:p w14:paraId="28D2AAFA" w14:textId="77777777" w:rsidR="00F73A7F" w:rsidRPr="00E27200" w:rsidRDefault="00F73A7F" w:rsidP="00E16C77">
            <w:pPr>
              <w:rPr>
                <w:sz w:val="18"/>
                <w:szCs w:val="18"/>
                <w:lang w:val="en-AU"/>
              </w:rPr>
            </w:pPr>
          </w:p>
        </w:tc>
        <w:tc>
          <w:tcPr>
            <w:tcW w:w="709" w:type="dxa"/>
            <w:vAlign w:val="center"/>
          </w:tcPr>
          <w:p w14:paraId="34F5F729" w14:textId="77777777" w:rsidR="00F73A7F" w:rsidRPr="00E27200" w:rsidRDefault="00F73A7F" w:rsidP="00E16C77">
            <w:pPr>
              <w:pStyle w:val="Textotabela10"/>
              <w:rPr>
                <w:rFonts w:asciiTheme="minorHAnsi" w:eastAsiaTheme="minorHAnsi" w:hAnsiTheme="minorHAnsi" w:cstheme="minorBidi"/>
                <w:sz w:val="18"/>
                <w:szCs w:val="18"/>
                <w:lang w:val="en-AU" w:eastAsia="en-US"/>
              </w:rPr>
            </w:pPr>
            <w:proofErr w:type="spellStart"/>
            <w:r w:rsidRPr="00E27200">
              <w:rPr>
                <w:rFonts w:asciiTheme="minorHAnsi" w:eastAsiaTheme="minorHAnsi" w:hAnsiTheme="minorHAnsi" w:cstheme="minorBidi"/>
                <w:sz w:val="18"/>
                <w:szCs w:val="18"/>
                <w:lang w:val="en-AU" w:eastAsia="en-US"/>
              </w:rPr>
              <w:t>Hosp</w:t>
            </w:r>
            <w:proofErr w:type="spellEnd"/>
          </w:p>
        </w:tc>
        <w:tc>
          <w:tcPr>
            <w:tcW w:w="992" w:type="dxa"/>
            <w:vAlign w:val="center"/>
          </w:tcPr>
          <w:p w14:paraId="5B17BE87" w14:textId="77777777" w:rsidR="00F73A7F" w:rsidRPr="00E27200" w:rsidRDefault="00F73A7F"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HC/SC</w:t>
            </w:r>
          </w:p>
        </w:tc>
        <w:tc>
          <w:tcPr>
            <w:tcW w:w="709" w:type="dxa"/>
            <w:vAlign w:val="center"/>
          </w:tcPr>
          <w:p w14:paraId="38F52AB1" w14:textId="77777777" w:rsidR="00F73A7F" w:rsidRPr="00E27200" w:rsidRDefault="00F73A7F"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AP</w:t>
            </w:r>
          </w:p>
        </w:tc>
        <w:tc>
          <w:tcPr>
            <w:tcW w:w="709" w:type="dxa"/>
            <w:shd w:val="clear" w:color="auto" w:fill="D9D9D9" w:themeFill="background1" w:themeFillShade="D9"/>
            <w:vAlign w:val="center"/>
          </w:tcPr>
          <w:p w14:paraId="3073A67D" w14:textId="77777777" w:rsidR="00F73A7F" w:rsidRPr="00E27200" w:rsidRDefault="00F73A7F"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Total</w:t>
            </w:r>
          </w:p>
          <w:p w14:paraId="5FC6C93F" w14:textId="77777777" w:rsidR="00F73A7F" w:rsidRPr="00E27200" w:rsidRDefault="00F73A7F" w:rsidP="00E16C77">
            <w:pPr>
              <w:pStyle w:val="BodyText"/>
              <w:rPr>
                <w:bCs/>
                <w:sz w:val="18"/>
                <w:szCs w:val="18"/>
                <w:lang w:val="en-AU"/>
              </w:rPr>
            </w:pPr>
            <w:r w:rsidRPr="00E27200">
              <w:rPr>
                <w:sz w:val="18"/>
                <w:szCs w:val="18"/>
                <w:lang w:val="en-AU"/>
              </w:rPr>
              <w:t>(kit)</w:t>
            </w:r>
          </w:p>
        </w:tc>
        <w:tc>
          <w:tcPr>
            <w:tcW w:w="709" w:type="dxa"/>
            <w:vAlign w:val="center"/>
          </w:tcPr>
          <w:p w14:paraId="68236CCC" w14:textId="77777777" w:rsidR="00F73A7F" w:rsidRPr="00E27200" w:rsidRDefault="00F73A7F" w:rsidP="00E16C77">
            <w:pPr>
              <w:pStyle w:val="Textotabela10"/>
              <w:rPr>
                <w:rFonts w:asciiTheme="minorHAnsi" w:eastAsiaTheme="minorHAnsi" w:hAnsiTheme="minorHAnsi" w:cstheme="minorBidi"/>
                <w:sz w:val="18"/>
                <w:szCs w:val="18"/>
                <w:lang w:val="en-AU" w:eastAsia="en-US"/>
              </w:rPr>
            </w:pPr>
            <w:proofErr w:type="spellStart"/>
            <w:r w:rsidRPr="00E27200">
              <w:rPr>
                <w:rFonts w:asciiTheme="minorHAnsi" w:eastAsiaTheme="minorHAnsi" w:hAnsiTheme="minorHAnsi" w:cstheme="minorBidi"/>
                <w:sz w:val="18"/>
                <w:szCs w:val="18"/>
                <w:lang w:val="en-AU" w:eastAsia="en-US"/>
              </w:rPr>
              <w:t>Hosp</w:t>
            </w:r>
            <w:proofErr w:type="spellEnd"/>
          </w:p>
        </w:tc>
        <w:tc>
          <w:tcPr>
            <w:tcW w:w="708" w:type="dxa"/>
            <w:vAlign w:val="center"/>
          </w:tcPr>
          <w:p w14:paraId="3211B211" w14:textId="77777777" w:rsidR="00F73A7F" w:rsidRPr="00E27200" w:rsidRDefault="00F73A7F"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HC/SC</w:t>
            </w:r>
          </w:p>
        </w:tc>
        <w:tc>
          <w:tcPr>
            <w:tcW w:w="709" w:type="dxa"/>
            <w:vAlign w:val="center"/>
          </w:tcPr>
          <w:p w14:paraId="6BE8F57D" w14:textId="77777777" w:rsidR="00F73A7F" w:rsidRPr="00E27200" w:rsidRDefault="00F73A7F"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AP</w:t>
            </w:r>
          </w:p>
        </w:tc>
        <w:tc>
          <w:tcPr>
            <w:tcW w:w="851" w:type="dxa"/>
            <w:shd w:val="clear" w:color="auto" w:fill="D9D9D9" w:themeFill="background1" w:themeFillShade="D9"/>
            <w:vAlign w:val="center"/>
          </w:tcPr>
          <w:p w14:paraId="631EA8E8" w14:textId="77777777" w:rsidR="00F73A7F" w:rsidRPr="00E27200" w:rsidRDefault="00F73A7F"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Total</w:t>
            </w:r>
          </w:p>
          <w:p w14:paraId="2A42A6B9" w14:textId="77777777" w:rsidR="00F73A7F" w:rsidRPr="00E27200" w:rsidRDefault="00F73A7F" w:rsidP="00E16C77">
            <w:pPr>
              <w:pStyle w:val="BodyText"/>
              <w:rPr>
                <w:bCs/>
                <w:sz w:val="18"/>
                <w:szCs w:val="18"/>
                <w:lang w:val="en-AU"/>
              </w:rPr>
            </w:pPr>
            <w:r w:rsidRPr="00E27200">
              <w:rPr>
                <w:sz w:val="18"/>
                <w:szCs w:val="18"/>
                <w:lang w:val="en-AU"/>
              </w:rPr>
              <w:t>(non-kit)</w:t>
            </w:r>
          </w:p>
        </w:tc>
        <w:tc>
          <w:tcPr>
            <w:tcW w:w="992" w:type="dxa"/>
            <w:vMerge/>
            <w:shd w:val="clear" w:color="auto" w:fill="BFBFBF" w:themeFill="background1" w:themeFillShade="BF"/>
            <w:vAlign w:val="center"/>
          </w:tcPr>
          <w:p w14:paraId="5A02C3E6" w14:textId="77777777" w:rsidR="00F73A7F" w:rsidRPr="00E27200" w:rsidRDefault="00F73A7F" w:rsidP="00E16C77">
            <w:pPr>
              <w:pStyle w:val="Textotabela10"/>
              <w:rPr>
                <w:rFonts w:asciiTheme="minorHAnsi" w:eastAsiaTheme="minorHAnsi" w:hAnsiTheme="minorHAnsi" w:cstheme="minorBidi"/>
                <w:b/>
                <w:sz w:val="18"/>
                <w:szCs w:val="18"/>
                <w:lang w:val="en-AU" w:eastAsia="en-US"/>
              </w:rPr>
            </w:pPr>
          </w:p>
        </w:tc>
      </w:tr>
      <w:tr w:rsidR="009E0C76" w:rsidRPr="00E27200" w14:paraId="5CC30C7A" w14:textId="77777777">
        <w:tc>
          <w:tcPr>
            <w:tcW w:w="1701" w:type="dxa"/>
            <w:vAlign w:val="center"/>
          </w:tcPr>
          <w:p w14:paraId="353233D4" w14:textId="77777777" w:rsidR="009E0C76" w:rsidRPr="00E27200" w:rsidRDefault="009E0C76" w:rsidP="00E16C77">
            <w:pPr>
              <w:rPr>
                <w:sz w:val="18"/>
                <w:szCs w:val="18"/>
                <w:lang w:val="en-AU"/>
              </w:rPr>
            </w:pPr>
            <w:r w:rsidRPr="00E27200">
              <w:rPr>
                <w:sz w:val="18"/>
                <w:szCs w:val="18"/>
                <w:lang w:val="en-AU"/>
              </w:rPr>
              <w:t>Medicines discoloured?</w:t>
            </w:r>
          </w:p>
        </w:tc>
        <w:tc>
          <w:tcPr>
            <w:tcW w:w="709" w:type="dxa"/>
            <w:vAlign w:val="center"/>
          </w:tcPr>
          <w:p w14:paraId="61FB21F5" w14:textId="77777777" w:rsidR="009E0C76" w:rsidRPr="00E27200" w:rsidRDefault="009E0C76"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15%</w:t>
            </w:r>
          </w:p>
        </w:tc>
        <w:tc>
          <w:tcPr>
            <w:tcW w:w="992" w:type="dxa"/>
            <w:vAlign w:val="center"/>
          </w:tcPr>
          <w:p w14:paraId="7A529AF4" w14:textId="77777777" w:rsidR="009E0C76" w:rsidRPr="00E27200" w:rsidRDefault="009E0C76"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8%</w:t>
            </w:r>
          </w:p>
        </w:tc>
        <w:tc>
          <w:tcPr>
            <w:tcW w:w="709" w:type="dxa"/>
            <w:vAlign w:val="center"/>
          </w:tcPr>
          <w:p w14:paraId="4E0F7282" w14:textId="77777777" w:rsidR="009E0C76" w:rsidRPr="00E27200" w:rsidRDefault="009E0C76"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11%</w:t>
            </w:r>
          </w:p>
        </w:tc>
        <w:tc>
          <w:tcPr>
            <w:tcW w:w="709" w:type="dxa"/>
            <w:shd w:val="clear" w:color="auto" w:fill="D9D9D9" w:themeFill="background1" w:themeFillShade="D9"/>
            <w:vAlign w:val="center"/>
          </w:tcPr>
          <w:p w14:paraId="41A8C669" w14:textId="77777777" w:rsidR="009E0C76" w:rsidRPr="00E27200" w:rsidRDefault="009E0C76"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11%</w:t>
            </w:r>
          </w:p>
        </w:tc>
        <w:tc>
          <w:tcPr>
            <w:tcW w:w="709" w:type="dxa"/>
            <w:vAlign w:val="center"/>
          </w:tcPr>
          <w:p w14:paraId="02D0742E" w14:textId="77777777" w:rsidR="009E0C76" w:rsidRPr="00E27200" w:rsidRDefault="009E0C76"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31%</w:t>
            </w:r>
          </w:p>
        </w:tc>
        <w:tc>
          <w:tcPr>
            <w:tcW w:w="708" w:type="dxa"/>
            <w:vAlign w:val="center"/>
          </w:tcPr>
          <w:p w14:paraId="1205A782" w14:textId="77777777" w:rsidR="009E0C76" w:rsidRPr="00E27200" w:rsidRDefault="009E0C76"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23%</w:t>
            </w:r>
          </w:p>
        </w:tc>
        <w:tc>
          <w:tcPr>
            <w:tcW w:w="709" w:type="dxa"/>
            <w:vAlign w:val="center"/>
          </w:tcPr>
          <w:p w14:paraId="7DF7F2CD" w14:textId="77777777" w:rsidR="009E0C76" w:rsidRPr="00E27200" w:rsidRDefault="009E0C76"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42%</w:t>
            </w:r>
          </w:p>
        </w:tc>
        <w:tc>
          <w:tcPr>
            <w:tcW w:w="851" w:type="dxa"/>
            <w:shd w:val="clear" w:color="auto" w:fill="D9D9D9" w:themeFill="background1" w:themeFillShade="D9"/>
            <w:vAlign w:val="center"/>
          </w:tcPr>
          <w:p w14:paraId="2C2AABBE" w14:textId="77777777" w:rsidR="009E0C76" w:rsidRPr="00E27200" w:rsidRDefault="009E0C76" w:rsidP="00E16C77">
            <w:pPr>
              <w:pStyle w:val="Textotabela10"/>
              <w:rPr>
                <w:rFonts w:asciiTheme="minorHAnsi" w:eastAsiaTheme="minorHAnsi" w:hAnsiTheme="minorHAnsi" w:cstheme="minorBidi"/>
                <w:sz w:val="18"/>
                <w:szCs w:val="18"/>
                <w:lang w:val="en-AU" w:eastAsia="en-US"/>
              </w:rPr>
            </w:pPr>
            <w:r w:rsidRPr="00E27200">
              <w:rPr>
                <w:rFonts w:asciiTheme="minorHAnsi" w:eastAsiaTheme="minorHAnsi" w:hAnsiTheme="minorHAnsi" w:cstheme="minorBidi"/>
                <w:sz w:val="18"/>
                <w:szCs w:val="18"/>
                <w:lang w:val="en-AU" w:eastAsia="en-US"/>
              </w:rPr>
              <w:t>32%</w:t>
            </w:r>
          </w:p>
        </w:tc>
        <w:tc>
          <w:tcPr>
            <w:tcW w:w="992" w:type="dxa"/>
            <w:shd w:val="clear" w:color="auto" w:fill="BFBFBF" w:themeFill="background1" w:themeFillShade="BF"/>
            <w:vAlign w:val="center"/>
          </w:tcPr>
          <w:p w14:paraId="7C0B68DE" w14:textId="77777777" w:rsidR="009E0C76" w:rsidRPr="00E27200" w:rsidRDefault="009E0C76" w:rsidP="00E16C77">
            <w:pPr>
              <w:pStyle w:val="Textotabela10"/>
              <w:rPr>
                <w:rFonts w:asciiTheme="minorHAnsi" w:eastAsiaTheme="minorHAnsi" w:hAnsiTheme="minorHAnsi" w:cstheme="minorBidi"/>
                <w:b/>
                <w:sz w:val="18"/>
                <w:szCs w:val="18"/>
                <w:lang w:val="en-AU" w:eastAsia="en-US"/>
              </w:rPr>
            </w:pPr>
            <w:r w:rsidRPr="00E27200">
              <w:rPr>
                <w:rFonts w:asciiTheme="minorHAnsi" w:eastAsiaTheme="minorHAnsi" w:hAnsiTheme="minorHAnsi" w:cstheme="minorBidi"/>
                <w:b/>
                <w:sz w:val="18"/>
                <w:szCs w:val="18"/>
                <w:lang w:val="en-AU" w:eastAsia="en-US"/>
              </w:rPr>
              <w:t>22%</w:t>
            </w:r>
          </w:p>
        </w:tc>
      </w:tr>
      <w:tr w:rsidR="009E0C76" w:rsidRPr="00E27200" w14:paraId="7A791848" w14:textId="77777777">
        <w:tc>
          <w:tcPr>
            <w:tcW w:w="1701" w:type="dxa"/>
            <w:vAlign w:val="center"/>
          </w:tcPr>
          <w:p w14:paraId="41C279AA" w14:textId="77777777" w:rsidR="009E0C76" w:rsidRPr="00E27200" w:rsidRDefault="009E0C76" w:rsidP="00E16C77">
            <w:pPr>
              <w:rPr>
                <w:sz w:val="18"/>
                <w:szCs w:val="18"/>
                <w:lang w:val="en-AU"/>
              </w:rPr>
            </w:pPr>
            <w:r w:rsidRPr="00E27200">
              <w:rPr>
                <w:sz w:val="18"/>
                <w:szCs w:val="18"/>
                <w:lang w:val="en-AU"/>
              </w:rPr>
              <w:t>Medicines broken/crumbled?</w:t>
            </w:r>
          </w:p>
        </w:tc>
        <w:tc>
          <w:tcPr>
            <w:tcW w:w="709" w:type="dxa"/>
            <w:vAlign w:val="center"/>
          </w:tcPr>
          <w:p w14:paraId="5CC24453" w14:textId="77777777" w:rsidR="009E0C76" w:rsidRPr="00E27200" w:rsidRDefault="009E0C76" w:rsidP="00E16C77">
            <w:pPr>
              <w:rPr>
                <w:sz w:val="18"/>
                <w:szCs w:val="18"/>
                <w:lang w:val="en-AU"/>
              </w:rPr>
            </w:pPr>
            <w:r w:rsidRPr="00E27200">
              <w:rPr>
                <w:sz w:val="18"/>
                <w:szCs w:val="18"/>
                <w:lang w:val="en-AU"/>
              </w:rPr>
              <w:t>8%</w:t>
            </w:r>
          </w:p>
        </w:tc>
        <w:tc>
          <w:tcPr>
            <w:tcW w:w="992" w:type="dxa"/>
            <w:vAlign w:val="center"/>
          </w:tcPr>
          <w:p w14:paraId="23C40EA1" w14:textId="77777777" w:rsidR="009E0C76" w:rsidRPr="00E27200" w:rsidRDefault="009E0C76" w:rsidP="00E16C77">
            <w:pPr>
              <w:rPr>
                <w:sz w:val="18"/>
                <w:szCs w:val="18"/>
                <w:lang w:val="en-AU"/>
              </w:rPr>
            </w:pPr>
            <w:r w:rsidRPr="00E27200">
              <w:rPr>
                <w:sz w:val="18"/>
                <w:szCs w:val="18"/>
                <w:lang w:val="en-AU"/>
              </w:rPr>
              <w:t>21%</w:t>
            </w:r>
          </w:p>
        </w:tc>
        <w:tc>
          <w:tcPr>
            <w:tcW w:w="709" w:type="dxa"/>
            <w:vAlign w:val="center"/>
          </w:tcPr>
          <w:p w14:paraId="3371EE3C" w14:textId="77777777" w:rsidR="009E0C76" w:rsidRPr="00E27200" w:rsidRDefault="009E0C76" w:rsidP="00E16C77">
            <w:pPr>
              <w:rPr>
                <w:sz w:val="18"/>
                <w:szCs w:val="18"/>
                <w:lang w:val="en-AU"/>
              </w:rPr>
            </w:pPr>
            <w:r w:rsidRPr="00E27200">
              <w:rPr>
                <w:sz w:val="18"/>
                <w:szCs w:val="18"/>
                <w:lang w:val="en-AU"/>
              </w:rPr>
              <w:t>9%</w:t>
            </w:r>
          </w:p>
        </w:tc>
        <w:tc>
          <w:tcPr>
            <w:tcW w:w="709" w:type="dxa"/>
            <w:shd w:val="clear" w:color="auto" w:fill="D9D9D9" w:themeFill="background1" w:themeFillShade="D9"/>
            <w:vAlign w:val="center"/>
          </w:tcPr>
          <w:p w14:paraId="34CD5308" w14:textId="77777777" w:rsidR="009E0C76" w:rsidRPr="00E27200" w:rsidRDefault="009E0C76" w:rsidP="00E16C77">
            <w:pPr>
              <w:rPr>
                <w:sz w:val="18"/>
                <w:szCs w:val="18"/>
                <w:lang w:val="en-AU"/>
              </w:rPr>
            </w:pPr>
            <w:r w:rsidRPr="00E27200">
              <w:rPr>
                <w:sz w:val="18"/>
                <w:szCs w:val="18"/>
                <w:lang w:val="en-AU"/>
              </w:rPr>
              <w:t>14%</w:t>
            </w:r>
          </w:p>
        </w:tc>
        <w:tc>
          <w:tcPr>
            <w:tcW w:w="709" w:type="dxa"/>
            <w:vAlign w:val="center"/>
          </w:tcPr>
          <w:p w14:paraId="43F72E93" w14:textId="77777777" w:rsidR="009E0C76" w:rsidRPr="00E27200" w:rsidRDefault="009E0C76" w:rsidP="00E16C77">
            <w:pPr>
              <w:rPr>
                <w:sz w:val="18"/>
                <w:szCs w:val="18"/>
                <w:lang w:val="en-AU"/>
              </w:rPr>
            </w:pPr>
            <w:r w:rsidRPr="00E27200">
              <w:rPr>
                <w:sz w:val="18"/>
                <w:szCs w:val="18"/>
                <w:lang w:val="en-AU"/>
              </w:rPr>
              <w:t>23%</w:t>
            </w:r>
          </w:p>
        </w:tc>
        <w:tc>
          <w:tcPr>
            <w:tcW w:w="708" w:type="dxa"/>
            <w:vAlign w:val="center"/>
          </w:tcPr>
          <w:p w14:paraId="7CC2A0FB" w14:textId="77777777" w:rsidR="009E0C76" w:rsidRPr="00E27200" w:rsidRDefault="009E0C76" w:rsidP="00E16C77">
            <w:pPr>
              <w:rPr>
                <w:sz w:val="18"/>
                <w:szCs w:val="18"/>
                <w:lang w:val="en-AU"/>
              </w:rPr>
            </w:pPr>
            <w:r w:rsidRPr="00E27200">
              <w:rPr>
                <w:sz w:val="18"/>
                <w:szCs w:val="18"/>
                <w:lang w:val="en-AU"/>
              </w:rPr>
              <w:t>30%</w:t>
            </w:r>
          </w:p>
        </w:tc>
        <w:tc>
          <w:tcPr>
            <w:tcW w:w="709" w:type="dxa"/>
            <w:vAlign w:val="center"/>
          </w:tcPr>
          <w:p w14:paraId="51A6A662" w14:textId="77777777" w:rsidR="009E0C76" w:rsidRPr="00E27200" w:rsidRDefault="009E0C76" w:rsidP="00E16C77">
            <w:pPr>
              <w:rPr>
                <w:sz w:val="18"/>
                <w:szCs w:val="18"/>
                <w:lang w:val="en-AU"/>
              </w:rPr>
            </w:pPr>
            <w:r w:rsidRPr="00E27200">
              <w:rPr>
                <w:sz w:val="18"/>
                <w:szCs w:val="18"/>
                <w:lang w:val="en-AU"/>
              </w:rPr>
              <w:t>25%</w:t>
            </w:r>
          </w:p>
        </w:tc>
        <w:tc>
          <w:tcPr>
            <w:tcW w:w="851" w:type="dxa"/>
            <w:shd w:val="clear" w:color="auto" w:fill="D9D9D9" w:themeFill="background1" w:themeFillShade="D9"/>
            <w:vAlign w:val="center"/>
          </w:tcPr>
          <w:p w14:paraId="0149D858" w14:textId="77777777" w:rsidR="009E0C76" w:rsidRPr="00E27200" w:rsidRDefault="009E0C76" w:rsidP="00E16C77">
            <w:pPr>
              <w:rPr>
                <w:sz w:val="18"/>
                <w:szCs w:val="18"/>
                <w:lang w:val="en-AU"/>
              </w:rPr>
            </w:pPr>
            <w:r w:rsidRPr="00E27200">
              <w:rPr>
                <w:sz w:val="18"/>
                <w:szCs w:val="18"/>
                <w:lang w:val="en-AU"/>
              </w:rPr>
              <w:t>26%</w:t>
            </w:r>
          </w:p>
        </w:tc>
        <w:tc>
          <w:tcPr>
            <w:tcW w:w="992" w:type="dxa"/>
            <w:shd w:val="clear" w:color="auto" w:fill="BFBFBF" w:themeFill="background1" w:themeFillShade="BF"/>
            <w:vAlign w:val="center"/>
          </w:tcPr>
          <w:p w14:paraId="08FD5A2D" w14:textId="77777777" w:rsidR="009E0C76" w:rsidRPr="00E27200" w:rsidRDefault="009E0C76" w:rsidP="00E16C77">
            <w:pPr>
              <w:rPr>
                <w:b/>
                <w:sz w:val="18"/>
                <w:szCs w:val="18"/>
                <w:lang w:val="en-AU"/>
              </w:rPr>
            </w:pPr>
            <w:r w:rsidRPr="00E27200">
              <w:rPr>
                <w:b/>
                <w:sz w:val="18"/>
                <w:szCs w:val="18"/>
                <w:lang w:val="en-AU"/>
              </w:rPr>
              <w:t>20%</w:t>
            </w:r>
          </w:p>
        </w:tc>
      </w:tr>
      <w:tr w:rsidR="009E0C76" w:rsidRPr="00E27200" w14:paraId="68A74793" w14:textId="77777777">
        <w:tc>
          <w:tcPr>
            <w:tcW w:w="1701" w:type="dxa"/>
            <w:vAlign w:val="center"/>
          </w:tcPr>
          <w:p w14:paraId="12A586BF" w14:textId="77777777" w:rsidR="009E0C76" w:rsidRPr="00E27200" w:rsidRDefault="009E0C76" w:rsidP="00E16C77">
            <w:pPr>
              <w:rPr>
                <w:sz w:val="18"/>
                <w:szCs w:val="18"/>
                <w:lang w:val="en-AU"/>
              </w:rPr>
            </w:pPr>
            <w:r w:rsidRPr="00E27200">
              <w:rPr>
                <w:sz w:val="18"/>
                <w:szCs w:val="18"/>
                <w:lang w:val="en-AU"/>
              </w:rPr>
              <w:t>Containers broken/cracked?</w:t>
            </w:r>
          </w:p>
        </w:tc>
        <w:tc>
          <w:tcPr>
            <w:tcW w:w="709" w:type="dxa"/>
            <w:vAlign w:val="center"/>
          </w:tcPr>
          <w:p w14:paraId="732EFD90" w14:textId="77777777" w:rsidR="009E0C76" w:rsidRPr="00E27200" w:rsidRDefault="009E0C76" w:rsidP="00E16C77">
            <w:pPr>
              <w:rPr>
                <w:sz w:val="18"/>
                <w:szCs w:val="18"/>
                <w:lang w:val="en-AU"/>
              </w:rPr>
            </w:pPr>
            <w:r w:rsidRPr="00E27200">
              <w:rPr>
                <w:sz w:val="18"/>
                <w:szCs w:val="18"/>
                <w:lang w:val="en-AU"/>
              </w:rPr>
              <w:t>8%</w:t>
            </w:r>
          </w:p>
        </w:tc>
        <w:tc>
          <w:tcPr>
            <w:tcW w:w="992" w:type="dxa"/>
            <w:vAlign w:val="center"/>
          </w:tcPr>
          <w:p w14:paraId="6CC275A5" w14:textId="77777777" w:rsidR="009E0C76" w:rsidRPr="00E27200" w:rsidRDefault="009E0C76" w:rsidP="00E16C77">
            <w:pPr>
              <w:rPr>
                <w:sz w:val="18"/>
                <w:szCs w:val="18"/>
                <w:lang w:val="en-AU"/>
              </w:rPr>
            </w:pPr>
            <w:r w:rsidRPr="00E27200">
              <w:rPr>
                <w:sz w:val="18"/>
                <w:szCs w:val="18"/>
                <w:lang w:val="en-AU"/>
              </w:rPr>
              <w:t>5%</w:t>
            </w:r>
          </w:p>
        </w:tc>
        <w:tc>
          <w:tcPr>
            <w:tcW w:w="709" w:type="dxa"/>
            <w:vAlign w:val="center"/>
          </w:tcPr>
          <w:p w14:paraId="7B28305A" w14:textId="77777777" w:rsidR="009E0C76" w:rsidRPr="00E27200" w:rsidRDefault="009E0C76" w:rsidP="00E16C77">
            <w:pPr>
              <w:rPr>
                <w:sz w:val="18"/>
                <w:szCs w:val="18"/>
                <w:lang w:val="en-AU"/>
              </w:rPr>
            </w:pPr>
            <w:r w:rsidRPr="00E27200">
              <w:rPr>
                <w:sz w:val="18"/>
                <w:szCs w:val="18"/>
                <w:lang w:val="en-AU"/>
              </w:rPr>
              <w:t>4%</w:t>
            </w:r>
          </w:p>
        </w:tc>
        <w:tc>
          <w:tcPr>
            <w:tcW w:w="709" w:type="dxa"/>
            <w:shd w:val="clear" w:color="auto" w:fill="D9D9D9" w:themeFill="background1" w:themeFillShade="D9"/>
            <w:vAlign w:val="center"/>
          </w:tcPr>
          <w:p w14:paraId="4FD3DECF" w14:textId="77777777" w:rsidR="009E0C76" w:rsidRPr="00E27200" w:rsidRDefault="009E0C76" w:rsidP="00E16C77">
            <w:pPr>
              <w:rPr>
                <w:sz w:val="18"/>
                <w:szCs w:val="18"/>
                <w:lang w:val="en-AU"/>
              </w:rPr>
            </w:pPr>
            <w:r w:rsidRPr="00E27200">
              <w:rPr>
                <w:sz w:val="18"/>
                <w:szCs w:val="18"/>
                <w:lang w:val="en-AU"/>
              </w:rPr>
              <w:t>5%</w:t>
            </w:r>
          </w:p>
        </w:tc>
        <w:tc>
          <w:tcPr>
            <w:tcW w:w="709" w:type="dxa"/>
            <w:vAlign w:val="center"/>
          </w:tcPr>
          <w:p w14:paraId="0E179D9E" w14:textId="77777777" w:rsidR="009E0C76" w:rsidRPr="00E27200" w:rsidRDefault="009E0C76" w:rsidP="00E16C77">
            <w:pPr>
              <w:rPr>
                <w:sz w:val="18"/>
                <w:szCs w:val="18"/>
                <w:lang w:val="en-AU"/>
              </w:rPr>
            </w:pPr>
            <w:r w:rsidRPr="00E27200">
              <w:rPr>
                <w:sz w:val="18"/>
                <w:szCs w:val="18"/>
                <w:lang w:val="en-AU"/>
              </w:rPr>
              <w:t>15%</w:t>
            </w:r>
          </w:p>
        </w:tc>
        <w:tc>
          <w:tcPr>
            <w:tcW w:w="708" w:type="dxa"/>
            <w:vAlign w:val="center"/>
          </w:tcPr>
          <w:p w14:paraId="3B0677E3" w14:textId="77777777" w:rsidR="009E0C76" w:rsidRPr="00E27200" w:rsidRDefault="009E0C76" w:rsidP="00E16C77">
            <w:pPr>
              <w:rPr>
                <w:sz w:val="18"/>
                <w:szCs w:val="18"/>
                <w:lang w:val="en-AU"/>
              </w:rPr>
            </w:pPr>
            <w:r w:rsidRPr="00E27200">
              <w:rPr>
                <w:sz w:val="18"/>
                <w:szCs w:val="18"/>
                <w:lang w:val="en-AU"/>
              </w:rPr>
              <w:t>13%</w:t>
            </w:r>
          </w:p>
        </w:tc>
        <w:tc>
          <w:tcPr>
            <w:tcW w:w="709" w:type="dxa"/>
            <w:vAlign w:val="center"/>
          </w:tcPr>
          <w:p w14:paraId="02320FDE" w14:textId="77777777" w:rsidR="009E0C76" w:rsidRPr="00E27200" w:rsidRDefault="009E0C76" w:rsidP="00E16C77">
            <w:pPr>
              <w:rPr>
                <w:sz w:val="18"/>
                <w:szCs w:val="18"/>
                <w:lang w:val="en-AU"/>
              </w:rPr>
            </w:pPr>
            <w:r w:rsidRPr="00E27200">
              <w:rPr>
                <w:sz w:val="18"/>
                <w:szCs w:val="18"/>
                <w:lang w:val="en-AU"/>
              </w:rPr>
              <w:t>17%</w:t>
            </w:r>
          </w:p>
        </w:tc>
        <w:tc>
          <w:tcPr>
            <w:tcW w:w="851" w:type="dxa"/>
            <w:shd w:val="clear" w:color="auto" w:fill="D9D9D9" w:themeFill="background1" w:themeFillShade="D9"/>
            <w:vAlign w:val="center"/>
          </w:tcPr>
          <w:p w14:paraId="5597674D" w14:textId="77777777" w:rsidR="009E0C76" w:rsidRPr="00E27200" w:rsidRDefault="009E0C76" w:rsidP="00E16C77">
            <w:pPr>
              <w:rPr>
                <w:sz w:val="18"/>
                <w:szCs w:val="18"/>
                <w:lang w:val="en-AU"/>
              </w:rPr>
            </w:pPr>
            <w:r w:rsidRPr="00E27200">
              <w:rPr>
                <w:sz w:val="18"/>
                <w:szCs w:val="18"/>
                <w:lang w:val="en-AU"/>
              </w:rPr>
              <w:t>15%</w:t>
            </w:r>
          </w:p>
        </w:tc>
        <w:tc>
          <w:tcPr>
            <w:tcW w:w="992" w:type="dxa"/>
            <w:shd w:val="clear" w:color="auto" w:fill="BFBFBF" w:themeFill="background1" w:themeFillShade="BF"/>
            <w:vAlign w:val="center"/>
          </w:tcPr>
          <w:p w14:paraId="2C62E2E5" w14:textId="77777777" w:rsidR="009E0C76" w:rsidRPr="00E27200" w:rsidRDefault="009E0C76" w:rsidP="00E16C77">
            <w:pPr>
              <w:rPr>
                <w:b/>
                <w:sz w:val="18"/>
                <w:szCs w:val="18"/>
                <w:lang w:val="en-AU"/>
              </w:rPr>
            </w:pPr>
            <w:r w:rsidRPr="00E27200">
              <w:rPr>
                <w:b/>
                <w:sz w:val="18"/>
                <w:szCs w:val="18"/>
                <w:lang w:val="en-AU"/>
              </w:rPr>
              <w:t>10%</w:t>
            </w:r>
          </w:p>
        </w:tc>
      </w:tr>
      <w:tr w:rsidR="009E0C76" w:rsidRPr="00E27200" w14:paraId="32D11818" w14:textId="77777777">
        <w:trPr>
          <w:trHeight w:val="455"/>
        </w:trPr>
        <w:tc>
          <w:tcPr>
            <w:tcW w:w="1701" w:type="dxa"/>
            <w:vAlign w:val="center"/>
          </w:tcPr>
          <w:p w14:paraId="7471D12E" w14:textId="77777777" w:rsidR="009E0C76" w:rsidRPr="00E27200" w:rsidRDefault="009E0C76" w:rsidP="00E16C77">
            <w:pPr>
              <w:rPr>
                <w:b/>
                <w:sz w:val="18"/>
                <w:szCs w:val="18"/>
                <w:lang w:val="en-AU"/>
              </w:rPr>
            </w:pPr>
            <w:r w:rsidRPr="00E27200">
              <w:rPr>
                <w:b/>
                <w:sz w:val="18"/>
                <w:szCs w:val="18"/>
                <w:lang w:val="en-AU"/>
              </w:rPr>
              <w:t>TOTAL (median)</w:t>
            </w:r>
          </w:p>
        </w:tc>
        <w:tc>
          <w:tcPr>
            <w:tcW w:w="709" w:type="dxa"/>
            <w:vAlign w:val="center"/>
          </w:tcPr>
          <w:p w14:paraId="4D72B870" w14:textId="77777777" w:rsidR="009E0C76" w:rsidRPr="00E27200" w:rsidRDefault="009E0C76" w:rsidP="00E16C77">
            <w:pPr>
              <w:rPr>
                <w:b/>
                <w:sz w:val="18"/>
                <w:szCs w:val="18"/>
                <w:lang w:val="en-AU"/>
              </w:rPr>
            </w:pPr>
            <w:r w:rsidRPr="00E27200">
              <w:rPr>
                <w:b/>
                <w:sz w:val="18"/>
                <w:szCs w:val="18"/>
                <w:lang w:val="en-AU"/>
              </w:rPr>
              <w:t>8%</w:t>
            </w:r>
          </w:p>
        </w:tc>
        <w:tc>
          <w:tcPr>
            <w:tcW w:w="992" w:type="dxa"/>
            <w:vAlign w:val="center"/>
          </w:tcPr>
          <w:p w14:paraId="451A7BBA" w14:textId="77777777" w:rsidR="009E0C76" w:rsidRPr="00E27200" w:rsidRDefault="009E0C76" w:rsidP="00E16C77">
            <w:pPr>
              <w:rPr>
                <w:b/>
                <w:sz w:val="18"/>
                <w:szCs w:val="18"/>
                <w:lang w:val="en-AU"/>
              </w:rPr>
            </w:pPr>
            <w:r w:rsidRPr="00E27200">
              <w:rPr>
                <w:b/>
                <w:sz w:val="18"/>
                <w:szCs w:val="18"/>
                <w:lang w:val="en-AU"/>
              </w:rPr>
              <w:t>8%</w:t>
            </w:r>
          </w:p>
        </w:tc>
        <w:tc>
          <w:tcPr>
            <w:tcW w:w="709" w:type="dxa"/>
            <w:vAlign w:val="center"/>
          </w:tcPr>
          <w:p w14:paraId="24095CA6" w14:textId="77777777" w:rsidR="009E0C76" w:rsidRPr="00E27200" w:rsidRDefault="009E0C76" w:rsidP="00E16C77">
            <w:pPr>
              <w:rPr>
                <w:b/>
                <w:sz w:val="18"/>
                <w:szCs w:val="18"/>
                <w:lang w:val="en-AU"/>
              </w:rPr>
            </w:pPr>
            <w:r w:rsidRPr="00E27200">
              <w:rPr>
                <w:b/>
                <w:sz w:val="18"/>
                <w:szCs w:val="18"/>
                <w:lang w:val="en-AU"/>
              </w:rPr>
              <w:t>9%</w:t>
            </w:r>
          </w:p>
        </w:tc>
        <w:tc>
          <w:tcPr>
            <w:tcW w:w="709" w:type="dxa"/>
            <w:shd w:val="clear" w:color="auto" w:fill="D9D9D9" w:themeFill="background1" w:themeFillShade="D9"/>
            <w:vAlign w:val="center"/>
          </w:tcPr>
          <w:p w14:paraId="16340A20" w14:textId="77777777" w:rsidR="009E0C76" w:rsidRPr="00E27200" w:rsidRDefault="009E0C76" w:rsidP="00E16C77">
            <w:pPr>
              <w:rPr>
                <w:b/>
                <w:sz w:val="18"/>
                <w:szCs w:val="18"/>
                <w:lang w:val="en-AU"/>
              </w:rPr>
            </w:pPr>
            <w:r w:rsidRPr="00E27200">
              <w:rPr>
                <w:b/>
                <w:sz w:val="18"/>
                <w:szCs w:val="18"/>
                <w:lang w:val="en-AU"/>
              </w:rPr>
              <w:t>11%</w:t>
            </w:r>
          </w:p>
        </w:tc>
        <w:tc>
          <w:tcPr>
            <w:tcW w:w="709" w:type="dxa"/>
            <w:vAlign w:val="center"/>
          </w:tcPr>
          <w:p w14:paraId="65751B7B" w14:textId="77777777" w:rsidR="009E0C76" w:rsidRPr="00E27200" w:rsidRDefault="009E0C76" w:rsidP="00E16C77">
            <w:pPr>
              <w:rPr>
                <w:b/>
                <w:sz w:val="18"/>
                <w:szCs w:val="18"/>
                <w:lang w:val="en-AU"/>
              </w:rPr>
            </w:pPr>
            <w:r w:rsidRPr="00E27200">
              <w:rPr>
                <w:b/>
                <w:sz w:val="18"/>
                <w:szCs w:val="18"/>
                <w:lang w:val="en-AU"/>
              </w:rPr>
              <w:t>23%</w:t>
            </w:r>
          </w:p>
        </w:tc>
        <w:tc>
          <w:tcPr>
            <w:tcW w:w="708" w:type="dxa"/>
            <w:vAlign w:val="center"/>
          </w:tcPr>
          <w:p w14:paraId="58AC1DD1" w14:textId="77777777" w:rsidR="009E0C76" w:rsidRPr="00E27200" w:rsidRDefault="009E0C76" w:rsidP="00E16C77">
            <w:pPr>
              <w:rPr>
                <w:b/>
                <w:sz w:val="18"/>
                <w:szCs w:val="18"/>
                <w:lang w:val="en-AU"/>
              </w:rPr>
            </w:pPr>
            <w:r w:rsidRPr="00E27200">
              <w:rPr>
                <w:b/>
                <w:sz w:val="18"/>
                <w:szCs w:val="18"/>
                <w:lang w:val="en-AU"/>
              </w:rPr>
              <w:t>23%</w:t>
            </w:r>
          </w:p>
        </w:tc>
        <w:tc>
          <w:tcPr>
            <w:tcW w:w="709" w:type="dxa"/>
            <w:vAlign w:val="center"/>
          </w:tcPr>
          <w:p w14:paraId="5E00B67D" w14:textId="77777777" w:rsidR="009E0C76" w:rsidRPr="00E27200" w:rsidRDefault="009E0C76" w:rsidP="00E16C77">
            <w:pPr>
              <w:rPr>
                <w:b/>
                <w:sz w:val="18"/>
                <w:szCs w:val="18"/>
                <w:lang w:val="en-AU"/>
              </w:rPr>
            </w:pPr>
            <w:r w:rsidRPr="00E27200">
              <w:rPr>
                <w:b/>
                <w:sz w:val="18"/>
                <w:szCs w:val="18"/>
                <w:lang w:val="en-AU"/>
              </w:rPr>
              <w:t>25%</w:t>
            </w:r>
          </w:p>
        </w:tc>
        <w:tc>
          <w:tcPr>
            <w:tcW w:w="851" w:type="dxa"/>
            <w:shd w:val="clear" w:color="auto" w:fill="D9D9D9" w:themeFill="background1" w:themeFillShade="D9"/>
            <w:vAlign w:val="center"/>
          </w:tcPr>
          <w:p w14:paraId="5C65B1E6" w14:textId="77777777" w:rsidR="009E0C76" w:rsidRPr="00E27200" w:rsidRDefault="009E0C76" w:rsidP="00E16C77">
            <w:pPr>
              <w:rPr>
                <w:b/>
                <w:sz w:val="18"/>
                <w:szCs w:val="18"/>
                <w:lang w:val="en-AU"/>
              </w:rPr>
            </w:pPr>
            <w:r w:rsidRPr="00E27200">
              <w:rPr>
                <w:b/>
                <w:sz w:val="18"/>
                <w:szCs w:val="18"/>
                <w:lang w:val="en-AU"/>
              </w:rPr>
              <w:t>26%</w:t>
            </w:r>
          </w:p>
        </w:tc>
        <w:tc>
          <w:tcPr>
            <w:tcW w:w="992" w:type="dxa"/>
            <w:shd w:val="clear" w:color="auto" w:fill="BFBFBF" w:themeFill="background1" w:themeFillShade="BF"/>
            <w:vAlign w:val="center"/>
          </w:tcPr>
          <w:p w14:paraId="4466B240" w14:textId="77777777" w:rsidR="009E0C76" w:rsidRPr="00E27200" w:rsidRDefault="009E0C76" w:rsidP="00E16C77">
            <w:pPr>
              <w:rPr>
                <w:b/>
                <w:sz w:val="18"/>
                <w:szCs w:val="18"/>
                <w:lang w:val="en-AU"/>
              </w:rPr>
            </w:pPr>
            <w:r w:rsidRPr="00E27200">
              <w:rPr>
                <w:b/>
                <w:sz w:val="18"/>
                <w:szCs w:val="18"/>
                <w:lang w:val="en-AU"/>
              </w:rPr>
              <w:t>20%</w:t>
            </w:r>
          </w:p>
        </w:tc>
      </w:tr>
    </w:tbl>
    <w:p w14:paraId="1A961834" w14:textId="4C3C75BB" w:rsidR="009E0C76" w:rsidRDefault="005800C7" w:rsidP="008D11AA">
      <w:pPr>
        <w:jc w:val="left"/>
        <w:rPr>
          <w:rFonts w:asciiTheme="minorHAnsi" w:hAnsiTheme="minorHAnsi" w:cs="Arial"/>
          <w:color w:val="000000"/>
          <w:sz w:val="20"/>
          <w:lang w:val="en-AU"/>
        </w:rPr>
      </w:pPr>
      <w:r>
        <w:rPr>
          <w:rFonts w:asciiTheme="minorHAnsi" w:hAnsiTheme="minorHAnsi" w:cs="Arial"/>
          <w:color w:val="000000"/>
          <w:sz w:val="20"/>
          <w:lang w:val="en-AU"/>
        </w:rPr>
        <w:t>Note: differences between hospital and other levels were not regarded as significant, in our sample.</w:t>
      </w:r>
    </w:p>
    <w:p w14:paraId="6B4C1ACE" w14:textId="77777777" w:rsidR="005800C7" w:rsidRPr="005800C7" w:rsidRDefault="005800C7" w:rsidP="00E16C77">
      <w:pPr>
        <w:rPr>
          <w:rFonts w:asciiTheme="minorHAnsi" w:hAnsiTheme="minorHAnsi" w:cs="Arial"/>
          <w:color w:val="000000"/>
          <w:sz w:val="20"/>
          <w:lang w:val="en-AU"/>
        </w:rPr>
      </w:pPr>
    </w:p>
    <w:p w14:paraId="0B2B414F" w14:textId="651DED60" w:rsidR="006B42C7" w:rsidRPr="00E27200" w:rsidRDefault="006B42C7" w:rsidP="00E16C77">
      <w:pPr>
        <w:rPr>
          <w:rFonts w:asciiTheme="minorHAnsi" w:hAnsiTheme="minorHAnsi" w:cs="Arial"/>
          <w:color w:val="000000"/>
          <w:szCs w:val="22"/>
          <w:lang w:val="en-AU"/>
        </w:rPr>
      </w:pPr>
      <w:r w:rsidRPr="00E27200">
        <w:rPr>
          <w:rFonts w:asciiTheme="minorHAnsi" w:hAnsiTheme="minorHAnsi" w:cs="Arial"/>
          <w:color w:val="000000"/>
          <w:szCs w:val="22"/>
          <w:lang w:val="en-AU"/>
        </w:rPr>
        <w:t xml:space="preserve">Qualitative data from health facilities suggested that kit medicines, supplied by </w:t>
      </w:r>
      <w:r w:rsidR="007439AA">
        <w:rPr>
          <w:rFonts w:asciiTheme="minorHAnsi" w:hAnsiTheme="minorHAnsi" w:cs="Arial"/>
          <w:color w:val="000000"/>
          <w:szCs w:val="22"/>
          <w:lang w:val="en-AU"/>
        </w:rPr>
        <w:t xml:space="preserve">the </w:t>
      </w:r>
      <w:r w:rsidR="00DC21D4">
        <w:rPr>
          <w:rFonts w:asciiTheme="minorHAnsi" w:hAnsiTheme="minorHAnsi" w:cs="Arial"/>
          <w:color w:val="000000"/>
          <w:szCs w:val="22"/>
          <w:lang w:val="en-AU"/>
        </w:rPr>
        <w:t xml:space="preserve">Australian </w:t>
      </w:r>
      <w:r w:rsidR="007439AA">
        <w:rPr>
          <w:rFonts w:asciiTheme="minorHAnsi" w:hAnsiTheme="minorHAnsi" w:cs="Arial"/>
          <w:color w:val="000000"/>
          <w:szCs w:val="22"/>
          <w:lang w:val="en-AU"/>
        </w:rPr>
        <w:t xml:space="preserve">Government’s </w:t>
      </w:r>
      <w:r w:rsidR="0091042B" w:rsidRPr="00E27200">
        <w:rPr>
          <w:lang w:val="en-AU"/>
        </w:rPr>
        <w:t>pharmaceutical supplier</w:t>
      </w:r>
      <w:r w:rsidR="00B629DF">
        <w:rPr>
          <w:lang w:val="en-AU"/>
        </w:rPr>
        <w:t>, IDA</w:t>
      </w:r>
      <w:r w:rsidRPr="00E27200">
        <w:rPr>
          <w:rFonts w:asciiTheme="minorHAnsi" w:hAnsiTheme="minorHAnsi" w:cs="Arial"/>
          <w:color w:val="000000"/>
          <w:szCs w:val="22"/>
          <w:lang w:val="en-AU"/>
        </w:rPr>
        <w:t xml:space="preserve">, were </w:t>
      </w:r>
      <w:r w:rsidR="00F73A7F" w:rsidRPr="00E27200">
        <w:rPr>
          <w:rFonts w:asciiTheme="minorHAnsi" w:hAnsiTheme="minorHAnsi" w:cs="Arial"/>
          <w:color w:val="000000"/>
          <w:szCs w:val="22"/>
          <w:lang w:val="en-AU"/>
        </w:rPr>
        <w:t>perceived as</w:t>
      </w:r>
      <w:r w:rsidR="00420C12" w:rsidRPr="00E27200">
        <w:rPr>
          <w:rFonts w:asciiTheme="minorHAnsi" w:hAnsiTheme="minorHAnsi" w:cs="Arial"/>
          <w:color w:val="000000"/>
          <w:szCs w:val="22"/>
          <w:lang w:val="en-AU"/>
        </w:rPr>
        <w:t xml:space="preserve"> higher quality, a perception generated in part through the consistent packaging and </w:t>
      </w:r>
      <w:r w:rsidR="0091042B" w:rsidRPr="00E27200">
        <w:rPr>
          <w:rFonts w:asciiTheme="minorHAnsi" w:hAnsiTheme="minorHAnsi" w:cs="Arial"/>
          <w:color w:val="000000"/>
          <w:szCs w:val="22"/>
          <w:lang w:val="en-AU"/>
        </w:rPr>
        <w:t>labelling</w:t>
      </w:r>
      <w:r w:rsidR="00420C12" w:rsidRPr="00E27200">
        <w:rPr>
          <w:rFonts w:asciiTheme="minorHAnsi" w:hAnsiTheme="minorHAnsi" w:cs="Arial"/>
          <w:color w:val="000000"/>
          <w:szCs w:val="22"/>
          <w:lang w:val="en-AU"/>
        </w:rPr>
        <w:t xml:space="preserve"> required of this procurement, backed up by quality</w:t>
      </w:r>
      <w:r w:rsidR="00F73A7F" w:rsidRPr="00E27200">
        <w:rPr>
          <w:rFonts w:asciiTheme="minorHAnsi" w:hAnsiTheme="minorHAnsi" w:cs="Arial"/>
          <w:color w:val="000000"/>
          <w:szCs w:val="22"/>
          <w:lang w:val="en-AU"/>
        </w:rPr>
        <w:t xml:space="preserve"> </w:t>
      </w:r>
      <w:r w:rsidR="00420C12" w:rsidRPr="00E27200">
        <w:rPr>
          <w:rFonts w:asciiTheme="minorHAnsi" w:hAnsiTheme="minorHAnsi" w:cs="Arial"/>
          <w:color w:val="000000"/>
          <w:szCs w:val="22"/>
          <w:lang w:val="en-AU"/>
        </w:rPr>
        <w:t>assurance conditions. Some facilities reported changing treatment practices to ensure sicker patients received medicines</w:t>
      </w:r>
      <w:r w:rsidR="00F15CA6" w:rsidRPr="00E27200">
        <w:rPr>
          <w:rFonts w:asciiTheme="minorHAnsi" w:hAnsiTheme="minorHAnsi" w:cs="Arial"/>
          <w:color w:val="000000"/>
          <w:szCs w:val="22"/>
          <w:lang w:val="en-AU"/>
        </w:rPr>
        <w:t xml:space="preserve"> from </w:t>
      </w:r>
      <w:r w:rsidR="007439AA">
        <w:rPr>
          <w:rFonts w:asciiTheme="minorHAnsi" w:hAnsiTheme="minorHAnsi" w:cs="Arial"/>
          <w:color w:val="000000"/>
          <w:szCs w:val="22"/>
          <w:lang w:val="en-AU"/>
        </w:rPr>
        <w:t xml:space="preserve">the </w:t>
      </w:r>
      <w:r w:rsidR="00DC21D4">
        <w:rPr>
          <w:rFonts w:asciiTheme="minorHAnsi" w:hAnsiTheme="minorHAnsi" w:cs="Arial"/>
          <w:color w:val="000000"/>
          <w:szCs w:val="22"/>
          <w:lang w:val="en-AU"/>
        </w:rPr>
        <w:t xml:space="preserve">Australian </w:t>
      </w:r>
      <w:r w:rsidR="007439AA">
        <w:rPr>
          <w:rFonts w:asciiTheme="minorHAnsi" w:hAnsiTheme="minorHAnsi" w:cs="Arial"/>
          <w:color w:val="000000"/>
          <w:szCs w:val="22"/>
          <w:lang w:val="en-AU"/>
        </w:rPr>
        <w:t>Government’s</w:t>
      </w:r>
      <w:r w:rsidR="007439AA" w:rsidRPr="00E27200">
        <w:rPr>
          <w:rFonts w:asciiTheme="minorHAnsi" w:hAnsiTheme="minorHAnsi" w:cs="Arial"/>
          <w:color w:val="000000"/>
          <w:szCs w:val="22"/>
          <w:lang w:val="en-AU"/>
        </w:rPr>
        <w:t xml:space="preserve"> </w:t>
      </w:r>
      <w:r w:rsidR="00F15CA6" w:rsidRPr="00E27200">
        <w:rPr>
          <w:lang w:val="en-AU"/>
        </w:rPr>
        <w:t>pharmaceutical supply contractors</w:t>
      </w:r>
      <w:r w:rsidR="00420C12" w:rsidRPr="00E27200">
        <w:rPr>
          <w:rFonts w:asciiTheme="minorHAnsi" w:hAnsiTheme="minorHAnsi" w:cs="Arial"/>
          <w:color w:val="000000"/>
          <w:szCs w:val="22"/>
          <w:lang w:val="en-AU"/>
        </w:rPr>
        <w:t xml:space="preserve">, or that these medicines were dispensed prior to their alternatives. </w:t>
      </w:r>
      <w:r w:rsidR="00F73A7F" w:rsidRPr="00E27200">
        <w:rPr>
          <w:rFonts w:asciiTheme="minorHAnsi" w:hAnsiTheme="minorHAnsi" w:cs="Arial"/>
          <w:color w:val="000000"/>
          <w:szCs w:val="22"/>
          <w:lang w:val="en-AU"/>
        </w:rPr>
        <w:t xml:space="preserve">Overall in our survey only 63.6% of </w:t>
      </w:r>
      <w:r w:rsidR="00CE398E">
        <w:rPr>
          <w:rFonts w:asciiTheme="minorHAnsi" w:hAnsiTheme="minorHAnsi" w:cs="Arial"/>
          <w:color w:val="000000"/>
          <w:szCs w:val="22"/>
          <w:lang w:val="en-AU"/>
        </w:rPr>
        <w:t>medicines</w:t>
      </w:r>
      <w:r w:rsidR="00F73A7F" w:rsidRPr="00E27200">
        <w:rPr>
          <w:rFonts w:asciiTheme="minorHAnsi" w:hAnsiTheme="minorHAnsi" w:cs="Arial"/>
          <w:color w:val="000000"/>
          <w:szCs w:val="22"/>
          <w:lang w:val="en-AU"/>
        </w:rPr>
        <w:t xml:space="preserve"> at HFs were from </w:t>
      </w:r>
      <w:r w:rsidR="007439AA">
        <w:rPr>
          <w:rFonts w:asciiTheme="minorHAnsi" w:hAnsiTheme="minorHAnsi" w:cs="Arial"/>
          <w:color w:val="000000"/>
          <w:szCs w:val="22"/>
          <w:lang w:val="en-AU"/>
        </w:rPr>
        <w:t xml:space="preserve">the </w:t>
      </w:r>
      <w:r w:rsidR="00DC21D4">
        <w:rPr>
          <w:rFonts w:asciiTheme="minorHAnsi" w:hAnsiTheme="minorHAnsi" w:cs="Arial"/>
          <w:color w:val="000000"/>
          <w:szCs w:val="22"/>
          <w:lang w:val="en-AU"/>
        </w:rPr>
        <w:t xml:space="preserve">Australian </w:t>
      </w:r>
      <w:r w:rsidR="007439AA">
        <w:rPr>
          <w:rFonts w:asciiTheme="minorHAnsi" w:hAnsiTheme="minorHAnsi" w:cs="Arial"/>
          <w:color w:val="000000"/>
          <w:szCs w:val="22"/>
          <w:lang w:val="en-AU"/>
        </w:rPr>
        <w:t>Government’s</w:t>
      </w:r>
      <w:r w:rsidR="007439AA" w:rsidRPr="00E27200">
        <w:rPr>
          <w:rFonts w:asciiTheme="minorHAnsi" w:hAnsiTheme="minorHAnsi" w:cs="Arial"/>
          <w:color w:val="000000"/>
          <w:szCs w:val="22"/>
          <w:lang w:val="en-AU"/>
        </w:rPr>
        <w:t xml:space="preserve"> </w:t>
      </w:r>
      <w:r w:rsidR="00F15CA6" w:rsidRPr="00E27200">
        <w:rPr>
          <w:lang w:val="en-AU"/>
        </w:rPr>
        <w:t>pharmaceutical supply contractors</w:t>
      </w:r>
      <w:r w:rsidR="00F73A7F" w:rsidRPr="00E27200">
        <w:rPr>
          <w:rFonts w:asciiTheme="minorHAnsi" w:hAnsiTheme="minorHAnsi" w:cs="Arial"/>
          <w:color w:val="000000"/>
          <w:szCs w:val="22"/>
          <w:lang w:val="en-AU"/>
        </w:rPr>
        <w:t xml:space="preserve">, suggesting at the time of the survey, </w:t>
      </w:r>
      <w:r w:rsidR="00F15CA6" w:rsidRPr="00E27200">
        <w:rPr>
          <w:rFonts w:asciiTheme="minorHAnsi" w:hAnsiTheme="minorHAnsi" w:cs="Arial"/>
          <w:color w:val="000000"/>
          <w:szCs w:val="22"/>
          <w:lang w:val="en-AU"/>
        </w:rPr>
        <w:t>these</w:t>
      </w:r>
      <w:r w:rsidR="00F73A7F" w:rsidRPr="00E27200">
        <w:rPr>
          <w:rFonts w:asciiTheme="minorHAnsi" w:hAnsiTheme="minorHAnsi" w:cs="Arial"/>
          <w:color w:val="000000"/>
          <w:szCs w:val="22"/>
          <w:lang w:val="en-AU"/>
        </w:rPr>
        <w:t xml:space="preserve"> </w:t>
      </w:r>
      <w:r w:rsidR="00CF053B">
        <w:rPr>
          <w:rFonts w:asciiTheme="minorHAnsi" w:hAnsiTheme="minorHAnsi" w:cs="Arial"/>
          <w:color w:val="000000"/>
          <w:szCs w:val="22"/>
          <w:lang w:val="en-AU"/>
        </w:rPr>
        <w:t>medicines</w:t>
      </w:r>
      <w:r w:rsidR="00F73A7F" w:rsidRPr="00E27200">
        <w:rPr>
          <w:rFonts w:asciiTheme="minorHAnsi" w:hAnsiTheme="minorHAnsi" w:cs="Arial"/>
          <w:color w:val="000000"/>
          <w:szCs w:val="22"/>
          <w:lang w:val="en-AU"/>
        </w:rPr>
        <w:t xml:space="preserve"> had been r</w:t>
      </w:r>
      <w:r w:rsidR="00420C12" w:rsidRPr="00E27200">
        <w:rPr>
          <w:rFonts w:asciiTheme="minorHAnsi" w:hAnsiTheme="minorHAnsi" w:cs="Arial"/>
          <w:color w:val="000000"/>
          <w:szCs w:val="22"/>
          <w:lang w:val="en-AU"/>
        </w:rPr>
        <w:t xml:space="preserve">eplaced with </w:t>
      </w:r>
      <w:r w:rsidR="00CF053B">
        <w:rPr>
          <w:rFonts w:asciiTheme="minorHAnsi" w:hAnsiTheme="minorHAnsi" w:cs="Arial"/>
          <w:color w:val="000000"/>
          <w:szCs w:val="22"/>
          <w:lang w:val="en-AU"/>
        </w:rPr>
        <w:t>those</w:t>
      </w:r>
      <w:r w:rsidR="00420C12" w:rsidRPr="00E27200">
        <w:rPr>
          <w:rFonts w:asciiTheme="minorHAnsi" w:hAnsiTheme="minorHAnsi" w:cs="Arial"/>
          <w:color w:val="000000"/>
          <w:szCs w:val="22"/>
          <w:lang w:val="en-AU"/>
        </w:rPr>
        <w:t xml:space="preserve"> </w:t>
      </w:r>
      <w:r w:rsidR="00420C12" w:rsidRPr="00E27200">
        <w:rPr>
          <w:rFonts w:asciiTheme="minorHAnsi" w:hAnsiTheme="minorHAnsi" w:cs="Arial"/>
          <w:color w:val="000000"/>
          <w:szCs w:val="22"/>
          <w:lang w:val="en-AU"/>
        </w:rPr>
        <w:lastRenderedPageBreak/>
        <w:t>from the AMS via the pull system in many facilities</w:t>
      </w:r>
      <w:r w:rsidR="00F73A7F" w:rsidRPr="00E27200">
        <w:rPr>
          <w:rFonts w:asciiTheme="minorHAnsi" w:hAnsiTheme="minorHAnsi" w:cs="Arial"/>
          <w:color w:val="000000"/>
          <w:szCs w:val="22"/>
          <w:lang w:val="en-AU"/>
        </w:rPr>
        <w:t>.</w:t>
      </w:r>
      <w:r w:rsidR="005231F2" w:rsidRPr="00E27200">
        <w:rPr>
          <w:lang w:val="en-AU"/>
        </w:rPr>
        <w:t xml:space="preserve"> A few participants from health manager consultations spoke of the quality of medicines and the need for certified suppliers to ensure good quality control. More details can be found in Annex </w:t>
      </w:r>
      <w:r w:rsidR="00E678DB">
        <w:rPr>
          <w:lang w:val="en-AU"/>
        </w:rPr>
        <w:t>11</w:t>
      </w:r>
      <w:r w:rsidR="005231F2" w:rsidRPr="00E27200">
        <w:rPr>
          <w:lang w:val="en-AU"/>
        </w:rPr>
        <w:t>.4.</w:t>
      </w:r>
    </w:p>
    <w:p w14:paraId="157532F1" w14:textId="77777777" w:rsidR="00CC7B21" w:rsidRPr="00E27200" w:rsidRDefault="00CC7B21" w:rsidP="00E16C77">
      <w:pPr>
        <w:rPr>
          <w:rFonts w:asciiTheme="minorHAnsi" w:hAnsiTheme="minorHAnsi" w:cs="Arial"/>
          <w:color w:val="000000"/>
          <w:szCs w:val="22"/>
          <w:lang w:val="en-AU"/>
        </w:rPr>
      </w:pPr>
    </w:p>
    <w:p w14:paraId="4C3006B7" w14:textId="4747A383" w:rsidR="00F73A7F" w:rsidRPr="00E27200" w:rsidRDefault="00FB63C9" w:rsidP="00E16C77">
      <w:pPr>
        <w:rPr>
          <w:rFonts w:asciiTheme="minorHAnsi" w:hAnsiTheme="minorHAnsi" w:cs="Arial"/>
          <w:color w:val="000000"/>
          <w:szCs w:val="22"/>
          <w:lang w:val="en-AU"/>
        </w:rPr>
      </w:pPr>
      <w:r w:rsidRPr="00E27200">
        <w:rPr>
          <w:rFonts w:asciiTheme="minorHAnsi" w:hAnsiTheme="minorHAnsi" w:cs="Arial"/>
          <w:color w:val="000000"/>
          <w:szCs w:val="22"/>
          <w:lang w:val="en-AU"/>
        </w:rPr>
        <w:t>Previous studies</w:t>
      </w:r>
      <w:r w:rsidR="006D4F4F" w:rsidRPr="00E27200">
        <w:rPr>
          <w:rFonts w:asciiTheme="minorHAnsi" w:hAnsiTheme="minorHAnsi" w:cs="Arial"/>
          <w:color w:val="000000"/>
          <w:szCs w:val="22"/>
          <w:lang w:val="en-AU"/>
        </w:rPr>
        <w:fldChar w:fldCharType="begin"/>
      </w:r>
      <w:r w:rsidRPr="00E27200">
        <w:rPr>
          <w:rFonts w:asciiTheme="minorHAnsi" w:hAnsiTheme="minorHAnsi" w:cs="Arial"/>
          <w:color w:val="000000"/>
          <w:szCs w:val="22"/>
          <w:lang w:val="en-AU"/>
        </w:rPr>
        <w:instrText xml:space="preserve"> ADDIN EN.CITE &lt;EndNote&gt;&lt;Cite&gt;&lt;Author&gt;Nair&lt;/Author&gt;&lt;Year&gt;2011&lt;/Year&gt;&lt;RecNum&gt;3&lt;/RecNum&gt;&lt;DisplayText&gt;[6]&lt;/DisplayText&gt;&lt;record&gt;&lt;rec-number&gt;3&lt;/rec-number&gt;&lt;foreign-keys&gt;&lt;key app="EN" db-id="ex5s0vddkzxdfhese5yvf5vke2ree5azrt5t"&gt;3&lt;/key&gt;&lt;/foreign-keys&gt;&lt;ref-type name="Journal Article"&gt;17&lt;/ref-type&gt;&lt;contributors&gt;&lt;authors&gt;&lt;author&gt;Nair, A&lt;/author&gt;&lt;author&gt;Strauch, S&lt;/author&gt;&lt;author&gt;Lauwo, J&lt;/author&gt;&lt;author&gt;Jahnke, R. W&lt;/author&gt;&lt;author&gt;Dressman, J&lt;/author&gt;&lt;/authors&gt;&lt;/contributors&gt;&lt;auth-address&gt;Department of Pharmaceutical Technology, Goethe University, Frankfurt 60438, Germany.&lt;/auth-address&gt;&lt;titles&gt;&lt;title&gt;Are counterfeit or substandard anti-infective products the cause of treatment failure in Papua New Guinea?&lt;/title&gt;&lt;secondary-title&gt;J Pharm Sci&lt;/secondary-title&gt;&lt;alt-title&gt;Journal of pharmaceutical sciences&lt;/alt-title&gt;&lt;/titles&gt;&lt;alt-periodical&gt;&lt;full-title&gt;Journal of Pharmaceutical Sciences&lt;/full-title&gt;&lt;/alt-periodical&gt;&lt;pages&gt;5059-68&lt;/pages&gt;&lt;volume&gt;100&lt;/volume&gt;&lt;number&gt;11&lt;/number&gt;&lt;keywords&gt;&lt;keyword&gt;Anti-Infective Agents/*therapeutic use&lt;/keyword&gt;&lt;keyword&gt;Chromatography, High Pressure Liquid&lt;/keyword&gt;&lt;keyword&gt;Chromatography, Thin Layer&lt;/keyword&gt;&lt;keyword&gt;*Counterfeit Drugs&lt;/keyword&gt;&lt;keyword&gt;Humans&lt;/keyword&gt;&lt;keyword&gt;Papua New Guinea&lt;/keyword&gt;&lt;keyword&gt;Quality Control&lt;/keyword&gt;&lt;keyword&gt;Solubility&lt;/keyword&gt;&lt;keyword&gt;Treatment Outcome&lt;/keyword&gt;&lt;/keywords&gt;&lt;dates&gt;&lt;year&gt;2011&lt;/year&gt;&lt;pub-dates&gt;&lt;date&gt;Nov&lt;/date&gt;&lt;/pub-dates&gt;&lt;/dates&gt;&lt;isbn&gt;1520-6017 (Electronic)&amp;#xD;0022-3549 (Linking)&lt;/isbn&gt;&lt;accession-num&gt;21721006&lt;/accession-num&gt;&lt;urls&gt;&lt;related-urls&gt;&lt;url&gt;http://www.ncbi.nlm.nih.gov/pubmed/21721006&lt;/url&gt;&lt;/related-urls&gt;&lt;/urls&gt;&lt;electronic-resource-num&gt;10.1002/jps.22691&lt;/electronic-resource-num&gt;&lt;/record&gt;&lt;/Cite&gt;&lt;/EndNote&gt;</w:instrText>
      </w:r>
      <w:r w:rsidR="006D4F4F" w:rsidRPr="00E27200">
        <w:rPr>
          <w:rFonts w:asciiTheme="minorHAnsi" w:hAnsiTheme="minorHAnsi" w:cs="Arial"/>
          <w:color w:val="000000"/>
          <w:szCs w:val="22"/>
          <w:lang w:val="en-AU"/>
        </w:rPr>
        <w:fldChar w:fldCharType="separate"/>
      </w:r>
      <w:r w:rsidRPr="00E27200">
        <w:rPr>
          <w:rFonts w:asciiTheme="minorHAnsi" w:hAnsiTheme="minorHAnsi" w:cs="Arial"/>
          <w:noProof/>
          <w:color w:val="000000"/>
          <w:szCs w:val="22"/>
          <w:lang w:val="en-AU"/>
        </w:rPr>
        <w:t>[</w:t>
      </w:r>
      <w:hyperlink w:anchor="_ENREF_6" w:tooltip="Nair, 2011 #3" w:history="1">
        <w:r w:rsidR="00E62392" w:rsidRPr="00E27200">
          <w:rPr>
            <w:rFonts w:asciiTheme="minorHAnsi" w:hAnsiTheme="minorHAnsi" w:cs="Arial"/>
            <w:noProof/>
            <w:color w:val="000000"/>
            <w:szCs w:val="22"/>
            <w:lang w:val="en-AU"/>
          </w:rPr>
          <w:t>6</w:t>
        </w:r>
      </w:hyperlink>
      <w:r w:rsidRPr="00E27200">
        <w:rPr>
          <w:rFonts w:asciiTheme="minorHAnsi" w:hAnsiTheme="minorHAnsi" w:cs="Arial"/>
          <w:noProof/>
          <w:color w:val="000000"/>
          <w:szCs w:val="22"/>
          <w:lang w:val="en-AU"/>
        </w:rPr>
        <w:t>]</w:t>
      </w:r>
      <w:r w:rsidR="006D4F4F" w:rsidRPr="00E27200">
        <w:rPr>
          <w:rFonts w:asciiTheme="minorHAnsi" w:hAnsiTheme="minorHAnsi" w:cs="Arial"/>
          <w:color w:val="000000"/>
          <w:szCs w:val="22"/>
          <w:lang w:val="en-AU"/>
        </w:rPr>
        <w:fldChar w:fldCharType="end"/>
      </w:r>
      <w:r w:rsidRPr="00E27200">
        <w:rPr>
          <w:rFonts w:asciiTheme="minorHAnsi" w:hAnsiTheme="minorHAnsi" w:cs="Arial"/>
          <w:color w:val="000000"/>
          <w:szCs w:val="22"/>
          <w:lang w:val="en-AU"/>
        </w:rPr>
        <w:t xml:space="preserve"> </w:t>
      </w:r>
      <w:r w:rsidR="00420C12" w:rsidRPr="00E27200">
        <w:rPr>
          <w:rFonts w:asciiTheme="minorHAnsi" w:hAnsiTheme="minorHAnsi" w:cs="Arial"/>
          <w:color w:val="000000"/>
          <w:szCs w:val="22"/>
          <w:lang w:val="en-AU"/>
        </w:rPr>
        <w:t xml:space="preserve">found some </w:t>
      </w:r>
      <w:r w:rsidR="009E0C76" w:rsidRPr="00E27200">
        <w:rPr>
          <w:rFonts w:asciiTheme="minorHAnsi" w:hAnsiTheme="minorHAnsi" w:cs="Arial"/>
          <w:color w:val="000000"/>
          <w:szCs w:val="22"/>
          <w:lang w:val="en-AU"/>
        </w:rPr>
        <w:t xml:space="preserve">substandard </w:t>
      </w:r>
      <w:r w:rsidR="00C00A7F">
        <w:rPr>
          <w:rFonts w:asciiTheme="minorHAnsi" w:hAnsiTheme="minorHAnsi" w:cs="Arial"/>
          <w:color w:val="000000"/>
          <w:szCs w:val="22"/>
          <w:lang w:val="en-AU"/>
        </w:rPr>
        <w:t>medicines</w:t>
      </w:r>
      <w:r w:rsidR="009E0C76" w:rsidRPr="00E27200">
        <w:rPr>
          <w:rFonts w:asciiTheme="minorHAnsi" w:hAnsiTheme="minorHAnsi" w:cs="Arial"/>
          <w:color w:val="000000"/>
          <w:szCs w:val="22"/>
          <w:lang w:val="en-AU"/>
        </w:rPr>
        <w:t xml:space="preserve"> </w:t>
      </w:r>
      <w:r w:rsidR="00760CE9">
        <w:rPr>
          <w:rFonts w:asciiTheme="minorHAnsi" w:hAnsiTheme="minorHAnsi" w:cs="Arial"/>
          <w:color w:val="000000"/>
          <w:szCs w:val="22"/>
          <w:lang w:val="en-AU"/>
        </w:rPr>
        <w:t>manufactured by</w:t>
      </w:r>
      <w:r w:rsidR="009E0C76" w:rsidRPr="00E27200">
        <w:rPr>
          <w:rFonts w:asciiTheme="minorHAnsi" w:hAnsiTheme="minorHAnsi" w:cs="Arial"/>
          <w:color w:val="000000"/>
          <w:szCs w:val="22"/>
          <w:lang w:val="en-AU"/>
        </w:rPr>
        <w:t xml:space="preserve"> </w:t>
      </w:r>
      <w:r w:rsidR="00420C12" w:rsidRPr="00E27200">
        <w:rPr>
          <w:rFonts w:asciiTheme="minorHAnsi" w:hAnsiTheme="minorHAnsi" w:cs="Arial"/>
          <w:color w:val="000000"/>
          <w:szCs w:val="22"/>
          <w:lang w:val="en-AU"/>
        </w:rPr>
        <w:t xml:space="preserve">the </w:t>
      </w:r>
      <w:r w:rsidR="009E0C76" w:rsidRPr="00E27200">
        <w:rPr>
          <w:rFonts w:asciiTheme="minorHAnsi" w:hAnsiTheme="minorHAnsi" w:cs="Arial"/>
          <w:color w:val="000000"/>
          <w:szCs w:val="22"/>
          <w:lang w:val="en-AU"/>
        </w:rPr>
        <w:t>North China Pharmaceutical Corporation (NCPC)</w:t>
      </w:r>
      <w:r w:rsidR="00420C12" w:rsidRPr="00E27200">
        <w:rPr>
          <w:rFonts w:asciiTheme="minorHAnsi" w:hAnsiTheme="minorHAnsi" w:cs="Arial"/>
          <w:color w:val="000000"/>
          <w:szCs w:val="22"/>
          <w:lang w:val="en-AU"/>
        </w:rPr>
        <w:t xml:space="preserve">, and </w:t>
      </w:r>
      <w:r w:rsidR="00B34768" w:rsidRPr="00E27200">
        <w:rPr>
          <w:rFonts w:asciiTheme="minorHAnsi" w:hAnsiTheme="minorHAnsi" w:cs="Arial"/>
          <w:color w:val="000000"/>
          <w:szCs w:val="22"/>
          <w:lang w:val="en-AU"/>
        </w:rPr>
        <w:t>the health facility survey noted many NCPC medicines continuing</w:t>
      </w:r>
      <w:r w:rsidR="00420C12" w:rsidRPr="00E27200">
        <w:rPr>
          <w:rFonts w:asciiTheme="minorHAnsi" w:hAnsiTheme="minorHAnsi" w:cs="Arial"/>
          <w:color w:val="000000"/>
          <w:szCs w:val="22"/>
          <w:lang w:val="en-AU"/>
        </w:rPr>
        <w:t xml:space="preserve"> </w:t>
      </w:r>
      <w:r w:rsidR="009E0C76" w:rsidRPr="00E27200">
        <w:rPr>
          <w:rFonts w:asciiTheme="minorHAnsi" w:hAnsiTheme="minorHAnsi" w:cs="Arial"/>
          <w:color w:val="000000"/>
          <w:szCs w:val="22"/>
          <w:lang w:val="en-AU"/>
        </w:rPr>
        <w:t>to circulate in PNG</w:t>
      </w:r>
      <w:r w:rsidR="000779F2" w:rsidRPr="00E27200">
        <w:rPr>
          <w:rFonts w:asciiTheme="minorHAnsi" w:hAnsiTheme="minorHAnsi" w:cs="Arial"/>
          <w:color w:val="000000"/>
          <w:szCs w:val="22"/>
          <w:lang w:val="en-AU"/>
        </w:rPr>
        <w:t>, in both ‘pull’ and ‘push’</w:t>
      </w:r>
      <w:r w:rsidR="009E0C76" w:rsidRPr="00E27200">
        <w:rPr>
          <w:rFonts w:asciiTheme="minorHAnsi" w:hAnsiTheme="minorHAnsi" w:cs="Arial"/>
          <w:color w:val="000000"/>
          <w:szCs w:val="22"/>
          <w:lang w:val="en-AU"/>
        </w:rPr>
        <w:t xml:space="preserve"> system</w:t>
      </w:r>
      <w:r w:rsidR="000779F2" w:rsidRPr="00E27200">
        <w:rPr>
          <w:rFonts w:asciiTheme="minorHAnsi" w:hAnsiTheme="minorHAnsi" w:cs="Arial"/>
          <w:color w:val="000000"/>
          <w:szCs w:val="22"/>
          <w:lang w:val="en-AU"/>
        </w:rPr>
        <w:t xml:space="preserve">s; this </w:t>
      </w:r>
      <w:r w:rsidR="00920523" w:rsidRPr="00E27200">
        <w:rPr>
          <w:rFonts w:asciiTheme="minorHAnsi" w:hAnsiTheme="minorHAnsi" w:cs="Arial"/>
          <w:color w:val="000000"/>
          <w:szCs w:val="22"/>
          <w:lang w:val="en-AU"/>
        </w:rPr>
        <w:t>highlights the need for</w:t>
      </w:r>
      <w:r w:rsidR="000779F2" w:rsidRPr="00E27200">
        <w:rPr>
          <w:rFonts w:asciiTheme="minorHAnsi" w:hAnsiTheme="minorHAnsi" w:cs="Arial"/>
          <w:color w:val="000000"/>
          <w:szCs w:val="22"/>
          <w:lang w:val="en-AU"/>
        </w:rPr>
        <w:t xml:space="preserve"> further study</w:t>
      </w:r>
      <w:r w:rsidR="00920523" w:rsidRPr="00E27200">
        <w:rPr>
          <w:rFonts w:asciiTheme="minorHAnsi" w:hAnsiTheme="minorHAnsi" w:cs="Arial"/>
          <w:color w:val="000000"/>
          <w:szCs w:val="22"/>
          <w:lang w:val="en-AU"/>
        </w:rPr>
        <w:t xml:space="preserve"> and regular vigilance</w:t>
      </w:r>
      <w:r w:rsidR="000779F2" w:rsidRPr="00E27200">
        <w:rPr>
          <w:rFonts w:asciiTheme="minorHAnsi" w:hAnsiTheme="minorHAnsi" w:cs="Arial"/>
          <w:color w:val="000000"/>
          <w:szCs w:val="22"/>
          <w:lang w:val="en-AU"/>
        </w:rPr>
        <w:t xml:space="preserve"> to review the quality assurances provided by this company in particular, and all manufacturers in general</w:t>
      </w:r>
      <w:r w:rsidR="009E0C76" w:rsidRPr="00E27200">
        <w:rPr>
          <w:rFonts w:asciiTheme="minorHAnsi" w:hAnsiTheme="minorHAnsi" w:cs="Arial"/>
          <w:color w:val="000000"/>
          <w:szCs w:val="22"/>
          <w:lang w:val="en-AU"/>
        </w:rPr>
        <w:t>. Among stocks held at the medical s</w:t>
      </w:r>
      <w:r w:rsidR="00420C12" w:rsidRPr="00E27200">
        <w:rPr>
          <w:rFonts w:asciiTheme="minorHAnsi" w:hAnsiTheme="minorHAnsi" w:cs="Arial"/>
          <w:color w:val="000000"/>
          <w:szCs w:val="22"/>
          <w:lang w:val="en-AU"/>
        </w:rPr>
        <w:t xml:space="preserve">tores, 6 </w:t>
      </w:r>
      <w:r w:rsidR="009E0C76" w:rsidRPr="00E27200">
        <w:rPr>
          <w:rFonts w:asciiTheme="minorHAnsi" w:hAnsiTheme="minorHAnsi" w:cs="Arial"/>
          <w:color w:val="000000"/>
          <w:szCs w:val="22"/>
          <w:lang w:val="en-AU"/>
        </w:rPr>
        <w:t xml:space="preserve">out of the 10 available tracer </w:t>
      </w:r>
      <w:r w:rsidR="0066042C">
        <w:rPr>
          <w:rFonts w:asciiTheme="minorHAnsi" w:hAnsiTheme="minorHAnsi" w:cs="Arial"/>
          <w:color w:val="000000"/>
          <w:szCs w:val="22"/>
          <w:lang w:val="en-AU"/>
        </w:rPr>
        <w:t>medicines</w:t>
      </w:r>
      <w:r w:rsidR="009E0C76" w:rsidRPr="00E27200">
        <w:rPr>
          <w:rFonts w:asciiTheme="minorHAnsi" w:hAnsiTheme="minorHAnsi" w:cs="Arial"/>
          <w:color w:val="000000"/>
          <w:szCs w:val="22"/>
          <w:lang w:val="en-AU"/>
        </w:rPr>
        <w:t xml:space="preserve"> measured (60%) were manufactured by NCPC.</w:t>
      </w:r>
      <w:r w:rsidR="00420C12" w:rsidRPr="00E27200">
        <w:rPr>
          <w:rFonts w:asciiTheme="minorHAnsi" w:hAnsiTheme="minorHAnsi" w:cs="Arial"/>
          <w:color w:val="000000"/>
          <w:szCs w:val="22"/>
          <w:lang w:val="en-AU"/>
        </w:rPr>
        <w:t xml:space="preserve"> </w:t>
      </w:r>
      <w:r w:rsidR="00B34768" w:rsidRPr="00E27200">
        <w:rPr>
          <w:rFonts w:asciiTheme="minorHAnsi" w:hAnsiTheme="minorHAnsi" w:cs="Arial"/>
          <w:color w:val="000000"/>
          <w:szCs w:val="22"/>
          <w:lang w:val="en-AU"/>
        </w:rPr>
        <w:t>Our evaluation did not however have capacity to undertake formal testing of quality and potency of medicines.</w:t>
      </w:r>
      <w:r w:rsidR="00D9564E" w:rsidRPr="00E27200">
        <w:rPr>
          <w:rFonts w:asciiTheme="minorHAnsi" w:hAnsiTheme="minorHAnsi" w:cs="Arial"/>
          <w:color w:val="000000"/>
          <w:szCs w:val="22"/>
          <w:lang w:val="en-AU"/>
        </w:rPr>
        <w:t xml:space="preserve"> </w:t>
      </w:r>
      <w:r w:rsidR="007439AA">
        <w:rPr>
          <w:rFonts w:asciiTheme="minorHAnsi" w:hAnsiTheme="minorHAnsi" w:cs="Arial"/>
          <w:color w:val="000000"/>
          <w:szCs w:val="22"/>
          <w:lang w:val="en-AU"/>
        </w:rPr>
        <w:t xml:space="preserve">The </w:t>
      </w:r>
      <w:r w:rsidR="00DC21D4">
        <w:rPr>
          <w:rFonts w:asciiTheme="minorHAnsi" w:hAnsiTheme="minorHAnsi" w:cs="Arial"/>
          <w:color w:val="000000"/>
          <w:szCs w:val="22"/>
          <w:lang w:val="en-AU"/>
        </w:rPr>
        <w:t xml:space="preserve">Australian </w:t>
      </w:r>
      <w:r w:rsidR="007439AA">
        <w:rPr>
          <w:rFonts w:asciiTheme="minorHAnsi" w:hAnsiTheme="minorHAnsi" w:cs="Arial"/>
          <w:color w:val="000000"/>
          <w:szCs w:val="22"/>
          <w:lang w:val="en-AU"/>
        </w:rPr>
        <w:t>Government’s</w:t>
      </w:r>
      <w:r w:rsidR="007439AA" w:rsidRPr="00E27200">
        <w:rPr>
          <w:rFonts w:asciiTheme="minorHAnsi" w:hAnsiTheme="minorHAnsi" w:cs="Arial"/>
          <w:color w:val="000000"/>
          <w:szCs w:val="22"/>
          <w:lang w:val="en-AU"/>
        </w:rPr>
        <w:t xml:space="preserve"> </w:t>
      </w:r>
      <w:r w:rsidR="00015A2A" w:rsidRPr="00E27200">
        <w:rPr>
          <w:rFonts w:asciiTheme="minorHAnsi" w:hAnsiTheme="minorHAnsi" w:cs="Arial"/>
          <w:color w:val="000000"/>
          <w:szCs w:val="22"/>
          <w:lang w:val="en-AU"/>
        </w:rPr>
        <w:t xml:space="preserve">pharmaceutical supply contractor </w:t>
      </w:r>
      <w:r w:rsidR="00D9564E" w:rsidRPr="00E27200">
        <w:rPr>
          <w:rFonts w:asciiTheme="minorHAnsi" w:hAnsiTheme="minorHAnsi" w:cs="Arial"/>
          <w:color w:val="000000"/>
          <w:szCs w:val="22"/>
          <w:lang w:val="en-AU"/>
        </w:rPr>
        <w:t xml:space="preserve">noted that they have only approved two types of medicine from this supplier (powder for injection of beta-lactams and </w:t>
      </w:r>
      <w:proofErr w:type="spellStart"/>
      <w:r w:rsidR="00D9564E" w:rsidRPr="00E27200">
        <w:rPr>
          <w:rFonts w:asciiTheme="minorHAnsi" w:hAnsiTheme="minorHAnsi" w:cs="Arial"/>
          <w:color w:val="000000"/>
          <w:szCs w:val="22"/>
          <w:lang w:val="en-AU"/>
        </w:rPr>
        <w:t>cephalosporins</w:t>
      </w:r>
      <w:proofErr w:type="spellEnd"/>
      <w:r w:rsidR="00D9564E" w:rsidRPr="00E27200">
        <w:rPr>
          <w:rFonts w:asciiTheme="minorHAnsi" w:hAnsiTheme="minorHAnsi" w:cs="Arial"/>
          <w:color w:val="000000"/>
          <w:szCs w:val="22"/>
          <w:lang w:val="en-AU"/>
        </w:rPr>
        <w:t xml:space="preserve">), from among the wide range of products NCPC produces at its many manufacturing sites.  </w:t>
      </w:r>
      <w:r w:rsidR="00015A2A" w:rsidRPr="00E27200">
        <w:rPr>
          <w:rFonts w:asciiTheme="minorHAnsi" w:hAnsiTheme="minorHAnsi" w:cs="Arial"/>
          <w:color w:val="000000"/>
          <w:szCs w:val="22"/>
          <w:lang w:val="en-AU"/>
        </w:rPr>
        <w:t xml:space="preserve">The </w:t>
      </w:r>
      <w:r w:rsidR="00DC21D4">
        <w:rPr>
          <w:rFonts w:asciiTheme="minorHAnsi" w:hAnsiTheme="minorHAnsi" w:cs="Arial"/>
          <w:color w:val="000000"/>
          <w:szCs w:val="22"/>
          <w:lang w:val="en-AU"/>
        </w:rPr>
        <w:t xml:space="preserve">Australian </w:t>
      </w:r>
      <w:r w:rsidR="007439AA">
        <w:rPr>
          <w:rFonts w:asciiTheme="minorHAnsi" w:hAnsiTheme="minorHAnsi" w:cs="Arial"/>
          <w:color w:val="000000"/>
          <w:szCs w:val="22"/>
          <w:lang w:val="en-AU"/>
        </w:rPr>
        <w:t>Government’s</w:t>
      </w:r>
      <w:r w:rsidR="007439AA" w:rsidRPr="00E27200">
        <w:rPr>
          <w:rFonts w:asciiTheme="minorHAnsi" w:hAnsiTheme="minorHAnsi" w:cs="Arial"/>
          <w:color w:val="000000"/>
          <w:szCs w:val="22"/>
          <w:lang w:val="en-AU"/>
        </w:rPr>
        <w:t xml:space="preserve"> </w:t>
      </w:r>
      <w:r w:rsidR="00015A2A" w:rsidRPr="00E27200">
        <w:rPr>
          <w:rFonts w:asciiTheme="minorHAnsi" w:hAnsiTheme="minorHAnsi" w:cs="Arial"/>
          <w:color w:val="000000"/>
          <w:szCs w:val="22"/>
          <w:lang w:val="en-AU"/>
        </w:rPr>
        <w:t xml:space="preserve">pharmaceutical supply contractor noted that the NCPC products it supplies to the 100% kits (Ampicillin injection and </w:t>
      </w:r>
      <w:proofErr w:type="spellStart"/>
      <w:r w:rsidR="00015A2A" w:rsidRPr="00E27200">
        <w:rPr>
          <w:rFonts w:asciiTheme="minorHAnsi" w:hAnsiTheme="minorHAnsi" w:cs="Arial"/>
          <w:color w:val="000000"/>
          <w:szCs w:val="22"/>
          <w:lang w:val="en-AU"/>
        </w:rPr>
        <w:t>Benzathine</w:t>
      </w:r>
      <w:proofErr w:type="spellEnd"/>
      <w:r w:rsidR="00015A2A" w:rsidRPr="00E27200">
        <w:rPr>
          <w:rFonts w:asciiTheme="minorHAnsi" w:hAnsiTheme="minorHAnsi" w:cs="Arial"/>
          <w:color w:val="000000"/>
          <w:szCs w:val="22"/>
          <w:lang w:val="en-AU"/>
        </w:rPr>
        <w:t xml:space="preserve"> penicillin injection) have been checked and approved by their internal quality assurance processes (see Section 3.4.1).  Their approval does not extend to the many other NCPC pharmaceuticals in circulation.</w:t>
      </w:r>
    </w:p>
    <w:p w14:paraId="697E790A" w14:textId="77777777" w:rsidR="00607C00" w:rsidRPr="00E27200" w:rsidRDefault="00607C00" w:rsidP="00E16C77">
      <w:pPr>
        <w:rPr>
          <w:rFonts w:asciiTheme="minorHAnsi" w:hAnsiTheme="minorHAnsi" w:cs="Arial"/>
          <w:color w:val="000000"/>
          <w:szCs w:val="22"/>
          <w:lang w:val="en-AU"/>
        </w:rPr>
      </w:pPr>
    </w:p>
    <w:p w14:paraId="33F65750" w14:textId="77777777" w:rsidR="00BD5E90" w:rsidRPr="00E27200" w:rsidRDefault="00607C00" w:rsidP="00E16C77">
      <w:pPr>
        <w:pStyle w:val="Heading3"/>
      </w:pPr>
      <w:r w:rsidRPr="00E27200">
        <w:t>Quality testing capacity</w:t>
      </w:r>
    </w:p>
    <w:p w14:paraId="0C807A5F" w14:textId="0295731A" w:rsidR="00DF57FC" w:rsidRPr="00E27200" w:rsidRDefault="00674D85" w:rsidP="00E16C77">
      <w:pPr>
        <w:rPr>
          <w:rFonts w:asciiTheme="minorHAnsi" w:hAnsiTheme="minorHAnsi" w:cs="Arial"/>
          <w:color w:val="000000"/>
          <w:szCs w:val="22"/>
          <w:lang w:val="en-AU"/>
        </w:rPr>
      </w:pPr>
      <w:r w:rsidRPr="00E27200">
        <w:rPr>
          <w:rFonts w:asciiTheme="minorHAnsi" w:hAnsiTheme="minorHAnsi" w:cs="Arial"/>
          <w:color w:val="000000"/>
          <w:szCs w:val="22"/>
          <w:lang w:val="en-AU"/>
        </w:rPr>
        <w:t>Formal laboratory q</w:t>
      </w:r>
      <w:r w:rsidR="00DF57FC" w:rsidRPr="00E27200">
        <w:rPr>
          <w:rFonts w:asciiTheme="minorHAnsi" w:hAnsiTheme="minorHAnsi" w:cs="Arial"/>
          <w:color w:val="000000"/>
          <w:szCs w:val="22"/>
          <w:lang w:val="en-AU"/>
        </w:rPr>
        <w:t xml:space="preserve">uality testing of </w:t>
      </w:r>
      <w:r w:rsidR="00141A73">
        <w:rPr>
          <w:rFonts w:asciiTheme="minorHAnsi" w:hAnsiTheme="minorHAnsi" w:cs="Arial"/>
          <w:color w:val="000000"/>
          <w:szCs w:val="22"/>
          <w:lang w:val="en-AU"/>
        </w:rPr>
        <w:t>medicines</w:t>
      </w:r>
      <w:r w:rsidR="00141A73" w:rsidRPr="00E27200">
        <w:rPr>
          <w:rFonts w:asciiTheme="minorHAnsi" w:hAnsiTheme="minorHAnsi" w:cs="Arial"/>
          <w:color w:val="000000"/>
          <w:szCs w:val="22"/>
          <w:lang w:val="en-AU"/>
        </w:rPr>
        <w:t xml:space="preserve"> </w:t>
      </w:r>
      <w:r w:rsidR="00DF57FC" w:rsidRPr="00E27200">
        <w:rPr>
          <w:rFonts w:asciiTheme="minorHAnsi" w:hAnsiTheme="minorHAnsi" w:cs="Arial"/>
          <w:color w:val="000000"/>
          <w:szCs w:val="22"/>
          <w:lang w:val="en-AU"/>
        </w:rPr>
        <w:t xml:space="preserve">is very possible in PNG but has not been actively pursued. </w:t>
      </w:r>
      <w:r w:rsidRPr="00E27200">
        <w:rPr>
          <w:rFonts w:asciiTheme="minorHAnsi" w:hAnsiTheme="minorHAnsi" w:cs="Arial"/>
          <w:color w:val="000000"/>
          <w:szCs w:val="22"/>
          <w:lang w:val="en-AU"/>
        </w:rPr>
        <w:t xml:space="preserve">The </w:t>
      </w:r>
      <w:r w:rsidR="00DF57FC" w:rsidRPr="00E27200">
        <w:rPr>
          <w:rFonts w:asciiTheme="minorHAnsi" w:hAnsiTheme="minorHAnsi" w:cs="Arial"/>
          <w:color w:val="000000"/>
          <w:szCs w:val="22"/>
          <w:lang w:val="en-AU"/>
        </w:rPr>
        <w:t>Pharmaceutical Standards Board perform</w:t>
      </w:r>
      <w:r w:rsidR="00327BF0">
        <w:rPr>
          <w:rFonts w:asciiTheme="minorHAnsi" w:hAnsiTheme="minorHAnsi" w:cs="Arial"/>
          <w:color w:val="000000"/>
          <w:szCs w:val="22"/>
          <w:lang w:val="en-AU"/>
        </w:rPr>
        <w:t>s</w:t>
      </w:r>
      <w:r w:rsidR="00DF57FC" w:rsidRPr="00E27200">
        <w:rPr>
          <w:rFonts w:asciiTheme="minorHAnsi" w:hAnsiTheme="minorHAnsi" w:cs="Arial"/>
          <w:color w:val="000000"/>
          <w:szCs w:val="22"/>
          <w:lang w:val="en-AU"/>
        </w:rPr>
        <w:t xml:space="preserve"> a small number of inspections of the private sector pharmacy with a small annual budget of ~75,000K. There is currently no inspection related to the quality testing of pharmaceuticals and no sampling methodology has been drafted for either the public or private sector. </w:t>
      </w:r>
      <w:r w:rsidRPr="00E27200">
        <w:rPr>
          <w:rFonts w:asciiTheme="minorHAnsi" w:hAnsiTheme="minorHAnsi" w:cs="Arial"/>
          <w:color w:val="000000"/>
          <w:szCs w:val="22"/>
          <w:lang w:val="en-AU"/>
        </w:rPr>
        <w:t xml:space="preserve"> </w:t>
      </w:r>
      <w:r w:rsidR="00DF57FC" w:rsidRPr="00E27200">
        <w:rPr>
          <w:rFonts w:asciiTheme="minorHAnsi" w:hAnsiTheme="minorHAnsi" w:cs="Arial"/>
          <w:color w:val="000000"/>
          <w:szCs w:val="22"/>
          <w:lang w:val="en-AU"/>
        </w:rPr>
        <w:t xml:space="preserve">A GPHF-Minilab was </w:t>
      </w:r>
      <w:r w:rsidRPr="00E27200">
        <w:rPr>
          <w:rFonts w:asciiTheme="minorHAnsi" w:hAnsiTheme="minorHAnsi" w:cs="Arial"/>
          <w:color w:val="000000"/>
          <w:szCs w:val="22"/>
          <w:lang w:val="en-AU"/>
        </w:rPr>
        <w:t xml:space="preserve">previously </w:t>
      </w:r>
      <w:r w:rsidR="00DF57FC" w:rsidRPr="00E27200">
        <w:rPr>
          <w:rFonts w:asciiTheme="minorHAnsi" w:hAnsiTheme="minorHAnsi" w:cs="Arial"/>
          <w:color w:val="000000"/>
          <w:szCs w:val="22"/>
          <w:lang w:val="en-AU"/>
        </w:rPr>
        <w:t xml:space="preserve">procured for NDOH for simple </w:t>
      </w:r>
      <w:r w:rsidR="009C075F">
        <w:rPr>
          <w:rFonts w:asciiTheme="minorHAnsi" w:hAnsiTheme="minorHAnsi" w:cs="Arial"/>
          <w:color w:val="000000"/>
          <w:szCs w:val="22"/>
          <w:lang w:val="en-AU"/>
        </w:rPr>
        <w:t>medicine</w:t>
      </w:r>
      <w:r w:rsidR="00DF57FC" w:rsidRPr="00E27200">
        <w:rPr>
          <w:rFonts w:asciiTheme="minorHAnsi" w:hAnsiTheme="minorHAnsi" w:cs="Arial"/>
          <w:color w:val="000000"/>
          <w:szCs w:val="22"/>
          <w:lang w:val="en-AU"/>
        </w:rPr>
        <w:t xml:space="preserve"> testing but </w:t>
      </w:r>
      <w:r w:rsidRPr="00E27200">
        <w:rPr>
          <w:rFonts w:asciiTheme="minorHAnsi" w:hAnsiTheme="minorHAnsi" w:cs="Arial"/>
          <w:color w:val="000000"/>
          <w:szCs w:val="22"/>
          <w:lang w:val="en-AU"/>
        </w:rPr>
        <w:t>has</w:t>
      </w:r>
      <w:r w:rsidR="00DF57FC" w:rsidRPr="00E27200">
        <w:rPr>
          <w:rFonts w:asciiTheme="minorHAnsi" w:hAnsiTheme="minorHAnsi" w:cs="Arial"/>
          <w:color w:val="000000"/>
          <w:szCs w:val="22"/>
          <w:lang w:val="en-AU"/>
        </w:rPr>
        <w:t xml:space="preserve"> never</w:t>
      </w:r>
      <w:r w:rsidRPr="00E27200">
        <w:rPr>
          <w:rFonts w:asciiTheme="minorHAnsi" w:hAnsiTheme="minorHAnsi" w:cs="Arial"/>
          <w:color w:val="000000"/>
          <w:szCs w:val="22"/>
          <w:lang w:val="en-AU"/>
        </w:rPr>
        <w:t xml:space="preserve"> been actively</w:t>
      </w:r>
      <w:r w:rsidR="00DF57FC" w:rsidRPr="00E27200">
        <w:rPr>
          <w:rFonts w:asciiTheme="minorHAnsi" w:hAnsiTheme="minorHAnsi" w:cs="Arial"/>
          <w:color w:val="000000"/>
          <w:szCs w:val="22"/>
          <w:lang w:val="en-AU"/>
        </w:rPr>
        <w:t xml:space="preserve"> used and </w:t>
      </w:r>
      <w:r w:rsidRPr="00E27200">
        <w:rPr>
          <w:rFonts w:asciiTheme="minorHAnsi" w:hAnsiTheme="minorHAnsi" w:cs="Arial"/>
          <w:color w:val="000000"/>
          <w:szCs w:val="22"/>
          <w:lang w:val="en-AU"/>
        </w:rPr>
        <w:t xml:space="preserve">is not </w:t>
      </w:r>
      <w:r w:rsidR="00DF57FC" w:rsidRPr="00E27200">
        <w:rPr>
          <w:rFonts w:asciiTheme="minorHAnsi" w:hAnsiTheme="minorHAnsi" w:cs="Arial"/>
          <w:color w:val="000000"/>
          <w:szCs w:val="22"/>
          <w:lang w:val="en-AU"/>
        </w:rPr>
        <w:t xml:space="preserve">now </w:t>
      </w:r>
      <w:r w:rsidRPr="00E27200">
        <w:rPr>
          <w:rFonts w:asciiTheme="minorHAnsi" w:hAnsiTheme="minorHAnsi" w:cs="Arial"/>
          <w:color w:val="000000"/>
          <w:szCs w:val="22"/>
          <w:lang w:val="en-AU"/>
        </w:rPr>
        <w:t>operational</w:t>
      </w:r>
      <w:r w:rsidR="00224DED">
        <w:rPr>
          <w:rFonts w:asciiTheme="minorHAnsi" w:hAnsiTheme="minorHAnsi" w:cs="Arial"/>
          <w:color w:val="000000"/>
          <w:szCs w:val="22"/>
          <w:lang w:val="en-AU"/>
        </w:rPr>
        <w:t>. A MO</w:t>
      </w:r>
      <w:r w:rsidR="00DF57FC" w:rsidRPr="00E27200">
        <w:rPr>
          <w:rFonts w:asciiTheme="minorHAnsi" w:hAnsiTheme="minorHAnsi" w:cs="Arial"/>
          <w:color w:val="000000"/>
          <w:szCs w:val="22"/>
          <w:lang w:val="en-AU"/>
        </w:rPr>
        <w:t xml:space="preserve">U has been signed with the Therapeutic Goods Administration (TGA) to assist with </w:t>
      </w:r>
      <w:r w:rsidR="00224DED">
        <w:rPr>
          <w:rFonts w:asciiTheme="minorHAnsi" w:hAnsiTheme="minorHAnsi" w:cs="Arial"/>
          <w:color w:val="000000"/>
          <w:szCs w:val="22"/>
          <w:lang w:val="en-AU"/>
        </w:rPr>
        <w:t>medicine</w:t>
      </w:r>
      <w:r w:rsidR="00DF57FC" w:rsidRPr="00E27200">
        <w:rPr>
          <w:rFonts w:asciiTheme="minorHAnsi" w:hAnsiTheme="minorHAnsi" w:cs="Arial"/>
          <w:color w:val="000000"/>
          <w:szCs w:val="22"/>
          <w:lang w:val="en-AU"/>
        </w:rPr>
        <w:t xml:space="preserve"> quality assurance (QA) however the costs are high.  </w:t>
      </w:r>
    </w:p>
    <w:p w14:paraId="37E34DFA" w14:textId="77777777" w:rsidR="00DF57FC" w:rsidRPr="00E27200" w:rsidRDefault="00DF57FC" w:rsidP="00E16C77">
      <w:pPr>
        <w:rPr>
          <w:rFonts w:asciiTheme="minorHAnsi" w:hAnsiTheme="minorHAnsi" w:cs="Arial"/>
          <w:color w:val="000000"/>
          <w:szCs w:val="22"/>
          <w:lang w:val="en-AU"/>
        </w:rPr>
      </w:pPr>
    </w:p>
    <w:p w14:paraId="263343E4" w14:textId="00BB643C" w:rsidR="00DF57FC" w:rsidRPr="00E27200" w:rsidRDefault="00DF57FC" w:rsidP="00E16C77">
      <w:pPr>
        <w:rPr>
          <w:rFonts w:asciiTheme="minorHAnsi" w:hAnsiTheme="minorHAnsi" w:cs="Arial"/>
          <w:color w:val="000000"/>
          <w:szCs w:val="22"/>
          <w:lang w:val="en-AU"/>
        </w:rPr>
      </w:pPr>
      <w:r w:rsidRPr="00E27200">
        <w:rPr>
          <w:rFonts w:asciiTheme="minorHAnsi" w:hAnsiTheme="minorHAnsi" w:cs="Arial"/>
          <w:color w:val="000000"/>
          <w:szCs w:val="22"/>
          <w:lang w:val="en-AU"/>
        </w:rPr>
        <w:t xml:space="preserve">Currently two sophisticated </w:t>
      </w:r>
      <w:r w:rsidR="00674D85" w:rsidRPr="00E27200">
        <w:rPr>
          <w:rFonts w:asciiTheme="minorHAnsi" w:hAnsiTheme="minorHAnsi" w:cs="Arial"/>
          <w:color w:val="000000"/>
          <w:szCs w:val="22"/>
          <w:lang w:val="en-AU"/>
        </w:rPr>
        <w:t xml:space="preserve">high </w:t>
      </w:r>
      <w:r w:rsidR="00920523" w:rsidRPr="00E27200">
        <w:rPr>
          <w:rFonts w:asciiTheme="minorHAnsi" w:hAnsiTheme="minorHAnsi" w:cs="Arial"/>
          <w:color w:val="000000"/>
          <w:szCs w:val="22"/>
          <w:lang w:val="en-AU"/>
        </w:rPr>
        <w:t>performance</w:t>
      </w:r>
      <w:r w:rsidR="00674D85" w:rsidRPr="00E27200">
        <w:rPr>
          <w:rFonts w:asciiTheme="minorHAnsi" w:hAnsiTheme="minorHAnsi" w:cs="Arial"/>
          <w:color w:val="000000"/>
          <w:szCs w:val="22"/>
          <w:lang w:val="en-AU"/>
        </w:rPr>
        <w:t xml:space="preserve"> liquid chromatography</w:t>
      </w:r>
      <w:r w:rsidR="00FB63C9" w:rsidRPr="00E27200">
        <w:rPr>
          <w:rFonts w:asciiTheme="minorHAnsi" w:hAnsiTheme="minorHAnsi" w:cs="Arial"/>
          <w:color w:val="000000"/>
          <w:szCs w:val="22"/>
          <w:lang w:val="en-AU"/>
        </w:rPr>
        <w:t xml:space="preserve"> machines are being</w:t>
      </w:r>
      <w:r w:rsidRPr="00E27200">
        <w:rPr>
          <w:rFonts w:asciiTheme="minorHAnsi" w:hAnsiTheme="minorHAnsi" w:cs="Arial"/>
          <w:color w:val="000000"/>
          <w:szCs w:val="22"/>
          <w:lang w:val="en-AU"/>
        </w:rPr>
        <w:t xml:space="preserve"> procured </w:t>
      </w:r>
      <w:r w:rsidR="00FB63C9" w:rsidRPr="00E27200">
        <w:rPr>
          <w:rFonts w:asciiTheme="minorHAnsi" w:hAnsiTheme="minorHAnsi" w:cs="Arial"/>
          <w:color w:val="000000"/>
          <w:szCs w:val="22"/>
          <w:lang w:val="en-AU"/>
        </w:rPr>
        <w:t xml:space="preserve">however </w:t>
      </w:r>
      <w:r w:rsidR="00AD254E" w:rsidRPr="00E27200">
        <w:rPr>
          <w:rFonts w:asciiTheme="minorHAnsi" w:hAnsiTheme="minorHAnsi" w:cs="Arial"/>
          <w:color w:val="000000"/>
          <w:szCs w:val="22"/>
          <w:lang w:val="en-AU"/>
        </w:rPr>
        <w:t>staff training has not yet been undertaken, and the facilitating agreement between t</w:t>
      </w:r>
      <w:r w:rsidRPr="00E27200">
        <w:rPr>
          <w:rFonts w:asciiTheme="minorHAnsi" w:hAnsiTheme="minorHAnsi" w:cs="Arial"/>
          <w:color w:val="000000"/>
          <w:szCs w:val="22"/>
          <w:lang w:val="en-AU"/>
        </w:rPr>
        <w:t xml:space="preserve">he </w:t>
      </w:r>
      <w:r w:rsidR="00AD254E" w:rsidRPr="00E27200">
        <w:rPr>
          <w:rFonts w:asciiTheme="minorHAnsi" w:hAnsiTheme="minorHAnsi" w:cs="Arial"/>
          <w:color w:val="000000"/>
          <w:szCs w:val="22"/>
          <w:lang w:val="en-AU"/>
        </w:rPr>
        <w:t>School of Pharmacy at UPNG and</w:t>
      </w:r>
      <w:r w:rsidRPr="00E27200">
        <w:rPr>
          <w:rFonts w:asciiTheme="minorHAnsi" w:hAnsiTheme="minorHAnsi" w:cs="Arial"/>
          <w:color w:val="000000"/>
          <w:szCs w:val="22"/>
          <w:lang w:val="en-AU"/>
        </w:rPr>
        <w:t xml:space="preserve"> NDOH </w:t>
      </w:r>
      <w:r w:rsidR="00AD254E" w:rsidRPr="00E27200">
        <w:rPr>
          <w:rFonts w:asciiTheme="minorHAnsi" w:hAnsiTheme="minorHAnsi" w:cs="Arial"/>
          <w:color w:val="000000"/>
          <w:szCs w:val="22"/>
          <w:lang w:val="en-AU"/>
        </w:rPr>
        <w:t xml:space="preserve">remains incomplete. </w:t>
      </w:r>
      <w:r w:rsidR="00920523" w:rsidRPr="00E27200">
        <w:rPr>
          <w:rFonts w:asciiTheme="minorHAnsi" w:hAnsiTheme="minorHAnsi" w:cs="Arial"/>
          <w:color w:val="000000"/>
          <w:szCs w:val="22"/>
          <w:lang w:val="en-AU"/>
        </w:rPr>
        <w:t xml:space="preserve">Presently there </w:t>
      </w:r>
      <w:r w:rsidR="00327BF0">
        <w:rPr>
          <w:rFonts w:asciiTheme="minorHAnsi" w:hAnsiTheme="minorHAnsi" w:cs="Arial"/>
          <w:color w:val="000000"/>
          <w:szCs w:val="22"/>
          <w:lang w:val="en-AU"/>
        </w:rPr>
        <w:t>is</w:t>
      </w:r>
      <w:r w:rsidR="00327BF0" w:rsidRPr="00E27200">
        <w:rPr>
          <w:rFonts w:asciiTheme="minorHAnsi" w:hAnsiTheme="minorHAnsi" w:cs="Arial"/>
          <w:color w:val="000000"/>
          <w:szCs w:val="22"/>
          <w:lang w:val="en-AU"/>
        </w:rPr>
        <w:t xml:space="preserve"> </w:t>
      </w:r>
      <w:r w:rsidR="00812281" w:rsidRPr="00E27200">
        <w:rPr>
          <w:rFonts w:asciiTheme="minorHAnsi" w:hAnsiTheme="minorHAnsi" w:cs="Arial"/>
          <w:color w:val="000000"/>
          <w:szCs w:val="22"/>
          <w:lang w:val="en-AU"/>
        </w:rPr>
        <w:t xml:space="preserve">no </w:t>
      </w:r>
      <w:proofErr w:type="gramStart"/>
      <w:r w:rsidR="00812281" w:rsidRPr="00E27200">
        <w:rPr>
          <w:rFonts w:asciiTheme="minorHAnsi" w:hAnsiTheme="minorHAnsi" w:cs="Arial"/>
          <w:color w:val="000000"/>
          <w:szCs w:val="22"/>
          <w:lang w:val="en-AU"/>
        </w:rPr>
        <w:t>staff</w:t>
      </w:r>
      <w:proofErr w:type="gramEnd"/>
      <w:r w:rsidR="00812281" w:rsidRPr="00E27200">
        <w:rPr>
          <w:rFonts w:asciiTheme="minorHAnsi" w:hAnsiTheme="minorHAnsi" w:cs="Arial"/>
          <w:color w:val="000000"/>
          <w:szCs w:val="22"/>
          <w:lang w:val="en-AU"/>
        </w:rPr>
        <w:t xml:space="preserve"> to undertake regular quality testing, although a</w:t>
      </w:r>
      <w:r w:rsidRPr="00E27200">
        <w:rPr>
          <w:rFonts w:asciiTheme="minorHAnsi" w:hAnsiTheme="minorHAnsi" w:cs="Arial"/>
          <w:color w:val="000000"/>
          <w:szCs w:val="22"/>
          <w:lang w:val="en-AU"/>
        </w:rPr>
        <w:t xml:space="preserve"> scientific officer </w:t>
      </w:r>
      <w:r w:rsidR="00AD254E" w:rsidRPr="00E27200">
        <w:rPr>
          <w:rFonts w:asciiTheme="minorHAnsi" w:hAnsiTheme="minorHAnsi" w:cs="Arial"/>
          <w:color w:val="000000"/>
          <w:szCs w:val="22"/>
          <w:lang w:val="en-AU"/>
        </w:rPr>
        <w:t xml:space="preserve">position </w:t>
      </w:r>
      <w:r w:rsidRPr="00E27200">
        <w:rPr>
          <w:rFonts w:asciiTheme="minorHAnsi" w:hAnsiTheme="minorHAnsi" w:cs="Arial"/>
          <w:color w:val="000000"/>
          <w:szCs w:val="22"/>
          <w:lang w:val="en-AU"/>
        </w:rPr>
        <w:t xml:space="preserve">to undertake this </w:t>
      </w:r>
      <w:r w:rsidR="00812281" w:rsidRPr="00E27200">
        <w:rPr>
          <w:rFonts w:asciiTheme="minorHAnsi" w:hAnsiTheme="minorHAnsi" w:cs="Arial"/>
          <w:color w:val="000000"/>
          <w:szCs w:val="22"/>
          <w:lang w:val="en-AU"/>
        </w:rPr>
        <w:t>role</w:t>
      </w:r>
      <w:r w:rsidRPr="00E27200">
        <w:rPr>
          <w:rFonts w:asciiTheme="minorHAnsi" w:hAnsiTheme="minorHAnsi" w:cs="Arial"/>
          <w:color w:val="000000"/>
          <w:szCs w:val="22"/>
          <w:lang w:val="en-AU"/>
        </w:rPr>
        <w:t xml:space="preserve"> has recently been re-advertised</w:t>
      </w:r>
      <w:r w:rsidR="00812281" w:rsidRPr="00E27200">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 xml:space="preserve">A WHO Medicine Quality project has recently completed sampling of a range of </w:t>
      </w:r>
      <w:r w:rsidR="00812281" w:rsidRPr="00E27200">
        <w:rPr>
          <w:rFonts w:asciiTheme="minorHAnsi" w:hAnsiTheme="minorHAnsi" w:cs="Arial"/>
          <w:color w:val="000000"/>
          <w:szCs w:val="22"/>
          <w:lang w:val="en-AU"/>
        </w:rPr>
        <w:t>medicines</w:t>
      </w:r>
      <w:r w:rsidR="00920523" w:rsidRPr="00E27200">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 xml:space="preserve">for testing at the University of Newcastle, however these samples were taken from AMS </w:t>
      </w:r>
      <w:proofErr w:type="spellStart"/>
      <w:r w:rsidRPr="00E27200">
        <w:rPr>
          <w:rFonts w:asciiTheme="minorHAnsi" w:hAnsiTheme="minorHAnsi" w:cs="Arial"/>
          <w:color w:val="000000"/>
          <w:szCs w:val="22"/>
          <w:lang w:val="en-AU"/>
        </w:rPr>
        <w:t>Badili</w:t>
      </w:r>
      <w:proofErr w:type="spellEnd"/>
      <w:r w:rsidRPr="00E27200">
        <w:rPr>
          <w:rFonts w:asciiTheme="minorHAnsi" w:hAnsiTheme="minorHAnsi" w:cs="Arial"/>
          <w:color w:val="000000"/>
          <w:szCs w:val="22"/>
          <w:lang w:val="en-AU"/>
        </w:rPr>
        <w:t xml:space="preserve"> and not from </w:t>
      </w:r>
      <w:r w:rsidR="00920523" w:rsidRPr="00E27200">
        <w:rPr>
          <w:rFonts w:asciiTheme="minorHAnsi" w:hAnsiTheme="minorHAnsi" w:cs="Arial"/>
          <w:color w:val="000000"/>
          <w:szCs w:val="22"/>
          <w:lang w:val="en-AU"/>
        </w:rPr>
        <w:t>subnational</w:t>
      </w:r>
      <w:r w:rsidRPr="00E27200">
        <w:rPr>
          <w:rFonts w:asciiTheme="minorHAnsi" w:hAnsiTheme="minorHAnsi" w:cs="Arial"/>
          <w:color w:val="000000"/>
          <w:szCs w:val="22"/>
          <w:lang w:val="en-AU"/>
        </w:rPr>
        <w:t xml:space="preserve"> sites. </w:t>
      </w:r>
    </w:p>
    <w:p w14:paraId="17C05407" w14:textId="77777777" w:rsidR="00DF57FC" w:rsidRPr="00E27200" w:rsidRDefault="00DF57FC" w:rsidP="00E16C77">
      <w:pPr>
        <w:rPr>
          <w:rFonts w:asciiTheme="minorHAnsi" w:hAnsiTheme="minorHAnsi" w:cs="Arial"/>
          <w:color w:val="000000"/>
          <w:szCs w:val="22"/>
          <w:lang w:val="en-AU"/>
        </w:rPr>
      </w:pPr>
    </w:p>
    <w:p w14:paraId="48644DFC" w14:textId="300103B3" w:rsidR="00866D9A" w:rsidRPr="00E27200" w:rsidRDefault="00DF57FC" w:rsidP="00AD254E">
      <w:pPr>
        <w:rPr>
          <w:rFonts w:asciiTheme="minorHAnsi" w:hAnsiTheme="minorHAnsi" w:cs="Arial"/>
          <w:color w:val="000000"/>
          <w:szCs w:val="22"/>
          <w:lang w:val="en-AU"/>
        </w:rPr>
      </w:pPr>
      <w:r w:rsidRPr="00E27200">
        <w:rPr>
          <w:rFonts w:asciiTheme="minorHAnsi" w:hAnsiTheme="minorHAnsi" w:cs="Arial"/>
          <w:color w:val="000000"/>
          <w:szCs w:val="22"/>
          <w:lang w:val="en-AU"/>
        </w:rPr>
        <w:t>The current July 2013 draft of the National Medicines Policy (NMP) has a substantial components related to “regu</w:t>
      </w:r>
      <w:r w:rsidR="00AD254E" w:rsidRPr="00E27200">
        <w:rPr>
          <w:rFonts w:asciiTheme="minorHAnsi" w:hAnsiTheme="minorHAnsi" w:cs="Arial"/>
          <w:color w:val="000000"/>
          <w:szCs w:val="22"/>
          <w:lang w:val="en-AU"/>
        </w:rPr>
        <w:t xml:space="preserve">lations and quality assurance” </w:t>
      </w:r>
      <w:r w:rsidRPr="00E27200">
        <w:rPr>
          <w:rFonts w:asciiTheme="minorHAnsi" w:hAnsiTheme="minorHAnsi" w:cs="Arial"/>
          <w:color w:val="000000"/>
          <w:szCs w:val="22"/>
          <w:lang w:val="en-AU"/>
        </w:rPr>
        <w:t>including pre- and post-marketing sur</w:t>
      </w:r>
      <w:r w:rsidR="00AD254E" w:rsidRPr="00E27200">
        <w:rPr>
          <w:rFonts w:asciiTheme="minorHAnsi" w:hAnsiTheme="minorHAnsi" w:cs="Arial"/>
          <w:color w:val="000000"/>
          <w:szCs w:val="22"/>
          <w:lang w:val="en-AU"/>
        </w:rPr>
        <w:t xml:space="preserve">veillance of registered </w:t>
      </w:r>
      <w:r w:rsidR="00E87678">
        <w:rPr>
          <w:rFonts w:asciiTheme="minorHAnsi" w:hAnsiTheme="minorHAnsi" w:cs="Arial"/>
          <w:color w:val="000000"/>
          <w:szCs w:val="22"/>
          <w:lang w:val="en-AU"/>
        </w:rPr>
        <w:t>medicines</w:t>
      </w:r>
      <w:r w:rsidR="00AD254E" w:rsidRPr="00E27200">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 xml:space="preserve">enforcement of good storage and distribution practices </w:t>
      </w:r>
      <w:r w:rsidR="00920523" w:rsidRPr="00E27200">
        <w:rPr>
          <w:rFonts w:asciiTheme="minorHAnsi" w:hAnsiTheme="minorHAnsi" w:cs="Arial"/>
          <w:color w:val="000000"/>
          <w:szCs w:val="22"/>
          <w:lang w:val="en-AU"/>
        </w:rPr>
        <w:t xml:space="preserve">and “quality control” measures, </w:t>
      </w:r>
      <w:r w:rsidRPr="00E27200">
        <w:rPr>
          <w:rFonts w:asciiTheme="minorHAnsi" w:hAnsiTheme="minorHAnsi" w:cs="Arial"/>
          <w:color w:val="000000"/>
          <w:szCs w:val="22"/>
          <w:lang w:val="en-AU"/>
        </w:rPr>
        <w:t>including “ a continuous program of sampling and testing of selected medicinal products marketed in the country”. However</w:t>
      </w:r>
      <w:r w:rsidR="009B7D81" w:rsidRPr="00E27200">
        <w:rPr>
          <w:rFonts w:asciiTheme="minorHAnsi" w:hAnsiTheme="minorHAnsi" w:cs="Arial"/>
          <w:color w:val="000000"/>
          <w:szCs w:val="22"/>
          <w:lang w:val="en-AU"/>
        </w:rPr>
        <w:t>,</w:t>
      </w:r>
      <w:r w:rsidRPr="00E27200">
        <w:rPr>
          <w:rFonts w:asciiTheme="minorHAnsi" w:hAnsiTheme="minorHAnsi" w:cs="Arial"/>
          <w:color w:val="000000"/>
          <w:szCs w:val="22"/>
          <w:lang w:val="en-AU"/>
        </w:rPr>
        <w:t xml:space="preserve"> to date only one small sample had been sent through ND</w:t>
      </w:r>
      <w:r w:rsidR="00327BF0">
        <w:rPr>
          <w:rFonts w:asciiTheme="minorHAnsi" w:hAnsiTheme="minorHAnsi" w:cs="Arial"/>
          <w:color w:val="000000"/>
          <w:szCs w:val="22"/>
          <w:lang w:val="en-AU"/>
        </w:rPr>
        <w:t>O</w:t>
      </w:r>
      <w:r w:rsidRPr="00E27200">
        <w:rPr>
          <w:rFonts w:asciiTheme="minorHAnsi" w:hAnsiTheme="minorHAnsi" w:cs="Arial"/>
          <w:color w:val="000000"/>
          <w:szCs w:val="22"/>
          <w:lang w:val="en-AU"/>
        </w:rPr>
        <w:t>H to a</w:t>
      </w:r>
      <w:r w:rsidR="009B7D81" w:rsidRPr="00E27200">
        <w:rPr>
          <w:rFonts w:asciiTheme="minorHAnsi" w:hAnsiTheme="minorHAnsi" w:cs="Arial"/>
          <w:color w:val="000000"/>
          <w:szCs w:val="22"/>
          <w:lang w:val="en-AU"/>
        </w:rPr>
        <w:t>n</w:t>
      </w:r>
      <w:r w:rsidRPr="00E27200">
        <w:rPr>
          <w:rFonts w:asciiTheme="minorHAnsi" w:hAnsiTheme="minorHAnsi" w:cs="Arial"/>
          <w:color w:val="000000"/>
          <w:szCs w:val="22"/>
          <w:lang w:val="en-AU"/>
        </w:rPr>
        <w:t xml:space="preserve"> </w:t>
      </w:r>
      <w:r w:rsidR="00AD254E" w:rsidRPr="00E27200">
        <w:rPr>
          <w:rFonts w:asciiTheme="minorHAnsi" w:hAnsiTheme="minorHAnsi" w:cs="Arial"/>
          <w:color w:val="000000"/>
          <w:szCs w:val="22"/>
          <w:lang w:val="en-AU"/>
        </w:rPr>
        <w:t>international</w:t>
      </w:r>
      <w:r w:rsidRPr="00E27200">
        <w:rPr>
          <w:rFonts w:asciiTheme="minorHAnsi" w:hAnsiTheme="minorHAnsi" w:cs="Arial"/>
          <w:color w:val="000000"/>
          <w:szCs w:val="22"/>
          <w:lang w:val="en-AU"/>
        </w:rPr>
        <w:t xml:space="preserve"> laboratory for testing</w:t>
      </w:r>
      <w:r w:rsidR="00AD254E" w:rsidRPr="00E27200">
        <w:rPr>
          <w:rFonts w:asciiTheme="minorHAnsi" w:hAnsiTheme="minorHAnsi" w:cs="Arial"/>
          <w:color w:val="000000"/>
          <w:szCs w:val="22"/>
          <w:lang w:val="en-AU"/>
        </w:rPr>
        <w:t>. T</w:t>
      </w:r>
      <w:r w:rsidRPr="00E27200">
        <w:rPr>
          <w:rFonts w:asciiTheme="minorHAnsi" w:hAnsiTheme="minorHAnsi" w:cs="Arial"/>
          <w:color w:val="000000"/>
          <w:szCs w:val="22"/>
          <w:lang w:val="en-AU"/>
        </w:rPr>
        <w:t xml:space="preserve">he majority of </w:t>
      </w:r>
      <w:r w:rsidR="00E87678">
        <w:rPr>
          <w:rFonts w:asciiTheme="minorHAnsi" w:hAnsiTheme="minorHAnsi" w:cs="Arial"/>
          <w:color w:val="000000"/>
          <w:szCs w:val="22"/>
          <w:lang w:val="en-AU"/>
        </w:rPr>
        <w:t>medicine</w:t>
      </w:r>
      <w:r w:rsidRPr="00E27200">
        <w:rPr>
          <w:rFonts w:asciiTheme="minorHAnsi" w:hAnsiTheme="minorHAnsi" w:cs="Arial"/>
          <w:color w:val="000000"/>
          <w:szCs w:val="22"/>
          <w:lang w:val="en-AU"/>
        </w:rPr>
        <w:t xml:space="preserve"> testing </w:t>
      </w:r>
      <w:r w:rsidR="00AD254E" w:rsidRPr="00E27200">
        <w:rPr>
          <w:rFonts w:asciiTheme="minorHAnsi" w:hAnsiTheme="minorHAnsi" w:cs="Arial"/>
          <w:color w:val="000000"/>
          <w:szCs w:val="22"/>
          <w:lang w:val="en-AU"/>
        </w:rPr>
        <w:t xml:space="preserve">remains the province of </w:t>
      </w:r>
      <w:r w:rsidRPr="00E27200">
        <w:rPr>
          <w:rFonts w:asciiTheme="minorHAnsi" w:hAnsiTheme="minorHAnsi" w:cs="Arial"/>
          <w:color w:val="000000"/>
          <w:szCs w:val="22"/>
          <w:lang w:val="en-AU"/>
        </w:rPr>
        <w:t>external studies</w:t>
      </w:r>
      <w:r w:rsidR="00AD254E" w:rsidRPr="00E27200">
        <w:rPr>
          <w:rFonts w:asciiTheme="minorHAnsi" w:hAnsiTheme="minorHAnsi" w:cs="Arial"/>
          <w:color w:val="000000"/>
          <w:szCs w:val="22"/>
          <w:lang w:val="en-AU"/>
        </w:rPr>
        <w:t>, rather than a routine local capacity within PNG.</w:t>
      </w:r>
    </w:p>
    <w:p w14:paraId="7E3DBDDA" w14:textId="77777777" w:rsidR="00AB3331" w:rsidRPr="00E27200" w:rsidRDefault="00AB3331" w:rsidP="006D1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szCs w:val="19"/>
          <w:u w:val="single"/>
          <w:lang w:val="en-AU"/>
        </w:rPr>
      </w:pPr>
    </w:p>
    <w:p w14:paraId="09CF0377" w14:textId="4AF3BD49" w:rsidR="00696EF8" w:rsidRPr="00E27200" w:rsidRDefault="009700AB" w:rsidP="000F246A">
      <w:pPr>
        <w:pStyle w:val="Heading3"/>
      </w:pPr>
      <w:r>
        <w:t>Quality r</w:t>
      </w:r>
      <w:r w:rsidR="009961AA" w:rsidRPr="00E27200">
        <w:t xml:space="preserve">eview of </w:t>
      </w:r>
      <w:r w:rsidR="006D1CAB">
        <w:t xml:space="preserve">IDA, the </w:t>
      </w:r>
      <w:r w:rsidR="009961AA" w:rsidRPr="00E27200">
        <w:t xml:space="preserve">100% </w:t>
      </w:r>
      <w:r w:rsidR="00276B6A">
        <w:t xml:space="preserve">HC and AP </w:t>
      </w:r>
      <w:r w:rsidR="009961AA" w:rsidRPr="00E27200">
        <w:t>kits supplier</w:t>
      </w:r>
    </w:p>
    <w:p w14:paraId="580485B8" w14:textId="77777777" w:rsidR="00AD7E1F" w:rsidRDefault="00AD7E1F"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 xml:space="preserve">In the absence of in-country testing, the strongest approach to quality is to require compliance with international quality standards on the part of suppliers and the pharmaceutical manufacturers they procure from, with the 100% kits supply representing the most recent comprehensive example of this. </w:t>
      </w:r>
    </w:p>
    <w:p w14:paraId="03B1668D" w14:textId="77777777" w:rsidR="006D1CAB" w:rsidRDefault="006D1CAB"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Cs/>
          <w:color w:val="000000"/>
          <w:szCs w:val="19"/>
          <w:lang w:val="en-AU"/>
        </w:rPr>
      </w:pPr>
    </w:p>
    <w:p w14:paraId="7126D8DA" w14:textId="3F351DF8" w:rsidR="00CB639C" w:rsidRPr="00E27200" w:rsidRDefault="006D1CAB"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Cs/>
          <w:color w:val="000000"/>
          <w:szCs w:val="19"/>
          <w:lang w:val="en-AU"/>
        </w:rPr>
      </w:pPr>
      <w:r>
        <w:rPr>
          <w:rFonts w:asciiTheme="minorHAnsi" w:hAnsiTheme="minorHAnsi" w:cs="Helvetica"/>
          <w:bCs/>
          <w:color w:val="000000"/>
          <w:szCs w:val="19"/>
          <w:lang w:val="en-AU"/>
        </w:rPr>
        <w:t>IDA, t</w:t>
      </w:r>
      <w:r w:rsidR="00CB639C" w:rsidRPr="00E27200">
        <w:rPr>
          <w:rFonts w:asciiTheme="minorHAnsi" w:hAnsiTheme="minorHAnsi" w:cs="Helvetica"/>
          <w:bCs/>
          <w:color w:val="000000"/>
          <w:szCs w:val="19"/>
          <w:lang w:val="en-AU"/>
        </w:rPr>
        <w:t xml:space="preserve">he </w:t>
      </w:r>
      <w:r w:rsidR="00DC21D4">
        <w:rPr>
          <w:rFonts w:asciiTheme="minorHAnsi" w:hAnsiTheme="minorHAnsi" w:cs="Helvetica"/>
          <w:bCs/>
          <w:color w:val="000000"/>
          <w:szCs w:val="19"/>
          <w:lang w:val="en-AU"/>
        </w:rPr>
        <w:t xml:space="preserve">Australian </w:t>
      </w:r>
      <w:r w:rsidR="007439AA">
        <w:rPr>
          <w:rFonts w:asciiTheme="minorHAnsi" w:hAnsiTheme="minorHAnsi" w:cs="Helvetica"/>
          <w:bCs/>
          <w:color w:val="000000"/>
          <w:szCs w:val="19"/>
          <w:lang w:val="en-AU"/>
        </w:rPr>
        <w:t>Government’s</w:t>
      </w:r>
      <w:r w:rsidR="007439AA" w:rsidRPr="00E27200">
        <w:rPr>
          <w:rFonts w:asciiTheme="minorHAnsi" w:hAnsiTheme="minorHAnsi" w:cs="Helvetica"/>
          <w:bCs/>
          <w:color w:val="000000"/>
          <w:szCs w:val="19"/>
          <w:lang w:val="en-AU"/>
        </w:rPr>
        <w:t xml:space="preserve"> </w:t>
      </w:r>
      <w:r w:rsidR="00CB639C" w:rsidRPr="00E27200">
        <w:rPr>
          <w:rFonts w:asciiTheme="minorHAnsi" w:hAnsiTheme="minorHAnsi" w:cs="Helvetica"/>
          <w:bCs/>
          <w:color w:val="000000"/>
          <w:szCs w:val="19"/>
          <w:lang w:val="en-AU"/>
        </w:rPr>
        <w:t>pharmaceutical supply contractor</w:t>
      </w:r>
      <w:r>
        <w:rPr>
          <w:rFonts w:asciiTheme="minorHAnsi" w:hAnsiTheme="minorHAnsi" w:cs="Helvetica"/>
          <w:bCs/>
          <w:color w:val="000000"/>
          <w:szCs w:val="19"/>
          <w:lang w:val="en-AU"/>
        </w:rPr>
        <w:t>,</w:t>
      </w:r>
      <w:r w:rsidR="00CB639C" w:rsidRPr="00E27200">
        <w:rPr>
          <w:rFonts w:asciiTheme="minorHAnsi" w:hAnsiTheme="minorHAnsi" w:cs="Helvetica"/>
          <w:bCs/>
          <w:color w:val="000000"/>
          <w:szCs w:val="19"/>
          <w:lang w:val="en-AU"/>
        </w:rPr>
        <w:t xml:space="preserve"> was also reviewed for quality assurance procedures, confirming that they </w:t>
      </w:r>
      <w:r w:rsidR="00CB639C" w:rsidRPr="00E27200">
        <w:rPr>
          <w:rFonts w:asciiTheme="minorHAnsi" w:hAnsiTheme="minorHAnsi" w:cs="Helvetica"/>
          <w:bCs/>
          <w:color w:val="000000"/>
          <w:szCs w:val="19"/>
        </w:rPr>
        <w:t>have a comprehensive system for this that includes procedures from the manufacturer through to delivery.  This includes a program, where needed of Good Manufacturing Practice audits at manufacturer’s sites, inspection of production lines, later evaluation and approval of batches of production, with occasional verification audits supplemented by chemical testing or visual inspection as needed.</w:t>
      </w:r>
    </w:p>
    <w:p w14:paraId="7A5A1994" w14:textId="77777777" w:rsidR="00CD53C9" w:rsidRPr="00E27200" w:rsidRDefault="00CD53C9"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Cs/>
          <w:color w:val="000000"/>
          <w:szCs w:val="19"/>
          <w:lang w:val="en-AU"/>
        </w:rPr>
      </w:pPr>
    </w:p>
    <w:p w14:paraId="6D9442AA" w14:textId="7855B0E7" w:rsidR="0020713F" w:rsidRPr="00E27200" w:rsidRDefault="0020713F"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Cs/>
          <w:color w:val="000000"/>
          <w:szCs w:val="19"/>
          <w:lang w:val="en-AU"/>
        </w:rPr>
      </w:pPr>
    </w:p>
    <w:p w14:paraId="6BCE765B" w14:textId="77777777" w:rsidR="00544ADE" w:rsidRPr="00E27200" w:rsidRDefault="00544ADE" w:rsidP="00E16C77">
      <w:pPr>
        <w:ind w:left="-709" w:right="-472"/>
        <w:rPr>
          <w:szCs w:val="22"/>
          <w:lang w:val="en-AU"/>
        </w:rPr>
      </w:pPr>
    </w:p>
    <w:p w14:paraId="69CA3E95" w14:textId="77777777" w:rsidR="00DD2909" w:rsidRPr="00E27200" w:rsidRDefault="00DD2909" w:rsidP="00DD2909">
      <w:pPr>
        <w:rPr>
          <w:szCs w:val="22"/>
          <w:lang w:val="en-AU"/>
        </w:rPr>
      </w:pPr>
    </w:p>
    <w:p w14:paraId="519F7E1C" w14:textId="77777777" w:rsidR="00E003AD" w:rsidRPr="00E27200" w:rsidRDefault="00E003AD">
      <w:pPr>
        <w:rPr>
          <w:rFonts w:cs="Times New Roman"/>
          <w:b/>
          <w:bCs/>
          <w:spacing w:val="-10"/>
          <w:kern w:val="28"/>
          <w:sz w:val="36"/>
          <w:szCs w:val="36"/>
          <w:lang w:val="en-AU" w:eastAsia="en-AU"/>
        </w:rPr>
      </w:pPr>
      <w:r w:rsidRPr="00E27200">
        <w:rPr>
          <w:lang w:val="en-AU"/>
        </w:rPr>
        <w:br w:type="page"/>
      </w:r>
    </w:p>
    <w:p w14:paraId="6EB5D6A7" w14:textId="77777777" w:rsidR="00AC72B8" w:rsidRPr="00E27200" w:rsidRDefault="00607C00" w:rsidP="00E16C77">
      <w:pPr>
        <w:pStyle w:val="Heading1"/>
      </w:pPr>
      <w:bookmarkStart w:id="93" w:name="_Toc245810749"/>
      <w:r w:rsidRPr="00E27200">
        <w:lastRenderedPageBreak/>
        <w:t xml:space="preserve">Findings: </w:t>
      </w:r>
      <w:r w:rsidR="005F19FE" w:rsidRPr="00E27200">
        <w:t>supply chain systems</w:t>
      </w:r>
      <w:bookmarkEnd w:id="93"/>
    </w:p>
    <w:p w14:paraId="50F8C6BE" w14:textId="77777777" w:rsidR="00AC72B8" w:rsidRPr="00E27200" w:rsidRDefault="00AC72B8" w:rsidP="00E16C77">
      <w:pPr>
        <w:pStyle w:val="Heading2"/>
      </w:pPr>
      <w:bookmarkStart w:id="94" w:name="_Toc245810750"/>
      <w:r w:rsidRPr="00E27200">
        <w:t>National planning and governance of distribution</w:t>
      </w:r>
      <w:r w:rsidR="005F19FE" w:rsidRPr="00E27200">
        <w:t xml:space="preserve"> within PNG</w:t>
      </w:r>
      <w:bookmarkEnd w:id="94"/>
    </w:p>
    <w:p w14:paraId="72ED4D73" w14:textId="07B0FAF3" w:rsidR="00FA7981" w:rsidRPr="00E27200" w:rsidRDefault="00D33A55" w:rsidP="005F19FE">
      <w:pPr>
        <w:ind w:left="432"/>
        <w:rPr>
          <w:i/>
          <w:lang w:val="en-AU"/>
        </w:rPr>
      </w:pPr>
      <w:r w:rsidRPr="00E27200">
        <w:rPr>
          <w:b/>
          <w:i/>
          <w:lang w:val="en-AU"/>
        </w:rPr>
        <w:t xml:space="preserve">Key finding: </w:t>
      </w:r>
      <w:r w:rsidR="00306C2A" w:rsidRPr="00306C2A">
        <w:rPr>
          <w:i/>
          <w:lang w:val="en-AU"/>
        </w:rPr>
        <w:t xml:space="preserve">National planning and governance of the supply chain within PNG in the ‘pull’ system is hampered by similar difficulties as for national procurement, with problems relating to inadequate information on performance, as well as transparency and accountability. District and provincial health manager opinions on the value of the ‘pull’ system’s out-sourcing of distribution are mixed, however commitment to out-sourcing, but with much stronger contract management, seems on balance to remain the appropriate option. The introduction of a new </w:t>
      </w:r>
      <w:proofErr w:type="spellStart"/>
      <w:r w:rsidR="00306C2A" w:rsidRPr="00306C2A">
        <w:rPr>
          <w:i/>
          <w:lang w:val="en-AU"/>
        </w:rPr>
        <w:t>eLMIS</w:t>
      </w:r>
      <w:proofErr w:type="spellEnd"/>
      <w:r w:rsidR="00306C2A" w:rsidRPr="00306C2A">
        <w:rPr>
          <w:i/>
          <w:lang w:val="en-AU"/>
        </w:rPr>
        <w:t xml:space="preserve">, </w:t>
      </w:r>
      <w:proofErr w:type="spellStart"/>
      <w:r w:rsidR="00306C2A" w:rsidRPr="00306C2A">
        <w:rPr>
          <w:i/>
          <w:lang w:val="en-AU"/>
        </w:rPr>
        <w:t>mSupply</w:t>
      </w:r>
      <w:proofErr w:type="spellEnd"/>
      <w:r w:rsidR="00306C2A" w:rsidRPr="00306C2A">
        <w:rPr>
          <w:i/>
          <w:lang w:val="en-AU"/>
        </w:rPr>
        <w:t xml:space="preserve">, is one of the most critical investments for medical supplies management and has the potential to meet a crucial information need essential to development; our findings support its extension to AMSs with </w:t>
      </w:r>
      <w:r w:rsidR="00843029">
        <w:rPr>
          <w:i/>
          <w:lang w:val="en-AU"/>
        </w:rPr>
        <w:t xml:space="preserve">good uptake capacity, and to a </w:t>
      </w:r>
      <w:r w:rsidR="00306C2A" w:rsidRPr="00306C2A">
        <w:rPr>
          <w:i/>
          <w:lang w:val="en-AU"/>
        </w:rPr>
        <w:t>provincial pilot that can assess its contribution to HF-AMS communications.</w:t>
      </w:r>
    </w:p>
    <w:p w14:paraId="14C11A3C" w14:textId="77777777" w:rsidR="008D0521" w:rsidRPr="00E27200" w:rsidRDefault="008D0521" w:rsidP="005F19FE">
      <w:pPr>
        <w:rPr>
          <w:lang w:val="en-AU"/>
        </w:rPr>
      </w:pPr>
    </w:p>
    <w:p w14:paraId="4F18212D" w14:textId="77777777" w:rsidR="00B34BC6" w:rsidRPr="00E27200" w:rsidRDefault="00B34BC6" w:rsidP="00B34BC6">
      <w:pPr>
        <w:pStyle w:val="Heading3"/>
      </w:pPr>
      <w:r w:rsidRPr="00E27200">
        <w:t>National oversight of supply chain and medical stores</w:t>
      </w:r>
    </w:p>
    <w:p w14:paraId="6BBD89B8" w14:textId="2C487590" w:rsidR="00501F8B" w:rsidRPr="00E27200" w:rsidRDefault="005F19FE" w:rsidP="0050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lang w:val="en-AU"/>
        </w:rPr>
        <w:t xml:space="preserve">As noted above the restructured Medical Supplies Procurement and Distribution (MSPD) branch has developed a Medical Supplies Reform plan, including a new Medical Supplies Management Committee, aiming to improve many aspects of the supply chain within PNG.  </w:t>
      </w:r>
      <w:r w:rsidR="00501F8B" w:rsidRPr="00E27200">
        <w:rPr>
          <w:rFonts w:asciiTheme="minorHAnsi" w:hAnsiTheme="minorHAnsi" w:cs="Arial"/>
          <w:color w:val="000000"/>
          <w:szCs w:val="22"/>
          <w:lang w:val="en-AU"/>
        </w:rPr>
        <w:t xml:space="preserve">The system is being reorganised into </w:t>
      </w:r>
      <w:r w:rsidR="00FA06A2">
        <w:rPr>
          <w:rFonts w:asciiTheme="minorHAnsi" w:hAnsiTheme="minorHAnsi" w:cs="Arial"/>
          <w:color w:val="000000"/>
          <w:szCs w:val="22"/>
          <w:lang w:val="en-AU"/>
        </w:rPr>
        <w:t>three main</w:t>
      </w:r>
      <w:r w:rsidR="007E2EE9" w:rsidRPr="00E27200">
        <w:rPr>
          <w:rFonts w:asciiTheme="minorHAnsi" w:hAnsiTheme="minorHAnsi" w:cs="Arial"/>
          <w:color w:val="000000"/>
          <w:szCs w:val="22"/>
          <w:lang w:val="en-AU"/>
        </w:rPr>
        <w:t xml:space="preserve"> area medical stores </w:t>
      </w:r>
      <w:r w:rsidR="00501F8B" w:rsidRPr="00E27200">
        <w:rPr>
          <w:rFonts w:asciiTheme="minorHAnsi" w:hAnsiTheme="minorHAnsi" w:cs="Arial"/>
          <w:color w:val="000000"/>
          <w:szCs w:val="22"/>
          <w:lang w:val="en-AU"/>
        </w:rPr>
        <w:t>(</w:t>
      </w:r>
      <w:r w:rsidR="007E2EE9" w:rsidRPr="00E27200">
        <w:rPr>
          <w:rFonts w:asciiTheme="minorHAnsi" w:hAnsiTheme="minorHAnsi" w:cs="Arial"/>
          <w:color w:val="000000"/>
          <w:szCs w:val="22"/>
          <w:lang w:val="en-AU"/>
        </w:rPr>
        <w:t xml:space="preserve">AMS: </w:t>
      </w:r>
      <w:proofErr w:type="spellStart"/>
      <w:r w:rsidR="00501F8B" w:rsidRPr="00E27200">
        <w:rPr>
          <w:rFonts w:asciiTheme="minorHAnsi" w:hAnsiTheme="minorHAnsi" w:cs="Arial"/>
          <w:color w:val="000000"/>
          <w:szCs w:val="22"/>
          <w:lang w:val="en-AU"/>
        </w:rPr>
        <w:t>Badili</w:t>
      </w:r>
      <w:proofErr w:type="spellEnd"/>
      <w:r w:rsidR="00501F8B" w:rsidRPr="00E27200">
        <w:rPr>
          <w:rStyle w:val="FootnoteReference"/>
          <w:rFonts w:asciiTheme="minorHAnsi" w:hAnsiTheme="minorHAnsi"/>
          <w:color w:val="000000"/>
          <w:szCs w:val="22"/>
          <w:lang w:val="en-AU"/>
        </w:rPr>
        <w:footnoteReference w:id="15"/>
      </w:r>
      <w:r w:rsidR="00FA06A2">
        <w:rPr>
          <w:rFonts w:asciiTheme="minorHAnsi" w:hAnsiTheme="minorHAnsi" w:cs="Arial"/>
          <w:color w:val="000000"/>
          <w:szCs w:val="22"/>
          <w:lang w:val="en-AU"/>
        </w:rPr>
        <w:t xml:space="preserve">, Mt Hagen, </w:t>
      </w:r>
      <w:proofErr w:type="spellStart"/>
      <w:r w:rsidR="00FA06A2">
        <w:rPr>
          <w:rFonts w:asciiTheme="minorHAnsi" w:hAnsiTheme="minorHAnsi" w:cs="Arial"/>
          <w:color w:val="000000"/>
          <w:szCs w:val="22"/>
          <w:lang w:val="en-AU"/>
        </w:rPr>
        <w:t>Lae</w:t>
      </w:r>
      <w:proofErr w:type="spellEnd"/>
      <w:r w:rsidR="00501F8B" w:rsidRPr="00E27200">
        <w:rPr>
          <w:rFonts w:asciiTheme="minorHAnsi" w:hAnsiTheme="minorHAnsi" w:cs="Arial"/>
          <w:color w:val="000000"/>
          <w:szCs w:val="22"/>
          <w:lang w:val="en-AU"/>
        </w:rPr>
        <w:t>)</w:t>
      </w:r>
      <w:r w:rsidR="007E2EE9" w:rsidRPr="00E27200">
        <w:rPr>
          <w:rFonts w:asciiTheme="minorHAnsi" w:hAnsiTheme="minorHAnsi" w:cs="Arial"/>
          <w:color w:val="000000"/>
          <w:szCs w:val="22"/>
          <w:lang w:val="en-AU"/>
        </w:rPr>
        <w:t xml:space="preserve">, managed by NDOH for storage of </w:t>
      </w:r>
      <w:r w:rsidR="00501F8B" w:rsidRPr="00E27200">
        <w:rPr>
          <w:rFonts w:asciiTheme="minorHAnsi" w:hAnsiTheme="minorHAnsi" w:cs="Arial"/>
          <w:color w:val="000000"/>
          <w:szCs w:val="22"/>
          <w:lang w:val="en-AU"/>
        </w:rPr>
        <w:t>essential medicines and supplies</w:t>
      </w:r>
      <w:r w:rsidR="007E2EE9" w:rsidRPr="00E27200">
        <w:rPr>
          <w:rFonts w:asciiTheme="minorHAnsi" w:hAnsiTheme="minorHAnsi" w:cs="Arial"/>
          <w:color w:val="000000"/>
          <w:szCs w:val="22"/>
          <w:lang w:val="en-AU"/>
        </w:rPr>
        <w:t xml:space="preserve">, and subsequent distribution within provinces.  Each AMS can receive supplies directly from international suppliers, coordinated by NDOH. </w:t>
      </w:r>
      <w:r w:rsidR="003B50C7" w:rsidRPr="00E27200">
        <w:rPr>
          <w:rFonts w:asciiTheme="minorHAnsi" w:hAnsiTheme="minorHAnsi" w:cs="Arial"/>
          <w:color w:val="000000"/>
          <w:szCs w:val="22"/>
          <w:lang w:val="en-AU"/>
        </w:rPr>
        <w:t>AMS generally receive major shipments every six months, with additional emergency procurements common, as noted in sections above.</w:t>
      </w:r>
      <w:r w:rsidR="003B50C7">
        <w:rPr>
          <w:rFonts w:asciiTheme="minorHAnsi" w:hAnsiTheme="minorHAnsi" w:cs="Arial"/>
          <w:color w:val="000000"/>
          <w:szCs w:val="22"/>
          <w:lang w:val="en-AU"/>
        </w:rPr>
        <w:t xml:space="preserve"> </w:t>
      </w:r>
      <w:r w:rsidR="007E2EE9" w:rsidRPr="00E27200">
        <w:rPr>
          <w:rFonts w:asciiTheme="minorHAnsi" w:hAnsiTheme="minorHAnsi" w:cs="Arial"/>
          <w:color w:val="000000"/>
          <w:szCs w:val="22"/>
          <w:lang w:val="en-AU"/>
        </w:rPr>
        <w:t xml:space="preserve">Within provinces, supplies are </w:t>
      </w:r>
      <w:r w:rsidR="00FF0D14" w:rsidRPr="00E27200">
        <w:rPr>
          <w:rFonts w:asciiTheme="minorHAnsi" w:hAnsiTheme="minorHAnsi" w:cs="Arial"/>
          <w:color w:val="000000"/>
          <w:szCs w:val="22"/>
          <w:lang w:val="en-AU"/>
        </w:rPr>
        <w:t xml:space="preserve">to be </w:t>
      </w:r>
      <w:r w:rsidR="007E2EE9" w:rsidRPr="00E27200">
        <w:rPr>
          <w:rFonts w:asciiTheme="minorHAnsi" w:hAnsiTheme="minorHAnsi" w:cs="Arial"/>
          <w:color w:val="000000"/>
          <w:szCs w:val="22"/>
          <w:lang w:val="en-AU"/>
        </w:rPr>
        <w:t xml:space="preserve">distributed </w:t>
      </w:r>
      <w:r w:rsidR="00FF0D14" w:rsidRPr="00E27200">
        <w:rPr>
          <w:rFonts w:asciiTheme="minorHAnsi" w:hAnsiTheme="minorHAnsi" w:cs="Arial"/>
          <w:color w:val="000000"/>
          <w:szCs w:val="22"/>
          <w:lang w:val="en-AU"/>
        </w:rPr>
        <w:t xml:space="preserve">based on bimonthly orders, </w:t>
      </w:r>
      <w:r w:rsidR="007E2EE9" w:rsidRPr="00E27200">
        <w:rPr>
          <w:rFonts w:asciiTheme="minorHAnsi" w:hAnsiTheme="minorHAnsi" w:cs="Arial"/>
          <w:color w:val="000000"/>
          <w:szCs w:val="22"/>
          <w:lang w:val="en-AU"/>
        </w:rPr>
        <w:t xml:space="preserve">directly to </w:t>
      </w:r>
      <w:r w:rsidR="00FF0D14" w:rsidRPr="00E27200">
        <w:rPr>
          <w:rFonts w:asciiTheme="minorHAnsi" w:hAnsiTheme="minorHAnsi" w:cs="Arial"/>
          <w:color w:val="000000"/>
          <w:szCs w:val="22"/>
          <w:lang w:val="en-AU"/>
        </w:rPr>
        <w:t>health facilities or</w:t>
      </w:r>
      <w:r w:rsidR="007E2EE9" w:rsidRPr="00E27200">
        <w:rPr>
          <w:rFonts w:asciiTheme="minorHAnsi" w:hAnsiTheme="minorHAnsi" w:cs="Arial"/>
          <w:color w:val="000000"/>
          <w:szCs w:val="22"/>
          <w:lang w:val="en-AU"/>
        </w:rPr>
        <w:t xml:space="preserve"> in some cases to Provincial Transit Stores (PTS)</w:t>
      </w:r>
      <w:r w:rsidR="00FF0D14" w:rsidRPr="00E27200">
        <w:rPr>
          <w:rFonts w:asciiTheme="minorHAnsi" w:hAnsiTheme="minorHAnsi" w:cs="Arial"/>
          <w:color w:val="000000"/>
          <w:szCs w:val="22"/>
          <w:lang w:val="en-AU"/>
        </w:rPr>
        <w:t xml:space="preserve">, </w:t>
      </w:r>
      <w:r w:rsidR="00FF0D14" w:rsidRPr="00015623">
        <w:rPr>
          <w:rFonts w:asciiTheme="minorHAnsi" w:hAnsiTheme="minorHAnsi" w:cs="Arial"/>
          <w:color w:val="000000"/>
          <w:szCs w:val="22"/>
          <w:lang w:val="en-AU"/>
        </w:rPr>
        <w:t xml:space="preserve">all of which are </w:t>
      </w:r>
      <w:r w:rsidR="003B50C7" w:rsidRPr="00015623">
        <w:rPr>
          <w:rFonts w:asciiTheme="minorHAnsi" w:hAnsiTheme="minorHAnsi" w:cs="Arial"/>
          <w:color w:val="000000"/>
          <w:szCs w:val="22"/>
          <w:lang w:val="en-AU"/>
        </w:rPr>
        <w:t xml:space="preserve">under </w:t>
      </w:r>
      <w:r w:rsidR="00FF0D14" w:rsidRPr="000531EA">
        <w:rPr>
          <w:rFonts w:asciiTheme="minorHAnsi" w:hAnsiTheme="minorHAnsi" w:cs="Arial"/>
          <w:color w:val="000000"/>
          <w:szCs w:val="22"/>
          <w:lang w:val="en-AU"/>
        </w:rPr>
        <w:t xml:space="preserve">provincial health </w:t>
      </w:r>
      <w:r w:rsidR="003B50C7">
        <w:rPr>
          <w:rFonts w:asciiTheme="minorHAnsi" w:hAnsiTheme="minorHAnsi" w:cs="Arial"/>
          <w:color w:val="000000"/>
          <w:szCs w:val="22"/>
          <w:lang w:val="en-AU"/>
        </w:rPr>
        <w:t>agency (either PHO or PHA) management</w:t>
      </w:r>
      <w:r w:rsidR="00FF0D14" w:rsidRPr="00E27200">
        <w:rPr>
          <w:rFonts w:asciiTheme="minorHAnsi" w:hAnsiTheme="minorHAnsi" w:cs="Arial"/>
          <w:color w:val="000000"/>
          <w:szCs w:val="22"/>
          <w:lang w:val="en-AU"/>
        </w:rPr>
        <w:t>. PTS</w:t>
      </w:r>
      <w:r w:rsidR="007E2EE9" w:rsidRPr="00E27200">
        <w:rPr>
          <w:rFonts w:asciiTheme="minorHAnsi" w:hAnsiTheme="minorHAnsi" w:cs="Arial"/>
          <w:color w:val="000000"/>
          <w:szCs w:val="22"/>
          <w:lang w:val="en-AU"/>
        </w:rPr>
        <w:t xml:space="preserve"> aim to be short-term holding points, although some PTS are performing similar functions to</w:t>
      </w:r>
      <w:r w:rsidR="00FF0D14" w:rsidRPr="00E27200">
        <w:rPr>
          <w:rFonts w:asciiTheme="minorHAnsi" w:hAnsiTheme="minorHAnsi" w:cs="Arial"/>
          <w:color w:val="000000"/>
          <w:szCs w:val="22"/>
          <w:lang w:val="en-AU"/>
        </w:rPr>
        <w:t xml:space="preserve"> an AMS</w:t>
      </w:r>
      <w:r w:rsidR="00D2016E">
        <w:rPr>
          <w:rFonts w:asciiTheme="minorHAnsi" w:hAnsiTheme="minorHAnsi" w:cs="Arial"/>
          <w:color w:val="000000"/>
          <w:szCs w:val="22"/>
          <w:lang w:val="en-AU"/>
        </w:rPr>
        <w:t xml:space="preserve"> (one example being </w:t>
      </w:r>
      <w:proofErr w:type="spellStart"/>
      <w:r w:rsidR="00D2016E">
        <w:rPr>
          <w:rFonts w:asciiTheme="minorHAnsi" w:hAnsiTheme="minorHAnsi" w:cs="Arial"/>
          <w:color w:val="000000"/>
          <w:szCs w:val="22"/>
          <w:lang w:val="en-AU"/>
        </w:rPr>
        <w:t>Rabaul</w:t>
      </w:r>
      <w:proofErr w:type="spellEnd"/>
      <w:r w:rsidR="00D2016E">
        <w:rPr>
          <w:rFonts w:asciiTheme="minorHAnsi" w:hAnsiTheme="minorHAnsi" w:cs="Arial"/>
          <w:color w:val="000000"/>
          <w:szCs w:val="22"/>
          <w:lang w:val="en-AU"/>
        </w:rPr>
        <w:t xml:space="preserve"> PTS, at </w:t>
      </w:r>
      <w:proofErr w:type="spellStart"/>
      <w:r w:rsidR="00D2016E">
        <w:rPr>
          <w:rFonts w:asciiTheme="minorHAnsi" w:hAnsiTheme="minorHAnsi" w:cs="Arial"/>
          <w:color w:val="000000"/>
          <w:szCs w:val="22"/>
          <w:lang w:val="en-AU"/>
        </w:rPr>
        <w:t>Kokopo</w:t>
      </w:r>
      <w:proofErr w:type="spellEnd"/>
      <w:r w:rsidR="00D2016E">
        <w:rPr>
          <w:rFonts w:asciiTheme="minorHAnsi" w:hAnsiTheme="minorHAnsi" w:cs="Arial"/>
          <w:color w:val="000000"/>
          <w:szCs w:val="22"/>
          <w:lang w:val="en-AU"/>
        </w:rPr>
        <w:t>)</w:t>
      </w:r>
      <w:r w:rsidR="00FF0D14" w:rsidRPr="00E27200">
        <w:rPr>
          <w:rFonts w:asciiTheme="minorHAnsi" w:hAnsiTheme="minorHAnsi" w:cs="Arial"/>
          <w:color w:val="000000"/>
          <w:szCs w:val="22"/>
          <w:lang w:val="en-AU"/>
        </w:rPr>
        <w:t xml:space="preserve">. </w:t>
      </w:r>
      <w:r w:rsidR="00D2016E">
        <w:rPr>
          <w:rFonts w:asciiTheme="minorHAnsi" w:hAnsiTheme="minorHAnsi" w:cs="Arial"/>
          <w:color w:val="000000"/>
          <w:szCs w:val="22"/>
          <w:lang w:val="en-AU"/>
        </w:rPr>
        <w:t>PTS have the potential to act as medical supply hubs with information and supervision functions as well as simply</w:t>
      </w:r>
      <w:r w:rsidR="00A80CF7">
        <w:rPr>
          <w:rFonts w:asciiTheme="minorHAnsi" w:hAnsiTheme="minorHAnsi" w:cs="Arial"/>
          <w:color w:val="000000"/>
          <w:szCs w:val="22"/>
          <w:lang w:val="en-AU"/>
        </w:rPr>
        <w:t xml:space="preserve"> hold and transfer shipments, but only with appropriate staffing, such as provincial pharmacists, and other support.</w:t>
      </w:r>
      <w:r w:rsidR="00D2016E">
        <w:rPr>
          <w:rFonts w:asciiTheme="minorHAnsi" w:hAnsiTheme="minorHAnsi" w:cs="Arial"/>
          <w:color w:val="000000"/>
          <w:szCs w:val="22"/>
          <w:lang w:val="en-AU"/>
        </w:rPr>
        <w:t xml:space="preserve">   </w:t>
      </w:r>
    </w:p>
    <w:p w14:paraId="615957E5" w14:textId="77777777" w:rsidR="00501F8B" w:rsidRPr="00E27200" w:rsidRDefault="00501F8B" w:rsidP="005F19FE">
      <w:pPr>
        <w:rPr>
          <w:lang w:val="en-AU"/>
        </w:rPr>
      </w:pPr>
    </w:p>
    <w:p w14:paraId="3B8DD65E" w14:textId="77777777" w:rsidR="00FA0B13" w:rsidRPr="00E27200" w:rsidRDefault="005F19FE" w:rsidP="005F19FE">
      <w:pPr>
        <w:rPr>
          <w:lang w:val="en-AU"/>
        </w:rPr>
      </w:pPr>
      <w:r w:rsidRPr="00E27200">
        <w:rPr>
          <w:lang w:val="en-AU"/>
        </w:rPr>
        <w:t xml:space="preserve">The MSPD </w:t>
      </w:r>
      <w:r w:rsidR="00FA0B13" w:rsidRPr="00E27200">
        <w:rPr>
          <w:lang w:val="en-AU"/>
        </w:rPr>
        <w:t xml:space="preserve">is </w:t>
      </w:r>
      <w:r w:rsidR="0025357E" w:rsidRPr="00E27200">
        <w:rPr>
          <w:lang w:val="en-AU"/>
        </w:rPr>
        <w:t xml:space="preserve">setting new targets for the supply chain, for example </w:t>
      </w:r>
      <w:r w:rsidRPr="00E27200">
        <w:rPr>
          <w:lang w:val="en-AU"/>
        </w:rPr>
        <w:t>aiming for</w:t>
      </w:r>
      <w:r w:rsidR="00FA0B13" w:rsidRPr="00E27200">
        <w:rPr>
          <w:lang w:val="en-AU"/>
        </w:rPr>
        <w:t xml:space="preserve"> stock availability levels </w:t>
      </w:r>
      <w:r w:rsidR="00E56652" w:rsidRPr="00E27200">
        <w:rPr>
          <w:lang w:val="en-AU"/>
        </w:rPr>
        <w:t xml:space="preserve">in AMS </w:t>
      </w:r>
      <w:r w:rsidR="00FA0B13" w:rsidRPr="00E27200">
        <w:rPr>
          <w:lang w:val="en-AU"/>
        </w:rPr>
        <w:t xml:space="preserve">of </w:t>
      </w:r>
      <w:r w:rsidR="00E56652" w:rsidRPr="00E27200">
        <w:rPr>
          <w:lang w:val="en-AU"/>
        </w:rPr>
        <w:t xml:space="preserve">more than </w:t>
      </w:r>
      <w:r w:rsidR="00FA0B13" w:rsidRPr="00E27200">
        <w:rPr>
          <w:lang w:val="en-AU"/>
        </w:rPr>
        <w:t xml:space="preserve">90% for vital and essential medicines and </w:t>
      </w:r>
      <w:r w:rsidR="002E785F" w:rsidRPr="00E27200">
        <w:rPr>
          <w:lang w:val="en-AU"/>
        </w:rPr>
        <w:t>fulfilment</w:t>
      </w:r>
      <w:r w:rsidR="00E56652" w:rsidRPr="00E27200">
        <w:rPr>
          <w:lang w:val="en-AU"/>
        </w:rPr>
        <w:t xml:space="preserve"> times for orders of 14 days</w:t>
      </w:r>
      <w:r w:rsidR="00FA0B13" w:rsidRPr="00E27200">
        <w:rPr>
          <w:lang w:val="en-AU"/>
        </w:rPr>
        <w:t xml:space="preserve"> from order placement.</w:t>
      </w:r>
      <w:r w:rsidR="00E56652" w:rsidRPr="00E27200">
        <w:rPr>
          <w:lang w:val="en-AU"/>
        </w:rPr>
        <w:t xml:space="preserve"> As </w:t>
      </w:r>
      <w:r w:rsidR="0025357E" w:rsidRPr="00E27200">
        <w:rPr>
          <w:lang w:val="en-AU"/>
        </w:rPr>
        <w:t>discussed</w:t>
      </w:r>
      <w:r w:rsidR="00E56652" w:rsidRPr="00E27200">
        <w:rPr>
          <w:lang w:val="en-AU"/>
        </w:rPr>
        <w:t xml:space="preserve"> in section </w:t>
      </w:r>
      <w:r w:rsidR="0025357E" w:rsidRPr="00E27200">
        <w:rPr>
          <w:lang w:val="en-AU"/>
        </w:rPr>
        <w:t xml:space="preserve">4.3 </w:t>
      </w:r>
      <w:r w:rsidR="00E56652" w:rsidRPr="00E27200">
        <w:rPr>
          <w:lang w:val="en-AU"/>
        </w:rPr>
        <w:t xml:space="preserve">below, our measurements of current performance suggest </w:t>
      </w:r>
      <w:r w:rsidR="00FA0B13" w:rsidRPr="00E27200">
        <w:rPr>
          <w:lang w:val="en-AU"/>
        </w:rPr>
        <w:t xml:space="preserve">a mean availability at AMS of 73% (median = 88%) for 12 </w:t>
      </w:r>
      <w:r w:rsidR="00E56652" w:rsidRPr="00E27200">
        <w:rPr>
          <w:lang w:val="en-AU"/>
        </w:rPr>
        <w:t xml:space="preserve">essential </w:t>
      </w:r>
      <w:r w:rsidR="00FA0B13" w:rsidRPr="00E27200">
        <w:rPr>
          <w:lang w:val="en-AU"/>
        </w:rPr>
        <w:t>medicines</w:t>
      </w:r>
      <w:r w:rsidR="008D0521" w:rsidRPr="00E27200">
        <w:rPr>
          <w:rStyle w:val="FootnoteReference"/>
          <w:lang w:val="en-AU"/>
        </w:rPr>
        <w:footnoteReference w:id="16"/>
      </w:r>
      <w:r w:rsidR="0025357E" w:rsidRPr="00E27200">
        <w:rPr>
          <w:lang w:val="en-AU"/>
        </w:rPr>
        <w:t xml:space="preserve"> and order processing times that range from</w:t>
      </w:r>
      <w:r w:rsidR="008D0521" w:rsidRPr="00E27200">
        <w:rPr>
          <w:lang w:val="en-AU"/>
        </w:rPr>
        <w:t xml:space="preserve"> 11 to 86 days.</w:t>
      </w:r>
    </w:p>
    <w:p w14:paraId="4B659662" w14:textId="77777777" w:rsidR="00AC72B8" w:rsidRPr="00E27200" w:rsidRDefault="00AC72B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szCs w:val="19"/>
          <w:u w:val="single"/>
          <w:lang w:val="en-AU"/>
        </w:rPr>
      </w:pPr>
    </w:p>
    <w:p w14:paraId="13471D53" w14:textId="77777777" w:rsidR="00B34BC6" w:rsidRPr="00E27200" w:rsidRDefault="00B34BC6" w:rsidP="00B34BC6">
      <w:pPr>
        <w:rPr>
          <w:lang w:val="en-AU"/>
        </w:rPr>
      </w:pPr>
      <w:r w:rsidRPr="00E27200">
        <w:rPr>
          <w:lang w:val="en-AU"/>
        </w:rPr>
        <w:t xml:space="preserve">Expanding national costs also place pressure on central management of all supply chains. Estimated transport costs sometimes increase significantly during implementation, and some contractors noted that their limited knowledge of local conditions in difficult and remote locations made estimates difficult and led to unanticipated costs. Competition by resource extraction enterprises, especially on </w:t>
      </w:r>
      <w:proofErr w:type="gramStart"/>
      <w:r w:rsidRPr="00E27200">
        <w:rPr>
          <w:lang w:val="en-AU"/>
        </w:rPr>
        <w:t>Highlands</w:t>
      </w:r>
      <w:proofErr w:type="gramEnd"/>
      <w:r w:rsidRPr="00E27200">
        <w:rPr>
          <w:lang w:val="en-AU"/>
        </w:rPr>
        <w:t xml:space="preserve"> roads, has considerably increased transport costs.  </w:t>
      </w:r>
      <w:proofErr w:type="spellStart"/>
      <w:r w:rsidRPr="00E27200">
        <w:rPr>
          <w:lang w:val="en-AU"/>
        </w:rPr>
        <w:t>Protocal</w:t>
      </w:r>
      <w:proofErr w:type="spellEnd"/>
      <w:r w:rsidRPr="00E27200">
        <w:rPr>
          <w:lang w:val="en-AU"/>
        </w:rPr>
        <w:t xml:space="preserve">, the Highlands contractor for the ‘push’ systems 100% kits, reported that over five years, the road transport cost of a 20 foot container from </w:t>
      </w:r>
      <w:proofErr w:type="spellStart"/>
      <w:r w:rsidRPr="00E27200">
        <w:rPr>
          <w:lang w:val="en-AU"/>
        </w:rPr>
        <w:t>Lae</w:t>
      </w:r>
      <w:proofErr w:type="spellEnd"/>
      <w:r w:rsidRPr="00E27200">
        <w:rPr>
          <w:lang w:val="en-AU"/>
        </w:rPr>
        <w:t xml:space="preserve"> to Mt Hagen increasing from 4,000 to 8,000 PDK and is now between 12,000 and 16,000 PGK. </w:t>
      </w:r>
    </w:p>
    <w:p w14:paraId="2A3CA5F6" w14:textId="77777777" w:rsidR="00B34BC6" w:rsidRPr="00E27200" w:rsidRDefault="00B34BC6"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szCs w:val="19"/>
          <w:u w:val="single"/>
          <w:lang w:val="en-AU"/>
        </w:rPr>
      </w:pPr>
    </w:p>
    <w:p w14:paraId="2135846B" w14:textId="08A88B4E" w:rsidR="00FA38AC" w:rsidRPr="009A4A70" w:rsidRDefault="0031205F" w:rsidP="0031205F">
      <w:pPr>
        <w:rPr>
          <w:spacing w:val="-2"/>
          <w:szCs w:val="22"/>
          <w:lang w:val="en-AU"/>
        </w:rPr>
      </w:pPr>
      <w:r w:rsidRPr="009A4A70">
        <w:rPr>
          <w:spacing w:val="-2"/>
          <w:szCs w:val="22"/>
          <w:lang w:val="en-AU"/>
        </w:rPr>
        <w:t xml:space="preserve">Our findings on medicines availability (see Section 5), noting lower availability </w:t>
      </w:r>
      <w:r w:rsidR="00932CD0" w:rsidRPr="009A4A70">
        <w:rPr>
          <w:spacing w:val="-2"/>
          <w:szCs w:val="22"/>
          <w:lang w:val="en-AU"/>
        </w:rPr>
        <w:t xml:space="preserve">of medicines supplied solely through </w:t>
      </w:r>
      <w:r w:rsidRPr="009A4A70">
        <w:rPr>
          <w:spacing w:val="-2"/>
          <w:szCs w:val="22"/>
          <w:lang w:val="en-AU"/>
        </w:rPr>
        <w:t xml:space="preserve">the ‘pull’ system, provide a quantitative benchmark for measuring future progress in </w:t>
      </w:r>
      <w:r w:rsidRPr="009A4A70">
        <w:rPr>
          <w:spacing w:val="-2"/>
          <w:szCs w:val="22"/>
          <w:lang w:val="en-AU"/>
        </w:rPr>
        <w:lastRenderedPageBreak/>
        <w:t xml:space="preserve">central oversight of the supply chain (as well as in stores functioning as discussed later in this section). Our qualitative findings include many comments from </w:t>
      </w:r>
      <w:r w:rsidR="00932CD0" w:rsidRPr="009A4A70">
        <w:rPr>
          <w:spacing w:val="-2"/>
          <w:szCs w:val="22"/>
          <w:lang w:val="en-AU"/>
        </w:rPr>
        <w:t xml:space="preserve">HF staff and </w:t>
      </w:r>
      <w:r w:rsidRPr="009A4A70">
        <w:rPr>
          <w:spacing w:val="-2"/>
          <w:szCs w:val="22"/>
          <w:lang w:val="en-AU"/>
        </w:rPr>
        <w:t>provincial</w:t>
      </w:r>
      <w:r w:rsidR="00932CD0" w:rsidRPr="009A4A70">
        <w:rPr>
          <w:spacing w:val="-2"/>
          <w:szCs w:val="22"/>
          <w:lang w:val="en-AU"/>
        </w:rPr>
        <w:t>/</w:t>
      </w:r>
      <w:r w:rsidRPr="009A4A70">
        <w:rPr>
          <w:spacing w:val="-2"/>
          <w:szCs w:val="22"/>
          <w:lang w:val="en-AU"/>
        </w:rPr>
        <w:t>district health managers regarding weaknesses in supplies distribution systems</w:t>
      </w:r>
      <w:r w:rsidR="00932CD0" w:rsidRPr="009A4A70">
        <w:rPr>
          <w:spacing w:val="-2"/>
          <w:szCs w:val="22"/>
          <w:lang w:val="en-AU"/>
        </w:rPr>
        <w:t xml:space="preserve"> through the ‘pull’ system</w:t>
      </w:r>
      <w:r w:rsidRPr="009A4A70">
        <w:rPr>
          <w:spacing w:val="-2"/>
          <w:szCs w:val="22"/>
          <w:lang w:val="en-AU"/>
        </w:rPr>
        <w:t xml:space="preserve"> – many of which related to </w:t>
      </w:r>
      <w:r w:rsidR="00932CD0" w:rsidRPr="009A4A70">
        <w:rPr>
          <w:spacing w:val="-2"/>
          <w:szCs w:val="22"/>
          <w:lang w:val="en-AU"/>
        </w:rPr>
        <w:t xml:space="preserve">sub-national </w:t>
      </w:r>
      <w:r w:rsidRPr="009A4A70">
        <w:rPr>
          <w:spacing w:val="-2"/>
          <w:szCs w:val="22"/>
          <w:lang w:val="en-AU"/>
        </w:rPr>
        <w:t>practice</w:t>
      </w:r>
      <w:r w:rsidR="00E003AD" w:rsidRPr="009A4A70">
        <w:rPr>
          <w:spacing w:val="-2"/>
          <w:szCs w:val="22"/>
          <w:lang w:val="en-AU"/>
        </w:rPr>
        <w:t xml:space="preserve">s within provinces that are </w:t>
      </w:r>
      <w:r w:rsidRPr="009A4A70">
        <w:rPr>
          <w:spacing w:val="-2"/>
          <w:szCs w:val="22"/>
          <w:lang w:val="en-AU"/>
        </w:rPr>
        <w:t xml:space="preserve">discussed </w:t>
      </w:r>
      <w:r w:rsidR="00E003AD" w:rsidRPr="009A4A70">
        <w:rPr>
          <w:spacing w:val="-2"/>
          <w:szCs w:val="22"/>
          <w:lang w:val="en-AU"/>
        </w:rPr>
        <w:t>in later sections.</w:t>
      </w:r>
      <w:r w:rsidRPr="009A4A70">
        <w:rPr>
          <w:spacing w:val="-2"/>
          <w:szCs w:val="22"/>
          <w:lang w:val="en-AU"/>
        </w:rPr>
        <w:t xml:space="preserve"> Those </w:t>
      </w:r>
      <w:r w:rsidR="00932CD0" w:rsidRPr="009A4A70">
        <w:rPr>
          <w:spacing w:val="-2"/>
          <w:szCs w:val="22"/>
          <w:lang w:val="en-AU"/>
        </w:rPr>
        <w:t xml:space="preserve">opinions </w:t>
      </w:r>
      <w:r w:rsidRPr="009A4A70">
        <w:rPr>
          <w:spacing w:val="-2"/>
          <w:szCs w:val="22"/>
          <w:lang w:val="en-AU"/>
        </w:rPr>
        <w:t xml:space="preserve">that relate specifically to central </w:t>
      </w:r>
      <w:r w:rsidR="00E003AD" w:rsidRPr="009A4A70">
        <w:rPr>
          <w:spacing w:val="-2"/>
          <w:szCs w:val="22"/>
          <w:lang w:val="en-AU"/>
        </w:rPr>
        <w:t xml:space="preserve">supply chain governance </w:t>
      </w:r>
      <w:r w:rsidRPr="009A4A70">
        <w:rPr>
          <w:spacing w:val="-2"/>
          <w:szCs w:val="22"/>
          <w:lang w:val="en-AU"/>
        </w:rPr>
        <w:t xml:space="preserve">include an opinion by a few respondents that the ‘old’ system of funding stores and facilities to carry out transportation </w:t>
      </w:r>
      <w:r w:rsidR="00932CD0" w:rsidRPr="009A4A70">
        <w:rPr>
          <w:spacing w:val="-2"/>
          <w:szCs w:val="22"/>
          <w:lang w:val="en-AU"/>
        </w:rPr>
        <w:t xml:space="preserve">themselves </w:t>
      </w:r>
      <w:r w:rsidRPr="009A4A70">
        <w:rPr>
          <w:spacing w:val="-2"/>
          <w:szCs w:val="22"/>
          <w:lang w:val="en-AU"/>
        </w:rPr>
        <w:t>should be reinstated, however most opinions, and other evidence in this evaluation, suggests that better gains may be achieved by</w:t>
      </w:r>
      <w:r w:rsidR="00E003AD" w:rsidRPr="009A4A70">
        <w:rPr>
          <w:spacing w:val="-2"/>
          <w:szCs w:val="22"/>
          <w:lang w:val="en-AU"/>
        </w:rPr>
        <w:t xml:space="preserve"> continuing third-party contractors but with far stronger</w:t>
      </w:r>
      <w:r w:rsidRPr="009A4A70">
        <w:rPr>
          <w:spacing w:val="-2"/>
          <w:szCs w:val="22"/>
          <w:lang w:val="en-AU"/>
        </w:rPr>
        <w:t xml:space="preserve"> contract management</w:t>
      </w:r>
      <w:r w:rsidR="00E003AD" w:rsidRPr="009A4A70">
        <w:rPr>
          <w:spacing w:val="-2"/>
          <w:szCs w:val="22"/>
          <w:lang w:val="en-AU"/>
        </w:rPr>
        <w:t>. M</w:t>
      </w:r>
      <w:r w:rsidRPr="009A4A70">
        <w:rPr>
          <w:spacing w:val="-2"/>
          <w:szCs w:val="22"/>
          <w:lang w:val="en-AU"/>
        </w:rPr>
        <w:t xml:space="preserve">any managers </w:t>
      </w:r>
      <w:r w:rsidR="00E003AD" w:rsidRPr="009A4A70">
        <w:rPr>
          <w:spacing w:val="-2"/>
          <w:szCs w:val="22"/>
          <w:lang w:val="en-AU"/>
        </w:rPr>
        <w:t>commented</w:t>
      </w:r>
      <w:r w:rsidRPr="009A4A70">
        <w:rPr>
          <w:spacing w:val="-2"/>
          <w:szCs w:val="22"/>
          <w:lang w:val="en-AU"/>
        </w:rPr>
        <w:t xml:space="preserve"> that an important current constraint was that central arrangements do not seem to require transport agents to formally co-ordinate with provincial or district health managers</w:t>
      </w:r>
      <w:r w:rsidR="00E003AD" w:rsidRPr="009A4A70">
        <w:rPr>
          <w:spacing w:val="-2"/>
          <w:szCs w:val="22"/>
          <w:lang w:val="en-AU"/>
        </w:rPr>
        <w:t xml:space="preserve"> </w:t>
      </w:r>
      <w:r w:rsidRPr="009A4A70">
        <w:rPr>
          <w:spacing w:val="-2"/>
          <w:szCs w:val="22"/>
          <w:lang w:val="en-AU"/>
        </w:rPr>
        <w:t xml:space="preserve">– a deficiency that is blamed, in part, </w:t>
      </w:r>
      <w:r w:rsidR="00327BF0" w:rsidRPr="009A4A70">
        <w:rPr>
          <w:spacing w:val="-2"/>
          <w:szCs w:val="22"/>
          <w:lang w:val="en-AU"/>
        </w:rPr>
        <w:t xml:space="preserve">on </w:t>
      </w:r>
      <w:r w:rsidRPr="009A4A70">
        <w:rPr>
          <w:spacing w:val="-2"/>
          <w:szCs w:val="22"/>
          <w:lang w:val="en-AU"/>
        </w:rPr>
        <w:t>long delivery times, failed deliveries to the wrong address</w:t>
      </w:r>
      <w:r w:rsidR="00E003AD" w:rsidRPr="009A4A70">
        <w:rPr>
          <w:spacing w:val="-2"/>
          <w:szCs w:val="22"/>
          <w:lang w:val="en-AU"/>
        </w:rPr>
        <w:t>,</w:t>
      </w:r>
      <w:r w:rsidRPr="009A4A70">
        <w:rPr>
          <w:spacing w:val="-2"/>
          <w:szCs w:val="22"/>
          <w:lang w:val="en-AU"/>
        </w:rPr>
        <w:t xml:space="preserve"> and </w:t>
      </w:r>
      <w:r w:rsidR="00E003AD" w:rsidRPr="009A4A70">
        <w:rPr>
          <w:spacing w:val="-2"/>
          <w:szCs w:val="22"/>
          <w:lang w:val="en-AU"/>
        </w:rPr>
        <w:t>close-to-</w:t>
      </w:r>
      <w:r w:rsidRPr="009A4A70">
        <w:rPr>
          <w:spacing w:val="-2"/>
          <w:szCs w:val="22"/>
          <w:lang w:val="en-AU"/>
        </w:rPr>
        <w:t>expired medicines being delivered.</w:t>
      </w:r>
      <w:r w:rsidR="00FA38AC" w:rsidRPr="009A4A70">
        <w:rPr>
          <w:spacing w:val="-2"/>
          <w:szCs w:val="22"/>
          <w:lang w:val="en-AU"/>
        </w:rPr>
        <w:t xml:space="preserve"> It should be noted that for the ‘p</w:t>
      </w:r>
      <w:r w:rsidR="009A4A70" w:rsidRPr="009A4A70">
        <w:rPr>
          <w:spacing w:val="-2"/>
          <w:szCs w:val="22"/>
          <w:lang w:val="en-AU"/>
        </w:rPr>
        <w:t>ush’</w:t>
      </w:r>
      <w:r w:rsidR="00FA38AC" w:rsidRPr="009A4A70">
        <w:rPr>
          <w:spacing w:val="-2"/>
          <w:szCs w:val="22"/>
          <w:lang w:val="en-AU"/>
        </w:rPr>
        <w:t xml:space="preserve"> system, </w:t>
      </w:r>
      <w:r w:rsidR="00FA38AC" w:rsidRPr="009A4A70">
        <w:rPr>
          <w:spacing w:val="-2"/>
          <w:szCs w:val="22"/>
        </w:rPr>
        <w:t>CKP managed contractors are supposed to formally coordinate with provincial health managers, although this is not reflected in the qualitative findings from managers.</w:t>
      </w:r>
      <w:r w:rsidRPr="009A4A70">
        <w:rPr>
          <w:spacing w:val="-2"/>
          <w:szCs w:val="22"/>
          <w:lang w:val="en-AU"/>
        </w:rPr>
        <w:t xml:space="preserve"> </w:t>
      </w:r>
    </w:p>
    <w:p w14:paraId="4BC282CB" w14:textId="77777777" w:rsidR="00FA38AC" w:rsidRDefault="00FA38AC" w:rsidP="0031205F">
      <w:pPr>
        <w:rPr>
          <w:lang w:val="en-AU"/>
        </w:rPr>
      </w:pPr>
    </w:p>
    <w:p w14:paraId="73B799AB" w14:textId="1D25BCA3" w:rsidR="0031205F" w:rsidRPr="00E27200" w:rsidRDefault="0031205F" w:rsidP="0031205F">
      <w:pPr>
        <w:rPr>
          <w:lang w:val="en-AU"/>
        </w:rPr>
      </w:pPr>
      <w:r w:rsidRPr="00E27200">
        <w:rPr>
          <w:lang w:val="en-AU"/>
        </w:rPr>
        <w:t>Similarly, there were many comments from health managers seeking stronger accountability requirements by NDOH, both in disciplining staff who fail to ensure good supply chain practice, and of contractors who fail to provide satisfactory service, as example:</w:t>
      </w:r>
    </w:p>
    <w:p w14:paraId="658F2403" w14:textId="77777777" w:rsidR="0031205F" w:rsidRPr="00E27200" w:rsidRDefault="0091042B" w:rsidP="0091042B">
      <w:pPr>
        <w:ind w:left="720" w:right="1088"/>
        <w:rPr>
          <w:i/>
          <w:lang w:val="en-AU"/>
        </w:rPr>
      </w:pPr>
      <w:r w:rsidRPr="00E27200">
        <w:rPr>
          <w:i/>
          <w:lang w:val="en-AU"/>
        </w:rPr>
        <w:t>“How</w:t>
      </w:r>
      <w:r w:rsidR="0031205F" w:rsidRPr="00E27200">
        <w:rPr>
          <w:i/>
          <w:lang w:val="en-AU"/>
        </w:rPr>
        <w:t xml:space="preserve"> the contractors have been paid is questionable. Agencies responsible should aggressively manage their cont</w:t>
      </w:r>
      <w:r w:rsidRPr="00E27200">
        <w:rPr>
          <w:i/>
          <w:lang w:val="en-AU"/>
        </w:rPr>
        <w:t>ractors.”</w:t>
      </w:r>
    </w:p>
    <w:p w14:paraId="3F6580B3" w14:textId="504A4621" w:rsidR="0031205F" w:rsidRPr="00E27200" w:rsidRDefault="0031205F" w:rsidP="0031205F">
      <w:pPr>
        <w:ind w:right="-46"/>
        <w:rPr>
          <w:lang w:val="en-AU"/>
        </w:rPr>
      </w:pPr>
      <w:r w:rsidRPr="00E27200">
        <w:rPr>
          <w:lang w:val="en-AU"/>
        </w:rPr>
        <w:t xml:space="preserve">Additional quantitative detail is in Annex </w:t>
      </w:r>
      <w:r w:rsidR="00F00D3A">
        <w:rPr>
          <w:lang w:val="en-AU"/>
        </w:rPr>
        <w:t>1</w:t>
      </w:r>
      <w:r w:rsidR="00932CD0">
        <w:rPr>
          <w:lang w:val="en-AU"/>
        </w:rPr>
        <w:t>1</w:t>
      </w:r>
      <w:r w:rsidRPr="00E27200">
        <w:rPr>
          <w:lang w:val="en-AU"/>
        </w:rPr>
        <w:t xml:space="preserve">.2 and qualitative detail in Annex </w:t>
      </w:r>
      <w:r w:rsidR="00F00D3A">
        <w:rPr>
          <w:lang w:val="en-AU"/>
        </w:rPr>
        <w:t>1</w:t>
      </w:r>
      <w:r w:rsidR="00932CD0">
        <w:rPr>
          <w:lang w:val="en-AU"/>
        </w:rPr>
        <w:t>1</w:t>
      </w:r>
      <w:r w:rsidRPr="00E27200">
        <w:rPr>
          <w:lang w:val="en-AU"/>
        </w:rPr>
        <w:t>.4.</w:t>
      </w:r>
    </w:p>
    <w:p w14:paraId="3407254D" w14:textId="77777777" w:rsidR="0031205F" w:rsidRPr="00E27200" w:rsidRDefault="0031205F"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szCs w:val="19"/>
          <w:u w:val="single"/>
          <w:lang w:val="en-AU"/>
        </w:rPr>
      </w:pPr>
    </w:p>
    <w:p w14:paraId="112EBF63" w14:textId="77777777" w:rsidR="00B34BC6" w:rsidRPr="00E27200" w:rsidRDefault="00B34BC6" w:rsidP="00B34BC6">
      <w:pPr>
        <w:pStyle w:val="Heading3"/>
      </w:pPr>
      <w:r w:rsidRPr="00E27200">
        <w:t>Contracting of logistics and transportation</w:t>
      </w:r>
    </w:p>
    <w:p w14:paraId="4970E639" w14:textId="08F9BAA3" w:rsidR="00AC72B8" w:rsidRPr="00E27200" w:rsidRDefault="009E6E4B" w:rsidP="008D0521">
      <w:pPr>
        <w:rPr>
          <w:lang w:val="en-AU"/>
        </w:rPr>
      </w:pPr>
      <w:r w:rsidRPr="00E27200">
        <w:rPr>
          <w:lang w:val="en-AU"/>
        </w:rPr>
        <w:t>A</w:t>
      </w:r>
      <w:r w:rsidR="008D0521" w:rsidRPr="00E27200">
        <w:rPr>
          <w:lang w:val="en-AU"/>
        </w:rPr>
        <w:t xml:space="preserve"> major shift in the national supply chain</w:t>
      </w:r>
      <w:r w:rsidRPr="00E27200">
        <w:rPr>
          <w:lang w:val="en-AU"/>
        </w:rPr>
        <w:t xml:space="preserve"> of the government ‘pull’ system</w:t>
      </w:r>
      <w:r w:rsidR="008D0521" w:rsidRPr="00E27200">
        <w:rPr>
          <w:lang w:val="en-AU"/>
        </w:rPr>
        <w:t xml:space="preserve"> has been the outsourcing of medicines distribution to commercial transport companies – most recently to the firm LD Logistics, which is tasked with delivering all NDOH medicines from AMS to health centre and sub centre levels</w:t>
      </w:r>
      <w:r w:rsidR="00FF0D14" w:rsidRPr="00E27200">
        <w:rPr>
          <w:lang w:val="en-AU"/>
        </w:rPr>
        <w:t xml:space="preserve"> (but not to APs)</w:t>
      </w:r>
      <w:r w:rsidR="008D0521" w:rsidRPr="00E27200">
        <w:rPr>
          <w:lang w:val="en-AU"/>
        </w:rPr>
        <w:t>. National consultations and field observations suggest that some vertical program</w:t>
      </w:r>
      <w:r w:rsidR="00B47CCD" w:rsidRPr="00E27200">
        <w:rPr>
          <w:lang w:val="en-AU"/>
        </w:rPr>
        <w:t xml:space="preserve"> medicines, specifically those for malaria and t</w:t>
      </w:r>
      <w:r w:rsidR="008D0521" w:rsidRPr="00E27200">
        <w:rPr>
          <w:lang w:val="en-AU"/>
        </w:rPr>
        <w:t>uberculosis have been excluded</w:t>
      </w:r>
      <w:r w:rsidR="00B47CCD" w:rsidRPr="00E27200">
        <w:rPr>
          <w:lang w:val="en-AU"/>
        </w:rPr>
        <w:t xml:space="preserve"> from this arrangement, although the formal contract does not specify this exclusion. Another vertical program providing HIV medicines has a separate logistics agreement </w:t>
      </w:r>
      <w:r w:rsidR="008D0521" w:rsidRPr="00E27200">
        <w:rPr>
          <w:lang w:val="en-AU"/>
        </w:rPr>
        <w:t xml:space="preserve">with TNT for all their distribution needs.  </w:t>
      </w:r>
      <w:r w:rsidR="00B47CCD" w:rsidRPr="00E27200">
        <w:rPr>
          <w:lang w:val="en-AU"/>
        </w:rPr>
        <w:t>And, as discussed more fully below, the 40% and 100% kits programs have used distribution</w:t>
      </w:r>
      <w:r w:rsidRPr="00E27200">
        <w:rPr>
          <w:lang w:val="en-AU"/>
        </w:rPr>
        <w:t xml:space="preserve"> approaches, again with commercial logistics companies that work independently of the government AMS ‘pull’ system. </w:t>
      </w:r>
      <w:r w:rsidR="00B47CCD" w:rsidRPr="00E27200">
        <w:rPr>
          <w:lang w:val="en-AU"/>
        </w:rPr>
        <w:t>These agreements replace earlier programs (prior to 20</w:t>
      </w:r>
      <w:r w:rsidR="009F7810">
        <w:rPr>
          <w:lang w:val="en-AU"/>
        </w:rPr>
        <w:t>10</w:t>
      </w:r>
      <w:r w:rsidR="00B47CCD" w:rsidRPr="00E27200">
        <w:rPr>
          <w:lang w:val="en-AU"/>
        </w:rPr>
        <w:t xml:space="preserve">) whereby distribution was the responsibility of stores and facilities </w:t>
      </w:r>
      <w:r w:rsidR="002E785F" w:rsidRPr="00E27200">
        <w:rPr>
          <w:lang w:val="en-AU"/>
        </w:rPr>
        <w:t>that</w:t>
      </w:r>
      <w:r w:rsidR="00B47CCD" w:rsidRPr="00E27200">
        <w:rPr>
          <w:lang w:val="en-AU"/>
        </w:rPr>
        <w:t xml:space="preserve"> need</w:t>
      </w:r>
      <w:r w:rsidR="001C793F" w:rsidRPr="00E27200">
        <w:rPr>
          <w:lang w:val="en-AU"/>
        </w:rPr>
        <w:t>ed</w:t>
      </w:r>
      <w:r w:rsidR="00B47CCD" w:rsidRPr="00E27200">
        <w:rPr>
          <w:lang w:val="en-AU"/>
        </w:rPr>
        <w:t xml:space="preserve"> to use their own, often limited, transport arrangements.</w:t>
      </w:r>
    </w:p>
    <w:p w14:paraId="0B3CE776" w14:textId="77777777" w:rsidR="00B47CCD" w:rsidRPr="00E27200" w:rsidRDefault="00B47CCD" w:rsidP="008D0521">
      <w:pPr>
        <w:rPr>
          <w:lang w:val="en-AU"/>
        </w:rPr>
      </w:pPr>
    </w:p>
    <w:p w14:paraId="3A8849AC" w14:textId="77777777" w:rsidR="0015492B" w:rsidRPr="00E27200" w:rsidRDefault="00800D48" w:rsidP="008D0521">
      <w:pPr>
        <w:rPr>
          <w:lang w:val="en-AU"/>
        </w:rPr>
      </w:pPr>
      <w:r w:rsidRPr="00E27200">
        <w:rPr>
          <w:lang w:val="en-AU"/>
        </w:rPr>
        <w:t>Some reports in national consultations suggest, similarly to procurement findings,</w:t>
      </w:r>
      <w:r w:rsidR="0035567E" w:rsidRPr="00E27200">
        <w:rPr>
          <w:lang w:val="en-AU"/>
        </w:rPr>
        <w:t xml:space="preserve"> that</w:t>
      </w:r>
      <w:r w:rsidRPr="00E27200">
        <w:rPr>
          <w:lang w:val="en-AU"/>
        </w:rPr>
        <w:t xml:space="preserve"> implementation </w:t>
      </w:r>
      <w:r w:rsidR="00EB0E8A" w:rsidRPr="00E27200">
        <w:rPr>
          <w:lang w:val="en-AU"/>
        </w:rPr>
        <w:t xml:space="preserve">of proposed improvements </w:t>
      </w:r>
      <w:r w:rsidR="0035567E" w:rsidRPr="00E27200">
        <w:rPr>
          <w:lang w:val="en-AU"/>
        </w:rPr>
        <w:t>for</w:t>
      </w:r>
      <w:r w:rsidR="00EB0E8A" w:rsidRPr="00E27200">
        <w:rPr>
          <w:lang w:val="en-AU"/>
        </w:rPr>
        <w:t xml:space="preserve"> transparency and more stringent contracting of logistics suppliers </w:t>
      </w:r>
      <w:r w:rsidRPr="00E27200">
        <w:rPr>
          <w:lang w:val="en-AU"/>
        </w:rPr>
        <w:t>remains incomplete</w:t>
      </w:r>
      <w:r w:rsidR="00EB0E8A" w:rsidRPr="00E27200">
        <w:rPr>
          <w:lang w:val="en-AU"/>
        </w:rPr>
        <w:t xml:space="preserve">. </w:t>
      </w:r>
      <w:r w:rsidR="0035567E" w:rsidRPr="00E27200">
        <w:rPr>
          <w:lang w:val="en-AU"/>
        </w:rPr>
        <w:t xml:space="preserve">Some aspects of the LD Logistics contracting seem irregular. </w:t>
      </w:r>
      <w:r w:rsidR="00CE15D1" w:rsidRPr="00E27200">
        <w:rPr>
          <w:lang w:val="en-AU"/>
        </w:rPr>
        <w:t>For example</w:t>
      </w:r>
      <w:r w:rsidR="0015492B" w:rsidRPr="00E27200">
        <w:rPr>
          <w:lang w:val="en-AU"/>
        </w:rPr>
        <w:t>,</w:t>
      </w:r>
      <w:r w:rsidR="00EB0E8A" w:rsidRPr="00E27200">
        <w:rPr>
          <w:lang w:val="en-AU"/>
        </w:rPr>
        <w:t xml:space="preserve"> some interviews</w:t>
      </w:r>
      <w:r w:rsidR="0015492B" w:rsidRPr="00E27200">
        <w:rPr>
          <w:lang w:val="en-AU"/>
        </w:rPr>
        <w:t xml:space="preserve"> and document review</w:t>
      </w:r>
      <w:r w:rsidR="00EB0E8A" w:rsidRPr="00E27200">
        <w:rPr>
          <w:lang w:val="en-AU"/>
        </w:rPr>
        <w:t xml:space="preserve"> </w:t>
      </w:r>
      <w:r w:rsidR="00614492" w:rsidRPr="00E27200">
        <w:rPr>
          <w:lang w:val="en-AU"/>
        </w:rPr>
        <w:t>suggested that</w:t>
      </w:r>
      <w:r w:rsidR="00CE15D1" w:rsidRPr="00E27200">
        <w:rPr>
          <w:lang w:val="en-AU"/>
        </w:rPr>
        <w:t>:</w:t>
      </w:r>
      <w:r w:rsidR="00646996" w:rsidRPr="00E27200">
        <w:rPr>
          <w:lang w:val="en-AU"/>
        </w:rPr>
        <w:t xml:space="preserve"> the desire for</w:t>
      </w:r>
      <w:r w:rsidR="00614492" w:rsidRPr="00E27200">
        <w:rPr>
          <w:lang w:val="en-AU"/>
        </w:rPr>
        <w:t xml:space="preserve"> prompt payment</w:t>
      </w:r>
      <w:r w:rsidRPr="00E27200">
        <w:rPr>
          <w:lang w:val="en-AU"/>
        </w:rPr>
        <w:t xml:space="preserve"> </w:t>
      </w:r>
      <w:r w:rsidR="00614492" w:rsidRPr="00E27200">
        <w:rPr>
          <w:lang w:val="en-AU"/>
        </w:rPr>
        <w:t>to suppliers should over-ride the time that might be required for verification of charges</w:t>
      </w:r>
      <w:r w:rsidR="00CE15D1" w:rsidRPr="00E27200">
        <w:rPr>
          <w:lang w:val="en-AU"/>
        </w:rPr>
        <w:t xml:space="preserve"> by AMS; there is no need for detailed </w:t>
      </w:r>
      <w:r w:rsidR="00646996" w:rsidRPr="00E27200">
        <w:rPr>
          <w:lang w:val="en-AU"/>
        </w:rPr>
        <w:t xml:space="preserve">performance </w:t>
      </w:r>
      <w:r w:rsidR="00614492" w:rsidRPr="00E27200">
        <w:rPr>
          <w:lang w:val="en-AU"/>
        </w:rPr>
        <w:t>measures</w:t>
      </w:r>
      <w:r w:rsidR="00CE15D1" w:rsidRPr="00E27200">
        <w:rPr>
          <w:lang w:val="en-AU"/>
        </w:rPr>
        <w:t xml:space="preserve"> in terms</w:t>
      </w:r>
      <w:r w:rsidR="00614492" w:rsidRPr="00E27200">
        <w:rPr>
          <w:lang w:val="en-AU"/>
        </w:rPr>
        <w:t xml:space="preserve"> of delivery coverage and timing</w:t>
      </w:r>
      <w:r w:rsidR="00B076FA" w:rsidRPr="00E27200">
        <w:rPr>
          <w:lang w:val="en-AU"/>
        </w:rPr>
        <w:t xml:space="preserve"> (although the contract does include performance measures in relation to complaints)</w:t>
      </w:r>
      <w:r w:rsidR="00CE15D1" w:rsidRPr="00E27200">
        <w:rPr>
          <w:lang w:val="en-AU"/>
        </w:rPr>
        <w:t xml:space="preserve">; contractual arrangements have been extended in time without formal renegotiation or re-documentation; </w:t>
      </w:r>
      <w:r w:rsidR="00B076FA" w:rsidRPr="00E27200">
        <w:rPr>
          <w:lang w:val="en-AU"/>
        </w:rPr>
        <w:t xml:space="preserve">and there is </w:t>
      </w:r>
      <w:r w:rsidR="00CE15D1" w:rsidRPr="00E27200">
        <w:rPr>
          <w:lang w:val="en-AU"/>
        </w:rPr>
        <w:t xml:space="preserve">wide variation in the costing of individual elements without clear criteria for </w:t>
      </w:r>
      <w:r w:rsidR="00B076FA" w:rsidRPr="00E27200">
        <w:rPr>
          <w:lang w:val="en-AU"/>
        </w:rPr>
        <w:t>estimating</w:t>
      </w:r>
      <w:r w:rsidR="00CE15D1" w:rsidRPr="00E27200">
        <w:rPr>
          <w:lang w:val="en-AU"/>
        </w:rPr>
        <w:t xml:space="preserve"> these</w:t>
      </w:r>
      <w:r w:rsidR="00B076FA" w:rsidRPr="00E27200">
        <w:rPr>
          <w:lang w:val="en-AU"/>
        </w:rPr>
        <w:t xml:space="preserve"> costs</w:t>
      </w:r>
      <w:r w:rsidR="00614492" w:rsidRPr="00E27200">
        <w:rPr>
          <w:lang w:val="en-AU"/>
        </w:rPr>
        <w:t xml:space="preserve">. </w:t>
      </w:r>
    </w:p>
    <w:p w14:paraId="197F20FB" w14:textId="77777777" w:rsidR="0015492B" w:rsidRPr="00E27200" w:rsidRDefault="0015492B" w:rsidP="008D0521">
      <w:pPr>
        <w:rPr>
          <w:lang w:val="en-AU"/>
        </w:rPr>
      </w:pPr>
    </w:p>
    <w:p w14:paraId="3D20FA53" w14:textId="7A2891DD" w:rsidR="0031205F" w:rsidRPr="00E27200" w:rsidRDefault="00646996" w:rsidP="008D0521">
      <w:pPr>
        <w:rPr>
          <w:lang w:val="en-AU"/>
        </w:rPr>
      </w:pPr>
      <w:r w:rsidRPr="00E27200">
        <w:rPr>
          <w:lang w:val="en-AU"/>
        </w:rPr>
        <w:t xml:space="preserve">Findings during interviews also </w:t>
      </w:r>
      <w:r w:rsidR="00B34BC6" w:rsidRPr="00E27200">
        <w:rPr>
          <w:lang w:val="en-AU"/>
        </w:rPr>
        <w:t>implied</w:t>
      </w:r>
      <w:r w:rsidRPr="00E27200">
        <w:rPr>
          <w:lang w:val="en-AU"/>
        </w:rPr>
        <w:t xml:space="preserve"> </w:t>
      </w:r>
      <w:r w:rsidR="00B076FA" w:rsidRPr="00E27200">
        <w:rPr>
          <w:lang w:val="en-AU"/>
        </w:rPr>
        <w:t>that the anecdotal reports of poor delivery performance</w:t>
      </w:r>
      <w:r w:rsidR="0031205F" w:rsidRPr="00E27200">
        <w:rPr>
          <w:lang w:val="en-AU"/>
        </w:rPr>
        <w:t xml:space="preserve"> (some discussed later in this section</w:t>
      </w:r>
      <w:r w:rsidR="0015492B" w:rsidRPr="00E27200">
        <w:rPr>
          <w:lang w:val="en-AU"/>
        </w:rPr>
        <w:t xml:space="preserve">) </w:t>
      </w:r>
      <w:r w:rsidR="00B076FA" w:rsidRPr="00E27200">
        <w:rPr>
          <w:lang w:val="en-AU"/>
        </w:rPr>
        <w:t xml:space="preserve">may not be </w:t>
      </w:r>
      <w:r w:rsidR="0031205F" w:rsidRPr="00E27200">
        <w:rPr>
          <w:lang w:val="en-AU"/>
        </w:rPr>
        <w:t xml:space="preserve">fully </w:t>
      </w:r>
      <w:r w:rsidR="00B076FA" w:rsidRPr="00E27200">
        <w:rPr>
          <w:lang w:val="en-AU"/>
        </w:rPr>
        <w:t xml:space="preserve">considered </w:t>
      </w:r>
      <w:r w:rsidR="0031205F" w:rsidRPr="00E27200">
        <w:rPr>
          <w:lang w:val="en-AU"/>
        </w:rPr>
        <w:t>in their relevance</w:t>
      </w:r>
      <w:r w:rsidR="00B076FA" w:rsidRPr="00E27200">
        <w:rPr>
          <w:lang w:val="en-AU"/>
        </w:rPr>
        <w:t xml:space="preserve"> to future supply chain tendering decisions. </w:t>
      </w:r>
      <w:r w:rsidR="00B34BC6" w:rsidRPr="00E27200">
        <w:rPr>
          <w:lang w:val="en-AU"/>
        </w:rPr>
        <w:t xml:space="preserve">These, and other reports, suggest </w:t>
      </w:r>
      <w:r w:rsidRPr="00E27200">
        <w:rPr>
          <w:lang w:val="en-AU"/>
        </w:rPr>
        <w:t xml:space="preserve">weak implementation of procedures and structures that could increase the likelihood that future logistics contracting arrangements are </w:t>
      </w:r>
      <w:r w:rsidRPr="00E27200">
        <w:rPr>
          <w:lang w:val="en-AU"/>
        </w:rPr>
        <w:lastRenderedPageBreak/>
        <w:t>transparent, commercially competitive and performance-based.</w:t>
      </w:r>
      <w:r w:rsidR="00444DAC" w:rsidRPr="00E27200">
        <w:rPr>
          <w:lang w:val="en-AU"/>
        </w:rPr>
        <w:t xml:space="preserve">  </w:t>
      </w:r>
      <w:r w:rsidR="00D44BFB" w:rsidRPr="00E27200">
        <w:rPr>
          <w:lang w:val="en-AU"/>
        </w:rPr>
        <w:t xml:space="preserve">Qualitative data from managers, including stores managers, confirmed this concern.  Several suggested that more nuanced contracting, including a combination of a national contract matched with a variety of local distribution contracts managed through regional AMS or provincial </w:t>
      </w:r>
      <w:r w:rsidR="000F246A">
        <w:rPr>
          <w:lang w:val="en-AU"/>
        </w:rPr>
        <w:t>health agencies</w:t>
      </w:r>
      <w:r w:rsidR="00D44BFB" w:rsidRPr="00E27200">
        <w:rPr>
          <w:lang w:val="en-AU"/>
        </w:rPr>
        <w:t>, may give better outcomes.</w:t>
      </w:r>
    </w:p>
    <w:p w14:paraId="35302462" w14:textId="77777777" w:rsidR="0031205F" w:rsidRPr="00E27200" w:rsidRDefault="0031205F" w:rsidP="008D0521">
      <w:pPr>
        <w:rPr>
          <w:lang w:val="en-AU"/>
        </w:rPr>
      </w:pPr>
    </w:p>
    <w:p w14:paraId="12F0A277" w14:textId="38A38E31" w:rsidR="00AC72B8" w:rsidRPr="00E27200" w:rsidRDefault="00444DAC" w:rsidP="008D0521">
      <w:pPr>
        <w:rPr>
          <w:lang w:val="en-AU"/>
        </w:rPr>
      </w:pPr>
      <w:r w:rsidRPr="00E27200">
        <w:rPr>
          <w:lang w:val="en-AU"/>
        </w:rPr>
        <w:t xml:space="preserve">Contracting for ‘push’ system 100% kits have so far been handled independently, through </w:t>
      </w:r>
      <w:r w:rsidR="00DC21D4">
        <w:rPr>
          <w:lang w:val="en-AU"/>
        </w:rPr>
        <w:t>Australian Aid</w:t>
      </w:r>
      <w:r w:rsidR="00BF1A77">
        <w:rPr>
          <w:lang w:val="en-AU"/>
        </w:rPr>
        <w:t xml:space="preserve">. Inspection of contract information, visit to </w:t>
      </w:r>
      <w:r w:rsidR="006D1CAB">
        <w:rPr>
          <w:lang w:val="en-AU"/>
        </w:rPr>
        <w:t>IDA</w:t>
      </w:r>
      <w:r w:rsidR="000F246A">
        <w:rPr>
          <w:lang w:val="en-AU"/>
        </w:rPr>
        <w:t>,</w:t>
      </w:r>
      <w:r w:rsidR="00BF1A77">
        <w:rPr>
          <w:lang w:val="en-AU"/>
        </w:rPr>
        <w:t xml:space="preserve"> and correlation with other evaluation data confirm international delivery </w:t>
      </w:r>
      <w:r w:rsidR="00BF1A77" w:rsidRPr="00E27200">
        <w:rPr>
          <w:rFonts w:asciiTheme="minorHAnsi" w:hAnsiTheme="minorHAnsi" w:cs="Helvetica"/>
          <w:bCs/>
          <w:color w:val="000000"/>
          <w:szCs w:val="19"/>
          <w:lang w:val="en-AU"/>
        </w:rPr>
        <w:t>from origin either directly to PNG ports (full container loads from India and China) or consolidated in an ISO certified warehouse in Singapore and shipped to named PNG ports.  Transport suppliers were tasked with delivering kits to hospitals, health centres and aid posts on a regular basis, through logistics companies managed by the agent Charles Kendall and Partners (CKP -the management contractor for inland transport and distribution).</w:t>
      </w:r>
      <w:r w:rsidRPr="00E27200">
        <w:rPr>
          <w:lang w:val="en-AU"/>
        </w:rPr>
        <w:t xml:space="preserve"> </w:t>
      </w:r>
      <w:r w:rsidR="00BF1A77">
        <w:rPr>
          <w:lang w:val="en-AU"/>
        </w:rPr>
        <w:t xml:space="preserve">Sub-national distribution as part of this aspect of the </w:t>
      </w:r>
      <w:r w:rsidRPr="00E27200">
        <w:rPr>
          <w:lang w:val="en-AU"/>
        </w:rPr>
        <w:t>supply chain is discussed further below.</w:t>
      </w:r>
      <w:r w:rsidR="00BF1A77">
        <w:rPr>
          <w:lang w:val="en-AU"/>
        </w:rPr>
        <w:t xml:space="preserve"> </w:t>
      </w:r>
    </w:p>
    <w:p w14:paraId="3495610F" w14:textId="77777777" w:rsidR="00D33A55" w:rsidRPr="00E27200" w:rsidRDefault="00D33A55"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color w:val="000000"/>
          <w:szCs w:val="19"/>
          <w:u w:val="single"/>
          <w:lang w:val="en-AU"/>
        </w:rPr>
      </w:pPr>
    </w:p>
    <w:p w14:paraId="61B94E45" w14:textId="77777777" w:rsidR="00A97A1F" w:rsidRPr="00E27200" w:rsidRDefault="00A97A1F" w:rsidP="00B34BC6">
      <w:pPr>
        <w:pStyle w:val="Heading3"/>
      </w:pPr>
      <w:r w:rsidRPr="00E27200">
        <w:t xml:space="preserve">Logistics Management Information Systems – </w:t>
      </w:r>
      <w:proofErr w:type="spellStart"/>
      <w:r w:rsidRPr="00E27200">
        <w:t>mSupply</w:t>
      </w:r>
      <w:proofErr w:type="spellEnd"/>
      <w:r w:rsidRPr="00E27200">
        <w:t xml:space="preserve"> </w:t>
      </w:r>
    </w:p>
    <w:p w14:paraId="1CFC9465" w14:textId="3B35484F" w:rsidR="00A97A1F" w:rsidRPr="00E27200" w:rsidRDefault="00A97A1F"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Steps have been taken to introduce</w:t>
      </w:r>
      <w:r w:rsidR="0045192E" w:rsidRPr="00E27200">
        <w:rPr>
          <w:rFonts w:asciiTheme="minorHAnsi" w:hAnsiTheme="minorHAnsi" w:cs="Arial"/>
          <w:color w:val="000000"/>
          <w:szCs w:val="22"/>
          <w:lang w:val="en-AU"/>
        </w:rPr>
        <w:t xml:space="preserve"> </w:t>
      </w:r>
      <w:r w:rsidR="00B34BC6" w:rsidRPr="00E27200">
        <w:rPr>
          <w:rFonts w:asciiTheme="minorHAnsi" w:hAnsiTheme="minorHAnsi" w:cs="Arial"/>
          <w:color w:val="000000"/>
          <w:szCs w:val="22"/>
          <w:lang w:val="en-AU"/>
        </w:rPr>
        <w:t xml:space="preserve">the computerized LMIS, </w:t>
      </w:r>
      <w:proofErr w:type="spellStart"/>
      <w:r w:rsidRPr="00E27200">
        <w:rPr>
          <w:rFonts w:asciiTheme="minorHAnsi" w:hAnsiTheme="minorHAnsi" w:cs="Arial"/>
          <w:color w:val="000000"/>
          <w:szCs w:val="22"/>
          <w:lang w:val="en-AU"/>
        </w:rPr>
        <w:t>mSupply</w:t>
      </w:r>
      <w:proofErr w:type="spellEnd"/>
      <w:r w:rsidR="00B34BC6" w:rsidRPr="00E27200">
        <w:rPr>
          <w:rFonts w:asciiTheme="minorHAnsi" w:hAnsiTheme="minorHAnsi" w:cs="Arial"/>
          <w:color w:val="000000"/>
          <w:szCs w:val="22"/>
          <w:lang w:val="en-AU"/>
        </w:rPr>
        <w:t>,</w:t>
      </w:r>
      <w:r w:rsidRPr="00E27200">
        <w:rPr>
          <w:rFonts w:asciiTheme="minorHAnsi" w:hAnsiTheme="minorHAnsi" w:cs="Arial"/>
          <w:color w:val="000000"/>
          <w:szCs w:val="22"/>
          <w:lang w:val="en-AU"/>
        </w:rPr>
        <w:t xml:space="preserve"> to </w:t>
      </w:r>
      <w:r w:rsidR="00B34BC6" w:rsidRPr="00E27200">
        <w:rPr>
          <w:rFonts w:asciiTheme="minorHAnsi" w:hAnsiTheme="minorHAnsi" w:cs="Arial"/>
          <w:color w:val="000000"/>
          <w:szCs w:val="22"/>
          <w:lang w:val="en-AU"/>
        </w:rPr>
        <w:t xml:space="preserve">MSPD in NDOH and </w:t>
      </w:r>
      <w:r w:rsidR="0031205F" w:rsidRPr="00E27200">
        <w:rPr>
          <w:rFonts w:asciiTheme="minorHAnsi" w:hAnsiTheme="minorHAnsi" w:cs="Arial"/>
          <w:color w:val="000000"/>
          <w:szCs w:val="22"/>
          <w:lang w:val="en-AU"/>
        </w:rPr>
        <w:t>one</w:t>
      </w:r>
      <w:r w:rsidRPr="00E27200">
        <w:rPr>
          <w:rFonts w:asciiTheme="minorHAnsi" w:hAnsiTheme="minorHAnsi" w:cs="Arial"/>
          <w:color w:val="000000"/>
          <w:szCs w:val="22"/>
          <w:lang w:val="en-AU"/>
        </w:rPr>
        <w:t xml:space="preserve"> AMS</w:t>
      </w:r>
      <w:r w:rsidR="0031205F" w:rsidRPr="00E27200">
        <w:rPr>
          <w:rFonts w:asciiTheme="minorHAnsi" w:hAnsiTheme="minorHAnsi" w:cs="Arial"/>
          <w:color w:val="000000"/>
          <w:szCs w:val="22"/>
          <w:lang w:val="en-AU"/>
        </w:rPr>
        <w:t>, in</w:t>
      </w:r>
      <w:r w:rsidRPr="00E27200">
        <w:rPr>
          <w:rFonts w:asciiTheme="minorHAnsi" w:hAnsiTheme="minorHAnsi" w:cs="Arial"/>
          <w:color w:val="000000"/>
          <w:szCs w:val="22"/>
          <w:lang w:val="en-AU"/>
        </w:rPr>
        <w:t xml:space="preserve"> </w:t>
      </w:r>
      <w:proofErr w:type="spellStart"/>
      <w:r w:rsidRPr="00E27200">
        <w:rPr>
          <w:rFonts w:asciiTheme="minorHAnsi" w:hAnsiTheme="minorHAnsi" w:cs="Arial"/>
          <w:color w:val="000000"/>
          <w:szCs w:val="22"/>
          <w:lang w:val="en-AU"/>
        </w:rPr>
        <w:t>Badili</w:t>
      </w:r>
      <w:proofErr w:type="spellEnd"/>
      <w:r w:rsidRPr="00E27200">
        <w:rPr>
          <w:rFonts w:asciiTheme="minorHAnsi" w:hAnsiTheme="minorHAnsi" w:cs="Arial"/>
          <w:color w:val="000000"/>
          <w:szCs w:val="22"/>
          <w:lang w:val="en-AU"/>
        </w:rPr>
        <w:t xml:space="preserve">. This is to replace the </w:t>
      </w:r>
      <w:r w:rsidR="002E785F" w:rsidRPr="00E27200">
        <w:rPr>
          <w:rFonts w:asciiTheme="minorHAnsi" w:hAnsiTheme="minorHAnsi" w:cs="Arial"/>
          <w:color w:val="000000"/>
          <w:szCs w:val="22"/>
          <w:lang w:val="en-AU"/>
        </w:rPr>
        <w:t>out-dated</w:t>
      </w:r>
      <w:r w:rsidRPr="00E27200">
        <w:rPr>
          <w:rFonts w:asciiTheme="minorHAnsi" w:hAnsiTheme="minorHAnsi" w:cs="Arial"/>
          <w:color w:val="000000"/>
          <w:szCs w:val="22"/>
          <w:lang w:val="en-AU"/>
        </w:rPr>
        <w:t xml:space="preserve"> </w:t>
      </w:r>
      <w:proofErr w:type="spellStart"/>
      <w:r w:rsidRPr="00E27200">
        <w:rPr>
          <w:rFonts w:asciiTheme="minorHAnsi" w:hAnsiTheme="minorHAnsi" w:cs="Arial"/>
          <w:color w:val="000000"/>
          <w:szCs w:val="22"/>
          <w:lang w:val="en-AU"/>
        </w:rPr>
        <w:t>Foxpro</w:t>
      </w:r>
      <w:proofErr w:type="spellEnd"/>
      <w:r w:rsidRPr="00E27200">
        <w:rPr>
          <w:rFonts w:asciiTheme="minorHAnsi" w:hAnsiTheme="minorHAnsi" w:cs="Arial"/>
          <w:color w:val="000000"/>
          <w:szCs w:val="22"/>
          <w:lang w:val="en-AU"/>
        </w:rPr>
        <w:t xml:space="preserve"> system which has not been fully operational for a couple of years. It is expected that </w:t>
      </w:r>
      <w:proofErr w:type="spellStart"/>
      <w:r w:rsidRPr="00E27200">
        <w:rPr>
          <w:rFonts w:asciiTheme="minorHAnsi" w:hAnsiTheme="minorHAnsi" w:cs="Arial"/>
          <w:color w:val="000000"/>
          <w:szCs w:val="22"/>
          <w:lang w:val="en-AU"/>
        </w:rPr>
        <w:t>mSupply</w:t>
      </w:r>
      <w:proofErr w:type="spellEnd"/>
      <w:r w:rsidRPr="00E27200">
        <w:rPr>
          <w:rFonts w:asciiTheme="minorHAnsi" w:hAnsiTheme="minorHAnsi" w:cs="Arial"/>
          <w:color w:val="000000"/>
          <w:szCs w:val="22"/>
          <w:lang w:val="en-AU"/>
        </w:rPr>
        <w:t xml:space="preserve"> will provide a broad range of functionality including procurement, warehousing and inventory management, logistics and distribution o</w:t>
      </w:r>
      <w:r w:rsidR="0031205F" w:rsidRPr="00E27200">
        <w:rPr>
          <w:rFonts w:asciiTheme="minorHAnsi" w:hAnsiTheme="minorHAnsi" w:cs="Arial"/>
          <w:color w:val="000000"/>
          <w:szCs w:val="22"/>
          <w:lang w:val="en-AU"/>
        </w:rPr>
        <w:t>f medical supplies – the system’s capacity has been demonstrated in other countries in the Pacific and elsewhere that face similar challenges to PNG.</w:t>
      </w:r>
      <w:r w:rsidR="00D83B0F" w:rsidRPr="00E27200">
        <w:rPr>
          <w:rFonts w:asciiTheme="minorHAnsi" w:hAnsiTheme="minorHAnsi" w:cs="Arial"/>
          <w:color w:val="000000"/>
          <w:szCs w:val="22"/>
          <w:lang w:val="en-AU"/>
        </w:rPr>
        <w:t xml:space="preserve"> As such, </w:t>
      </w:r>
      <w:r w:rsidR="00D83B0F" w:rsidRPr="00E27200">
        <w:rPr>
          <w:lang w:val="en-AU"/>
        </w:rPr>
        <w:t>this would be one of PNG’s most critical investments for medical supplies management, which has the potential to meet a crucial information need essential to addressing gaps in many parts of the medical supplies system.</w:t>
      </w:r>
    </w:p>
    <w:p w14:paraId="20D5ACAD" w14:textId="77777777" w:rsidR="00A97A1F" w:rsidRPr="00E27200" w:rsidRDefault="00A97A1F"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404E355A" w14:textId="6EDFE394" w:rsidR="00553448" w:rsidRPr="00E27200" w:rsidRDefault="00A97A1F"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 xml:space="preserve">Technical problems such as </w:t>
      </w:r>
      <w:r w:rsidR="00D83B0F" w:rsidRPr="00E27200">
        <w:rPr>
          <w:rFonts w:asciiTheme="minorHAnsi" w:hAnsiTheme="minorHAnsi" w:cs="Arial"/>
          <w:color w:val="000000"/>
          <w:szCs w:val="22"/>
          <w:lang w:val="en-AU"/>
        </w:rPr>
        <w:t>communications</w:t>
      </w:r>
      <w:r w:rsidRPr="00E27200">
        <w:rPr>
          <w:rFonts w:asciiTheme="minorHAnsi" w:hAnsiTheme="minorHAnsi" w:cs="Arial"/>
          <w:color w:val="000000"/>
          <w:szCs w:val="22"/>
          <w:lang w:val="en-AU"/>
        </w:rPr>
        <w:t xml:space="preserve"> connectivity need to be resolved prior to </w:t>
      </w:r>
      <w:r w:rsidR="002E785F" w:rsidRPr="00E27200">
        <w:rPr>
          <w:rFonts w:asciiTheme="minorHAnsi" w:hAnsiTheme="minorHAnsi" w:cs="Arial"/>
          <w:color w:val="000000"/>
          <w:szCs w:val="22"/>
          <w:lang w:val="en-AU"/>
        </w:rPr>
        <w:t>implementation,</w:t>
      </w:r>
      <w:r w:rsidRPr="00E27200">
        <w:rPr>
          <w:rFonts w:asciiTheme="minorHAnsi" w:hAnsiTheme="minorHAnsi" w:cs="Arial"/>
          <w:color w:val="000000"/>
          <w:szCs w:val="22"/>
          <w:lang w:val="en-AU"/>
        </w:rPr>
        <w:t xml:space="preserve"> as the technical infrastructure need</w:t>
      </w:r>
      <w:r w:rsidR="00913ABC" w:rsidRPr="00E27200">
        <w:rPr>
          <w:rFonts w:asciiTheme="minorHAnsi" w:hAnsiTheme="minorHAnsi" w:cs="Arial"/>
          <w:color w:val="000000"/>
          <w:szCs w:val="22"/>
          <w:lang w:val="en-AU"/>
        </w:rPr>
        <w:t>s</w:t>
      </w:r>
      <w:r w:rsidRPr="00E27200">
        <w:rPr>
          <w:rFonts w:asciiTheme="minorHAnsi" w:hAnsiTheme="minorHAnsi" w:cs="Arial"/>
          <w:color w:val="000000"/>
          <w:szCs w:val="22"/>
          <w:lang w:val="en-AU"/>
        </w:rPr>
        <w:t xml:space="preserve"> to be set up in conjunction with the NDOH information technology branch. It is planned that after </w:t>
      </w:r>
      <w:proofErr w:type="spellStart"/>
      <w:r w:rsidRPr="00E27200">
        <w:rPr>
          <w:rFonts w:asciiTheme="minorHAnsi" w:hAnsiTheme="minorHAnsi" w:cs="Arial"/>
          <w:color w:val="000000"/>
          <w:szCs w:val="22"/>
          <w:lang w:val="en-AU"/>
        </w:rPr>
        <w:t>Badili</w:t>
      </w:r>
      <w:proofErr w:type="spellEnd"/>
      <w:r w:rsidRPr="00E27200">
        <w:rPr>
          <w:rFonts w:asciiTheme="minorHAnsi" w:hAnsiTheme="minorHAnsi" w:cs="Arial"/>
          <w:color w:val="000000"/>
          <w:szCs w:val="22"/>
          <w:lang w:val="en-AU"/>
        </w:rPr>
        <w:t xml:space="preserve"> AMs is operational that Mt Hagen and </w:t>
      </w:r>
      <w:proofErr w:type="spellStart"/>
      <w:r w:rsidRPr="00E27200">
        <w:rPr>
          <w:rFonts w:asciiTheme="minorHAnsi" w:hAnsiTheme="minorHAnsi" w:cs="Arial"/>
          <w:color w:val="000000"/>
          <w:szCs w:val="22"/>
          <w:lang w:val="en-AU"/>
        </w:rPr>
        <w:t>Lae</w:t>
      </w:r>
      <w:proofErr w:type="spellEnd"/>
      <w:r w:rsidRPr="00E27200">
        <w:rPr>
          <w:rFonts w:asciiTheme="minorHAnsi" w:hAnsiTheme="minorHAnsi" w:cs="Arial"/>
          <w:color w:val="000000"/>
          <w:szCs w:val="22"/>
          <w:lang w:val="en-AU"/>
        </w:rPr>
        <w:t xml:space="preserve"> AMS will follow suit before it is rolled out nationally.  </w:t>
      </w:r>
      <w:r w:rsidR="00D83B0F" w:rsidRPr="00E27200">
        <w:rPr>
          <w:rFonts w:asciiTheme="minorHAnsi" w:hAnsiTheme="minorHAnsi" w:cs="Arial"/>
          <w:color w:val="000000"/>
          <w:szCs w:val="22"/>
          <w:lang w:val="en-AU"/>
        </w:rPr>
        <w:t xml:space="preserve">The evaluation team shared concerns that some of the underlying issues with record keeping, human resource capacity and communications observed at </w:t>
      </w:r>
      <w:proofErr w:type="spellStart"/>
      <w:r w:rsidR="00D83B0F" w:rsidRPr="00E27200">
        <w:rPr>
          <w:rFonts w:asciiTheme="minorHAnsi" w:hAnsiTheme="minorHAnsi" w:cs="Arial"/>
          <w:color w:val="000000"/>
          <w:szCs w:val="22"/>
          <w:lang w:val="en-AU"/>
        </w:rPr>
        <w:t>Badili</w:t>
      </w:r>
      <w:proofErr w:type="spellEnd"/>
      <w:r w:rsidR="00D83B0F" w:rsidRPr="00E27200">
        <w:rPr>
          <w:rFonts w:asciiTheme="minorHAnsi" w:hAnsiTheme="minorHAnsi" w:cs="Arial"/>
          <w:color w:val="000000"/>
          <w:szCs w:val="22"/>
          <w:lang w:val="en-AU"/>
        </w:rPr>
        <w:t xml:space="preserve"> (documented elsewhere in this report) may militate against a</w:t>
      </w:r>
      <w:r w:rsidR="00913ABC" w:rsidRPr="00E27200">
        <w:rPr>
          <w:rFonts w:asciiTheme="minorHAnsi" w:hAnsiTheme="minorHAnsi" w:cs="Arial"/>
          <w:color w:val="000000"/>
          <w:szCs w:val="22"/>
          <w:lang w:val="en-AU"/>
        </w:rPr>
        <w:t>n effective pilot of this system</w:t>
      </w:r>
      <w:r w:rsidR="00D83B0F" w:rsidRPr="00E27200">
        <w:rPr>
          <w:rFonts w:asciiTheme="minorHAnsi" w:hAnsiTheme="minorHAnsi" w:cs="Arial"/>
          <w:color w:val="000000"/>
          <w:szCs w:val="22"/>
          <w:lang w:val="en-AU"/>
        </w:rPr>
        <w:t>.</w:t>
      </w:r>
      <w:r w:rsidR="00913ABC" w:rsidRPr="00E27200">
        <w:rPr>
          <w:rFonts w:asciiTheme="minorHAnsi" w:hAnsiTheme="minorHAnsi" w:cs="Arial"/>
          <w:color w:val="000000"/>
          <w:szCs w:val="22"/>
          <w:lang w:val="en-AU"/>
        </w:rPr>
        <w:t xml:space="preserve"> Qualitative observations during this evaluation suggest that there is</w:t>
      </w:r>
      <w:r w:rsidR="0013161F" w:rsidRPr="00E27200">
        <w:rPr>
          <w:rFonts w:asciiTheme="minorHAnsi" w:hAnsiTheme="minorHAnsi" w:cs="Arial"/>
          <w:color w:val="000000"/>
          <w:szCs w:val="22"/>
          <w:lang w:val="en-AU"/>
        </w:rPr>
        <w:t xml:space="preserve"> significant potential in terms of interest, human resources, and current familiarity with computerized stock management in other AMSs – </w:t>
      </w:r>
      <w:proofErr w:type="spellStart"/>
      <w:r w:rsidR="0013161F" w:rsidRPr="00E27200">
        <w:rPr>
          <w:rFonts w:asciiTheme="minorHAnsi" w:hAnsiTheme="minorHAnsi" w:cs="Arial"/>
          <w:color w:val="000000"/>
          <w:szCs w:val="22"/>
          <w:lang w:val="en-AU"/>
        </w:rPr>
        <w:t>Lae</w:t>
      </w:r>
      <w:proofErr w:type="spellEnd"/>
      <w:r w:rsidR="0013161F" w:rsidRPr="00E27200">
        <w:rPr>
          <w:rFonts w:asciiTheme="minorHAnsi" w:hAnsiTheme="minorHAnsi" w:cs="Arial"/>
          <w:color w:val="000000"/>
          <w:szCs w:val="22"/>
          <w:lang w:val="en-AU"/>
        </w:rPr>
        <w:t xml:space="preserve"> and Mt Hagen – and a number of hospitals, including Port Moresby General as well as some provincial and rural hospitals visited during the HF survey. </w:t>
      </w:r>
      <w:r w:rsidR="00913ABC" w:rsidRPr="00E27200">
        <w:rPr>
          <w:rFonts w:asciiTheme="minorHAnsi" w:hAnsiTheme="minorHAnsi" w:cs="Arial"/>
          <w:color w:val="000000"/>
          <w:szCs w:val="22"/>
          <w:lang w:val="en-AU"/>
        </w:rPr>
        <w:t xml:space="preserve"> </w:t>
      </w:r>
      <w:r w:rsidR="0013161F" w:rsidRPr="00E27200">
        <w:rPr>
          <w:rFonts w:asciiTheme="minorHAnsi" w:hAnsiTheme="minorHAnsi" w:cs="Arial"/>
          <w:color w:val="000000"/>
          <w:szCs w:val="22"/>
          <w:lang w:val="en-AU"/>
        </w:rPr>
        <w:t xml:space="preserve">Consideration of more rapid inclusion of these facilities in the </w:t>
      </w:r>
      <w:proofErr w:type="spellStart"/>
      <w:r w:rsidR="0013161F" w:rsidRPr="00E27200">
        <w:rPr>
          <w:rFonts w:asciiTheme="minorHAnsi" w:hAnsiTheme="minorHAnsi" w:cs="Arial"/>
          <w:color w:val="000000"/>
          <w:szCs w:val="22"/>
          <w:lang w:val="en-AU"/>
        </w:rPr>
        <w:t>mSupply</w:t>
      </w:r>
      <w:proofErr w:type="spellEnd"/>
      <w:r w:rsidR="0013161F" w:rsidRPr="00E27200">
        <w:rPr>
          <w:rFonts w:asciiTheme="minorHAnsi" w:hAnsiTheme="minorHAnsi" w:cs="Arial"/>
          <w:color w:val="000000"/>
          <w:szCs w:val="22"/>
          <w:lang w:val="en-AU"/>
        </w:rPr>
        <w:t xml:space="preserve"> pilot may enable successful demonstration in some sites (even if </w:t>
      </w:r>
      <w:proofErr w:type="spellStart"/>
      <w:r w:rsidR="0013161F" w:rsidRPr="00E27200">
        <w:rPr>
          <w:rFonts w:asciiTheme="minorHAnsi" w:hAnsiTheme="minorHAnsi" w:cs="Arial"/>
          <w:color w:val="000000"/>
          <w:szCs w:val="22"/>
          <w:lang w:val="en-AU"/>
        </w:rPr>
        <w:t>Badili</w:t>
      </w:r>
      <w:proofErr w:type="spellEnd"/>
      <w:r w:rsidR="0013161F" w:rsidRPr="00E27200">
        <w:rPr>
          <w:rFonts w:asciiTheme="minorHAnsi" w:hAnsiTheme="minorHAnsi" w:cs="Arial"/>
          <w:color w:val="000000"/>
          <w:szCs w:val="22"/>
          <w:lang w:val="en-AU"/>
        </w:rPr>
        <w:t xml:space="preserve"> upgra</w:t>
      </w:r>
      <w:r w:rsidR="00553448" w:rsidRPr="00E27200">
        <w:rPr>
          <w:rFonts w:asciiTheme="minorHAnsi" w:hAnsiTheme="minorHAnsi" w:cs="Arial"/>
          <w:color w:val="000000"/>
          <w:szCs w:val="22"/>
          <w:lang w:val="en-AU"/>
        </w:rPr>
        <w:t>ding takes longer than planned)</w:t>
      </w:r>
      <w:r w:rsidR="009B58C0">
        <w:rPr>
          <w:rFonts w:asciiTheme="minorHAnsi" w:hAnsiTheme="minorHAnsi" w:cs="Arial"/>
          <w:color w:val="000000"/>
          <w:szCs w:val="22"/>
          <w:lang w:val="en-AU"/>
        </w:rPr>
        <w:t>.</w:t>
      </w:r>
      <w:r w:rsidR="0013161F" w:rsidRPr="00E27200">
        <w:rPr>
          <w:rFonts w:asciiTheme="minorHAnsi" w:hAnsiTheme="minorHAnsi" w:cs="Arial"/>
          <w:color w:val="000000"/>
          <w:szCs w:val="22"/>
          <w:lang w:val="en-AU"/>
        </w:rPr>
        <w:t xml:space="preserve"> </w:t>
      </w:r>
    </w:p>
    <w:p w14:paraId="136182A2" w14:textId="77777777" w:rsidR="00553448" w:rsidRPr="00E27200" w:rsidRDefault="0055344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p>
    <w:p w14:paraId="1EDD3887" w14:textId="41CF708D" w:rsidR="00A97A1F" w:rsidRPr="00E27200" w:rsidRDefault="00553448"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22"/>
          <w:lang w:val="en-AU"/>
        </w:rPr>
      </w:pPr>
      <w:r w:rsidRPr="00E27200">
        <w:rPr>
          <w:rFonts w:asciiTheme="minorHAnsi" w:hAnsiTheme="minorHAnsi" w:cs="Arial"/>
          <w:color w:val="000000"/>
          <w:szCs w:val="22"/>
          <w:lang w:val="en-AU"/>
        </w:rPr>
        <w:t>I</w:t>
      </w:r>
      <w:r w:rsidR="0013161F" w:rsidRPr="00E27200">
        <w:rPr>
          <w:rFonts w:asciiTheme="minorHAnsi" w:hAnsiTheme="minorHAnsi" w:cs="Arial"/>
          <w:color w:val="000000"/>
          <w:szCs w:val="22"/>
          <w:lang w:val="en-AU"/>
        </w:rPr>
        <w:t xml:space="preserve">nclusion of hospitals </w:t>
      </w:r>
      <w:r w:rsidRPr="00E27200">
        <w:rPr>
          <w:rFonts w:asciiTheme="minorHAnsi" w:hAnsiTheme="minorHAnsi" w:cs="Arial"/>
          <w:color w:val="000000"/>
          <w:szCs w:val="22"/>
          <w:lang w:val="en-AU"/>
        </w:rPr>
        <w:t xml:space="preserve">or other HFs in a pilot </w:t>
      </w:r>
      <w:r w:rsidR="0013161F" w:rsidRPr="00E27200">
        <w:rPr>
          <w:rFonts w:asciiTheme="minorHAnsi" w:hAnsiTheme="minorHAnsi" w:cs="Arial"/>
          <w:color w:val="000000"/>
          <w:szCs w:val="22"/>
          <w:lang w:val="en-AU"/>
        </w:rPr>
        <w:t>could more rapidly demonstrate the potential of more timely and reliable HF-to-AMS communications.</w:t>
      </w:r>
      <w:r w:rsidR="005911B1" w:rsidRPr="00E27200">
        <w:rPr>
          <w:rFonts w:asciiTheme="minorHAnsi" w:hAnsiTheme="minorHAnsi" w:cs="Arial"/>
          <w:color w:val="000000"/>
          <w:szCs w:val="22"/>
          <w:lang w:val="en-AU"/>
        </w:rPr>
        <w:t xml:space="preserve"> For future application, i</w:t>
      </w:r>
      <w:r w:rsidRPr="00E27200">
        <w:rPr>
          <w:rFonts w:asciiTheme="minorHAnsi" w:hAnsiTheme="minorHAnsi" w:cs="Arial"/>
          <w:color w:val="000000"/>
          <w:szCs w:val="22"/>
          <w:lang w:val="en-AU"/>
        </w:rPr>
        <w:t xml:space="preserve">t is noted that </w:t>
      </w:r>
      <w:proofErr w:type="spellStart"/>
      <w:r w:rsidRPr="00E27200">
        <w:rPr>
          <w:rFonts w:asciiTheme="minorHAnsi" w:hAnsiTheme="minorHAnsi" w:cs="Arial"/>
          <w:color w:val="000000"/>
          <w:szCs w:val="22"/>
          <w:lang w:val="en-AU"/>
        </w:rPr>
        <w:t>mSupply</w:t>
      </w:r>
      <w:proofErr w:type="spellEnd"/>
      <w:r w:rsidRPr="00E27200">
        <w:rPr>
          <w:rFonts w:asciiTheme="minorHAnsi" w:hAnsiTheme="minorHAnsi" w:cs="Arial"/>
          <w:color w:val="000000"/>
          <w:szCs w:val="22"/>
          <w:lang w:val="en-AU"/>
        </w:rPr>
        <w:t xml:space="preserve"> has mobile phone SMS communication </w:t>
      </w:r>
      <w:r w:rsidR="005911B1" w:rsidRPr="00E27200">
        <w:rPr>
          <w:rFonts w:asciiTheme="minorHAnsi" w:hAnsiTheme="minorHAnsi" w:cs="Arial"/>
          <w:color w:val="000000"/>
          <w:szCs w:val="22"/>
          <w:lang w:val="en-AU"/>
        </w:rPr>
        <w:t>capacity</w:t>
      </w:r>
      <w:r w:rsidRPr="00E27200">
        <w:rPr>
          <w:rFonts w:asciiTheme="minorHAnsi" w:hAnsiTheme="minorHAnsi" w:cs="Arial"/>
          <w:color w:val="000000"/>
          <w:szCs w:val="22"/>
          <w:lang w:val="en-AU"/>
        </w:rPr>
        <w:t xml:space="preserve">, </w:t>
      </w:r>
      <w:r w:rsidR="003E3A2F" w:rsidRPr="00E27200">
        <w:rPr>
          <w:rFonts w:asciiTheme="minorHAnsi" w:hAnsiTheme="minorHAnsi" w:cs="Arial"/>
          <w:color w:val="000000"/>
          <w:szCs w:val="22"/>
          <w:lang w:val="en-AU"/>
        </w:rPr>
        <w:t xml:space="preserve">that it has </w:t>
      </w:r>
      <w:r w:rsidRPr="00E27200">
        <w:rPr>
          <w:rFonts w:asciiTheme="minorHAnsi" w:hAnsiTheme="minorHAnsi" w:cs="Arial"/>
          <w:color w:val="000000"/>
          <w:szCs w:val="22"/>
          <w:lang w:val="en-AU"/>
        </w:rPr>
        <w:t xml:space="preserve">demonstrated the use of </w:t>
      </w:r>
      <w:r w:rsidR="003E3A2F" w:rsidRPr="00E27200">
        <w:rPr>
          <w:rFonts w:asciiTheme="minorHAnsi" w:hAnsiTheme="minorHAnsi" w:cs="Arial"/>
          <w:color w:val="000000"/>
          <w:szCs w:val="22"/>
          <w:lang w:val="en-AU"/>
        </w:rPr>
        <w:t xml:space="preserve">tablet computers accessing </w:t>
      </w:r>
      <w:r w:rsidR="0002333A">
        <w:rPr>
          <w:rFonts w:asciiTheme="minorHAnsi" w:hAnsiTheme="minorHAnsi" w:cs="Arial"/>
          <w:color w:val="000000"/>
          <w:szCs w:val="22"/>
          <w:lang w:val="en-AU"/>
        </w:rPr>
        <w:t>mobile</w:t>
      </w:r>
      <w:r w:rsidR="0002333A" w:rsidRPr="00E27200">
        <w:rPr>
          <w:rFonts w:asciiTheme="minorHAnsi" w:hAnsiTheme="minorHAnsi" w:cs="Arial"/>
          <w:color w:val="000000"/>
          <w:szCs w:val="22"/>
          <w:lang w:val="en-AU"/>
        </w:rPr>
        <w:t xml:space="preserve"> </w:t>
      </w:r>
      <w:r w:rsidR="003E3A2F" w:rsidRPr="00E27200">
        <w:rPr>
          <w:rFonts w:asciiTheme="minorHAnsi" w:hAnsiTheme="minorHAnsi" w:cs="Arial"/>
          <w:color w:val="000000"/>
          <w:szCs w:val="22"/>
          <w:lang w:val="en-AU"/>
        </w:rPr>
        <w:t xml:space="preserve">internet in the Solomon Islands, and </w:t>
      </w:r>
      <w:r w:rsidR="005911B1" w:rsidRPr="00E27200">
        <w:rPr>
          <w:rFonts w:asciiTheme="minorHAnsi" w:hAnsiTheme="minorHAnsi" w:cs="Arial"/>
          <w:color w:val="000000"/>
          <w:szCs w:val="22"/>
          <w:lang w:val="en-AU"/>
        </w:rPr>
        <w:t xml:space="preserve">that </w:t>
      </w:r>
      <w:r w:rsidR="003E3A2F" w:rsidRPr="00E27200">
        <w:rPr>
          <w:rFonts w:asciiTheme="minorHAnsi" w:hAnsiTheme="minorHAnsi" w:cs="Arial"/>
          <w:color w:val="000000"/>
          <w:szCs w:val="22"/>
          <w:lang w:val="en-AU"/>
        </w:rPr>
        <w:t xml:space="preserve">within PNG the </w:t>
      </w:r>
      <w:r w:rsidR="0002333A">
        <w:t>ADB-managed</w:t>
      </w:r>
      <w:r w:rsidR="0002333A" w:rsidRPr="00E27200" w:rsidDel="0002333A">
        <w:rPr>
          <w:rFonts w:asciiTheme="minorHAnsi" w:hAnsiTheme="minorHAnsi" w:cs="Arial"/>
          <w:color w:val="000000"/>
          <w:szCs w:val="22"/>
          <w:lang w:val="en-AU"/>
        </w:rPr>
        <w:t xml:space="preserve"> </w:t>
      </w:r>
      <w:r w:rsidRPr="00E27200">
        <w:rPr>
          <w:rFonts w:asciiTheme="minorHAnsi" w:hAnsiTheme="minorHAnsi" w:cs="Arial"/>
          <w:color w:val="000000"/>
          <w:szCs w:val="22"/>
          <w:lang w:val="en-AU"/>
        </w:rPr>
        <w:t>Rural Primary Health Service Delivery Project</w:t>
      </w:r>
      <w:r w:rsidR="003E3A2F" w:rsidRPr="00E27200">
        <w:rPr>
          <w:rFonts w:asciiTheme="minorHAnsi" w:hAnsiTheme="minorHAnsi" w:cs="Arial"/>
          <w:color w:val="000000"/>
          <w:szCs w:val="22"/>
          <w:lang w:val="en-AU"/>
        </w:rPr>
        <w:t xml:space="preserve"> is testing the role of mobile phones in various health applications.</w:t>
      </w:r>
    </w:p>
    <w:p w14:paraId="27CE44F2" w14:textId="77777777" w:rsidR="00544ADE" w:rsidRPr="00E27200" w:rsidRDefault="00544ADE"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19"/>
          <w:lang w:val="en-AU"/>
        </w:rPr>
      </w:pPr>
    </w:p>
    <w:p w14:paraId="2F37D0B5" w14:textId="77777777" w:rsidR="00AD2330" w:rsidRPr="00E27200" w:rsidRDefault="00AD2330" w:rsidP="00AD2330">
      <w:pPr>
        <w:pStyle w:val="Heading2"/>
      </w:pPr>
      <w:bookmarkStart w:id="95" w:name="_Toc245810751"/>
      <w:r w:rsidRPr="00E27200">
        <w:t xml:space="preserve">Warehousing and medical store </w:t>
      </w:r>
      <w:r w:rsidR="00C7385E" w:rsidRPr="00E27200">
        <w:t>stock management</w:t>
      </w:r>
      <w:bookmarkEnd w:id="95"/>
    </w:p>
    <w:p w14:paraId="0B4E6C99" w14:textId="5EE535C1" w:rsidR="0086114B" w:rsidRPr="00E27200" w:rsidRDefault="0086114B" w:rsidP="0086114B">
      <w:pPr>
        <w:ind w:left="432"/>
        <w:rPr>
          <w:i/>
          <w:lang w:val="en-AU"/>
        </w:rPr>
      </w:pPr>
      <w:r w:rsidRPr="00E27200">
        <w:rPr>
          <w:b/>
          <w:i/>
          <w:lang w:val="en-AU"/>
        </w:rPr>
        <w:t xml:space="preserve">Key finding: </w:t>
      </w:r>
      <w:r w:rsidRPr="00E27200">
        <w:rPr>
          <w:i/>
          <w:lang w:val="en-AU"/>
        </w:rPr>
        <w:t>AMS stocks of essential medicines, measured in this evaluation at 73%</w:t>
      </w:r>
      <w:r w:rsidR="00981E68">
        <w:rPr>
          <w:i/>
          <w:lang w:val="en-AU"/>
        </w:rPr>
        <w:t>,</w:t>
      </w:r>
      <w:r w:rsidRPr="00E27200">
        <w:rPr>
          <w:i/>
          <w:lang w:val="en-AU"/>
        </w:rPr>
        <w:t xml:space="preserve"> is </w:t>
      </w:r>
      <w:r w:rsidR="00C16CD5" w:rsidRPr="00E27200">
        <w:rPr>
          <w:i/>
          <w:lang w:val="en-AU"/>
        </w:rPr>
        <w:t>closer to the NDOH target (90%)</w:t>
      </w:r>
      <w:r w:rsidRPr="00E27200">
        <w:rPr>
          <w:i/>
          <w:lang w:val="en-AU"/>
        </w:rPr>
        <w:t xml:space="preserve"> than other recent estimates, although there are still critical shortages. AMS processes show many areas for potential improvement, especially at </w:t>
      </w:r>
      <w:proofErr w:type="spellStart"/>
      <w:r w:rsidRPr="00E27200">
        <w:rPr>
          <w:i/>
          <w:lang w:val="en-AU"/>
        </w:rPr>
        <w:t>Badili</w:t>
      </w:r>
      <w:proofErr w:type="spellEnd"/>
      <w:r w:rsidRPr="00E27200">
        <w:rPr>
          <w:i/>
          <w:lang w:val="en-AU"/>
        </w:rPr>
        <w:t>, and planned refurbishments should be rolled out as soon as possible, to all stores</w:t>
      </w:r>
      <w:r w:rsidR="00C7385E" w:rsidRPr="00E27200">
        <w:rPr>
          <w:i/>
          <w:lang w:val="en-AU"/>
        </w:rPr>
        <w:t>.</w:t>
      </w:r>
    </w:p>
    <w:p w14:paraId="5AA8EFF0" w14:textId="77777777" w:rsidR="0086114B" w:rsidRPr="00E27200" w:rsidRDefault="0086114B" w:rsidP="0086114B">
      <w:pPr>
        <w:ind w:left="432"/>
        <w:rPr>
          <w:lang w:val="en-AU"/>
        </w:rPr>
      </w:pPr>
    </w:p>
    <w:p w14:paraId="1E09B989" w14:textId="77777777" w:rsidR="00AD2330" w:rsidRPr="00E27200" w:rsidRDefault="00286BD3" w:rsidP="00AD2330">
      <w:pPr>
        <w:pStyle w:val="Heading3"/>
      </w:pPr>
      <w:r w:rsidRPr="00E27200">
        <w:t>Medical store</w:t>
      </w:r>
      <w:r w:rsidR="00AD2330" w:rsidRPr="00E27200">
        <w:t xml:space="preserve"> stock levels</w:t>
      </w:r>
    </w:p>
    <w:p w14:paraId="761F6D18" w14:textId="6F79ADDB" w:rsidR="00AD2330" w:rsidRPr="00E27200" w:rsidRDefault="00AD2330" w:rsidP="00AD2330">
      <w:pPr>
        <w:rPr>
          <w:rFonts w:asciiTheme="minorHAnsi" w:hAnsiTheme="minorHAnsi"/>
          <w:lang w:val="en-AU"/>
        </w:rPr>
      </w:pPr>
      <w:r w:rsidRPr="00E27200">
        <w:rPr>
          <w:rFonts w:asciiTheme="minorHAnsi" w:hAnsiTheme="minorHAnsi"/>
          <w:lang w:val="en-AU"/>
        </w:rPr>
        <w:t xml:space="preserve">In September 2012 </w:t>
      </w:r>
      <w:r w:rsidR="006D4F4F" w:rsidRPr="00E27200">
        <w:rPr>
          <w:rFonts w:asciiTheme="minorHAnsi" w:hAnsiTheme="minorHAnsi"/>
          <w:lang w:val="en-AU"/>
        </w:rPr>
        <w:fldChar w:fldCharType="begin"/>
      </w:r>
      <w:r w:rsidR="0086114B" w:rsidRPr="00E27200">
        <w:rPr>
          <w:rFonts w:asciiTheme="minorHAnsi" w:hAnsiTheme="minorHAnsi"/>
          <w:lang w:val="en-AU"/>
        </w:rPr>
        <w:instrText xml:space="preserve"> ADDIN EN.CITE &lt;EndNote&gt;&lt;Cite&gt;&lt;Author&gt;Health and HIV Implementation Services Provider&lt;/Author&gt;&lt;Year&gt;2012&lt;/Year&gt;&lt;RecNum&gt;55&lt;/RecNum&gt;&lt;DisplayText&gt;[2]&lt;/DisplayText&gt;&lt;record&gt;&lt;rec-number&gt;55&lt;/rec-number&gt;&lt;foreign-keys&gt;&lt;key app="EN" db-id="ex5s0vddkzxdfhese5yvf5vke2ree5azrt5t"&gt;55&lt;/key&gt;&lt;/foreign-keys&gt;&lt;ref-type name="Journal Article"&gt;17&lt;/ref-type&gt;&lt;contributors&gt;&lt;authors&gt;&lt;author&gt;Health and HIV Implementation Services Provider,&lt;/author&gt;&lt;/authors&gt;&lt;/contributors&gt;&lt;titles&gt;&lt;title&gt;Specialist Procurement Adviser Report&lt;/title&gt;&lt;secondary-title&gt;National Department of Health and AusAID&lt;/secondary-title&gt;&lt;/titles&gt;&lt;periodical&gt;&lt;full-title&gt;National Department of Health and AusAID&lt;/full-title&gt;&lt;/periodical&gt;&lt;dates&gt;&lt;year&gt;2012&lt;/year&gt;&lt;pub-dates&gt;&lt;date&gt;December&lt;/date&gt;&lt;/pub-dates&gt;&lt;/dates&gt;&lt;urls&gt;&lt;/urls&gt;&lt;/record&gt;&lt;/Cite&gt;&lt;/EndNote&gt;</w:instrText>
      </w:r>
      <w:r w:rsidR="006D4F4F" w:rsidRPr="00E27200">
        <w:rPr>
          <w:rFonts w:asciiTheme="minorHAnsi" w:hAnsiTheme="minorHAnsi"/>
          <w:lang w:val="en-AU"/>
        </w:rPr>
        <w:fldChar w:fldCharType="separate"/>
      </w:r>
      <w:r w:rsidR="0086114B" w:rsidRPr="00E27200">
        <w:rPr>
          <w:rFonts w:asciiTheme="minorHAnsi" w:hAnsiTheme="minorHAnsi"/>
          <w:noProof/>
          <w:lang w:val="en-AU"/>
        </w:rPr>
        <w:t>[</w:t>
      </w:r>
      <w:hyperlink w:anchor="_ENREF_2" w:tooltip="Health and HIV Implementation Services Provider, 2012 #55" w:history="1">
        <w:r w:rsidR="00E62392" w:rsidRPr="00E27200">
          <w:rPr>
            <w:rFonts w:asciiTheme="minorHAnsi" w:hAnsiTheme="minorHAnsi"/>
            <w:noProof/>
            <w:lang w:val="en-AU"/>
          </w:rPr>
          <w:t>2</w:t>
        </w:r>
      </w:hyperlink>
      <w:r w:rsidR="0086114B" w:rsidRPr="00E27200">
        <w:rPr>
          <w:rFonts w:asciiTheme="minorHAnsi" w:hAnsiTheme="minorHAnsi"/>
          <w:noProof/>
          <w:lang w:val="en-AU"/>
        </w:rPr>
        <w:t>]</w:t>
      </w:r>
      <w:r w:rsidR="006D4F4F" w:rsidRPr="00E27200">
        <w:rPr>
          <w:rFonts w:asciiTheme="minorHAnsi" w:hAnsiTheme="minorHAnsi"/>
          <w:lang w:val="en-AU"/>
        </w:rPr>
        <w:fldChar w:fldCharType="end"/>
      </w:r>
      <w:r w:rsidRPr="00E27200">
        <w:rPr>
          <w:rFonts w:asciiTheme="minorHAnsi" w:hAnsiTheme="minorHAnsi"/>
          <w:lang w:val="en-AU"/>
        </w:rPr>
        <w:t xml:space="preserve"> </w:t>
      </w:r>
      <w:r w:rsidR="0086114B" w:rsidRPr="00E27200">
        <w:rPr>
          <w:rFonts w:asciiTheme="minorHAnsi" w:hAnsiTheme="minorHAnsi"/>
          <w:lang w:val="en-AU"/>
        </w:rPr>
        <w:t>consolidated stock reports of four</w:t>
      </w:r>
      <w:r w:rsidRPr="00E27200">
        <w:rPr>
          <w:rFonts w:asciiTheme="minorHAnsi" w:hAnsiTheme="minorHAnsi"/>
          <w:lang w:val="en-AU"/>
        </w:rPr>
        <w:t xml:space="preserve"> </w:t>
      </w:r>
      <w:r w:rsidR="0086114B" w:rsidRPr="00E27200">
        <w:rPr>
          <w:rFonts w:asciiTheme="minorHAnsi" w:hAnsiTheme="minorHAnsi"/>
          <w:lang w:val="en-AU"/>
        </w:rPr>
        <w:t xml:space="preserve">AMS </w:t>
      </w:r>
      <w:r w:rsidRPr="00E27200">
        <w:rPr>
          <w:rFonts w:asciiTheme="minorHAnsi" w:hAnsiTheme="minorHAnsi"/>
          <w:lang w:val="en-AU"/>
        </w:rPr>
        <w:t>indicated a</w:t>
      </w:r>
      <w:r w:rsidR="0086114B" w:rsidRPr="00E27200">
        <w:rPr>
          <w:rFonts w:asciiTheme="minorHAnsi" w:hAnsiTheme="minorHAnsi"/>
          <w:lang w:val="en-AU"/>
        </w:rPr>
        <w:t>vailability of medicines at 44% (based on a</w:t>
      </w:r>
      <w:r w:rsidR="003A44C2">
        <w:rPr>
          <w:rFonts w:asciiTheme="minorHAnsi" w:hAnsiTheme="minorHAnsi"/>
          <w:lang w:val="en-AU"/>
        </w:rPr>
        <w:t xml:space="preserve"> stock-</w:t>
      </w:r>
      <w:r w:rsidRPr="00E27200">
        <w:rPr>
          <w:rFonts w:asciiTheme="minorHAnsi" w:hAnsiTheme="minorHAnsi"/>
          <w:lang w:val="en-AU"/>
        </w:rPr>
        <w:t>out rate of 56%</w:t>
      </w:r>
      <w:r w:rsidR="00C7385E" w:rsidRPr="00E27200">
        <w:rPr>
          <w:rFonts w:asciiTheme="minorHAnsi" w:hAnsiTheme="minorHAnsi"/>
          <w:lang w:val="en-AU"/>
        </w:rPr>
        <w:t>, with s</w:t>
      </w:r>
      <w:r w:rsidR="00934824">
        <w:rPr>
          <w:rFonts w:asciiTheme="minorHAnsi" w:hAnsiTheme="minorHAnsi"/>
          <w:lang w:val="en-AU"/>
        </w:rPr>
        <w:t>tock-</w:t>
      </w:r>
      <w:r w:rsidRPr="00E27200">
        <w:rPr>
          <w:rFonts w:asciiTheme="minorHAnsi" w:hAnsiTheme="minorHAnsi"/>
          <w:lang w:val="en-AU"/>
        </w:rPr>
        <w:t>outs defined as less than one month stock on hand based on the average monthly issues from MSPD</w:t>
      </w:r>
      <w:r w:rsidR="00D06534" w:rsidRPr="00E27200">
        <w:rPr>
          <w:rFonts w:asciiTheme="minorHAnsi" w:hAnsiTheme="minorHAnsi"/>
          <w:lang w:val="en-AU"/>
        </w:rPr>
        <w:t>)</w:t>
      </w:r>
      <w:r w:rsidRPr="00E27200">
        <w:rPr>
          <w:rFonts w:asciiTheme="minorHAnsi" w:hAnsiTheme="minorHAnsi"/>
          <w:lang w:val="en-AU"/>
        </w:rPr>
        <w:t>.</w:t>
      </w:r>
      <w:r w:rsidR="00D06534" w:rsidRPr="00E27200">
        <w:rPr>
          <w:rFonts w:asciiTheme="minorHAnsi" w:hAnsiTheme="minorHAnsi"/>
          <w:lang w:val="en-AU"/>
        </w:rPr>
        <w:t xml:space="preserve">  Another indicator of availability in this report, buffer stock, measured that 71% of the medicines assessed had less than </w:t>
      </w:r>
      <w:r w:rsidR="00981E68">
        <w:rPr>
          <w:rFonts w:asciiTheme="minorHAnsi" w:hAnsiTheme="minorHAnsi"/>
          <w:lang w:val="en-AU"/>
        </w:rPr>
        <w:t>three</w:t>
      </w:r>
      <w:r w:rsidR="00D06534" w:rsidRPr="00E27200">
        <w:rPr>
          <w:rFonts w:asciiTheme="minorHAnsi" w:hAnsiTheme="minorHAnsi"/>
          <w:lang w:val="en-AU"/>
        </w:rPr>
        <w:t xml:space="preserve"> months cover</w:t>
      </w:r>
      <w:r w:rsidR="002705BF" w:rsidRPr="00E27200">
        <w:rPr>
          <w:rFonts w:asciiTheme="minorHAnsi" w:hAnsiTheme="minorHAnsi"/>
          <w:lang w:val="en-AU"/>
        </w:rPr>
        <w:t xml:space="preserve"> (with the target being more than six months) and that 36% of these had an outstanding purchase order with MSPD.</w:t>
      </w:r>
    </w:p>
    <w:p w14:paraId="2EA937FE" w14:textId="77777777" w:rsidR="002705BF" w:rsidRPr="00E27200" w:rsidRDefault="002705BF" w:rsidP="005510EB">
      <w:pPr>
        <w:rPr>
          <w:rFonts w:asciiTheme="majorHAnsi" w:hAnsiTheme="majorHAnsi"/>
          <w:lang w:val="en-AU"/>
        </w:rPr>
      </w:pPr>
    </w:p>
    <w:p w14:paraId="2CD5D1EF" w14:textId="2FBE66AD" w:rsidR="00B4645C" w:rsidRPr="00E27200" w:rsidRDefault="002705BF" w:rsidP="00BE5436">
      <w:pPr>
        <w:rPr>
          <w:lang w:val="en-AU"/>
        </w:rPr>
      </w:pPr>
      <w:r w:rsidRPr="00E27200">
        <w:rPr>
          <w:rFonts w:asciiTheme="minorHAnsi" w:hAnsiTheme="minorHAnsi"/>
          <w:lang w:val="en-AU"/>
        </w:rPr>
        <w:t xml:space="preserve">The stock availability </w:t>
      </w:r>
      <w:r w:rsidR="00B4645C" w:rsidRPr="00E27200">
        <w:rPr>
          <w:rFonts w:asciiTheme="minorHAnsi" w:hAnsiTheme="minorHAnsi"/>
          <w:lang w:val="en-AU"/>
        </w:rPr>
        <w:t xml:space="preserve">at medical stores was also </w:t>
      </w:r>
      <w:r w:rsidRPr="00E27200">
        <w:rPr>
          <w:rFonts w:asciiTheme="minorHAnsi" w:hAnsiTheme="minorHAnsi"/>
          <w:lang w:val="en-AU"/>
        </w:rPr>
        <w:t xml:space="preserve">measured in our survey. </w:t>
      </w:r>
      <w:r w:rsidR="00B4645C" w:rsidRPr="00E27200">
        <w:rPr>
          <w:lang w:val="en-AU"/>
        </w:rPr>
        <w:t xml:space="preserve">The overall </w:t>
      </w:r>
      <w:r w:rsidR="00B4645C" w:rsidRPr="00E27200">
        <w:rPr>
          <w:u w:val="single"/>
          <w:lang w:val="en-AU"/>
        </w:rPr>
        <w:t>average</w:t>
      </w:r>
      <w:r w:rsidR="00B4645C" w:rsidRPr="00E27200">
        <w:rPr>
          <w:lang w:val="en-AU"/>
        </w:rPr>
        <w:t xml:space="preserve"> availability across the </w:t>
      </w:r>
      <w:r w:rsidR="00981E68">
        <w:rPr>
          <w:lang w:val="en-AU"/>
        </w:rPr>
        <w:t>eight</w:t>
      </w:r>
      <w:r w:rsidR="00B4645C" w:rsidRPr="00E27200">
        <w:rPr>
          <w:lang w:val="en-AU"/>
        </w:rPr>
        <w:t xml:space="preserve"> medical stores was 61% but was 73% when considering just AMS.  This is lower than WHO regional norms 2004 report</w:t>
      </w:r>
      <w:r w:rsidR="006D4F4F" w:rsidRPr="00E27200">
        <w:rPr>
          <w:lang w:val="en-AU"/>
        </w:rPr>
        <w:fldChar w:fldCharType="begin"/>
      </w:r>
      <w:r w:rsidR="00B4645C" w:rsidRPr="00E27200">
        <w:rPr>
          <w:lang w:val="en-AU"/>
        </w:rPr>
        <w:instrText xml:space="preserve"> ADDIN EN.CITE &lt;EndNote&gt;&lt;Cite&gt;&lt;Author&gt;World Health Organization&lt;/Author&gt;&lt;Year&gt;2006&lt;/Year&gt;&lt;RecNum&gt;57&lt;/RecNum&gt;&lt;DisplayText&gt;[7]&lt;/DisplayText&gt;&lt;record&gt;&lt;rec-number&gt;57&lt;/rec-number&gt;&lt;foreign-keys&gt;&lt;key app="EN" db-id="ex5s0vddkzxdfhese5yvf5vke2ree5azrt5t"&gt;57&lt;/key&gt;&lt;/foreign-keys&gt;&lt;ref-type name="Report"&gt;27&lt;/ref-type&gt;&lt;contributors&gt;&lt;authors&gt;&lt;author&gt;World Health Organization,&lt;/author&gt;&lt;/authors&gt;&lt;/contributors&gt;&lt;titles&gt;&lt;title&gt;Using indicators to measure country pharmaceutical situations. Fact Book on WHO Level I and Level II monitoring indicators&lt;/title&gt;&lt;/titles&gt;&lt;number&gt;WHO/TCM/2006.2 &lt;/number&gt;&lt;dates&gt;&lt;year&gt;2006&lt;/year&gt;&lt;/dates&gt;&lt;pub-location&gt;Geneva&lt;/pub-location&gt;&lt;publisher&gt;WHO&lt;/publisher&gt;&lt;urls&gt;&lt;/urls&gt;&lt;/record&gt;&lt;/Cite&gt;&lt;/EndNote&gt;</w:instrText>
      </w:r>
      <w:r w:rsidR="006D4F4F" w:rsidRPr="00E27200">
        <w:rPr>
          <w:lang w:val="en-AU"/>
        </w:rPr>
        <w:fldChar w:fldCharType="separate"/>
      </w:r>
      <w:r w:rsidR="00B4645C" w:rsidRPr="00E27200">
        <w:rPr>
          <w:noProof/>
          <w:lang w:val="en-AU"/>
        </w:rPr>
        <w:t>[</w:t>
      </w:r>
      <w:hyperlink w:anchor="_ENREF_7" w:tooltip="World Health Organization, 2006 #57" w:history="1">
        <w:r w:rsidR="00E62392" w:rsidRPr="00E27200">
          <w:rPr>
            <w:noProof/>
            <w:lang w:val="en-AU"/>
          </w:rPr>
          <w:t>7</w:t>
        </w:r>
      </w:hyperlink>
      <w:r w:rsidR="00B4645C" w:rsidRPr="00E27200">
        <w:rPr>
          <w:noProof/>
          <w:lang w:val="en-AU"/>
        </w:rPr>
        <w:t>]</w:t>
      </w:r>
      <w:r w:rsidR="006D4F4F" w:rsidRPr="00E27200">
        <w:rPr>
          <w:lang w:val="en-AU"/>
        </w:rPr>
        <w:fldChar w:fldCharType="end"/>
      </w:r>
      <w:r w:rsidR="00B4645C" w:rsidRPr="00E27200">
        <w:rPr>
          <w:lang w:val="en-AU"/>
        </w:rPr>
        <w:t xml:space="preserve"> which had an average &gt;80% for basket of essential medicines at public sector warehouses - although the WHO data mainly related to African countries rather than pacific countries. The average availability at AMSs</w:t>
      </w:r>
      <w:r w:rsidR="00A67D1C" w:rsidRPr="00E27200">
        <w:rPr>
          <w:lang w:val="en-AU"/>
        </w:rPr>
        <w:t>, at</w:t>
      </w:r>
      <w:r w:rsidR="00B4645C" w:rsidRPr="00E27200">
        <w:rPr>
          <w:lang w:val="en-AU"/>
        </w:rPr>
        <w:t xml:space="preserve"> 73%, </w:t>
      </w:r>
      <w:r w:rsidR="00A67D1C" w:rsidRPr="00E27200">
        <w:rPr>
          <w:lang w:val="en-AU"/>
        </w:rPr>
        <w:t>is higher than that predicted in by the stock</w:t>
      </w:r>
      <w:r w:rsidR="008A6CFD">
        <w:rPr>
          <w:lang w:val="en-AU"/>
        </w:rPr>
        <w:t>-</w:t>
      </w:r>
      <w:r w:rsidR="00A67D1C" w:rsidRPr="00E27200">
        <w:rPr>
          <w:lang w:val="en-AU"/>
        </w:rPr>
        <w:t xml:space="preserve">out rates from 2012 assessments note above. </w:t>
      </w:r>
      <w:r w:rsidRPr="00E27200">
        <w:rPr>
          <w:rFonts w:asciiTheme="minorHAnsi" w:hAnsiTheme="minorHAnsi"/>
          <w:lang w:val="en-AU"/>
        </w:rPr>
        <w:t>The table below gives an overview across four AMS</w:t>
      </w:r>
      <w:r w:rsidRPr="00E27200">
        <w:rPr>
          <w:rStyle w:val="FootnoteReference"/>
          <w:rFonts w:asciiTheme="minorHAnsi" w:hAnsiTheme="minorHAnsi"/>
          <w:lang w:val="en-AU"/>
        </w:rPr>
        <w:footnoteReference w:id="17"/>
      </w:r>
      <w:r w:rsidRPr="00E27200">
        <w:rPr>
          <w:rFonts w:asciiTheme="minorHAnsi" w:hAnsiTheme="minorHAnsi"/>
          <w:lang w:val="en-AU"/>
        </w:rPr>
        <w:t xml:space="preserve"> and four PTS</w:t>
      </w:r>
      <w:r w:rsidR="00B4645C" w:rsidRPr="00E27200">
        <w:rPr>
          <w:rFonts w:asciiTheme="minorHAnsi" w:hAnsiTheme="minorHAnsi"/>
          <w:lang w:val="en-AU"/>
        </w:rPr>
        <w:t xml:space="preserve">, in terms of warehouse stock availability among the medicines we surveyed. </w:t>
      </w:r>
    </w:p>
    <w:p w14:paraId="21E37C51" w14:textId="77777777" w:rsidR="002705BF" w:rsidRPr="00E27200" w:rsidRDefault="002705BF" w:rsidP="002705BF">
      <w:pPr>
        <w:rPr>
          <w:rFonts w:asciiTheme="minorHAnsi" w:hAnsiTheme="minorHAnsi"/>
          <w:lang w:val="en-AU"/>
        </w:rPr>
      </w:pPr>
    </w:p>
    <w:p w14:paraId="2F24F5A3" w14:textId="7F9AF306" w:rsidR="002705BF" w:rsidRPr="00E27200" w:rsidRDefault="002E785F" w:rsidP="002705BF">
      <w:pPr>
        <w:rPr>
          <w:b/>
          <w:lang w:val="en-AU"/>
        </w:rPr>
      </w:pPr>
      <w:r w:rsidRPr="00E27200">
        <w:rPr>
          <w:b/>
          <w:lang w:val="en-AU"/>
        </w:rPr>
        <w:t xml:space="preserve">Table </w:t>
      </w:r>
      <w:r w:rsidR="006630B4">
        <w:rPr>
          <w:b/>
          <w:lang w:val="en-AU"/>
        </w:rPr>
        <w:t>3</w:t>
      </w:r>
      <w:r w:rsidR="006D6259">
        <w:rPr>
          <w:b/>
          <w:lang w:val="en-AU"/>
        </w:rPr>
        <w:t>: Availability of Stocks a</w:t>
      </w:r>
      <w:r w:rsidR="002705BF" w:rsidRPr="00E27200">
        <w:rPr>
          <w:b/>
          <w:lang w:val="en-AU"/>
        </w:rPr>
        <w:t xml:space="preserve">t Area Medical Store or Provincial Transit </w:t>
      </w:r>
      <w:r w:rsidR="00E27200">
        <w:rPr>
          <w:b/>
          <w:lang w:val="en-AU"/>
        </w:rPr>
        <w:t>Store</w:t>
      </w:r>
    </w:p>
    <w:tbl>
      <w:tblPr>
        <w:tblStyle w:val="TableGrid"/>
        <w:tblW w:w="9072" w:type="dxa"/>
        <w:tblInd w:w="108" w:type="dxa"/>
        <w:tblLook w:val="04A0" w:firstRow="1" w:lastRow="0" w:firstColumn="1" w:lastColumn="0" w:noHBand="0" w:noVBand="1"/>
      </w:tblPr>
      <w:tblGrid>
        <w:gridCol w:w="3544"/>
        <w:gridCol w:w="2693"/>
        <w:gridCol w:w="2835"/>
      </w:tblGrid>
      <w:tr w:rsidR="002705BF" w:rsidRPr="00E27200" w14:paraId="59B7C928" w14:textId="77777777">
        <w:tc>
          <w:tcPr>
            <w:tcW w:w="3544" w:type="dxa"/>
          </w:tcPr>
          <w:p w14:paraId="37F02942" w14:textId="77777777" w:rsidR="002705BF" w:rsidRPr="00E27200" w:rsidRDefault="002705BF" w:rsidP="002705BF">
            <w:pPr>
              <w:jc w:val="center"/>
              <w:rPr>
                <w:lang w:val="en-AU"/>
              </w:rPr>
            </w:pPr>
            <w:r w:rsidRPr="00E27200">
              <w:rPr>
                <w:lang w:val="en-AU"/>
              </w:rPr>
              <w:t>High availability</w:t>
            </w:r>
          </w:p>
          <w:p w14:paraId="136BA7EA" w14:textId="77777777" w:rsidR="002705BF" w:rsidRPr="00E27200" w:rsidRDefault="002705BF" w:rsidP="002705BF">
            <w:pPr>
              <w:jc w:val="center"/>
              <w:rPr>
                <w:lang w:val="en-AU"/>
              </w:rPr>
            </w:pPr>
            <w:r w:rsidRPr="00E27200">
              <w:rPr>
                <w:lang w:val="en-AU"/>
              </w:rPr>
              <w:t xml:space="preserve">(available in </w:t>
            </w:r>
            <w:r w:rsidRPr="00E27200">
              <w:rPr>
                <w:u w:val="single"/>
                <w:lang w:val="en-AU"/>
              </w:rPr>
              <w:t>&gt;</w:t>
            </w:r>
            <w:r w:rsidRPr="00E27200">
              <w:rPr>
                <w:lang w:val="en-AU"/>
              </w:rPr>
              <w:t xml:space="preserve"> 75%  AMSs)</w:t>
            </w:r>
          </w:p>
          <w:p w14:paraId="241574CE" w14:textId="77777777" w:rsidR="002705BF" w:rsidRPr="00E27200" w:rsidRDefault="002705BF" w:rsidP="002705BF">
            <w:pPr>
              <w:jc w:val="center"/>
              <w:rPr>
                <w:lang w:val="en-AU"/>
              </w:rPr>
            </w:pPr>
          </w:p>
        </w:tc>
        <w:tc>
          <w:tcPr>
            <w:tcW w:w="2693" w:type="dxa"/>
          </w:tcPr>
          <w:p w14:paraId="662ED089" w14:textId="77777777" w:rsidR="002705BF" w:rsidRPr="00E27200" w:rsidRDefault="002705BF" w:rsidP="002705BF">
            <w:pPr>
              <w:jc w:val="center"/>
              <w:rPr>
                <w:lang w:val="en-AU"/>
              </w:rPr>
            </w:pPr>
            <w:r w:rsidRPr="00E27200">
              <w:rPr>
                <w:lang w:val="en-AU"/>
              </w:rPr>
              <w:t>Low-Medium availability</w:t>
            </w:r>
          </w:p>
          <w:p w14:paraId="2D02FF79" w14:textId="77777777" w:rsidR="002705BF" w:rsidRPr="00E27200" w:rsidRDefault="002705BF" w:rsidP="002705BF">
            <w:pPr>
              <w:jc w:val="center"/>
              <w:rPr>
                <w:lang w:val="en-AU"/>
              </w:rPr>
            </w:pPr>
            <w:r w:rsidRPr="00E27200">
              <w:rPr>
                <w:lang w:val="en-AU"/>
              </w:rPr>
              <w:t xml:space="preserve">(available in </w:t>
            </w:r>
            <w:r w:rsidRPr="00E27200">
              <w:rPr>
                <w:u w:val="single"/>
                <w:lang w:val="en-AU"/>
              </w:rPr>
              <w:t>&lt;</w:t>
            </w:r>
            <w:r w:rsidRPr="00E27200">
              <w:rPr>
                <w:lang w:val="en-AU"/>
              </w:rPr>
              <w:t>50%  AMSs)</w:t>
            </w:r>
          </w:p>
          <w:p w14:paraId="670F876B" w14:textId="77777777" w:rsidR="002705BF" w:rsidRPr="00E27200" w:rsidRDefault="002705BF" w:rsidP="002705BF">
            <w:pPr>
              <w:jc w:val="center"/>
              <w:rPr>
                <w:lang w:val="en-AU"/>
              </w:rPr>
            </w:pPr>
          </w:p>
        </w:tc>
        <w:tc>
          <w:tcPr>
            <w:tcW w:w="2835" w:type="dxa"/>
          </w:tcPr>
          <w:p w14:paraId="59CAF221" w14:textId="77777777" w:rsidR="002705BF" w:rsidRPr="00E27200" w:rsidRDefault="002705BF" w:rsidP="002705BF">
            <w:pPr>
              <w:jc w:val="center"/>
              <w:rPr>
                <w:lang w:val="en-AU"/>
              </w:rPr>
            </w:pPr>
            <w:r w:rsidRPr="00E27200">
              <w:rPr>
                <w:lang w:val="en-AU"/>
              </w:rPr>
              <w:t>No availability</w:t>
            </w:r>
          </w:p>
        </w:tc>
      </w:tr>
      <w:tr w:rsidR="002705BF" w:rsidRPr="00E27200" w14:paraId="1CDDEF42" w14:textId="77777777">
        <w:tc>
          <w:tcPr>
            <w:tcW w:w="3544" w:type="dxa"/>
          </w:tcPr>
          <w:p w14:paraId="7AACF651" w14:textId="77777777" w:rsidR="002705BF" w:rsidRPr="00E27200" w:rsidRDefault="002705BF" w:rsidP="00AD3F80">
            <w:pPr>
              <w:pStyle w:val="ListParagraph"/>
              <w:numPr>
                <w:ilvl w:val="0"/>
                <w:numId w:val="15"/>
              </w:numPr>
              <w:ind w:left="459"/>
              <w:rPr>
                <w:lang w:val="en-AU"/>
              </w:rPr>
            </w:pPr>
            <w:r w:rsidRPr="00E27200">
              <w:rPr>
                <w:lang w:val="en-AU"/>
              </w:rPr>
              <w:t>Amoxicillin capsules</w:t>
            </w:r>
          </w:p>
          <w:p w14:paraId="58728C1E" w14:textId="77777777" w:rsidR="002705BF" w:rsidRPr="00E27200" w:rsidRDefault="002705BF" w:rsidP="00AD3F80">
            <w:pPr>
              <w:pStyle w:val="ListParagraph"/>
              <w:numPr>
                <w:ilvl w:val="0"/>
                <w:numId w:val="15"/>
              </w:numPr>
              <w:ind w:left="459"/>
              <w:rPr>
                <w:lang w:val="en-AU"/>
              </w:rPr>
            </w:pPr>
            <w:proofErr w:type="spellStart"/>
            <w:r w:rsidRPr="00E27200">
              <w:rPr>
                <w:lang w:val="en-AU"/>
              </w:rPr>
              <w:t>Cotrimoxazole</w:t>
            </w:r>
            <w:proofErr w:type="spellEnd"/>
            <w:r w:rsidRPr="00E27200">
              <w:rPr>
                <w:lang w:val="en-AU"/>
              </w:rPr>
              <w:t xml:space="preserve"> tablets</w:t>
            </w:r>
          </w:p>
          <w:p w14:paraId="3D763D21" w14:textId="77777777" w:rsidR="002705BF" w:rsidRPr="00E27200" w:rsidRDefault="002705BF" w:rsidP="00AD3F80">
            <w:pPr>
              <w:pStyle w:val="ListParagraph"/>
              <w:numPr>
                <w:ilvl w:val="0"/>
                <w:numId w:val="15"/>
              </w:numPr>
              <w:ind w:left="459"/>
              <w:rPr>
                <w:lang w:val="en-AU"/>
              </w:rPr>
            </w:pPr>
            <w:r w:rsidRPr="00E27200">
              <w:rPr>
                <w:lang w:val="en-AU"/>
              </w:rPr>
              <w:t>Fe/folic tablets</w:t>
            </w:r>
          </w:p>
          <w:p w14:paraId="7C13F9D8" w14:textId="77777777" w:rsidR="002705BF" w:rsidRPr="00E27200" w:rsidRDefault="002705BF" w:rsidP="00AD3F80">
            <w:pPr>
              <w:pStyle w:val="ListParagraph"/>
              <w:numPr>
                <w:ilvl w:val="0"/>
                <w:numId w:val="15"/>
              </w:numPr>
              <w:ind w:left="459"/>
              <w:rPr>
                <w:lang w:val="en-AU"/>
              </w:rPr>
            </w:pPr>
            <w:r w:rsidRPr="00E27200">
              <w:rPr>
                <w:lang w:val="en-AU"/>
              </w:rPr>
              <w:t>ORS powder</w:t>
            </w:r>
          </w:p>
          <w:p w14:paraId="2564D206" w14:textId="77777777" w:rsidR="002705BF" w:rsidRPr="00E27200" w:rsidRDefault="002705BF" w:rsidP="00AD3F80">
            <w:pPr>
              <w:pStyle w:val="ListParagraph"/>
              <w:numPr>
                <w:ilvl w:val="0"/>
                <w:numId w:val="15"/>
              </w:numPr>
              <w:ind w:left="459"/>
              <w:rPr>
                <w:lang w:val="en-AU"/>
              </w:rPr>
            </w:pPr>
            <w:r w:rsidRPr="00E27200">
              <w:rPr>
                <w:lang w:val="en-AU"/>
              </w:rPr>
              <w:t>Saline injection</w:t>
            </w:r>
          </w:p>
          <w:p w14:paraId="27DA0214" w14:textId="77777777" w:rsidR="002705BF" w:rsidRPr="00E27200" w:rsidRDefault="002705BF" w:rsidP="00AD3F80">
            <w:pPr>
              <w:pStyle w:val="ListParagraph"/>
              <w:numPr>
                <w:ilvl w:val="0"/>
                <w:numId w:val="15"/>
              </w:numPr>
              <w:ind w:left="459"/>
              <w:rPr>
                <w:lang w:val="en-AU"/>
              </w:rPr>
            </w:pPr>
            <w:r w:rsidRPr="00E27200">
              <w:rPr>
                <w:lang w:val="en-AU"/>
              </w:rPr>
              <w:t>Oxytocin injection</w:t>
            </w:r>
          </w:p>
          <w:p w14:paraId="718E8132" w14:textId="77777777" w:rsidR="002705BF" w:rsidRPr="00E27200" w:rsidRDefault="002705BF" w:rsidP="00AD3F80">
            <w:pPr>
              <w:pStyle w:val="ListParagraph"/>
              <w:numPr>
                <w:ilvl w:val="0"/>
                <w:numId w:val="15"/>
              </w:numPr>
              <w:ind w:left="459"/>
              <w:rPr>
                <w:lang w:val="en-AU"/>
              </w:rPr>
            </w:pPr>
            <w:proofErr w:type="spellStart"/>
            <w:r w:rsidRPr="00E27200">
              <w:rPr>
                <w:lang w:val="en-AU"/>
              </w:rPr>
              <w:t>Medroxyprogesterone</w:t>
            </w:r>
            <w:proofErr w:type="spellEnd"/>
            <w:r w:rsidRPr="00E27200">
              <w:rPr>
                <w:lang w:val="en-AU"/>
              </w:rPr>
              <w:t xml:space="preserve"> injection</w:t>
            </w:r>
          </w:p>
          <w:p w14:paraId="02FF4365" w14:textId="77777777" w:rsidR="002705BF" w:rsidRPr="00E27200" w:rsidRDefault="002705BF" w:rsidP="00AD3F80">
            <w:pPr>
              <w:pStyle w:val="ListParagraph"/>
              <w:numPr>
                <w:ilvl w:val="0"/>
                <w:numId w:val="15"/>
              </w:numPr>
              <w:ind w:left="459"/>
              <w:rPr>
                <w:lang w:val="en-AU"/>
              </w:rPr>
            </w:pPr>
            <w:r w:rsidRPr="00E27200">
              <w:rPr>
                <w:lang w:val="en-AU"/>
              </w:rPr>
              <w:t>Gentamicin injection</w:t>
            </w:r>
          </w:p>
        </w:tc>
        <w:tc>
          <w:tcPr>
            <w:tcW w:w="2693" w:type="dxa"/>
          </w:tcPr>
          <w:p w14:paraId="15C92048" w14:textId="77777777" w:rsidR="002705BF" w:rsidRPr="00E27200" w:rsidRDefault="002705BF" w:rsidP="00AD3F80">
            <w:pPr>
              <w:pStyle w:val="ListParagraph"/>
              <w:numPr>
                <w:ilvl w:val="0"/>
                <w:numId w:val="15"/>
              </w:numPr>
              <w:ind w:left="498"/>
              <w:rPr>
                <w:lang w:val="en-AU"/>
              </w:rPr>
            </w:pPr>
            <w:r w:rsidRPr="00E27200">
              <w:rPr>
                <w:lang w:val="en-AU"/>
              </w:rPr>
              <w:t>Chloramphenicol injection</w:t>
            </w:r>
          </w:p>
          <w:p w14:paraId="5FE8328A" w14:textId="77777777" w:rsidR="002705BF" w:rsidRPr="00E27200" w:rsidRDefault="002705BF" w:rsidP="00AD3F80">
            <w:pPr>
              <w:pStyle w:val="ListParagraph"/>
              <w:numPr>
                <w:ilvl w:val="0"/>
                <w:numId w:val="15"/>
              </w:numPr>
              <w:ind w:left="498"/>
              <w:rPr>
                <w:lang w:val="en-AU"/>
              </w:rPr>
            </w:pPr>
            <w:r w:rsidRPr="00E27200">
              <w:rPr>
                <w:lang w:val="en-AU"/>
              </w:rPr>
              <w:t>Magnesium sulphate injection</w:t>
            </w:r>
          </w:p>
          <w:p w14:paraId="69E7B471" w14:textId="77777777" w:rsidR="002705BF" w:rsidRPr="00E27200" w:rsidRDefault="002705BF" w:rsidP="00AD3F80">
            <w:pPr>
              <w:pStyle w:val="ListParagraph"/>
              <w:numPr>
                <w:ilvl w:val="0"/>
                <w:numId w:val="15"/>
              </w:numPr>
              <w:ind w:left="498"/>
              <w:rPr>
                <w:lang w:val="en-AU"/>
              </w:rPr>
            </w:pPr>
            <w:r w:rsidRPr="00E27200">
              <w:rPr>
                <w:lang w:val="en-AU"/>
              </w:rPr>
              <w:t>ACT</w:t>
            </w:r>
          </w:p>
          <w:p w14:paraId="79024ADC" w14:textId="77777777" w:rsidR="002705BF" w:rsidRPr="00E27200" w:rsidRDefault="002705BF" w:rsidP="002705BF">
            <w:pPr>
              <w:rPr>
                <w:lang w:val="en-AU"/>
              </w:rPr>
            </w:pPr>
          </w:p>
        </w:tc>
        <w:tc>
          <w:tcPr>
            <w:tcW w:w="2835" w:type="dxa"/>
          </w:tcPr>
          <w:p w14:paraId="67FEC4C4" w14:textId="77777777" w:rsidR="002705BF" w:rsidRPr="00E27200" w:rsidRDefault="002705BF" w:rsidP="00AD3F80">
            <w:pPr>
              <w:pStyle w:val="ListParagraph"/>
              <w:numPr>
                <w:ilvl w:val="0"/>
                <w:numId w:val="15"/>
              </w:numPr>
              <w:ind w:left="459"/>
              <w:rPr>
                <w:lang w:val="en-AU"/>
              </w:rPr>
            </w:pPr>
            <w:r w:rsidRPr="00E27200">
              <w:rPr>
                <w:lang w:val="en-AU"/>
              </w:rPr>
              <w:t>Ampicillin injection</w:t>
            </w:r>
          </w:p>
          <w:p w14:paraId="33CF944E" w14:textId="77777777" w:rsidR="002705BF" w:rsidRPr="00E27200" w:rsidRDefault="002705BF" w:rsidP="00AD3F80">
            <w:pPr>
              <w:pStyle w:val="ListParagraph"/>
              <w:numPr>
                <w:ilvl w:val="0"/>
                <w:numId w:val="15"/>
              </w:numPr>
              <w:ind w:left="459"/>
              <w:rPr>
                <w:lang w:val="en-AU"/>
              </w:rPr>
            </w:pPr>
            <w:proofErr w:type="spellStart"/>
            <w:r w:rsidRPr="00E27200">
              <w:rPr>
                <w:lang w:val="en-AU"/>
              </w:rPr>
              <w:t>Artesunate</w:t>
            </w:r>
            <w:proofErr w:type="spellEnd"/>
            <w:r w:rsidRPr="00E27200">
              <w:rPr>
                <w:lang w:val="en-AU"/>
              </w:rPr>
              <w:t xml:space="preserve"> suppository</w:t>
            </w:r>
          </w:p>
          <w:p w14:paraId="3D794CE7" w14:textId="77777777" w:rsidR="002705BF" w:rsidRPr="00E27200" w:rsidRDefault="002705BF" w:rsidP="00AD3F80">
            <w:pPr>
              <w:pStyle w:val="ListParagraph"/>
              <w:numPr>
                <w:ilvl w:val="0"/>
                <w:numId w:val="15"/>
              </w:numPr>
              <w:ind w:left="459"/>
              <w:rPr>
                <w:lang w:val="en-AU"/>
              </w:rPr>
            </w:pPr>
            <w:r w:rsidRPr="00E27200">
              <w:rPr>
                <w:lang w:val="en-AU"/>
              </w:rPr>
              <w:t>Misoprostol tablet*</w:t>
            </w:r>
          </w:p>
          <w:p w14:paraId="71880837" w14:textId="77777777" w:rsidR="002705BF" w:rsidRPr="00E27200" w:rsidRDefault="002705BF" w:rsidP="00AD3F80">
            <w:pPr>
              <w:pStyle w:val="ListParagraph"/>
              <w:numPr>
                <w:ilvl w:val="0"/>
                <w:numId w:val="15"/>
              </w:numPr>
              <w:ind w:left="459"/>
              <w:rPr>
                <w:lang w:val="en-AU"/>
              </w:rPr>
            </w:pPr>
            <w:r w:rsidRPr="00E27200">
              <w:rPr>
                <w:lang w:val="en-AU"/>
              </w:rPr>
              <w:t>Zinc tablets</w:t>
            </w:r>
          </w:p>
          <w:p w14:paraId="0AB01F11" w14:textId="77777777" w:rsidR="002705BF" w:rsidRPr="00E27200" w:rsidRDefault="002705BF" w:rsidP="00AD3F80">
            <w:pPr>
              <w:pStyle w:val="ListParagraph"/>
              <w:numPr>
                <w:ilvl w:val="0"/>
                <w:numId w:val="15"/>
              </w:numPr>
              <w:ind w:left="459"/>
              <w:rPr>
                <w:lang w:val="en-AU"/>
              </w:rPr>
            </w:pPr>
            <w:r w:rsidRPr="00E27200">
              <w:rPr>
                <w:lang w:val="en-AU"/>
              </w:rPr>
              <w:t>Vitamin A</w:t>
            </w:r>
          </w:p>
          <w:p w14:paraId="21A49709" w14:textId="77777777" w:rsidR="002705BF" w:rsidRPr="00E27200" w:rsidRDefault="002705BF" w:rsidP="002705BF">
            <w:pPr>
              <w:ind w:left="-709"/>
              <w:rPr>
                <w:rFonts w:ascii="Tahoma" w:hAnsi="Tahoma"/>
                <w:lang w:val="en-AU"/>
              </w:rPr>
            </w:pPr>
          </w:p>
          <w:p w14:paraId="4242EF2A" w14:textId="77777777" w:rsidR="002705BF" w:rsidRPr="00E27200" w:rsidRDefault="002705BF" w:rsidP="002705BF">
            <w:pPr>
              <w:rPr>
                <w:lang w:val="en-AU"/>
              </w:rPr>
            </w:pPr>
          </w:p>
        </w:tc>
      </w:tr>
    </w:tbl>
    <w:p w14:paraId="09307805" w14:textId="77777777" w:rsidR="002705BF" w:rsidRPr="00E27200" w:rsidRDefault="002705BF" w:rsidP="002705BF">
      <w:pPr>
        <w:rPr>
          <w:sz w:val="16"/>
          <w:szCs w:val="16"/>
          <w:lang w:val="en-AU"/>
        </w:rPr>
      </w:pPr>
      <w:r w:rsidRPr="00E27200">
        <w:rPr>
          <w:sz w:val="16"/>
          <w:szCs w:val="16"/>
          <w:lang w:val="en-AU"/>
        </w:rPr>
        <w:t>*should be available</w:t>
      </w:r>
    </w:p>
    <w:p w14:paraId="2378FE68" w14:textId="77777777" w:rsidR="002705BF" w:rsidRPr="00E27200" w:rsidRDefault="002705BF" w:rsidP="00B4645C">
      <w:pPr>
        <w:rPr>
          <w:sz w:val="16"/>
          <w:szCs w:val="16"/>
          <w:lang w:val="en-AU"/>
        </w:rPr>
      </w:pPr>
    </w:p>
    <w:p w14:paraId="73C4A429" w14:textId="339FD8F0" w:rsidR="002705BF" w:rsidRPr="00E27200" w:rsidRDefault="00B4645C" w:rsidP="00A67D1C">
      <w:pPr>
        <w:rPr>
          <w:sz w:val="16"/>
          <w:szCs w:val="16"/>
          <w:lang w:val="en-AU"/>
        </w:rPr>
      </w:pPr>
      <w:r w:rsidRPr="00E27200">
        <w:rPr>
          <w:lang w:val="en-AU"/>
        </w:rPr>
        <w:t>It should be noted that three of the medicines listed as not available at AMSs (ampicillin, vitamin A and zinc) are not normally procured through ND</w:t>
      </w:r>
      <w:r w:rsidR="00981E68">
        <w:rPr>
          <w:lang w:val="en-AU"/>
        </w:rPr>
        <w:t>O</w:t>
      </w:r>
      <w:r w:rsidRPr="00E27200">
        <w:rPr>
          <w:lang w:val="en-AU"/>
        </w:rPr>
        <w:t xml:space="preserve">H but were assessed in our survey because they are contained in the 100% kits. ACT availability at AMS/PTS </w:t>
      </w:r>
      <w:r w:rsidR="00C16CD5" w:rsidRPr="00E27200">
        <w:rPr>
          <w:lang w:val="en-AU"/>
        </w:rPr>
        <w:t>varies by</w:t>
      </w:r>
      <w:r w:rsidRPr="00E27200">
        <w:rPr>
          <w:lang w:val="en-AU"/>
        </w:rPr>
        <w:t xml:space="preserve"> province</w:t>
      </w:r>
      <w:r w:rsidR="00C16CD5" w:rsidRPr="00E27200">
        <w:rPr>
          <w:lang w:val="en-AU"/>
        </w:rPr>
        <w:t xml:space="preserve"> and estimations of malaria burden</w:t>
      </w:r>
      <w:r w:rsidRPr="00E27200">
        <w:rPr>
          <w:lang w:val="en-AU"/>
        </w:rPr>
        <w:t xml:space="preserve">.  </w:t>
      </w:r>
      <w:r w:rsidR="00A67D1C" w:rsidRPr="00E27200">
        <w:rPr>
          <w:lang w:val="en-AU"/>
        </w:rPr>
        <w:t xml:space="preserve">Annex </w:t>
      </w:r>
      <w:r w:rsidR="00FB03D2">
        <w:rPr>
          <w:lang w:val="en-AU"/>
        </w:rPr>
        <w:t>11</w:t>
      </w:r>
      <w:r w:rsidR="00A67D1C" w:rsidRPr="00E27200">
        <w:rPr>
          <w:lang w:val="en-AU"/>
        </w:rPr>
        <w:t xml:space="preserve">.2 (at section </w:t>
      </w:r>
      <w:r w:rsidR="00FB03D2">
        <w:rPr>
          <w:lang w:val="en-AU"/>
        </w:rPr>
        <w:t>11</w:t>
      </w:r>
      <w:r w:rsidR="00A67D1C" w:rsidRPr="00E27200">
        <w:rPr>
          <w:lang w:val="en-AU"/>
        </w:rPr>
        <w:t xml:space="preserve">.2.5) provides a detailed breakdown of stock levels across the four AMS and four PTS that we surveyed. </w:t>
      </w:r>
    </w:p>
    <w:p w14:paraId="59DAA491" w14:textId="77777777" w:rsidR="00AD2330" w:rsidRPr="00E27200" w:rsidRDefault="00AD2330" w:rsidP="00AD2330">
      <w:pPr>
        <w:rPr>
          <w:rFonts w:asciiTheme="minorHAnsi" w:hAnsiTheme="minorHAnsi" w:cs="Arial"/>
          <w:color w:val="000000"/>
          <w:szCs w:val="22"/>
          <w:lang w:val="en-AU"/>
        </w:rPr>
      </w:pPr>
    </w:p>
    <w:p w14:paraId="33E82944" w14:textId="77777777" w:rsidR="00AD2330" w:rsidRPr="00E27200" w:rsidRDefault="00AD2330" w:rsidP="00AD2330">
      <w:pPr>
        <w:pStyle w:val="Heading3"/>
      </w:pPr>
      <w:r w:rsidRPr="00E27200">
        <w:t xml:space="preserve">AMS </w:t>
      </w:r>
      <w:r w:rsidR="00D44BFB" w:rsidRPr="00E27200">
        <w:t>storage and stock management</w:t>
      </w:r>
    </w:p>
    <w:p w14:paraId="6C83E054" w14:textId="77777777" w:rsidR="002F124D" w:rsidRPr="00E27200" w:rsidRDefault="009920DD" w:rsidP="00BE5436">
      <w:pPr>
        <w:rPr>
          <w:lang w:val="en-AU"/>
        </w:rPr>
      </w:pPr>
      <w:r w:rsidRPr="00E27200">
        <w:rPr>
          <w:lang w:val="en-AU"/>
        </w:rPr>
        <w:t>Overall stor</w:t>
      </w:r>
      <w:r w:rsidR="00C16CD5" w:rsidRPr="00E27200">
        <w:rPr>
          <w:lang w:val="en-AU"/>
        </w:rPr>
        <w:t xml:space="preserve">age conditions at medical store </w:t>
      </w:r>
      <w:r w:rsidRPr="00E27200">
        <w:rPr>
          <w:lang w:val="en-AU"/>
        </w:rPr>
        <w:t xml:space="preserve">were inadequate, with only 53% having proper storage conditions. Storage was better at AMSs compared to PTSs in relation to controlling the ambient internal temperature and having a systematic means of organising and managing the stocks </w:t>
      </w:r>
      <w:r w:rsidR="002E785F" w:rsidRPr="00E27200">
        <w:rPr>
          <w:lang w:val="en-AU"/>
        </w:rPr>
        <w:t>e.g.</w:t>
      </w:r>
      <w:r w:rsidRPr="00E27200">
        <w:rPr>
          <w:lang w:val="en-AU"/>
        </w:rPr>
        <w:t xml:space="preserve"> FEFO. Although most medical stores had a refrigerator only 25% monitored the temperature. </w:t>
      </w:r>
    </w:p>
    <w:p w14:paraId="1A41F36C" w14:textId="77777777" w:rsidR="002F124D" w:rsidRPr="00E27200" w:rsidRDefault="002F124D" w:rsidP="00BE5436">
      <w:pPr>
        <w:rPr>
          <w:lang w:val="en-AU"/>
        </w:rPr>
      </w:pPr>
    </w:p>
    <w:p w14:paraId="6F244847" w14:textId="16523BEB" w:rsidR="002F124D" w:rsidRPr="00E27200" w:rsidRDefault="00C16CD5" w:rsidP="00BE5436">
      <w:pPr>
        <w:rPr>
          <w:rFonts w:asciiTheme="minorHAnsi" w:hAnsiTheme="minorHAnsi" w:cs="Arial"/>
          <w:color w:val="000000"/>
          <w:szCs w:val="22"/>
          <w:lang w:val="en-AU"/>
        </w:rPr>
      </w:pPr>
      <w:r w:rsidRPr="00E27200">
        <w:rPr>
          <w:lang w:val="en-AU"/>
        </w:rPr>
        <w:t xml:space="preserve">Hygiene storage needed improving </w:t>
      </w:r>
      <w:r w:rsidR="009920DD" w:rsidRPr="00E27200">
        <w:rPr>
          <w:rFonts w:asciiTheme="minorHAnsi" w:hAnsiTheme="minorHAnsi" w:cs="Arial"/>
          <w:color w:val="000000"/>
          <w:szCs w:val="22"/>
          <w:lang w:val="en-AU"/>
        </w:rPr>
        <w:t>with only 13% of warehouses storing all medicines off the floor and</w:t>
      </w:r>
      <w:r w:rsidRPr="00E27200">
        <w:rPr>
          <w:rFonts w:asciiTheme="minorHAnsi" w:hAnsiTheme="minorHAnsi" w:cs="Arial"/>
          <w:color w:val="000000"/>
          <w:szCs w:val="22"/>
          <w:lang w:val="en-AU"/>
        </w:rPr>
        <w:t xml:space="preserve"> only</w:t>
      </w:r>
      <w:r w:rsidR="009920DD" w:rsidRPr="00E27200">
        <w:rPr>
          <w:rFonts w:asciiTheme="minorHAnsi" w:hAnsiTheme="minorHAnsi" w:cs="Arial"/>
          <w:color w:val="000000"/>
          <w:szCs w:val="22"/>
          <w:lang w:val="en-AU"/>
        </w:rPr>
        <w:t xml:space="preserve"> 25% that were pest free.</w:t>
      </w:r>
      <w:r w:rsidR="002F124D" w:rsidRPr="00E27200">
        <w:rPr>
          <w:rFonts w:asciiTheme="minorHAnsi" w:hAnsiTheme="minorHAnsi" w:cs="Arial"/>
          <w:color w:val="000000"/>
          <w:szCs w:val="22"/>
          <w:lang w:val="en-AU"/>
        </w:rPr>
        <w:t xml:space="preserve">  </w:t>
      </w:r>
      <w:r w:rsidR="00B076BD" w:rsidRPr="00E27200">
        <w:rPr>
          <w:rFonts w:asciiTheme="minorHAnsi" w:hAnsiTheme="minorHAnsi" w:cs="Arial"/>
          <w:color w:val="000000"/>
          <w:szCs w:val="22"/>
          <w:lang w:val="en-AU"/>
        </w:rPr>
        <w:t xml:space="preserve">Only 13% of the </w:t>
      </w:r>
      <w:r w:rsidR="00981E68">
        <w:rPr>
          <w:rFonts w:asciiTheme="minorHAnsi" w:hAnsiTheme="minorHAnsi" w:cs="Arial"/>
          <w:color w:val="000000"/>
          <w:szCs w:val="22"/>
          <w:lang w:val="en-AU"/>
        </w:rPr>
        <w:t>eight</w:t>
      </w:r>
      <w:r w:rsidR="00B076BD" w:rsidRPr="00E27200">
        <w:rPr>
          <w:rFonts w:asciiTheme="minorHAnsi" w:hAnsiTheme="minorHAnsi" w:cs="Arial"/>
          <w:color w:val="000000"/>
          <w:szCs w:val="22"/>
          <w:lang w:val="en-AU"/>
        </w:rPr>
        <w:t xml:space="preserve"> medical stores surveyed place all their medicines on pallets, 50% managed medicines using first-expiry-first-out method and 38% stored medicines separately from non-medicinal products (</w:t>
      </w:r>
      <w:r w:rsidR="002E785F" w:rsidRPr="00E27200">
        <w:rPr>
          <w:rFonts w:asciiTheme="minorHAnsi" w:hAnsiTheme="minorHAnsi" w:cs="Arial"/>
          <w:color w:val="000000"/>
          <w:szCs w:val="22"/>
          <w:lang w:val="en-AU"/>
        </w:rPr>
        <w:t>e.g.</w:t>
      </w:r>
      <w:r w:rsidR="00B076BD" w:rsidRPr="00E27200">
        <w:rPr>
          <w:rFonts w:asciiTheme="minorHAnsi" w:hAnsiTheme="minorHAnsi" w:cs="Arial"/>
          <w:color w:val="000000"/>
          <w:szCs w:val="22"/>
          <w:lang w:val="en-AU"/>
        </w:rPr>
        <w:t xml:space="preserve"> chemicals). </w:t>
      </w:r>
      <w:r w:rsidR="002F124D" w:rsidRPr="00E27200">
        <w:rPr>
          <w:rFonts w:asciiTheme="minorHAnsi" w:hAnsiTheme="minorHAnsi" w:cs="Arial"/>
          <w:color w:val="000000"/>
          <w:szCs w:val="22"/>
          <w:lang w:val="en-AU"/>
        </w:rPr>
        <w:t>In many stores, these practices were</w:t>
      </w:r>
      <w:r w:rsidR="00B076BD" w:rsidRPr="00E27200">
        <w:rPr>
          <w:rFonts w:asciiTheme="minorHAnsi" w:hAnsiTheme="minorHAnsi" w:cs="Arial"/>
          <w:color w:val="000000"/>
          <w:szCs w:val="22"/>
          <w:lang w:val="en-AU"/>
        </w:rPr>
        <w:t xml:space="preserve"> a side effect of having inadequate storage space for efficient storage and workflow for receipt, </w:t>
      </w:r>
      <w:r w:rsidR="00B076BD" w:rsidRPr="00E27200">
        <w:rPr>
          <w:rFonts w:asciiTheme="minorHAnsi" w:hAnsiTheme="minorHAnsi" w:cs="Arial"/>
          <w:color w:val="000000"/>
          <w:szCs w:val="22"/>
          <w:lang w:val="en-AU"/>
        </w:rPr>
        <w:lastRenderedPageBreak/>
        <w:t xml:space="preserve">processing and delivery of supplies. </w:t>
      </w:r>
      <w:r w:rsidR="00470C68" w:rsidRPr="00E27200">
        <w:rPr>
          <w:rFonts w:asciiTheme="minorHAnsi" w:hAnsiTheme="minorHAnsi" w:cs="Arial"/>
          <w:color w:val="000000"/>
          <w:szCs w:val="22"/>
          <w:lang w:val="en-AU"/>
        </w:rPr>
        <w:t>Additional detail of survey findings</w:t>
      </w:r>
      <w:r w:rsidR="00F47410" w:rsidRPr="00E27200">
        <w:rPr>
          <w:rFonts w:asciiTheme="minorHAnsi" w:hAnsiTheme="minorHAnsi" w:cs="Arial"/>
          <w:color w:val="000000"/>
          <w:szCs w:val="22"/>
          <w:lang w:val="en-AU"/>
        </w:rPr>
        <w:t xml:space="preserve"> on storage and handling in </w:t>
      </w:r>
      <w:r w:rsidR="001E47CB" w:rsidRPr="00E27200">
        <w:rPr>
          <w:rFonts w:asciiTheme="minorHAnsi" w:hAnsiTheme="minorHAnsi" w:cs="Arial"/>
          <w:color w:val="000000"/>
          <w:szCs w:val="22"/>
          <w:lang w:val="en-AU"/>
        </w:rPr>
        <w:t>medical stores</w:t>
      </w:r>
      <w:r w:rsidR="00470C68" w:rsidRPr="00E27200">
        <w:rPr>
          <w:rFonts w:asciiTheme="minorHAnsi" w:hAnsiTheme="minorHAnsi" w:cs="Arial"/>
          <w:color w:val="000000"/>
          <w:szCs w:val="22"/>
          <w:lang w:val="en-AU"/>
        </w:rPr>
        <w:t xml:space="preserve"> is in Annex </w:t>
      </w:r>
      <w:r w:rsidR="00F923B5">
        <w:rPr>
          <w:rFonts w:asciiTheme="minorHAnsi" w:hAnsiTheme="minorHAnsi" w:cs="Arial"/>
          <w:color w:val="000000"/>
          <w:szCs w:val="22"/>
          <w:lang w:val="en-AU"/>
        </w:rPr>
        <w:t>11</w:t>
      </w:r>
      <w:r w:rsidR="00470C68" w:rsidRPr="00E27200">
        <w:rPr>
          <w:rFonts w:asciiTheme="minorHAnsi" w:hAnsiTheme="minorHAnsi" w:cs="Arial"/>
          <w:color w:val="000000"/>
          <w:szCs w:val="22"/>
          <w:lang w:val="en-AU"/>
        </w:rPr>
        <w:t>.2</w:t>
      </w:r>
      <w:r w:rsidR="00F47410" w:rsidRPr="00E27200">
        <w:rPr>
          <w:rFonts w:asciiTheme="minorHAnsi" w:hAnsiTheme="minorHAnsi" w:cs="Arial"/>
          <w:color w:val="000000"/>
          <w:szCs w:val="22"/>
          <w:lang w:val="en-AU"/>
        </w:rPr>
        <w:t xml:space="preserve">, Section </w:t>
      </w:r>
      <w:r w:rsidR="00F923B5">
        <w:rPr>
          <w:rFonts w:asciiTheme="minorHAnsi" w:hAnsiTheme="minorHAnsi" w:cs="Arial"/>
          <w:color w:val="000000"/>
          <w:szCs w:val="22"/>
          <w:lang w:val="en-AU"/>
        </w:rPr>
        <w:t>11</w:t>
      </w:r>
      <w:r w:rsidR="00F47410" w:rsidRPr="00E27200">
        <w:rPr>
          <w:rFonts w:asciiTheme="minorHAnsi" w:hAnsiTheme="minorHAnsi" w:cs="Arial"/>
          <w:color w:val="000000"/>
          <w:szCs w:val="22"/>
          <w:lang w:val="en-AU"/>
        </w:rPr>
        <w:t>.2.13</w:t>
      </w:r>
      <w:r w:rsidR="00470C68" w:rsidRPr="00E27200">
        <w:rPr>
          <w:rFonts w:asciiTheme="minorHAnsi" w:hAnsiTheme="minorHAnsi" w:cs="Arial"/>
          <w:color w:val="000000"/>
          <w:szCs w:val="22"/>
          <w:lang w:val="en-AU"/>
        </w:rPr>
        <w:t>.</w:t>
      </w:r>
    </w:p>
    <w:p w14:paraId="5DF5C806" w14:textId="77777777" w:rsidR="002F124D" w:rsidRPr="00E27200" w:rsidRDefault="002F124D" w:rsidP="00BE5436">
      <w:pPr>
        <w:rPr>
          <w:rFonts w:asciiTheme="minorHAnsi" w:hAnsiTheme="minorHAnsi" w:cs="Arial"/>
          <w:color w:val="000000"/>
          <w:szCs w:val="22"/>
          <w:lang w:val="en-AU"/>
        </w:rPr>
      </w:pPr>
    </w:p>
    <w:p w14:paraId="39076E50" w14:textId="5D515568" w:rsidR="00B076BD" w:rsidRPr="00E27200" w:rsidRDefault="002F124D" w:rsidP="00BE5436">
      <w:pPr>
        <w:rPr>
          <w:rFonts w:asciiTheme="minorHAnsi" w:hAnsiTheme="minorHAnsi" w:cs="Arial"/>
          <w:color w:val="000000"/>
          <w:szCs w:val="22"/>
          <w:lang w:val="en-AU"/>
        </w:rPr>
      </w:pPr>
      <w:r w:rsidRPr="00E27200">
        <w:rPr>
          <w:rFonts w:asciiTheme="minorHAnsi" w:hAnsiTheme="minorHAnsi" w:cs="Arial"/>
          <w:color w:val="000000"/>
          <w:szCs w:val="22"/>
          <w:lang w:val="en-AU"/>
        </w:rPr>
        <w:t xml:space="preserve">Several informants mentioned the potential benefits of greater flexibility in funds </w:t>
      </w:r>
      <w:r w:rsidR="00000CCD" w:rsidRPr="00E27200">
        <w:rPr>
          <w:rFonts w:asciiTheme="minorHAnsi" w:hAnsiTheme="minorHAnsi" w:cs="Arial"/>
          <w:color w:val="000000"/>
          <w:szCs w:val="22"/>
          <w:lang w:val="en-AU"/>
        </w:rPr>
        <w:t>allocation</w:t>
      </w:r>
      <w:r w:rsidRPr="00E27200">
        <w:rPr>
          <w:rFonts w:asciiTheme="minorHAnsi" w:hAnsiTheme="minorHAnsi" w:cs="Arial"/>
          <w:color w:val="000000"/>
          <w:szCs w:val="22"/>
          <w:lang w:val="en-AU"/>
        </w:rPr>
        <w:t xml:space="preserve">.  </w:t>
      </w:r>
      <w:proofErr w:type="spellStart"/>
      <w:r w:rsidR="00000CCD" w:rsidRPr="00E27200">
        <w:rPr>
          <w:rFonts w:asciiTheme="minorHAnsi" w:hAnsiTheme="minorHAnsi" w:cs="Arial"/>
          <w:color w:val="000000"/>
          <w:szCs w:val="22"/>
          <w:lang w:val="en-AU"/>
        </w:rPr>
        <w:t>Badili</w:t>
      </w:r>
      <w:proofErr w:type="spellEnd"/>
      <w:r w:rsidR="00000CCD" w:rsidRPr="00E27200">
        <w:rPr>
          <w:rFonts w:asciiTheme="minorHAnsi" w:hAnsiTheme="minorHAnsi" w:cs="Arial"/>
          <w:color w:val="000000"/>
          <w:szCs w:val="22"/>
          <w:lang w:val="en-AU"/>
        </w:rPr>
        <w:t xml:space="preserve"> AMS has been prioritized, however it is clear in this evaluation that all three AMS need </w:t>
      </w:r>
      <w:r w:rsidR="002E785F" w:rsidRPr="00E27200">
        <w:rPr>
          <w:rFonts w:asciiTheme="minorHAnsi" w:hAnsiTheme="minorHAnsi" w:cs="Arial"/>
          <w:color w:val="000000"/>
          <w:szCs w:val="22"/>
          <w:lang w:val="en-AU"/>
        </w:rPr>
        <w:t>refurbishment</w:t>
      </w:r>
      <w:r w:rsidR="00000CCD" w:rsidRPr="00E27200">
        <w:rPr>
          <w:rFonts w:asciiTheme="minorHAnsi" w:hAnsiTheme="minorHAnsi" w:cs="Arial"/>
          <w:color w:val="000000"/>
          <w:szCs w:val="22"/>
          <w:lang w:val="en-AU"/>
        </w:rPr>
        <w:t xml:space="preserve">, and that both </w:t>
      </w:r>
      <w:proofErr w:type="spellStart"/>
      <w:r w:rsidR="00000CCD" w:rsidRPr="00E27200">
        <w:rPr>
          <w:rFonts w:asciiTheme="minorHAnsi" w:hAnsiTheme="minorHAnsi" w:cs="Arial"/>
          <w:color w:val="000000"/>
          <w:szCs w:val="22"/>
          <w:lang w:val="en-AU"/>
        </w:rPr>
        <w:t>Lae</w:t>
      </w:r>
      <w:proofErr w:type="spellEnd"/>
      <w:r w:rsidR="00000CCD" w:rsidRPr="00E27200">
        <w:rPr>
          <w:rFonts w:asciiTheme="minorHAnsi" w:hAnsiTheme="minorHAnsi" w:cs="Arial"/>
          <w:color w:val="000000"/>
          <w:szCs w:val="22"/>
          <w:lang w:val="en-AU"/>
        </w:rPr>
        <w:t xml:space="preserve"> and Mt Hagen are well placed to absorb this support. </w:t>
      </w:r>
      <w:r w:rsidR="00B076BD" w:rsidRPr="00E27200">
        <w:rPr>
          <w:rFonts w:asciiTheme="minorHAnsi" w:hAnsiTheme="minorHAnsi" w:cs="Arial"/>
          <w:color w:val="000000"/>
          <w:szCs w:val="22"/>
          <w:lang w:val="en-AU"/>
        </w:rPr>
        <w:t xml:space="preserve">AMS </w:t>
      </w:r>
      <w:proofErr w:type="spellStart"/>
      <w:r w:rsidR="00B076BD" w:rsidRPr="00E27200">
        <w:rPr>
          <w:rFonts w:asciiTheme="minorHAnsi" w:hAnsiTheme="minorHAnsi" w:cs="Arial"/>
          <w:color w:val="000000"/>
          <w:szCs w:val="22"/>
          <w:lang w:val="en-AU"/>
        </w:rPr>
        <w:t>Lae</w:t>
      </w:r>
      <w:proofErr w:type="spellEnd"/>
      <w:r w:rsidR="00B076BD" w:rsidRPr="00E27200">
        <w:rPr>
          <w:rFonts w:asciiTheme="minorHAnsi" w:hAnsiTheme="minorHAnsi" w:cs="Arial"/>
          <w:color w:val="000000"/>
          <w:szCs w:val="22"/>
          <w:lang w:val="en-AU"/>
        </w:rPr>
        <w:t xml:space="preserve"> had been preparing for this refurbishment, having begun negotiations for renting a warehouse in the ‘</w:t>
      </w:r>
      <w:proofErr w:type="spellStart"/>
      <w:r w:rsidR="00B076BD" w:rsidRPr="00E27200">
        <w:rPr>
          <w:rFonts w:asciiTheme="minorHAnsi" w:hAnsiTheme="minorHAnsi" w:cs="Arial"/>
          <w:color w:val="000000"/>
          <w:szCs w:val="22"/>
          <w:lang w:val="en-AU"/>
        </w:rPr>
        <w:t>Malahang</w:t>
      </w:r>
      <w:proofErr w:type="spellEnd"/>
      <w:r w:rsidR="00B076BD" w:rsidRPr="00E27200">
        <w:rPr>
          <w:rFonts w:asciiTheme="minorHAnsi" w:hAnsiTheme="minorHAnsi" w:cs="Arial"/>
          <w:color w:val="000000"/>
          <w:szCs w:val="22"/>
          <w:lang w:val="en-AU"/>
        </w:rPr>
        <w:t xml:space="preserve">’ area to store the supplies during refurbishment. Current refurbishment plans for three AMSs will not see them fully functional </w:t>
      </w:r>
      <w:r w:rsidR="00000CCD" w:rsidRPr="00E27200">
        <w:rPr>
          <w:rFonts w:asciiTheme="minorHAnsi" w:hAnsiTheme="minorHAnsi" w:cs="Arial"/>
          <w:color w:val="000000"/>
          <w:szCs w:val="22"/>
          <w:lang w:val="en-AU"/>
        </w:rPr>
        <w:t>un</w:t>
      </w:r>
      <w:r w:rsidR="00B076BD" w:rsidRPr="00E27200">
        <w:rPr>
          <w:rFonts w:asciiTheme="minorHAnsi" w:hAnsiTheme="minorHAnsi" w:cs="Arial"/>
          <w:color w:val="000000"/>
          <w:szCs w:val="22"/>
          <w:lang w:val="en-AU"/>
        </w:rPr>
        <w:t xml:space="preserve">til the end of 2014 and without inventory control from the </w:t>
      </w:r>
      <w:proofErr w:type="spellStart"/>
      <w:r w:rsidR="00B076BD" w:rsidRPr="00E27200">
        <w:rPr>
          <w:rFonts w:asciiTheme="minorHAnsi" w:hAnsiTheme="minorHAnsi" w:cs="Arial"/>
          <w:color w:val="000000"/>
          <w:szCs w:val="22"/>
          <w:lang w:val="en-AU"/>
        </w:rPr>
        <w:t>eLMIS</w:t>
      </w:r>
      <w:proofErr w:type="spellEnd"/>
      <w:r w:rsidR="00B076BD" w:rsidRPr="00E27200">
        <w:rPr>
          <w:rFonts w:asciiTheme="minorHAnsi" w:hAnsiTheme="minorHAnsi" w:cs="Arial"/>
          <w:color w:val="000000"/>
          <w:szCs w:val="22"/>
          <w:lang w:val="en-AU"/>
        </w:rPr>
        <w:t xml:space="preserve"> </w:t>
      </w:r>
      <w:r w:rsidR="00896685">
        <w:rPr>
          <w:rFonts w:asciiTheme="minorHAnsi" w:hAnsiTheme="minorHAnsi" w:cs="Arial"/>
          <w:color w:val="000000"/>
          <w:szCs w:val="22"/>
          <w:lang w:val="en-AU"/>
        </w:rPr>
        <w:t>un</w:t>
      </w:r>
      <w:r w:rsidR="00B076BD" w:rsidRPr="00E27200">
        <w:rPr>
          <w:rFonts w:asciiTheme="minorHAnsi" w:hAnsiTheme="minorHAnsi" w:cs="Arial"/>
          <w:color w:val="000000"/>
          <w:szCs w:val="22"/>
          <w:lang w:val="en-AU"/>
        </w:rPr>
        <w:t>til after these refurbishment are complete (although purchasing and receipting functionalities will be working at this time).</w:t>
      </w:r>
    </w:p>
    <w:p w14:paraId="6D1FCE9F" w14:textId="77777777" w:rsidR="00B076BD" w:rsidRPr="00E27200" w:rsidRDefault="00B076BD" w:rsidP="00BE5436">
      <w:pPr>
        <w:rPr>
          <w:rFonts w:asciiTheme="minorHAnsi" w:hAnsiTheme="minorHAnsi" w:cs="Arial"/>
          <w:color w:val="000000"/>
          <w:szCs w:val="22"/>
          <w:lang w:val="en-AU"/>
        </w:rPr>
      </w:pPr>
    </w:p>
    <w:p w14:paraId="7846A89D" w14:textId="77777777" w:rsidR="00000CCD" w:rsidRPr="00E27200" w:rsidRDefault="00000CCD" w:rsidP="00BE5436">
      <w:pPr>
        <w:rPr>
          <w:rFonts w:asciiTheme="minorHAnsi" w:hAnsiTheme="minorHAnsi" w:cs="Arial"/>
          <w:color w:val="000000"/>
          <w:szCs w:val="22"/>
          <w:lang w:val="en-AU"/>
        </w:rPr>
      </w:pPr>
      <w:r w:rsidRPr="00E27200">
        <w:rPr>
          <w:rFonts w:asciiTheme="minorHAnsi" w:hAnsiTheme="minorHAnsi" w:cs="Arial"/>
          <w:color w:val="000000"/>
          <w:szCs w:val="22"/>
          <w:lang w:val="en-AU"/>
        </w:rPr>
        <w:t xml:space="preserve">It is true that, after a comprehensive assessment in </w:t>
      </w:r>
      <w:proofErr w:type="spellStart"/>
      <w:r w:rsidRPr="00E27200">
        <w:rPr>
          <w:rFonts w:asciiTheme="minorHAnsi" w:hAnsiTheme="minorHAnsi" w:cs="Arial"/>
          <w:color w:val="000000"/>
          <w:szCs w:val="22"/>
          <w:lang w:val="en-AU"/>
        </w:rPr>
        <w:t>Badili</w:t>
      </w:r>
      <w:proofErr w:type="spellEnd"/>
      <w:r w:rsidRPr="00E27200">
        <w:rPr>
          <w:rFonts w:asciiTheme="minorHAnsi" w:hAnsiTheme="minorHAnsi" w:cs="Arial"/>
          <w:color w:val="000000"/>
          <w:szCs w:val="22"/>
          <w:lang w:val="en-AU"/>
        </w:rPr>
        <w:t xml:space="preserve">, it is obvious that </w:t>
      </w:r>
      <w:r w:rsidR="00410850">
        <w:rPr>
          <w:rFonts w:asciiTheme="minorHAnsi" w:hAnsiTheme="minorHAnsi" w:cs="Arial"/>
          <w:color w:val="000000"/>
          <w:szCs w:val="22"/>
          <w:lang w:val="en-AU"/>
        </w:rPr>
        <w:t xml:space="preserve">more support will be needed, </w:t>
      </w:r>
      <w:r w:rsidRPr="00E27200">
        <w:rPr>
          <w:rFonts w:asciiTheme="minorHAnsi" w:hAnsiTheme="minorHAnsi" w:cs="Arial"/>
          <w:color w:val="000000"/>
          <w:szCs w:val="22"/>
          <w:lang w:val="en-AU"/>
        </w:rPr>
        <w:t xml:space="preserve">greater detail is available in the Warehouse and Logistics Advisor exit report (July 2013).  This report recommends both infrastructure and functional development at </w:t>
      </w:r>
      <w:proofErr w:type="spellStart"/>
      <w:r w:rsidRPr="00E27200">
        <w:rPr>
          <w:rFonts w:asciiTheme="minorHAnsi" w:hAnsiTheme="minorHAnsi" w:cs="Arial"/>
          <w:color w:val="000000"/>
          <w:szCs w:val="22"/>
          <w:lang w:val="en-AU"/>
        </w:rPr>
        <w:t>Badili</w:t>
      </w:r>
      <w:proofErr w:type="spellEnd"/>
      <w:r w:rsidRPr="00E27200">
        <w:rPr>
          <w:rFonts w:asciiTheme="minorHAnsi" w:hAnsiTheme="minorHAnsi" w:cs="Arial"/>
          <w:color w:val="000000"/>
          <w:szCs w:val="22"/>
          <w:lang w:val="en-AU"/>
        </w:rPr>
        <w:t xml:space="preserve">, noting </w:t>
      </w:r>
      <w:r w:rsidR="002E785F" w:rsidRPr="00E27200">
        <w:rPr>
          <w:rFonts w:asciiTheme="minorHAnsi" w:hAnsiTheme="minorHAnsi" w:cs="Arial"/>
          <w:color w:val="000000"/>
          <w:szCs w:val="22"/>
          <w:lang w:val="en-AU"/>
        </w:rPr>
        <w:t>that:</w:t>
      </w:r>
    </w:p>
    <w:p w14:paraId="49BF7CCE" w14:textId="77777777" w:rsidR="00A87093" w:rsidRPr="00E27200" w:rsidRDefault="00A87093" w:rsidP="00BE5436">
      <w:pPr>
        <w:ind w:left="720" w:right="521"/>
        <w:rPr>
          <w:rFonts w:asciiTheme="minorHAnsi" w:hAnsiTheme="minorHAnsi" w:cs="Arial"/>
          <w:color w:val="000000"/>
          <w:szCs w:val="22"/>
          <w:lang w:val="en-AU"/>
        </w:rPr>
      </w:pPr>
      <w:r w:rsidRPr="00E27200">
        <w:rPr>
          <w:rFonts w:asciiTheme="minorHAnsi" w:hAnsiTheme="minorHAnsi" w:cs="Arial"/>
          <w:color w:val="000000"/>
          <w:szCs w:val="22"/>
          <w:lang w:val="en-AU"/>
        </w:rPr>
        <w:t>‘</w:t>
      </w:r>
      <w:r w:rsidRPr="00E27200">
        <w:rPr>
          <w:rFonts w:asciiTheme="minorHAnsi" w:hAnsiTheme="minorHAnsi" w:cs="Arial"/>
          <w:i/>
          <w:color w:val="000000"/>
          <w:szCs w:val="22"/>
          <w:lang w:val="en-AU"/>
        </w:rPr>
        <w:t xml:space="preserve">the current organizational structure of the </w:t>
      </w:r>
      <w:proofErr w:type="spellStart"/>
      <w:r w:rsidRPr="00E27200">
        <w:rPr>
          <w:rFonts w:asciiTheme="minorHAnsi" w:hAnsiTheme="minorHAnsi" w:cs="Arial"/>
          <w:i/>
          <w:color w:val="000000"/>
          <w:szCs w:val="22"/>
          <w:lang w:val="en-AU"/>
        </w:rPr>
        <w:t>Badili</w:t>
      </w:r>
      <w:proofErr w:type="spellEnd"/>
      <w:r w:rsidRPr="00E27200">
        <w:rPr>
          <w:rFonts w:asciiTheme="minorHAnsi" w:hAnsiTheme="minorHAnsi" w:cs="Arial"/>
          <w:i/>
          <w:color w:val="000000"/>
          <w:szCs w:val="22"/>
          <w:lang w:val="en-AU"/>
        </w:rPr>
        <w:t xml:space="preserve"> AMS does not reflect the basic functions performed within a warehouse, e.g. receiving, dispatch and inventory control’ and …’the existing inventory control system is effectively non-functional.  Stock balances are incorrect and most issue and receipt transactions go unrecorded.  Any inventory usage information able to be obtained from this system is virtually useless’.</w:t>
      </w:r>
    </w:p>
    <w:p w14:paraId="5223C8B8" w14:textId="77777777" w:rsidR="0017446E" w:rsidRPr="00E27200" w:rsidRDefault="0017446E" w:rsidP="00BE5436">
      <w:pPr>
        <w:rPr>
          <w:rFonts w:asciiTheme="minorHAnsi" w:hAnsiTheme="minorHAnsi" w:cs="Arial"/>
          <w:color w:val="000000"/>
          <w:szCs w:val="22"/>
          <w:lang w:val="en-AU"/>
        </w:rPr>
      </w:pPr>
    </w:p>
    <w:p w14:paraId="41D82B89" w14:textId="6B8A106B" w:rsidR="00AD2330" w:rsidRPr="00E27200" w:rsidRDefault="00A87093" w:rsidP="00BE5436">
      <w:pPr>
        <w:rPr>
          <w:rFonts w:asciiTheme="minorHAnsi" w:hAnsiTheme="minorHAnsi" w:cs="Arial"/>
          <w:color w:val="000000"/>
          <w:szCs w:val="19"/>
          <w:lang w:val="en-AU"/>
        </w:rPr>
      </w:pPr>
      <w:r w:rsidRPr="00E27200">
        <w:rPr>
          <w:rFonts w:asciiTheme="minorHAnsi" w:hAnsiTheme="minorHAnsi" w:cs="Arial"/>
          <w:color w:val="000000"/>
          <w:szCs w:val="22"/>
          <w:lang w:val="en-AU"/>
        </w:rPr>
        <w:t xml:space="preserve">Other stores, including other AMSs visited, also noted problems at </w:t>
      </w:r>
      <w:proofErr w:type="spellStart"/>
      <w:r w:rsidR="00000CCD" w:rsidRPr="00E27200">
        <w:rPr>
          <w:rFonts w:asciiTheme="minorHAnsi" w:hAnsiTheme="minorHAnsi" w:cs="Arial"/>
          <w:color w:val="000000"/>
          <w:szCs w:val="22"/>
          <w:lang w:val="en-AU"/>
        </w:rPr>
        <w:t>Badi</w:t>
      </w:r>
      <w:r w:rsidRPr="00E27200">
        <w:rPr>
          <w:rFonts w:asciiTheme="minorHAnsi" w:hAnsiTheme="minorHAnsi" w:cs="Arial"/>
          <w:color w:val="000000"/>
          <w:szCs w:val="22"/>
          <w:lang w:val="en-AU"/>
        </w:rPr>
        <w:t>li</w:t>
      </w:r>
      <w:proofErr w:type="spellEnd"/>
      <w:r w:rsidRPr="00E27200">
        <w:rPr>
          <w:rFonts w:asciiTheme="minorHAnsi" w:hAnsiTheme="minorHAnsi" w:cs="Arial"/>
          <w:color w:val="000000"/>
          <w:szCs w:val="22"/>
          <w:lang w:val="en-AU"/>
        </w:rPr>
        <w:t xml:space="preserve"> AMS: citing</w:t>
      </w:r>
      <w:r w:rsidR="00000CCD" w:rsidRPr="00E27200">
        <w:rPr>
          <w:rFonts w:asciiTheme="minorHAnsi" w:hAnsiTheme="minorHAnsi" w:cs="Arial"/>
          <w:color w:val="000000"/>
          <w:szCs w:val="22"/>
          <w:lang w:val="en-AU"/>
        </w:rPr>
        <w:t xml:space="preserve"> lack of capacity, cooperation and communication</w:t>
      </w:r>
      <w:r w:rsidRPr="00E27200">
        <w:rPr>
          <w:rFonts w:asciiTheme="minorHAnsi" w:hAnsiTheme="minorHAnsi" w:cs="Arial"/>
          <w:color w:val="000000"/>
          <w:szCs w:val="22"/>
          <w:lang w:val="en-AU"/>
        </w:rPr>
        <w:t xml:space="preserve"> that means, </w:t>
      </w:r>
      <w:r w:rsidR="0017446E" w:rsidRPr="00E27200">
        <w:rPr>
          <w:rFonts w:asciiTheme="minorHAnsi" w:hAnsiTheme="minorHAnsi" w:cs="Arial"/>
          <w:color w:val="000000"/>
          <w:szCs w:val="22"/>
          <w:lang w:val="en-AU"/>
        </w:rPr>
        <w:t xml:space="preserve">in effect, that </w:t>
      </w:r>
      <w:r w:rsidRPr="00E27200">
        <w:rPr>
          <w:rFonts w:asciiTheme="minorHAnsi" w:hAnsiTheme="minorHAnsi" w:cs="Arial"/>
          <w:color w:val="000000"/>
          <w:szCs w:val="22"/>
          <w:lang w:val="en-AU"/>
        </w:rPr>
        <w:t>inter-store transfers of supplies</w:t>
      </w:r>
      <w:r w:rsidR="0017446E" w:rsidRPr="00E27200">
        <w:rPr>
          <w:rFonts w:asciiTheme="minorHAnsi" w:hAnsiTheme="minorHAnsi" w:cs="Arial"/>
          <w:color w:val="000000"/>
          <w:szCs w:val="22"/>
          <w:lang w:val="en-AU"/>
        </w:rPr>
        <w:t xml:space="preserve"> to meet exceptional needs, cannot</w:t>
      </w:r>
      <w:r w:rsidRPr="00E27200">
        <w:rPr>
          <w:rFonts w:asciiTheme="minorHAnsi" w:hAnsiTheme="minorHAnsi" w:cs="Arial"/>
          <w:color w:val="000000"/>
          <w:szCs w:val="22"/>
          <w:lang w:val="en-AU"/>
        </w:rPr>
        <w:t xml:space="preserve"> normally include </w:t>
      </w:r>
      <w:proofErr w:type="spellStart"/>
      <w:r w:rsidR="00000CCD" w:rsidRPr="00E27200">
        <w:rPr>
          <w:rFonts w:asciiTheme="minorHAnsi" w:hAnsiTheme="minorHAnsi" w:cs="Arial"/>
          <w:color w:val="000000"/>
          <w:szCs w:val="22"/>
          <w:lang w:val="en-AU"/>
        </w:rPr>
        <w:t>Badili</w:t>
      </w:r>
      <w:proofErr w:type="spellEnd"/>
      <w:r w:rsidR="00000CCD" w:rsidRPr="00E27200">
        <w:rPr>
          <w:rFonts w:asciiTheme="minorHAnsi" w:hAnsiTheme="minorHAnsi" w:cs="Arial"/>
          <w:color w:val="000000"/>
          <w:szCs w:val="22"/>
          <w:lang w:val="en-AU"/>
        </w:rPr>
        <w:t>.</w:t>
      </w:r>
      <w:r w:rsidR="0017446E" w:rsidRPr="00E27200">
        <w:rPr>
          <w:rFonts w:asciiTheme="minorHAnsi" w:hAnsiTheme="minorHAnsi" w:cs="Arial"/>
          <w:i/>
          <w:color w:val="000000"/>
          <w:szCs w:val="22"/>
          <w:lang w:val="en-AU"/>
        </w:rPr>
        <w:t xml:space="preserve">  </w:t>
      </w:r>
      <w:r w:rsidR="0017446E" w:rsidRPr="00E27200">
        <w:rPr>
          <w:rFonts w:asciiTheme="minorHAnsi" w:hAnsiTheme="minorHAnsi" w:cs="Arial"/>
          <w:color w:val="000000"/>
          <w:szCs w:val="19"/>
          <w:lang w:val="en-AU"/>
        </w:rPr>
        <w:t xml:space="preserve">Another functional deficiency noted at this AMS was the absence of </w:t>
      </w:r>
      <w:r w:rsidR="00AD2330" w:rsidRPr="00E27200">
        <w:rPr>
          <w:rFonts w:asciiTheme="minorHAnsi" w:hAnsiTheme="minorHAnsi" w:cs="Arial"/>
          <w:color w:val="000000"/>
          <w:szCs w:val="19"/>
          <w:lang w:val="en-AU"/>
        </w:rPr>
        <w:t>forward planning to anticipate surges or drops of demand</w:t>
      </w:r>
      <w:r w:rsidR="0017446E" w:rsidRPr="00E27200">
        <w:rPr>
          <w:rFonts w:asciiTheme="minorHAnsi" w:hAnsiTheme="minorHAnsi" w:cs="Arial"/>
          <w:color w:val="000000"/>
          <w:szCs w:val="19"/>
          <w:lang w:val="en-AU"/>
        </w:rPr>
        <w:t xml:space="preserve">, resulting in a frequent use of </w:t>
      </w:r>
      <w:r w:rsidR="00AD2330" w:rsidRPr="00E27200">
        <w:rPr>
          <w:rFonts w:asciiTheme="minorHAnsi" w:hAnsiTheme="minorHAnsi" w:cs="Arial"/>
          <w:color w:val="000000"/>
          <w:szCs w:val="19"/>
          <w:lang w:val="en-AU"/>
        </w:rPr>
        <w:t xml:space="preserve">emergency ordering from the NDOH </w:t>
      </w:r>
      <w:r w:rsidR="0017446E" w:rsidRPr="00E27200">
        <w:rPr>
          <w:rFonts w:asciiTheme="minorHAnsi" w:hAnsiTheme="minorHAnsi" w:cs="Arial"/>
          <w:color w:val="000000"/>
          <w:szCs w:val="19"/>
          <w:lang w:val="en-AU"/>
        </w:rPr>
        <w:t>(as discussed above) to maintain stock levels</w:t>
      </w:r>
      <w:r w:rsidR="00AD2330" w:rsidRPr="00E27200">
        <w:rPr>
          <w:rFonts w:asciiTheme="minorHAnsi" w:hAnsiTheme="minorHAnsi" w:cs="Arial"/>
          <w:color w:val="000000"/>
          <w:szCs w:val="19"/>
          <w:lang w:val="en-AU"/>
        </w:rPr>
        <w:t xml:space="preserve">.  </w:t>
      </w:r>
      <w:r w:rsidR="001E47CB" w:rsidRPr="00E27200">
        <w:rPr>
          <w:rFonts w:asciiTheme="minorHAnsi" w:hAnsiTheme="minorHAnsi" w:cs="Arial"/>
          <w:color w:val="000000"/>
          <w:szCs w:val="22"/>
          <w:lang w:val="en-AU"/>
        </w:rPr>
        <w:t xml:space="preserve">This evaluation visit found no functional </w:t>
      </w:r>
      <w:r w:rsidR="001E47CB" w:rsidRPr="00E27200">
        <w:rPr>
          <w:rFonts w:asciiTheme="minorHAnsi" w:hAnsiTheme="minorHAnsi" w:cs="Arial"/>
          <w:color w:val="000000"/>
          <w:szCs w:val="19"/>
          <w:lang w:val="en-AU"/>
        </w:rPr>
        <w:t xml:space="preserve">stock records were found in </w:t>
      </w:r>
      <w:proofErr w:type="spellStart"/>
      <w:r w:rsidR="001E47CB" w:rsidRPr="00E27200">
        <w:rPr>
          <w:rFonts w:asciiTheme="minorHAnsi" w:hAnsiTheme="minorHAnsi" w:cs="Arial"/>
          <w:color w:val="000000"/>
          <w:szCs w:val="19"/>
          <w:lang w:val="en-AU"/>
        </w:rPr>
        <w:t>Badili</w:t>
      </w:r>
      <w:proofErr w:type="spellEnd"/>
      <w:r w:rsidR="001E47CB" w:rsidRPr="00E27200">
        <w:rPr>
          <w:rFonts w:asciiTheme="minorHAnsi" w:hAnsiTheme="minorHAnsi" w:cs="Arial"/>
          <w:color w:val="000000"/>
          <w:szCs w:val="19"/>
          <w:lang w:val="en-AU"/>
        </w:rPr>
        <w:t xml:space="preserve"> AMS, and difficulties in paper or computer systems for this function in other AMS – indicative of the abse</w:t>
      </w:r>
      <w:r w:rsidR="001C28AB">
        <w:rPr>
          <w:rFonts w:asciiTheme="minorHAnsi" w:hAnsiTheme="minorHAnsi" w:cs="Arial"/>
          <w:color w:val="000000"/>
          <w:szCs w:val="19"/>
          <w:lang w:val="en-AU"/>
        </w:rPr>
        <w:t>nce of a culture of using stock-</w:t>
      </w:r>
      <w:r w:rsidR="001E47CB" w:rsidRPr="00E27200">
        <w:rPr>
          <w:rFonts w:asciiTheme="minorHAnsi" w:hAnsiTheme="minorHAnsi" w:cs="Arial"/>
          <w:color w:val="000000"/>
          <w:szCs w:val="19"/>
          <w:lang w:val="en-AU"/>
        </w:rPr>
        <w:t xml:space="preserve">cards, or similar tools to routinely monitor stock controls, with the exception of some vertical program stock managers whose supplies are physically held in an AMS. AMS managers do report spot physical counts being done, and the triggering of emergency supply requests when orders are unable to be filled due to no stock being present. </w:t>
      </w:r>
    </w:p>
    <w:p w14:paraId="1D0B07CE" w14:textId="77777777" w:rsidR="00AD2330" w:rsidRPr="00E27200" w:rsidRDefault="00AD2330" w:rsidP="00BE5436">
      <w:pPr>
        <w:ind w:right="-46"/>
        <w:rPr>
          <w:lang w:val="en-AU"/>
        </w:rPr>
      </w:pPr>
    </w:p>
    <w:p w14:paraId="4B3725EE" w14:textId="7B9C030C" w:rsidR="00000CCD" w:rsidRPr="00E27200" w:rsidRDefault="000E5963" w:rsidP="00BE5436">
      <w:pPr>
        <w:ind w:right="-46"/>
        <w:rPr>
          <w:lang w:val="en-AU"/>
        </w:rPr>
      </w:pPr>
      <w:r w:rsidRPr="00E27200">
        <w:rPr>
          <w:lang w:val="en-AU"/>
        </w:rPr>
        <w:t xml:space="preserve">Dysfunctional stock monitoring, matched with difficulties in quantification in national procurement is likely to lead to wastage. In the past there have been reports of significant amounts of expired medicines held at AMS, for example an informal study by a pharmacist who estimated </w:t>
      </w:r>
      <w:r w:rsidRPr="00E27200">
        <w:rPr>
          <w:rFonts w:asciiTheme="minorHAnsi" w:hAnsiTheme="minorHAnsi" w:cstheme="minorBidi"/>
          <w:szCs w:val="22"/>
          <w:lang w:val="en-AU"/>
        </w:rPr>
        <w:t>the total value of expired items to be 2.2, 1.6 and 0.9 million PGK respectively</w:t>
      </w:r>
      <w:r w:rsidRPr="00E27200">
        <w:rPr>
          <w:lang w:val="en-AU"/>
        </w:rPr>
        <w:t xml:space="preserve"> in </w:t>
      </w:r>
      <w:proofErr w:type="spellStart"/>
      <w:r w:rsidRPr="00E27200">
        <w:rPr>
          <w:rFonts w:asciiTheme="minorHAnsi" w:hAnsiTheme="minorHAnsi" w:cstheme="minorBidi"/>
          <w:szCs w:val="22"/>
          <w:lang w:val="en-AU"/>
        </w:rPr>
        <w:t>Badili</w:t>
      </w:r>
      <w:proofErr w:type="spellEnd"/>
      <w:r w:rsidRPr="00E27200">
        <w:rPr>
          <w:rFonts w:asciiTheme="minorHAnsi" w:hAnsiTheme="minorHAnsi" w:cstheme="minorBidi"/>
          <w:szCs w:val="22"/>
          <w:lang w:val="en-AU"/>
        </w:rPr>
        <w:t xml:space="preserve">, </w:t>
      </w:r>
      <w:proofErr w:type="spellStart"/>
      <w:r w:rsidRPr="00E27200">
        <w:rPr>
          <w:rFonts w:asciiTheme="minorHAnsi" w:hAnsiTheme="minorHAnsi" w:cstheme="minorBidi"/>
          <w:szCs w:val="22"/>
          <w:lang w:val="en-AU"/>
        </w:rPr>
        <w:t>Lae</w:t>
      </w:r>
      <w:proofErr w:type="spellEnd"/>
      <w:r w:rsidRPr="00E27200">
        <w:rPr>
          <w:rFonts w:asciiTheme="minorHAnsi" w:hAnsiTheme="minorHAnsi" w:cstheme="minorBidi"/>
          <w:szCs w:val="22"/>
          <w:lang w:val="en-AU"/>
        </w:rPr>
        <w:t xml:space="preserve"> and Hagen AMS during 2010. Qualitative data reported</w:t>
      </w:r>
      <w:r w:rsidRPr="00E27200">
        <w:rPr>
          <w:lang w:val="en-AU"/>
        </w:rPr>
        <w:t xml:space="preserve"> </w:t>
      </w:r>
      <w:r w:rsidR="00000CCD" w:rsidRPr="00E27200">
        <w:rPr>
          <w:lang w:val="en-AU"/>
        </w:rPr>
        <w:t xml:space="preserve">AMS </w:t>
      </w:r>
      <w:proofErr w:type="spellStart"/>
      <w:r w:rsidR="00000CCD" w:rsidRPr="00E27200">
        <w:rPr>
          <w:lang w:val="en-AU"/>
        </w:rPr>
        <w:t>Lae</w:t>
      </w:r>
      <w:proofErr w:type="spellEnd"/>
      <w:r w:rsidR="00000CCD" w:rsidRPr="00E27200">
        <w:rPr>
          <w:lang w:val="en-AU"/>
        </w:rPr>
        <w:t xml:space="preserve"> </w:t>
      </w:r>
      <w:r w:rsidRPr="00E27200">
        <w:rPr>
          <w:lang w:val="en-AU"/>
        </w:rPr>
        <w:t xml:space="preserve">as </w:t>
      </w:r>
      <w:r w:rsidR="00000CCD" w:rsidRPr="00E27200">
        <w:rPr>
          <w:lang w:val="en-AU"/>
        </w:rPr>
        <w:t xml:space="preserve">receiving expired stock from Hagen, </w:t>
      </w:r>
      <w:proofErr w:type="spellStart"/>
      <w:r w:rsidR="00000CCD" w:rsidRPr="00E27200">
        <w:rPr>
          <w:lang w:val="en-AU"/>
        </w:rPr>
        <w:t>Madang</w:t>
      </w:r>
      <w:proofErr w:type="spellEnd"/>
      <w:r w:rsidR="00000CCD" w:rsidRPr="00E27200">
        <w:rPr>
          <w:lang w:val="en-AU"/>
        </w:rPr>
        <w:t xml:space="preserve"> and Wewak AMS for disposal. Currently AMS </w:t>
      </w:r>
      <w:proofErr w:type="spellStart"/>
      <w:r w:rsidR="00000CCD" w:rsidRPr="00E27200">
        <w:rPr>
          <w:lang w:val="en-AU"/>
        </w:rPr>
        <w:t>Lae</w:t>
      </w:r>
      <w:proofErr w:type="spellEnd"/>
      <w:r w:rsidR="00000CCD" w:rsidRPr="00E27200">
        <w:rPr>
          <w:lang w:val="en-AU"/>
        </w:rPr>
        <w:t xml:space="preserve"> is </w:t>
      </w:r>
      <w:r w:rsidRPr="00E27200">
        <w:rPr>
          <w:lang w:val="en-AU"/>
        </w:rPr>
        <w:t xml:space="preserve">seeking to </w:t>
      </w:r>
      <w:r w:rsidR="00000CCD" w:rsidRPr="00E27200">
        <w:rPr>
          <w:lang w:val="en-AU"/>
        </w:rPr>
        <w:t>dispose of 24 pallets of waste, which will be by burning in a pit by altern</w:t>
      </w:r>
      <w:r w:rsidRPr="00E27200">
        <w:rPr>
          <w:lang w:val="en-AU"/>
        </w:rPr>
        <w:t xml:space="preserve">ating layers of </w:t>
      </w:r>
      <w:r w:rsidR="004A61AE">
        <w:rPr>
          <w:lang w:val="en-AU"/>
        </w:rPr>
        <w:t>medicines</w:t>
      </w:r>
      <w:r w:rsidRPr="00E27200">
        <w:rPr>
          <w:lang w:val="en-AU"/>
        </w:rPr>
        <w:t xml:space="preserve"> and tyres </w:t>
      </w:r>
      <w:r w:rsidR="00000CCD" w:rsidRPr="00E27200">
        <w:rPr>
          <w:lang w:val="en-AU"/>
        </w:rPr>
        <w:t xml:space="preserve">in </w:t>
      </w:r>
      <w:r w:rsidRPr="00E27200">
        <w:rPr>
          <w:lang w:val="en-AU"/>
        </w:rPr>
        <w:t xml:space="preserve">a </w:t>
      </w:r>
      <w:r w:rsidR="00000CCD" w:rsidRPr="00E27200">
        <w:rPr>
          <w:lang w:val="en-AU"/>
        </w:rPr>
        <w:t>public disposal area.</w:t>
      </w:r>
      <w:r w:rsidRPr="00E27200">
        <w:rPr>
          <w:lang w:val="en-AU"/>
        </w:rPr>
        <w:t xml:space="preserve"> In our survey (see details in </w:t>
      </w:r>
      <w:r w:rsidR="00D44BFB" w:rsidRPr="00E27200">
        <w:rPr>
          <w:lang w:val="en-AU"/>
        </w:rPr>
        <w:t xml:space="preserve">Annex </w:t>
      </w:r>
      <w:r w:rsidR="004A61AE">
        <w:rPr>
          <w:lang w:val="en-AU"/>
        </w:rPr>
        <w:t>11</w:t>
      </w:r>
      <w:r w:rsidR="00D44BFB" w:rsidRPr="00E27200">
        <w:rPr>
          <w:lang w:val="en-AU"/>
        </w:rPr>
        <w:t>.2) we found</w:t>
      </w:r>
      <w:r w:rsidR="00000CCD" w:rsidRPr="00E27200">
        <w:rPr>
          <w:lang w:val="en-AU"/>
        </w:rPr>
        <w:t xml:space="preserve"> </w:t>
      </w:r>
      <w:r w:rsidR="00D44BFB" w:rsidRPr="00E27200">
        <w:rPr>
          <w:lang w:val="en-AU"/>
        </w:rPr>
        <w:t>11% of stock measured in the survey in PTS was expired (noting in two PTS, some or all of the ORS held was due to expire in two months), but found no expired stock in AMS.  Our survey coincided with annual stock-takes being done in all AMSs, so expired medicines may have been removed from shelves shortly before the survey.</w:t>
      </w:r>
    </w:p>
    <w:p w14:paraId="1DB6E8DD" w14:textId="77777777" w:rsidR="009C1C90" w:rsidRPr="00E27200" w:rsidRDefault="009C1C90" w:rsidP="00BE5436">
      <w:pPr>
        <w:ind w:right="-472"/>
        <w:rPr>
          <w:lang w:val="en-AU"/>
        </w:rPr>
      </w:pPr>
    </w:p>
    <w:p w14:paraId="0D10321E" w14:textId="33CD9925" w:rsidR="00000CCD" w:rsidRPr="00E27200" w:rsidRDefault="009C1C90" w:rsidP="00BE5436">
      <w:pPr>
        <w:ind w:right="-46"/>
        <w:rPr>
          <w:lang w:val="en-AU"/>
        </w:rPr>
      </w:pPr>
      <w:r w:rsidRPr="00E27200">
        <w:rPr>
          <w:lang w:val="en-AU"/>
        </w:rPr>
        <w:t xml:space="preserve">A table of observed practices in all eight stores visited is provided in Annex </w:t>
      </w:r>
      <w:r w:rsidR="008C6ED4">
        <w:rPr>
          <w:lang w:val="en-AU"/>
        </w:rPr>
        <w:t>11</w:t>
      </w:r>
      <w:r w:rsidRPr="00E27200">
        <w:rPr>
          <w:lang w:val="en-AU"/>
        </w:rPr>
        <w:t>.2, Section</w:t>
      </w:r>
      <w:r w:rsidR="0055582A" w:rsidRPr="00E27200">
        <w:rPr>
          <w:lang w:val="en-AU"/>
        </w:rPr>
        <w:t xml:space="preserve"> </w:t>
      </w:r>
      <w:r w:rsidR="008C6ED4">
        <w:rPr>
          <w:lang w:val="en-AU"/>
        </w:rPr>
        <w:t>11</w:t>
      </w:r>
      <w:r w:rsidR="0055582A" w:rsidRPr="00E27200">
        <w:rPr>
          <w:lang w:val="en-AU"/>
        </w:rPr>
        <w:t>.2.14, along with a consolidated list of the qualitative findings on AMS managers’ views on areas for improvement in medical supplies management (much of which is incorporated at various points in the main section of this evaluation report).</w:t>
      </w:r>
    </w:p>
    <w:p w14:paraId="415F557B" w14:textId="77777777" w:rsidR="00AD2330" w:rsidRPr="00E27200" w:rsidRDefault="00AD2330" w:rsidP="00E16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19"/>
          <w:lang w:val="en-AU"/>
        </w:rPr>
      </w:pPr>
    </w:p>
    <w:p w14:paraId="015F2C73" w14:textId="77777777" w:rsidR="0090131E" w:rsidRPr="00E27200" w:rsidRDefault="0090131E" w:rsidP="00306AA2">
      <w:pPr>
        <w:pStyle w:val="Heading2"/>
      </w:pPr>
      <w:bookmarkStart w:id="96" w:name="_Toc245810752"/>
      <w:r w:rsidRPr="00E27200">
        <w:lastRenderedPageBreak/>
        <w:t>Distribution practices and communications</w:t>
      </w:r>
      <w:r w:rsidR="00495BAA" w:rsidRPr="00E27200">
        <w:t xml:space="preserve">, in ‘pull’ </w:t>
      </w:r>
      <w:r w:rsidR="00476EBD" w:rsidRPr="00E27200">
        <w:t xml:space="preserve">and ‘push’ </w:t>
      </w:r>
      <w:r w:rsidR="00495BAA" w:rsidRPr="00E27200">
        <w:t>system</w:t>
      </w:r>
      <w:r w:rsidR="00476EBD" w:rsidRPr="00E27200">
        <w:t>s</w:t>
      </w:r>
      <w:bookmarkEnd w:id="96"/>
    </w:p>
    <w:p w14:paraId="3B38E64F" w14:textId="427AEAAE" w:rsidR="00FA7981" w:rsidRPr="00D223FD" w:rsidRDefault="00FA7981" w:rsidP="00FA7981">
      <w:pPr>
        <w:ind w:left="432"/>
        <w:rPr>
          <w:i/>
          <w:iCs/>
          <w:spacing w:val="-4"/>
          <w:szCs w:val="22"/>
          <w:lang w:val="en-AU"/>
        </w:rPr>
      </w:pPr>
      <w:r w:rsidRPr="00D223FD">
        <w:rPr>
          <w:b/>
          <w:i/>
          <w:iCs/>
          <w:spacing w:val="-4"/>
          <w:szCs w:val="22"/>
          <w:lang w:val="en-AU"/>
        </w:rPr>
        <w:t xml:space="preserve">Key finding: </w:t>
      </w:r>
      <w:r w:rsidR="00C606FB" w:rsidRPr="00D223FD">
        <w:rPr>
          <w:i/>
          <w:iCs/>
          <w:spacing w:val="-4"/>
          <w:szCs w:val="22"/>
          <w:lang w:val="en-AU"/>
        </w:rPr>
        <w:t xml:space="preserve">There were frequent reports of failed delivery in the ‘pull’ systems between AMS and HF, especially to remote facilities, although records to quantify this are lacking. AMS order processing and timeliness of delivery in the ‘pull’ system also received criticism from managers and HF staff, especially at </w:t>
      </w:r>
      <w:proofErr w:type="spellStart"/>
      <w:r w:rsidR="00C606FB" w:rsidRPr="00D223FD">
        <w:rPr>
          <w:i/>
          <w:iCs/>
          <w:spacing w:val="-4"/>
          <w:szCs w:val="22"/>
          <w:lang w:val="en-AU"/>
        </w:rPr>
        <w:t>Badili</w:t>
      </w:r>
      <w:proofErr w:type="spellEnd"/>
      <w:r w:rsidR="00C606FB" w:rsidRPr="00D223FD">
        <w:rPr>
          <w:i/>
          <w:iCs/>
          <w:spacing w:val="-4"/>
          <w:szCs w:val="22"/>
          <w:lang w:val="en-AU"/>
        </w:rPr>
        <w:t xml:space="preserve"> AMS, and our evaluation measured some baselines in relation to this. In the ‘push’ system delivery data (more accessible but still incomplete) suggest high compliance and quality of transport for kits distribution; although there were some reports of failed supply, these seemed to be traceable and uncommon. Availability data suggests the kits’ ‘push’ system has been more effective in reaching the most peripheral facilities, particularly APs. </w:t>
      </w:r>
      <w:r w:rsidR="00760CE9" w:rsidRPr="00D223FD">
        <w:rPr>
          <w:i/>
          <w:iCs/>
          <w:spacing w:val="-4"/>
          <w:szCs w:val="22"/>
          <w:lang w:val="en-AU"/>
        </w:rPr>
        <w:t xml:space="preserve">Some reported instances </w:t>
      </w:r>
      <w:r w:rsidR="00C606FB" w:rsidRPr="00D223FD">
        <w:rPr>
          <w:i/>
          <w:iCs/>
          <w:spacing w:val="-4"/>
          <w:szCs w:val="22"/>
          <w:lang w:val="en-AU"/>
        </w:rPr>
        <w:t xml:space="preserve">of poor communication between kit delivery contractors and provincial/district health managers point to the need for integrated and more consultative planning in future ‘push’ system distribution. Improved communication and data flow, particularly through the new </w:t>
      </w:r>
      <w:proofErr w:type="spellStart"/>
      <w:r w:rsidR="00C606FB" w:rsidRPr="00D223FD">
        <w:rPr>
          <w:i/>
          <w:iCs/>
          <w:spacing w:val="-4"/>
          <w:szCs w:val="22"/>
          <w:lang w:val="en-AU"/>
        </w:rPr>
        <w:t>eLMIS</w:t>
      </w:r>
      <w:proofErr w:type="spellEnd"/>
      <w:r w:rsidR="00C606FB" w:rsidRPr="00D223FD">
        <w:rPr>
          <w:i/>
          <w:iCs/>
          <w:spacing w:val="-4"/>
          <w:szCs w:val="22"/>
          <w:lang w:val="en-AU"/>
        </w:rPr>
        <w:t>, has the potential to support development in both ‘pull’ and ‘push’ systems.</w:t>
      </w:r>
    </w:p>
    <w:p w14:paraId="10E836D3" w14:textId="77777777" w:rsidR="00FA7981" w:rsidRPr="00E27200" w:rsidRDefault="00FA7981" w:rsidP="00FA7981">
      <w:pPr>
        <w:rPr>
          <w:lang w:val="en-AU"/>
        </w:rPr>
      </w:pPr>
    </w:p>
    <w:p w14:paraId="378BFE97" w14:textId="3116B37D" w:rsidR="006E02A6" w:rsidRPr="00FA38AC" w:rsidRDefault="006E02A6" w:rsidP="006E02A6">
      <w:pPr>
        <w:rPr>
          <w:spacing w:val="-2"/>
          <w:szCs w:val="22"/>
          <w:lang w:val="en-AU"/>
        </w:rPr>
      </w:pPr>
      <w:r w:rsidRPr="00FA38AC">
        <w:rPr>
          <w:spacing w:val="-2"/>
          <w:szCs w:val="22"/>
          <w:lang w:val="en-AU"/>
        </w:rPr>
        <w:t xml:space="preserve">The measurements of availability of essential medicines (Section 5) in this evaluation provide a benchmark against which future changes in the supply chain can be measured, both for </w:t>
      </w:r>
      <w:r w:rsidR="00981E68">
        <w:rPr>
          <w:spacing w:val="-2"/>
          <w:szCs w:val="22"/>
          <w:lang w:val="en-AU"/>
        </w:rPr>
        <w:t>‘</w:t>
      </w:r>
      <w:r w:rsidRPr="00FA38AC">
        <w:rPr>
          <w:spacing w:val="-2"/>
          <w:szCs w:val="22"/>
          <w:lang w:val="en-AU"/>
        </w:rPr>
        <w:t>pull</w:t>
      </w:r>
      <w:r w:rsidR="00981E68">
        <w:rPr>
          <w:spacing w:val="-2"/>
          <w:szCs w:val="22"/>
          <w:lang w:val="en-AU"/>
        </w:rPr>
        <w:t>’</w:t>
      </w:r>
      <w:r w:rsidRPr="00FA38AC">
        <w:rPr>
          <w:spacing w:val="-2"/>
          <w:szCs w:val="22"/>
          <w:lang w:val="en-AU"/>
        </w:rPr>
        <w:t xml:space="preserve"> and for </w:t>
      </w:r>
      <w:r w:rsidR="00981E68">
        <w:rPr>
          <w:spacing w:val="-2"/>
          <w:szCs w:val="22"/>
          <w:lang w:val="en-AU"/>
        </w:rPr>
        <w:t>‘</w:t>
      </w:r>
      <w:r w:rsidRPr="00FA38AC">
        <w:rPr>
          <w:spacing w:val="-2"/>
          <w:szCs w:val="22"/>
          <w:lang w:val="en-AU"/>
        </w:rPr>
        <w:t>push</w:t>
      </w:r>
      <w:r w:rsidR="00981E68">
        <w:rPr>
          <w:spacing w:val="-2"/>
          <w:szCs w:val="22"/>
          <w:lang w:val="en-AU"/>
        </w:rPr>
        <w:t>’</w:t>
      </w:r>
      <w:r w:rsidRPr="00FA38AC">
        <w:rPr>
          <w:spacing w:val="-2"/>
          <w:szCs w:val="22"/>
          <w:lang w:val="en-AU"/>
        </w:rPr>
        <w:t xml:space="preserve"> systems. Additional process mea</w:t>
      </w:r>
      <w:r w:rsidR="005D30E1" w:rsidRPr="00FA38AC">
        <w:rPr>
          <w:spacing w:val="-2"/>
          <w:szCs w:val="22"/>
          <w:lang w:val="en-AU"/>
        </w:rPr>
        <w:t xml:space="preserve">sures and qualitative data, </w:t>
      </w:r>
      <w:r w:rsidRPr="00FA38AC">
        <w:rPr>
          <w:spacing w:val="-2"/>
          <w:szCs w:val="22"/>
          <w:lang w:val="en-AU"/>
        </w:rPr>
        <w:t xml:space="preserve">presented </w:t>
      </w:r>
      <w:r w:rsidR="005D30E1" w:rsidRPr="00FA38AC">
        <w:rPr>
          <w:spacing w:val="-2"/>
          <w:szCs w:val="22"/>
          <w:lang w:val="en-AU"/>
        </w:rPr>
        <w:t xml:space="preserve">in the sections </w:t>
      </w:r>
      <w:r w:rsidRPr="00FA38AC">
        <w:rPr>
          <w:spacing w:val="-2"/>
          <w:szCs w:val="22"/>
          <w:lang w:val="en-AU"/>
        </w:rPr>
        <w:t>below, provide assessments of the functioning of the standard government ‘pull’ system, the 100% kits ‘push’ system, and some of the vertical programs that vary in the many by which they are distributed.</w:t>
      </w:r>
    </w:p>
    <w:p w14:paraId="10B2BAB4" w14:textId="77777777" w:rsidR="006E02A6" w:rsidRPr="00E27200" w:rsidRDefault="006E02A6" w:rsidP="006E02A6">
      <w:pPr>
        <w:rPr>
          <w:lang w:val="en-AU"/>
        </w:rPr>
      </w:pPr>
    </w:p>
    <w:p w14:paraId="33B148AF" w14:textId="77777777" w:rsidR="006E02A6" w:rsidRPr="00E27200" w:rsidRDefault="00913ABC" w:rsidP="00864451">
      <w:pPr>
        <w:pStyle w:val="Heading3"/>
      </w:pPr>
      <w:r w:rsidRPr="00E27200">
        <w:t>Distribution and communications within the ‘pull’ system</w:t>
      </w:r>
    </w:p>
    <w:p w14:paraId="333E2B61" w14:textId="519A2226" w:rsidR="00BA5630" w:rsidRPr="00E27200" w:rsidRDefault="006E02A6" w:rsidP="00EB0E8A">
      <w:pPr>
        <w:ind w:right="-46"/>
        <w:rPr>
          <w:rFonts w:asciiTheme="minorHAnsi" w:hAnsiTheme="minorHAnsi" w:cs="Arial"/>
          <w:color w:val="000000"/>
          <w:szCs w:val="19"/>
          <w:lang w:val="en-AU"/>
        </w:rPr>
      </w:pPr>
      <w:r w:rsidRPr="00E27200">
        <w:rPr>
          <w:rFonts w:asciiTheme="minorHAnsi" w:hAnsiTheme="minorHAnsi" w:cs="Arial"/>
          <w:color w:val="000000"/>
          <w:szCs w:val="19"/>
          <w:lang w:val="en-AU"/>
        </w:rPr>
        <w:t>Some managers interviewed reported satisfaction with their communications with AMS and receipt</w:t>
      </w:r>
      <w:r w:rsidR="00BC46CF" w:rsidRPr="00E27200">
        <w:rPr>
          <w:rFonts w:asciiTheme="minorHAnsi" w:hAnsiTheme="minorHAnsi" w:cs="Arial"/>
          <w:color w:val="000000"/>
          <w:szCs w:val="19"/>
          <w:lang w:val="en-AU"/>
        </w:rPr>
        <w:t xml:space="preserve"> of supplies through LD Logistics provided transport. However many i</w:t>
      </w:r>
      <w:r w:rsidR="00BA5630" w:rsidRPr="00E27200">
        <w:rPr>
          <w:rFonts w:asciiTheme="minorHAnsi" w:hAnsiTheme="minorHAnsi" w:cs="Arial"/>
          <w:color w:val="000000"/>
          <w:szCs w:val="19"/>
          <w:lang w:val="en-AU"/>
        </w:rPr>
        <w:t xml:space="preserve">nformants at all levels noted </w:t>
      </w:r>
      <w:r w:rsidR="00BC46CF" w:rsidRPr="00E27200">
        <w:rPr>
          <w:rFonts w:asciiTheme="minorHAnsi" w:hAnsiTheme="minorHAnsi" w:cs="Arial"/>
          <w:color w:val="000000"/>
          <w:szCs w:val="19"/>
          <w:lang w:val="en-AU"/>
        </w:rPr>
        <w:t xml:space="preserve">continuing </w:t>
      </w:r>
      <w:r w:rsidR="00BA5630" w:rsidRPr="00E27200">
        <w:rPr>
          <w:rFonts w:asciiTheme="minorHAnsi" w:hAnsiTheme="minorHAnsi" w:cs="Arial"/>
          <w:color w:val="000000"/>
          <w:szCs w:val="19"/>
          <w:lang w:val="en-AU"/>
        </w:rPr>
        <w:t xml:space="preserve">problems in the distribution </w:t>
      </w:r>
      <w:r w:rsidR="00BC46CF" w:rsidRPr="00E27200">
        <w:rPr>
          <w:rFonts w:asciiTheme="minorHAnsi" w:hAnsiTheme="minorHAnsi" w:cs="Arial"/>
          <w:color w:val="000000"/>
          <w:szCs w:val="19"/>
          <w:lang w:val="en-AU"/>
        </w:rPr>
        <w:t xml:space="preserve">through the ‘pull’ </w:t>
      </w:r>
      <w:r w:rsidR="00BA5630" w:rsidRPr="00E27200">
        <w:rPr>
          <w:rFonts w:asciiTheme="minorHAnsi" w:hAnsiTheme="minorHAnsi" w:cs="Arial"/>
          <w:color w:val="000000"/>
          <w:szCs w:val="19"/>
          <w:lang w:val="en-AU"/>
        </w:rPr>
        <w:t>system, with qualitative findings including</w:t>
      </w:r>
      <w:r w:rsidR="00BA5630" w:rsidRPr="00E27200">
        <w:rPr>
          <w:rFonts w:asciiTheme="minorHAnsi" w:hAnsiTheme="minorHAnsi"/>
          <w:lang w:val="en-AU"/>
        </w:rPr>
        <w:t xml:space="preserve"> lengthy waiting periods after ordering medicines from the AMS (in some cases up to 18 months); packages delivered to the wrong addresses; inadequate communication; damaged </w:t>
      </w:r>
      <w:r w:rsidR="00781123">
        <w:rPr>
          <w:rFonts w:asciiTheme="minorHAnsi" w:hAnsiTheme="minorHAnsi"/>
          <w:lang w:val="en-AU"/>
        </w:rPr>
        <w:t>supplies</w:t>
      </w:r>
      <w:r w:rsidR="00BA5630" w:rsidRPr="00E27200">
        <w:rPr>
          <w:rFonts w:asciiTheme="minorHAnsi" w:hAnsiTheme="minorHAnsi"/>
          <w:lang w:val="en-AU"/>
        </w:rPr>
        <w:t xml:space="preserve"> being delivered; and a general distrust for the efficacy of the entire medical supply system</w:t>
      </w:r>
      <w:r w:rsidR="00BC46CF" w:rsidRPr="00E27200">
        <w:rPr>
          <w:rFonts w:asciiTheme="minorHAnsi" w:hAnsiTheme="minorHAnsi"/>
          <w:lang w:val="en-AU"/>
        </w:rPr>
        <w:t xml:space="preserve">. </w:t>
      </w:r>
      <w:r w:rsidR="00F42F6E" w:rsidRPr="00E27200">
        <w:rPr>
          <w:rFonts w:asciiTheme="minorHAnsi" w:hAnsiTheme="minorHAnsi"/>
          <w:lang w:val="en-AU"/>
        </w:rPr>
        <w:t>These seem to relate to problems in the processing of orders, and in</w:t>
      </w:r>
      <w:r w:rsidR="00BC46CF" w:rsidRPr="00E27200">
        <w:rPr>
          <w:rFonts w:asciiTheme="minorHAnsi" w:hAnsiTheme="minorHAnsi"/>
          <w:lang w:val="en-AU"/>
        </w:rPr>
        <w:t xml:space="preserve"> delays in dispatch and transportation.</w:t>
      </w:r>
    </w:p>
    <w:p w14:paraId="7312FEDA" w14:textId="77777777" w:rsidR="00BA5630" w:rsidRPr="00E27200" w:rsidRDefault="00BA5630" w:rsidP="00EB0E8A">
      <w:pPr>
        <w:ind w:right="-46"/>
        <w:rPr>
          <w:rFonts w:asciiTheme="majorHAnsi" w:hAnsiTheme="majorHAnsi" w:cs="Arial"/>
          <w:color w:val="000000"/>
          <w:szCs w:val="19"/>
          <w:lang w:val="en-AU"/>
        </w:rPr>
      </w:pPr>
    </w:p>
    <w:p w14:paraId="3AC7F080" w14:textId="6214F7BC" w:rsidR="00864451" w:rsidRPr="00E27200" w:rsidRDefault="00AA6106" w:rsidP="00E52834">
      <w:pPr>
        <w:rPr>
          <w:rFonts w:asciiTheme="minorHAnsi" w:hAnsiTheme="minorHAnsi"/>
          <w:lang w:val="en-AU"/>
        </w:rPr>
      </w:pPr>
      <w:r w:rsidRPr="00E27200">
        <w:rPr>
          <w:rFonts w:asciiTheme="minorHAnsi" w:hAnsiTheme="minorHAnsi"/>
          <w:lang w:val="en-AU"/>
        </w:rPr>
        <w:t xml:space="preserve">A number of problems with ordering were observed and reported in interviews. HFs often </w:t>
      </w:r>
      <w:proofErr w:type="gramStart"/>
      <w:r w:rsidR="00FD1FF6">
        <w:rPr>
          <w:rFonts w:asciiTheme="minorHAnsi" w:hAnsiTheme="minorHAnsi"/>
          <w:lang w:val="en-AU"/>
        </w:rPr>
        <w:t>do</w:t>
      </w:r>
      <w:proofErr w:type="gramEnd"/>
      <w:r w:rsidRPr="00E27200">
        <w:rPr>
          <w:rFonts w:asciiTheme="minorHAnsi" w:hAnsiTheme="minorHAnsi"/>
          <w:lang w:val="en-AU"/>
        </w:rPr>
        <w:t xml:space="preserve"> not receive all items requested in their bimonthly order.  During the evaluation team’s visit to </w:t>
      </w:r>
      <w:proofErr w:type="spellStart"/>
      <w:r w:rsidRPr="00E27200">
        <w:rPr>
          <w:rFonts w:asciiTheme="minorHAnsi" w:hAnsiTheme="minorHAnsi"/>
          <w:lang w:val="en-AU"/>
        </w:rPr>
        <w:t>Badili</w:t>
      </w:r>
      <w:proofErr w:type="spellEnd"/>
      <w:r w:rsidRPr="00E27200">
        <w:rPr>
          <w:rFonts w:asciiTheme="minorHAnsi" w:hAnsiTheme="minorHAnsi"/>
          <w:lang w:val="en-AU"/>
        </w:rPr>
        <w:t xml:space="preserve"> AMS an analysis of random orders found that the order </w:t>
      </w:r>
      <w:r w:rsidR="002E785F" w:rsidRPr="00E27200">
        <w:rPr>
          <w:rFonts w:asciiTheme="minorHAnsi" w:hAnsiTheme="minorHAnsi"/>
          <w:lang w:val="en-AU"/>
        </w:rPr>
        <w:t>fulfilment</w:t>
      </w:r>
      <w:r w:rsidRPr="00E27200">
        <w:rPr>
          <w:rFonts w:asciiTheme="minorHAnsi" w:hAnsiTheme="minorHAnsi"/>
          <w:lang w:val="en-AU"/>
        </w:rPr>
        <w:t xml:space="preserve"> rate was on average 63%, and qualitative reports from HFs suggest this is representative. Over years this has generated a culture whereby HFs exaggerate their needs in bimonthly orders, to the point that AMS</w:t>
      </w:r>
      <w:r w:rsidR="00E52834" w:rsidRPr="00E27200">
        <w:rPr>
          <w:rFonts w:asciiTheme="minorHAnsi" w:hAnsiTheme="minorHAnsi"/>
          <w:lang w:val="en-AU"/>
        </w:rPr>
        <w:t xml:space="preserve"> staff justify partial </w:t>
      </w:r>
      <w:r w:rsidR="002E785F" w:rsidRPr="00E27200">
        <w:rPr>
          <w:rFonts w:asciiTheme="minorHAnsi" w:hAnsiTheme="minorHAnsi"/>
          <w:lang w:val="en-AU"/>
        </w:rPr>
        <w:t>fulfilment</w:t>
      </w:r>
      <w:r w:rsidR="00E52834" w:rsidRPr="00E27200">
        <w:rPr>
          <w:rFonts w:asciiTheme="minorHAnsi" w:hAnsiTheme="minorHAnsi"/>
          <w:lang w:val="en-AU"/>
        </w:rPr>
        <w:t xml:space="preserve"> on the basis that orders are unrealistic.  </w:t>
      </w:r>
      <w:r w:rsidR="00864451" w:rsidRPr="00E27200">
        <w:rPr>
          <w:rFonts w:asciiTheme="minorHAnsi" w:hAnsiTheme="minorHAnsi" w:cs="Arial"/>
          <w:color w:val="000000"/>
          <w:szCs w:val="19"/>
          <w:lang w:val="en-AU"/>
        </w:rPr>
        <w:t xml:space="preserve">Outstanding items are not kept </w:t>
      </w:r>
      <w:r w:rsidR="00E52834" w:rsidRPr="00E27200">
        <w:rPr>
          <w:rFonts w:asciiTheme="minorHAnsi" w:hAnsiTheme="minorHAnsi" w:cs="Arial"/>
          <w:color w:val="000000"/>
          <w:szCs w:val="19"/>
          <w:lang w:val="en-AU"/>
        </w:rPr>
        <w:t xml:space="preserve">as a back order in the </w:t>
      </w:r>
      <w:r w:rsidR="002E785F" w:rsidRPr="00E27200">
        <w:rPr>
          <w:rFonts w:asciiTheme="minorHAnsi" w:hAnsiTheme="minorHAnsi" w:cs="Arial"/>
          <w:color w:val="000000"/>
          <w:szCs w:val="19"/>
          <w:lang w:val="en-AU"/>
        </w:rPr>
        <w:t>AMS;</w:t>
      </w:r>
      <w:r w:rsidR="00864451" w:rsidRPr="00E27200">
        <w:rPr>
          <w:rFonts w:asciiTheme="minorHAnsi" w:hAnsiTheme="minorHAnsi" w:cs="Arial"/>
          <w:color w:val="000000"/>
          <w:szCs w:val="19"/>
          <w:lang w:val="en-AU"/>
        </w:rPr>
        <w:t xml:space="preserve"> simply two months later if the item is still required the facility orders it again.</w:t>
      </w:r>
    </w:p>
    <w:p w14:paraId="2362295B" w14:textId="77777777" w:rsidR="003046A8" w:rsidRPr="00E27200" w:rsidRDefault="003046A8" w:rsidP="00EB0E8A">
      <w:pPr>
        <w:ind w:right="-46"/>
        <w:rPr>
          <w:lang w:val="en-AU"/>
        </w:rPr>
      </w:pPr>
    </w:p>
    <w:p w14:paraId="07D94D25" w14:textId="6BD159D8" w:rsidR="00306AA2" w:rsidRPr="00E27200" w:rsidRDefault="00E52834" w:rsidP="00EB0E8A">
      <w:pPr>
        <w:ind w:right="-46"/>
        <w:rPr>
          <w:lang w:val="en-AU"/>
        </w:rPr>
      </w:pPr>
      <w:r w:rsidRPr="00E27200">
        <w:rPr>
          <w:lang w:val="en-AU"/>
        </w:rPr>
        <w:t>Long order processing times for orders were frequently reported. For this evaluation t</w:t>
      </w:r>
      <w:r w:rsidR="0004218E" w:rsidRPr="00E27200">
        <w:rPr>
          <w:lang w:val="en-AU"/>
        </w:rPr>
        <w:t>en</w:t>
      </w:r>
      <w:r w:rsidR="00306AA2" w:rsidRPr="00E27200">
        <w:rPr>
          <w:lang w:val="en-AU"/>
        </w:rPr>
        <w:t xml:space="preserve"> order forms received from HFs at medical stores in </w:t>
      </w:r>
      <w:proofErr w:type="spellStart"/>
      <w:r w:rsidR="00306AA2" w:rsidRPr="00E27200">
        <w:rPr>
          <w:lang w:val="en-AU"/>
        </w:rPr>
        <w:t>Lae</w:t>
      </w:r>
      <w:proofErr w:type="spellEnd"/>
      <w:r w:rsidR="00306AA2" w:rsidRPr="00E27200">
        <w:rPr>
          <w:lang w:val="en-AU"/>
        </w:rPr>
        <w:t xml:space="preserve">, Mt Hagen, </w:t>
      </w:r>
      <w:proofErr w:type="spellStart"/>
      <w:r w:rsidR="00306AA2" w:rsidRPr="00E27200">
        <w:rPr>
          <w:lang w:val="en-AU"/>
        </w:rPr>
        <w:t>Rabaul</w:t>
      </w:r>
      <w:proofErr w:type="spellEnd"/>
      <w:r w:rsidR="00306AA2" w:rsidRPr="00E27200">
        <w:rPr>
          <w:lang w:val="en-AU"/>
        </w:rPr>
        <w:t xml:space="preserve"> and </w:t>
      </w:r>
      <w:proofErr w:type="spellStart"/>
      <w:r w:rsidR="00306AA2" w:rsidRPr="00E27200">
        <w:rPr>
          <w:lang w:val="en-AU"/>
        </w:rPr>
        <w:t>Buka</w:t>
      </w:r>
      <w:proofErr w:type="spellEnd"/>
      <w:r w:rsidR="00306AA2" w:rsidRPr="00E27200">
        <w:rPr>
          <w:lang w:val="en-AU"/>
        </w:rPr>
        <w:t xml:space="preserve"> were screened</w:t>
      </w:r>
      <w:r w:rsidRPr="00E27200">
        <w:rPr>
          <w:lang w:val="en-AU"/>
        </w:rPr>
        <w:t xml:space="preserve">, and 18 in </w:t>
      </w:r>
      <w:proofErr w:type="spellStart"/>
      <w:r w:rsidR="00306AA2" w:rsidRPr="00E27200">
        <w:rPr>
          <w:lang w:val="en-AU"/>
        </w:rPr>
        <w:t>Badili</w:t>
      </w:r>
      <w:proofErr w:type="spellEnd"/>
      <w:r w:rsidR="00306AA2" w:rsidRPr="00E27200">
        <w:rPr>
          <w:lang w:val="en-AU"/>
        </w:rPr>
        <w:t xml:space="preserve"> AMS</w:t>
      </w:r>
      <w:r w:rsidRPr="00E27200">
        <w:rPr>
          <w:lang w:val="en-AU"/>
        </w:rPr>
        <w:t xml:space="preserve">. </w:t>
      </w:r>
      <w:r w:rsidR="00306AA2" w:rsidRPr="00E27200">
        <w:rPr>
          <w:lang w:val="en-AU"/>
        </w:rPr>
        <w:t xml:space="preserve">The time to process an order was calculated as the </w:t>
      </w:r>
      <w:r w:rsidR="00981E68" w:rsidRPr="00E27200">
        <w:rPr>
          <w:lang w:val="en-AU"/>
        </w:rPr>
        <w:t>number</w:t>
      </w:r>
      <w:r w:rsidR="00981E68">
        <w:rPr>
          <w:lang w:val="en-AU"/>
        </w:rPr>
        <w:t xml:space="preserve"> of </w:t>
      </w:r>
      <w:r w:rsidR="00306AA2" w:rsidRPr="00E27200">
        <w:rPr>
          <w:lang w:val="en-AU"/>
        </w:rPr>
        <w:t>days between the date the order was writte</w:t>
      </w:r>
      <w:r w:rsidR="00864451" w:rsidRPr="00E27200">
        <w:rPr>
          <w:lang w:val="en-AU"/>
        </w:rPr>
        <w:t xml:space="preserve">n </w:t>
      </w:r>
      <w:r w:rsidR="00C35BF4" w:rsidRPr="00E27200">
        <w:rPr>
          <w:lang w:val="en-AU"/>
        </w:rPr>
        <w:t>and the</w:t>
      </w:r>
      <w:r w:rsidR="00864451" w:rsidRPr="00E27200">
        <w:rPr>
          <w:lang w:val="en-AU"/>
        </w:rPr>
        <w:t xml:space="preserve"> closest </w:t>
      </w:r>
      <w:r w:rsidR="00C35BF4" w:rsidRPr="00E27200">
        <w:rPr>
          <w:lang w:val="en-AU"/>
        </w:rPr>
        <w:t xml:space="preserve">record of a </w:t>
      </w:r>
      <w:r w:rsidR="00864451" w:rsidRPr="00E27200">
        <w:rPr>
          <w:lang w:val="en-AU"/>
        </w:rPr>
        <w:t>di</w:t>
      </w:r>
      <w:r w:rsidR="00306AA2" w:rsidRPr="00E27200">
        <w:rPr>
          <w:lang w:val="en-AU"/>
        </w:rPr>
        <w:t xml:space="preserve">spatch time.  </w:t>
      </w:r>
      <w:r w:rsidR="00C35BF4" w:rsidRPr="00E27200">
        <w:rPr>
          <w:lang w:val="en-AU"/>
        </w:rPr>
        <w:t xml:space="preserve">The table below notes the </w:t>
      </w:r>
      <w:r w:rsidR="00C35BF4" w:rsidRPr="00E27200">
        <w:rPr>
          <w:i/>
          <w:lang w:val="en-AU"/>
        </w:rPr>
        <w:t xml:space="preserve">median </w:t>
      </w:r>
      <w:r w:rsidR="00C35BF4" w:rsidRPr="00E27200">
        <w:rPr>
          <w:lang w:val="en-AU"/>
        </w:rPr>
        <w:t xml:space="preserve">processing team in each store, noting </w:t>
      </w:r>
      <w:proofErr w:type="spellStart"/>
      <w:r w:rsidR="00306AA2" w:rsidRPr="00E27200">
        <w:rPr>
          <w:lang w:val="en-AU"/>
        </w:rPr>
        <w:t>Badili</w:t>
      </w:r>
      <w:proofErr w:type="spellEnd"/>
      <w:r w:rsidR="00306AA2" w:rsidRPr="00E27200">
        <w:rPr>
          <w:lang w:val="en-AU"/>
        </w:rPr>
        <w:t xml:space="preserve"> took over four times </w:t>
      </w:r>
      <w:r w:rsidR="00C35BF4" w:rsidRPr="00E27200">
        <w:rPr>
          <w:lang w:val="en-AU"/>
        </w:rPr>
        <w:t>as long as other stores</w:t>
      </w:r>
      <w:r w:rsidR="00306AA2" w:rsidRPr="00E27200">
        <w:rPr>
          <w:lang w:val="en-AU"/>
        </w:rPr>
        <w:t>.</w:t>
      </w:r>
    </w:p>
    <w:p w14:paraId="36714A0D" w14:textId="77777777" w:rsidR="00C32D2B" w:rsidRPr="00E27200" w:rsidRDefault="00C32D2B" w:rsidP="00A61626">
      <w:pPr>
        <w:rPr>
          <w:lang w:val="en-AU"/>
        </w:rPr>
      </w:pPr>
    </w:p>
    <w:p w14:paraId="3332A4BF" w14:textId="733C861B" w:rsidR="00306AA2" w:rsidRPr="00E27200" w:rsidRDefault="002E785F" w:rsidP="00A61626">
      <w:pPr>
        <w:rPr>
          <w:b/>
          <w:lang w:val="en-AU"/>
        </w:rPr>
      </w:pPr>
      <w:r w:rsidRPr="00E27200">
        <w:rPr>
          <w:b/>
          <w:lang w:val="en-AU"/>
        </w:rPr>
        <w:t xml:space="preserve">Table </w:t>
      </w:r>
      <w:r w:rsidR="006630B4">
        <w:rPr>
          <w:b/>
          <w:lang w:val="en-AU"/>
        </w:rPr>
        <w:t>4</w:t>
      </w:r>
      <w:r w:rsidR="00306AA2" w:rsidRPr="00E27200">
        <w:rPr>
          <w:b/>
          <w:lang w:val="en-AU"/>
        </w:rPr>
        <w:t>: Median time (days) to process an order</w:t>
      </w:r>
    </w:p>
    <w:tbl>
      <w:tblPr>
        <w:tblStyle w:val="TableGrid"/>
        <w:tblW w:w="5933" w:type="dxa"/>
        <w:tblInd w:w="108" w:type="dxa"/>
        <w:tblLook w:val="04A0" w:firstRow="1" w:lastRow="0" w:firstColumn="1" w:lastColumn="0" w:noHBand="0" w:noVBand="1"/>
      </w:tblPr>
      <w:tblGrid>
        <w:gridCol w:w="1016"/>
        <w:gridCol w:w="648"/>
        <w:gridCol w:w="879"/>
        <w:gridCol w:w="990"/>
        <w:gridCol w:w="8"/>
        <w:gridCol w:w="2392"/>
      </w:tblGrid>
      <w:tr w:rsidR="00306AA2" w:rsidRPr="00E27200" w14:paraId="5F2E19D9" w14:textId="77777777">
        <w:tc>
          <w:tcPr>
            <w:tcW w:w="3541" w:type="dxa"/>
            <w:gridSpan w:val="5"/>
          </w:tcPr>
          <w:p w14:paraId="38E70CED" w14:textId="77777777" w:rsidR="00306AA2" w:rsidRPr="00E27200" w:rsidRDefault="00306AA2" w:rsidP="00A61626">
            <w:pPr>
              <w:rPr>
                <w:b/>
                <w:lang w:val="en-AU"/>
              </w:rPr>
            </w:pPr>
            <w:r w:rsidRPr="00E27200">
              <w:rPr>
                <w:b/>
                <w:lang w:val="en-AU"/>
              </w:rPr>
              <w:t>Area Medical Store</w:t>
            </w:r>
          </w:p>
        </w:tc>
        <w:tc>
          <w:tcPr>
            <w:tcW w:w="2392" w:type="dxa"/>
            <w:tcBorders>
              <w:left w:val="single" w:sz="4" w:space="0" w:color="auto"/>
            </w:tcBorders>
          </w:tcPr>
          <w:p w14:paraId="12E7BC43" w14:textId="77777777" w:rsidR="00306AA2" w:rsidRPr="00E27200" w:rsidRDefault="00306AA2" w:rsidP="00A61626">
            <w:pPr>
              <w:rPr>
                <w:b/>
                <w:lang w:val="en-AU"/>
              </w:rPr>
            </w:pPr>
            <w:r w:rsidRPr="00E27200">
              <w:rPr>
                <w:b/>
                <w:lang w:val="en-AU"/>
              </w:rPr>
              <w:t>Provincial Transit Store</w:t>
            </w:r>
          </w:p>
        </w:tc>
      </w:tr>
      <w:tr w:rsidR="00306AA2" w:rsidRPr="00E27200" w14:paraId="68396EB5" w14:textId="77777777">
        <w:tc>
          <w:tcPr>
            <w:tcW w:w="1016" w:type="dxa"/>
          </w:tcPr>
          <w:p w14:paraId="06A28CED" w14:textId="77777777" w:rsidR="00306AA2" w:rsidRPr="00E27200" w:rsidRDefault="00306AA2" w:rsidP="00A61626">
            <w:pPr>
              <w:rPr>
                <w:b/>
                <w:lang w:val="en-AU"/>
              </w:rPr>
            </w:pPr>
            <w:proofErr w:type="spellStart"/>
            <w:r w:rsidRPr="00E27200">
              <w:rPr>
                <w:b/>
                <w:lang w:val="en-AU"/>
              </w:rPr>
              <w:t>Badili</w:t>
            </w:r>
            <w:proofErr w:type="spellEnd"/>
          </w:p>
        </w:tc>
        <w:tc>
          <w:tcPr>
            <w:tcW w:w="648" w:type="dxa"/>
          </w:tcPr>
          <w:p w14:paraId="25051393" w14:textId="77777777" w:rsidR="00306AA2" w:rsidRPr="00E27200" w:rsidRDefault="00306AA2" w:rsidP="00A61626">
            <w:pPr>
              <w:rPr>
                <w:b/>
                <w:lang w:val="en-AU"/>
              </w:rPr>
            </w:pPr>
            <w:proofErr w:type="spellStart"/>
            <w:r w:rsidRPr="00E27200">
              <w:rPr>
                <w:b/>
                <w:lang w:val="en-AU"/>
              </w:rPr>
              <w:t>Lae</w:t>
            </w:r>
            <w:proofErr w:type="spellEnd"/>
            <w:r w:rsidRPr="00E27200">
              <w:rPr>
                <w:b/>
                <w:lang w:val="en-AU"/>
              </w:rPr>
              <w:t xml:space="preserve"> </w:t>
            </w:r>
          </w:p>
        </w:tc>
        <w:tc>
          <w:tcPr>
            <w:tcW w:w="879" w:type="dxa"/>
            <w:tcBorders>
              <w:right w:val="single" w:sz="4" w:space="0" w:color="auto"/>
            </w:tcBorders>
          </w:tcPr>
          <w:p w14:paraId="4ECCC013" w14:textId="77777777" w:rsidR="00306AA2" w:rsidRPr="00E27200" w:rsidRDefault="00306AA2" w:rsidP="00A61626">
            <w:pPr>
              <w:rPr>
                <w:b/>
                <w:lang w:val="en-AU"/>
              </w:rPr>
            </w:pPr>
            <w:r w:rsidRPr="00E27200">
              <w:rPr>
                <w:b/>
                <w:lang w:val="en-AU"/>
              </w:rPr>
              <w:t>Hagen</w:t>
            </w:r>
          </w:p>
        </w:tc>
        <w:tc>
          <w:tcPr>
            <w:tcW w:w="990" w:type="dxa"/>
            <w:tcBorders>
              <w:left w:val="single" w:sz="4" w:space="0" w:color="auto"/>
            </w:tcBorders>
          </w:tcPr>
          <w:p w14:paraId="1FF1724B" w14:textId="77777777" w:rsidR="00306AA2" w:rsidRPr="00E27200" w:rsidRDefault="00306AA2" w:rsidP="00A61626">
            <w:pPr>
              <w:rPr>
                <w:b/>
                <w:lang w:val="en-AU"/>
              </w:rPr>
            </w:pPr>
            <w:proofErr w:type="spellStart"/>
            <w:r w:rsidRPr="00E27200">
              <w:rPr>
                <w:b/>
                <w:lang w:val="en-AU"/>
              </w:rPr>
              <w:t>Rabaul</w:t>
            </w:r>
            <w:proofErr w:type="spellEnd"/>
            <w:r w:rsidRPr="00E27200">
              <w:rPr>
                <w:rStyle w:val="FootnoteReference"/>
                <w:b/>
                <w:lang w:val="en-AU"/>
              </w:rPr>
              <w:footnoteReference w:id="18"/>
            </w:r>
          </w:p>
        </w:tc>
        <w:tc>
          <w:tcPr>
            <w:tcW w:w="2400" w:type="dxa"/>
            <w:gridSpan w:val="2"/>
          </w:tcPr>
          <w:p w14:paraId="0CBA757A" w14:textId="77777777" w:rsidR="00306AA2" w:rsidRPr="00E27200" w:rsidRDefault="00306AA2" w:rsidP="00A61626">
            <w:pPr>
              <w:rPr>
                <w:b/>
                <w:lang w:val="en-AU"/>
              </w:rPr>
            </w:pPr>
            <w:proofErr w:type="spellStart"/>
            <w:r w:rsidRPr="00E27200">
              <w:rPr>
                <w:b/>
                <w:lang w:val="en-AU"/>
              </w:rPr>
              <w:t>Buka</w:t>
            </w:r>
            <w:proofErr w:type="spellEnd"/>
            <w:r w:rsidRPr="00E27200">
              <w:rPr>
                <w:rStyle w:val="FootnoteReference"/>
                <w:b/>
                <w:lang w:val="en-AU"/>
              </w:rPr>
              <w:footnoteReference w:id="19"/>
            </w:r>
          </w:p>
        </w:tc>
      </w:tr>
      <w:tr w:rsidR="00306AA2" w:rsidRPr="00E27200" w14:paraId="14E12B56" w14:textId="77777777">
        <w:tc>
          <w:tcPr>
            <w:tcW w:w="1016" w:type="dxa"/>
          </w:tcPr>
          <w:p w14:paraId="7E590817" w14:textId="77777777" w:rsidR="00306AA2" w:rsidRPr="00E27200" w:rsidRDefault="00306AA2" w:rsidP="00A61626">
            <w:pPr>
              <w:pStyle w:val="Textotabela10"/>
              <w:rPr>
                <w:sz w:val="22"/>
                <w:lang w:val="en-AU"/>
              </w:rPr>
            </w:pPr>
            <w:r w:rsidRPr="00E27200">
              <w:rPr>
                <w:sz w:val="22"/>
                <w:lang w:val="en-AU"/>
              </w:rPr>
              <w:t>86</w:t>
            </w:r>
          </w:p>
        </w:tc>
        <w:tc>
          <w:tcPr>
            <w:tcW w:w="648" w:type="dxa"/>
            <w:vAlign w:val="center"/>
          </w:tcPr>
          <w:p w14:paraId="3898619A" w14:textId="77777777" w:rsidR="00306AA2" w:rsidRPr="00E27200" w:rsidRDefault="00306AA2" w:rsidP="00A61626">
            <w:pPr>
              <w:pStyle w:val="Textotabela10"/>
              <w:rPr>
                <w:sz w:val="22"/>
                <w:lang w:val="en-AU"/>
              </w:rPr>
            </w:pPr>
            <w:r w:rsidRPr="00E27200">
              <w:rPr>
                <w:sz w:val="22"/>
                <w:lang w:val="en-AU"/>
              </w:rPr>
              <w:t>26</w:t>
            </w:r>
          </w:p>
        </w:tc>
        <w:tc>
          <w:tcPr>
            <w:tcW w:w="879" w:type="dxa"/>
            <w:tcBorders>
              <w:right w:val="single" w:sz="4" w:space="0" w:color="auto"/>
            </w:tcBorders>
            <w:vAlign w:val="center"/>
          </w:tcPr>
          <w:p w14:paraId="48E5258A" w14:textId="77777777" w:rsidR="00306AA2" w:rsidRPr="00E27200" w:rsidRDefault="00306AA2" w:rsidP="00A61626">
            <w:pPr>
              <w:pStyle w:val="Textotabela10"/>
              <w:rPr>
                <w:sz w:val="22"/>
                <w:lang w:val="en-AU"/>
              </w:rPr>
            </w:pPr>
            <w:r w:rsidRPr="00E27200">
              <w:rPr>
                <w:sz w:val="22"/>
                <w:lang w:val="en-AU"/>
              </w:rPr>
              <w:t>11</w:t>
            </w:r>
          </w:p>
        </w:tc>
        <w:tc>
          <w:tcPr>
            <w:tcW w:w="990" w:type="dxa"/>
            <w:tcBorders>
              <w:left w:val="single" w:sz="4" w:space="0" w:color="auto"/>
            </w:tcBorders>
          </w:tcPr>
          <w:p w14:paraId="19DDFBBF" w14:textId="77777777" w:rsidR="00306AA2" w:rsidRPr="00E27200" w:rsidRDefault="00306AA2" w:rsidP="00A61626">
            <w:pPr>
              <w:pStyle w:val="Textotabela10"/>
              <w:rPr>
                <w:sz w:val="22"/>
                <w:lang w:val="en-AU"/>
              </w:rPr>
            </w:pPr>
            <w:r w:rsidRPr="00E27200">
              <w:rPr>
                <w:sz w:val="22"/>
                <w:lang w:val="en-AU"/>
              </w:rPr>
              <w:t>24</w:t>
            </w:r>
          </w:p>
        </w:tc>
        <w:tc>
          <w:tcPr>
            <w:tcW w:w="2400" w:type="dxa"/>
            <w:gridSpan w:val="2"/>
            <w:vAlign w:val="center"/>
          </w:tcPr>
          <w:p w14:paraId="740F9557" w14:textId="77777777" w:rsidR="00306AA2" w:rsidRPr="00E27200" w:rsidRDefault="00306AA2" w:rsidP="00A61626">
            <w:pPr>
              <w:pStyle w:val="Textotabela10"/>
              <w:rPr>
                <w:sz w:val="22"/>
                <w:lang w:val="en-AU"/>
              </w:rPr>
            </w:pPr>
            <w:r w:rsidRPr="00E27200">
              <w:rPr>
                <w:sz w:val="22"/>
                <w:lang w:val="en-AU"/>
              </w:rPr>
              <w:t>7</w:t>
            </w:r>
          </w:p>
        </w:tc>
      </w:tr>
    </w:tbl>
    <w:p w14:paraId="769DA160" w14:textId="77777777" w:rsidR="00AA6106" w:rsidRPr="00E27200" w:rsidRDefault="00CE29E9" w:rsidP="00CC3219">
      <w:pPr>
        <w:rPr>
          <w:lang w:val="en-AU"/>
        </w:rPr>
      </w:pPr>
      <w:r w:rsidRPr="00E27200">
        <w:rPr>
          <w:lang w:val="en-AU"/>
        </w:rPr>
        <w:lastRenderedPageBreak/>
        <w:t>There were mixed reports regarding transportation within the ‘pull’ system by LD Logistics, who were reported to sub-contract most of the actual delivery to local freight companies. A number of managers reported satisfaction with delivery but there were also many reports of failed delivery, or of shipments being left in inappropriate sites where they were exposed to degradation or theft. As well as reports in interviews and discussions, the evaluation team was presented with a number of</w:t>
      </w:r>
      <w:r w:rsidR="00CC3219" w:rsidRPr="00E27200">
        <w:rPr>
          <w:lang w:val="en-AU"/>
        </w:rPr>
        <w:t xml:space="preserve"> written complaints regarding non-delivery.  Some examples are provided here, noting that the wording of many of these is indicative of a high level of frustration:</w:t>
      </w:r>
    </w:p>
    <w:p w14:paraId="1844CED9" w14:textId="77777777" w:rsidR="00935E46" w:rsidRPr="00E27200" w:rsidRDefault="00CC3219" w:rsidP="00AD3F80">
      <w:pPr>
        <w:pStyle w:val="ListParagraph"/>
        <w:numPr>
          <w:ilvl w:val="0"/>
          <w:numId w:val="16"/>
        </w:numPr>
        <w:rPr>
          <w:rFonts w:asciiTheme="minorHAnsi" w:hAnsiTheme="minorHAnsi"/>
          <w:lang w:val="en-AU"/>
        </w:rPr>
      </w:pPr>
      <w:r w:rsidRPr="00E27200">
        <w:rPr>
          <w:lang w:val="en-AU"/>
        </w:rPr>
        <w:t xml:space="preserve">One church health secretary writes: </w:t>
      </w:r>
      <w:r w:rsidRPr="00E27200">
        <w:rPr>
          <w:i/>
          <w:lang w:val="en-AU"/>
        </w:rPr>
        <w:t xml:space="preserve">“our drug order two months ago is still sitting in the LD </w:t>
      </w:r>
      <w:r w:rsidRPr="00E27200">
        <w:rPr>
          <w:rFonts w:asciiTheme="minorHAnsi" w:hAnsiTheme="minorHAnsi"/>
          <w:i/>
          <w:lang w:val="en-AU"/>
        </w:rPr>
        <w:t>Logistics office in Mt Hagen waiting to be dispatched and we had a second order sitting in the AMS.  All this drugs ar</w:t>
      </w:r>
      <w:r w:rsidR="00935E46" w:rsidRPr="00E27200">
        <w:rPr>
          <w:rFonts w:asciiTheme="minorHAnsi" w:hAnsiTheme="minorHAnsi"/>
          <w:i/>
          <w:lang w:val="en-AU"/>
        </w:rPr>
        <w:t xml:space="preserve">e sitting in Hagen waiting for </w:t>
      </w:r>
      <w:proofErr w:type="spellStart"/>
      <w:r w:rsidR="00935E46" w:rsidRPr="00E27200">
        <w:rPr>
          <w:rFonts w:asciiTheme="minorHAnsi" w:hAnsiTheme="minorHAnsi"/>
          <w:i/>
          <w:lang w:val="en-AU"/>
        </w:rPr>
        <w:t>di</w:t>
      </w:r>
      <w:r w:rsidRPr="00E27200">
        <w:rPr>
          <w:rFonts w:asciiTheme="minorHAnsi" w:hAnsiTheme="minorHAnsi"/>
          <w:i/>
          <w:lang w:val="en-AU"/>
        </w:rPr>
        <w:t>spatchment</w:t>
      </w:r>
      <w:proofErr w:type="spellEnd"/>
      <w:r w:rsidR="00935E46" w:rsidRPr="00E27200">
        <w:rPr>
          <w:rFonts w:asciiTheme="minorHAnsi" w:hAnsiTheme="minorHAnsi"/>
          <w:i/>
          <w:lang w:val="en-AU"/>
        </w:rPr>
        <w:t xml:space="preserve"> while our people I </w:t>
      </w:r>
      <w:proofErr w:type="spellStart"/>
      <w:r w:rsidR="00935E46" w:rsidRPr="00E27200">
        <w:rPr>
          <w:rFonts w:asciiTheme="minorHAnsi" w:hAnsiTheme="minorHAnsi"/>
          <w:i/>
          <w:lang w:val="en-AU"/>
        </w:rPr>
        <w:t>Karamui</w:t>
      </w:r>
      <w:proofErr w:type="spellEnd"/>
      <w:r w:rsidR="00935E46" w:rsidRPr="00E27200">
        <w:rPr>
          <w:rFonts w:asciiTheme="minorHAnsi" w:hAnsiTheme="minorHAnsi"/>
          <w:i/>
          <w:lang w:val="en-AU"/>
        </w:rPr>
        <w:t>/</w:t>
      </w:r>
      <w:proofErr w:type="spellStart"/>
      <w:r w:rsidR="00935E46" w:rsidRPr="00E27200">
        <w:rPr>
          <w:rFonts w:asciiTheme="minorHAnsi" w:hAnsiTheme="minorHAnsi"/>
          <w:i/>
          <w:lang w:val="en-AU"/>
        </w:rPr>
        <w:t>Nomani</w:t>
      </w:r>
      <w:proofErr w:type="spellEnd"/>
      <w:r w:rsidR="00935E46" w:rsidRPr="00E27200">
        <w:rPr>
          <w:rFonts w:asciiTheme="minorHAnsi" w:hAnsiTheme="minorHAnsi"/>
          <w:i/>
          <w:lang w:val="en-AU"/>
        </w:rPr>
        <w:t xml:space="preserve"> district are dying.”</w:t>
      </w:r>
    </w:p>
    <w:p w14:paraId="22C00EC2" w14:textId="55C4311C" w:rsidR="00935E46" w:rsidRPr="00E27200" w:rsidRDefault="00AA6106" w:rsidP="00AD3F80">
      <w:pPr>
        <w:pStyle w:val="ListParagraph"/>
        <w:numPr>
          <w:ilvl w:val="0"/>
          <w:numId w:val="16"/>
        </w:numPr>
        <w:rPr>
          <w:rFonts w:asciiTheme="minorHAnsi" w:hAnsiTheme="minorHAnsi"/>
          <w:lang w:val="en-AU"/>
        </w:rPr>
      </w:pPr>
      <w:proofErr w:type="spellStart"/>
      <w:r w:rsidRPr="00E27200">
        <w:rPr>
          <w:rFonts w:asciiTheme="minorHAnsi" w:hAnsiTheme="minorHAnsi" w:cs="Arial"/>
          <w:color w:val="000000"/>
          <w:szCs w:val="19"/>
          <w:lang w:val="en-AU"/>
        </w:rPr>
        <w:t>Sand</w:t>
      </w:r>
      <w:r w:rsidR="00935E46" w:rsidRPr="00E27200">
        <w:rPr>
          <w:rFonts w:asciiTheme="minorHAnsi" w:hAnsiTheme="minorHAnsi" w:cs="Arial"/>
          <w:color w:val="000000"/>
          <w:szCs w:val="19"/>
          <w:lang w:val="en-AU"/>
        </w:rPr>
        <w:t>aun</w:t>
      </w:r>
      <w:proofErr w:type="spellEnd"/>
      <w:r w:rsidR="00935E46" w:rsidRPr="00E27200">
        <w:rPr>
          <w:rFonts w:asciiTheme="minorHAnsi" w:hAnsiTheme="minorHAnsi" w:cs="Arial"/>
          <w:color w:val="000000"/>
          <w:szCs w:val="19"/>
          <w:lang w:val="en-AU"/>
        </w:rPr>
        <w:t xml:space="preserve"> Provincial administration wrote in May </w:t>
      </w:r>
      <w:r w:rsidR="00770769" w:rsidRPr="00E27200">
        <w:rPr>
          <w:rFonts w:asciiTheme="minorHAnsi" w:hAnsiTheme="minorHAnsi" w:cs="Arial"/>
          <w:color w:val="000000"/>
          <w:szCs w:val="19"/>
          <w:lang w:val="en-AU"/>
        </w:rPr>
        <w:t>2013</w:t>
      </w:r>
      <w:r w:rsidRPr="00E27200">
        <w:rPr>
          <w:rFonts w:asciiTheme="minorHAnsi" w:hAnsiTheme="minorHAnsi" w:cs="Arial"/>
          <w:color w:val="000000"/>
          <w:szCs w:val="19"/>
          <w:lang w:val="en-AU"/>
        </w:rPr>
        <w:t xml:space="preserve"> regarding ongoing poor and inconsistent deliveries by LD Logistics of essential and TB </w:t>
      </w:r>
      <w:r w:rsidR="00F15E56">
        <w:rPr>
          <w:rFonts w:asciiTheme="minorHAnsi" w:hAnsiTheme="minorHAnsi" w:cs="Arial"/>
          <w:color w:val="000000"/>
          <w:szCs w:val="19"/>
          <w:lang w:val="en-AU"/>
        </w:rPr>
        <w:t>medicines</w:t>
      </w:r>
      <w:r w:rsidR="00935E46" w:rsidRPr="00E27200">
        <w:rPr>
          <w:rFonts w:asciiTheme="minorHAnsi" w:hAnsiTheme="minorHAnsi" w:cs="Arial"/>
          <w:color w:val="000000"/>
          <w:szCs w:val="19"/>
          <w:lang w:val="en-AU"/>
        </w:rPr>
        <w:t>, citing risks of treatment interruption, noting that d</w:t>
      </w:r>
      <w:r w:rsidRPr="00E27200">
        <w:rPr>
          <w:rFonts w:asciiTheme="minorHAnsi" w:hAnsiTheme="minorHAnsi" w:cs="Arial"/>
          <w:color w:val="000000"/>
          <w:szCs w:val="19"/>
          <w:lang w:val="en-AU"/>
        </w:rPr>
        <w:t>eliveries expected in March arrived in May</w:t>
      </w:r>
      <w:r w:rsidR="00935E46" w:rsidRPr="00E27200">
        <w:rPr>
          <w:rFonts w:asciiTheme="minorHAnsi" w:hAnsiTheme="minorHAnsi" w:cs="Arial"/>
          <w:color w:val="000000"/>
          <w:szCs w:val="19"/>
          <w:lang w:val="en-AU"/>
        </w:rPr>
        <w:t xml:space="preserve"> and that medicines that arrived at </w:t>
      </w:r>
      <w:proofErr w:type="spellStart"/>
      <w:r w:rsidRPr="00E27200">
        <w:rPr>
          <w:rFonts w:asciiTheme="minorHAnsi" w:hAnsiTheme="minorHAnsi" w:cs="Arial"/>
          <w:color w:val="000000"/>
          <w:szCs w:val="19"/>
          <w:lang w:val="en-AU"/>
        </w:rPr>
        <w:t>Badili</w:t>
      </w:r>
      <w:proofErr w:type="spellEnd"/>
      <w:r w:rsidR="00935E46" w:rsidRPr="00E27200">
        <w:rPr>
          <w:rFonts w:asciiTheme="minorHAnsi" w:hAnsiTheme="minorHAnsi" w:cs="Arial"/>
          <w:color w:val="000000"/>
          <w:szCs w:val="19"/>
          <w:lang w:val="en-AU"/>
        </w:rPr>
        <w:t xml:space="preserve"> AMS in February for air freight were instead sent by </w:t>
      </w:r>
      <w:r w:rsidRPr="00E27200">
        <w:rPr>
          <w:rFonts w:asciiTheme="minorHAnsi" w:hAnsiTheme="minorHAnsi" w:cs="Arial"/>
          <w:color w:val="000000"/>
          <w:szCs w:val="19"/>
          <w:lang w:val="en-AU"/>
        </w:rPr>
        <w:t>sea</w:t>
      </w:r>
      <w:r w:rsidR="00935E46" w:rsidRPr="00E27200">
        <w:rPr>
          <w:rFonts w:asciiTheme="minorHAnsi" w:hAnsiTheme="minorHAnsi" w:cs="Arial"/>
          <w:color w:val="000000"/>
          <w:szCs w:val="19"/>
          <w:lang w:val="en-AU"/>
        </w:rPr>
        <w:t xml:space="preserve">. </w:t>
      </w:r>
    </w:p>
    <w:p w14:paraId="3D02FD98" w14:textId="77777777" w:rsidR="00A6361A" w:rsidRPr="00E27200" w:rsidRDefault="00935E46" w:rsidP="00AD3F80">
      <w:pPr>
        <w:pStyle w:val="ListParagraph"/>
        <w:numPr>
          <w:ilvl w:val="0"/>
          <w:numId w:val="16"/>
        </w:numPr>
        <w:rPr>
          <w:rFonts w:asciiTheme="minorHAnsi" w:hAnsiTheme="minorHAnsi"/>
          <w:lang w:val="en-AU"/>
        </w:rPr>
      </w:pPr>
      <w:r w:rsidRPr="00E27200">
        <w:rPr>
          <w:rFonts w:asciiTheme="minorHAnsi" w:hAnsiTheme="minorHAnsi" w:cs="Arial"/>
          <w:color w:val="000000"/>
          <w:szCs w:val="19"/>
          <w:lang w:val="en-AU"/>
        </w:rPr>
        <w:t xml:space="preserve">A UNICEF vaccine shipment that </w:t>
      </w:r>
      <w:r w:rsidR="00A6361A" w:rsidRPr="00E27200">
        <w:rPr>
          <w:rFonts w:asciiTheme="minorHAnsi" w:hAnsiTheme="minorHAnsi" w:cs="Arial"/>
          <w:color w:val="000000"/>
          <w:szCs w:val="19"/>
          <w:lang w:val="en-AU"/>
        </w:rPr>
        <w:t xml:space="preserve">remained un-shipped so </w:t>
      </w:r>
      <w:r w:rsidRPr="00E27200">
        <w:rPr>
          <w:rFonts w:asciiTheme="minorHAnsi" w:hAnsiTheme="minorHAnsi" w:cs="Arial"/>
          <w:color w:val="000000"/>
          <w:szCs w:val="19"/>
          <w:lang w:val="en-AU"/>
        </w:rPr>
        <w:t xml:space="preserve">close to vaccination campaign deadlines that the program needed to recover the supplies and freight them themselves. </w:t>
      </w:r>
    </w:p>
    <w:p w14:paraId="36C7973F" w14:textId="77777777" w:rsidR="00953B36" w:rsidRPr="00E27200" w:rsidRDefault="00DE3777" w:rsidP="00AD3F80">
      <w:pPr>
        <w:pStyle w:val="ListParagraph"/>
        <w:numPr>
          <w:ilvl w:val="0"/>
          <w:numId w:val="16"/>
        </w:numPr>
        <w:rPr>
          <w:rFonts w:asciiTheme="minorHAnsi" w:hAnsiTheme="minorHAnsi"/>
          <w:lang w:val="en-AU"/>
        </w:rPr>
      </w:pPr>
      <w:r w:rsidRPr="00E27200">
        <w:rPr>
          <w:rFonts w:asciiTheme="minorHAnsi" w:hAnsiTheme="minorHAnsi" w:cs="Arial"/>
          <w:color w:val="000000"/>
          <w:szCs w:val="19"/>
          <w:lang w:val="en-AU"/>
        </w:rPr>
        <w:t xml:space="preserve">Difficulties in replacement orders, for example reported by Mt Hagen AMS, when </w:t>
      </w:r>
      <w:r w:rsidR="00AA6106" w:rsidRPr="00E27200">
        <w:rPr>
          <w:rFonts w:asciiTheme="minorHAnsi" w:hAnsiTheme="minorHAnsi" w:cs="Arial"/>
          <w:color w:val="000000"/>
          <w:szCs w:val="19"/>
          <w:lang w:val="en-AU"/>
        </w:rPr>
        <w:t>facilities complain</w:t>
      </w:r>
      <w:r w:rsidR="00294329" w:rsidRPr="00E27200">
        <w:rPr>
          <w:rFonts w:asciiTheme="minorHAnsi" w:hAnsiTheme="minorHAnsi" w:cs="Arial"/>
          <w:color w:val="000000"/>
          <w:szCs w:val="19"/>
          <w:lang w:val="en-AU"/>
        </w:rPr>
        <w:t>ing of missing shipments place</w:t>
      </w:r>
      <w:r w:rsidR="00AA6106" w:rsidRPr="00E27200">
        <w:rPr>
          <w:rFonts w:asciiTheme="minorHAnsi" w:hAnsiTheme="minorHAnsi" w:cs="Arial"/>
          <w:color w:val="000000"/>
          <w:szCs w:val="19"/>
          <w:lang w:val="en-AU"/>
        </w:rPr>
        <w:t xml:space="preserve"> a new order</w:t>
      </w:r>
      <w:r w:rsidR="00294329" w:rsidRPr="00E27200">
        <w:rPr>
          <w:rFonts w:asciiTheme="minorHAnsi" w:hAnsiTheme="minorHAnsi" w:cs="Arial"/>
          <w:color w:val="000000"/>
          <w:szCs w:val="19"/>
          <w:lang w:val="en-AU"/>
        </w:rPr>
        <w:t>, which the AMS is unable to replenish because original goods are still in transit.</w:t>
      </w:r>
      <w:r w:rsidR="00AA6106" w:rsidRPr="00E27200">
        <w:rPr>
          <w:rFonts w:asciiTheme="minorHAnsi" w:hAnsiTheme="minorHAnsi" w:cs="Arial"/>
          <w:color w:val="000000"/>
          <w:szCs w:val="19"/>
          <w:lang w:val="en-AU"/>
        </w:rPr>
        <w:t xml:space="preserve"> </w:t>
      </w:r>
    </w:p>
    <w:p w14:paraId="22021C5D" w14:textId="77777777" w:rsidR="00AA6106" w:rsidRPr="00E27200" w:rsidRDefault="00953B36" w:rsidP="00AD3F80">
      <w:pPr>
        <w:pStyle w:val="ListParagraph"/>
        <w:numPr>
          <w:ilvl w:val="0"/>
          <w:numId w:val="16"/>
        </w:numPr>
        <w:rPr>
          <w:rFonts w:asciiTheme="minorHAnsi" w:hAnsiTheme="minorHAnsi"/>
          <w:lang w:val="en-AU"/>
        </w:rPr>
      </w:pPr>
      <w:r w:rsidRPr="00E27200">
        <w:rPr>
          <w:rFonts w:asciiTheme="minorHAnsi" w:hAnsiTheme="minorHAnsi" w:cs="Arial"/>
          <w:color w:val="000000"/>
          <w:szCs w:val="19"/>
          <w:lang w:val="en-AU"/>
        </w:rPr>
        <w:t xml:space="preserve">Transit practices that disadvantage more remote air-access sites. </w:t>
      </w:r>
      <w:r w:rsidR="00410850" w:rsidRPr="00410850">
        <w:rPr>
          <w:rFonts w:asciiTheme="minorHAnsi" w:hAnsiTheme="minorHAnsi" w:cs="Arial"/>
          <w:color w:val="000000"/>
          <w:szCs w:val="19"/>
          <w:lang w:val="en-AU"/>
        </w:rPr>
        <w:t>Long transit times negatively affect facilities’ commodity access given that an AMS is unable to send an additional shipment if there is one on record as being on transit.</w:t>
      </w:r>
      <w:r w:rsidR="00410850">
        <w:rPr>
          <w:rFonts w:asciiTheme="minorHAnsi" w:hAnsiTheme="minorHAnsi" w:cs="Arial"/>
          <w:color w:val="000000"/>
          <w:szCs w:val="19"/>
          <w:lang w:val="en-AU"/>
        </w:rPr>
        <w:t xml:space="preserve"> </w:t>
      </w:r>
      <w:r w:rsidR="00294329" w:rsidRPr="00E27200">
        <w:rPr>
          <w:rFonts w:asciiTheme="minorHAnsi" w:hAnsiTheme="minorHAnsi" w:cs="Arial"/>
          <w:color w:val="000000"/>
          <w:szCs w:val="19"/>
          <w:lang w:val="en-AU"/>
        </w:rPr>
        <w:t xml:space="preserve">One </w:t>
      </w:r>
      <w:r w:rsidR="00AA6106" w:rsidRPr="00E27200">
        <w:rPr>
          <w:rFonts w:asciiTheme="minorHAnsi" w:hAnsiTheme="minorHAnsi" w:cs="Arial"/>
          <w:color w:val="000000"/>
          <w:szCs w:val="19"/>
          <w:lang w:val="en-AU"/>
        </w:rPr>
        <w:t xml:space="preserve">extreme example is represented by a consignment to </w:t>
      </w:r>
      <w:proofErr w:type="spellStart"/>
      <w:r w:rsidR="00AA6106" w:rsidRPr="00E27200">
        <w:rPr>
          <w:rFonts w:asciiTheme="minorHAnsi" w:hAnsiTheme="minorHAnsi" w:cs="Arial"/>
          <w:color w:val="000000"/>
          <w:szCs w:val="19"/>
          <w:lang w:val="en-AU"/>
        </w:rPr>
        <w:t>Bomai</w:t>
      </w:r>
      <w:proofErr w:type="spellEnd"/>
      <w:r w:rsidR="00AA6106" w:rsidRPr="00E27200">
        <w:rPr>
          <w:rFonts w:asciiTheme="minorHAnsi" w:hAnsiTheme="minorHAnsi" w:cs="Arial"/>
          <w:color w:val="000000"/>
          <w:szCs w:val="19"/>
          <w:lang w:val="en-AU"/>
        </w:rPr>
        <w:t xml:space="preserve"> in the </w:t>
      </w:r>
      <w:proofErr w:type="spellStart"/>
      <w:r w:rsidR="00AA6106" w:rsidRPr="00E27200">
        <w:rPr>
          <w:rFonts w:asciiTheme="minorHAnsi" w:hAnsiTheme="minorHAnsi" w:cs="Arial"/>
          <w:color w:val="000000"/>
          <w:szCs w:val="19"/>
          <w:lang w:val="en-AU"/>
        </w:rPr>
        <w:t>Chimbu</w:t>
      </w:r>
      <w:proofErr w:type="spellEnd"/>
      <w:r w:rsidR="00AA6106" w:rsidRPr="00E27200">
        <w:rPr>
          <w:rFonts w:asciiTheme="minorHAnsi" w:hAnsiTheme="minorHAnsi" w:cs="Arial"/>
          <w:color w:val="000000"/>
          <w:szCs w:val="19"/>
          <w:lang w:val="en-AU"/>
        </w:rPr>
        <w:t xml:space="preserve"> province</w:t>
      </w:r>
      <w:r w:rsidR="00294329" w:rsidRPr="00E27200">
        <w:rPr>
          <w:rFonts w:asciiTheme="minorHAnsi" w:hAnsiTheme="minorHAnsi" w:cs="Arial"/>
          <w:color w:val="000000"/>
          <w:szCs w:val="19"/>
          <w:lang w:val="en-AU"/>
        </w:rPr>
        <w:t xml:space="preserve">, of an order placed in July 2012, collected from the AMS by LD Logistics </w:t>
      </w:r>
      <w:r w:rsidR="00AA6106" w:rsidRPr="00E27200">
        <w:rPr>
          <w:rFonts w:asciiTheme="minorHAnsi" w:hAnsiTheme="minorHAnsi" w:cs="Arial"/>
          <w:color w:val="000000"/>
          <w:szCs w:val="19"/>
          <w:lang w:val="en-AU"/>
        </w:rPr>
        <w:t xml:space="preserve">in August </w:t>
      </w:r>
      <w:r w:rsidR="00294329" w:rsidRPr="00E27200">
        <w:rPr>
          <w:rFonts w:asciiTheme="minorHAnsi" w:hAnsiTheme="minorHAnsi" w:cs="Arial"/>
          <w:color w:val="000000"/>
          <w:szCs w:val="19"/>
          <w:lang w:val="en-AU"/>
        </w:rPr>
        <w:t xml:space="preserve">but not received until June 2013, a transit time of </w:t>
      </w:r>
      <w:r w:rsidR="00AA6106" w:rsidRPr="00E27200">
        <w:rPr>
          <w:rFonts w:asciiTheme="minorHAnsi" w:hAnsiTheme="minorHAnsi" w:cs="Arial"/>
          <w:color w:val="000000"/>
          <w:szCs w:val="19"/>
          <w:lang w:val="en-AU"/>
        </w:rPr>
        <w:t>10 months</w:t>
      </w:r>
      <w:r w:rsidR="00766188" w:rsidRPr="00E27200">
        <w:rPr>
          <w:rFonts w:asciiTheme="minorHAnsi" w:hAnsiTheme="minorHAnsi" w:cs="Arial"/>
          <w:color w:val="000000"/>
          <w:szCs w:val="19"/>
          <w:lang w:val="en-AU"/>
        </w:rPr>
        <w:t xml:space="preserve">. </w:t>
      </w:r>
      <w:r w:rsidRPr="00E27200">
        <w:rPr>
          <w:rFonts w:asciiTheme="minorHAnsi" w:hAnsiTheme="minorHAnsi" w:cs="Arial"/>
          <w:color w:val="000000"/>
          <w:szCs w:val="19"/>
          <w:lang w:val="en-AU"/>
        </w:rPr>
        <w:t xml:space="preserve">The reason given was that </w:t>
      </w:r>
      <w:r w:rsidR="00AA6106" w:rsidRPr="00E27200">
        <w:rPr>
          <w:rFonts w:asciiTheme="minorHAnsi" w:hAnsiTheme="minorHAnsi" w:cs="Arial"/>
          <w:color w:val="000000"/>
          <w:szCs w:val="19"/>
          <w:lang w:val="en-AU"/>
        </w:rPr>
        <w:t xml:space="preserve">LD Logistics </w:t>
      </w:r>
      <w:r w:rsidRPr="00E27200">
        <w:rPr>
          <w:rFonts w:asciiTheme="minorHAnsi" w:hAnsiTheme="minorHAnsi" w:cs="Arial"/>
          <w:color w:val="000000"/>
          <w:szCs w:val="19"/>
          <w:lang w:val="en-AU"/>
        </w:rPr>
        <w:t xml:space="preserve">waited on </w:t>
      </w:r>
      <w:r w:rsidR="00AA6106" w:rsidRPr="00E27200">
        <w:rPr>
          <w:rFonts w:asciiTheme="minorHAnsi" w:hAnsiTheme="minorHAnsi" w:cs="Arial"/>
          <w:color w:val="000000"/>
          <w:szCs w:val="19"/>
          <w:lang w:val="en-AU"/>
        </w:rPr>
        <w:t>other load</w:t>
      </w:r>
      <w:r w:rsidRPr="00E27200">
        <w:rPr>
          <w:rFonts w:asciiTheme="minorHAnsi" w:hAnsiTheme="minorHAnsi" w:cs="Arial"/>
          <w:color w:val="000000"/>
          <w:szCs w:val="19"/>
          <w:lang w:val="en-AU"/>
        </w:rPr>
        <w:t>s</w:t>
      </w:r>
      <w:r w:rsidR="00AA6106" w:rsidRPr="00E27200">
        <w:rPr>
          <w:rFonts w:asciiTheme="minorHAnsi" w:hAnsiTheme="minorHAnsi" w:cs="Arial"/>
          <w:color w:val="000000"/>
          <w:szCs w:val="19"/>
          <w:lang w:val="en-AU"/>
        </w:rPr>
        <w:t xml:space="preserve"> </w:t>
      </w:r>
      <w:r w:rsidRPr="00E27200">
        <w:rPr>
          <w:rFonts w:asciiTheme="minorHAnsi" w:hAnsiTheme="minorHAnsi" w:cs="Arial"/>
          <w:color w:val="000000"/>
          <w:szCs w:val="19"/>
          <w:lang w:val="en-AU"/>
        </w:rPr>
        <w:t>to</w:t>
      </w:r>
      <w:r w:rsidR="00AA6106" w:rsidRPr="00E27200">
        <w:rPr>
          <w:rFonts w:asciiTheme="minorHAnsi" w:hAnsiTheme="minorHAnsi" w:cs="Arial"/>
          <w:color w:val="000000"/>
          <w:szCs w:val="19"/>
          <w:lang w:val="en-AU"/>
        </w:rPr>
        <w:t xml:space="preserve"> consolidate shipments making it more cost efficient.</w:t>
      </w:r>
    </w:p>
    <w:p w14:paraId="4606D268" w14:textId="77777777" w:rsidR="002621BA" w:rsidRPr="00E27200" w:rsidRDefault="002621BA" w:rsidP="002621BA">
      <w:pPr>
        <w:rPr>
          <w:lang w:val="en-AU"/>
        </w:rPr>
      </w:pPr>
    </w:p>
    <w:p w14:paraId="0EC2C995" w14:textId="77777777" w:rsidR="00017CB5" w:rsidRPr="00E27200" w:rsidRDefault="00017CB5" w:rsidP="00017CB5">
      <w:pPr>
        <w:ind w:right="-46"/>
        <w:rPr>
          <w:lang w:val="en-AU"/>
        </w:rPr>
      </w:pPr>
      <w:r w:rsidRPr="00E27200">
        <w:rPr>
          <w:lang w:val="en-AU"/>
        </w:rPr>
        <w:t xml:space="preserve">HFs attempted to overcome this with a variety of trouble-shooting – using phone calls or visits to AMS to attempt to track their orders. </w:t>
      </w:r>
      <w:proofErr w:type="spellStart"/>
      <w:r w:rsidRPr="00E27200">
        <w:rPr>
          <w:lang w:val="en-AU"/>
        </w:rPr>
        <w:t>Badili</w:t>
      </w:r>
      <w:proofErr w:type="spellEnd"/>
      <w:r w:rsidRPr="00E27200">
        <w:rPr>
          <w:lang w:val="en-AU"/>
        </w:rPr>
        <w:t xml:space="preserve"> AMS was frequently reported as unresponsive to such calls, while some informants noted that NDOH contacts in MSPD often did help solve delivery problems on behalf of either HFs or AMS. Many health managers reported having to send their staff to an AMS (most often </w:t>
      </w:r>
      <w:proofErr w:type="spellStart"/>
      <w:r w:rsidRPr="00E27200">
        <w:rPr>
          <w:lang w:val="en-AU"/>
        </w:rPr>
        <w:t>Badili</w:t>
      </w:r>
      <w:proofErr w:type="spellEnd"/>
      <w:r w:rsidRPr="00E27200">
        <w:rPr>
          <w:lang w:val="en-AU"/>
        </w:rPr>
        <w:t xml:space="preserve">) to retrieve their own supplies, and there were occasional reports of AMS staff request funds from a provincial health office before distributing supplies. The AMS in </w:t>
      </w:r>
      <w:proofErr w:type="spellStart"/>
      <w:r w:rsidRPr="00E27200">
        <w:rPr>
          <w:lang w:val="en-AU"/>
        </w:rPr>
        <w:t>Lae</w:t>
      </w:r>
      <w:proofErr w:type="spellEnd"/>
      <w:r w:rsidRPr="00E27200">
        <w:rPr>
          <w:lang w:val="en-AU"/>
        </w:rPr>
        <w:t xml:space="preserve"> monitored through a weekly check on stocks held at LD Logistics. Records from an audit in May 2013 showed stock being held at the LD Logistics office for between 2 to 39 days (excluding weekends). Calls are made to HFs to validate if orders have indeed been received, triggered by discrepancies between date of receipt and date of dispatch and if the person signing for the goods at the HF</w:t>
      </w:r>
      <w:r w:rsidR="006C141D" w:rsidRPr="00E27200">
        <w:rPr>
          <w:lang w:val="en-AU"/>
        </w:rPr>
        <w:t xml:space="preserve"> are not the officer in charge.</w:t>
      </w:r>
    </w:p>
    <w:p w14:paraId="61BC1EE3" w14:textId="77777777" w:rsidR="00017CB5" w:rsidRPr="00E27200" w:rsidRDefault="00017CB5" w:rsidP="002621BA">
      <w:pPr>
        <w:rPr>
          <w:lang w:val="en-AU"/>
        </w:rPr>
      </w:pPr>
    </w:p>
    <w:p w14:paraId="08F9C86E" w14:textId="77777777" w:rsidR="00BA5630" w:rsidRPr="00E27200" w:rsidRDefault="00BA5630" w:rsidP="00BA5630">
      <w:pPr>
        <w:rPr>
          <w:spacing w:val="-2"/>
          <w:szCs w:val="22"/>
          <w:lang w:val="en-AU"/>
        </w:rPr>
      </w:pPr>
      <w:r w:rsidRPr="00E27200">
        <w:rPr>
          <w:spacing w:val="-2"/>
          <w:szCs w:val="22"/>
          <w:lang w:val="en-AU"/>
        </w:rPr>
        <w:t xml:space="preserve">Health managers raised many issues with communication in the distribution process. It was generally noted that there was a lack of communication between the AMS, LD Logistics and the health facility as to when the health facility’s order was going to arrive with the pull system of ordering and distribution. </w:t>
      </w:r>
      <w:r w:rsidR="00017CB5" w:rsidRPr="00E27200">
        <w:rPr>
          <w:spacing w:val="-2"/>
          <w:szCs w:val="22"/>
          <w:lang w:val="en-AU"/>
        </w:rPr>
        <w:t xml:space="preserve">Provincial staff reported often trying to communicate to find out delivery schedules. </w:t>
      </w:r>
      <w:r w:rsidR="00C477A3" w:rsidRPr="00E27200">
        <w:rPr>
          <w:rFonts w:cs="Arial"/>
          <w:color w:val="000000"/>
          <w:spacing w:val="-2"/>
          <w:szCs w:val="22"/>
          <w:lang w:val="en-AU"/>
        </w:rPr>
        <w:t xml:space="preserve">In the Warehouse and Logistics Advisor Exit Report (July 2013), it mentioned that LD Logistics does not provide regular shipping schedules that would assist AMS </w:t>
      </w:r>
      <w:proofErr w:type="spellStart"/>
      <w:r w:rsidR="00C477A3" w:rsidRPr="00E27200">
        <w:rPr>
          <w:rFonts w:cs="Arial"/>
          <w:color w:val="000000"/>
          <w:spacing w:val="-2"/>
          <w:szCs w:val="22"/>
          <w:lang w:val="en-AU"/>
        </w:rPr>
        <w:t>Badili</w:t>
      </w:r>
      <w:proofErr w:type="spellEnd"/>
      <w:r w:rsidR="00C477A3" w:rsidRPr="00E27200">
        <w:rPr>
          <w:rFonts w:cs="Arial"/>
          <w:color w:val="000000"/>
          <w:spacing w:val="-2"/>
          <w:szCs w:val="22"/>
          <w:lang w:val="en-AU"/>
        </w:rPr>
        <w:t xml:space="preserve"> in coordinating the picking and packing of consignments (the contractor uses multiple shipping agents).  </w:t>
      </w:r>
      <w:r w:rsidR="00C477A3" w:rsidRPr="00E27200">
        <w:rPr>
          <w:spacing w:val="-2"/>
          <w:szCs w:val="22"/>
          <w:lang w:val="en-AU"/>
        </w:rPr>
        <w:t xml:space="preserve">A number of health managers cited the core of the problem being the intermediary of a </w:t>
      </w:r>
      <w:r w:rsidRPr="00E27200">
        <w:rPr>
          <w:spacing w:val="-2"/>
          <w:szCs w:val="22"/>
          <w:lang w:val="en-AU"/>
        </w:rPr>
        <w:t>private contractor</w:t>
      </w:r>
      <w:r w:rsidR="00C477A3" w:rsidRPr="00E27200">
        <w:rPr>
          <w:spacing w:val="-2"/>
          <w:szCs w:val="22"/>
          <w:lang w:val="en-AU"/>
        </w:rPr>
        <w:t xml:space="preserve">, which may be managing </w:t>
      </w:r>
      <w:r w:rsidR="00E65AB1" w:rsidRPr="00E27200">
        <w:rPr>
          <w:spacing w:val="-2"/>
          <w:szCs w:val="22"/>
          <w:lang w:val="en-AU"/>
        </w:rPr>
        <w:t xml:space="preserve">timing and routes in way that favours their own cost-efficiency over the need for timely delivery. </w:t>
      </w:r>
    </w:p>
    <w:p w14:paraId="718ACEE4" w14:textId="77777777" w:rsidR="00BA5630" w:rsidRPr="00E27200" w:rsidRDefault="00BA5630" w:rsidP="002621BA">
      <w:pPr>
        <w:rPr>
          <w:lang w:val="en-AU"/>
        </w:rPr>
      </w:pPr>
    </w:p>
    <w:p w14:paraId="75300419" w14:textId="77777777" w:rsidR="00E65AB1" w:rsidRPr="00E27200" w:rsidRDefault="00E65AB1" w:rsidP="00E65AB1">
      <w:pPr>
        <w:rPr>
          <w:rFonts w:asciiTheme="minorHAnsi" w:hAnsiTheme="minorHAnsi" w:cs="Arial"/>
          <w:color w:val="000000"/>
          <w:szCs w:val="19"/>
          <w:lang w:val="en-AU"/>
        </w:rPr>
      </w:pPr>
      <w:r w:rsidRPr="00E27200">
        <w:rPr>
          <w:rFonts w:asciiTheme="minorHAnsi" w:hAnsiTheme="minorHAnsi" w:cs="Arial"/>
          <w:color w:val="000000"/>
          <w:szCs w:val="19"/>
          <w:lang w:val="en-AU"/>
        </w:rPr>
        <w:lastRenderedPageBreak/>
        <w:t xml:space="preserve">One health manager stated (but without providing evidence) </w:t>
      </w:r>
      <w:r w:rsidRPr="00E27200">
        <w:rPr>
          <w:rFonts w:asciiTheme="minorHAnsi" w:hAnsiTheme="minorHAnsi" w:cs="Arial"/>
          <w:i/>
          <w:color w:val="000000"/>
          <w:szCs w:val="19"/>
          <w:lang w:val="en-AU"/>
        </w:rPr>
        <w:t xml:space="preserve">“There is no communication. Our bimonthly MSIVs have not been processed for one and a half years.” </w:t>
      </w:r>
      <w:r w:rsidRPr="00E27200">
        <w:rPr>
          <w:rFonts w:asciiTheme="minorHAnsi" w:hAnsiTheme="minorHAnsi" w:cs="Arial"/>
          <w:color w:val="000000"/>
          <w:szCs w:val="19"/>
          <w:lang w:val="en-AU"/>
        </w:rPr>
        <w:t>This level of frustration over inadequate communication was echoed many times in the qualitative data, for example:</w:t>
      </w:r>
    </w:p>
    <w:p w14:paraId="4E1A3C46" w14:textId="77777777" w:rsidR="00BA5630" w:rsidRPr="00E27200" w:rsidRDefault="00BA5630" w:rsidP="00E65AB1">
      <w:pPr>
        <w:ind w:left="720" w:right="946"/>
        <w:rPr>
          <w:rFonts w:asciiTheme="minorHAnsi" w:hAnsiTheme="minorHAnsi" w:cs="Arial"/>
          <w:color w:val="000000"/>
          <w:szCs w:val="19"/>
          <w:lang w:val="en-AU"/>
        </w:rPr>
      </w:pPr>
      <w:r w:rsidRPr="00E27200">
        <w:rPr>
          <w:i/>
          <w:lang w:val="en-AU"/>
        </w:rPr>
        <w:t>“The Provincial Health Office (PHO) from the start must be part of the team, particularly in the distribution of drugs from the AMS to the PTS and then down to the health centres and aid post level. Currently the PHO is not part of the team and that is why medical supplies are still not reaching the aid post level.”</w:t>
      </w:r>
    </w:p>
    <w:p w14:paraId="5F8739BF" w14:textId="77777777" w:rsidR="00BA5630" w:rsidRPr="00E27200" w:rsidRDefault="00BA5630" w:rsidP="002621BA">
      <w:pPr>
        <w:rPr>
          <w:lang w:val="en-AU"/>
        </w:rPr>
      </w:pPr>
    </w:p>
    <w:p w14:paraId="61BF38F0" w14:textId="77777777" w:rsidR="00A61626" w:rsidRPr="00E27200" w:rsidRDefault="00E65AB1" w:rsidP="00602063">
      <w:pPr>
        <w:rPr>
          <w:lang w:val="en-AU"/>
        </w:rPr>
      </w:pPr>
      <w:r w:rsidRPr="00E27200">
        <w:rPr>
          <w:lang w:val="en-AU"/>
        </w:rPr>
        <w:t>The absence of communication requirements, or their enforcement, in logistic contracting seems a serious hindrance to supplies. Future support from better logistics management information, especially if computerised and/or making use of new communications technologies</w:t>
      </w:r>
      <w:r w:rsidR="001C66AC" w:rsidRPr="00E27200">
        <w:rPr>
          <w:lang w:val="en-AU"/>
        </w:rPr>
        <w:t>, may be a key to improving information flow and enabling greater transparency within the ‘pull’ system supply chain.</w:t>
      </w:r>
    </w:p>
    <w:p w14:paraId="7FF8463F" w14:textId="77777777" w:rsidR="00602063" w:rsidRPr="00E27200" w:rsidRDefault="00602063" w:rsidP="00602063">
      <w:pPr>
        <w:rPr>
          <w:lang w:val="en-AU"/>
        </w:rPr>
      </w:pPr>
    </w:p>
    <w:p w14:paraId="72ABD0C6" w14:textId="77777777" w:rsidR="00E65AB1" w:rsidRPr="00E27200" w:rsidRDefault="003366BB" w:rsidP="00E65AB1">
      <w:pPr>
        <w:pStyle w:val="Heading3"/>
        <w:ind w:left="567"/>
      </w:pPr>
      <w:r w:rsidRPr="00E27200">
        <w:t>‘Push’ system</w:t>
      </w:r>
      <w:r w:rsidR="00BB479E" w:rsidRPr="00E27200">
        <w:t xml:space="preserve"> </w:t>
      </w:r>
      <w:r w:rsidRPr="00E27200">
        <w:t xml:space="preserve">contracting and organisation for the </w:t>
      </w:r>
      <w:r w:rsidR="00306AA2" w:rsidRPr="00E27200">
        <w:t>100% kits</w:t>
      </w:r>
    </w:p>
    <w:p w14:paraId="44753FBB" w14:textId="5970AB81" w:rsidR="00BB479E" w:rsidRPr="00E27200" w:rsidRDefault="00BB479E" w:rsidP="00BB4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The 100% kits </w:t>
      </w:r>
      <w:r w:rsidR="001A4624">
        <w:rPr>
          <w:rFonts w:asciiTheme="minorHAnsi" w:hAnsiTheme="minorHAnsi" w:cs="Arial"/>
          <w:color w:val="000000"/>
          <w:szCs w:val="19"/>
          <w:lang w:val="en-AU"/>
        </w:rPr>
        <w:t>we</w:t>
      </w:r>
      <w:r w:rsidRPr="00E27200">
        <w:rPr>
          <w:rFonts w:asciiTheme="minorHAnsi" w:hAnsiTheme="minorHAnsi" w:cs="Arial"/>
          <w:color w:val="000000"/>
          <w:szCs w:val="19"/>
          <w:lang w:val="en-AU"/>
        </w:rPr>
        <w:t xml:space="preserve">re the latest iteration of the ‘push’ system of emergency measures that have been deployed in PNG for more than </w:t>
      </w:r>
      <w:r w:rsidR="00DF42C4">
        <w:rPr>
          <w:rFonts w:asciiTheme="minorHAnsi" w:hAnsiTheme="minorHAnsi" w:cs="Arial"/>
          <w:color w:val="000000"/>
          <w:szCs w:val="19"/>
          <w:lang w:val="en-AU"/>
        </w:rPr>
        <w:t>ten</w:t>
      </w:r>
      <w:r w:rsidRPr="00E27200">
        <w:rPr>
          <w:rFonts w:asciiTheme="minorHAnsi" w:hAnsiTheme="minorHAnsi" w:cs="Arial"/>
          <w:color w:val="000000"/>
          <w:szCs w:val="19"/>
          <w:lang w:val="en-AU"/>
        </w:rPr>
        <w:t xml:space="preserve"> years. Previous push systems were said to improve availability (though </w:t>
      </w:r>
      <w:r w:rsidR="001A4624">
        <w:rPr>
          <w:rFonts w:asciiTheme="minorHAnsi" w:hAnsiTheme="minorHAnsi" w:cs="Arial"/>
          <w:color w:val="000000"/>
          <w:szCs w:val="19"/>
          <w:lang w:val="en-AU"/>
        </w:rPr>
        <w:t>availability increases were not clearly measured</w:t>
      </w:r>
      <w:r w:rsidRPr="00E27200">
        <w:rPr>
          <w:rFonts w:asciiTheme="minorHAnsi" w:hAnsiTheme="minorHAnsi" w:cs="Arial"/>
          <w:color w:val="000000"/>
          <w:szCs w:val="19"/>
          <w:lang w:val="en-AU"/>
        </w:rPr>
        <w:t xml:space="preserve">) and the period from 2006 to 2010 when they were discontinued was </w:t>
      </w:r>
      <w:r w:rsidR="001A4624">
        <w:rPr>
          <w:rFonts w:asciiTheme="minorHAnsi" w:hAnsiTheme="minorHAnsi" w:cs="Arial"/>
          <w:color w:val="000000"/>
          <w:szCs w:val="19"/>
          <w:lang w:val="en-AU"/>
        </w:rPr>
        <w:t>reported as</w:t>
      </w:r>
      <w:r w:rsidR="001A4624" w:rsidRPr="00E27200">
        <w:rPr>
          <w:rFonts w:asciiTheme="minorHAnsi" w:hAnsiTheme="minorHAnsi" w:cs="Arial"/>
          <w:color w:val="000000"/>
          <w:szCs w:val="19"/>
          <w:lang w:val="en-AU"/>
        </w:rPr>
        <w:t xml:space="preserve"> </w:t>
      </w:r>
      <w:r w:rsidRPr="00E27200">
        <w:rPr>
          <w:rFonts w:asciiTheme="minorHAnsi" w:hAnsiTheme="minorHAnsi" w:cs="Arial"/>
          <w:color w:val="000000"/>
          <w:szCs w:val="19"/>
          <w:lang w:val="en-AU"/>
        </w:rPr>
        <w:t>characterized by i</w:t>
      </w:r>
      <w:r w:rsidR="003366BB" w:rsidRPr="00E27200">
        <w:rPr>
          <w:rFonts w:asciiTheme="minorHAnsi" w:hAnsiTheme="minorHAnsi" w:cs="Arial"/>
          <w:color w:val="000000"/>
          <w:szCs w:val="19"/>
          <w:lang w:val="en-AU"/>
        </w:rPr>
        <w:t>n</w:t>
      </w:r>
      <w:r w:rsidRPr="00E27200">
        <w:rPr>
          <w:rFonts w:asciiTheme="minorHAnsi" w:hAnsiTheme="minorHAnsi" w:cs="Arial"/>
          <w:color w:val="000000"/>
          <w:szCs w:val="19"/>
          <w:lang w:val="en-AU"/>
        </w:rPr>
        <w:t>creased</w:t>
      </w:r>
      <w:r w:rsidR="003366BB" w:rsidRPr="00E27200">
        <w:rPr>
          <w:rFonts w:asciiTheme="minorHAnsi" w:hAnsiTheme="minorHAnsi" w:cs="Arial"/>
          <w:color w:val="000000"/>
          <w:szCs w:val="19"/>
          <w:lang w:val="en-AU"/>
        </w:rPr>
        <w:t xml:space="preserve"> supply disruptions</w:t>
      </w:r>
      <w:r w:rsidR="003366BB" w:rsidRPr="00760CE9">
        <w:rPr>
          <w:rFonts w:asciiTheme="minorHAnsi" w:hAnsiTheme="minorHAnsi" w:cs="Arial"/>
          <w:color w:val="000000"/>
          <w:szCs w:val="19"/>
          <w:lang w:val="en-AU"/>
        </w:rPr>
        <w:t xml:space="preserve">. </w:t>
      </w:r>
      <w:r w:rsidRPr="00760CE9">
        <w:rPr>
          <w:rFonts w:asciiTheme="minorHAnsi" w:hAnsiTheme="minorHAnsi" w:cs="Arial"/>
          <w:color w:val="000000"/>
          <w:szCs w:val="19"/>
          <w:lang w:val="en-AU"/>
        </w:rPr>
        <w:t xml:space="preserve">The </w:t>
      </w:r>
      <w:r w:rsidR="00B05681" w:rsidRPr="00760CE9">
        <w:rPr>
          <w:rFonts w:asciiTheme="minorHAnsi" w:hAnsiTheme="minorHAnsi" w:cs="Arial"/>
          <w:color w:val="000000"/>
          <w:szCs w:val="19"/>
          <w:lang w:val="en-AU"/>
        </w:rPr>
        <w:t xml:space="preserve">100% </w:t>
      </w:r>
      <w:r w:rsidRPr="00760CE9">
        <w:rPr>
          <w:rFonts w:asciiTheme="minorHAnsi" w:hAnsiTheme="minorHAnsi" w:cs="Arial"/>
          <w:color w:val="000000"/>
          <w:szCs w:val="19"/>
          <w:lang w:val="en-AU"/>
        </w:rPr>
        <w:t xml:space="preserve">kit contract was awarded as single source procurement </w:t>
      </w:r>
      <w:r w:rsidR="00C606FB" w:rsidRPr="00760CE9">
        <w:rPr>
          <w:rFonts w:asciiTheme="minorHAnsi" w:hAnsiTheme="minorHAnsi" w:cs="Arial"/>
          <w:color w:val="000000"/>
          <w:szCs w:val="19"/>
          <w:lang w:val="en-AU"/>
        </w:rPr>
        <w:t>(due to the need to urgently</w:t>
      </w:r>
      <w:r w:rsidR="00C606FB" w:rsidRPr="00C606FB">
        <w:rPr>
          <w:rFonts w:asciiTheme="minorHAnsi" w:hAnsiTheme="minorHAnsi" w:cs="Arial"/>
          <w:color w:val="000000"/>
          <w:szCs w:val="19"/>
          <w:lang w:val="en-AU"/>
        </w:rPr>
        <w:t xml:space="preserve"> address </w:t>
      </w:r>
      <w:r w:rsidR="00C606FB">
        <w:rPr>
          <w:rFonts w:asciiTheme="minorHAnsi" w:hAnsiTheme="minorHAnsi" w:cs="Arial"/>
          <w:color w:val="000000"/>
          <w:szCs w:val="19"/>
          <w:lang w:val="en-AU"/>
        </w:rPr>
        <w:t xml:space="preserve">acknowledged problems, including high rates of </w:t>
      </w:r>
      <w:r w:rsidR="00C606FB" w:rsidRPr="00C606FB">
        <w:rPr>
          <w:rFonts w:asciiTheme="minorHAnsi" w:hAnsiTheme="minorHAnsi" w:cs="Arial"/>
          <w:color w:val="000000"/>
          <w:szCs w:val="19"/>
          <w:lang w:val="en-AU"/>
        </w:rPr>
        <w:t>stock-out</w:t>
      </w:r>
      <w:r w:rsidR="00C606FB">
        <w:rPr>
          <w:rFonts w:asciiTheme="minorHAnsi" w:hAnsiTheme="minorHAnsi" w:cs="Arial"/>
          <w:color w:val="000000"/>
          <w:szCs w:val="19"/>
          <w:lang w:val="en-AU"/>
        </w:rPr>
        <w:t xml:space="preserve">) </w:t>
      </w:r>
      <w:r w:rsidRPr="00E27200">
        <w:rPr>
          <w:rFonts w:asciiTheme="minorHAnsi" w:hAnsiTheme="minorHAnsi" w:cs="Arial"/>
          <w:color w:val="000000"/>
          <w:szCs w:val="19"/>
          <w:lang w:val="en-AU"/>
        </w:rPr>
        <w:t xml:space="preserve">to </w:t>
      </w:r>
      <w:r w:rsidR="003366BB" w:rsidRPr="00E27200">
        <w:rPr>
          <w:rFonts w:asciiTheme="minorHAnsi" w:hAnsiTheme="minorHAnsi" w:cs="Arial"/>
          <w:color w:val="000000"/>
          <w:szCs w:val="19"/>
          <w:lang w:val="en-AU"/>
        </w:rPr>
        <w:t>an inter</w:t>
      </w:r>
      <w:r w:rsidR="00780E2B">
        <w:rPr>
          <w:rFonts w:asciiTheme="minorHAnsi" w:hAnsiTheme="minorHAnsi" w:cs="Arial"/>
          <w:color w:val="000000"/>
          <w:szCs w:val="19"/>
          <w:lang w:val="en-AU"/>
        </w:rPr>
        <w:t>national quality-assured pharmaceutical supplies contractor</w:t>
      </w:r>
      <w:r w:rsidR="003366BB" w:rsidRPr="00E27200">
        <w:rPr>
          <w:rFonts w:asciiTheme="minorHAnsi" w:hAnsiTheme="minorHAnsi" w:cs="Arial"/>
          <w:color w:val="000000"/>
          <w:szCs w:val="19"/>
          <w:lang w:val="en-AU"/>
        </w:rPr>
        <w:t xml:space="preserve">, which </w:t>
      </w:r>
      <w:r w:rsidRPr="00E27200">
        <w:rPr>
          <w:rFonts w:asciiTheme="minorHAnsi" w:hAnsiTheme="minorHAnsi" w:cs="Arial"/>
          <w:color w:val="000000"/>
          <w:szCs w:val="19"/>
          <w:lang w:val="en-AU"/>
        </w:rPr>
        <w:t xml:space="preserve">delivers directly to five ports: Port Moresby, </w:t>
      </w:r>
      <w:proofErr w:type="spellStart"/>
      <w:r w:rsidRPr="00E27200">
        <w:rPr>
          <w:rFonts w:asciiTheme="minorHAnsi" w:hAnsiTheme="minorHAnsi" w:cs="Arial"/>
          <w:color w:val="000000"/>
          <w:szCs w:val="19"/>
          <w:lang w:val="en-AU"/>
        </w:rPr>
        <w:t>Lae</w:t>
      </w:r>
      <w:proofErr w:type="spellEnd"/>
      <w:r w:rsidRPr="00E27200">
        <w:rPr>
          <w:rFonts w:asciiTheme="minorHAnsi" w:hAnsiTheme="minorHAnsi" w:cs="Arial"/>
          <w:color w:val="000000"/>
          <w:szCs w:val="19"/>
          <w:lang w:val="en-AU"/>
        </w:rPr>
        <w:t xml:space="preserve">, </w:t>
      </w:r>
      <w:proofErr w:type="spellStart"/>
      <w:r w:rsidRPr="00E27200">
        <w:rPr>
          <w:rFonts w:asciiTheme="minorHAnsi" w:hAnsiTheme="minorHAnsi" w:cs="Arial"/>
          <w:color w:val="000000"/>
          <w:szCs w:val="19"/>
          <w:lang w:val="en-AU"/>
        </w:rPr>
        <w:t>Madang</w:t>
      </w:r>
      <w:proofErr w:type="spellEnd"/>
      <w:r w:rsidRPr="00E27200">
        <w:rPr>
          <w:rFonts w:asciiTheme="minorHAnsi" w:hAnsiTheme="minorHAnsi" w:cs="Arial"/>
          <w:color w:val="000000"/>
          <w:szCs w:val="19"/>
          <w:lang w:val="en-AU"/>
        </w:rPr>
        <w:t>, Wewak (</w:t>
      </w:r>
      <w:r w:rsidR="002E785F" w:rsidRPr="00E27200">
        <w:rPr>
          <w:rFonts w:asciiTheme="minorHAnsi" w:hAnsiTheme="minorHAnsi" w:cs="Arial"/>
          <w:color w:val="000000"/>
          <w:szCs w:val="19"/>
          <w:lang w:val="en-AU"/>
        </w:rPr>
        <w:t>transhipment</w:t>
      </w:r>
      <w:r w:rsidRPr="00E27200">
        <w:rPr>
          <w:rFonts w:asciiTheme="minorHAnsi" w:hAnsiTheme="minorHAnsi" w:cs="Arial"/>
          <w:color w:val="000000"/>
          <w:szCs w:val="19"/>
          <w:lang w:val="en-AU"/>
        </w:rPr>
        <w:t xml:space="preserve"> from </w:t>
      </w:r>
      <w:proofErr w:type="spellStart"/>
      <w:r w:rsidRPr="00E27200">
        <w:rPr>
          <w:rFonts w:asciiTheme="minorHAnsi" w:hAnsiTheme="minorHAnsi" w:cs="Arial"/>
          <w:color w:val="000000"/>
          <w:szCs w:val="19"/>
          <w:lang w:val="en-AU"/>
        </w:rPr>
        <w:t>Lae</w:t>
      </w:r>
      <w:proofErr w:type="spellEnd"/>
      <w:r w:rsidRPr="00E27200">
        <w:rPr>
          <w:rFonts w:asciiTheme="minorHAnsi" w:hAnsiTheme="minorHAnsi" w:cs="Arial"/>
          <w:color w:val="000000"/>
          <w:szCs w:val="19"/>
          <w:lang w:val="en-AU"/>
        </w:rPr>
        <w:t xml:space="preserve">) and </w:t>
      </w:r>
      <w:proofErr w:type="spellStart"/>
      <w:r w:rsidRPr="00E27200">
        <w:rPr>
          <w:rFonts w:asciiTheme="minorHAnsi" w:hAnsiTheme="minorHAnsi" w:cs="Arial"/>
          <w:color w:val="000000"/>
          <w:szCs w:val="19"/>
          <w:lang w:val="en-AU"/>
        </w:rPr>
        <w:t>Rabaul</w:t>
      </w:r>
      <w:proofErr w:type="spellEnd"/>
      <w:r w:rsidRPr="00E27200">
        <w:rPr>
          <w:rFonts w:asciiTheme="minorHAnsi" w:hAnsiTheme="minorHAnsi" w:cs="Arial"/>
          <w:color w:val="000000"/>
          <w:szCs w:val="19"/>
          <w:lang w:val="en-AU"/>
        </w:rPr>
        <w:t xml:space="preserve">.  </w:t>
      </w:r>
      <w:r w:rsidR="003366BB" w:rsidRPr="00E27200">
        <w:rPr>
          <w:rFonts w:asciiTheme="minorHAnsi" w:hAnsiTheme="minorHAnsi" w:cs="Arial"/>
          <w:color w:val="000000"/>
          <w:szCs w:val="19"/>
          <w:lang w:val="en-AU"/>
        </w:rPr>
        <w:t>Earlier arrangements for delivery</w:t>
      </w:r>
      <w:r w:rsidRPr="00E27200">
        <w:rPr>
          <w:rFonts w:asciiTheme="minorHAnsi" w:hAnsiTheme="minorHAnsi" w:cs="Arial"/>
          <w:color w:val="000000"/>
          <w:szCs w:val="19"/>
          <w:lang w:val="en-AU"/>
        </w:rPr>
        <w:t xml:space="preserve"> to </w:t>
      </w:r>
      <w:proofErr w:type="spellStart"/>
      <w:r w:rsidRPr="00E27200">
        <w:rPr>
          <w:rFonts w:asciiTheme="minorHAnsi" w:hAnsiTheme="minorHAnsi" w:cs="Arial"/>
          <w:color w:val="000000"/>
          <w:szCs w:val="19"/>
          <w:lang w:val="en-AU"/>
        </w:rPr>
        <w:t>Kimbe</w:t>
      </w:r>
      <w:proofErr w:type="spellEnd"/>
      <w:r w:rsidR="003366BB" w:rsidRPr="00E27200">
        <w:rPr>
          <w:rFonts w:asciiTheme="minorHAnsi" w:hAnsiTheme="minorHAnsi" w:cs="Arial"/>
          <w:color w:val="000000"/>
          <w:szCs w:val="19"/>
          <w:lang w:val="en-AU"/>
        </w:rPr>
        <w:t xml:space="preserve"> port</w:t>
      </w:r>
      <w:r w:rsidRPr="00E27200">
        <w:rPr>
          <w:rFonts w:asciiTheme="minorHAnsi" w:hAnsiTheme="minorHAnsi" w:cs="Arial"/>
          <w:color w:val="000000"/>
          <w:szCs w:val="19"/>
          <w:lang w:val="en-AU"/>
        </w:rPr>
        <w:t xml:space="preserve"> were </w:t>
      </w:r>
      <w:r w:rsidR="003366BB" w:rsidRPr="00E27200">
        <w:rPr>
          <w:rFonts w:asciiTheme="minorHAnsi" w:hAnsiTheme="minorHAnsi" w:cs="Arial"/>
          <w:color w:val="000000"/>
          <w:szCs w:val="19"/>
          <w:lang w:val="en-AU"/>
        </w:rPr>
        <w:t>discontinued</w:t>
      </w:r>
      <w:r w:rsidRPr="00E27200">
        <w:rPr>
          <w:rFonts w:asciiTheme="minorHAnsi" w:hAnsiTheme="minorHAnsi" w:cs="Arial"/>
          <w:color w:val="000000"/>
          <w:szCs w:val="19"/>
          <w:lang w:val="en-AU"/>
        </w:rPr>
        <w:t xml:space="preserve"> for round 2 of the kit distribution.  Full container loads </w:t>
      </w:r>
      <w:r w:rsidR="000233C6">
        <w:rPr>
          <w:rFonts w:asciiTheme="minorHAnsi" w:hAnsiTheme="minorHAnsi" w:cs="Arial"/>
          <w:color w:val="000000"/>
          <w:szCs w:val="19"/>
          <w:lang w:val="en-AU"/>
        </w:rPr>
        <w:t>went</w:t>
      </w:r>
      <w:r w:rsidR="000233C6" w:rsidRPr="00E27200">
        <w:rPr>
          <w:rFonts w:asciiTheme="minorHAnsi" w:hAnsiTheme="minorHAnsi" w:cs="Arial"/>
          <w:color w:val="000000"/>
          <w:szCs w:val="19"/>
          <w:lang w:val="en-AU"/>
        </w:rPr>
        <w:t xml:space="preserve"> </w:t>
      </w:r>
      <w:r w:rsidRPr="00E27200">
        <w:rPr>
          <w:rFonts w:asciiTheme="minorHAnsi" w:hAnsiTheme="minorHAnsi" w:cs="Arial"/>
          <w:color w:val="000000"/>
          <w:szCs w:val="19"/>
          <w:lang w:val="en-AU"/>
        </w:rPr>
        <w:t xml:space="preserve">directly from China and India to the PNG ports while the small volumes from Europe </w:t>
      </w:r>
      <w:r w:rsidR="000233C6">
        <w:rPr>
          <w:rFonts w:asciiTheme="minorHAnsi" w:hAnsiTheme="minorHAnsi" w:cs="Arial"/>
          <w:color w:val="000000"/>
          <w:szCs w:val="19"/>
          <w:lang w:val="en-AU"/>
        </w:rPr>
        <w:t>were</w:t>
      </w:r>
      <w:r w:rsidR="000233C6" w:rsidRPr="00E27200">
        <w:rPr>
          <w:rFonts w:asciiTheme="minorHAnsi" w:hAnsiTheme="minorHAnsi" w:cs="Arial"/>
          <w:color w:val="000000"/>
          <w:szCs w:val="19"/>
          <w:lang w:val="en-AU"/>
        </w:rPr>
        <w:t xml:space="preserve"> </w:t>
      </w:r>
      <w:r w:rsidRPr="00E27200">
        <w:rPr>
          <w:rFonts w:asciiTheme="minorHAnsi" w:hAnsiTheme="minorHAnsi" w:cs="Arial"/>
          <w:color w:val="000000"/>
          <w:szCs w:val="19"/>
          <w:lang w:val="en-AU"/>
        </w:rPr>
        <w:t xml:space="preserve">consolidated in Singapore and shipped to PNG ports separately. Narcotics </w:t>
      </w:r>
      <w:r w:rsidR="001A4624">
        <w:rPr>
          <w:rFonts w:asciiTheme="minorHAnsi" w:hAnsiTheme="minorHAnsi" w:cs="Arial"/>
          <w:color w:val="000000"/>
          <w:szCs w:val="19"/>
          <w:lang w:val="en-AU"/>
        </w:rPr>
        <w:t>we</w:t>
      </w:r>
      <w:r w:rsidRPr="00E27200">
        <w:rPr>
          <w:rFonts w:asciiTheme="minorHAnsi" w:hAnsiTheme="minorHAnsi" w:cs="Arial"/>
          <w:color w:val="000000"/>
          <w:szCs w:val="19"/>
          <w:lang w:val="en-AU"/>
        </w:rPr>
        <w:t xml:space="preserve">re shipped directly from the </w:t>
      </w:r>
      <w:r w:rsidR="003366BB" w:rsidRPr="00E27200">
        <w:rPr>
          <w:rFonts w:asciiTheme="minorHAnsi" w:hAnsiTheme="minorHAnsi" w:cs="Arial"/>
          <w:color w:val="000000"/>
          <w:szCs w:val="19"/>
          <w:lang w:val="en-AU"/>
        </w:rPr>
        <w:t>European supplier’s base</w:t>
      </w:r>
      <w:r w:rsidRPr="00E27200">
        <w:rPr>
          <w:rFonts w:asciiTheme="minorHAnsi" w:hAnsiTheme="minorHAnsi" w:cs="Arial"/>
          <w:color w:val="000000"/>
          <w:szCs w:val="19"/>
          <w:lang w:val="en-AU"/>
        </w:rPr>
        <w:t xml:space="preserve"> though with frequent delays </w:t>
      </w:r>
      <w:r w:rsidR="00BF2622" w:rsidRPr="00E27200">
        <w:rPr>
          <w:rFonts w:asciiTheme="minorHAnsi" w:hAnsiTheme="minorHAnsi" w:cs="Arial"/>
          <w:color w:val="000000"/>
          <w:szCs w:val="19"/>
          <w:lang w:val="en-AU"/>
        </w:rPr>
        <w:t>when</w:t>
      </w:r>
      <w:r w:rsidRPr="00E27200">
        <w:rPr>
          <w:rFonts w:asciiTheme="minorHAnsi" w:hAnsiTheme="minorHAnsi" w:cs="Arial"/>
          <w:color w:val="000000"/>
          <w:szCs w:val="19"/>
          <w:lang w:val="en-AU"/>
        </w:rPr>
        <w:t xml:space="preserve"> import license</w:t>
      </w:r>
      <w:r w:rsidR="00BF2622" w:rsidRPr="00E27200">
        <w:rPr>
          <w:rFonts w:asciiTheme="minorHAnsi" w:hAnsiTheme="minorHAnsi" w:cs="Arial"/>
          <w:color w:val="000000"/>
          <w:szCs w:val="19"/>
          <w:lang w:val="en-AU"/>
        </w:rPr>
        <w:t>s</w:t>
      </w:r>
      <w:r w:rsidR="001A4624">
        <w:rPr>
          <w:rFonts w:asciiTheme="minorHAnsi" w:hAnsiTheme="minorHAnsi" w:cs="Arial"/>
          <w:color w:val="000000"/>
          <w:szCs w:val="19"/>
          <w:lang w:val="en-AU"/>
        </w:rPr>
        <w:t>, a responsibility of NDOH,</w:t>
      </w:r>
      <w:r w:rsidR="00BF2622" w:rsidRPr="00E27200">
        <w:rPr>
          <w:rFonts w:asciiTheme="minorHAnsi" w:hAnsiTheme="minorHAnsi" w:cs="Arial"/>
          <w:color w:val="000000"/>
          <w:szCs w:val="19"/>
          <w:lang w:val="en-AU"/>
        </w:rPr>
        <w:t xml:space="preserve"> </w:t>
      </w:r>
      <w:r w:rsidR="001A4624">
        <w:rPr>
          <w:rFonts w:asciiTheme="minorHAnsi" w:hAnsiTheme="minorHAnsi" w:cs="Arial"/>
          <w:color w:val="000000"/>
          <w:szCs w:val="19"/>
          <w:lang w:val="en-AU"/>
        </w:rPr>
        <w:t>we</w:t>
      </w:r>
      <w:r w:rsidR="00BF2622" w:rsidRPr="00E27200">
        <w:rPr>
          <w:rFonts w:asciiTheme="minorHAnsi" w:hAnsiTheme="minorHAnsi" w:cs="Arial"/>
          <w:color w:val="000000"/>
          <w:szCs w:val="19"/>
          <w:lang w:val="en-AU"/>
        </w:rPr>
        <w:t>re</w:t>
      </w:r>
      <w:r w:rsidR="00B05681" w:rsidRPr="00E27200">
        <w:rPr>
          <w:rFonts w:asciiTheme="minorHAnsi" w:hAnsiTheme="minorHAnsi" w:cs="Arial"/>
          <w:color w:val="000000"/>
          <w:szCs w:val="19"/>
          <w:lang w:val="en-AU"/>
        </w:rPr>
        <w:t xml:space="preserve"> not available on time. As noted in Section 3 above, the international procurement contracting is assessed as providing good value supply of quality medicines, although difficulties in estimating required quantities has meant more medicines were purchased than have been used.</w:t>
      </w:r>
      <w:r w:rsidR="000233C6">
        <w:rPr>
          <w:rFonts w:asciiTheme="minorHAnsi" w:hAnsiTheme="minorHAnsi" w:cs="Arial"/>
          <w:color w:val="000000"/>
          <w:szCs w:val="19"/>
          <w:lang w:val="en-AU"/>
        </w:rPr>
        <w:t xml:space="preserve"> As noted elsewhere in this report, the evaluation team view the benefits in increased availability achieved by the kits in the ‘push’ system as outweighing the additional costs related to over-supply.</w:t>
      </w:r>
    </w:p>
    <w:p w14:paraId="611AAFE4" w14:textId="77777777" w:rsidR="00BF2622" w:rsidRPr="00E27200" w:rsidRDefault="00BF2622" w:rsidP="00BB4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57DA9831" w14:textId="77777777" w:rsidR="00BB479E" w:rsidRPr="00E27200" w:rsidRDefault="00BB479E" w:rsidP="00BB4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color w:val="000000"/>
          <w:szCs w:val="19"/>
          <w:lang w:val="en-AU"/>
        </w:rPr>
      </w:pPr>
      <w:r w:rsidRPr="00E27200">
        <w:rPr>
          <w:rFonts w:asciiTheme="minorHAnsi" w:hAnsiTheme="minorHAnsi" w:cs="Arial"/>
          <w:b/>
          <w:color w:val="000000"/>
          <w:szCs w:val="19"/>
          <w:lang w:val="en-AU"/>
        </w:rPr>
        <w:t>Figure 1.  Kit distribution flow</w:t>
      </w:r>
    </w:p>
    <w:p w14:paraId="780D6BE2" w14:textId="77777777" w:rsidR="00BB479E" w:rsidRPr="00E27200" w:rsidRDefault="00BB479E" w:rsidP="00BB4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19"/>
          <w:lang w:val="en-AU"/>
        </w:rPr>
      </w:pPr>
      <w:r w:rsidRPr="00E27200">
        <w:rPr>
          <w:rFonts w:asciiTheme="majorHAnsi" w:hAnsiTheme="majorHAnsi" w:cs="Arial"/>
          <w:noProof/>
          <w:color w:val="000000"/>
          <w:szCs w:val="19"/>
          <w:lang w:val="en-AU" w:eastAsia="en-AU"/>
        </w:rPr>
        <w:drawing>
          <wp:inline distT="0" distB="0" distL="0" distR="0" wp14:anchorId="5B59C39E" wp14:editId="1DB25A7E">
            <wp:extent cx="4998720" cy="1371600"/>
            <wp:effectExtent l="57150" t="0" r="68580" b="0"/>
            <wp:docPr id="1"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5F0C65F" w14:textId="77777777" w:rsidR="003D2F0B" w:rsidRPr="00E27200" w:rsidRDefault="003D2F0B" w:rsidP="00B05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70F6FB5B" w14:textId="33DF8A75" w:rsidR="003D2F0B" w:rsidRPr="00E27200" w:rsidRDefault="003D2F0B" w:rsidP="007F0593">
      <w:pPr>
        <w:rPr>
          <w:rFonts w:asciiTheme="minorHAnsi" w:hAnsiTheme="minorHAnsi"/>
          <w:lang w:val="en-AU"/>
        </w:rPr>
      </w:pPr>
      <w:r w:rsidRPr="00E27200">
        <w:rPr>
          <w:rFonts w:asciiTheme="minorHAnsi" w:hAnsiTheme="minorHAnsi" w:cs="Arial"/>
          <w:color w:val="000000"/>
          <w:szCs w:val="19"/>
          <w:lang w:val="en-AU"/>
        </w:rPr>
        <w:t>Arrangements for in-country distribution of the 100% kits differ f</w:t>
      </w:r>
      <w:r w:rsidR="00B05681" w:rsidRPr="00E27200">
        <w:rPr>
          <w:rFonts w:asciiTheme="minorHAnsi" w:hAnsiTheme="minorHAnsi" w:cs="Arial"/>
          <w:color w:val="000000"/>
          <w:szCs w:val="19"/>
          <w:lang w:val="en-AU"/>
        </w:rPr>
        <w:t xml:space="preserve">rom </w:t>
      </w:r>
      <w:r w:rsidR="009B58C0">
        <w:rPr>
          <w:rFonts w:asciiTheme="minorHAnsi" w:hAnsiTheme="minorHAnsi" w:cs="Arial"/>
          <w:color w:val="000000"/>
          <w:szCs w:val="19"/>
          <w:lang w:val="en-AU"/>
        </w:rPr>
        <w:t>previous</w:t>
      </w:r>
      <w:r w:rsidR="009B58C0" w:rsidRPr="00E27200">
        <w:rPr>
          <w:rFonts w:asciiTheme="minorHAnsi" w:hAnsiTheme="minorHAnsi" w:cs="Arial"/>
          <w:color w:val="000000"/>
          <w:szCs w:val="19"/>
          <w:lang w:val="en-AU"/>
        </w:rPr>
        <w:t xml:space="preserve"> </w:t>
      </w:r>
      <w:r w:rsidR="00B05681" w:rsidRPr="00E27200">
        <w:rPr>
          <w:rFonts w:asciiTheme="minorHAnsi" w:hAnsiTheme="minorHAnsi" w:cs="Arial"/>
          <w:color w:val="000000"/>
          <w:szCs w:val="19"/>
          <w:lang w:val="en-AU"/>
        </w:rPr>
        <w:t xml:space="preserve">kit distribution (40% kit) experience where a sole contractor </w:t>
      </w:r>
      <w:r w:rsidRPr="00E27200">
        <w:rPr>
          <w:rFonts w:asciiTheme="minorHAnsi" w:hAnsiTheme="minorHAnsi" w:cs="Arial"/>
          <w:color w:val="000000"/>
          <w:szCs w:val="19"/>
          <w:lang w:val="en-AU"/>
        </w:rPr>
        <w:t>(</w:t>
      </w:r>
      <w:proofErr w:type="spellStart"/>
      <w:r w:rsidR="0002333A">
        <w:t>Panamaseier</w:t>
      </w:r>
      <w:proofErr w:type="spellEnd"/>
      <w:r w:rsidRPr="00E27200">
        <w:rPr>
          <w:rFonts w:asciiTheme="minorHAnsi" w:hAnsiTheme="minorHAnsi" w:cs="Arial"/>
          <w:color w:val="000000"/>
          <w:szCs w:val="19"/>
          <w:lang w:val="en-AU"/>
        </w:rPr>
        <w:t xml:space="preserve">) </w:t>
      </w:r>
      <w:r w:rsidR="00B05681" w:rsidRPr="00E27200">
        <w:rPr>
          <w:rFonts w:asciiTheme="minorHAnsi" w:hAnsiTheme="minorHAnsi" w:cs="Arial"/>
          <w:color w:val="000000"/>
          <w:szCs w:val="19"/>
          <w:lang w:val="en-AU"/>
        </w:rPr>
        <w:t>was used to distribute nationally</w:t>
      </w:r>
      <w:r w:rsidRPr="00E27200">
        <w:rPr>
          <w:rFonts w:asciiTheme="minorHAnsi" w:hAnsiTheme="minorHAnsi" w:cs="Arial"/>
          <w:color w:val="000000"/>
          <w:szCs w:val="19"/>
          <w:lang w:val="en-AU"/>
        </w:rPr>
        <w:t>. For the</w:t>
      </w:r>
      <w:r w:rsidR="00B05681" w:rsidRPr="00E27200">
        <w:rPr>
          <w:rFonts w:asciiTheme="minorHAnsi" w:hAnsiTheme="minorHAnsi" w:cs="Arial"/>
          <w:color w:val="000000"/>
          <w:szCs w:val="19"/>
          <w:lang w:val="en-AU"/>
        </w:rPr>
        <w:t xml:space="preserve"> </w:t>
      </w:r>
      <w:r w:rsidRPr="00E27200">
        <w:rPr>
          <w:rFonts w:asciiTheme="minorHAnsi" w:hAnsiTheme="minorHAnsi" w:cs="Arial"/>
          <w:color w:val="000000"/>
          <w:szCs w:val="19"/>
          <w:lang w:val="en-AU"/>
        </w:rPr>
        <w:t xml:space="preserve">100% kits </w:t>
      </w:r>
      <w:r w:rsidR="00B05681" w:rsidRPr="00E27200">
        <w:rPr>
          <w:rFonts w:asciiTheme="minorHAnsi" w:hAnsiTheme="minorHAnsi" w:cs="Arial"/>
          <w:color w:val="000000"/>
          <w:szCs w:val="19"/>
          <w:lang w:val="en-AU"/>
        </w:rPr>
        <w:t>Charles Kendall and Partners (C</w:t>
      </w:r>
      <w:r w:rsidR="00F31261" w:rsidRPr="00E27200">
        <w:rPr>
          <w:rFonts w:asciiTheme="minorHAnsi" w:hAnsiTheme="minorHAnsi" w:cs="Arial"/>
          <w:color w:val="000000"/>
          <w:szCs w:val="19"/>
          <w:lang w:val="en-AU"/>
        </w:rPr>
        <w:t>KP</w:t>
      </w:r>
      <w:r w:rsidR="00B05681" w:rsidRPr="00E27200">
        <w:rPr>
          <w:rFonts w:asciiTheme="minorHAnsi" w:hAnsiTheme="minorHAnsi" w:cs="Arial"/>
          <w:color w:val="000000"/>
          <w:szCs w:val="19"/>
          <w:lang w:val="en-AU"/>
        </w:rPr>
        <w:t xml:space="preserve">) were engaged </w:t>
      </w:r>
      <w:r w:rsidRPr="00E27200">
        <w:rPr>
          <w:rFonts w:asciiTheme="minorHAnsi" w:hAnsiTheme="minorHAnsi" w:cs="Arial"/>
          <w:color w:val="000000"/>
          <w:szCs w:val="19"/>
          <w:lang w:val="en-AU"/>
        </w:rPr>
        <w:t xml:space="preserve">to procure and manage logistic </w:t>
      </w:r>
      <w:r w:rsidR="00B05681" w:rsidRPr="00E27200">
        <w:rPr>
          <w:rFonts w:asciiTheme="minorHAnsi" w:hAnsiTheme="minorHAnsi" w:cs="Arial"/>
          <w:color w:val="000000"/>
          <w:szCs w:val="19"/>
          <w:lang w:val="en-AU"/>
        </w:rPr>
        <w:t xml:space="preserve">services </w:t>
      </w:r>
      <w:r w:rsidRPr="00E27200">
        <w:rPr>
          <w:rFonts w:asciiTheme="minorHAnsi" w:hAnsiTheme="minorHAnsi" w:cs="Arial"/>
          <w:color w:val="000000"/>
          <w:szCs w:val="19"/>
          <w:lang w:val="en-AU"/>
        </w:rPr>
        <w:t>from</w:t>
      </w:r>
      <w:r w:rsidR="00B05681" w:rsidRPr="00E27200">
        <w:rPr>
          <w:rFonts w:asciiTheme="minorHAnsi" w:hAnsiTheme="minorHAnsi" w:cs="Arial"/>
          <w:color w:val="000000"/>
          <w:szCs w:val="19"/>
          <w:lang w:val="en-AU"/>
        </w:rPr>
        <w:t xml:space="preserve"> regional transport service operators.  Over 20 organisations presented expressions of interest and preferred location of provision of distribution services.  Four tenders were floated and three contract</w:t>
      </w:r>
      <w:r w:rsidRPr="00E27200">
        <w:rPr>
          <w:rFonts w:asciiTheme="minorHAnsi" w:hAnsiTheme="minorHAnsi" w:cs="Arial"/>
          <w:color w:val="000000"/>
          <w:szCs w:val="19"/>
          <w:lang w:val="en-AU"/>
        </w:rPr>
        <w:t xml:space="preserve">ors engaged in the kit delivery: </w:t>
      </w:r>
      <w:proofErr w:type="spellStart"/>
      <w:r w:rsidR="00B05681" w:rsidRPr="00E27200">
        <w:rPr>
          <w:rFonts w:asciiTheme="minorHAnsi" w:hAnsiTheme="minorHAnsi" w:cs="Arial"/>
          <w:color w:val="000000"/>
          <w:szCs w:val="19"/>
          <w:lang w:val="en-AU"/>
        </w:rPr>
        <w:t>Protocal</w:t>
      </w:r>
      <w:proofErr w:type="spellEnd"/>
      <w:r w:rsidR="00B05681" w:rsidRPr="00E27200">
        <w:rPr>
          <w:rFonts w:asciiTheme="minorHAnsi" w:hAnsiTheme="minorHAnsi" w:cs="Arial"/>
          <w:color w:val="000000"/>
          <w:szCs w:val="19"/>
          <w:lang w:val="en-AU"/>
        </w:rPr>
        <w:t xml:space="preserve"> </w:t>
      </w:r>
      <w:r w:rsidR="0002333A">
        <w:rPr>
          <w:rFonts w:asciiTheme="minorHAnsi" w:hAnsiTheme="minorHAnsi" w:cs="Arial"/>
          <w:color w:val="000000"/>
          <w:szCs w:val="19"/>
          <w:lang w:val="en-AU"/>
        </w:rPr>
        <w:t xml:space="preserve">Investments </w:t>
      </w:r>
      <w:r w:rsidR="00B05681" w:rsidRPr="00E27200">
        <w:rPr>
          <w:rFonts w:asciiTheme="minorHAnsi" w:hAnsiTheme="minorHAnsi" w:cs="Arial"/>
          <w:color w:val="000000"/>
          <w:szCs w:val="19"/>
          <w:lang w:val="en-AU"/>
        </w:rPr>
        <w:t>(supplying Highlands), Loha Customs and Forwarding (</w:t>
      </w:r>
      <w:proofErr w:type="spellStart"/>
      <w:r w:rsidR="00B05681" w:rsidRPr="00E27200">
        <w:rPr>
          <w:rFonts w:asciiTheme="minorHAnsi" w:hAnsiTheme="minorHAnsi" w:cs="Arial"/>
          <w:color w:val="000000"/>
          <w:szCs w:val="19"/>
          <w:lang w:val="en-AU"/>
        </w:rPr>
        <w:t>Momase</w:t>
      </w:r>
      <w:proofErr w:type="spellEnd"/>
      <w:r w:rsidR="00B05681" w:rsidRPr="00E27200">
        <w:rPr>
          <w:rFonts w:asciiTheme="minorHAnsi" w:hAnsiTheme="minorHAnsi" w:cs="Arial"/>
          <w:color w:val="000000"/>
          <w:szCs w:val="19"/>
          <w:lang w:val="en-AU"/>
        </w:rPr>
        <w:t xml:space="preserve">) and Post PNG (Southern and Islands).  </w:t>
      </w:r>
      <w:r w:rsidR="007F0593" w:rsidRPr="00E27200">
        <w:rPr>
          <w:rFonts w:asciiTheme="minorHAnsi" w:hAnsiTheme="minorHAnsi"/>
          <w:lang w:val="en-AU"/>
        </w:rPr>
        <w:t>The contract conditions include performance management conditions not reflected in the ‘pull’ system contracting described above. Payment is contingent on successful delivery, verified by HF report and a photo</w:t>
      </w:r>
      <w:r w:rsidR="00632C53" w:rsidRPr="00E27200">
        <w:rPr>
          <w:rFonts w:asciiTheme="minorHAnsi" w:hAnsiTheme="minorHAnsi"/>
          <w:lang w:val="en-AU"/>
        </w:rPr>
        <w:t>graph with a geo-</w:t>
      </w:r>
      <w:r w:rsidR="00632C53" w:rsidRPr="00E27200">
        <w:rPr>
          <w:rFonts w:asciiTheme="minorHAnsi" w:hAnsiTheme="minorHAnsi"/>
          <w:lang w:val="en-AU"/>
        </w:rPr>
        <w:lastRenderedPageBreak/>
        <w:t>location tag. Another distinction from ‘pull’ system contracting is that contract arrangements between CKP and the 100% kit transport contractors outline all transport costs per facility.</w:t>
      </w:r>
    </w:p>
    <w:p w14:paraId="4E15D1E3" w14:textId="77777777" w:rsidR="007F0593" w:rsidRPr="00E27200" w:rsidRDefault="007F0593" w:rsidP="007F0593">
      <w:pPr>
        <w:rPr>
          <w:rFonts w:asciiTheme="minorHAnsi" w:hAnsiTheme="minorHAnsi"/>
          <w:lang w:val="en-AU"/>
        </w:rPr>
      </w:pPr>
    </w:p>
    <w:p w14:paraId="3621C6CF" w14:textId="645D4DD0" w:rsidR="008546D6" w:rsidRPr="00E27200" w:rsidRDefault="007F0593" w:rsidP="008546D6">
      <w:pPr>
        <w:rPr>
          <w:rFonts w:asciiTheme="minorHAnsi" w:hAnsiTheme="minorHAnsi"/>
          <w:lang w:val="en-AU"/>
        </w:rPr>
      </w:pPr>
      <w:r w:rsidRPr="00E27200">
        <w:rPr>
          <w:rFonts w:asciiTheme="minorHAnsi" w:hAnsiTheme="minorHAnsi"/>
          <w:lang w:val="en-AU"/>
        </w:rPr>
        <w:t>Although distribution is successfully reaching facilities</w:t>
      </w:r>
      <w:r w:rsidR="00422F5C" w:rsidRPr="00E27200">
        <w:rPr>
          <w:rFonts w:asciiTheme="minorHAnsi" w:hAnsiTheme="minorHAnsi"/>
          <w:lang w:val="en-AU"/>
        </w:rPr>
        <w:t xml:space="preserve"> (see below)</w:t>
      </w:r>
      <w:r w:rsidRPr="00E27200">
        <w:rPr>
          <w:rFonts w:asciiTheme="minorHAnsi" w:hAnsiTheme="minorHAnsi"/>
          <w:lang w:val="en-AU"/>
        </w:rPr>
        <w:t>, t</w:t>
      </w:r>
      <w:r w:rsidR="004B409F" w:rsidRPr="00E27200">
        <w:rPr>
          <w:rFonts w:asciiTheme="minorHAnsi" w:hAnsiTheme="minorHAnsi"/>
          <w:lang w:val="en-AU"/>
        </w:rPr>
        <w:t xml:space="preserve">he contract management is </w:t>
      </w:r>
      <w:r w:rsidR="00A34631">
        <w:rPr>
          <w:rFonts w:asciiTheme="minorHAnsi" w:hAnsiTheme="minorHAnsi"/>
          <w:lang w:val="en-AU"/>
        </w:rPr>
        <w:t>substantial (but not overly laborious in relation to the size of the task):</w:t>
      </w:r>
      <w:r w:rsidR="00A34631" w:rsidRPr="00E27200">
        <w:rPr>
          <w:rFonts w:asciiTheme="minorHAnsi" w:hAnsiTheme="minorHAnsi"/>
          <w:lang w:val="en-AU"/>
        </w:rPr>
        <w:t xml:space="preserve"> </w:t>
      </w:r>
      <w:r w:rsidR="004B409F" w:rsidRPr="00E27200">
        <w:rPr>
          <w:rFonts w:asciiTheme="minorHAnsi" w:hAnsiTheme="minorHAnsi"/>
          <w:lang w:val="en-AU"/>
        </w:rPr>
        <w:t>monitoring deliveries, respo</w:t>
      </w:r>
      <w:r w:rsidRPr="00E27200">
        <w:rPr>
          <w:rFonts w:asciiTheme="minorHAnsi" w:hAnsiTheme="minorHAnsi"/>
          <w:lang w:val="en-AU"/>
        </w:rPr>
        <w:t xml:space="preserve">nding to sub-contractor issues, </w:t>
      </w:r>
      <w:r w:rsidR="004B409F" w:rsidRPr="00E27200">
        <w:rPr>
          <w:rFonts w:asciiTheme="minorHAnsi" w:hAnsiTheme="minorHAnsi"/>
          <w:lang w:val="en-AU"/>
        </w:rPr>
        <w:t xml:space="preserve">helping trouble-shoot transport problems and other daily demands.  </w:t>
      </w:r>
      <w:r w:rsidR="004B409F" w:rsidRPr="00760CE9">
        <w:rPr>
          <w:rFonts w:asciiTheme="minorHAnsi" w:hAnsiTheme="minorHAnsi"/>
          <w:lang w:val="en-AU"/>
        </w:rPr>
        <w:t>CKP</w:t>
      </w:r>
      <w:r w:rsidR="00751582">
        <w:rPr>
          <w:rFonts w:asciiTheme="minorHAnsi" w:hAnsiTheme="minorHAnsi"/>
          <w:lang w:val="en-AU"/>
        </w:rPr>
        <w:t xml:space="preserve"> currently allocates one international specialist and eight national staff (four part-time)</w:t>
      </w:r>
      <w:r w:rsidR="00686C68" w:rsidRPr="00760CE9">
        <w:rPr>
          <w:rFonts w:asciiTheme="minorHAnsi" w:hAnsiTheme="minorHAnsi"/>
          <w:lang w:val="en-AU"/>
        </w:rPr>
        <w:t xml:space="preserve">, </w:t>
      </w:r>
      <w:r w:rsidR="004B409F" w:rsidRPr="00760CE9">
        <w:rPr>
          <w:rFonts w:asciiTheme="minorHAnsi" w:hAnsiTheme="minorHAnsi"/>
          <w:lang w:val="en-AU"/>
        </w:rPr>
        <w:t>insufficient for this type of operation</w:t>
      </w:r>
      <w:r w:rsidR="00686C68" w:rsidRPr="00760CE9">
        <w:rPr>
          <w:rFonts w:asciiTheme="minorHAnsi" w:hAnsiTheme="minorHAnsi"/>
          <w:lang w:val="en-AU"/>
        </w:rPr>
        <w:t xml:space="preserve">, with the result that </w:t>
      </w:r>
      <w:r w:rsidR="007439AA">
        <w:rPr>
          <w:rFonts w:asciiTheme="minorHAnsi" w:hAnsiTheme="minorHAnsi"/>
          <w:lang w:val="en-AU"/>
        </w:rPr>
        <w:t xml:space="preserve">the </w:t>
      </w:r>
      <w:r w:rsidR="00DC21D4">
        <w:rPr>
          <w:rFonts w:asciiTheme="minorHAnsi" w:hAnsiTheme="minorHAnsi"/>
          <w:lang w:val="en-AU"/>
        </w:rPr>
        <w:t xml:space="preserve">Australian </w:t>
      </w:r>
      <w:r w:rsidR="007439AA">
        <w:rPr>
          <w:rFonts w:asciiTheme="minorHAnsi" w:hAnsiTheme="minorHAnsi"/>
          <w:lang w:val="en-AU"/>
        </w:rPr>
        <w:t>Government</w:t>
      </w:r>
      <w:r w:rsidR="007439AA" w:rsidRPr="00760CE9">
        <w:rPr>
          <w:rFonts w:asciiTheme="minorHAnsi" w:hAnsiTheme="minorHAnsi"/>
          <w:lang w:val="en-AU"/>
        </w:rPr>
        <w:t xml:space="preserve"> </w:t>
      </w:r>
      <w:r w:rsidR="004B409F" w:rsidRPr="00760CE9">
        <w:rPr>
          <w:rFonts w:asciiTheme="minorHAnsi" w:hAnsiTheme="minorHAnsi"/>
          <w:lang w:val="en-AU"/>
        </w:rPr>
        <w:t xml:space="preserve">has had </w:t>
      </w:r>
      <w:r w:rsidR="00686C68" w:rsidRPr="00760CE9">
        <w:rPr>
          <w:rFonts w:asciiTheme="minorHAnsi" w:hAnsiTheme="minorHAnsi"/>
          <w:lang w:val="en-AU"/>
        </w:rPr>
        <w:t>a much greater role in contract manageme</w:t>
      </w:r>
      <w:r w:rsidRPr="00760CE9">
        <w:rPr>
          <w:rFonts w:asciiTheme="minorHAnsi" w:hAnsiTheme="minorHAnsi"/>
          <w:lang w:val="en-AU"/>
        </w:rPr>
        <w:t xml:space="preserve">nt and monitoring than planned, </w:t>
      </w:r>
      <w:r w:rsidRPr="00760CE9">
        <w:rPr>
          <w:rFonts w:asciiTheme="minorHAnsi" w:hAnsiTheme="minorHAnsi" w:cs="Arial"/>
          <w:color w:val="000000"/>
          <w:szCs w:val="19"/>
          <w:lang w:val="en-AU"/>
        </w:rPr>
        <w:t>with routine interactions with the three contractors, a role that normally should belong to a management agent.</w:t>
      </w:r>
      <w:r w:rsidRPr="00760CE9">
        <w:rPr>
          <w:rFonts w:asciiTheme="minorHAnsi" w:hAnsiTheme="minorHAnsi"/>
          <w:lang w:val="en-AU"/>
        </w:rPr>
        <w:t xml:space="preserve">  </w:t>
      </w:r>
      <w:r w:rsidR="00686C68" w:rsidRPr="00760CE9">
        <w:rPr>
          <w:rFonts w:asciiTheme="minorHAnsi" w:hAnsiTheme="minorHAnsi"/>
          <w:lang w:val="en-AU"/>
        </w:rPr>
        <w:t xml:space="preserve">This was exacerbated when in the early phase of 100% kit </w:t>
      </w:r>
      <w:r w:rsidR="002E785F" w:rsidRPr="00760CE9">
        <w:rPr>
          <w:rFonts w:asciiTheme="minorHAnsi" w:hAnsiTheme="minorHAnsi"/>
          <w:lang w:val="en-AU"/>
        </w:rPr>
        <w:t>distribution;</w:t>
      </w:r>
      <w:r w:rsidR="00686C68" w:rsidRPr="00760CE9">
        <w:rPr>
          <w:rFonts w:asciiTheme="minorHAnsi" w:hAnsiTheme="minorHAnsi"/>
          <w:lang w:val="en-AU"/>
        </w:rPr>
        <w:t xml:space="preserve"> CPK </w:t>
      </w:r>
      <w:r w:rsidR="00A34631" w:rsidRPr="00760CE9">
        <w:rPr>
          <w:rFonts w:asciiTheme="minorHAnsi" w:hAnsiTheme="minorHAnsi"/>
          <w:lang w:val="en-AU"/>
        </w:rPr>
        <w:t>managed the</w:t>
      </w:r>
      <w:r w:rsidR="00686C68" w:rsidRPr="00760CE9">
        <w:rPr>
          <w:rFonts w:asciiTheme="minorHAnsi" w:hAnsiTheme="minorHAnsi"/>
          <w:lang w:val="en-AU"/>
        </w:rPr>
        <w:t xml:space="preserve"> 40% kit distribution, but allocated oversight to a different staff member, with </w:t>
      </w:r>
      <w:r w:rsidR="00760CE9" w:rsidRPr="00760CE9">
        <w:rPr>
          <w:rFonts w:asciiTheme="minorHAnsi" w:hAnsiTheme="minorHAnsi"/>
          <w:lang w:val="en-AU"/>
        </w:rPr>
        <w:t xml:space="preserve">limited </w:t>
      </w:r>
      <w:r w:rsidR="00686C68" w:rsidRPr="00760CE9">
        <w:rPr>
          <w:rFonts w:asciiTheme="minorHAnsi" w:hAnsiTheme="minorHAnsi"/>
          <w:lang w:val="en-AU"/>
        </w:rPr>
        <w:t xml:space="preserve">communications between the two programs. This lack of coordination resulted in some facilities receiving both the 40% and the 100% kit in quick succession.  Communication and supervision would be greatly improved if CPK could allocate more human resources to adequately supervise and resolve </w:t>
      </w:r>
      <w:r w:rsidR="002E785F" w:rsidRPr="00760CE9">
        <w:rPr>
          <w:rFonts w:asciiTheme="minorHAnsi" w:hAnsiTheme="minorHAnsi"/>
          <w:lang w:val="en-AU"/>
        </w:rPr>
        <w:t>day-to-day</w:t>
      </w:r>
      <w:r w:rsidR="00686C68" w:rsidRPr="00760CE9">
        <w:rPr>
          <w:rFonts w:asciiTheme="minorHAnsi" w:hAnsiTheme="minorHAnsi"/>
          <w:lang w:val="en-AU"/>
        </w:rPr>
        <w:t xml:space="preserve"> operational issues.</w:t>
      </w:r>
      <w:r w:rsidRPr="00E27200">
        <w:rPr>
          <w:rFonts w:asciiTheme="minorHAnsi" w:hAnsiTheme="minorHAnsi"/>
          <w:lang w:val="en-AU"/>
        </w:rPr>
        <w:t xml:space="preserve"> A management agent, rather than a procurement agent, may have had greater management capacity </w:t>
      </w:r>
      <w:r w:rsidRPr="00E27200">
        <w:rPr>
          <w:rFonts w:asciiTheme="minorHAnsi" w:hAnsiTheme="minorHAnsi" w:cs="Arial"/>
          <w:color w:val="000000"/>
          <w:szCs w:val="19"/>
          <w:lang w:val="en-AU"/>
        </w:rPr>
        <w:t>to oversee sub-contracts an</w:t>
      </w:r>
      <w:r w:rsidR="00B05681" w:rsidRPr="00E27200">
        <w:rPr>
          <w:rFonts w:asciiTheme="minorHAnsi" w:hAnsiTheme="minorHAnsi" w:cs="Arial"/>
          <w:color w:val="000000"/>
          <w:szCs w:val="19"/>
          <w:lang w:val="en-AU"/>
        </w:rPr>
        <w:t>d provide close monitoring.</w:t>
      </w:r>
    </w:p>
    <w:p w14:paraId="48D4C8C4" w14:textId="77777777" w:rsidR="008546D6" w:rsidRPr="00E27200" w:rsidRDefault="008546D6" w:rsidP="00B05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19"/>
          <w:lang w:val="en-AU"/>
        </w:rPr>
      </w:pPr>
    </w:p>
    <w:p w14:paraId="2626F1AE" w14:textId="77777777" w:rsidR="00B05681" w:rsidRPr="00E27200" w:rsidRDefault="00B05681" w:rsidP="00B056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Interviews with the three</w:t>
      </w:r>
      <w:r w:rsidR="007F0593" w:rsidRPr="00E27200">
        <w:rPr>
          <w:rFonts w:asciiTheme="minorHAnsi" w:hAnsiTheme="minorHAnsi" w:cs="Arial"/>
          <w:color w:val="000000"/>
          <w:szCs w:val="19"/>
          <w:lang w:val="en-AU"/>
        </w:rPr>
        <w:t xml:space="preserve"> transport</w:t>
      </w:r>
      <w:r w:rsidRPr="00E27200">
        <w:rPr>
          <w:rFonts w:asciiTheme="minorHAnsi" w:hAnsiTheme="minorHAnsi" w:cs="Arial"/>
          <w:color w:val="000000"/>
          <w:szCs w:val="19"/>
          <w:lang w:val="en-AU"/>
        </w:rPr>
        <w:t xml:space="preserve"> contractors </w:t>
      </w:r>
      <w:r w:rsidR="007F0593" w:rsidRPr="00E27200">
        <w:rPr>
          <w:rFonts w:asciiTheme="minorHAnsi" w:hAnsiTheme="minorHAnsi" w:cs="Arial"/>
          <w:color w:val="000000"/>
          <w:szCs w:val="19"/>
          <w:lang w:val="en-AU"/>
        </w:rPr>
        <w:t>highlighted some other organizational challenges</w:t>
      </w:r>
      <w:r w:rsidR="00422F5C" w:rsidRPr="00E27200">
        <w:rPr>
          <w:rFonts w:asciiTheme="minorHAnsi" w:hAnsiTheme="minorHAnsi" w:cs="Arial"/>
          <w:color w:val="000000"/>
          <w:szCs w:val="19"/>
          <w:lang w:val="en-AU"/>
        </w:rPr>
        <w:t>, including:</w:t>
      </w:r>
    </w:p>
    <w:p w14:paraId="3F1257F5" w14:textId="52704D67" w:rsidR="000647E1" w:rsidRPr="00760CE9" w:rsidRDefault="000647E1" w:rsidP="00AD3F80">
      <w:pPr>
        <w:pStyle w:val="ListParagraph"/>
        <w:widowControl w:val="0"/>
        <w:numPr>
          <w:ilvl w:val="0"/>
          <w:numId w:val="1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pacing w:val="-2"/>
          <w:szCs w:val="22"/>
          <w:lang w:val="en-AU"/>
        </w:rPr>
      </w:pPr>
      <w:r w:rsidRPr="00760CE9">
        <w:rPr>
          <w:rFonts w:asciiTheme="minorHAnsi" w:hAnsiTheme="minorHAnsi" w:cs="Arial"/>
          <w:color w:val="000000"/>
          <w:spacing w:val="-2"/>
          <w:szCs w:val="22"/>
          <w:lang w:val="en-AU"/>
        </w:rPr>
        <w:t>Camera-based ‘</w:t>
      </w:r>
      <w:r w:rsidR="00B05681" w:rsidRPr="00760CE9">
        <w:rPr>
          <w:rFonts w:asciiTheme="minorHAnsi" w:hAnsiTheme="minorHAnsi" w:cs="Arial"/>
          <w:color w:val="000000"/>
          <w:spacing w:val="-2"/>
          <w:szCs w:val="22"/>
          <w:lang w:val="en-AU"/>
        </w:rPr>
        <w:t>geo</w:t>
      </w:r>
      <w:r w:rsidRPr="00760CE9">
        <w:rPr>
          <w:rFonts w:asciiTheme="minorHAnsi" w:hAnsiTheme="minorHAnsi" w:cs="Arial"/>
          <w:color w:val="000000"/>
          <w:spacing w:val="-2"/>
          <w:szCs w:val="22"/>
          <w:lang w:val="en-AU"/>
        </w:rPr>
        <w:t>-</w:t>
      </w:r>
      <w:proofErr w:type="spellStart"/>
      <w:r w:rsidR="00B05681" w:rsidRPr="00760CE9">
        <w:rPr>
          <w:rFonts w:asciiTheme="minorHAnsi" w:hAnsiTheme="minorHAnsi" w:cs="Arial"/>
          <w:color w:val="000000"/>
          <w:spacing w:val="-2"/>
          <w:szCs w:val="22"/>
          <w:lang w:val="en-AU"/>
        </w:rPr>
        <w:t>pics</w:t>
      </w:r>
      <w:proofErr w:type="spellEnd"/>
      <w:r w:rsidR="00C021FF" w:rsidRPr="00760CE9">
        <w:rPr>
          <w:rFonts w:asciiTheme="minorHAnsi" w:hAnsiTheme="minorHAnsi" w:cs="Arial"/>
          <w:color w:val="000000"/>
          <w:spacing w:val="-2"/>
          <w:szCs w:val="22"/>
          <w:lang w:val="en-AU"/>
        </w:rPr>
        <w:t>’</w:t>
      </w:r>
      <w:r w:rsidR="00B05681" w:rsidRPr="00760CE9">
        <w:rPr>
          <w:rFonts w:asciiTheme="minorHAnsi" w:hAnsiTheme="minorHAnsi" w:cs="Arial"/>
          <w:color w:val="000000"/>
          <w:spacing w:val="-2"/>
          <w:szCs w:val="22"/>
          <w:lang w:val="en-AU"/>
        </w:rPr>
        <w:t xml:space="preserve"> sometimes do not </w:t>
      </w:r>
      <w:r w:rsidRPr="00760CE9">
        <w:rPr>
          <w:rFonts w:asciiTheme="minorHAnsi" w:hAnsiTheme="minorHAnsi" w:cs="Arial"/>
          <w:color w:val="000000"/>
          <w:spacing w:val="-2"/>
          <w:szCs w:val="22"/>
          <w:lang w:val="en-AU"/>
        </w:rPr>
        <w:t>detect</w:t>
      </w:r>
      <w:r w:rsidR="00B05681" w:rsidRPr="00760CE9">
        <w:rPr>
          <w:rFonts w:asciiTheme="minorHAnsi" w:hAnsiTheme="minorHAnsi" w:cs="Arial"/>
          <w:color w:val="000000"/>
          <w:spacing w:val="-2"/>
          <w:szCs w:val="22"/>
          <w:lang w:val="en-AU"/>
        </w:rPr>
        <w:t xml:space="preserve"> the correct location resulting in </w:t>
      </w:r>
      <w:r w:rsidRPr="00760CE9">
        <w:rPr>
          <w:rFonts w:asciiTheme="minorHAnsi" w:hAnsiTheme="minorHAnsi" w:cs="Arial"/>
          <w:color w:val="000000"/>
          <w:spacing w:val="-2"/>
          <w:szCs w:val="22"/>
          <w:lang w:val="en-AU"/>
        </w:rPr>
        <w:t xml:space="preserve">invoicing disputes, noting that </w:t>
      </w:r>
      <w:r w:rsidR="00D30D92" w:rsidRPr="00760CE9">
        <w:rPr>
          <w:rFonts w:asciiTheme="minorHAnsi" w:hAnsiTheme="minorHAnsi" w:cs="Arial"/>
          <w:color w:val="000000"/>
          <w:spacing w:val="-2"/>
          <w:szCs w:val="22"/>
          <w:lang w:val="en-AU"/>
        </w:rPr>
        <w:t>a</w:t>
      </w:r>
      <w:r w:rsidRPr="00760CE9">
        <w:rPr>
          <w:rFonts w:asciiTheme="minorHAnsi" w:hAnsiTheme="minorHAnsi" w:cs="Arial"/>
          <w:color w:val="000000"/>
          <w:spacing w:val="-2"/>
          <w:szCs w:val="22"/>
          <w:lang w:val="en-AU"/>
        </w:rPr>
        <w:t xml:space="preserve"> </w:t>
      </w:r>
      <w:r w:rsidR="00B05681" w:rsidRPr="00760CE9">
        <w:rPr>
          <w:rFonts w:asciiTheme="minorHAnsi" w:hAnsiTheme="minorHAnsi" w:cs="Arial"/>
          <w:color w:val="000000"/>
          <w:spacing w:val="-2"/>
          <w:szCs w:val="22"/>
          <w:lang w:val="en-AU"/>
        </w:rPr>
        <w:t xml:space="preserve">UPNG </w:t>
      </w:r>
      <w:r w:rsidRPr="00760CE9">
        <w:rPr>
          <w:rFonts w:asciiTheme="minorHAnsi" w:hAnsiTheme="minorHAnsi" w:cs="Arial"/>
          <w:color w:val="000000"/>
          <w:spacing w:val="-2"/>
          <w:szCs w:val="22"/>
          <w:lang w:val="en-AU"/>
        </w:rPr>
        <w:t>mapping expert agreed this can oc</w:t>
      </w:r>
      <w:r w:rsidR="00D30D92" w:rsidRPr="00760CE9">
        <w:rPr>
          <w:rFonts w:asciiTheme="minorHAnsi" w:hAnsiTheme="minorHAnsi" w:cs="Arial"/>
          <w:color w:val="000000"/>
          <w:spacing w:val="-2"/>
          <w:szCs w:val="22"/>
          <w:lang w:val="en-AU"/>
        </w:rPr>
        <w:t xml:space="preserve">cur with incorrect camera use, </w:t>
      </w:r>
      <w:r w:rsidRPr="00760CE9">
        <w:rPr>
          <w:rFonts w:asciiTheme="minorHAnsi" w:hAnsiTheme="minorHAnsi" w:cs="Arial"/>
          <w:color w:val="000000"/>
          <w:spacing w:val="-2"/>
          <w:szCs w:val="22"/>
          <w:lang w:val="en-AU"/>
        </w:rPr>
        <w:t>underlining the importance of consistent equipment and adequate training;</w:t>
      </w:r>
    </w:p>
    <w:p w14:paraId="3DC5313D" w14:textId="1D107F4D" w:rsidR="00D30D92" w:rsidRPr="00760CE9" w:rsidRDefault="00D30D92" w:rsidP="00AD3F80">
      <w:pPr>
        <w:pStyle w:val="ListParagraph"/>
        <w:widowControl w:val="0"/>
        <w:numPr>
          <w:ilvl w:val="0"/>
          <w:numId w:val="1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760CE9">
        <w:rPr>
          <w:rFonts w:asciiTheme="minorHAnsi" w:hAnsiTheme="minorHAnsi" w:cs="Arial"/>
          <w:color w:val="000000"/>
          <w:szCs w:val="19"/>
          <w:lang w:val="en-AU"/>
        </w:rPr>
        <w:t>L</w:t>
      </w:r>
      <w:r w:rsidR="00B05681" w:rsidRPr="00760CE9">
        <w:rPr>
          <w:rFonts w:asciiTheme="minorHAnsi" w:hAnsiTheme="minorHAnsi" w:cs="Arial"/>
          <w:color w:val="000000"/>
          <w:szCs w:val="19"/>
          <w:lang w:val="en-AU"/>
        </w:rPr>
        <w:t xml:space="preserve">imited </w:t>
      </w:r>
      <w:r w:rsidRPr="00760CE9">
        <w:rPr>
          <w:rFonts w:asciiTheme="minorHAnsi" w:hAnsiTheme="minorHAnsi" w:cs="Arial"/>
          <w:color w:val="000000"/>
          <w:szCs w:val="19"/>
          <w:lang w:val="en-AU"/>
        </w:rPr>
        <w:t xml:space="preserve">contractor </w:t>
      </w:r>
      <w:r w:rsidR="00B05681" w:rsidRPr="00760CE9">
        <w:rPr>
          <w:rFonts w:asciiTheme="minorHAnsi" w:hAnsiTheme="minorHAnsi" w:cs="Arial"/>
          <w:color w:val="000000"/>
          <w:szCs w:val="19"/>
          <w:lang w:val="en-AU"/>
        </w:rPr>
        <w:t xml:space="preserve">contact with provincial and district health </w:t>
      </w:r>
      <w:r w:rsidRPr="00760CE9">
        <w:rPr>
          <w:rFonts w:asciiTheme="minorHAnsi" w:hAnsiTheme="minorHAnsi" w:cs="Arial"/>
          <w:color w:val="000000"/>
          <w:szCs w:val="19"/>
          <w:lang w:val="en-AU"/>
        </w:rPr>
        <w:t xml:space="preserve">authorities (expanded below) can result in misunderstanding, with informants noting </w:t>
      </w:r>
      <w:proofErr w:type="spellStart"/>
      <w:r w:rsidR="00B05681" w:rsidRPr="00760CE9">
        <w:rPr>
          <w:rFonts w:asciiTheme="minorHAnsi" w:hAnsiTheme="minorHAnsi" w:cs="Arial"/>
          <w:color w:val="000000"/>
          <w:szCs w:val="19"/>
          <w:lang w:val="en-AU"/>
        </w:rPr>
        <w:t>Protocal</w:t>
      </w:r>
      <w:proofErr w:type="spellEnd"/>
      <w:r w:rsidR="00B05681" w:rsidRPr="00760CE9">
        <w:rPr>
          <w:rFonts w:asciiTheme="minorHAnsi" w:hAnsiTheme="minorHAnsi" w:cs="Arial"/>
          <w:color w:val="000000"/>
          <w:szCs w:val="19"/>
          <w:lang w:val="en-AU"/>
        </w:rPr>
        <w:t xml:space="preserve"> </w:t>
      </w:r>
      <w:r w:rsidR="00AA3BDC" w:rsidRPr="00760CE9">
        <w:rPr>
          <w:rFonts w:asciiTheme="minorHAnsi" w:hAnsiTheme="minorHAnsi" w:cs="Arial"/>
          <w:color w:val="000000"/>
          <w:szCs w:val="19"/>
          <w:lang w:val="en-AU"/>
        </w:rPr>
        <w:t xml:space="preserve">Investments </w:t>
      </w:r>
      <w:r w:rsidR="00B05681" w:rsidRPr="00760CE9">
        <w:rPr>
          <w:rFonts w:asciiTheme="minorHAnsi" w:hAnsiTheme="minorHAnsi" w:cs="Arial"/>
          <w:color w:val="000000"/>
          <w:szCs w:val="19"/>
          <w:lang w:val="en-AU"/>
        </w:rPr>
        <w:t xml:space="preserve">has been </w:t>
      </w:r>
      <w:r w:rsidRPr="00760CE9">
        <w:rPr>
          <w:rFonts w:asciiTheme="minorHAnsi" w:hAnsiTheme="minorHAnsi" w:cs="Arial"/>
          <w:color w:val="000000"/>
          <w:szCs w:val="19"/>
          <w:lang w:val="en-AU"/>
        </w:rPr>
        <w:t xml:space="preserve">more </w:t>
      </w:r>
      <w:r w:rsidR="00B05681" w:rsidRPr="00760CE9">
        <w:rPr>
          <w:rFonts w:asciiTheme="minorHAnsi" w:hAnsiTheme="minorHAnsi" w:cs="Arial"/>
          <w:color w:val="000000"/>
          <w:szCs w:val="19"/>
          <w:lang w:val="en-AU"/>
        </w:rPr>
        <w:t>successful in advising provinces of the distribution s</w:t>
      </w:r>
      <w:r w:rsidR="003B3687" w:rsidRPr="00760CE9">
        <w:rPr>
          <w:rFonts w:asciiTheme="minorHAnsi" w:hAnsiTheme="minorHAnsi" w:cs="Arial"/>
          <w:color w:val="000000"/>
          <w:szCs w:val="19"/>
          <w:lang w:val="en-AU"/>
        </w:rPr>
        <w:t>chedule via radio announcements;</w:t>
      </w:r>
      <w:r w:rsidR="00B05681" w:rsidRPr="00760CE9">
        <w:rPr>
          <w:rFonts w:asciiTheme="minorHAnsi" w:hAnsiTheme="minorHAnsi" w:cs="Arial"/>
          <w:color w:val="000000"/>
          <w:szCs w:val="19"/>
          <w:lang w:val="en-AU"/>
        </w:rPr>
        <w:t xml:space="preserve">   </w:t>
      </w:r>
    </w:p>
    <w:p w14:paraId="50FEC5D4" w14:textId="57EAD8F3" w:rsidR="00D30D92" w:rsidRPr="00E27200" w:rsidRDefault="00B05681" w:rsidP="00AD3F80">
      <w:pPr>
        <w:pStyle w:val="ListParagraph"/>
        <w:widowControl w:val="0"/>
        <w:numPr>
          <w:ilvl w:val="0"/>
          <w:numId w:val="1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Transport costs </w:t>
      </w:r>
      <w:r w:rsidR="00D30D92" w:rsidRPr="00E27200">
        <w:rPr>
          <w:rFonts w:asciiTheme="minorHAnsi" w:hAnsiTheme="minorHAnsi" w:cs="Arial"/>
          <w:color w:val="000000"/>
          <w:szCs w:val="19"/>
          <w:lang w:val="en-AU"/>
        </w:rPr>
        <w:t>that escalate</w:t>
      </w:r>
      <w:r w:rsidRPr="00E27200">
        <w:rPr>
          <w:rFonts w:asciiTheme="minorHAnsi" w:hAnsiTheme="minorHAnsi" w:cs="Arial"/>
          <w:color w:val="000000"/>
          <w:szCs w:val="19"/>
          <w:lang w:val="en-AU"/>
        </w:rPr>
        <w:t xml:space="preserve"> </w:t>
      </w:r>
      <w:r w:rsidR="00D30D92" w:rsidRPr="00E27200">
        <w:rPr>
          <w:rFonts w:asciiTheme="minorHAnsi" w:hAnsiTheme="minorHAnsi" w:cs="Arial"/>
          <w:color w:val="000000"/>
          <w:szCs w:val="19"/>
          <w:lang w:val="en-AU"/>
        </w:rPr>
        <w:t>with</w:t>
      </w:r>
      <w:r w:rsidRPr="00E27200">
        <w:rPr>
          <w:rFonts w:asciiTheme="minorHAnsi" w:hAnsiTheme="minorHAnsi" w:cs="Arial"/>
          <w:color w:val="000000"/>
          <w:szCs w:val="19"/>
          <w:lang w:val="en-AU"/>
        </w:rPr>
        <w:t xml:space="preserve"> </w:t>
      </w:r>
      <w:r w:rsidR="00D30D92" w:rsidRPr="00E27200">
        <w:rPr>
          <w:rFonts w:asciiTheme="minorHAnsi" w:hAnsiTheme="minorHAnsi" w:cs="Arial"/>
          <w:color w:val="000000"/>
          <w:szCs w:val="19"/>
          <w:lang w:val="en-AU"/>
        </w:rPr>
        <w:t>underestimation of the difficulty of terrain or roads</w:t>
      </w:r>
      <w:r w:rsidR="00900865">
        <w:rPr>
          <w:rFonts w:asciiTheme="minorHAnsi" w:hAnsiTheme="minorHAnsi" w:cs="Arial"/>
          <w:color w:val="000000"/>
          <w:szCs w:val="19"/>
          <w:lang w:val="en-AU"/>
        </w:rPr>
        <w:t>; and</w:t>
      </w:r>
    </w:p>
    <w:p w14:paraId="58F83998" w14:textId="77777777" w:rsidR="00B05681" w:rsidRPr="00E27200" w:rsidRDefault="00D30D92" w:rsidP="00AD3F80">
      <w:pPr>
        <w:pStyle w:val="ListParagraph"/>
        <w:widowControl w:val="0"/>
        <w:numPr>
          <w:ilvl w:val="0"/>
          <w:numId w:val="1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Identification of closed facilities, either due to outmoded listings or temporary changes such as </w:t>
      </w:r>
      <w:r w:rsidR="00B05681" w:rsidRPr="00E27200">
        <w:rPr>
          <w:rFonts w:asciiTheme="minorHAnsi" w:hAnsiTheme="minorHAnsi" w:cs="Arial"/>
          <w:color w:val="000000"/>
          <w:szCs w:val="19"/>
          <w:lang w:val="en-AU"/>
        </w:rPr>
        <w:t>tribal fighting.</w:t>
      </w:r>
    </w:p>
    <w:p w14:paraId="45C6656B" w14:textId="77777777" w:rsidR="00770769" w:rsidRPr="00E27200" w:rsidRDefault="00770769" w:rsidP="00770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672D949B" w14:textId="39564495" w:rsidR="00355E60" w:rsidRPr="00E27200" w:rsidRDefault="00770769" w:rsidP="00BB4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r w:rsidRPr="00E27200">
        <w:rPr>
          <w:rFonts w:asciiTheme="minorHAnsi" w:hAnsiTheme="minorHAnsi" w:cs="Arial"/>
          <w:color w:val="000000"/>
          <w:szCs w:val="19"/>
          <w:lang w:val="en-AU"/>
        </w:rPr>
        <w:t>There was general agreement that allocating responsibility by region, across three contractors with local strengths</w:t>
      </w:r>
      <w:r w:rsidR="00780E2B">
        <w:rPr>
          <w:rFonts w:asciiTheme="minorHAnsi" w:hAnsiTheme="minorHAnsi" w:cs="Arial"/>
          <w:color w:val="000000"/>
          <w:szCs w:val="19"/>
          <w:lang w:val="en-AU"/>
        </w:rPr>
        <w:t>,</w:t>
      </w:r>
      <w:r w:rsidRPr="00E27200">
        <w:rPr>
          <w:rFonts w:asciiTheme="minorHAnsi" w:hAnsiTheme="minorHAnsi" w:cs="Arial"/>
          <w:color w:val="000000"/>
          <w:szCs w:val="19"/>
          <w:lang w:val="en-AU"/>
        </w:rPr>
        <w:t xml:space="preserve"> was an effective way to apportion contracts and that the contract conditions, while onerous in monitoring, did help assure delivery.</w:t>
      </w:r>
      <w:r w:rsidR="008546D6" w:rsidRPr="00E27200">
        <w:rPr>
          <w:rFonts w:asciiTheme="minorHAnsi" w:hAnsiTheme="minorHAnsi" w:cs="Arial"/>
          <w:color w:val="000000"/>
          <w:szCs w:val="19"/>
          <w:lang w:val="en-AU"/>
        </w:rPr>
        <w:t xml:space="preserve"> However some assessments suggest that d</w:t>
      </w:r>
      <w:r w:rsidR="008546D6" w:rsidRPr="00E27200">
        <w:rPr>
          <w:lang w:val="en-AU"/>
        </w:rPr>
        <w:t xml:space="preserve">istribution costs have the potential to be lower if contractors did not have strict regional contracts but </w:t>
      </w:r>
      <w:r w:rsidR="00355E60" w:rsidRPr="00E27200">
        <w:rPr>
          <w:lang w:val="en-AU"/>
        </w:rPr>
        <w:t xml:space="preserve">are </w:t>
      </w:r>
      <w:r w:rsidR="008546D6" w:rsidRPr="00E27200">
        <w:rPr>
          <w:lang w:val="en-AU"/>
        </w:rPr>
        <w:t xml:space="preserve">able to cross provincial boundaries to deliver to </w:t>
      </w:r>
      <w:r w:rsidR="00355E60" w:rsidRPr="00E27200">
        <w:rPr>
          <w:lang w:val="en-AU"/>
        </w:rPr>
        <w:t xml:space="preserve">remote </w:t>
      </w:r>
      <w:r w:rsidR="008546D6" w:rsidRPr="00E27200">
        <w:rPr>
          <w:lang w:val="en-AU"/>
        </w:rPr>
        <w:t>facilities</w:t>
      </w:r>
      <w:r w:rsidR="00355E60" w:rsidRPr="00E27200">
        <w:rPr>
          <w:lang w:val="en-AU"/>
        </w:rPr>
        <w:t xml:space="preserve"> close to the border</w:t>
      </w:r>
      <w:r w:rsidR="008546D6" w:rsidRPr="00E27200">
        <w:rPr>
          <w:lang w:val="en-AU"/>
        </w:rPr>
        <w:t xml:space="preserve">. </w:t>
      </w:r>
      <w:r w:rsidR="00966106" w:rsidRPr="00966106">
        <w:rPr>
          <w:lang w:val="en-AU"/>
        </w:rPr>
        <w:t>For inst</w:t>
      </w:r>
      <w:r w:rsidR="00966106">
        <w:rPr>
          <w:lang w:val="en-AU"/>
        </w:rPr>
        <w:t>ance, the contractor for East</w:t>
      </w:r>
      <w:r w:rsidR="00966106" w:rsidRPr="00966106">
        <w:rPr>
          <w:lang w:val="en-AU"/>
        </w:rPr>
        <w:t xml:space="preserve"> Sepik </w:t>
      </w:r>
      <w:r w:rsidR="00966106">
        <w:rPr>
          <w:lang w:val="en-AU"/>
        </w:rPr>
        <w:t xml:space="preserve">Province </w:t>
      </w:r>
      <w:r w:rsidR="00966106" w:rsidRPr="00966106">
        <w:rPr>
          <w:lang w:val="en-AU"/>
        </w:rPr>
        <w:t xml:space="preserve">does not provide transport services to </w:t>
      </w:r>
      <w:r w:rsidR="00966106">
        <w:rPr>
          <w:lang w:val="en-AU"/>
        </w:rPr>
        <w:t xml:space="preserve">the HFs </w:t>
      </w:r>
      <w:r w:rsidR="00966106" w:rsidRPr="00966106">
        <w:rPr>
          <w:lang w:val="en-AU"/>
        </w:rPr>
        <w:t xml:space="preserve">in </w:t>
      </w:r>
      <w:r w:rsidR="00966106">
        <w:rPr>
          <w:lang w:val="en-AU"/>
        </w:rPr>
        <w:t>the northe</w:t>
      </w:r>
      <w:r w:rsidR="005306E5">
        <w:rPr>
          <w:lang w:val="en-AU"/>
        </w:rPr>
        <w:t>r</w:t>
      </w:r>
      <w:r w:rsidR="00966106">
        <w:rPr>
          <w:lang w:val="en-AU"/>
        </w:rPr>
        <w:t xml:space="preserve">n part of </w:t>
      </w:r>
      <w:r w:rsidR="00966106" w:rsidRPr="00966106">
        <w:rPr>
          <w:lang w:val="en-AU"/>
        </w:rPr>
        <w:t>Weste</w:t>
      </w:r>
      <w:r w:rsidR="00966106">
        <w:rPr>
          <w:lang w:val="en-AU"/>
        </w:rPr>
        <w:t>rn Province close to the East</w:t>
      </w:r>
      <w:r w:rsidR="00966106" w:rsidRPr="00966106">
        <w:rPr>
          <w:lang w:val="en-AU"/>
        </w:rPr>
        <w:t xml:space="preserve"> Sepik border.</w:t>
      </w:r>
    </w:p>
    <w:p w14:paraId="5AAAFD3C" w14:textId="77777777" w:rsidR="00355E60" w:rsidRPr="00E27200" w:rsidRDefault="00355E60" w:rsidP="00BB4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p>
    <w:p w14:paraId="640D1096" w14:textId="713236DD" w:rsidR="00E65AB1" w:rsidRPr="00704215" w:rsidRDefault="00355E60" w:rsidP="007042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lang w:val="en-AU"/>
        </w:rPr>
        <w:t>Another potential efficiency gain relates to the timing of deliveries. W</w:t>
      </w:r>
      <w:r w:rsidR="008546D6" w:rsidRPr="00E27200">
        <w:rPr>
          <w:lang w:val="en-AU"/>
        </w:rPr>
        <w:t xml:space="preserve">hile making </w:t>
      </w:r>
      <w:r w:rsidRPr="00E27200">
        <w:rPr>
          <w:lang w:val="en-AU"/>
        </w:rPr>
        <w:t>four</w:t>
      </w:r>
      <w:r w:rsidR="008546D6" w:rsidRPr="00E27200">
        <w:rPr>
          <w:lang w:val="en-AU"/>
        </w:rPr>
        <w:t xml:space="preserve"> monthly deliveries to </w:t>
      </w:r>
      <w:r w:rsidR="00C1097C">
        <w:rPr>
          <w:lang w:val="en-AU"/>
        </w:rPr>
        <w:t>HC</w:t>
      </w:r>
      <w:r w:rsidR="008546D6" w:rsidRPr="00E27200">
        <w:rPr>
          <w:lang w:val="en-AU"/>
        </w:rPr>
        <w:t xml:space="preserve"> and </w:t>
      </w:r>
      <w:r w:rsidRPr="00E27200">
        <w:rPr>
          <w:lang w:val="en-AU"/>
        </w:rPr>
        <w:t>six</w:t>
      </w:r>
      <w:r w:rsidR="008546D6" w:rsidRPr="00E27200">
        <w:rPr>
          <w:lang w:val="en-AU"/>
        </w:rPr>
        <w:t xml:space="preserve"> monthly to </w:t>
      </w:r>
      <w:r w:rsidR="00C1097C">
        <w:rPr>
          <w:lang w:val="en-AU"/>
        </w:rPr>
        <w:t>AP</w:t>
      </w:r>
      <w:r w:rsidR="008546D6" w:rsidRPr="00E27200">
        <w:rPr>
          <w:lang w:val="en-AU"/>
        </w:rPr>
        <w:t xml:space="preserve"> is a rational distribution method, </w:t>
      </w:r>
      <w:r w:rsidR="00C1097C">
        <w:rPr>
          <w:lang w:val="en-AU"/>
        </w:rPr>
        <w:t>in that it avoids storage problems at the HC that might occur with less frequent six monthly deliveries</w:t>
      </w:r>
      <w:r w:rsidR="00AE1751">
        <w:rPr>
          <w:lang w:val="en-AU"/>
        </w:rPr>
        <w:t>, and the higher costs of more frequent delivery to APs (given they are greater in number and more remote). I</w:t>
      </w:r>
      <w:r w:rsidR="008546D6" w:rsidRPr="00E27200">
        <w:rPr>
          <w:lang w:val="en-AU"/>
        </w:rPr>
        <w:t xml:space="preserve">t may be less cost effective because delivering </w:t>
      </w:r>
      <w:r w:rsidR="00780E2B">
        <w:rPr>
          <w:lang w:val="en-AU"/>
        </w:rPr>
        <w:t xml:space="preserve">a round solely </w:t>
      </w:r>
      <w:r w:rsidR="008546D6" w:rsidRPr="00E27200">
        <w:rPr>
          <w:lang w:val="en-AU"/>
        </w:rPr>
        <w:t xml:space="preserve">to </w:t>
      </w:r>
      <w:r w:rsidR="00AE1751">
        <w:rPr>
          <w:lang w:val="en-AU"/>
        </w:rPr>
        <w:t>APs</w:t>
      </w:r>
      <w:r w:rsidR="008546D6" w:rsidRPr="00E27200">
        <w:rPr>
          <w:lang w:val="en-AU"/>
        </w:rPr>
        <w:t xml:space="preserve"> mean</w:t>
      </w:r>
      <w:r w:rsidR="00780E2B">
        <w:rPr>
          <w:lang w:val="en-AU"/>
        </w:rPr>
        <w:t>s</w:t>
      </w:r>
      <w:r w:rsidR="008546D6" w:rsidRPr="00E27200">
        <w:rPr>
          <w:lang w:val="en-AU"/>
        </w:rPr>
        <w:t xml:space="preserve"> transporters potentially carry out </w:t>
      </w:r>
      <w:r w:rsidR="00AE1515">
        <w:rPr>
          <w:lang w:val="en-AU"/>
        </w:rPr>
        <w:t>five</w:t>
      </w:r>
      <w:r w:rsidR="008546D6" w:rsidRPr="00E27200">
        <w:rPr>
          <w:lang w:val="en-AU"/>
        </w:rPr>
        <w:t xml:space="preserve"> deliveries in a year.  </w:t>
      </w:r>
      <w:r w:rsidRPr="00E27200">
        <w:rPr>
          <w:lang w:val="en-AU"/>
        </w:rPr>
        <w:t>Many</w:t>
      </w:r>
      <w:r w:rsidR="008546D6" w:rsidRPr="00E27200">
        <w:rPr>
          <w:lang w:val="en-AU"/>
        </w:rPr>
        <w:t xml:space="preserve"> aid posts </w:t>
      </w:r>
      <w:r w:rsidR="00780E2B">
        <w:rPr>
          <w:lang w:val="en-AU"/>
        </w:rPr>
        <w:t xml:space="preserve">are </w:t>
      </w:r>
      <w:r w:rsidRPr="00E27200">
        <w:rPr>
          <w:lang w:val="en-AU"/>
        </w:rPr>
        <w:t>close to</w:t>
      </w:r>
      <w:r w:rsidR="008546D6" w:rsidRPr="00E27200">
        <w:rPr>
          <w:lang w:val="en-AU"/>
        </w:rPr>
        <w:t xml:space="preserve"> health centres</w:t>
      </w:r>
      <w:r w:rsidRPr="00E27200">
        <w:rPr>
          <w:lang w:val="en-AU"/>
        </w:rPr>
        <w:t xml:space="preserve">, and if their delivery was combined </w:t>
      </w:r>
      <w:r w:rsidR="00780E2B">
        <w:rPr>
          <w:lang w:val="en-AU"/>
        </w:rPr>
        <w:t xml:space="preserve">with that to the health centre </w:t>
      </w:r>
      <w:r w:rsidRPr="00E27200">
        <w:rPr>
          <w:lang w:val="en-AU"/>
        </w:rPr>
        <w:t>savings could be achieved.</w:t>
      </w:r>
      <w:r w:rsidR="005306E5">
        <w:rPr>
          <w:lang w:val="en-AU"/>
        </w:rPr>
        <w:t xml:space="preserve"> Revisions for 2014 could</w:t>
      </w:r>
      <w:r w:rsidR="00C1097C">
        <w:rPr>
          <w:lang w:val="en-AU"/>
        </w:rPr>
        <w:t xml:space="preserve"> examine other options, such as integration of at least the first HC and AP </w:t>
      </w:r>
      <w:r w:rsidR="00AE1751">
        <w:rPr>
          <w:lang w:val="en-AU"/>
        </w:rPr>
        <w:t>rounds</w:t>
      </w:r>
      <w:r w:rsidR="00C1097C">
        <w:rPr>
          <w:lang w:val="en-AU"/>
        </w:rPr>
        <w:t>, which would reduce</w:t>
      </w:r>
      <w:r w:rsidR="00AE1751">
        <w:rPr>
          <w:lang w:val="en-AU"/>
        </w:rPr>
        <w:t xml:space="preserve"> overall</w:t>
      </w:r>
      <w:r w:rsidR="005306E5">
        <w:rPr>
          <w:lang w:val="en-AU"/>
        </w:rPr>
        <w:t xml:space="preserve"> delivery frequency to some degree</w:t>
      </w:r>
      <w:r w:rsidR="00AE1751">
        <w:rPr>
          <w:lang w:val="en-AU"/>
        </w:rPr>
        <w:t>.</w:t>
      </w:r>
    </w:p>
    <w:p w14:paraId="4BDB48B1" w14:textId="77777777" w:rsidR="00AE1751" w:rsidRPr="00E27200" w:rsidRDefault="00AE1751" w:rsidP="00E65AB1">
      <w:pPr>
        <w:ind w:right="-472"/>
        <w:rPr>
          <w:lang w:val="en-AU"/>
        </w:rPr>
      </w:pPr>
    </w:p>
    <w:p w14:paraId="644238B6" w14:textId="77777777" w:rsidR="003366BB" w:rsidRPr="00E27200" w:rsidRDefault="003366BB" w:rsidP="00AD3F80">
      <w:pPr>
        <w:pStyle w:val="Heading3"/>
        <w:numPr>
          <w:ilvl w:val="2"/>
          <w:numId w:val="17"/>
        </w:numPr>
        <w:ind w:left="567"/>
      </w:pPr>
      <w:r w:rsidRPr="00E27200">
        <w:t>‘Push’ system distribution and communication for the 100% kits</w:t>
      </w:r>
    </w:p>
    <w:p w14:paraId="27EF1598" w14:textId="3D91CBA4" w:rsidR="009477E1" w:rsidRDefault="00422F5C" w:rsidP="00422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lang w:val="en-AU"/>
        </w:rPr>
      </w:pPr>
      <w:r w:rsidRPr="00E27200">
        <w:rPr>
          <w:rFonts w:asciiTheme="minorHAnsi" w:hAnsiTheme="minorHAnsi" w:cs="Arial"/>
          <w:color w:val="000000"/>
          <w:szCs w:val="19"/>
          <w:lang w:val="en-AU"/>
        </w:rPr>
        <w:t xml:space="preserve">The </w:t>
      </w:r>
      <w:r w:rsidR="00DC49D2">
        <w:rPr>
          <w:rFonts w:asciiTheme="minorHAnsi" w:hAnsiTheme="minorHAnsi" w:cs="Arial"/>
          <w:color w:val="000000"/>
          <w:szCs w:val="19"/>
          <w:lang w:val="en-AU"/>
        </w:rPr>
        <w:t>‘push’ system</w:t>
      </w:r>
      <w:r w:rsidR="00DC49D2" w:rsidRPr="00E27200">
        <w:rPr>
          <w:rFonts w:asciiTheme="minorHAnsi" w:hAnsiTheme="minorHAnsi" w:cs="Arial"/>
          <w:color w:val="000000"/>
          <w:szCs w:val="19"/>
          <w:lang w:val="en-AU"/>
        </w:rPr>
        <w:t xml:space="preserve"> distribution </w:t>
      </w:r>
      <w:r w:rsidR="00DC49D2">
        <w:rPr>
          <w:rFonts w:asciiTheme="minorHAnsi" w:hAnsiTheme="minorHAnsi" w:cs="Arial"/>
          <w:color w:val="000000"/>
          <w:szCs w:val="19"/>
          <w:lang w:val="en-AU"/>
        </w:rPr>
        <w:t xml:space="preserve">of 100% kits </w:t>
      </w:r>
      <w:r w:rsidRPr="00E27200">
        <w:rPr>
          <w:rFonts w:asciiTheme="minorHAnsi" w:hAnsiTheme="minorHAnsi" w:cs="Arial"/>
          <w:color w:val="000000"/>
          <w:szCs w:val="19"/>
          <w:lang w:val="en-AU"/>
        </w:rPr>
        <w:t xml:space="preserve">aims to reach around </w:t>
      </w:r>
      <w:r w:rsidR="00AA3BDC">
        <w:rPr>
          <w:rFonts w:asciiTheme="minorHAnsi" w:hAnsiTheme="minorHAnsi" w:cs="Arial"/>
          <w:color w:val="000000"/>
          <w:szCs w:val="19"/>
          <w:lang w:val="en-AU"/>
        </w:rPr>
        <w:t>750</w:t>
      </w:r>
      <w:r w:rsidR="00AA3BDC" w:rsidRPr="00E27200">
        <w:rPr>
          <w:rFonts w:asciiTheme="minorHAnsi" w:hAnsiTheme="minorHAnsi" w:cs="Arial"/>
          <w:color w:val="000000"/>
          <w:szCs w:val="19"/>
          <w:lang w:val="en-AU"/>
        </w:rPr>
        <w:t xml:space="preserve"> </w:t>
      </w:r>
      <w:r w:rsidRPr="00E27200">
        <w:rPr>
          <w:rFonts w:asciiTheme="minorHAnsi" w:hAnsiTheme="minorHAnsi" w:cs="Arial"/>
          <w:color w:val="000000"/>
          <w:szCs w:val="19"/>
          <w:lang w:val="en-AU"/>
        </w:rPr>
        <w:t xml:space="preserve">health centres every four months and 2000 aid posts every six months, through direct deliveries that </w:t>
      </w:r>
      <w:r w:rsidR="00AA3BDC">
        <w:t>supplement</w:t>
      </w:r>
      <w:r w:rsidRPr="00E27200">
        <w:rPr>
          <w:rFonts w:asciiTheme="minorHAnsi" w:hAnsiTheme="minorHAnsi" w:cs="Arial"/>
          <w:color w:val="000000"/>
          <w:szCs w:val="19"/>
          <w:lang w:val="en-AU"/>
        </w:rPr>
        <w:t xml:space="preserve"> the ‘pull’ </w:t>
      </w:r>
      <w:r w:rsidRPr="00E27200">
        <w:rPr>
          <w:rFonts w:asciiTheme="minorHAnsi" w:hAnsiTheme="minorHAnsi" w:cs="Arial"/>
          <w:color w:val="000000"/>
          <w:szCs w:val="19"/>
          <w:lang w:val="en-AU"/>
        </w:rPr>
        <w:lastRenderedPageBreak/>
        <w:t xml:space="preserve">system of AMS and PTS. As noted in Section 5 there is evidence that </w:t>
      </w:r>
      <w:r w:rsidR="00780E2B">
        <w:rPr>
          <w:rFonts w:asciiTheme="minorHAnsi" w:hAnsiTheme="minorHAnsi" w:cs="Arial"/>
          <w:color w:val="000000"/>
          <w:szCs w:val="19"/>
          <w:lang w:val="en-AU"/>
        </w:rPr>
        <w:t xml:space="preserve">there </w:t>
      </w:r>
      <w:r w:rsidRPr="00E27200">
        <w:rPr>
          <w:rFonts w:asciiTheme="minorHAnsi" w:hAnsiTheme="minorHAnsi" w:cs="Arial"/>
          <w:color w:val="000000"/>
          <w:szCs w:val="19"/>
          <w:lang w:val="en-AU"/>
        </w:rPr>
        <w:t>has been effective penetration to rural facilities with a measurable increase in availability of essential medicines. There is some, but not large variation in availability of medicines</w:t>
      </w:r>
      <w:r w:rsidR="00256C9F">
        <w:rPr>
          <w:rFonts w:asciiTheme="minorHAnsi" w:hAnsiTheme="minorHAnsi" w:cs="Arial"/>
          <w:color w:val="000000"/>
          <w:szCs w:val="19"/>
          <w:lang w:val="en-AU"/>
        </w:rPr>
        <w:t xml:space="preserve"> supplemented by the 100% kits</w:t>
      </w:r>
      <w:r w:rsidRPr="00E27200">
        <w:rPr>
          <w:rFonts w:asciiTheme="minorHAnsi" w:hAnsiTheme="minorHAnsi" w:cs="Arial"/>
          <w:color w:val="000000"/>
          <w:szCs w:val="19"/>
          <w:lang w:val="en-AU"/>
        </w:rPr>
        <w:t xml:space="preserve"> by region: </w:t>
      </w:r>
      <w:r w:rsidRPr="00E27200">
        <w:rPr>
          <w:rFonts w:asciiTheme="minorHAnsi" w:hAnsiTheme="minorHAnsi"/>
          <w:lang w:val="en-AU"/>
        </w:rPr>
        <w:t xml:space="preserve">Highlands had the greatest availability (76.3%), followed by Islands (71.3%), then Southern (64.9%), and finally </w:t>
      </w:r>
      <w:proofErr w:type="spellStart"/>
      <w:r w:rsidRPr="00E27200">
        <w:rPr>
          <w:rFonts w:asciiTheme="minorHAnsi" w:hAnsiTheme="minorHAnsi"/>
          <w:lang w:val="en-AU"/>
        </w:rPr>
        <w:t>Momase</w:t>
      </w:r>
      <w:proofErr w:type="spellEnd"/>
      <w:r w:rsidRPr="00E27200">
        <w:rPr>
          <w:rFonts w:asciiTheme="minorHAnsi" w:hAnsiTheme="minorHAnsi"/>
          <w:lang w:val="en-AU"/>
        </w:rPr>
        <w:t xml:space="preserve"> (63.2%</w:t>
      </w:r>
      <w:r w:rsidR="00770769" w:rsidRPr="00E27200">
        <w:rPr>
          <w:rFonts w:asciiTheme="minorHAnsi" w:hAnsiTheme="minorHAnsi"/>
          <w:lang w:val="en-AU"/>
        </w:rPr>
        <w:t>)</w:t>
      </w:r>
      <w:r w:rsidR="000A3F13">
        <w:rPr>
          <w:rFonts w:asciiTheme="minorHAnsi" w:hAnsiTheme="minorHAnsi"/>
          <w:lang w:val="en-AU"/>
        </w:rPr>
        <w:t xml:space="preserve"> </w:t>
      </w:r>
      <w:r w:rsidR="00256C9F">
        <w:rPr>
          <w:rFonts w:asciiTheme="minorHAnsi" w:hAnsiTheme="minorHAnsi"/>
          <w:lang w:val="en-AU"/>
        </w:rPr>
        <w:t>(Annex 11.2, Table A12)</w:t>
      </w:r>
      <w:r w:rsidR="000A3F13">
        <w:rPr>
          <w:rFonts w:asciiTheme="minorHAnsi" w:hAnsiTheme="minorHAnsi"/>
          <w:lang w:val="en-AU"/>
        </w:rPr>
        <w:t xml:space="preserve"> this variation is as likely to represent differing local conditions as much as contractor performance</w:t>
      </w:r>
      <w:r w:rsidRPr="00E27200">
        <w:rPr>
          <w:rFonts w:asciiTheme="minorHAnsi" w:hAnsiTheme="minorHAnsi"/>
          <w:lang w:val="en-AU"/>
        </w:rPr>
        <w:t>.</w:t>
      </w:r>
      <w:r w:rsidR="00017CB5" w:rsidRPr="00E27200">
        <w:rPr>
          <w:rFonts w:asciiTheme="minorHAnsi" w:hAnsiTheme="minorHAnsi"/>
          <w:lang w:val="en-AU"/>
        </w:rPr>
        <w:t xml:space="preserve"> </w:t>
      </w:r>
    </w:p>
    <w:p w14:paraId="46112E4C" w14:textId="77777777" w:rsidR="009477E1" w:rsidRDefault="009477E1" w:rsidP="00422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lang w:val="en-AU"/>
        </w:rPr>
      </w:pPr>
    </w:p>
    <w:p w14:paraId="642F7DA5" w14:textId="1AA65DC7" w:rsidR="007F1B31" w:rsidRPr="008D11AA" w:rsidRDefault="001B70B8" w:rsidP="00422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lang w:val="en-AU"/>
        </w:rPr>
      </w:pPr>
      <w:r>
        <w:rPr>
          <w:rFonts w:asciiTheme="minorHAnsi" w:hAnsiTheme="minorHAnsi"/>
          <w:b/>
          <w:lang w:val="en-AU"/>
        </w:rPr>
        <w:t>Contractor delivery database analysis</w:t>
      </w:r>
    </w:p>
    <w:p w14:paraId="4D302256" w14:textId="6A7F037F" w:rsidR="00F7340C" w:rsidRPr="00740BE6" w:rsidRDefault="00383BFE" w:rsidP="00422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pacing w:val="-2"/>
          <w:szCs w:val="22"/>
          <w:lang w:val="en-AU"/>
        </w:rPr>
      </w:pPr>
      <w:r w:rsidRPr="00740BE6">
        <w:rPr>
          <w:rFonts w:asciiTheme="minorHAnsi" w:hAnsiTheme="minorHAnsi"/>
          <w:spacing w:val="-2"/>
          <w:szCs w:val="22"/>
          <w:lang w:val="en-AU"/>
        </w:rPr>
        <w:t xml:space="preserve">The evaluation attempted to </w:t>
      </w:r>
      <w:r w:rsidR="00B178E7" w:rsidRPr="00740BE6">
        <w:rPr>
          <w:rFonts w:asciiTheme="minorHAnsi" w:hAnsiTheme="minorHAnsi"/>
          <w:spacing w:val="-2"/>
          <w:szCs w:val="22"/>
          <w:lang w:val="en-AU"/>
        </w:rPr>
        <w:t xml:space="preserve">measure </w:t>
      </w:r>
      <w:r w:rsidR="00F7340C" w:rsidRPr="00740BE6">
        <w:rPr>
          <w:rFonts w:asciiTheme="minorHAnsi" w:hAnsiTheme="minorHAnsi"/>
          <w:spacing w:val="-2"/>
          <w:szCs w:val="22"/>
          <w:lang w:val="en-AU"/>
        </w:rPr>
        <w:t>overall delivery efficiency</w:t>
      </w:r>
      <w:r w:rsidRPr="00740BE6">
        <w:rPr>
          <w:rFonts w:asciiTheme="minorHAnsi" w:hAnsiTheme="minorHAnsi"/>
          <w:spacing w:val="-2"/>
          <w:szCs w:val="22"/>
          <w:lang w:val="en-AU"/>
        </w:rPr>
        <w:t xml:space="preserve"> of the 100% kits and examined a number of contractor-</w:t>
      </w:r>
      <w:r w:rsidR="001C70FD" w:rsidRPr="00740BE6">
        <w:rPr>
          <w:rFonts w:asciiTheme="minorHAnsi" w:hAnsiTheme="minorHAnsi"/>
          <w:spacing w:val="-2"/>
          <w:szCs w:val="22"/>
          <w:lang w:val="en-AU"/>
        </w:rPr>
        <w:t xml:space="preserve">supplied </w:t>
      </w:r>
      <w:r w:rsidRPr="00740BE6">
        <w:rPr>
          <w:rFonts w:asciiTheme="minorHAnsi" w:hAnsiTheme="minorHAnsi"/>
          <w:spacing w:val="-2"/>
          <w:szCs w:val="22"/>
          <w:lang w:val="en-AU"/>
        </w:rPr>
        <w:t>spread</w:t>
      </w:r>
      <w:r w:rsidR="00C021FF">
        <w:rPr>
          <w:rFonts w:asciiTheme="minorHAnsi" w:hAnsiTheme="minorHAnsi"/>
          <w:spacing w:val="-2"/>
          <w:szCs w:val="22"/>
          <w:lang w:val="en-AU"/>
        </w:rPr>
        <w:t>-</w:t>
      </w:r>
      <w:r w:rsidRPr="00740BE6">
        <w:rPr>
          <w:rFonts w:asciiTheme="minorHAnsi" w:hAnsiTheme="minorHAnsi"/>
          <w:spacing w:val="-2"/>
          <w:szCs w:val="22"/>
          <w:lang w:val="en-AU"/>
        </w:rPr>
        <w:t>sheets.</w:t>
      </w:r>
      <w:r w:rsidR="00A96EC5" w:rsidRPr="00740BE6">
        <w:rPr>
          <w:rFonts w:asciiTheme="minorHAnsi" w:hAnsiTheme="minorHAnsi"/>
          <w:spacing w:val="-2"/>
          <w:szCs w:val="22"/>
          <w:lang w:val="en-AU"/>
        </w:rPr>
        <w:t xml:space="preserve"> Unfortunately the amount of missing data means a definitive calculation</w:t>
      </w:r>
      <w:r w:rsidR="002B7455" w:rsidRPr="00740BE6">
        <w:rPr>
          <w:rFonts w:asciiTheme="minorHAnsi" w:hAnsiTheme="minorHAnsi"/>
          <w:spacing w:val="-2"/>
          <w:szCs w:val="22"/>
          <w:lang w:val="en-AU"/>
        </w:rPr>
        <w:t xml:space="preserve"> </w:t>
      </w:r>
      <w:r w:rsidR="00A96EC5" w:rsidRPr="00740BE6">
        <w:rPr>
          <w:rFonts w:asciiTheme="minorHAnsi" w:hAnsiTheme="minorHAnsi"/>
          <w:spacing w:val="-2"/>
          <w:szCs w:val="22"/>
          <w:lang w:val="en-AU"/>
        </w:rPr>
        <w:t xml:space="preserve">is not possible, although examination </w:t>
      </w:r>
      <w:r w:rsidR="006E2914" w:rsidRPr="00740BE6">
        <w:rPr>
          <w:rFonts w:asciiTheme="minorHAnsi" w:hAnsiTheme="minorHAnsi"/>
          <w:spacing w:val="-2"/>
          <w:szCs w:val="22"/>
          <w:lang w:val="en-AU"/>
        </w:rPr>
        <w:t xml:space="preserve">of delivery completion </w:t>
      </w:r>
      <w:r w:rsidR="00A96EC5" w:rsidRPr="00740BE6">
        <w:rPr>
          <w:rFonts w:asciiTheme="minorHAnsi" w:hAnsiTheme="minorHAnsi"/>
          <w:spacing w:val="-2"/>
          <w:szCs w:val="22"/>
          <w:lang w:val="en-AU"/>
        </w:rPr>
        <w:t>data available for two rounds of HC delivery is at least 83% and</w:t>
      </w:r>
      <w:r w:rsidR="006E2914" w:rsidRPr="00740BE6">
        <w:rPr>
          <w:rFonts w:asciiTheme="minorHAnsi" w:hAnsiTheme="minorHAnsi"/>
          <w:spacing w:val="-2"/>
          <w:szCs w:val="22"/>
          <w:lang w:val="en-AU"/>
        </w:rPr>
        <w:t xml:space="preserve"> for</w:t>
      </w:r>
      <w:r w:rsidR="00A96EC5" w:rsidRPr="00740BE6">
        <w:rPr>
          <w:rFonts w:asciiTheme="minorHAnsi" w:hAnsiTheme="minorHAnsi"/>
          <w:spacing w:val="-2"/>
          <w:szCs w:val="22"/>
          <w:lang w:val="en-AU"/>
        </w:rPr>
        <w:t xml:space="preserve"> the first round of AP delivery at least 55%, as at June 2013. The actual completion is likely to be higher and</w:t>
      </w:r>
      <w:r w:rsidR="002B7455" w:rsidRPr="00740BE6">
        <w:rPr>
          <w:rFonts w:asciiTheme="minorHAnsi" w:hAnsiTheme="minorHAnsi"/>
          <w:spacing w:val="-2"/>
          <w:szCs w:val="22"/>
          <w:lang w:val="en-AU"/>
        </w:rPr>
        <w:t xml:space="preserve"> should be verifiable by reports to </w:t>
      </w:r>
      <w:r w:rsidR="007439AA">
        <w:rPr>
          <w:rFonts w:asciiTheme="minorHAnsi" w:hAnsiTheme="minorHAnsi"/>
          <w:spacing w:val="-2"/>
          <w:szCs w:val="22"/>
          <w:lang w:val="en-AU"/>
        </w:rPr>
        <w:t xml:space="preserve">the </w:t>
      </w:r>
      <w:r w:rsidR="002B7455" w:rsidRPr="00740BE6">
        <w:rPr>
          <w:rFonts w:asciiTheme="minorHAnsi" w:hAnsiTheme="minorHAnsi"/>
          <w:spacing w:val="-2"/>
          <w:szCs w:val="22"/>
          <w:lang w:val="en-AU"/>
        </w:rPr>
        <w:t xml:space="preserve">Australian </w:t>
      </w:r>
      <w:r w:rsidR="007439AA">
        <w:rPr>
          <w:rFonts w:asciiTheme="minorHAnsi" w:hAnsiTheme="minorHAnsi"/>
          <w:spacing w:val="-2"/>
          <w:szCs w:val="22"/>
          <w:lang w:val="en-AU"/>
        </w:rPr>
        <w:t>Government</w:t>
      </w:r>
      <w:r w:rsidR="007439AA" w:rsidRPr="00740BE6">
        <w:rPr>
          <w:rFonts w:asciiTheme="minorHAnsi" w:hAnsiTheme="minorHAnsi"/>
          <w:spacing w:val="-2"/>
          <w:szCs w:val="22"/>
          <w:lang w:val="en-AU"/>
        </w:rPr>
        <w:t xml:space="preserve"> </w:t>
      </w:r>
      <w:r w:rsidR="002B7455" w:rsidRPr="00740BE6">
        <w:rPr>
          <w:rFonts w:asciiTheme="minorHAnsi" w:hAnsiTheme="minorHAnsi"/>
          <w:spacing w:val="-2"/>
          <w:szCs w:val="22"/>
          <w:lang w:val="en-AU"/>
        </w:rPr>
        <w:t xml:space="preserve">in late 2013. </w:t>
      </w:r>
      <w:r w:rsidR="001F5AC7" w:rsidRPr="00740BE6">
        <w:rPr>
          <w:rFonts w:asciiTheme="minorHAnsi" w:hAnsiTheme="minorHAnsi"/>
          <w:spacing w:val="-2"/>
          <w:szCs w:val="22"/>
          <w:lang w:val="en-AU"/>
        </w:rPr>
        <w:t>An extract from the delivery database</w:t>
      </w:r>
      <w:r w:rsidR="00DD31DC" w:rsidRPr="00740BE6">
        <w:rPr>
          <w:rStyle w:val="FootnoteReference"/>
          <w:rFonts w:asciiTheme="minorHAnsi" w:hAnsiTheme="minorHAnsi"/>
          <w:spacing w:val="-2"/>
          <w:szCs w:val="22"/>
          <w:lang w:val="en-AU"/>
        </w:rPr>
        <w:footnoteReference w:id="20"/>
      </w:r>
      <w:r w:rsidR="001F5AC7" w:rsidRPr="00740BE6">
        <w:rPr>
          <w:rFonts w:asciiTheme="minorHAnsi" w:hAnsiTheme="minorHAnsi"/>
          <w:spacing w:val="-2"/>
          <w:szCs w:val="22"/>
          <w:lang w:val="en-AU"/>
        </w:rPr>
        <w:t>, covering only the first rounds of HC and AP 100% kits delivery (as the most complete) was analysed both quantitatively and qualitatively. The table below provides an</w:t>
      </w:r>
      <w:r w:rsidR="001C70FD" w:rsidRPr="00740BE6">
        <w:rPr>
          <w:rFonts w:asciiTheme="minorHAnsi" w:hAnsiTheme="minorHAnsi"/>
          <w:spacing w:val="-2"/>
          <w:szCs w:val="22"/>
          <w:lang w:val="en-AU"/>
        </w:rPr>
        <w:t xml:space="preserve"> overview </w:t>
      </w:r>
      <w:r w:rsidR="001F5AC7" w:rsidRPr="00740BE6">
        <w:rPr>
          <w:rFonts w:asciiTheme="minorHAnsi" w:hAnsiTheme="minorHAnsi"/>
          <w:spacing w:val="-2"/>
          <w:szCs w:val="22"/>
          <w:lang w:val="en-AU"/>
        </w:rPr>
        <w:t xml:space="preserve">of some of this delivery </w:t>
      </w:r>
      <w:r w:rsidR="001F5AC7" w:rsidRPr="00760CE9">
        <w:rPr>
          <w:rFonts w:asciiTheme="minorHAnsi" w:hAnsiTheme="minorHAnsi"/>
          <w:spacing w:val="-2"/>
          <w:szCs w:val="22"/>
          <w:lang w:val="en-AU"/>
        </w:rPr>
        <w:t>information.</w:t>
      </w:r>
      <w:r w:rsidR="00154C8F" w:rsidRPr="00760CE9">
        <w:rPr>
          <w:rFonts w:asciiTheme="minorHAnsi" w:hAnsiTheme="minorHAnsi"/>
          <w:spacing w:val="-2"/>
          <w:szCs w:val="22"/>
          <w:lang w:val="en-AU"/>
        </w:rPr>
        <w:t xml:space="preserve">  Here it can be seen, that where delivery data is known, 3% of HC deliveries and </w:t>
      </w:r>
      <w:r w:rsidR="00B178E7" w:rsidRPr="00760CE9">
        <w:rPr>
          <w:rFonts w:asciiTheme="minorHAnsi" w:hAnsiTheme="minorHAnsi"/>
          <w:spacing w:val="-2"/>
          <w:szCs w:val="22"/>
          <w:lang w:val="en-AU"/>
        </w:rPr>
        <w:t>12% of AP deliveries were recorded as ‘Failed’</w:t>
      </w:r>
      <w:r w:rsidR="001B325B" w:rsidRPr="00760CE9">
        <w:rPr>
          <w:rFonts w:asciiTheme="minorHAnsi" w:hAnsiTheme="minorHAnsi"/>
          <w:spacing w:val="-2"/>
          <w:szCs w:val="22"/>
          <w:lang w:val="en-AU"/>
        </w:rPr>
        <w:t>.</w:t>
      </w:r>
      <w:r w:rsidR="001B325B" w:rsidRPr="00740BE6">
        <w:rPr>
          <w:rFonts w:asciiTheme="minorHAnsi" w:hAnsiTheme="minorHAnsi"/>
          <w:spacing w:val="-2"/>
          <w:szCs w:val="22"/>
          <w:lang w:val="en-AU"/>
        </w:rPr>
        <w:t xml:space="preserve"> In each case the delivery is recorded as having been redirected to a nearby HF or provincial store or, for APs, to a supervising HC.</w:t>
      </w:r>
      <w:r w:rsidR="00E73217" w:rsidRPr="00740BE6">
        <w:rPr>
          <w:rFonts w:asciiTheme="minorHAnsi" w:hAnsiTheme="minorHAnsi"/>
          <w:spacing w:val="-2"/>
          <w:szCs w:val="22"/>
          <w:lang w:val="en-AU"/>
        </w:rPr>
        <w:t xml:space="preserve"> These match well with </w:t>
      </w:r>
      <w:r w:rsidR="00F51275">
        <w:rPr>
          <w:rFonts w:asciiTheme="minorHAnsi" w:hAnsiTheme="minorHAnsi"/>
          <w:spacing w:val="-2"/>
          <w:szCs w:val="22"/>
          <w:lang w:val="en-AU"/>
        </w:rPr>
        <w:t xml:space="preserve">delivery </w:t>
      </w:r>
      <w:r w:rsidR="00E73217" w:rsidRPr="00740BE6">
        <w:rPr>
          <w:rFonts w:asciiTheme="minorHAnsi" w:hAnsiTheme="minorHAnsi"/>
          <w:spacing w:val="-2"/>
          <w:szCs w:val="22"/>
          <w:lang w:val="en-AU"/>
        </w:rPr>
        <w:t xml:space="preserve">completion rates for </w:t>
      </w:r>
      <w:r w:rsidR="00740BE6" w:rsidRPr="00740BE6">
        <w:rPr>
          <w:rFonts w:asciiTheme="minorHAnsi" w:hAnsiTheme="minorHAnsi"/>
          <w:spacing w:val="-2"/>
          <w:szCs w:val="22"/>
          <w:lang w:val="en-AU"/>
        </w:rPr>
        <w:t>round one</w:t>
      </w:r>
      <w:r w:rsidR="00F51275">
        <w:rPr>
          <w:rFonts w:asciiTheme="minorHAnsi" w:hAnsiTheme="minorHAnsi"/>
          <w:spacing w:val="-2"/>
          <w:szCs w:val="22"/>
          <w:lang w:val="en-AU"/>
        </w:rPr>
        <w:t>,</w:t>
      </w:r>
      <w:r w:rsidR="00740BE6" w:rsidRPr="00740BE6">
        <w:rPr>
          <w:rFonts w:asciiTheme="minorHAnsi" w:hAnsiTheme="minorHAnsi"/>
          <w:spacing w:val="-2"/>
          <w:szCs w:val="22"/>
          <w:lang w:val="en-AU"/>
        </w:rPr>
        <w:t xml:space="preserve"> derived from contractor information on remoteness (see Section 8) of 94% for HCs and 80% for APs</w:t>
      </w:r>
      <w:r w:rsidR="00F51275">
        <w:rPr>
          <w:rStyle w:val="FootnoteReference"/>
          <w:rFonts w:asciiTheme="minorHAnsi" w:hAnsiTheme="minorHAnsi"/>
          <w:spacing w:val="-2"/>
          <w:szCs w:val="22"/>
          <w:lang w:val="en-AU"/>
        </w:rPr>
        <w:footnoteReference w:id="21"/>
      </w:r>
      <w:r w:rsidR="00740BE6" w:rsidRPr="00740BE6">
        <w:rPr>
          <w:rFonts w:asciiTheme="minorHAnsi" w:hAnsiTheme="minorHAnsi"/>
          <w:spacing w:val="-2"/>
          <w:szCs w:val="22"/>
          <w:lang w:val="en-AU"/>
        </w:rPr>
        <w:t>.</w:t>
      </w:r>
    </w:p>
    <w:p w14:paraId="4A3C3131" w14:textId="77777777" w:rsidR="00F7340C" w:rsidRDefault="00F7340C" w:rsidP="00422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highlight w:val="yellow"/>
          <w:lang w:val="en-AU"/>
        </w:rPr>
      </w:pPr>
    </w:p>
    <w:p w14:paraId="506A46FC" w14:textId="7F9C40BD" w:rsidR="001F5AC7" w:rsidRPr="00D03CF0" w:rsidRDefault="001F5AC7" w:rsidP="00422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Cs w:val="22"/>
          <w:lang w:val="en-AU"/>
        </w:rPr>
      </w:pPr>
      <w:r w:rsidRPr="00D03CF0">
        <w:rPr>
          <w:rFonts w:asciiTheme="minorHAnsi" w:hAnsiTheme="minorHAnsi"/>
          <w:b/>
          <w:bCs/>
          <w:spacing w:val="-4"/>
          <w:szCs w:val="22"/>
          <w:lang w:val="en-AU"/>
        </w:rPr>
        <w:t>Table 5: Contractor delivery information (including HF staff comments) from first round of 100% kits</w:t>
      </w:r>
      <w:r w:rsidRPr="00D03CF0">
        <w:rPr>
          <w:rFonts w:cs="Times New Roman"/>
          <w:color w:val="000000"/>
          <w:szCs w:val="22"/>
          <w:lang w:val="en-AU"/>
        </w:rPr>
        <w:t xml:space="preserve"> </w:t>
      </w:r>
    </w:p>
    <w:tbl>
      <w:tblPr>
        <w:tblW w:w="9229" w:type="dxa"/>
        <w:tblInd w:w="93" w:type="dxa"/>
        <w:tblLayout w:type="fixed"/>
        <w:tblLook w:val="04A0" w:firstRow="1" w:lastRow="0" w:firstColumn="1" w:lastColumn="0" w:noHBand="0" w:noVBand="1"/>
      </w:tblPr>
      <w:tblGrid>
        <w:gridCol w:w="2992"/>
        <w:gridCol w:w="2268"/>
        <w:gridCol w:w="851"/>
        <w:gridCol w:w="1134"/>
        <w:gridCol w:w="850"/>
        <w:gridCol w:w="1134"/>
      </w:tblGrid>
      <w:tr w:rsidR="000A42C4" w:rsidRPr="00BB1467" w14:paraId="382A8199" w14:textId="77777777" w:rsidTr="00916C62">
        <w:trPr>
          <w:trHeight w:val="357"/>
        </w:trPr>
        <w:tc>
          <w:tcPr>
            <w:tcW w:w="5260" w:type="dxa"/>
            <w:gridSpan w:val="2"/>
            <w:vMerge w:val="restart"/>
            <w:tcBorders>
              <w:top w:val="single" w:sz="4" w:space="0" w:color="auto"/>
              <w:left w:val="single" w:sz="4" w:space="0" w:color="auto"/>
              <w:right w:val="single" w:sz="4" w:space="0" w:color="auto"/>
            </w:tcBorders>
            <w:shd w:val="clear" w:color="auto" w:fill="auto"/>
            <w:vAlign w:val="center"/>
            <w:hideMark/>
          </w:tcPr>
          <w:p w14:paraId="745A798A" w14:textId="23607BB6" w:rsidR="00BA4BC1" w:rsidRPr="00BB1467" w:rsidRDefault="00BA4BC1" w:rsidP="00BA4BC1">
            <w:pPr>
              <w:jc w:val="left"/>
              <w:rPr>
                <w:rFonts w:cs="Times New Roman"/>
                <w:color w:val="000000"/>
                <w:szCs w:val="22"/>
                <w:lang w:val="en-AU"/>
              </w:rPr>
            </w:pPr>
          </w:p>
          <w:p w14:paraId="4B3372EC" w14:textId="6FDF279F" w:rsidR="000A42C4" w:rsidRPr="00BB1467" w:rsidRDefault="000A42C4" w:rsidP="00BA4BC1">
            <w:pPr>
              <w:jc w:val="left"/>
              <w:rPr>
                <w:rFonts w:cs="Times New Roman"/>
                <w:color w:val="000000"/>
                <w:szCs w:val="22"/>
                <w:lang w:val="en-A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9482B99" w14:textId="3E9C8880" w:rsidR="000A42C4" w:rsidRPr="00BB1467" w:rsidRDefault="000A42C4" w:rsidP="00916C62">
            <w:pPr>
              <w:jc w:val="center"/>
              <w:rPr>
                <w:rFonts w:cs="Times New Roman"/>
                <w:color w:val="000000"/>
                <w:szCs w:val="22"/>
                <w:lang w:val="en-AU"/>
              </w:rPr>
            </w:pPr>
            <w:r w:rsidRPr="00BB1467">
              <w:rPr>
                <w:rFonts w:cs="Times New Roman"/>
                <w:color w:val="000000"/>
                <w:szCs w:val="22"/>
                <w:lang w:val="en-AU"/>
              </w:rPr>
              <w:t>HC</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1EB59BE6" w14:textId="162D6F71" w:rsidR="000A42C4" w:rsidRPr="00BB1467" w:rsidRDefault="000A42C4" w:rsidP="00916C62">
            <w:pPr>
              <w:jc w:val="center"/>
              <w:rPr>
                <w:rFonts w:cs="Times New Roman"/>
                <w:color w:val="000000"/>
                <w:szCs w:val="22"/>
                <w:lang w:val="en-AU"/>
              </w:rPr>
            </w:pPr>
            <w:r w:rsidRPr="00BB1467">
              <w:rPr>
                <w:rFonts w:cs="Times New Roman"/>
                <w:color w:val="000000"/>
                <w:szCs w:val="22"/>
                <w:lang w:val="en-AU"/>
              </w:rPr>
              <w:t>AP</w:t>
            </w:r>
          </w:p>
        </w:tc>
      </w:tr>
      <w:tr w:rsidR="00FD56D4" w:rsidRPr="00BB1467" w14:paraId="62592A91" w14:textId="77777777" w:rsidTr="00FD56D4">
        <w:trPr>
          <w:trHeight w:val="840"/>
        </w:trPr>
        <w:tc>
          <w:tcPr>
            <w:tcW w:w="5260" w:type="dxa"/>
            <w:gridSpan w:val="2"/>
            <w:vMerge/>
            <w:tcBorders>
              <w:left w:val="single" w:sz="4" w:space="0" w:color="auto"/>
              <w:bottom w:val="single" w:sz="4" w:space="0" w:color="auto"/>
              <w:right w:val="single" w:sz="4" w:space="0" w:color="auto"/>
            </w:tcBorders>
            <w:shd w:val="clear" w:color="auto" w:fill="auto"/>
            <w:vAlign w:val="center"/>
            <w:hideMark/>
          </w:tcPr>
          <w:p w14:paraId="01060C1E" w14:textId="3624ECDC" w:rsidR="000A42C4" w:rsidRPr="00BB1467" w:rsidRDefault="000A42C4" w:rsidP="00BA4BC1">
            <w:pPr>
              <w:jc w:val="left"/>
              <w:rPr>
                <w:rFonts w:cs="Times New Roman"/>
                <w:color w:val="000000"/>
                <w:szCs w:val="22"/>
                <w:lang w:val="en-AU"/>
              </w:rPr>
            </w:pPr>
          </w:p>
        </w:tc>
        <w:tc>
          <w:tcPr>
            <w:tcW w:w="851" w:type="dxa"/>
            <w:tcBorders>
              <w:top w:val="nil"/>
              <w:left w:val="nil"/>
              <w:bottom w:val="single" w:sz="4" w:space="0" w:color="auto"/>
              <w:right w:val="single" w:sz="4" w:space="0" w:color="auto"/>
            </w:tcBorders>
            <w:shd w:val="clear" w:color="auto" w:fill="auto"/>
            <w:vAlign w:val="center"/>
            <w:hideMark/>
          </w:tcPr>
          <w:p w14:paraId="600B823C"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n</w:t>
            </w:r>
          </w:p>
        </w:tc>
        <w:tc>
          <w:tcPr>
            <w:tcW w:w="1134" w:type="dxa"/>
            <w:tcBorders>
              <w:top w:val="nil"/>
              <w:left w:val="nil"/>
              <w:bottom w:val="single" w:sz="4" w:space="0" w:color="auto"/>
              <w:right w:val="single" w:sz="4" w:space="0" w:color="auto"/>
            </w:tcBorders>
            <w:shd w:val="clear" w:color="auto" w:fill="auto"/>
            <w:vAlign w:val="center"/>
            <w:hideMark/>
          </w:tcPr>
          <w:p w14:paraId="34901F80"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 of deliveries</w:t>
            </w:r>
          </w:p>
        </w:tc>
        <w:tc>
          <w:tcPr>
            <w:tcW w:w="850" w:type="dxa"/>
            <w:tcBorders>
              <w:top w:val="nil"/>
              <w:left w:val="nil"/>
              <w:bottom w:val="single" w:sz="4" w:space="0" w:color="auto"/>
              <w:right w:val="single" w:sz="4" w:space="0" w:color="auto"/>
            </w:tcBorders>
            <w:shd w:val="clear" w:color="auto" w:fill="auto"/>
            <w:vAlign w:val="center"/>
            <w:hideMark/>
          </w:tcPr>
          <w:p w14:paraId="18153F6E"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n</w:t>
            </w:r>
          </w:p>
        </w:tc>
        <w:tc>
          <w:tcPr>
            <w:tcW w:w="1134" w:type="dxa"/>
            <w:tcBorders>
              <w:top w:val="nil"/>
              <w:left w:val="nil"/>
              <w:bottom w:val="single" w:sz="4" w:space="0" w:color="auto"/>
              <w:right w:val="single" w:sz="4" w:space="0" w:color="auto"/>
            </w:tcBorders>
            <w:shd w:val="clear" w:color="auto" w:fill="auto"/>
            <w:vAlign w:val="center"/>
            <w:hideMark/>
          </w:tcPr>
          <w:p w14:paraId="022F0ED8" w14:textId="77777777" w:rsidR="000A42C4" w:rsidRPr="00BB1467" w:rsidRDefault="000A42C4" w:rsidP="00BA4BC1">
            <w:pPr>
              <w:jc w:val="center"/>
              <w:rPr>
                <w:rFonts w:cs="Times New Roman"/>
                <w:color w:val="000000"/>
                <w:szCs w:val="22"/>
                <w:lang w:val="en-AU"/>
              </w:rPr>
            </w:pPr>
            <w:r w:rsidRPr="00BB1467">
              <w:rPr>
                <w:rFonts w:cs="Times New Roman"/>
                <w:color w:val="000000"/>
                <w:szCs w:val="22"/>
                <w:lang w:val="en-AU"/>
              </w:rPr>
              <w:t>% of deliveries</w:t>
            </w:r>
          </w:p>
        </w:tc>
      </w:tr>
      <w:tr w:rsidR="00FD56D4" w:rsidRPr="00BB1467" w14:paraId="45F3A340" w14:textId="77777777" w:rsidTr="00FD56D4">
        <w:trPr>
          <w:trHeight w:val="59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14:paraId="7B81250E" w14:textId="3B5A8DC5" w:rsidR="000A42C4" w:rsidRPr="00BB1467" w:rsidRDefault="000A42C4" w:rsidP="00DD31DC">
            <w:pPr>
              <w:jc w:val="left"/>
              <w:rPr>
                <w:rFonts w:cs="Times New Roman"/>
                <w:color w:val="000000"/>
                <w:szCs w:val="22"/>
                <w:lang w:val="en-AU"/>
              </w:rPr>
            </w:pPr>
            <w:r w:rsidRPr="00BB1467">
              <w:rPr>
                <w:rFonts w:cs="Times New Roman"/>
                <w:color w:val="000000"/>
                <w:szCs w:val="22"/>
                <w:lang w:val="en-AU"/>
              </w:rPr>
              <w:t xml:space="preserve"> Total </w:t>
            </w:r>
            <w:r>
              <w:rPr>
                <w:rFonts w:cs="Times New Roman"/>
                <w:color w:val="000000"/>
                <w:szCs w:val="22"/>
                <w:lang w:val="en-AU"/>
              </w:rPr>
              <w:t>HF</w:t>
            </w:r>
            <w:r w:rsidR="001A66DC">
              <w:rPr>
                <w:rFonts w:cs="Times New Roman"/>
                <w:color w:val="000000"/>
                <w:szCs w:val="22"/>
                <w:lang w:val="en-AU"/>
              </w:rPr>
              <w:t>s</w:t>
            </w:r>
            <w:r>
              <w:rPr>
                <w:rFonts w:cs="Times New Roman"/>
                <w:color w:val="000000"/>
                <w:szCs w:val="22"/>
                <w:lang w:val="en-AU"/>
              </w:rPr>
              <w:t xml:space="preserve"> </w:t>
            </w:r>
            <w:r w:rsidRPr="00BB1467">
              <w:rPr>
                <w:rFonts w:cs="Times New Roman"/>
                <w:color w:val="000000"/>
                <w:szCs w:val="22"/>
                <w:lang w:val="en-AU"/>
              </w:rPr>
              <w:t>list</w:t>
            </w:r>
            <w:r w:rsidR="001A66DC">
              <w:rPr>
                <w:rFonts w:cs="Times New Roman"/>
                <w:color w:val="000000"/>
                <w:szCs w:val="22"/>
                <w:lang w:val="en-AU"/>
              </w:rPr>
              <w:t>ed</w:t>
            </w:r>
            <w:r>
              <w:rPr>
                <w:rFonts w:cs="Times New Roman"/>
                <w:color w:val="000000"/>
                <w:szCs w:val="22"/>
                <w:lang w:val="en-AU"/>
              </w:rPr>
              <w:t xml:space="preserve"> in contractor database</w:t>
            </w:r>
          </w:p>
        </w:tc>
        <w:tc>
          <w:tcPr>
            <w:tcW w:w="851" w:type="dxa"/>
            <w:tcBorders>
              <w:top w:val="nil"/>
              <w:left w:val="nil"/>
              <w:bottom w:val="single" w:sz="4" w:space="0" w:color="auto"/>
              <w:right w:val="single" w:sz="4" w:space="0" w:color="auto"/>
            </w:tcBorders>
            <w:shd w:val="clear" w:color="auto" w:fill="auto"/>
            <w:noWrap/>
            <w:vAlign w:val="center"/>
            <w:hideMark/>
          </w:tcPr>
          <w:p w14:paraId="247782B9"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739</w:t>
            </w:r>
          </w:p>
        </w:tc>
        <w:tc>
          <w:tcPr>
            <w:tcW w:w="1134" w:type="dxa"/>
            <w:tcBorders>
              <w:top w:val="nil"/>
              <w:left w:val="nil"/>
              <w:bottom w:val="single" w:sz="4" w:space="0" w:color="auto"/>
              <w:right w:val="single" w:sz="4" w:space="0" w:color="auto"/>
            </w:tcBorders>
            <w:shd w:val="clear" w:color="auto" w:fill="auto"/>
            <w:noWrap/>
            <w:vAlign w:val="center"/>
            <w:hideMark/>
          </w:tcPr>
          <w:p w14:paraId="17DEB7C5" w14:textId="0A69D986" w:rsidR="000A42C4" w:rsidRPr="00BB1467" w:rsidRDefault="000A42C4" w:rsidP="000A42C4">
            <w:pPr>
              <w:jc w:val="center"/>
              <w:rPr>
                <w:rFonts w:cs="Times New Roman"/>
                <w:color w:val="000000"/>
                <w:szCs w:val="22"/>
                <w:lang w:val="en-AU"/>
              </w:rPr>
            </w:pPr>
          </w:p>
        </w:tc>
        <w:tc>
          <w:tcPr>
            <w:tcW w:w="850" w:type="dxa"/>
            <w:tcBorders>
              <w:top w:val="nil"/>
              <w:left w:val="nil"/>
              <w:bottom w:val="single" w:sz="4" w:space="0" w:color="auto"/>
              <w:right w:val="single" w:sz="4" w:space="0" w:color="auto"/>
            </w:tcBorders>
            <w:shd w:val="clear" w:color="auto" w:fill="auto"/>
            <w:noWrap/>
            <w:vAlign w:val="center"/>
            <w:hideMark/>
          </w:tcPr>
          <w:p w14:paraId="563CBBC2"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2036</w:t>
            </w:r>
          </w:p>
        </w:tc>
        <w:tc>
          <w:tcPr>
            <w:tcW w:w="1134" w:type="dxa"/>
            <w:tcBorders>
              <w:top w:val="nil"/>
              <w:left w:val="nil"/>
              <w:bottom w:val="single" w:sz="4" w:space="0" w:color="auto"/>
              <w:right w:val="single" w:sz="4" w:space="0" w:color="auto"/>
            </w:tcBorders>
            <w:shd w:val="clear" w:color="auto" w:fill="auto"/>
            <w:noWrap/>
            <w:vAlign w:val="center"/>
            <w:hideMark/>
          </w:tcPr>
          <w:p w14:paraId="72FBEE58" w14:textId="19CAA1A7" w:rsidR="000A42C4" w:rsidRPr="00BB1467" w:rsidRDefault="000A42C4" w:rsidP="000A42C4">
            <w:pPr>
              <w:jc w:val="center"/>
              <w:rPr>
                <w:rFonts w:cs="Times New Roman"/>
                <w:color w:val="000000"/>
                <w:szCs w:val="22"/>
                <w:lang w:val="en-AU"/>
              </w:rPr>
            </w:pPr>
          </w:p>
        </w:tc>
      </w:tr>
      <w:tr w:rsidR="00FD56D4" w:rsidRPr="00BB1467" w14:paraId="79D10B03" w14:textId="77777777" w:rsidTr="00FD56D4">
        <w:trPr>
          <w:trHeight w:val="58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14:paraId="1F590C55" w14:textId="15E989DD" w:rsidR="000A42C4" w:rsidRDefault="000A42C4" w:rsidP="00BA4BC1">
            <w:pPr>
              <w:jc w:val="left"/>
              <w:rPr>
                <w:rFonts w:cs="Times New Roman"/>
                <w:color w:val="000000"/>
                <w:szCs w:val="22"/>
                <w:lang w:val="en-AU"/>
              </w:rPr>
            </w:pPr>
            <w:r w:rsidRPr="00BB1467">
              <w:rPr>
                <w:rFonts w:cs="Times New Roman"/>
                <w:color w:val="000000"/>
                <w:szCs w:val="22"/>
                <w:lang w:val="en-AU"/>
              </w:rPr>
              <w:t> </w:t>
            </w:r>
            <w:r>
              <w:rPr>
                <w:rFonts w:cs="Times New Roman"/>
                <w:color w:val="000000"/>
                <w:szCs w:val="22"/>
                <w:lang w:val="en-AU"/>
              </w:rPr>
              <w:t xml:space="preserve">HFs for which </w:t>
            </w:r>
            <w:r w:rsidR="001A66DC">
              <w:rPr>
                <w:rFonts w:cs="Times New Roman"/>
                <w:color w:val="000000"/>
                <w:szCs w:val="22"/>
                <w:lang w:val="en-AU"/>
              </w:rPr>
              <w:t xml:space="preserve">first round </w:t>
            </w:r>
            <w:r>
              <w:rPr>
                <w:rFonts w:cs="Times New Roman"/>
                <w:color w:val="000000"/>
                <w:szCs w:val="22"/>
                <w:lang w:val="en-AU"/>
              </w:rPr>
              <w:t xml:space="preserve">delivery data was available </w:t>
            </w:r>
          </w:p>
          <w:p w14:paraId="2DEA5FB0" w14:textId="363AE6BB" w:rsidR="000A42C4" w:rsidRPr="00BB1467" w:rsidRDefault="000A42C4" w:rsidP="00BA4BC1">
            <w:pPr>
              <w:jc w:val="left"/>
              <w:rPr>
                <w:rFonts w:cs="Times New Roman"/>
                <w:color w:val="000000"/>
                <w:szCs w:val="22"/>
                <w:lang w:val="en-AU"/>
              </w:rPr>
            </w:pPr>
            <w:r w:rsidRPr="00BB1467">
              <w:rPr>
                <w:rFonts w:cs="Times New Roman"/>
                <w:color w:val="000000"/>
                <w:szCs w:val="22"/>
                <w:lang w:val="en-AU"/>
              </w:rPr>
              <w:t>(used as denominator)</w:t>
            </w:r>
          </w:p>
        </w:tc>
        <w:tc>
          <w:tcPr>
            <w:tcW w:w="851" w:type="dxa"/>
            <w:tcBorders>
              <w:top w:val="nil"/>
              <w:left w:val="nil"/>
              <w:bottom w:val="single" w:sz="4" w:space="0" w:color="auto"/>
              <w:right w:val="single" w:sz="4" w:space="0" w:color="auto"/>
            </w:tcBorders>
            <w:shd w:val="clear" w:color="auto" w:fill="auto"/>
            <w:noWrap/>
            <w:vAlign w:val="center"/>
            <w:hideMark/>
          </w:tcPr>
          <w:p w14:paraId="1365A28E"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615</w:t>
            </w:r>
          </w:p>
        </w:tc>
        <w:tc>
          <w:tcPr>
            <w:tcW w:w="1134" w:type="dxa"/>
            <w:tcBorders>
              <w:top w:val="nil"/>
              <w:left w:val="nil"/>
              <w:bottom w:val="single" w:sz="4" w:space="0" w:color="auto"/>
              <w:right w:val="single" w:sz="4" w:space="0" w:color="auto"/>
            </w:tcBorders>
            <w:shd w:val="clear" w:color="auto" w:fill="auto"/>
            <w:noWrap/>
            <w:vAlign w:val="center"/>
            <w:hideMark/>
          </w:tcPr>
          <w:p w14:paraId="3D19DD3B" w14:textId="0DA85172" w:rsidR="000A42C4" w:rsidRPr="00BB1467" w:rsidRDefault="000A42C4" w:rsidP="000A42C4">
            <w:pPr>
              <w:jc w:val="center"/>
              <w:rPr>
                <w:rFonts w:cs="Times New Roman"/>
                <w:color w:val="000000"/>
                <w:szCs w:val="22"/>
                <w:lang w:val="en-AU"/>
              </w:rPr>
            </w:pPr>
          </w:p>
        </w:tc>
        <w:tc>
          <w:tcPr>
            <w:tcW w:w="850" w:type="dxa"/>
            <w:tcBorders>
              <w:top w:val="nil"/>
              <w:left w:val="nil"/>
              <w:bottom w:val="single" w:sz="4" w:space="0" w:color="auto"/>
              <w:right w:val="single" w:sz="4" w:space="0" w:color="auto"/>
            </w:tcBorders>
            <w:shd w:val="clear" w:color="auto" w:fill="auto"/>
            <w:noWrap/>
            <w:vAlign w:val="center"/>
            <w:hideMark/>
          </w:tcPr>
          <w:p w14:paraId="2448EA64"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1365</w:t>
            </w:r>
          </w:p>
        </w:tc>
        <w:tc>
          <w:tcPr>
            <w:tcW w:w="1134" w:type="dxa"/>
            <w:tcBorders>
              <w:top w:val="nil"/>
              <w:left w:val="nil"/>
              <w:bottom w:val="single" w:sz="4" w:space="0" w:color="auto"/>
              <w:right w:val="single" w:sz="4" w:space="0" w:color="auto"/>
            </w:tcBorders>
            <w:shd w:val="clear" w:color="auto" w:fill="auto"/>
            <w:noWrap/>
            <w:vAlign w:val="center"/>
            <w:hideMark/>
          </w:tcPr>
          <w:p w14:paraId="1C54BC85" w14:textId="0D494AB9" w:rsidR="000A42C4" w:rsidRPr="00BB1467" w:rsidRDefault="000A42C4" w:rsidP="000A42C4">
            <w:pPr>
              <w:jc w:val="center"/>
              <w:rPr>
                <w:rFonts w:cs="Times New Roman"/>
                <w:color w:val="000000"/>
                <w:szCs w:val="22"/>
                <w:lang w:val="en-AU"/>
              </w:rPr>
            </w:pPr>
          </w:p>
        </w:tc>
      </w:tr>
      <w:tr w:rsidR="00FD56D4" w:rsidRPr="00BB1467" w14:paraId="021D2DF7" w14:textId="77777777" w:rsidTr="00FD56D4">
        <w:trPr>
          <w:trHeight w:val="280"/>
        </w:trPr>
        <w:tc>
          <w:tcPr>
            <w:tcW w:w="2992" w:type="dxa"/>
            <w:vMerge w:val="restart"/>
            <w:tcBorders>
              <w:top w:val="nil"/>
              <w:left w:val="single" w:sz="4" w:space="0" w:color="auto"/>
              <w:right w:val="single" w:sz="4" w:space="0" w:color="auto"/>
            </w:tcBorders>
            <w:shd w:val="clear" w:color="auto" w:fill="auto"/>
            <w:vAlign w:val="center"/>
            <w:hideMark/>
          </w:tcPr>
          <w:p w14:paraId="63A063FB" w14:textId="56D2EB26" w:rsidR="000A42C4" w:rsidRPr="00BB1467" w:rsidRDefault="000A42C4" w:rsidP="00BA4BC1">
            <w:pPr>
              <w:jc w:val="left"/>
              <w:rPr>
                <w:rFonts w:cs="Times New Roman"/>
                <w:color w:val="000000"/>
                <w:szCs w:val="22"/>
                <w:lang w:val="en-AU"/>
              </w:rPr>
            </w:pPr>
            <w:r w:rsidRPr="00BB1467">
              <w:rPr>
                <w:rFonts w:cs="Times New Roman"/>
                <w:color w:val="000000"/>
                <w:szCs w:val="22"/>
                <w:lang w:val="en-AU"/>
              </w:rPr>
              <w:t>PHO Notified</w:t>
            </w:r>
            <w:r>
              <w:rPr>
                <w:rFonts w:cs="Times New Roman"/>
                <w:color w:val="000000"/>
                <w:szCs w:val="22"/>
                <w:lang w:val="en-AU"/>
              </w:rPr>
              <w:t xml:space="preserve"> HF of planned delivery? (view of receiving staff)</w:t>
            </w:r>
          </w:p>
        </w:tc>
        <w:tc>
          <w:tcPr>
            <w:tcW w:w="2268" w:type="dxa"/>
            <w:tcBorders>
              <w:top w:val="nil"/>
              <w:left w:val="nil"/>
              <w:bottom w:val="single" w:sz="4" w:space="0" w:color="auto"/>
              <w:right w:val="single" w:sz="4" w:space="0" w:color="auto"/>
            </w:tcBorders>
            <w:shd w:val="clear" w:color="auto" w:fill="auto"/>
            <w:vAlign w:val="center"/>
            <w:hideMark/>
          </w:tcPr>
          <w:p w14:paraId="1B28719F" w14:textId="7493E326" w:rsidR="000A42C4" w:rsidRPr="00BB1467" w:rsidRDefault="000A42C4" w:rsidP="00BA4BC1">
            <w:pPr>
              <w:jc w:val="left"/>
              <w:rPr>
                <w:rFonts w:cs="Times New Roman"/>
                <w:color w:val="000000"/>
                <w:szCs w:val="22"/>
                <w:lang w:val="en-AU"/>
              </w:rPr>
            </w:pPr>
            <w:r w:rsidRPr="00BB1467">
              <w:rPr>
                <w:rFonts w:cs="Times New Roman"/>
                <w:color w:val="000000"/>
                <w:szCs w:val="22"/>
                <w:lang w:val="en-AU"/>
              </w:rPr>
              <w:t>Yes</w:t>
            </w:r>
          </w:p>
        </w:tc>
        <w:tc>
          <w:tcPr>
            <w:tcW w:w="851" w:type="dxa"/>
            <w:tcBorders>
              <w:top w:val="nil"/>
              <w:left w:val="nil"/>
              <w:bottom w:val="single" w:sz="4" w:space="0" w:color="auto"/>
              <w:right w:val="single" w:sz="4" w:space="0" w:color="auto"/>
            </w:tcBorders>
            <w:shd w:val="clear" w:color="auto" w:fill="auto"/>
            <w:vAlign w:val="center"/>
            <w:hideMark/>
          </w:tcPr>
          <w:p w14:paraId="799BA7A4"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259</w:t>
            </w:r>
          </w:p>
        </w:tc>
        <w:tc>
          <w:tcPr>
            <w:tcW w:w="1134" w:type="dxa"/>
            <w:tcBorders>
              <w:top w:val="nil"/>
              <w:left w:val="nil"/>
              <w:bottom w:val="single" w:sz="4" w:space="0" w:color="auto"/>
              <w:right w:val="single" w:sz="4" w:space="0" w:color="auto"/>
            </w:tcBorders>
            <w:shd w:val="clear" w:color="auto" w:fill="auto"/>
            <w:noWrap/>
            <w:vAlign w:val="center"/>
            <w:hideMark/>
          </w:tcPr>
          <w:p w14:paraId="637B3856"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42%</w:t>
            </w:r>
          </w:p>
        </w:tc>
        <w:tc>
          <w:tcPr>
            <w:tcW w:w="850" w:type="dxa"/>
            <w:tcBorders>
              <w:top w:val="nil"/>
              <w:left w:val="nil"/>
              <w:bottom w:val="single" w:sz="4" w:space="0" w:color="auto"/>
              <w:right w:val="single" w:sz="4" w:space="0" w:color="auto"/>
            </w:tcBorders>
            <w:shd w:val="clear" w:color="auto" w:fill="auto"/>
            <w:noWrap/>
            <w:vAlign w:val="center"/>
            <w:hideMark/>
          </w:tcPr>
          <w:p w14:paraId="092D1B87"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518</w:t>
            </w:r>
          </w:p>
        </w:tc>
        <w:tc>
          <w:tcPr>
            <w:tcW w:w="1134" w:type="dxa"/>
            <w:tcBorders>
              <w:top w:val="nil"/>
              <w:left w:val="nil"/>
              <w:bottom w:val="single" w:sz="4" w:space="0" w:color="auto"/>
              <w:right w:val="single" w:sz="4" w:space="0" w:color="auto"/>
            </w:tcBorders>
            <w:shd w:val="clear" w:color="auto" w:fill="auto"/>
            <w:noWrap/>
            <w:vAlign w:val="center"/>
            <w:hideMark/>
          </w:tcPr>
          <w:p w14:paraId="2285CD2E"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38%</w:t>
            </w:r>
          </w:p>
        </w:tc>
      </w:tr>
      <w:tr w:rsidR="00FD56D4" w:rsidRPr="00BB1467" w14:paraId="2D92E2E1" w14:textId="77777777" w:rsidTr="00FD56D4">
        <w:trPr>
          <w:trHeight w:val="280"/>
        </w:trPr>
        <w:tc>
          <w:tcPr>
            <w:tcW w:w="2992" w:type="dxa"/>
            <w:vMerge/>
            <w:tcBorders>
              <w:left w:val="single" w:sz="4" w:space="0" w:color="auto"/>
              <w:right w:val="single" w:sz="4" w:space="0" w:color="auto"/>
            </w:tcBorders>
            <w:shd w:val="clear" w:color="auto" w:fill="auto"/>
            <w:vAlign w:val="center"/>
            <w:hideMark/>
          </w:tcPr>
          <w:p w14:paraId="3478FE73" w14:textId="2BF33441" w:rsidR="000A42C4" w:rsidRPr="00BB1467" w:rsidRDefault="000A42C4" w:rsidP="00BA4BC1">
            <w:pPr>
              <w:jc w:val="left"/>
              <w:rPr>
                <w:rFonts w:cs="Times New Roman"/>
                <w:color w:val="000000"/>
                <w:szCs w:val="22"/>
                <w:lang w:val="en-AU"/>
              </w:rPr>
            </w:pPr>
          </w:p>
        </w:tc>
        <w:tc>
          <w:tcPr>
            <w:tcW w:w="2268" w:type="dxa"/>
            <w:tcBorders>
              <w:top w:val="nil"/>
              <w:left w:val="nil"/>
              <w:bottom w:val="single" w:sz="4" w:space="0" w:color="auto"/>
              <w:right w:val="single" w:sz="4" w:space="0" w:color="auto"/>
            </w:tcBorders>
            <w:shd w:val="clear" w:color="auto" w:fill="auto"/>
            <w:vAlign w:val="center"/>
            <w:hideMark/>
          </w:tcPr>
          <w:p w14:paraId="20C65195" w14:textId="687E1A8B" w:rsidR="000A42C4" w:rsidRPr="00760CE9" w:rsidRDefault="000A42C4" w:rsidP="00BA4BC1">
            <w:pPr>
              <w:jc w:val="left"/>
              <w:rPr>
                <w:rFonts w:cs="Times New Roman"/>
                <w:color w:val="000000"/>
                <w:szCs w:val="22"/>
                <w:lang w:val="en-AU"/>
              </w:rPr>
            </w:pPr>
            <w:r w:rsidRPr="00760CE9">
              <w:rPr>
                <w:rFonts w:cs="Times New Roman"/>
                <w:color w:val="000000"/>
                <w:szCs w:val="22"/>
                <w:lang w:val="en-AU"/>
              </w:rPr>
              <w:t>No</w:t>
            </w:r>
          </w:p>
        </w:tc>
        <w:tc>
          <w:tcPr>
            <w:tcW w:w="851" w:type="dxa"/>
            <w:tcBorders>
              <w:top w:val="nil"/>
              <w:left w:val="nil"/>
              <w:bottom w:val="single" w:sz="4" w:space="0" w:color="auto"/>
              <w:right w:val="single" w:sz="4" w:space="0" w:color="auto"/>
            </w:tcBorders>
            <w:shd w:val="clear" w:color="auto" w:fill="auto"/>
            <w:vAlign w:val="center"/>
            <w:hideMark/>
          </w:tcPr>
          <w:p w14:paraId="73347666" w14:textId="77777777" w:rsidR="000A42C4" w:rsidRPr="00760CE9" w:rsidRDefault="000A42C4" w:rsidP="000A42C4">
            <w:pPr>
              <w:jc w:val="center"/>
              <w:rPr>
                <w:rFonts w:cs="Times New Roman"/>
                <w:color w:val="000000"/>
                <w:szCs w:val="22"/>
                <w:lang w:val="en-AU"/>
              </w:rPr>
            </w:pPr>
            <w:r w:rsidRPr="00760CE9">
              <w:rPr>
                <w:rFonts w:cs="Times New Roman"/>
                <w:color w:val="000000"/>
                <w:szCs w:val="22"/>
                <w:lang w:val="en-AU"/>
              </w:rPr>
              <w:t>235</w:t>
            </w:r>
          </w:p>
        </w:tc>
        <w:tc>
          <w:tcPr>
            <w:tcW w:w="1134" w:type="dxa"/>
            <w:tcBorders>
              <w:top w:val="nil"/>
              <w:left w:val="nil"/>
              <w:bottom w:val="single" w:sz="4" w:space="0" w:color="auto"/>
              <w:right w:val="single" w:sz="4" w:space="0" w:color="auto"/>
            </w:tcBorders>
            <w:shd w:val="clear" w:color="auto" w:fill="auto"/>
            <w:noWrap/>
            <w:vAlign w:val="center"/>
            <w:hideMark/>
          </w:tcPr>
          <w:p w14:paraId="3EAF2CE1" w14:textId="77777777" w:rsidR="000A42C4" w:rsidRPr="00760CE9" w:rsidRDefault="000A42C4" w:rsidP="000A42C4">
            <w:pPr>
              <w:jc w:val="center"/>
              <w:rPr>
                <w:rFonts w:cs="Times New Roman"/>
                <w:color w:val="000000"/>
                <w:szCs w:val="22"/>
                <w:lang w:val="en-AU"/>
              </w:rPr>
            </w:pPr>
            <w:r w:rsidRPr="00760CE9">
              <w:rPr>
                <w:rFonts w:cs="Times New Roman"/>
                <w:color w:val="000000"/>
                <w:szCs w:val="22"/>
                <w:lang w:val="en-AU"/>
              </w:rPr>
              <w:t>38%</w:t>
            </w:r>
          </w:p>
        </w:tc>
        <w:tc>
          <w:tcPr>
            <w:tcW w:w="850" w:type="dxa"/>
            <w:tcBorders>
              <w:top w:val="nil"/>
              <w:left w:val="nil"/>
              <w:bottom w:val="single" w:sz="4" w:space="0" w:color="auto"/>
              <w:right w:val="single" w:sz="4" w:space="0" w:color="auto"/>
            </w:tcBorders>
            <w:shd w:val="clear" w:color="auto" w:fill="auto"/>
            <w:noWrap/>
            <w:vAlign w:val="center"/>
            <w:hideMark/>
          </w:tcPr>
          <w:p w14:paraId="61597719" w14:textId="77777777" w:rsidR="000A42C4" w:rsidRPr="00760CE9" w:rsidRDefault="000A42C4" w:rsidP="000A42C4">
            <w:pPr>
              <w:jc w:val="center"/>
              <w:rPr>
                <w:rFonts w:cs="Times New Roman"/>
                <w:color w:val="000000"/>
                <w:szCs w:val="22"/>
                <w:lang w:val="en-AU"/>
              </w:rPr>
            </w:pPr>
            <w:r w:rsidRPr="00760CE9">
              <w:rPr>
                <w:rFonts w:cs="Times New Roman"/>
                <w:color w:val="000000"/>
                <w:szCs w:val="22"/>
                <w:lang w:val="en-AU"/>
              </w:rPr>
              <w:t>506</w:t>
            </w:r>
          </w:p>
        </w:tc>
        <w:tc>
          <w:tcPr>
            <w:tcW w:w="1134" w:type="dxa"/>
            <w:tcBorders>
              <w:top w:val="nil"/>
              <w:left w:val="nil"/>
              <w:bottom w:val="single" w:sz="4" w:space="0" w:color="auto"/>
              <w:right w:val="single" w:sz="4" w:space="0" w:color="auto"/>
            </w:tcBorders>
            <w:shd w:val="clear" w:color="auto" w:fill="auto"/>
            <w:noWrap/>
            <w:vAlign w:val="center"/>
            <w:hideMark/>
          </w:tcPr>
          <w:p w14:paraId="403ADF3C" w14:textId="77777777" w:rsidR="000A42C4" w:rsidRPr="00760CE9" w:rsidRDefault="000A42C4" w:rsidP="000A42C4">
            <w:pPr>
              <w:jc w:val="center"/>
              <w:rPr>
                <w:rFonts w:cs="Times New Roman"/>
                <w:color w:val="000000"/>
                <w:szCs w:val="22"/>
                <w:lang w:val="en-AU"/>
              </w:rPr>
            </w:pPr>
            <w:r w:rsidRPr="00760CE9">
              <w:rPr>
                <w:rFonts w:cs="Times New Roman"/>
                <w:color w:val="000000"/>
                <w:szCs w:val="22"/>
                <w:lang w:val="en-AU"/>
              </w:rPr>
              <w:t>37%</w:t>
            </w:r>
          </w:p>
        </w:tc>
      </w:tr>
      <w:tr w:rsidR="00FD56D4" w:rsidRPr="00BB1467" w14:paraId="1C518EB1" w14:textId="77777777" w:rsidTr="00FD56D4">
        <w:trPr>
          <w:trHeight w:val="287"/>
        </w:trPr>
        <w:tc>
          <w:tcPr>
            <w:tcW w:w="2992" w:type="dxa"/>
            <w:vMerge/>
            <w:tcBorders>
              <w:left w:val="single" w:sz="4" w:space="0" w:color="auto"/>
              <w:bottom w:val="single" w:sz="4" w:space="0" w:color="auto"/>
              <w:right w:val="single" w:sz="4" w:space="0" w:color="auto"/>
            </w:tcBorders>
            <w:shd w:val="clear" w:color="auto" w:fill="auto"/>
            <w:vAlign w:val="center"/>
            <w:hideMark/>
          </w:tcPr>
          <w:p w14:paraId="7716A2A8" w14:textId="5A53517C" w:rsidR="000A42C4" w:rsidRPr="00BB1467" w:rsidRDefault="000A42C4" w:rsidP="00BA4BC1">
            <w:pPr>
              <w:jc w:val="left"/>
              <w:rPr>
                <w:rFonts w:cs="Times New Roman"/>
                <w:color w:val="000000"/>
                <w:szCs w:val="22"/>
                <w:lang w:val="en-AU"/>
              </w:rPr>
            </w:pPr>
          </w:p>
        </w:tc>
        <w:tc>
          <w:tcPr>
            <w:tcW w:w="2268" w:type="dxa"/>
            <w:tcBorders>
              <w:top w:val="nil"/>
              <w:left w:val="nil"/>
              <w:bottom w:val="single" w:sz="4" w:space="0" w:color="auto"/>
              <w:right w:val="single" w:sz="4" w:space="0" w:color="auto"/>
            </w:tcBorders>
            <w:shd w:val="clear" w:color="auto" w:fill="auto"/>
            <w:vAlign w:val="center"/>
            <w:hideMark/>
          </w:tcPr>
          <w:p w14:paraId="3A6B0DD4" w14:textId="0497244B" w:rsidR="000A42C4" w:rsidRPr="00BB1467" w:rsidRDefault="000A42C4" w:rsidP="00BA4BC1">
            <w:pPr>
              <w:jc w:val="left"/>
              <w:rPr>
                <w:rFonts w:cs="Times New Roman"/>
                <w:color w:val="000000"/>
                <w:szCs w:val="22"/>
                <w:lang w:val="en-AU"/>
              </w:rPr>
            </w:pPr>
            <w:r>
              <w:rPr>
                <w:rFonts w:cs="Times New Roman"/>
                <w:color w:val="000000"/>
                <w:szCs w:val="22"/>
                <w:lang w:val="en-AU"/>
              </w:rPr>
              <w:t>Not recorded</w:t>
            </w:r>
          </w:p>
        </w:tc>
        <w:tc>
          <w:tcPr>
            <w:tcW w:w="851" w:type="dxa"/>
            <w:tcBorders>
              <w:top w:val="nil"/>
              <w:left w:val="nil"/>
              <w:bottom w:val="single" w:sz="4" w:space="0" w:color="auto"/>
              <w:right w:val="single" w:sz="4" w:space="0" w:color="auto"/>
            </w:tcBorders>
            <w:shd w:val="clear" w:color="auto" w:fill="auto"/>
            <w:vAlign w:val="center"/>
            <w:hideMark/>
          </w:tcPr>
          <w:p w14:paraId="37FE4F2A"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121</w:t>
            </w:r>
          </w:p>
        </w:tc>
        <w:tc>
          <w:tcPr>
            <w:tcW w:w="1134" w:type="dxa"/>
            <w:tcBorders>
              <w:top w:val="nil"/>
              <w:left w:val="nil"/>
              <w:bottom w:val="single" w:sz="4" w:space="0" w:color="auto"/>
              <w:right w:val="single" w:sz="4" w:space="0" w:color="auto"/>
            </w:tcBorders>
            <w:shd w:val="clear" w:color="auto" w:fill="auto"/>
            <w:noWrap/>
            <w:vAlign w:val="center"/>
            <w:hideMark/>
          </w:tcPr>
          <w:p w14:paraId="322FCD3C"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20%</w:t>
            </w:r>
          </w:p>
        </w:tc>
        <w:tc>
          <w:tcPr>
            <w:tcW w:w="850" w:type="dxa"/>
            <w:tcBorders>
              <w:top w:val="nil"/>
              <w:left w:val="nil"/>
              <w:bottom w:val="single" w:sz="4" w:space="0" w:color="auto"/>
              <w:right w:val="single" w:sz="4" w:space="0" w:color="auto"/>
            </w:tcBorders>
            <w:shd w:val="clear" w:color="auto" w:fill="auto"/>
            <w:vAlign w:val="center"/>
            <w:hideMark/>
          </w:tcPr>
          <w:p w14:paraId="6EE13B81"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341</w:t>
            </w:r>
          </w:p>
        </w:tc>
        <w:tc>
          <w:tcPr>
            <w:tcW w:w="1134" w:type="dxa"/>
            <w:tcBorders>
              <w:top w:val="nil"/>
              <w:left w:val="nil"/>
              <w:bottom w:val="single" w:sz="4" w:space="0" w:color="auto"/>
              <w:right w:val="single" w:sz="4" w:space="0" w:color="auto"/>
            </w:tcBorders>
            <w:shd w:val="clear" w:color="auto" w:fill="auto"/>
            <w:noWrap/>
            <w:vAlign w:val="center"/>
            <w:hideMark/>
          </w:tcPr>
          <w:p w14:paraId="51B4B35B" w14:textId="77777777" w:rsidR="000A42C4" w:rsidRPr="00BB1467" w:rsidRDefault="000A42C4" w:rsidP="000A42C4">
            <w:pPr>
              <w:jc w:val="center"/>
              <w:rPr>
                <w:rFonts w:cs="Times New Roman"/>
                <w:color w:val="000000"/>
                <w:szCs w:val="22"/>
                <w:lang w:val="en-AU"/>
              </w:rPr>
            </w:pPr>
            <w:r w:rsidRPr="00BB1467">
              <w:rPr>
                <w:rFonts w:cs="Times New Roman"/>
                <w:color w:val="000000"/>
                <w:szCs w:val="22"/>
                <w:lang w:val="en-AU"/>
              </w:rPr>
              <w:t>25%</w:t>
            </w:r>
          </w:p>
        </w:tc>
      </w:tr>
      <w:tr w:rsidR="001A66DC" w:rsidRPr="001A66DC" w14:paraId="37E2AF96" w14:textId="77777777" w:rsidTr="00DD31DC">
        <w:trPr>
          <w:trHeight w:val="75"/>
        </w:trPr>
        <w:tc>
          <w:tcPr>
            <w:tcW w:w="9229" w:type="dxa"/>
            <w:gridSpan w:val="6"/>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B6835C0" w14:textId="77777777" w:rsidR="001A66DC" w:rsidRPr="001A66DC" w:rsidRDefault="001A66DC" w:rsidP="000A42C4">
            <w:pPr>
              <w:jc w:val="center"/>
              <w:rPr>
                <w:rFonts w:cs="Times New Roman"/>
                <w:color w:val="000000"/>
                <w:sz w:val="12"/>
                <w:szCs w:val="12"/>
                <w:lang w:val="en-AU"/>
              </w:rPr>
            </w:pPr>
          </w:p>
        </w:tc>
      </w:tr>
      <w:tr w:rsidR="00FD56D4" w:rsidRPr="00BB1467" w14:paraId="2FCBDE3A" w14:textId="77777777" w:rsidTr="001A66DC">
        <w:trPr>
          <w:trHeight w:val="28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9498" w14:textId="77777777" w:rsidR="00FD56D4" w:rsidRDefault="00FD56D4" w:rsidP="00BA4BC1">
            <w:pPr>
              <w:jc w:val="left"/>
              <w:rPr>
                <w:rFonts w:cs="Times New Roman"/>
                <w:color w:val="000000"/>
                <w:szCs w:val="22"/>
                <w:lang w:val="en-AU"/>
              </w:rPr>
            </w:pPr>
            <w:r w:rsidRPr="00BB1467">
              <w:rPr>
                <w:rFonts w:cs="Times New Roman"/>
                <w:color w:val="000000"/>
                <w:szCs w:val="22"/>
                <w:lang w:val="en-AU"/>
              </w:rPr>
              <w:t>Receiving staff comment</w:t>
            </w:r>
          </w:p>
          <w:p w14:paraId="676A6B33" w14:textId="77777777" w:rsidR="00FD56D4" w:rsidRDefault="00FD56D4" w:rsidP="00BA4BC1">
            <w:pPr>
              <w:jc w:val="left"/>
              <w:rPr>
                <w:rFonts w:cs="Times New Roman"/>
                <w:color w:val="000000"/>
                <w:szCs w:val="22"/>
                <w:lang w:val="en-AU"/>
              </w:rPr>
            </w:pPr>
          </w:p>
          <w:p w14:paraId="36364DDE" w14:textId="2AC2AFE3" w:rsidR="00FD56D4" w:rsidRPr="00FD56D4" w:rsidRDefault="00FD56D4" w:rsidP="00BA4BC1">
            <w:pPr>
              <w:jc w:val="left"/>
              <w:rPr>
                <w:rFonts w:cs="Times New Roman"/>
                <w:color w:val="000000"/>
                <w:sz w:val="20"/>
                <w:lang w:val="en-AU"/>
              </w:rPr>
            </w:pPr>
            <w:r w:rsidRPr="00FD56D4">
              <w:rPr>
                <w:rFonts w:cs="Times New Roman"/>
                <w:color w:val="000000"/>
                <w:sz w:val="20"/>
                <w:lang w:val="en-AU"/>
              </w:rPr>
              <w:t>(‘Other comment’ category includes reason for a ‘Failed’ delivery)</w:t>
            </w:r>
          </w:p>
        </w:tc>
        <w:tc>
          <w:tcPr>
            <w:tcW w:w="2268" w:type="dxa"/>
            <w:tcBorders>
              <w:top w:val="nil"/>
              <w:left w:val="nil"/>
              <w:bottom w:val="single" w:sz="4" w:space="0" w:color="auto"/>
              <w:right w:val="single" w:sz="4" w:space="0" w:color="auto"/>
            </w:tcBorders>
            <w:shd w:val="clear" w:color="auto" w:fill="auto"/>
            <w:noWrap/>
            <w:vAlign w:val="center"/>
            <w:hideMark/>
          </w:tcPr>
          <w:p w14:paraId="5C561098" w14:textId="77777777" w:rsidR="00FD56D4" w:rsidRPr="00BB1467" w:rsidRDefault="00FD56D4" w:rsidP="00BA4BC1">
            <w:pPr>
              <w:jc w:val="left"/>
              <w:rPr>
                <w:rFonts w:cs="Times New Roman"/>
                <w:color w:val="000000"/>
                <w:szCs w:val="22"/>
                <w:lang w:val="en-AU"/>
              </w:rPr>
            </w:pPr>
            <w:r w:rsidRPr="00BB1467">
              <w:rPr>
                <w:rFonts w:cs="Times New Roman"/>
                <w:color w:val="000000"/>
                <w:szCs w:val="22"/>
                <w:lang w:val="en-AU"/>
              </w:rPr>
              <w:t>Very satisfied</w:t>
            </w:r>
          </w:p>
        </w:tc>
        <w:tc>
          <w:tcPr>
            <w:tcW w:w="851" w:type="dxa"/>
            <w:tcBorders>
              <w:top w:val="nil"/>
              <w:left w:val="nil"/>
              <w:bottom w:val="single" w:sz="4" w:space="0" w:color="auto"/>
              <w:right w:val="single" w:sz="4" w:space="0" w:color="auto"/>
            </w:tcBorders>
            <w:shd w:val="clear" w:color="auto" w:fill="auto"/>
            <w:noWrap/>
            <w:vAlign w:val="center"/>
            <w:hideMark/>
          </w:tcPr>
          <w:p w14:paraId="6CC773FA"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117</w:t>
            </w:r>
          </w:p>
        </w:tc>
        <w:tc>
          <w:tcPr>
            <w:tcW w:w="1134" w:type="dxa"/>
            <w:tcBorders>
              <w:top w:val="nil"/>
              <w:left w:val="nil"/>
              <w:bottom w:val="single" w:sz="4" w:space="0" w:color="auto"/>
              <w:right w:val="single" w:sz="4" w:space="0" w:color="auto"/>
            </w:tcBorders>
            <w:shd w:val="clear" w:color="auto" w:fill="auto"/>
            <w:noWrap/>
            <w:vAlign w:val="center"/>
            <w:hideMark/>
          </w:tcPr>
          <w:p w14:paraId="3AB93914"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19%</w:t>
            </w:r>
          </w:p>
        </w:tc>
        <w:tc>
          <w:tcPr>
            <w:tcW w:w="850" w:type="dxa"/>
            <w:tcBorders>
              <w:top w:val="nil"/>
              <w:left w:val="nil"/>
              <w:bottom w:val="single" w:sz="4" w:space="0" w:color="auto"/>
              <w:right w:val="single" w:sz="4" w:space="0" w:color="auto"/>
            </w:tcBorders>
            <w:shd w:val="clear" w:color="auto" w:fill="auto"/>
            <w:noWrap/>
            <w:vAlign w:val="center"/>
            <w:hideMark/>
          </w:tcPr>
          <w:p w14:paraId="6ECF8676"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276</w:t>
            </w:r>
          </w:p>
        </w:tc>
        <w:tc>
          <w:tcPr>
            <w:tcW w:w="1134" w:type="dxa"/>
            <w:tcBorders>
              <w:top w:val="nil"/>
              <w:left w:val="nil"/>
              <w:bottom w:val="single" w:sz="4" w:space="0" w:color="auto"/>
              <w:right w:val="single" w:sz="4" w:space="0" w:color="auto"/>
            </w:tcBorders>
            <w:shd w:val="clear" w:color="auto" w:fill="auto"/>
            <w:noWrap/>
            <w:vAlign w:val="center"/>
            <w:hideMark/>
          </w:tcPr>
          <w:p w14:paraId="2A6640AC"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20%</w:t>
            </w:r>
          </w:p>
        </w:tc>
      </w:tr>
      <w:tr w:rsidR="00FD56D4" w:rsidRPr="00BB1467" w14:paraId="5CF59134" w14:textId="77777777" w:rsidTr="001A66DC">
        <w:trPr>
          <w:trHeight w:val="280"/>
        </w:trPr>
        <w:tc>
          <w:tcPr>
            <w:tcW w:w="2992" w:type="dxa"/>
            <w:vMerge/>
            <w:tcBorders>
              <w:left w:val="single" w:sz="4" w:space="0" w:color="auto"/>
              <w:bottom w:val="single" w:sz="4" w:space="0" w:color="auto"/>
              <w:right w:val="single" w:sz="4" w:space="0" w:color="auto"/>
            </w:tcBorders>
            <w:shd w:val="clear" w:color="auto" w:fill="auto"/>
            <w:noWrap/>
            <w:vAlign w:val="center"/>
            <w:hideMark/>
          </w:tcPr>
          <w:p w14:paraId="3B192572" w14:textId="7D4F67AE" w:rsidR="00FD56D4" w:rsidRPr="00BB1467" w:rsidRDefault="00FD56D4" w:rsidP="00BA4BC1">
            <w:pPr>
              <w:jc w:val="left"/>
              <w:rPr>
                <w:rFonts w:cs="Times New Roman"/>
                <w:color w:val="000000"/>
                <w:szCs w:val="22"/>
                <w:lang w:val="en-AU"/>
              </w:rPr>
            </w:pPr>
          </w:p>
        </w:tc>
        <w:tc>
          <w:tcPr>
            <w:tcW w:w="2268" w:type="dxa"/>
            <w:tcBorders>
              <w:top w:val="nil"/>
              <w:left w:val="nil"/>
              <w:bottom w:val="single" w:sz="4" w:space="0" w:color="auto"/>
              <w:right w:val="single" w:sz="4" w:space="0" w:color="auto"/>
            </w:tcBorders>
            <w:shd w:val="clear" w:color="auto" w:fill="auto"/>
            <w:noWrap/>
            <w:vAlign w:val="center"/>
            <w:hideMark/>
          </w:tcPr>
          <w:p w14:paraId="4EBE601A" w14:textId="77777777" w:rsidR="00FD56D4" w:rsidRPr="00BB1467" w:rsidRDefault="00FD56D4" w:rsidP="00BA4BC1">
            <w:pPr>
              <w:jc w:val="left"/>
              <w:rPr>
                <w:rFonts w:cs="Times New Roman"/>
                <w:color w:val="000000"/>
                <w:szCs w:val="22"/>
                <w:lang w:val="en-AU"/>
              </w:rPr>
            </w:pPr>
            <w:r w:rsidRPr="00BB1467">
              <w:rPr>
                <w:rFonts w:cs="Times New Roman"/>
                <w:color w:val="000000"/>
                <w:szCs w:val="22"/>
                <w:lang w:val="en-AU"/>
              </w:rPr>
              <w:t>Satisfied</w:t>
            </w:r>
          </w:p>
        </w:tc>
        <w:tc>
          <w:tcPr>
            <w:tcW w:w="851" w:type="dxa"/>
            <w:tcBorders>
              <w:top w:val="nil"/>
              <w:left w:val="nil"/>
              <w:bottom w:val="single" w:sz="4" w:space="0" w:color="auto"/>
              <w:right w:val="single" w:sz="4" w:space="0" w:color="auto"/>
            </w:tcBorders>
            <w:shd w:val="clear" w:color="auto" w:fill="auto"/>
            <w:noWrap/>
            <w:vAlign w:val="center"/>
            <w:hideMark/>
          </w:tcPr>
          <w:p w14:paraId="7879AF8A"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267</w:t>
            </w:r>
          </w:p>
        </w:tc>
        <w:tc>
          <w:tcPr>
            <w:tcW w:w="1134" w:type="dxa"/>
            <w:tcBorders>
              <w:top w:val="nil"/>
              <w:left w:val="nil"/>
              <w:bottom w:val="single" w:sz="4" w:space="0" w:color="auto"/>
              <w:right w:val="single" w:sz="4" w:space="0" w:color="auto"/>
            </w:tcBorders>
            <w:shd w:val="clear" w:color="auto" w:fill="auto"/>
            <w:noWrap/>
            <w:vAlign w:val="center"/>
            <w:hideMark/>
          </w:tcPr>
          <w:p w14:paraId="6F504920"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43%</w:t>
            </w:r>
          </w:p>
        </w:tc>
        <w:tc>
          <w:tcPr>
            <w:tcW w:w="850" w:type="dxa"/>
            <w:tcBorders>
              <w:top w:val="nil"/>
              <w:left w:val="nil"/>
              <w:bottom w:val="single" w:sz="4" w:space="0" w:color="auto"/>
              <w:right w:val="single" w:sz="4" w:space="0" w:color="auto"/>
            </w:tcBorders>
            <w:shd w:val="clear" w:color="auto" w:fill="auto"/>
            <w:noWrap/>
            <w:vAlign w:val="center"/>
            <w:hideMark/>
          </w:tcPr>
          <w:p w14:paraId="76124489"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35DC3BF9"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27%</w:t>
            </w:r>
          </w:p>
        </w:tc>
      </w:tr>
      <w:tr w:rsidR="00FD56D4" w:rsidRPr="00BB1467" w14:paraId="6BCD00AF" w14:textId="77777777" w:rsidTr="001A66DC">
        <w:trPr>
          <w:trHeight w:val="280"/>
        </w:trPr>
        <w:tc>
          <w:tcPr>
            <w:tcW w:w="2992" w:type="dxa"/>
            <w:vMerge/>
            <w:tcBorders>
              <w:left w:val="single" w:sz="4" w:space="0" w:color="auto"/>
              <w:bottom w:val="single" w:sz="4" w:space="0" w:color="auto"/>
              <w:right w:val="single" w:sz="4" w:space="0" w:color="auto"/>
            </w:tcBorders>
            <w:shd w:val="clear" w:color="auto" w:fill="auto"/>
            <w:noWrap/>
            <w:vAlign w:val="center"/>
            <w:hideMark/>
          </w:tcPr>
          <w:p w14:paraId="53D0583F" w14:textId="06EB2B45" w:rsidR="00FD56D4" w:rsidRPr="00BB1467" w:rsidRDefault="00FD56D4" w:rsidP="00BA4BC1">
            <w:pPr>
              <w:jc w:val="left"/>
              <w:rPr>
                <w:rFonts w:cs="Times New Roman"/>
                <w:color w:val="000000"/>
                <w:szCs w:val="22"/>
                <w:lang w:val="en-AU"/>
              </w:rPr>
            </w:pPr>
          </w:p>
        </w:tc>
        <w:tc>
          <w:tcPr>
            <w:tcW w:w="2268" w:type="dxa"/>
            <w:tcBorders>
              <w:top w:val="nil"/>
              <w:left w:val="nil"/>
              <w:bottom w:val="single" w:sz="4" w:space="0" w:color="auto"/>
              <w:right w:val="single" w:sz="4" w:space="0" w:color="auto"/>
            </w:tcBorders>
            <w:shd w:val="clear" w:color="auto" w:fill="auto"/>
            <w:noWrap/>
            <w:vAlign w:val="center"/>
            <w:hideMark/>
          </w:tcPr>
          <w:p w14:paraId="7AD6595A" w14:textId="77777777" w:rsidR="00FD56D4" w:rsidRPr="00BB1467" w:rsidRDefault="00FD56D4" w:rsidP="00BA4BC1">
            <w:pPr>
              <w:jc w:val="left"/>
              <w:rPr>
                <w:rFonts w:cs="Times New Roman"/>
                <w:color w:val="000000"/>
                <w:szCs w:val="22"/>
                <w:lang w:val="en-AU"/>
              </w:rPr>
            </w:pPr>
            <w:r w:rsidRPr="00BB1467">
              <w:rPr>
                <w:rFonts w:cs="Times New Roman"/>
                <w:color w:val="000000"/>
                <w:szCs w:val="22"/>
                <w:lang w:val="en-AU"/>
              </w:rPr>
              <w:t>Dissatisfied</w:t>
            </w:r>
          </w:p>
        </w:tc>
        <w:tc>
          <w:tcPr>
            <w:tcW w:w="851" w:type="dxa"/>
            <w:tcBorders>
              <w:top w:val="nil"/>
              <w:left w:val="nil"/>
              <w:bottom w:val="single" w:sz="4" w:space="0" w:color="auto"/>
              <w:right w:val="single" w:sz="4" w:space="0" w:color="auto"/>
            </w:tcBorders>
            <w:shd w:val="clear" w:color="auto" w:fill="auto"/>
            <w:noWrap/>
            <w:vAlign w:val="center"/>
            <w:hideMark/>
          </w:tcPr>
          <w:p w14:paraId="0C2EC430"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9292DE4"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2%</w:t>
            </w:r>
          </w:p>
        </w:tc>
        <w:tc>
          <w:tcPr>
            <w:tcW w:w="850" w:type="dxa"/>
            <w:tcBorders>
              <w:top w:val="nil"/>
              <w:left w:val="nil"/>
              <w:bottom w:val="single" w:sz="4" w:space="0" w:color="auto"/>
              <w:right w:val="single" w:sz="4" w:space="0" w:color="auto"/>
            </w:tcBorders>
            <w:shd w:val="clear" w:color="auto" w:fill="auto"/>
            <w:noWrap/>
            <w:vAlign w:val="center"/>
            <w:hideMark/>
          </w:tcPr>
          <w:p w14:paraId="3BD27678"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1417B024"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1%</w:t>
            </w:r>
          </w:p>
        </w:tc>
      </w:tr>
      <w:tr w:rsidR="00FD56D4" w:rsidRPr="00BB1467" w14:paraId="69A4814F" w14:textId="77777777" w:rsidTr="001A66DC">
        <w:trPr>
          <w:trHeight w:val="280"/>
        </w:trPr>
        <w:tc>
          <w:tcPr>
            <w:tcW w:w="2992" w:type="dxa"/>
            <w:vMerge/>
            <w:tcBorders>
              <w:left w:val="single" w:sz="4" w:space="0" w:color="auto"/>
              <w:bottom w:val="single" w:sz="4" w:space="0" w:color="auto"/>
              <w:right w:val="single" w:sz="4" w:space="0" w:color="auto"/>
            </w:tcBorders>
            <w:shd w:val="clear" w:color="auto" w:fill="auto"/>
            <w:noWrap/>
            <w:vAlign w:val="center"/>
            <w:hideMark/>
          </w:tcPr>
          <w:p w14:paraId="32A02ED7" w14:textId="73CBFC4A" w:rsidR="00FD56D4" w:rsidRPr="00BB1467" w:rsidRDefault="00FD56D4" w:rsidP="00BA4BC1">
            <w:pPr>
              <w:jc w:val="left"/>
              <w:rPr>
                <w:rFonts w:cs="Times New Roman"/>
                <w:color w:val="000000"/>
                <w:szCs w:val="22"/>
                <w:lang w:val="en-AU"/>
              </w:rPr>
            </w:pPr>
          </w:p>
        </w:tc>
        <w:tc>
          <w:tcPr>
            <w:tcW w:w="2268" w:type="dxa"/>
            <w:tcBorders>
              <w:top w:val="nil"/>
              <w:left w:val="nil"/>
              <w:bottom w:val="single" w:sz="4" w:space="0" w:color="auto"/>
              <w:right w:val="single" w:sz="4" w:space="0" w:color="auto"/>
            </w:tcBorders>
            <w:shd w:val="clear" w:color="auto" w:fill="auto"/>
            <w:noWrap/>
            <w:vAlign w:val="center"/>
            <w:hideMark/>
          </w:tcPr>
          <w:p w14:paraId="4631ABEC" w14:textId="4C129A54" w:rsidR="00FD56D4" w:rsidRPr="00BB1467" w:rsidRDefault="00FD56D4" w:rsidP="00FD56D4">
            <w:pPr>
              <w:jc w:val="left"/>
              <w:rPr>
                <w:rFonts w:cs="Times New Roman"/>
                <w:color w:val="000000"/>
                <w:szCs w:val="22"/>
                <w:lang w:val="en-AU"/>
              </w:rPr>
            </w:pPr>
            <w:r w:rsidRPr="00BB1467">
              <w:rPr>
                <w:rFonts w:cs="Times New Roman"/>
                <w:color w:val="000000"/>
                <w:szCs w:val="22"/>
                <w:lang w:val="en-AU"/>
              </w:rPr>
              <w:t xml:space="preserve">Other comment </w:t>
            </w:r>
          </w:p>
        </w:tc>
        <w:tc>
          <w:tcPr>
            <w:tcW w:w="851" w:type="dxa"/>
            <w:tcBorders>
              <w:top w:val="nil"/>
              <w:left w:val="nil"/>
              <w:bottom w:val="single" w:sz="4" w:space="0" w:color="auto"/>
              <w:right w:val="single" w:sz="4" w:space="0" w:color="auto"/>
            </w:tcBorders>
            <w:shd w:val="clear" w:color="auto" w:fill="auto"/>
            <w:noWrap/>
            <w:vAlign w:val="center"/>
            <w:hideMark/>
          </w:tcPr>
          <w:p w14:paraId="7A9D50F3"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003780C7"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2%</w:t>
            </w:r>
          </w:p>
        </w:tc>
        <w:tc>
          <w:tcPr>
            <w:tcW w:w="850" w:type="dxa"/>
            <w:tcBorders>
              <w:top w:val="nil"/>
              <w:left w:val="nil"/>
              <w:bottom w:val="single" w:sz="4" w:space="0" w:color="auto"/>
              <w:right w:val="single" w:sz="4" w:space="0" w:color="auto"/>
            </w:tcBorders>
            <w:shd w:val="clear" w:color="auto" w:fill="auto"/>
            <w:noWrap/>
            <w:vAlign w:val="center"/>
            <w:hideMark/>
          </w:tcPr>
          <w:p w14:paraId="6C540791"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343</w:t>
            </w:r>
          </w:p>
        </w:tc>
        <w:tc>
          <w:tcPr>
            <w:tcW w:w="1134" w:type="dxa"/>
            <w:tcBorders>
              <w:top w:val="nil"/>
              <w:left w:val="nil"/>
              <w:bottom w:val="single" w:sz="4" w:space="0" w:color="auto"/>
              <w:right w:val="single" w:sz="4" w:space="0" w:color="auto"/>
            </w:tcBorders>
            <w:shd w:val="clear" w:color="auto" w:fill="auto"/>
            <w:noWrap/>
            <w:vAlign w:val="center"/>
            <w:hideMark/>
          </w:tcPr>
          <w:p w14:paraId="6EB32522"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25%</w:t>
            </w:r>
          </w:p>
        </w:tc>
      </w:tr>
      <w:tr w:rsidR="00FD56D4" w:rsidRPr="00BB1467" w14:paraId="66C78E99" w14:textId="77777777" w:rsidTr="00FD56D4">
        <w:trPr>
          <w:trHeight w:val="280"/>
        </w:trPr>
        <w:tc>
          <w:tcPr>
            <w:tcW w:w="2992" w:type="dxa"/>
            <w:vMerge/>
            <w:tcBorders>
              <w:left w:val="single" w:sz="4" w:space="0" w:color="auto"/>
              <w:bottom w:val="single" w:sz="4" w:space="0" w:color="auto"/>
              <w:right w:val="single" w:sz="4" w:space="0" w:color="auto"/>
            </w:tcBorders>
            <w:shd w:val="clear" w:color="auto" w:fill="auto"/>
            <w:noWrap/>
            <w:vAlign w:val="center"/>
            <w:hideMark/>
          </w:tcPr>
          <w:p w14:paraId="6701AC8E" w14:textId="64B6ED10" w:rsidR="00FD56D4" w:rsidRPr="00BB1467" w:rsidRDefault="00FD56D4" w:rsidP="00BA4BC1">
            <w:pPr>
              <w:jc w:val="left"/>
              <w:rPr>
                <w:rFonts w:cs="Times New Roman"/>
                <w:color w:val="000000"/>
                <w:szCs w:val="22"/>
                <w:lang w:val="en-AU"/>
              </w:rPr>
            </w:pPr>
          </w:p>
        </w:tc>
        <w:tc>
          <w:tcPr>
            <w:tcW w:w="2268" w:type="dxa"/>
            <w:tcBorders>
              <w:top w:val="nil"/>
              <w:left w:val="nil"/>
              <w:bottom w:val="single" w:sz="4" w:space="0" w:color="auto"/>
              <w:right w:val="single" w:sz="4" w:space="0" w:color="auto"/>
            </w:tcBorders>
            <w:shd w:val="clear" w:color="auto" w:fill="auto"/>
            <w:noWrap/>
            <w:vAlign w:val="center"/>
            <w:hideMark/>
          </w:tcPr>
          <w:p w14:paraId="4645C344" w14:textId="77777777" w:rsidR="00FD56D4" w:rsidRPr="00BB1467" w:rsidRDefault="00FD56D4" w:rsidP="00BA4BC1">
            <w:pPr>
              <w:jc w:val="left"/>
              <w:rPr>
                <w:rFonts w:cs="Times New Roman"/>
                <w:color w:val="000000"/>
                <w:szCs w:val="22"/>
                <w:lang w:val="en-AU"/>
              </w:rPr>
            </w:pPr>
            <w:r w:rsidRPr="00BB1467">
              <w:rPr>
                <w:rFonts w:cs="Times New Roman"/>
                <w:color w:val="000000"/>
                <w:szCs w:val="22"/>
                <w:lang w:val="en-AU"/>
              </w:rPr>
              <w:t>No comment</w:t>
            </w:r>
          </w:p>
        </w:tc>
        <w:tc>
          <w:tcPr>
            <w:tcW w:w="851" w:type="dxa"/>
            <w:tcBorders>
              <w:top w:val="nil"/>
              <w:left w:val="nil"/>
              <w:bottom w:val="single" w:sz="4" w:space="0" w:color="auto"/>
              <w:right w:val="single" w:sz="4" w:space="0" w:color="auto"/>
            </w:tcBorders>
            <w:shd w:val="clear" w:color="auto" w:fill="auto"/>
            <w:noWrap/>
            <w:vAlign w:val="center"/>
            <w:hideMark/>
          </w:tcPr>
          <w:p w14:paraId="7D60CEF5"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05F0833F"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33%</w:t>
            </w:r>
          </w:p>
        </w:tc>
        <w:tc>
          <w:tcPr>
            <w:tcW w:w="850" w:type="dxa"/>
            <w:tcBorders>
              <w:top w:val="nil"/>
              <w:left w:val="nil"/>
              <w:bottom w:val="single" w:sz="4" w:space="0" w:color="auto"/>
              <w:right w:val="single" w:sz="4" w:space="0" w:color="auto"/>
            </w:tcBorders>
            <w:shd w:val="clear" w:color="auto" w:fill="auto"/>
            <w:noWrap/>
            <w:vAlign w:val="center"/>
            <w:hideMark/>
          </w:tcPr>
          <w:p w14:paraId="76E7AD46"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366</w:t>
            </w:r>
          </w:p>
        </w:tc>
        <w:tc>
          <w:tcPr>
            <w:tcW w:w="1134" w:type="dxa"/>
            <w:tcBorders>
              <w:top w:val="nil"/>
              <w:left w:val="nil"/>
              <w:bottom w:val="single" w:sz="4" w:space="0" w:color="auto"/>
              <w:right w:val="single" w:sz="4" w:space="0" w:color="auto"/>
            </w:tcBorders>
            <w:shd w:val="clear" w:color="auto" w:fill="auto"/>
            <w:noWrap/>
            <w:vAlign w:val="center"/>
            <w:hideMark/>
          </w:tcPr>
          <w:p w14:paraId="30EF48C6" w14:textId="77777777" w:rsidR="00FD56D4" w:rsidRPr="00BB1467" w:rsidRDefault="00FD56D4" w:rsidP="000A42C4">
            <w:pPr>
              <w:jc w:val="center"/>
              <w:rPr>
                <w:rFonts w:cs="Times New Roman"/>
                <w:color w:val="000000"/>
                <w:szCs w:val="22"/>
                <w:lang w:val="en-AU"/>
              </w:rPr>
            </w:pPr>
            <w:r w:rsidRPr="00BB1467">
              <w:rPr>
                <w:rFonts w:cs="Times New Roman"/>
                <w:color w:val="000000"/>
                <w:szCs w:val="22"/>
                <w:lang w:val="en-AU"/>
              </w:rPr>
              <w:t>27%</w:t>
            </w:r>
          </w:p>
        </w:tc>
      </w:tr>
      <w:tr w:rsidR="00FD56D4" w:rsidRPr="00BB1467" w14:paraId="4B3EA372" w14:textId="77777777" w:rsidTr="00FD56D4">
        <w:trPr>
          <w:trHeight w:val="84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14:paraId="00B759F8" w14:textId="77777777" w:rsidR="00FD56D4" w:rsidRDefault="00BA4BC1" w:rsidP="00FD56D4">
            <w:pPr>
              <w:jc w:val="left"/>
              <w:rPr>
                <w:rFonts w:cs="Times New Roman"/>
                <w:color w:val="000000"/>
                <w:szCs w:val="22"/>
                <w:lang w:val="en-AU"/>
              </w:rPr>
            </w:pPr>
            <w:r w:rsidRPr="00BB1467">
              <w:rPr>
                <w:rFonts w:cs="Times New Roman"/>
                <w:color w:val="000000"/>
                <w:szCs w:val="22"/>
                <w:lang w:val="en-AU"/>
              </w:rPr>
              <w:t xml:space="preserve">Delivery </w:t>
            </w:r>
            <w:r w:rsidR="00FD56D4">
              <w:rPr>
                <w:rFonts w:cs="Times New Roman"/>
                <w:color w:val="000000"/>
                <w:szCs w:val="22"/>
                <w:lang w:val="en-AU"/>
              </w:rPr>
              <w:t>recorded as ‘Failed’</w:t>
            </w:r>
            <w:r w:rsidRPr="00BB1467">
              <w:rPr>
                <w:rFonts w:cs="Times New Roman"/>
                <w:color w:val="000000"/>
                <w:szCs w:val="22"/>
                <w:lang w:val="en-AU"/>
              </w:rPr>
              <w:t xml:space="preserve"> </w:t>
            </w:r>
          </w:p>
          <w:p w14:paraId="40755B09" w14:textId="37ED5580" w:rsidR="00BA4BC1" w:rsidRPr="00FD56D4" w:rsidRDefault="00BA4BC1">
            <w:pPr>
              <w:jc w:val="left"/>
              <w:rPr>
                <w:rFonts w:cs="Times New Roman"/>
                <w:color w:val="000000"/>
                <w:sz w:val="20"/>
                <w:lang w:val="en-AU"/>
              </w:rPr>
            </w:pPr>
            <w:r w:rsidRPr="00FD56D4">
              <w:rPr>
                <w:rFonts w:cs="Times New Roman"/>
                <w:color w:val="000000"/>
                <w:sz w:val="20"/>
                <w:lang w:val="en-AU"/>
              </w:rPr>
              <w:t>(due to HF closure, HF not found</w:t>
            </w:r>
            <w:r w:rsidR="00604C15">
              <w:rPr>
                <w:rFonts w:cs="Times New Roman"/>
                <w:color w:val="000000"/>
                <w:sz w:val="20"/>
                <w:lang w:val="en-AU"/>
              </w:rPr>
              <w:t>, or inaccessibility</w:t>
            </w:r>
            <w:r w:rsidRPr="00FD56D4">
              <w:rPr>
                <w:rFonts w:cs="Times New Roman"/>
                <w:color w:val="000000"/>
                <w:sz w:val="20"/>
                <w:lang w:val="en-AU"/>
              </w:rPr>
              <w:t>)</w:t>
            </w:r>
          </w:p>
        </w:tc>
        <w:tc>
          <w:tcPr>
            <w:tcW w:w="851" w:type="dxa"/>
            <w:tcBorders>
              <w:top w:val="nil"/>
              <w:left w:val="nil"/>
              <w:bottom w:val="single" w:sz="4" w:space="0" w:color="auto"/>
              <w:right w:val="single" w:sz="4" w:space="0" w:color="auto"/>
            </w:tcBorders>
            <w:shd w:val="clear" w:color="auto" w:fill="auto"/>
            <w:noWrap/>
            <w:vAlign w:val="center"/>
            <w:hideMark/>
          </w:tcPr>
          <w:p w14:paraId="71323418" w14:textId="77777777" w:rsidR="00BA4BC1" w:rsidRPr="00BB1467" w:rsidRDefault="00BA4BC1" w:rsidP="000A42C4">
            <w:pPr>
              <w:jc w:val="center"/>
              <w:rPr>
                <w:rFonts w:cs="Times New Roman"/>
                <w:color w:val="000000"/>
                <w:szCs w:val="22"/>
                <w:lang w:val="en-AU"/>
              </w:rPr>
            </w:pPr>
            <w:r w:rsidRPr="00BB1467">
              <w:rPr>
                <w:rFonts w:cs="Times New Roman"/>
                <w:color w:val="000000"/>
                <w:szCs w:val="22"/>
                <w:lang w:val="en-AU"/>
              </w:rPr>
              <w:t>21</w:t>
            </w:r>
          </w:p>
        </w:tc>
        <w:tc>
          <w:tcPr>
            <w:tcW w:w="1134" w:type="dxa"/>
            <w:tcBorders>
              <w:top w:val="nil"/>
              <w:left w:val="nil"/>
              <w:bottom w:val="single" w:sz="4" w:space="0" w:color="auto"/>
              <w:right w:val="single" w:sz="4" w:space="0" w:color="auto"/>
            </w:tcBorders>
            <w:shd w:val="clear" w:color="auto" w:fill="auto"/>
            <w:noWrap/>
            <w:vAlign w:val="center"/>
            <w:hideMark/>
          </w:tcPr>
          <w:p w14:paraId="2E057607" w14:textId="77777777" w:rsidR="00BA4BC1" w:rsidRPr="00BB1467" w:rsidRDefault="00BA4BC1" w:rsidP="000A42C4">
            <w:pPr>
              <w:jc w:val="center"/>
              <w:rPr>
                <w:rFonts w:cs="Times New Roman"/>
                <w:color w:val="000000"/>
                <w:szCs w:val="22"/>
                <w:lang w:val="en-AU"/>
              </w:rPr>
            </w:pPr>
            <w:r w:rsidRPr="00BB1467">
              <w:rPr>
                <w:rFonts w:cs="Times New Roman"/>
                <w:color w:val="000000"/>
                <w:szCs w:val="22"/>
                <w:lang w:val="en-AU"/>
              </w:rPr>
              <w:t>3%</w:t>
            </w:r>
          </w:p>
        </w:tc>
        <w:tc>
          <w:tcPr>
            <w:tcW w:w="850" w:type="dxa"/>
            <w:tcBorders>
              <w:top w:val="nil"/>
              <w:left w:val="nil"/>
              <w:bottom w:val="single" w:sz="4" w:space="0" w:color="auto"/>
              <w:right w:val="single" w:sz="4" w:space="0" w:color="auto"/>
            </w:tcBorders>
            <w:shd w:val="clear" w:color="auto" w:fill="auto"/>
            <w:noWrap/>
            <w:vAlign w:val="center"/>
            <w:hideMark/>
          </w:tcPr>
          <w:p w14:paraId="228DC762" w14:textId="77777777" w:rsidR="00BA4BC1" w:rsidRPr="00BB1467" w:rsidRDefault="00BA4BC1" w:rsidP="000A42C4">
            <w:pPr>
              <w:jc w:val="center"/>
              <w:rPr>
                <w:rFonts w:cs="Times New Roman"/>
                <w:color w:val="000000"/>
                <w:szCs w:val="22"/>
                <w:lang w:val="en-AU"/>
              </w:rPr>
            </w:pPr>
            <w:r w:rsidRPr="00BB1467">
              <w:rPr>
                <w:rFonts w:cs="Times New Roman"/>
                <w:color w:val="000000"/>
                <w:szCs w:val="22"/>
                <w:lang w:val="en-AU"/>
              </w:rPr>
              <w:t>166</w:t>
            </w:r>
          </w:p>
        </w:tc>
        <w:tc>
          <w:tcPr>
            <w:tcW w:w="1134" w:type="dxa"/>
            <w:tcBorders>
              <w:top w:val="nil"/>
              <w:left w:val="nil"/>
              <w:bottom w:val="single" w:sz="4" w:space="0" w:color="auto"/>
              <w:right w:val="single" w:sz="4" w:space="0" w:color="auto"/>
            </w:tcBorders>
            <w:shd w:val="clear" w:color="auto" w:fill="auto"/>
            <w:noWrap/>
            <w:vAlign w:val="center"/>
            <w:hideMark/>
          </w:tcPr>
          <w:p w14:paraId="3426B01A" w14:textId="77777777" w:rsidR="00BA4BC1" w:rsidRPr="00BB1467" w:rsidRDefault="00BA4BC1" w:rsidP="000A42C4">
            <w:pPr>
              <w:jc w:val="center"/>
              <w:rPr>
                <w:rFonts w:cs="Times New Roman"/>
                <w:color w:val="000000"/>
                <w:szCs w:val="22"/>
                <w:lang w:val="en-AU"/>
              </w:rPr>
            </w:pPr>
            <w:r w:rsidRPr="00BB1467">
              <w:rPr>
                <w:rFonts w:cs="Times New Roman"/>
                <w:color w:val="000000"/>
                <w:szCs w:val="22"/>
                <w:lang w:val="en-AU"/>
              </w:rPr>
              <w:t>12%</w:t>
            </w:r>
          </w:p>
        </w:tc>
      </w:tr>
    </w:tbl>
    <w:p w14:paraId="444A8413" w14:textId="13322781" w:rsidR="001F5AC7" w:rsidRDefault="001F5AC7" w:rsidP="004B4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highlight w:val="yellow"/>
          <w:lang w:val="en-AU"/>
        </w:rPr>
      </w:pPr>
    </w:p>
    <w:p w14:paraId="047F23DD" w14:textId="46CA1DCF" w:rsidR="00B178E7" w:rsidRDefault="00DB1956" w:rsidP="008B5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lang w:val="en-AU"/>
        </w:rPr>
      </w:pPr>
      <w:r w:rsidRPr="00DB1956">
        <w:rPr>
          <w:rFonts w:asciiTheme="minorHAnsi" w:hAnsiTheme="minorHAnsi"/>
          <w:lang w:val="en-AU"/>
        </w:rPr>
        <w:t>The</w:t>
      </w:r>
      <w:r>
        <w:rPr>
          <w:rFonts w:asciiTheme="minorHAnsi" w:hAnsiTheme="minorHAnsi"/>
          <w:lang w:val="en-AU"/>
        </w:rPr>
        <w:t xml:space="preserve"> qualitative data recorded as </w:t>
      </w:r>
      <w:r w:rsidR="00B80273">
        <w:rPr>
          <w:rFonts w:asciiTheme="minorHAnsi" w:hAnsiTheme="minorHAnsi"/>
          <w:lang w:val="en-AU"/>
        </w:rPr>
        <w:t xml:space="preserve">comments by </w:t>
      </w:r>
      <w:r>
        <w:rPr>
          <w:rFonts w:asciiTheme="minorHAnsi" w:hAnsiTheme="minorHAnsi"/>
          <w:lang w:val="en-AU"/>
        </w:rPr>
        <w:t>receiving</w:t>
      </w:r>
      <w:r w:rsidR="00B80273">
        <w:rPr>
          <w:rFonts w:asciiTheme="minorHAnsi" w:hAnsiTheme="minorHAnsi"/>
          <w:lang w:val="en-AU"/>
        </w:rPr>
        <w:t xml:space="preserve"> HF</w:t>
      </w:r>
      <w:r>
        <w:rPr>
          <w:rFonts w:asciiTheme="minorHAnsi" w:hAnsiTheme="minorHAnsi"/>
          <w:lang w:val="en-AU"/>
        </w:rPr>
        <w:t xml:space="preserve"> staff in this database have been used to expand and cross-check the qualitative </w:t>
      </w:r>
      <w:r w:rsidR="00B80273">
        <w:rPr>
          <w:rFonts w:asciiTheme="minorHAnsi" w:hAnsiTheme="minorHAnsi"/>
          <w:lang w:val="en-AU"/>
        </w:rPr>
        <w:t>findings</w:t>
      </w:r>
      <w:r>
        <w:rPr>
          <w:rFonts w:asciiTheme="minorHAnsi" w:hAnsiTheme="minorHAnsi"/>
          <w:lang w:val="en-AU"/>
        </w:rPr>
        <w:t xml:space="preserve"> obtained during </w:t>
      </w:r>
      <w:r w:rsidR="00256C9F">
        <w:rPr>
          <w:rFonts w:asciiTheme="minorHAnsi" w:hAnsiTheme="minorHAnsi"/>
          <w:lang w:val="en-AU"/>
        </w:rPr>
        <w:t>our</w:t>
      </w:r>
      <w:r>
        <w:rPr>
          <w:rFonts w:asciiTheme="minorHAnsi" w:hAnsiTheme="minorHAnsi"/>
          <w:lang w:val="en-AU"/>
        </w:rPr>
        <w:t xml:space="preserve"> HF survey (see Annex </w:t>
      </w:r>
      <w:r w:rsidR="004D2B1D">
        <w:rPr>
          <w:rFonts w:asciiTheme="minorHAnsi" w:hAnsiTheme="minorHAnsi"/>
          <w:lang w:val="en-AU"/>
        </w:rPr>
        <w:t>11.4</w:t>
      </w:r>
      <w:r>
        <w:rPr>
          <w:rFonts w:asciiTheme="minorHAnsi" w:hAnsiTheme="minorHAnsi"/>
          <w:lang w:val="en-AU"/>
        </w:rPr>
        <w:t xml:space="preserve">). </w:t>
      </w:r>
      <w:r>
        <w:rPr>
          <w:rFonts w:asciiTheme="minorHAnsi" w:hAnsiTheme="minorHAnsi"/>
          <w:lang w:val="en-AU"/>
        </w:rPr>
        <w:lastRenderedPageBreak/>
        <w:t xml:space="preserve">Overall, there is a very close match between </w:t>
      </w:r>
      <w:r w:rsidR="00256C9F">
        <w:rPr>
          <w:rFonts w:asciiTheme="minorHAnsi" w:hAnsiTheme="minorHAnsi"/>
          <w:lang w:val="en-AU"/>
        </w:rPr>
        <w:t>both sources of HF staff opinion</w:t>
      </w:r>
      <w:r>
        <w:rPr>
          <w:rFonts w:asciiTheme="minorHAnsi" w:hAnsiTheme="minorHAnsi"/>
          <w:lang w:val="en-AU"/>
        </w:rPr>
        <w:t xml:space="preserve">: staff expressed high appreciation of the ‘push’ system, </w:t>
      </w:r>
      <w:r w:rsidR="001B50FA">
        <w:rPr>
          <w:rFonts w:asciiTheme="minorHAnsi" w:hAnsiTheme="minorHAnsi"/>
          <w:lang w:val="en-AU"/>
        </w:rPr>
        <w:t>and noted</w:t>
      </w:r>
      <w:r w:rsidR="00DD31DC">
        <w:rPr>
          <w:rFonts w:asciiTheme="minorHAnsi" w:hAnsiTheme="minorHAnsi"/>
          <w:lang w:val="en-AU"/>
        </w:rPr>
        <w:t xml:space="preserve"> that </w:t>
      </w:r>
      <w:r>
        <w:rPr>
          <w:rFonts w:asciiTheme="minorHAnsi" w:hAnsiTheme="minorHAnsi"/>
          <w:lang w:val="en-AU"/>
        </w:rPr>
        <w:t xml:space="preserve">it often enabled services to continue </w:t>
      </w:r>
      <w:r w:rsidR="00DD31DC">
        <w:rPr>
          <w:rFonts w:asciiTheme="minorHAnsi" w:hAnsiTheme="minorHAnsi"/>
          <w:lang w:val="en-AU"/>
        </w:rPr>
        <w:t xml:space="preserve">by providing a crucial supplement to fill gaps in supply from the ‘pull’ system. This last comment was especially seen for APs. </w:t>
      </w:r>
      <w:r w:rsidR="00B178E7">
        <w:rPr>
          <w:rFonts w:asciiTheme="minorHAnsi" w:hAnsiTheme="minorHAnsi"/>
          <w:lang w:val="en-AU"/>
        </w:rPr>
        <w:t>C</w:t>
      </w:r>
      <w:r w:rsidR="001B50FA">
        <w:rPr>
          <w:rFonts w:asciiTheme="minorHAnsi" w:hAnsiTheme="minorHAnsi"/>
          <w:lang w:val="en-AU"/>
        </w:rPr>
        <w:t xml:space="preserve">omments coded as ‘satisfied’ or ‘very satisfied’ (62% of HCs and 47% of APs) generally contained some comment to this effect, as well as acknowledgement that the boxes were received in good condition. The low rate of ‘dissatisfied’ comments (HC 2%, AP 1%) </w:t>
      </w:r>
      <w:r w:rsidR="00B178E7">
        <w:rPr>
          <w:rFonts w:asciiTheme="minorHAnsi" w:hAnsiTheme="minorHAnsi"/>
          <w:lang w:val="en-AU"/>
        </w:rPr>
        <w:t>confirms</w:t>
      </w:r>
      <w:r w:rsidR="001B50FA">
        <w:rPr>
          <w:rFonts w:asciiTheme="minorHAnsi" w:hAnsiTheme="minorHAnsi"/>
          <w:lang w:val="en-AU"/>
        </w:rPr>
        <w:t xml:space="preserve"> the value seen in the program.  Most comments coded as ‘dissatisfied’ at HC level sought improved transport communications, with a few suggesting some medicines were in over-supply and only one noting rain damage to boxes. </w:t>
      </w:r>
      <w:r w:rsidR="008B532E">
        <w:rPr>
          <w:rFonts w:asciiTheme="minorHAnsi" w:hAnsiTheme="minorHAnsi"/>
          <w:lang w:val="en-AU"/>
        </w:rPr>
        <w:t xml:space="preserve">‘Dissatisfied’ comments at AP level all </w:t>
      </w:r>
      <w:r w:rsidR="006E2914">
        <w:rPr>
          <w:rFonts w:asciiTheme="minorHAnsi" w:hAnsiTheme="minorHAnsi"/>
          <w:lang w:val="en-AU"/>
        </w:rPr>
        <w:t>contained</w:t>
      </w:r>
      <w:r w:rsidR="008B532E">
        <w:rPr>
          <w:rFonts w:asciiTheme="minorHAnsi" w:hAnsiTheme="minorHAnsi"/>
          <w:lang w:val="en-AU"/>
        </w:rPr>
        <w:t xml:space="preserve"> </w:t>
      </w:r>
      <w:r w:rsidR="006E2914">
        <w:rPr>
          <w:rFonts w:asciiTheme="minorHAnsi" w:hAnsiTheme="minorHAnsi"/>
          <w:lang w:val="en-AU"/>
        </w:rPr>
        <w:t xml:space="preserve">either a request </w:t>
      </w:r>
      <w:r w:rsidR="008B532E">
        <w:rPr>
          <w:rFonts w:asciiTheme="minorHAnsi" w:hAnsiTheme="minorHAnsi"/>
          <w:lang w:val="en-AU"/>
        </w:rPr>
        <w:t>for improved communications or a request to supply additional medicines</w:t>
      </w:r>
      <w:r w:rsidR="00B80273">
        <w:rPr>
          <w:rFonts w:asciiTheme="minorHAnsi" w:hAnsiTheme="minorHAnsi"/>
          <w:lang w:val="en-AU"/>
        </w:rPr>
        <w:t>.</w:t>
      </w:r>
      <w:r w:rsidR="008B532E">
        <w:rPr>
          <w:rFonts w:asciiTheme="minorHAnsi" w:hAnsiTheme="minorHAnsi"/>
          <w:lang w:val="en-AU"/>
        </w:rPr>
        <w:t xml:space="preserve">  </w:t>
      </w:r>
    </w:p>
    <w:p w14:paraId="477EC988" w14:textId="77777777" w:rsidR="00B178E7" w:rsidRDefault="00B178E7" w:rsidP="008B5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lang w:val="en-AU"/>
        </w:rPr>
      </w:pPr>
    </w:p>
    <w:p w14:paraId="3B719CC7" w14:textId="56DC2882" w:rsidR="00DB1956" w:rsidRPr="00DB1956" w:rsidRDefault="008B532E" w:rsidP="008B5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lang w:val="en-AU"/>
        </w:rPr>
      </w:pPr>
      <w:r>
        <w:rPr>
          <w:rFonts w:asciiTheme="minorHAnsi" w:hAnsiTheme="minorHAnsi"/>
          <w:lang w:val="en-AU"/>
        </w:rPr>
        <w:t>Comments coded as ‘other’ generally included the reason for a ‘Failed’ delivery</w:t>
      </w:r>
      <w:r w:rsidR="001B325B">
        <w:rPr>
          <w:rFonts w:asciiTheme="minorHAnsi" w:hAnsiTheme="minorHAnsi"/>
          <w:lang w:val="en-AU"/>
        </w:rPr>
        <w:t xml:space="preserve"> and were far more frequent at the AP level. Reasons given for </w:t>
      </w:r>
      <w:proofErr w:type="gramStart"/>
      <w:r w:rsidR="001B325B">
        <w:rPr>
          <w:rFonts w:asciiTheme="minorHAnsi" w:hAnsiTheme="minorHAnsi"/>
          <w:lang w:val="en-AU"/>
        </w:rPr>
        <w:t>a failed delivery were</w:t>
      </w:r>
      <w:proofErr w:type="gramEnd"/>
      <w:r w:rsidR="001B325B">
        <w:rPr>
          <w:rFonts w:asciiTheme="minorHAnsi" w:hAnsiTheme="minorHAnsi"/>
          <w:lang w:val="en-AU"/>
        </w:rPr>
        <w:t xml:space="preserve"> most commonly because the facility was not there (</w:t>
      </w:r>
      <w:r w:rsidR="00E56DCF">
        <w:rPr>
          <w:rFonts w:asciiTheme="minorHAnsi" w:hAnsiTheme="minorHAnsi"/>
          <w:lang w:val="en-AU"/>
        </w:rPr>
        <w:t xml:space="preserve">most often because it had </w:t>
      </w:r>
      <w:r w:rsidR="001B325B">
        <w:rPr>
          <w:rFonts w:asciiTheme="minorHAnsi" w:hAnsiTheme="minorHAnsi"/>
          <w:lang w:val="en-AU"/>
        </w:rPr>
        <w:t>been burnt or destroyed during conflict), the name or location was wrongly listed,</w:t>
      </w:r>
      <w:r w:rsidR="00004B68">
        <w:rPr>
          <w:rFonts w:asciiTheme="minorHAnsi" w:hAnsiTheme="minorHAnsi"/>
          <w:lang w:val="en-AU"/>
        </w:rPr>
        <w:t xml:space="preserve"> or</w:t>
      </w:r>
      <w:r w:rsidR="001B325B">
        <w:rPr>
          <w:rFonts w:asciiTheme="minorHAnsi" w:hAnsiTheme="minorHAnsi"/>
          <w:lang w:val="en-AU"/>
        </w:rPr>
        <w:t xml:space="preserve"> the operating staff were absent. </w:t>
      </w:r>
      <w:r w:rsidR="00004B68">
        <w:rPr>
          <w:rFonts w:asciiTheme="minorHAnsi" w:hAnsiTheme="minorHAnsi"/>
          <w:lang w:val="en-AU"/>
        </w:rPr>
        <w:t>Less commonly, road blockage due to conflict was recorded. Only rarely were other transport difficulties (poor conditions of road or water) given as reasons for failed delivery and many comments note the occurrence of a successful delivery despite the logistic obstacles that are common in rural PNG. Other information provided that was coded as ‘Other’ included information that an AP was operating in a private home (in the absence of a functional facility), comments about changes in facility status, and many requests for increased storage capacity.</w:t>
      </w:r>
    </w:p>
    <w:p w14:paraId="7B685369" w14:textId="77777777" w:rsidR="001B70B8" w:rsidRDefault="001B70B8" w:rsidP="004B4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highlight w:val="yellow"/>
          <w:lang w:val="en-AU"/>
        </w:rPr>
      </w:pPr>
    </w:p>
    <w:p w14:paraId="51D156DF" w14:textId="215DE443" w:rsidR="00422F5C" w:rsidRPr="00E27200" w:rsidRDefault="001B70B8" w:rsidP="004B4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6E2914">
        <w:rPr>
          <w:rFonts w:asciiTheme="minorHAnsi" w:hAnsiTheme="minorHAnsi"/>
          <w:b/>
          <w:lang w:val="en-AU"/>
        </w:rPr>
        <w:t>Other qualitative findings on the ‘push’ system</w:t>
      </w:r>
    </w:p>
    <w:p w14:paraId="7350B69D" w14:textId="4A2AD83B" w:rsidR="00A46C1C" w:rsidRDefault="001B70B8" w:rsidP="001525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Pr>
          <w:rFonts w:asciiTheme="minorHAnsi" w:hAnsiTheme="minorHAnsi" w:cs="Arial"/>
          <w:color w:val="000000"/>
          <w:szCs w:val="19"/>
          <w:lang w:val="en-AU"/>
        </w:rPr>
        <w:t>Interviewees noted that a</w:t>
      </w:r>
      <w:r w:rsidR="004B409F" w:rsidRPr="00E27200">
        <w:rPr>
          <w:rFonts w:asciiTheme="minorHAnsi" w:hAnsiTheme="minorHAnsi" w:cs="Arial"/>
          <w:color w:val="000000"/>
          <w:szCs w:val="19"/>
          <w:lang w:val="en-AU"/>
        </w:rPr>
        <w:t xml:space="preserve"> major organizational challenge is </w:t>
      </w:r>
      <w:r w:rsidR="00D260B9">
        <w:rPr>
          <w:rFonts w:asciiTheme="minorHAnsi" w:hAnsiTheme="minorHAnsi" w:cs="Arial"/>
          <w:color w:val="000000"/>
          <w:szCs w:val="19"/>
          <w:lang w:val="en-AU"/>
        </w:rPr>
        <w:t>accurate central listing of recipient HFs, including name, location, status and outpatient activity; all essential to correct ‘push’ system distribution. These lists originated with NDOH and CKP was then required to verify. Out</w:t>
      </w:r>
      <w:r w:rsidR="00E56DCF">
        <w:rPr>
          <w:rFonts w:asciiTheme="minorHAnsi" w:hAnsiTheme="minorHAnsi" w:cs="Arial"/>
          <w:color w:val="000000"/>
          <w:szCs w:val="19"/>
          <w:lang w:val="en-AU"/>
        </w:rPr>
        <w:t>-</w:t>
      </w:r>
      <w:r w:rsidR="00D260B9">
        <w:rPr>
          <w:rFonts w:asciiTheme="minorHAnsi" w:hAnsiTheme="minorHAnsi" w:cs="Arial"/>
          <w:color w:val="000000"/>
          <w:szCs w:val="19"/>
          <w:lang w:val="en-AU"/>
        </w:rPr>
        <w:t xml:space="preserve">dated </w:t>
      </w:r>
      <w:r w:rsidR="004B409F" w:rsidRPr="00E27200">
        <w:rPr>
          <w:rFonts w:asciiTheme="minorHAnsi" w:hAnsiTheme="minorHAnsi" w:cs="Arial"/>
          <w:color w:val="000000"/>
          <w:szCs w:val="19"/>
          <w:lang w:val="en-AU"/>
        </w:rPr>
        <w:t xml:space="preserve">listings held in NDOH and provincial </w:t>
      </w:r>
      <w:r w:rsidR="00D260B9">
        <w:rPr>
          <w:rFonts w:asciiTheme="minorHAnsi" w:hAnsiTheme="minorHAnsi" w:cs="Arial"/>
          <w:color w:val="000000"/>
          <w:szCs w:val="19"/>
          <w:lang w:val="en-AU"/>
        </w:rPr>
        <w:t>health agencies</w:t>
      </w:r>
      <w:r w:rsidR="00EC7E6F">
        <w:rPr>
          <w:rFonts w:asciiTheme="minorHAnsi" w:hAnsiTheme="minorHAnsi" w:cs="Arial"/>
          <w:color w:val="000000"/>
          <w:szCs w:val="19"/>
          <w:lang w:val="en-AU"/>
        </w:rPr>
        <w:t>, especially APs</w:t>
      </w:r>
      <w:r w:rsidR="00E56DCF">
        <w:rPr>
          <w:rFonts w:asciiTheme="minorHAnsi" w:hAnsiTheme="minorHAnsi" w:cs="Arial"/>
          <w:color w:val="000000"/>
          <w:szCs w:val="19"/>
          <w:lang w:val="en-AU"/>
        </w:rPr>
        <w:t>,</w:t>
      </w:r>
      <w:r w:rsidR="00EC7E6F">
        <w:rPr>
          <w:rFonts w:asciiTheme="minorHAnsi" w:hAnsiTheme="minorHAnsi" w:cs="Arial"/>
          <w:color w:val="000000"/>
          <w:szCs w:val="19"/>
          <w:lang w:val="en-AU"/>
        </w:rPr>
        <w:t xml:space="preserve"> created major difficulties</w:t>
      </w:r>
      <w:r w:rsidR="004B409F" w:rsidRPr="00E27200">
        <w:rPr>
          <w:rFonts w:asciiTheme="minorHAnsi" w:hAnsiTheme="minorHAnsi" w:cs="Arial"/>
          <w:color w:val="000000"/>
          <w:szCs w:val="19"/>
          <w:lang w:val="en-AU"/>
        </w:rPr>
        <w:t>.</w:t>
      </w:r>
      <w:r w:rsidR="00EC7E6F">
        <w:rPr>
          <w:rFonts w:asciiTheme="minorHAnsi" w:hAnsiTheme="minorHAnsi" w:cs="Arial"/>
          <w:color w:val="000000"/>
          <w:szCs w:val="19"/>
          <w:lang w:val="en-AU"/>
        </w:rPr>
        <w:t xml:space="preserve"> For example, a NDOH listing of </w:t>
      </w:r>
      <w:r w:rsidR="004B409F" w:rsidRPr="00E27200">
        <w:rPr>
          <w:rFonts w:asciiTheme="minorHAnsi" w:hAnsiTheme="minorHAnsi" w:cs="Arial"/>
          <w:color w:val="000000"/>
          <w:szCs w:val="19"/>
          <w:lang w:val="en-AU"/>
        </w:rPr>
        <w:t xml:space="preserve">3,111 </w:t>
      </w:r>
      <w:r w:rsidR="00EC7E6F">
        <w:rPr>
          <w:rFonts w:asciiTheme="minorHAnsi" w:hAnsiTheme="minorHAnsi" w:cs="Arial"/>
          <w:color w:val="000000"/>
          <w:szCs w:val="19"/>
          <w:lang w:val="en-AU"/>
        </w:rPr>
        <w:t xml:space="preserve">APs estimated </w:t>
      </w:r>
      <w:r w:rsidR="004B409F" w:rsidRPr="00E27200">
        <w:rPr>
          <w:rFonts w:asciiTheme="minorHAnsi" w:hAnsiTheme="minorHAnsi" w:cs="Arial"/>
          <w:color w:val="000000"/>
          <w:szCs w:val="19"/>
          <w:lang w:val="en-AU"/>
        </w:rPr>
        <w:t xml:space="preserve">that 1,042 facilities were closed at any one time. </w:t>
      </w:r>
      <w:r w:rsidR="00EC7E6F" w:rsidRPr="00E27200">
        <w:rPr>
          <w:rFonts w:asciiTheme="minorHAnsi" w:hAnsiTheme="minorHAnsi" w:cs="Arial"/>
          <w:color w:val="000000"/>
          <w:szCs w:val="19"/>
          <w:lang w:val="en-AU"/>
        </w:rPr>
        <w:t xml:space="preserve">Resolving this required provincial health </w:t>
      </w:r>
      <w:r w:rsidR="00EC7E6F">
        <w:rPr>
          <w:rFonts w:asciiTheme="minorHAnsi" w:hAnsiTheme="minorHAnsi" w:cs="Arial"/>
          <w:color w:val="000000"/>
          <w:szCs w:val="19"/>
          <w:lang w:val="en-AU"/>
        </w:rPr>
        <w:t>information</w:t>
      </w:r>
      <w:r w:rsidR="00EC7E6F" w:rsidRPr="00E27200">
        <w:rPr>
          <w:rFonts w:asciiTheme="minorHAnsi" w:hAnsiTheme="minorHAnsi" w:cs="Arial"/>
          <w:color w:val="000000"/>
          <w:szCs w:val="19"/>
          <w:lang w:val="en-AU"/>
        </w:rPr>
        <w:t xml:space="preserve">, phone </w:t>
      </w:r>
      <w:r w:rsidR="00EC7E6F" w:rsidRPr="00760CE9">
        <w:rPr>
          <w:rFonts w:asciiTheme="minorHAnsi" w:hAnsiTheme="minorHAnsi" w:cs="Arial"/>
          <w:color w:val="000000"/>
          <w:szCs w:val="19"/>
          <w:lang w:val="en-AU"/>
        </w:rPr>
        <w:t xml:space="preserve">calls to facilities, review of mapping data, and information from the earlier 40% kit verification. Nevertheless, the evaluation still observed a number of different effects, including HFs that were open but not receiving kits (due to being omitted from the NDOH master listing) or HFs that were closed but listed to receive kits. </w:t>
      </w:r>
      <w:r w:rsidR="00A46C1C" w:rsidRPr="00760CE9">
        <w:rPr>
          <w:rFonts w:asciiTheme="minorHAnsi" w:hAnsiTheme="minorHAnsi" w:cs="Arial"/>
          <w:color w:val="000000"/>
          <w:szCs w:val="19"/>
          <w:lang w:val="en-AU"/>
        </w:rPr>
        <w:t xml:space="preserve">This problem is difficult to quantify, but is important. </w:t>
      </w:r>
      <w:r w:rsidR="00EC7E6F" w:rsidRPr="00760CE9">
        <w:rPr>
          <w:rFonts w:asciiTheme="minorHAnsi" w:hAnsiTheme="minorHAnsi" w:cs="Arial"/>
          <w:color w:val="000000"/>
          <w:szCs w:val="19"/>
          <w:lang w:val="en-AU"/>
        </w:rPr>
        <w:t>Of the</w:t>
      </w:r>
      <w:r w:rsidR="00A46C1C" w:rsidRPr="00760CE9">
        <w:rPr>
          <w:rFonts w:asciiTheme="minorHAnsi" w:hAnsiTheme="minorHAnsi" w:cs="Arial"/>
          <w:color w:val="000000"/>
          <w:szCs w:val="19"/>
          <w:lang w:val="en-AU"/>
        </w:rPr>
        <w:t xml:space="preserve"> ‘Failed’ AP deliveries</w:t>
      </w:r>
      <w:r w:rsidR="00A46C1C">
        <w:rPr>
          <w:rFonts w:asciiTheme="minorHAnsi" w:hAnsiTheme="minorHAnsi" w:cs="Arial"/>
          <w:color w:val="000000"/>
          <w:szCs w:val="19"/>
          <w:lang w:val="en-AU"/>
        </w:rPr>
        <w:t xml:space="preserve"> noted above, by far the most common reason was that the AP was </w:t>
      </w:r>
      <w:r w:rsidR="00AD645A">
        <w:rPr>
          <w:rFonts w:asciiTheme="minorHAnsi" w:hAnsiTheme="minorHAnsi" w:cs="Arial"/>
          <w:color w:val="000000"/>
          <w:szCs w:val="19"/>
          <w:lang w:val="en-AU"/>
        </w:rPr>
        <w:t>wrongly l</w:t>
      </w:r>
      <w:r w:rsidR="00D03CF0">
        <w:rPr>
          <w:rFonts w:asciiTheme="minorHAnsi" w:hAnsiTheme="minorHAnsi" w:cs="Arial"/>
          <w:color w:val="000000"/>
          <w:szCs w:val="19"/>
          <w:lang w:val="en-AU"/>
        </w:rPr>
        <w:t>isted (by name and/or location)</w:t>
      </w:r>
      <w:r w:rsidR="00AD645A">
        <w:rPr>
          <w:rFonts w:asciiTheme="minorHAnsi" w:hAnsiTheme="minorHAnsi" w:cs="Arial"/>
          <w:color w:val="000000"/>
          <w:szCs w:val="19"/>
          <w:lang w:val="en-AU"/>
        </w:rPr>
        <w:t xml:space="preserve"> or </w:t>
      </w:r>
      <w:r w:rsidR="00E56DCF">
        <w:rPr>
          <w:rFonts w:asciiTheme="minorHAnsi" w:hAnsiTheme="minorHAnsi" w:cs="Arial"/>
          <w:color w:val="000000"/>
          <w:szCs w:val="19"/>
          <w:lang w:val="en-AU"/>
        </w:rPr>
        <w:t xml:space="preserve">was </w:t>
      </w:r>
      <w:r w:rsidR="00D03CF0">
        <w:rPr>
          <w:rFonts w:asciiTheme="minorHAnsi" w:hAnsiTheme="minorHAnsi" w:cs="Arial"/>
          <w:color w:val="000000"/>
          <w:szCs w:val="19"/>
          <w:lang w:val="en-AU"/>
        </w:rPr>
        <w:t xml:space="preserve">not known to be </w:t>
      </w:r>
      <w:r w:rsidR="00A46C1C">
        <w:rPr>
          <w:rFonts w:asciiTheme="minorHAnsi" w:hAnsiTheme="minorHAnsi" w:cs="Arial"/>
          <w:color w:val="000000"/>
          <w:szCs w:val="19"/>
          <w:lang w:val="en-AU"/>
        </w:rPr>
        <w:t>closed.</w:t>
      </w:r>
    </w:p>
    <w:p w14:paraId="49BDF966" w14:textId="77777777" w:rsidR="00A46C1C" w:rsidRDefault="00A46C1C" w:rsidP="001525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66FE9069" w14:textId="3A85BEDE" w:rsidR="00632C53" w:rsidRPr="00E27200" w:rsidRDefault="00EC7E6F" w:rsidP="001525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Pr>
          <w:rFonts w:asciiTheme="minorHAnsi" w:hAnsiTheme="minorHAnsi" w:cs="Arial"/>
          <w:color w:val="000000"/>
          <w:szCs w:val="19"/>
          <w:lang w:val="en-AU"/>
        </w:rPr>
        <w:t xml:space="preserve">As the ‘push’ program has progressed, </w:t>
      </w:r>
      <w:r w:rsidR="004B409F" w:rsidRPr="00E27200">
        <w:rPr>
          <w:rFonts w:asciiTheme="minorHAnsi" w:hAnsiTheme="minorHAnsi" w:cs="Arial"/>
          <w:color w:val="000000"/>
          <w:szCs w:val="19"/>
          <w:lang w:val="en-AU"/>
        </w:rPr>
        <w:t>this audit ha</w:t>
      </w:r>
      <w:r w:rsidR="00AD645A">
        <w:rPr>
          <w:rFonts w:asciiTheme="minorHAnsi" w:hAnsiTheme="minorHAnsi" w:cs="Arial"/>
          <w:color w:val="000000"/>
          <w:szCs w:val="19"/>
          <w:lang w:val="en-AU"/>
        </w:rPr>
        <w:t>s</w:t>
      </w:r>
      <w:r w:rsidR="004B409F" w:rsidRPr="00E27200">
        <w:rPr>
          <w:rFonts w:asciiTheme="minorHAnsi" w:hAnsiTheme="minorHAnsi" w:cs="Arial"/>
          <w:color w:val="000000"/>
          <w:szCs w:val="19"/>
          <w:lang w:val="en-AU"/>
        </w:rPr>
        <w:t xml:space="preserve"> proven useful to provincial </w:t>
      </w:r>
      <w:r w:rsidR="00AD645A">
        <w:rPr>
          <w:rFonts w:asciiTheme="minorHAnsi" w:hAnsiTheme="minorHAnsi" w:cs="Arial"/>
          <w:color w:val="000000"/>
          <w:szCs w:val="19"/>
          <w:lang w:val="en-AU"/>
        </w:rPr>
        <w:t xml:space="preserve">health agencies </w:t>
      </w:r>
      <w:r w:rsidR="000A3F13" w:rsidRPr="00E27200">
        <w:rPr>
          <w:rFonts w:asciiTheme="minorHAnsi" w:hAnsiTheme="minorHAnsi" w:cs="Arial"/>
          <w:color w:val="000000"/>
          <w:szCs w:val="19"/>
          <w:lang w:val="en-AU"/>
        </w:rPr>
        <w:t>in updating their own facility listings</w:t>
      </w:r>
      <w:r w:rsidR="004B409F" w:rsidRPr="00E27200">
        <w:rPr>
          <w:rFonts w:asciiTheme="minorHAnsi" w:hAnsiTheme="minorHAnsi" w:cs="Arial"/>
          <w:color w:val="000000"/>
          <w:szCs w:val="19"/>
          <w:lang w:val="en-AU"/>
        </w:rPr>
        <w:t xml:space="preserve">, especially when a HF existence and location is verified by a successful delivery. </w:t>
      </w:r>
      <w:r w:rsidR="001C70FD">
        <w:rPr>
          <w:rFonts w:asciiTheme="minorHAnsi" w:hAnsiTheme="minorHAnsi" w:cs="Arial"/>
          <w:color w:val="000000"/>
          <w:szCs w:val="19"/>
          <w:lang w:val="en-AU"/>
        </w:rPr>
        <w:t xml:space="preserve">The delivery database </w:t>
      </w:r>
      <w:r w:rsidR="009029E0">
        <w:rPr>
          <w:rFonts w:asciiTheme="minorHAnsi" w:hAnsiTheme="minorHAnsi" w:cs="Arial"/>
          <w:color w:val="000000"/>
          <w:szCs w:val="19"/>
          <w:lang w:val="en-AU"/>
        </w:rPr>
        <w:t>described</w:t>
      </w:r>
      <w:r w:rsidR="001C70FD">
        <w:rPr>
          <w:rFonts w:asciiTheme="minorHAnsi" w:hAnsiTheme="minorHAnsi" w:cs="Arial"/>
          <w:color w:val="000000"/>
          <w:szCs w:val="19"/>
          <w:lang w:val="en-AU"/>
        </w:rPr>
        <w:t xml:space="preserve"> above contains updated HF names, geographic positioning system location data and other information that will be of future use to health administrators, especially if continually updated as ‘push’ system rounds continue.</w:t>
      </w:r>
      <w:r w:rsidR="001B70B8">
        <w:rPr>
          <w:rFonts w:asciiTheme="minorHAnsi" w:hAnsiTheme="minorHAnsi" w:cs="Arial"/>
          <w:color w:val="000000"/>
          <w:szCs w:val="19"/>
          <w:lang w:val="en-AU"/>
        </w:rPr>
        <w:t xml:space="preserve"> </w:t>
      </w:r>
      <w:r w:rsidR="004B409F" w:rsidRPr="00E27200">
        <w:rPr>
          <w:rFonts w:asciiTheme="minorHAnsi" w:hAnsiTheme="minorHAnsi" w:cs="Arial"/>
          <w:color w:val="000000"/>
          <w:szCs w:val="19"/>
          <w:lang w:val="en-AU"/>
        </w:rPr>
        <w:t xml:space="preserve">Greater involvement of provincial and district health managers to identify changes in the status of facilities of rural and remote facilities </w:t>
      </w:r>
      <w:r w:rsidR="00A46C1C">
        <w:rPr>
          <w:rFonts w:asciiTheme="minorHAnsi" w:hAnsiTheme="minorHAnsi" w:cs="Arial"/>
          <w:color w:val="000000"/>
          <w:szCs w:val="19"/>
          <w:lang w:val="en-AU"/>
        </w:rPr>
        <w:t xml:space="preserve">will be helpful to future rounds. However, given the gaps in national and provincial records and the speed with which facilities open or close (especially in conflict-affected areas), this may need to happen through consultations </w:t>
      </w:r>
      <w:r w:rsidR="009029E0">
        <w:rPr>
          <w:rFonts w:asciiTheme="minorHAnsi" w:hAnsiTheme="minorHAnsi" w:cs="Arial"/>
          <w:color w:val="000000"/>
          <w:szCs w:val="19"/>
          <w:lang w:val="en-AU"/>
        </w:rPr>
        <w:t xml:space="preserve">no earlier than when </w:t>
      </w:r>
      <w:r w:rsidR="00A46C1C">
        <w:rPr>
          <w:rFonts w:asciiTheme="minorHAnsi" w:hAnsiTheme="minorHAnsi" w:cs="Arial"/>
          <w:color w:val="000000"/>
          <w:szCs w:val="19"/>
          <w:lang w:val="en-AU"/>
        </w:rPr>
        <w:t>a delivery round is commencing in provinces</w:t>
      </w:r>
      <w:r w:rsidR="000A3F13">
        <w:rPr>
          <w:rFonts w:asciiTheme="minorHAnsi" w:hAnsiTheme="minorHAnsi" w:cs="Arial"/>
          <w:color w:val="000000"/>
          <w:szCs w:val="19"/>
          <w:lang w:val="en-AU"/>
        </w:rPr>
        <w:t>.</w:t>
      </w:r>
    </w:p>
    <w:p w14:paraId="4EF6FF75" w14:textId="77777777" w:rsidR="00632C53" w:rsidRPr="00E27200" w:rsidRDefault="00632C53" w:rsidP="001525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04BB1E8B" w14:textId="1CF075E1" w:rsidR="006C141D" w:rsidRPr="00E27200" w:rsidRDefault="00632C53" w:rsidP="00844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r w:rsidRPr="00760CE9">
        <w:rPr>
          <w:rFonts w:asciiTheme="minorHAnsi" w:hAnsiTheme="minorHAnsi" w:cs="Arial"/>
          <w:color w:val="000000"/>
          <w:szCs w:val="19"/>
          <w:lang w:val="en-AU"/>
        </w:rPr>
        <w:t xml:space="preserve">Interviews with managers and HF staff at all levels </w:t>
      </w:r>
      <w:r w:rsidR="00760CE9" w:rsidRPr="00760CE9">
        <w:rPr>
          <w:rFonts w:asciiTheme="minorHAnsi" w:hAnsiTheme="minorHAnsi" w:cs="Arial"/>
          <w:color w:val="000000"/>
          <w:szCs w:val="19"/>
          <w:lang w:val="en-AU"/>
        </w:rPr>
        <w:t>requested</w:t>
      </w:r>
      <w:r w:rsidRPr="00760CE9">
        <w:rPr>
          <w:rFonts w:asciiTheme="minorHAnsi" w:hAnsiTheme="minorHAnsi" w:cs="Arial"/>
          <w:color w:val="000000"/>
          <w:szCs w:val="19"/>
          <w:lang w:val="en-AU"/>
        </w:rPr>
        <w:t xml:space="preserve"> greater communication around 100% kit distribution</w:t>
      </w:r>
      <w:r w:rsidR="00E24FC2" w:rsidRPr="00760CE9">
        <w:rPr>
          <w:rFonts w:asciiTheme="minorHAnsi" w:hAnsiTheme="minorHAnsi" w:cs="Arial"/>
          <w:color w:val="000000"/>
          <w:szCs w:val="19"/>
          <w:lang w:val="en-AU"/>
        </w:rPr>
        <w:t>s</w:t>
      </w:r>
      <w:r w:rsidRPr="00760CE9">
        <w:rPr>
          <w:rFonts w:asciiTheme="minorHAnsi" w:hAnsiTheme="minorHAnsi" w:cs="Arial"/>
          <w:color w:val="000000"/>
          <w:szCs w:val="19"/>
          <w:lang w:val="en-AU"/>
        </w:rPr>
        <w:t xml:space="preserve">. </w:t>
      </w:r>
      <w:r w:rsidR="00DD31DC" w:rsidRPr="00760CE9">
        <w:rPr>
          <w:lang w:val="en-AU"/>
        </w:rPr>
        <w:t>P</w:t>
      </w:r>
      <w:r w:rsidR="00E65AB1" w:rsidRPr="00760CE9">
        <w:rPr>
          <w:lang w:val="en-AU"/>
        </w:rPr>
        <w:t xml:space="preserve">rovincial </w:t>
      </w:r>
      <w:r w:rsidRPr="00760CE9">
        <w:rPr>
          <w:lang w:val="en-AU"/>
        </w:rPr>
        <w:t xml:space="preserve">health </w:t>
      </w:r>
      <w:r w:rsidR="00E65AB1" w:rsidRPr="00760CE9">
        <w:rPr>
          <w:lang w:val="en-AU"/>
        </w:rPr>
        <w:t xml:space="preserve">staff wanted to be </w:t>
      </w:r>
      <w:r w:rsidRPr="00760CE9">
        <w:rPr>
          <w:lang w:val="en-AU"/>
        </w:rPr>
        <w:t xml:space="preserve">more </w:t>
      </w:r>
      <w:r w:rsidR="00E65AB1" w:rsidRPr="00760CE9">
        <w:rPr>
          <w:lang w:val="en-AU"/>
        </w:rPr>
        <w:t>closely involved in the decision making processes around the selection of the 100% kit items</w:t>
      </w:r>
      <w:r w:rsidR="00AA3BDC" w:rsidRPr="00760CE9">
        <w:rPr>
          <w:lang w:val="en-AU"/>
        </w:rPr>
        <w:t xml:space="preserve"> and</w:t>
      </w:r>
      <w:r w:rsidR="00E65AB1" w:rsidRPr="00760CE9">
        <w:rPr>
          <w:lang w:val="en-AU"/>
        </w:rPr>
        <w:t xml:space="preserve"> quantities </w:t>
      </w:r>
      <w:r w:rsidRPr="00760CE9">
        <w:rPr>
          <w:lang w:val="en-AU"/>
        </w:rPr>
        <w:t xml:space="preserve">appropriate to various facilities. </w:t>
      </w:r>
      <w:r w:rsidR="00844F19" w:rsidRPr="00760CE9">
        <w:rPr>
          <w:lang w:val="en-AU"/>
        </w:rPr>
        <w:t>A</w:t>
      </w:r>
      <w:r w:rsidR="008546D6" w:rsidRPr="00760CE9">
        <w:rPr>
          <w:lang w:val="en-AU"/>
        </w:rPr>
        <w:t>ll stakeholders – provincial</w:t>
      </w:r>
      <w:r w:rsidR="00844F19" w:rsidRPr="00760CE9">
        <w:rPr>
          <w:lang w:val="en-AU"/>
        </w:rPr>
        <w:t>/</w:t>
      </w:r>
      <w:r w:rsidR="008546D6" w:rsidRPr="00760CE9">
        <w:rPr>
          <w:lang w:val="en-AU"/>
        </w:rPr>
        <w:t>district</w:t>
      </w:r>
      <w:r w:rsidR="00844F19" w:rsidRPr="00760CE9">
        <w:rPr>
          <w:lang w:val="en-AU"/>
        </w:rPr>
        <w:t xml:space="preserve"> managers</w:t>
      </w:r>
      <w:r w:rsidR="008546D6" w:rsidRPr="00760CE9">
        <w:rPr>
          <w:lang w:val="en-AU"/>
        </w:rPr>
        <w:t xml:space="preserve"> and HF</w:t>
      </w:r>
      <w:r w:rsidR="00844F19" w:rsidRPr="00760CE9">
        <w:rPr>
          <w:lang w:val="en-AU"/>
        </w:rPr>
        <w:t xml:space="preserve"> staff</w:t>
      </w:r>
      <w:r w:rsidR="008546D6" w:rsidRPr="00760CE9">
        <w:rPr>
          <w:lang w:val="en-AU"/>
        </w:rPr>
        <w:t xml:space="preserve"> – wanted greater communication around </w:t>
      </w:r>
      <w:r w:rsidR="008546D6" w:rsidRPr="00760CE9">
        <w:rPr>
          <w:lang w:val="en-AU"/>
        </w:rPr>
        <w:lastRenderedPageBreak/>
        <w:t>the distribution plans and scheduling</w:t>
      </w:r>
      <w:r w:rsidR="006C141D" w:rsidRPr="00760CE9">
        <w:rPr>
          <w:lang w:val="en-AU"/>
        </w:rPr>
        <w:t>, including delays or cancellations</w:t>
      </w:r>
      <w:r w:rsidR="008546D6" w:rsidRPr="00760CE9">
        <w:rPr>
          <w:lang w:val="en-AU"/>
        </w:rPr>
        <w:t xml:space="preserve">. </w:t>
      </w:r>
      <w:r w:rsidR="005D6E2B" w:rsidRPr="00760CE9">
        <w:rPr>
          <w:lang w:val="en-AU"/>
        </w:rPr>
        <w:t xml:space="preserve"> </w:t>
      </w:r>
      <w:r w:rsidR="00844F19" w:rsidRPr="00760CE9">
        <w:rPr>
          <w:lang w:val="en-AU"/>
        </w:rPr>
        <w:t>HF</w:t>
      </w:r>
      <w:r w:rsidR="002621BA" w:rsidRPr="00760CE9">
        <w:rPr>
          <w:lang w:val="en-AU"/>
        </w:rPr>
        <w:t xml:space="preserve"> staff and health</w:t>
      </w:r>
      <w:r w:rsidR="0090131E" w:rsidRPr="00760CE9">
        <w:rPr>
          <w:lang w:val="en-AU"/>
        </w:rPr>
        <w:t xml:space="preserve"> managers reported not knowing when the kits would be delivered</w:t>
      </w:r>
      <w:r w:rsidR="005D6E2B" w:rsidRPr="00760CE9">
        <w:rPr>
          <w:lang w:val="en-AU"/>
        </w:rPr>
        <w:t xml:space="preserve">, with uncertainty as to whether a </w:t>
      </w:r>
      <w:r w:rsidR="0090131E" w:rsidRPr="00760CE9">
        <w:rPr>
          <w:lang w:val="en-AU"/>
        </w:rPr>
        <w:t>delivery had failed. A</w:t>
      </w:r>
      <w:r w:rsidR="00DD31DC" w:rsidRPr="00760CE9">
        <w:rPr>
          <w:lang w:val="en-AU"/>
        </w:rPr>
        <w:t>s tabled above a</w:t>
      </w:r>
      <w:r w:rsidR="0090131E" w:rsidRPr="00760CE9">
        <w:rPr>
          <w:lang w:val="en-AU"/>
        </w:rPr>
        <w:t xml:space="preserve">nalysis of </w:t>
      </w:r>
      <w:r w:rsidR="001F080F" w:rsidRPr="00760CE9">
        <w:rPr>
          <w:lang w:val="en-AU"/>
        </w:rPr>
        <w:t xml:space="preserve">contractor </w:t>
      </w:r>
      <w:r w:rsidR="0090131E" w:rsidRPr="00760CE9">
        <w:rPr>
          <w:lang w:val="en-AU"/>
        </w:rPr>
        <w:t>records for round</w:t>
      </w:r>
      <w:r w:rsidR="00844F19" w:rsidRPr="00760CE9">
        <w:rPr>
          <w:lang w:val="en-AU"/>
        </w:rPr>
        <w:t xml:space="preserve"> one</w:t>
      </w:r>
      <w:r w:rsidR="0090131E" w:rsidRPr="00760CE9">
        <w:rPr>
          <w:lang w:val="en-AU"/>
        </w:rPr>
        <w:t xml:space="preserve"> </w:t>
      </w:r>
      <w:r w:rsidR="00844F19" w:rsidRPr="00760CE9">
        <w:rPr>
          <w:lang w:val="en-AU"/>
        </w:rPr>
        <w:t xml:space="preserve">report suggest </w:t>
      </w:r>
      <w:r w:rsidR="0090131E" w:rsidRPr="00760CE9">
        <w:rPr>
          <w:lang w:val="en-AU"/>
        </w:rPr>
        <w:t xml:space="preserve">that </w:t>
      </w:r>
      <w:r w:rsidR="00844F19" w:rsidRPr="00760CE9">
        <w:rPr>
          <w:lang w:val="en-AU"/>
        </w:rPr>
        <w:t xml:space="preserve">in </w:t>
      </w:r>
      <w:r w:rsidR="0090131E" w:rsidRPr="00760CE9">
        <w:rPr>
          <w:lang w:val="en-AU"/>
        </w:rPr>
        <w:t xml:space="preserve">only </w:t>
      </w:r>
      <w:r w:rsidR="00844F19" w:rsidRPr="00760CE9">
        <w:rPr>
          <w:lang w:val="en-AU"/>
        </w:rPr>
        <w:t>42</w:t>
      </w:r>
      <w:r w:rsidR="0090131E" w:rsidRPr="00760CE9">
        <w:rPr>
          <w:lang w:val="en-AU"/>
        </w:rPr>
        <w:t xml:space="preserve">% </w:t>
      </w:r>
      <w:r w:rsidR="00844F19" w:rsidRPr="00760CE9">
        <w:rPr>
          <w:lang w:val="en-AU"/>
        </w:rPr>
        <w:t>of HCs and 38% of APs did the receiving staff report that they had received some communication from provincial health managers.</w:t>
      </w:r>
      <w:r w:rsidR="00844F19">
        <w:rPr>
          <w:lang w:val="en-AU"/>
        </w:rPr>
        <w:t xml:space="preserve"> It is noted that communication with the provincial (but not district) health agencies is a clear</w:t>
      </w:r>
      <w:r w:rsidR="0048479E">
        <w:rPr>
          <w:lang w:val="en-AU"/>
        </w:rPr>
        <w:t>ly stipulated part of logistics companies’ contract</w:t>
      </w:r>
      <w:r w:rsidR="00844F19">
        <w:rPr>
          <w:lang w:val="en-AU"/>
        </w:rPr>
        <w:t xml:space="preserve"> conditions. </w:t>
      </w:r>
      <w:r w:rsidR="006C141D" w:rsidRPr="00E27200">
        <w:rPr>
          <w:lang w:val="en-AU"/>
        </w:rPr>
        <w:t>Health managers commented that it was particularly the district health manager who had the ability to identify HF locations, operational status and travel conditions. The local health authorities mentioned that they know the geographic terrain and if the aid posts were open or closed as the situation changed frequently.</w:t>
      </w:r>
      <w:r w:rsidR="00C840E7" w:rsidRPr="00E27200">
        <w:rPr>
          <w:lang w:val="en-AU"/>
        </w:rPr>
        <w:t xml:space="preserve"> It was reported that poor coordination in some cases meant that kit deliveries arrived at the same time as a ‘pull’ system order, resulting in excess stock that would then expire.  </w:t>
      </w:r>
      <w:proofErr w:type="spellStart"/>
      <w:r w:rsidR="007F1B31">
        <w:rPr>
          <w:lang w:val="en-AU"/>
        </w:rPr>
        <w:t>Sandaun</w:t>
      </w:r>
      <w:proofErr w:type="spellEnd"/>
      <w:r w:rsidR="007F1B31">
        <w:rPr>
          <w:lang w:val="en-AU"/>
        </w:rPr>
        <w:t xml:space="preserve"> Province was reported as a good practice example for enabling communications between transport contractors, provincial health agency</w:t>
      </w:r>
      <w:r w:rsidR="0048479E">
        <w:rPr>
          <w:lang w:val="en-AU"/>
        </w:rPr>
        <w:t>,</w:t>
      </w:r>
      <w:r w:rsidR="007F1B31">
        <w:rPr>
          <w:lang w:val="en-AU"/>
        </w:rPr>
        <w:t xml:space="preserve"> and district managers: prior to distribution District Health Managers travel to the provincial capital to </w:t>
      </w:r>
      <w:r w:rsidR="007F1B31" w:rsidRPr="007F1B31">
        <w:rPr>
          <w:lang w:val="en-AU"/>
        </w:rPr>
        <w:t>centrally coordinate and discuss the distribution with contractors.</w:t>
      </w:r>
    </w:p>
    <w:p w14:paraId="6C6CA4C4" w14:textId="77777777" w:rsidR="0024550F" w:rsidRDefault="0024550F" w:rsidP="0024550F">
      <w:pPr>
        <w:rPr>
          <w:szCs w:val="22"/>
          <w:lang w:val="en-AU"/>
        </w:rPr>
      </w:pPr>
    </w:p>
    <w:p w14:paraId="26252187" w14:textId="6024A857" w:rsidR="0024550F" w:rsidRPr="00E27200" w:rsidRDefault="0024550F" w:rsidP="0024550F">
      <w:pPr>
        <w:rPr>
          <w:szCs w:val="22"/>
          <w:lang w:val="en-AU"/>
        </w:rPr>
      </w:pPr>
      <w:r w:rsidRPr="00E27200">
        <w:rPr>
          <w:szCs w:val="22"/>
          <w:lang w:val="en-AU"/>
        </w:rPr>
        <w:t xml:space="preserve">The qualitative data from </w:t>
      </w:r>
      <w:r w:rsidR="00CC405F">
        <w:rPr>
          <w:szCs w:val="22"/>
          <w:lang w:val="en-AU"/>
        </w:rPr>
        <w:t xml:space="preserve">the great majority of interviews with </w:t>
      </w:r>
      <w:r>
        <w:rPr>
          <w:szCs w:val="22"/>
          <w:lang w:val="en-AU"/>
        </w:rPr>
        <w:t>HF</w:t>
      </w:r>
      <w:r w:rsidRPr="00E27200">
        <w:rPr>
          <w:szCs w:val="22"/>
          <w:lang w:val="en-AU"/>
        </w:rPr>
        <w:t xml:space="preserve"> staff</w:t>
      </w:r>
      <w:r w:rsidR="00080E81">
        <w:rPr>
          <w:szCs w:val="22"/>
          <w:lang w:val="en-AU"/>
        </w:rPr>
        <w:t xml:space="preserve"> (seen Annex 11.4)</w:t>
      </w:r>
      <w:r w:rsidR="00CC405F">
        <w:rPr>
          <w:szCs w:val="22"/>
          <w:lang w:val="en-AU"/>
        </w:rPr>
        <w:t>, as with comments</w:t>
      </w:r>
      <w:r w:rsidR="00080E81">
        <w:rPr>
          <w:szCs w:val="22"/>
          <w:lang w:val="en-AU"/>
        </w:rPr>
        <w:t xml:space="preserve"> in delivery reports (see above)</w:t>
      </w:r>
      <w:r w:rsidR="00CC405F">
        <w:rPr>
          <w:szCs w:val="22"/>
          <w:lang w:val="en-AU"/>
        </w:rPr>
        <w:t xml:space="preserve">, </w:t>
      </w:r>
      <w:r w:rsidR="00080E81">
        <w:rPr>
          <w:szCs w:val="22"/>
          <w:lang w:val="en-AU"/>
        </w:rPr>
        <w:t>reported very positive opinions on the ‘push’ system delivery. As described further in later sections of this report, kit delivery</w:t>
      </w:r>
      <w:r w:rsidRPr="00E27200">
        <w:rPr>
          <w:szCs w:val="22"/>
          <w:lang w:val="en-AU"/>
        </w:rPr>
        <w:t xml:space="preserve"> </w:t>
      </w:r>
      <w:r w:rsidR="00080E81">
        <w:rPr>
          <w:szCs w:val="22"/>
          <w:lang w:val="en-AU"/>
        </w:rPr>
        <w:t xml:space="preserve">direct to the HF was associated with increased availability of services, and decreased cost to the HF and community. </w:t>
      </w:r>
      <w:r w:rsidRPr="00E27200">
        <w:rPr>
          <w:szCs w:val="22"/>
          <w:lang w:val="en-AU"/>
        </w:rPr>
        <w:t xml:space="preserve">This was especially noted </w:t>
      </w:r>
      <w:r w:rsidR="00080E81">
        <w:rPr>
          <w:szCs w:val="22"/>
          <w:lang w:val="en-AU"/>
        </w:rPr>
        <w:t>by</w:t>
      </w:r>
      <w:r w:rsidRPr="00E27200">
        <w:rPr>
          <w:szCs w:val="22"/>
          <w:lang w:val="en-AU"/>
        </w:rPr>
        <w:t xml:space="preserve"> </w:t>
      </w:r>
      <w:r w:rsidR="00080E81">
        <w:rPr>
          <w:szCs w:val="22"/>
          <w:lang w:val="en-AU"/>
        </w:rPr>
        <w:t>AP</w:t>
      </w:r>
      <w:r w:rsidRPr="00E27200">
        <w:rPr>
          <w:szCs w:val="22"/>
          <w:lang w:val="en-AU"/>
        </w:rPr>
        <w:t xml:space="preserve"> staff as they </w:t>
      </w:r>
      <w:r w:rsidR="00080E81">
        <w:rPr>
          <w:szCs w:val="22"/>
          <w:lang w:val="en-AU"/>
        </w:rPr>
        <w:t xml:space="preserve">had rarely in the past </w:t>
      </w:r>
      <w:r w:rsidRPr="00E27200">
        <w:rPr>
          <w:szCs w:val="22"/>
          <w:lang w:val="en-AU"/>
        </w:rPr>
        <w:t xml:space="preserve">received their medicines straight to their doorstep rather than having to organise transport to pick up their medical supplies from the </w:t>
      </w:r>
      <w:r w:rsidR="0048479E">
        <w:rPr>
          <w:szCs w:val="22"/>
          <w:lang w:val="en-AU"/>
        </w:rPr>
        <w:t>HC</w:t>
      </w:r>
      <w:r w:rsidRPr="00E27200">
        <w:rPr>
          <w:szCs w:val="22"/>
          <w:lang w:val="en-AU"/>
        </w:rPr>
        <w:t xml:space="preserve">. When asked about the main changes that the </w:t>
      </w:r>
      <w:r w:rsidR="005703B4">
        <w:rPr>
          <w:szCs w:val="22"/>
          <w:lang w:val="en-AU"/>
        </w:rPr>
        <w:t xml:space="preserve">‘push’ </w:t>
      </w:r>
      <w:r w:rsidR="005703B4" w:rsidRPr="00E27200">
        <w:rPr>
          <w:szCs w:val="22"/>
          <w:lang w:val="en-AU"/>
        </w:rPr>
        <w:t>system brought, the overwhelming majority responded very positively about the kits. It was frequently mentioned that the 100% kits</w:t>
      </w:r>
      <w:r w:rsidR="005703B4">
        <w:rPr>
          <w:szCs w:val="22"/>
          <w:lang w:val="en-AU"/>
        </w:rPr>
        <w:t xml:space="preserve"> delivered through the ‘push’ system</w:t>
      </w:r>
      <w:r w:rsidR="005703B4" w:rsidRPr="00E27200">
        <w:rPr>
          <w:szCs w:val="22"/>
          <w:lang w:val="en-AU"/>
        </w:rPr>
        <w:t xml:space="preserve"> </w:t>
      </w:r>
      <w:r w:rsidRPr="00E27200">
        <w:rPr>
          <w:szCs w:val="22"/>
          <w:lang w:val="en-AU"/>
        </w:rPr>
        <w:t xml:space="preserve">supplemented their supplies as the orders from the AMS were often delayed and their stock levels were low: </w:t>
      </w:r>
    </w:p>
    <w:p w14:paraId="7983F435" w14:textId="445FBBBB" w:rsidR="0024550F" w:rsidRPr="00E27200" w:rsidRDefault="0024550F" w:rsidP="0024550F">
      <w:pPr>
        <w:ind w:left="720" w:right="1088"/>
        <w:rPr>
          <w:szCs w:val="22"/>
          <w:lang w:val="en-AU"/>
        </w:rPr>
      </w:pPr>
      <w:r w:rsidRPr="00E27200">
        <w:rPr>
          <w:i/>
          <w:szCs w:val="22"/>
          <w:lang w:val="en-AU"/>
        </w:rPr>
        <w:t xml:space="preserve">“Lots of medication available, especially the necessary ones. So happy about the program.” </w:t>
      </w:r>
      <w:r w:rsidRPr="00E27200">
        <w:rPr>
          <w:szCs w:val="22"/>
          <w:lang w:val="en-AU"/>
        </w:rPr>
        <w:t xml:space="preserve">and </w:t>
      </w:r>
      <w:r w:rsidRPr="00E27200">
        <w:rPr>
          <w:i/>
          <w:szCs w:val="22"/>
          <w:lang w:val="en-AU"/>
        </w:rPr>
        <w:t xml:space="preserve">“since the start of this program, more patients are admitted at the aid post, instead of the health centre </w:t>
      </w:r>
      <w:r w:rsidR="006C6B20">
        <w:rPr>
          <w:i/>
          <w:szCs w:val="22"/>
          <w:lang w:val="en-AU"/>
        </w:rPr>
        <w:t>…</w:t>
      </w:r>
      <w:r w:rsidRPr="00E27200">
        <w:rPr>
          <w:i/>
          <w:szCs w:val="22"/>
          <w:lang w:val="en-AU"/>
        </w:rPr>
        <w:t xml:space="preserve"> or the hospital.”</w:t>
      </w:r>
    </w:p>
    <w:p w14:paraId="198F5EC4" w14:textId="77777777" w:rsidR="006C141D" w:rsidRPr="00E27200" w:rsidRDefault="006C141D" w:rsidP="005D6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AU"/>
        </w:rPr>
      </w:pPr>
    </w:p>
    <w:p w14:paraId="7337C550" w14:textId="1CD87F38" w:rsidR="00600617" w:rsidRPr="00760CE9" w:rsidRDefault="006C141D" w:rsidP="009C693D">
      <w:pPr>
        <w:rPr>
          <w:lang w:val="en-AU"/>
        </w:rPr>
      </w:pPr>
      <w:r w:rsidRPr="00760CE9">
        <w:rPr>
          <w:szCs w:val="22"/>
          <w:lang w:val="en-AU"/>
        </w:rPr>
        <w:t xml:space="preserve">Among provincial and district managers, </w:t>
      </w:r>
      <w:r w:rsidR="00AC58E9" w:rsidRPr="00760CE9">
        <w:rPr>
          <w:szCs w:val="22"/>
          <w:lang w:val="en-AU"/>
        </w:rPr>
        <w:t xml:space="preserve">most approved of the ‘push’ system as a supplement, but </w:t>
      </w:r>
      <w:r w:rsidR="00C840E7" w:rsidRPr="00760CE9">
        <w:rPr>
          <w:szCs w:val="22"/>
          <w:lang w:val="en-AU"/>
        </w:rPr>
        <w:t>some express</w:t>
      </w:r>
      <w:r w:rsidR="007F1B31" w:rsidRPr="00760CE9">
        <w:rPr>
          <w:szCs w:val="22"/>
          <w:lang w:val="en-AU"/>
        </w:rPr>
        <w:t>ed</w:t>
      </w:r>
      <w:r w:rsidR="00C840E7" w:rsidRPr="00760CE9">
        <w:rPr>
          <w:szCs w:val="22"/>
          <w:lang w:val="en-AU"/>
        </w:rPr>
        <w:t xml:space="preserve"> </w:t>
      </w:r>
      <w:r w:rsidRPr="00760CE9">
        <w:rPr>
          <w:szCs w:val="22"/>
          <w:lang w:val="en-AU"/>
        </w:rPr>
        <w:t>dissatisfaction</w:t>
      </w:r>
      <w:r w:rsidR="0048479E" w:rsidRPr="00760CE9">
        <w:rPr>
          <w:szCs w:val="22"/>
          <w:lang w:val="en-AU"/>
        </w:rPr>
        <w:t>,</w:t>
      </w:r>
      <w:r w:rsidR="00AC58E9" w:rsidRPr="00760CE9">
        <w:rPr>
          <w:szCs w:val="22"/>
          <w:lang w:val="en-AU"/>
        </w:rPr>
        <w:t xml:space="preserve"> </w:t>
      </w:r>
      <w:r w:rsidR="00C840E7" w:rsidRPr="00760CE9">
        <w:rPr>
          <w:szCs w:val="22"/>
          <w:lang w:val="en-AU"/>
        </w:rPr>
        <w:t>questioning whether it weakened the routine ‘pull’ system, or actually performed any better</w:t>
      </w:r>
      <w:r w:rsidR="001B70B8" w:rsidRPr="00760CE9">
        <w:rPr>
          <w:szCs w:val="22"/>
          <w:lang w:val="en-AU"/>
        </w:rPr>
        <w:t xml:space="preserve">; this perhaps reflects the views of those who </w:t>
      </w:r>
      <w:r w:rsidR="0048479E" w:rsidRPr="00760CE9">
        <w:rPr>
          <w:szCs w:val="22"/>
          <w:lang w:val="en-AU"/>
        </w:rPr>
        <w:t>had</w:t>
      </w:r>
      <w:r w:rsidR="001B70B8" w:rsidRPr="00760CE9">
        <w:rPr>
          <w:szCs w:val="22"/>
          <w:lang w:val="en-AU"/>
        </w:rPr>
        <w:t xml:space="preserve"> been less engaged in the operation of the ‘push’ system</w:t>
      </w:r>
      <w:r w:rsidR="00C840E7" w:rsidRPr="00760CE9">
        <w:rPr>
          <w:szCs w:val="22"/>
          <w:lang w:val="en-AU"/>
        </w:rPr>
        <w:t xml:space="preserve">. </w:t>
      </w:r>
      <w:r w:rsidR="00600617" w:rsidRPr="00760CE9">
        <w:rPr>
          <w:lang w:val="en-AU"/>
        </w:rPr>
        <w:t>Some managers felt that the ‘push’ system’s presence also meant some HFs reduced the number of</w:t>
      </w:r>
      <w:r w:rsidR="0048479E" w:rsidRPr="00760CE9">
        <w:rPr>
          <w:lang w:val="en-AU"/>
        </w:rPr>
        <w:t xml:space="preserve"> </w:t>
      </w:r>
      <w:r w:rsidR="00600617" w:rsidRPr="00760CE9">
        <w:rPr>
          <w:lang w:val="en-AU"/>
        </w:rPr>
        <w:t>bi-monthly orders HF’s placed with the AMS</w:t>
      </w:r>
      <w:r w:rsidR="0048479E" w:rsidRPr="00760CE9">
        <w:rPr>
          <w:lang w:val="en-AU"/>
        </w:rPr>
        <w:t>;</w:t>
      </w:r>
      <w:r w:rsidR="00600617" w:rsidRPr="00760CE9">
        <w:rPr>
          <w:lang w:val="en-AU"/>
        </w:rPr>
        <w:t xml:space="preserve"> something that caused alarm among some provincial and district managers who saw this as an abandonment of the routine system. Some provincial managers worried that H</w:t>
      </w:r>
      <w:r w:rsidR="005703B4" w:rsidRPr="00760CE9">
        <w:rPr>
          <w:lang w:val="en-AU"/>
        </w:rPr>
        <w:t>F staff had stopped using stock-</w:t>
      </w:r>
      <w:r w:rsidR="00600617" w:rsidRPr="00760CE9">
        <w:rPr>
          <w:lang w:val="en-AU"/>
        </w:rPr>
        <w:t>cards because predetermined quantities were being delivered (although it is worth noting that very few HFs i</w:t>
      </w:r>
      <w:r w:rsidR="00353248" w:rsidRPr="00760CE9">
        <w:rPr>
          <w:lang w:val="en-AU"/>
        </w:rPr>
        <w:t>n either system ever used stock-</w:t>
      </w:r>
      <w:r w:rsidR="00600617" w:rsidRPr="00760CE9">
        <w:rPr>
          <w:lang w:val="en-AU"/>
        </w:rPr>
        <w:t>cards routinely).</w:t>
      </w:r>
    </w:p>
    <w:p w14:paraId="47EDAD46" w14:textId="77777777" w:rsidR="00600617" w:rsidRPr="00760CE9" w:rsidRDefault="00600617" w:rsidP="009C693D">
      <w:pPr>
        <w:rPr>
          <w:szCs w:val="22"/>
          <w:lang w:val="en-AU"/>
        </w:rPr>
      </w:pPr>
    </w:p>
    <w:p w14:paraId="2917B635" w14:textId="772626FE" w:rsidR="00BC5918" w:rsidRDefault="001B70B8" w:rsidP="009C693D">
      <w:pPr>
        <w:rPr>
          <w:lang w:val="en-AU"/>
        </w:rPr>
      </w:pPr>
      <w:r w:rsidRPr="00760CE9">
        <w:rPr>
          <w:szCs w:val="22"/>
          <w:lang w:val="en-AU"/>
        </w:rPr>
        <w:t xml:space="preserve">Managers </w:t>
      </w:r>
      <w:r w:rsidR="004D2B1D" w:rsidRPr="00760CE9">
        <w:rPr>
          <w:szCs w:val="22"/>
          <w:lang w:val="en-AU"/>
        </w:rPr>
        <w:t xml:space="preserve">also </w:t>
      </w:r>
      <w:r w:rsidRPr="00760CE9">
        <w:rPr>
          <w:szCs w:val="22"/>
          <w:lang w:val="en-AU"/>
        </w:rPr>
        <w:t>provided examples</w:t>
      </w:r>
      <w:r w:rsidR="007934A2" w:rsidRPr="00760CE9">
        <w:rPr>
          <w:szCs w:val="22"/>
          <w:lang w:val="en-AU"/>
        </w:rPr>
        <w:t xml:space="preserve">, from all regions, </w:t>
      </w:r>
      <w:r w:rsidR="00C840E7" w:rsidRPr="00760CE9">
        <w:rPr>
          <w:szCs w:val="22"/>
          <w:lang w:val="en-AU"/>
        </w:rPr>
        <w:t>of failed kit deliveries, deliveries to the wrong site, or poor logistics practice</w:t>
      </w:r>
      <w:r w:rsidR="00DD4975" w:rsidRPr="00760CE9">
        <w:rPr>
          <w:szCs w:val="22"/>
          <w:lang w:val="en-AU"/>
        </w:rPr>
        <w:t>s</w:t>
      </w:r>
      <w:r w:rsidR="00F53F6D" w:rsidRPr="00760CE9">
        <w:rPr>
          <w:szCs w:val="22"/>
          <w:lang w:val="en-AU"/>
        </w:rPr>
        <w:t>, such as breaking up consignments and delivering them piecemeal.</w:t>
      </w:r>
      <w:r w:rsidR="00332DC2" w:rsidRPr="00760CE9">
        <w:rPr>
          <w:szCs w:val="22"/>
          <w:lang w:val="en-AU"/>
        </w:rPr>
        <w:t xml:space="preserve"> </w:t>
      </w:r>
      <w:r w:rsidR="00AC58E9" w:rsidRPr="00760CE9">
        <w:rPr>
          <w:szCs w:val="22"/>
          <w:lang w:val="en-AU"/>
        </w:rPr>
        <w:t xml:space="preserve">A few </w:t>
      </w:r>
      <w:r w:rsidR="004D2B1D" w:rsidRPr="00760CE9">
        <w:rPr>
          <w:szCs w:val="22"/>
          <w:lang w:val="en-AU"/>
        </w:rPr>
        <w:t xml:space="preserve">HF staff interviews confirmed such reports </w:t>
      </w:r>
      <w:r w:rsidR="00AC58E9" w:rsidRPr="00760CE9">
        <w:rPr>
          <w:szCs w:val="22"/>
          <w:lang w:val="en-AU"/>
        </w:rPr>
        <w:t>(</w:t>
      </w:r>
      <w:r w:rsidR="004D2B1D" w:rsidRPr="00760CE9">
        <w:rPr>
          <w:szCs w:val="22"/>
          <w:lang w:val="en-AU"/>
        </w:rPr>
        <w:t>in on</w:t>
      </w:r>
      <w:r w:rsidR="009C693D" w:rsidRPr="00760CE9">
        <w:rPr>
          <w:szCs w:val="22"/>
          <w:lang w:val="en-AU"/>
        </w:rPr>
        <w:t>e</w:t>
      </w:r>
      <w:r w:rsidR="004D2B1D" w:rsidRPr="00760CE9">
        <w:rPr>
          <w:szCs w:val="22"/>
          <w:lang w:val="en-AU"/>
        </w:rPr>
        <w:t xml:space="preserve"> HC and a few APs</w:t>
      </w:r>
      <w:r w:rsidR="00AC58E9" w:rsidRPr="00760CE9">
        <w:rPr>
          <w:szCs w:val="22"/>
          <w:lang w:val="en-AU"/>
        </w:rPr>
        <w:t>)</w:t>
      </w:r>
      <w:r w:rsidR="004D2B1D" w:rsidRPr="00760CE9">
        <w:rPr>
          <w:rStyle w:val="FootnoteReference"/>
          <w:szCs w:val="22"/>
          <w:lang w:val="en-AU"/>
        </w:rPr>
        <w:footnoteReference w:id="22"/>
      </w:r>
      <w:r w:rsidR="004D2B1D" w:rsidRPr="00760CE9">
        <w:rPr>
          <w:szCs w:val="22"/>
          <w:lang w:val="en-AU"/>
        </w:rPr>
        <w:t xml:space="preserve">, noting instances where they had not received kits, either through not being listed </w:t>
      </w:r>
      <w:r w:rsidR="009C693D" w:rsidRPr="00760CE9">
        <w:rPr>
          <w:szCs w:val="22"/>
          <w:lang w:val="en-AU"/>
        </w:rPr>
        <w:t xml:space="preserve">appropriately, or through transport failures. </w:t>
      </w:r>
      <w:r w:rsidR="00ED1188" w:rsidRPr="00760CE9">
        <w:rPr>
          <w:lang w:val="en-AU"/>
        </w:rPr>
        <w:t>Increasing monitoring and security were suggested</w:t>
      </w:r>
      <w:r w:rsidR="00ED1188" w:rsidRPr="002005B5">
        <w:rPr>
          <w:lang w:val="en-AU"/>
        </w:rPr>
        <w:t xml:space="preserve"> by some health workers as a way to reduce the incomplete and failed deliveries. </w:t>
      </w:r>
      <w:r w:rsidR="009C693D">
        <w:rPr>
          <w:lang w:val="en-AU"/>
        </w:rPr>
        <w:t>Other suggestions for improvement from HF staff included more frequent delivery.</w:t>
      </w:r>
    </w:p>
    <w:p w14:paraId="2E0081D9" w14:textId="77777777" w:rsidR="00741292" w:rsidRDefault="00741292" w:rsidP="00ED1188">
      <w:pPr>
        <w:rPr>
          <w:lang w:val="en-AU"/>
        </w:rPr>
      </w:pPr>
    </w:p>
    <w:p w14:paraId="74933190" w14:textId="5DC6AF9C" w:rsidR="006C6B20" w:rsidRPr="00E27200" w:rsidRDefault="006C6B20" w:rsidP="006C6B20">
      <w:pPr>
        <w:rPr>
          <w:lang w:val="en-AU"/>
        </w:rPr>
      </w:pPr>
      <w:r w:rsidRPr="00760CE9">
        <w:rPr>
          <w:lang w:val="en-AU"/>
        </w:rPr>
        <w:lastRenderedPageBreak/>
        <w:t>Concerns about the storage and handling of the kits was also raised by some staff and managers (see Annex 11.4) as an issue, citing reports of boxes delivered wet or damaged to a HF.</w:t>
      </w:r>
      <w:r w:rsidR="00F53F6D" w:rsidRPr="00760CE9">
        <w:rPr>
          <w:lang w:val="en-AU"/>
        </w:rPr>
        <w:t xml:space="preserve"> One example provided was </w:t>
      </w:r>
      <w:r w:rsidR="00F53F6D" w:rsidRPr="00760CE9">
        <w:rPr>
          <w:szCs w:val="22"/>
          <w:lang w:val="en-AU"/>
        </w:rPr>
        <w:t xml:space="preserve">a consignment of round three kits in </w:t>
      </w:r>
      <w:proofErr w:type="spellStart"/>
      <w:r w:rsidR="00F53F6D" w:rsidRPr="00760CE9">
        <w:rPr>
          <w:szCs w:val="22"/>
          <w:lang w:val="en-AU"/>
        </w:rPr>
        <w:t>Kiunga</w:t>
      </w:r>
      <w:proofErr w:type="spellEnd"/>
      <w:r w:rsidR="00F53F6D" w:rsidRPr="00760CE9">
        <w:rPr>
          <w:szCs w:val="22"/>
          <w:lang w:val="en-AU"/>
        </w:rPr>
        <w:t xml:space="preserve"> (Western Province), reported to be stored outside the post office, questioning Post PNG’s storage capacity in that site.</w:t>
      </w:r>
      <w:r w:rsidRPr="00760CE9">
        <w:rPr>
          <w:lang w:val="en-AU"/>
        </w:rPr>
        <w:t xml:space="preserve"> It is</w:t>
      </w:r>
      <w:r w:rsidRPr="001C70FD">
        <w:rPr>
          <w:lang w:val="en-AU"/>
        </w:rPr>
        <w:t xml:space="preserve"> unclear whether </w:t>
      </w:r>
      <w:r w:rsidR="00F53F6D">
        <w:rPr>
          <w:lang w:val="en-AU"/>
        </w:rPr>
        <w:t>all reports of this nature relate</w:t>
      </w:r>
      <w:r w:rsidRPr="001C70FD">
        <w:rPr>
          <w:lang w:val="en-AU"/>
        </w:rPr>
        <w:t xml:space="preserve"> to ‘pull’ or ‘push’ systems or both. Examination of the </w:t>
      </w:r>
      <w:r w:rsidR="00F53F6D">
        <w:rPr>
          <w:lang w:val="en-AU"/>
        </w:rPr>
        <w:t xml:space="preserve">100% kits </w:t>
      </w:r>
      <w:r w:rsidRPr="001C70FD">
        <w:rPr>
          <w:lang w:val="en-AU"/>
        </w:rPr>
        <w:t xml:space="preserve">contractor delivery database suggests over 98% </w:t>
      </w:r>
      <w:r>
        <w:rPr>
          <w:lang w:val="en-AU"/>
        </w:rPr>
        <w:t xml:space="preserve">of boxes </w:t>
      </w:r>
      <w:r w:rsidRPr="001C70FD">
        <w:rPr>
          <w:lang w:val="en-AU"/>
        </w:rPr>
        <w:t>were delivered in good condition (whether to the designated HF or in case of a ‘Failed’ delivery to alternative site), from among approximately 70,000 boxes for which records were</w:t>
      </w:r>
      <w:r w:rsidRPr="001F5AC7">
        <w:rPr>
          <w:lang w:val="en-AU"/>
        </w:rPr>
        <w:t xml:space="preserve"> available</w:t>
      </w:r>
      <w:r>
        <w:rPr>
          <w:lang w:val="en-AU"/>
        </w:rPr>
        <w:t xml:space="preserve"> in the first two rounds</w:t>
      </w:r>
      <w:r w:rsidRPr="001F5AC7">
        <w:rPr>
          <w:lang w:val="en-AU"/>
        </w:rPr>
        <w:t>.</w:t>
      </w:r>
      <w:r>
        <w:rPr>
          <w:lang w:val="en-AU"/>
        </w:rPr>
        <w:t xml:space="preserve"> </w:t>
      </w:r>
    </w:p>
    <w:p w14:paraId="7F0EC471" w14:textId="77777777" w:rsidR="006C6B20" w:rsidRDefault="006C6B20" w:rsidP="00ED1188">
      <w:pPr>
        <w:rPr>
          <w:lang w:val="en-AU"/>
        </w:rPr>
      </w:pPr>
    </w:p>
    <w:p w14:paraId="64F867F1" w14:textId="1230B8F8" w:rsidR="002005B5" w:rsidRDefault="009C693D" w:rsidP="00ED1188">
      <w:pPr>
        <w:rPr>
          <w:lang w:val="en-AU"/>
        </w:rPr>
      </w:pPr>
      <w:r>
        <w:rPr>
          <w:lang w:val="en-AU"/>
        </w:rPr>
        <w:t xml:space="preserve">As noted above, </w:t>
      </w:r>
      <w:r w:rsidR="002005B5">
        <w:rPr>
          <w:lang w:val="en-AU"/>
        </w:rPr>
        <w:t xml:space="preserve">contractor records do document ‘Failed’ deliveries, which </w:t>
      </w:r>
      <w:r>
        <w:rPr>
          <w:lang w:val="en-AU"/>
        </w:rPr>
        <w:t>resulted in redirection of the delivery to another facility,</w:t>
      </w:r>
      <w:r w:rsidR="003856CA">
        <w:rPr>
          <w:lang w:val="en-AU"/>
        </w:rPr>
        <w:t xml:space="preserve"> often the supervising HC of an</w:t>
      </w:r>
      <w:r>
        <w:rPr>
          <w:lang w:val="en-AU"/>
        </w:rPr>
        <w:t xml:space="preserve"> AP</w:t>
      </w:r>
      <w:r w:rsidR="002005B5">
        <w:rPr>
          <w:lang w:val="en-AU"/>
        </w:rPr>
        <w:t>, or a medical store</w:t>
      </w:r>
      <w:r>
        <w:rPr>
          <w:lang w:val="en-AU"/>
        </w:rPr>
        <w:t>. Con</w:t>
      </w:r>
      <w:r w:rsidR="002005B5">
        <w:rPr>
          <w:lang w:val="en-AU"/>
        </w:rPr>
        <w:t>tractor records in these instanc</w:t>
      </w:r>
      <w:r>
        <w:rPr>
          <w:lang w:val="en-AU"/>
        </w:rPr>
        <w:t>es</w:t>
      </w:r>
      <w:r w:rsidR="002005B5">
        <w:rPr>
          <w:lang w:val="en-AU"/>
        </w:rPr>
        <w:t xml:space="preserve"> note intact delivery to the alternate site and often include photographic evidence of the obstacles preventing delivery, although some informants questioned the authenticity of some photographs.</w:t>
      </w:r>
      <w:r>
        <w:rPr>
          <w:lang w:val="en-AU"/>
        </w:rPr>
        <w:t xml:space="preserve"> </w:t>
      </w:r>
      <w:r w:rsidR="002005B5">
        <w:rPr>
          <w:lang w:val="en-AU"/>
        </w:rPr>
        <w:t xml:space="preserve">In later rounds </w:t>
      </w:r>
      <w:r w:rsidR="00345301">
        <w:rPr>
          <w:lang w:val="en-AU"/>
        </w:rPr>
        <w:t>in</w:t>
      </w:r>
      <w:r w:rsidR="002005B5">
        <w:rPr>
          <w:lang w:val="en-AU"/>
        </w:rPr>
        <w:t xml:space="preserve"> 2013, some kit components (intravenous fluids and category C medicines) were intentionally held back from more peripheral facilities, based on monitoring </w:t>
      </w:r>
      <w:r w:rsidR="00345301">
        <w:rPr>
          <w:lang w:val="en-AU"/>
        </w:rPr>
        <w:t>information</w:t>
      </w:r>
      <w:r w:rsidR="002005B5">
        <w:rPr>
          <w:lang w:val="en-AU"/>
        </w:rPr>
        <w:t xml:space="preserve">. </w:t>
      </w:r>
      <w:r w:rsidR="006C6B20">
        <w:rPr>
          <w:lang w:val="en-AU"/>
        </w:rPr>
        <w:t>The</w:t>
      </w:r>
      <w:r>
        <w:rPr>
          <w:lang w:val="en-AU"/>
        </w:rPr>
        <w:t>s</w:t>
      </w:r>
      <w:r w:rsidR="006C6B20">
        <w:rPr>
          <w:lang w:val="en-AU"/>
        </w:rPr>
        <w:t>e</w:t>
      </w:r>
      <w:r w:rsidR="002005B5">
        <w:rPr>
          <w:lang w:val="en-AU"/>
        </w:rPr>
        <w:t xml:space="preserve"> aspects of the program</w:t>
      </w:r>
      <w:r>
        <w:rPr>
          <w:lang w:val="en-AU"/>
        </w:rPr>
        <w:t xml:space="preserve"> could potentially lead to confusion </w:t>
      </w:r>
      <w:r w:rsidR="006C6B20">
        <w:rPr>
          <w:lang w:val="en-AU"/>
        </w:rPr>
        <w:t xml:space="preserve">among </w:t>
      </w:r>
      <w:r w:rsidR="006C6B20" w:rsidRPr="00760CE9">
        <w:rPr>
          <w:lang w:val="en-AU"/>
        </w:rPr>
        <w:t>informants. T</w:t>
      </w:r>
      <w:r w:rsidR="002005B5" w:rsidRPr="00760CE9">
        <w:rPr>
          <w:lang w:val="en-AU"/>
        </w:rPr>
        <w:t xml:space="preserve">he evaluation team’s </w:t>
      </w:r>
      <w:r w:rsidR="006C6B20" w:rsidRPr="00760CE9">
        <w:rPr>
          <w:lang w:val="en-AU"/>
        </w:rPr>
        <w:t xml:space="preserve">overall </w:t>
      </w:r>
      <w:r w:rsidR="002005B5" w:rsidRPr="00760CE9">
        <w:rPr>
          <w:lang w:val="en-AU"/>
        </w:rPr>
        <w:t xml:space="preserve">conclusion is that while there </w:t>
      </w:r>
      <w:r w:rsidR="00760CE9" w:rsidRPr="00760CE9">
        <w:rPr>
          <w:lang w:val="en-AU"/>
        </w:rPr>
        <w:t>were</w:t>
      </w:r>
      <w:r w:rsidR="00760CE9">
        <w:rPr>
          <w:lang w:val="en-AU"/>
        </w:rPr>
        <w:t xml:space="preserve"> some aspects that could be improved</w:t>
      </w:r>
      <w:r w:rsidR="002005B5">
        <w:rPr>
          <w:lang w:val="en-AU"/>
        </w:rPr>
        <w:t>,</w:t>
      </w:r>
      <w:r w:rsidR="006C6B20">
        <w:rPr>
          <w:lang w:val="en-AU"/>
        </w:rPr>
        <w:t xml:space="preserve"> these </w:t>
      </w:r>
      <w:r w:rsidR="00760CE9">
        <w:rPr>
          <w:lang w:val="en-AU"/>
        </w:rPr>
        <w:t xml:space="preserve">issues were </w:t>
      </w:r>
      <w:r w:rsidR="006C6B20">
        <w:rPr>
          <w:lang w:val="en-AU"/>
        </w:rPr>
        <w:t>uncommon in the 100% kits distribution.</w:t>
      </w:r>
    </w:p>
    <w:p w14:paraId="3FEC7736" w14:textId="77777777" w:rsidR="006C6B20" w:rsidRDefault="006C6B20" w:rsidP="00E16C77">
      <w:pPr>
        <w:rPr>
          <w:highlight w:val="yellow"/>
          <w:lang w:val="en-AU"/>
        </w:rPr>
      </w:pPr>
    </w:p>
    <w:p w14:paraId="543F9A5A" w14:textId="1B52DBD0" w:rsidR="00BC5918" w:rsidRPr="00E27200" w:rsidRDefault="00655E56" w:rsidP="00E16C77">
      <w:pPr>
        <w:rPr>
          <w:lang w:val="en-AU"/>
        </w:rPr>
      </w:pPr>
      <w:r w:rsidRPr="00E27200">
        <w:rPr>
          <w:lang w:val="en-AU"/>
        </w:rPr>
        <w:t>Although</w:t>
      </w:r>
      <w:r w:rsidR="00544ADE" w:rsidRPr="00E27200">
        <w:rPr>
          <w:lang w:val="en-AU"/>
        </w:rPr>
        <w:t xml:space="preserve"> the kits</w:t>
      </w:r>
      <w:r w:rsidR="001A0B36" w:rsidRPr="00E27200">
        <w:rPr>
          <w:lang w:val="en-AU"/>
        </w:rPr>
        <w:t>’</w:t>
      </w:r>
      <w:r w:rsidR="00544ADE" w:rsidRPr="00E27200">
        <w:rPr>
          <w:lang w:val="en-AU"/>
        </w:rPr>
        <w:t xml:space="preserve"> purpose </w:t>
      </w:r>
      <w:r w:rsidR="001A0B36" w:rsidRPr="00E27200">
        <w:rPr>
          <w:lang w:val="en-AU"/>
        </w:rPr>
        <w:t>is</w:t>
      </w:r>
      <w:r w:rsidR="00544ADE" w:rsidRPr="00E27200">
        <w:rPr>
          <w:lang w:val="en-AU"/>
        </w:rPr>
        <w:t xml:space="preserve"> to supplement the </w:t>
      </w:r>
      <w:r w:rsidR="001A0B36" w:rsidRPr="00E27200">
        <w:rPr>
          <w:lang w:val="en-AU"/>
        </w:rPr>
        <w:t>‘</w:t>
      </w:r>
      <w:r w:rsidR="00544ADE" w:rsidRPr="00E27200">
        <w:rPr>
          <w:lang w:val="en-AU"/>
        </w:rPr>
        <w:t>pull</w:t>
      </w:r>
      <w:r w:rsidR="001A0B36" w:rsidRPr="00E27200">
        <w:rPr>
          <w:lang w:val="en-AU"/>
        </w:rPr>
        <w:t>’</w:t>
      </w:r>
      <w:r w:rsidR="00544ADE" w:rsidRPr="00E27200">
        <w:rPr>
          <w:lang w:val="en-AU"/>
        </w:rPr>
        <w:t xml:space="preserve"> system, they </w:t>
      </w:r>
      <w:r w:rsidR="001A0B36" w:rsidRPr="00E27200">
        <w:rPr>
          <w:lang w:val="en-AU"/>
        </w:rPr>
        <w:t>often were reported to serve</w:t>
      </w:r>
      <w:r w:rsidR="00544ADE" w:rsidRPr="00E27200">
        <w:rPr>
          <w:lang w:val="en-AU"/>
        </w:rPr>
        <w:t xml:space="preserve"> as the primary supply source, </w:t>
      </w:r>
      <w:r w:rsidR="00345301">
        <w:rPr>
          <w:lang w:val="en-AU"/>
        </w:rPr>
        <w:t xml:space="preserve">and </w:t>
      </w:r>
      <w:r w:rsidR="00544ADE" w:rsidRPr="00E27200">
        <w:rPr>
          <w:lang w:val="en-AU"/>
        </w:rPr>
        <w:t xml:space="preserve">that without them, many facilities would not have had </w:t>
      </w:r>
      <w:r w:rsidR="001A0B36" w:rsidRPr="00E27200">
        <w:rPr>
          <w:lang w:val="en-AU"/>
        </w:rPr>
        <w:t>medicines</w:t>
      </w:r>
      <w:r w:rsidR="00544ADE" w:rsidRPr="00E27200">
        <w:rPr>
          <w:lang w:val="en-AU"/>
        </w:rPr>
        <w:t xml:space="preserve">. </w:t>
      </w:r>
      <w:r w:rsidR="001A0B36" w:rsidRPr="00E27200">
        <w:rPr>
          <w:lang w:val="en-AU"/>
        </w:rPr>
        <w:t xml:space="preserve">As </w:t>
      </w:r>
      <w:r w:rsidR="00DD4975">
        <w:rPr>
          <w:lang w:val="en-AU"/>
        </w:rPr>
        <w:t>described</w:t>
      </w:r>
      <w:r w:rsidR="00DD4975" w:rsidRPr="00E27200">
        <w:rPr>
          <w:lang w:val="en-AU"/>
        </w:rPr>
        <w:t xml:space="preserve"> </w:t>
      </w:r>
      <w:r w:rsidR="001A0B36" w:rsidRPr="00E27200">
        <w:rPr>
          <w:lang w:val="en-AU"/>
        </w:rPr>
        <w:t>in Section</w:t>
      </w:r>
      <w:r w:rsidR="00DD4975">
        <w:rPr>
          <w:lang w:val="en-AU"/>
        </w:rPr>
        <w:t>s</w:t>
      </w:r>
      <w:r w:rsidR="001A0B36" w:rsidRPr="00E27200">
        <w:rPr>
          <w:lang w:val="en-AU"/>
        </w:rPr>
        <w:t xml:space="preserve"> 5</w:t>
      </w:r>
      <w:r w:rsidR="00DD4975">
        <w:rPr>
          <w:lang w:val="en-AU"/>
        </w:rPr>
        <w:t xml:space="preserve"> and 8</w:t>
      </w:r>
      <w:r w:rsidR="001A0B36" w:rsidRPr="00E27200">
        <w:rPr>
          <w:lang w:val="en-AU"/>
        </w:rPr>
        <w:t>, the distribution of 100% kits</w:t>
      </w:r>
      <w:r w:rsidR="00BC5918" w:rsidRPr="00E27200">
        <w:rPr>
          <w:lang w:val="en-AU"/>
        </w:rPr>
        <w:t xml:space="preserve"> did have greater penetration than the ‘pull’ system, however for 2014 there are clear issues to address in communication and coordination with provincial and district staff, continued monitoring of contractor performance, and the seeking of synergy with the ‘pull’ system so that it can be strengthened as </w:t>
      </w:r>
      <w:r w:rsidR="00F271D2">
        <w:rPr>
          <w:lang w:val="en-AU"/>
        </w:rPr>
        <w:t>‘push’</w:t>
      </w:r>
      <w:r w:rsidR="00F271D2" w:rsidRPr="00E27200">
        <w:rPr>
          <w:lang w:val="en-AU"/>
        </w:rPr>
        <w:t xml:space="preserve"> </w:t>
      </w:r>
      <w:r w:rsidR="00BC5918" w:rsidRPr="00E27200">
        <w:rPr>
          <w:lang w:val="en-AU"/>
        </w:rPr>
        <w:t>program</w:t>
      </w:r>
      <w:r w:rsidR="00F271D2">
        <w:rPr>
          <w:lang w:val="en-AU"/>
        </w:rPr>
        <w:t>s</w:t>
      </w:r>
      <w:r w:rsidR="00BC5918" w:rsidRPr="00E27200">
        <w:rPr>
          <w:lang w:val="en-AU"/>
        </w:rPr>
        <w:t xml:space="preserve"> continue.</w:t>
      </w:r>
    </w:p>
    <w:p w14:paraId="27114ED5" w14:textId="77777777" w:rsidR="00544ADE" w:rsidRPr="00E27200" w:rsidRDefault="00544ADE" w:rsidP="00E16C77">
      <w:pPr>
        <w:rPr>
          <w:szCs w:val="22"/>
          <w:lang w:val="en-AU"/>
        </w:rPr>
      </w:pPr>
    </w:p>
    <w:p w14:paraId="5E09F694" w14:textId="77777777" w:rsidR="0090131E" w:rsidRPr="00E27200" w:rsidRDefault="00864451" w:rsidP="00AA6106">
      <w:pPr>
        <w:pStyle w:val="Heading3"/>
      </w:pPr>
      <w:r w:rsidRPr="00E27200">
        <w:t>Distribution of supplies through other programs</w:t>
      </w:r>
    </w:p>
    <w:p w14:paraId="3F456442" w14:textId="77777777" w:rsidR="00BC5918" w:rsidRPr="00E27200" w:rsidRDefault="00BC5918"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Although not the primary focus of this evaluation, the supply chain for other ‘vertical’ programs was reviewed.  These include malaria</w:t>
      </w:r>
      <w:r w:rsidR="007560D8" w:rsidRPr="00E27200">
        <w:rPr>
          <w:rFonts w:asciiTheme="minorHAnsi" w:hAnsiTheme="minorHAnsi" w:cs="Arial"/>
          <w:color w:val="000000"/>
          <w:szCs w:val="19"/>
          <w:lang w:val="en-AU"/>
        </w:rPr>
        <w:t xml:space="preserve"> program supplies, that operates a ‘push’ system similar to the kits, as well as supplies for HIV, TB which are integrated to varying degrees within the ‘pull’ system, and vaccines, which operate separately again. Some reproductive health supplies are separately procured by UNFPA but immediately enter the ‘pull’ system and are discussed at various points elsewhere in this report.</w:t>
      </w:r>
    </w:p>
    <w:p w14:paraId="6423FF4E" w14:textId="77777777" w:rsidR="007560D8" w:rsidRPr="00E27200" w:rsidRDefault="007560D8"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5406508A" w14:textId="14FE58EA"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color w:val="000000"/>
          <w:szCs w:val="19"/>
          <w:lang w:val="en-AU"/>
        </w:rPr>
      </w:pPr>
      <w:r w:rsidRPr="00E27200">
        <w:rPr>
          <w:rFonts w:asciiTheme="minorHAnsi" w:hAnsiTheme="minorHAnsi" w:cs="Arial"/>
          <w:b/>
          <w:color w:val="000000"/>
          <w:szCs w:val="19"/>
          <w:lang w:val="en-AU"/>
        </w:rPr>
        <w:t xml:space="preserve">Malaria </w:t>
      </w:r>
      <w:r w:rsidR="006676BC" w:rsidRPr="00E27200">
        <w:rPr>
          <w:rFonts w:asciiTheme="minorHAnsi" w:hAnsiTheme="minorHAnsi" w:cs="Arial"/>
          <w:b/>
          <w:color w:val="000000"/>
          <w:szCs w:val="19"/>
          <w:lang w:val="en-AU"/>
        </w:rPr>
        <w:t xml:space="preserve">supply chain </w:t>
      </w:r>
      <w:r w:rsidRPr="00E27200">
        <w:rPr>
          <w:rFonts w:asciiTheme="minorHAnsi" w:hAnsiTheme="minorHAnsi" w:cs="Arial"/>
          <w:b/>
          <w:color w:val="000000"/>
          <w:szCs w:val="19"/>
          <w:lang w:val="en-AU"/>
        </w:rPr>
        <w:t>(</w:t>
      </w:r>
      <w:r w:rsidR="00831AAB">
        <w:rPr>
          <w:rFonts w:asciiTheme="minorHAnsi" w:hAnsiTheme="minorHAnsi" w:cs="Arial"/>
          <w:b/>
          <w:color w:val="000000"/>
          <w:szCs w:val="19"/>
          <w:lang w:val="en-AU"/>
        </w:rPr>
        <w:t>‘</w:t>
      </w:r>
      <w:r w:rsidRPr="00E27200">
        <w:rPr>
          <w:rFonts w:asciiTheme="minorHAnsi" w:hAnsiTheme="minorHAnsi" w:cs="Arial"/>
          <w:b/>
          <w:color w:val="000000"/>
          <w:szCs w:val="19"/>
          <w:lang w:val="en-AU"/>
        </w:rPr>
        <w:t>push</w:t>
      </w:r>
      <w:r w:rsidR="00831AAB">
        <w:rPr>
          <w:rFonts w:asciiTheme="minorHAnsi" w:hAnsiTheme="minorHAnsi" w:cs="Arial"/>
          <w:b/>
          <w:color w:val="000000"/>
          <w:szCs w:val="19"/>
          <w:lang w:val="en-AU"/>
        </w:rPr>
        <w:t>’</w:t>
      </w:r>
      <w:r w:rsidRPr="00E27200">
        <w:rPr>
          <w:rFonts w:asciiTheme="minorHAnsi" w:hAnsiTheme="minorHAnsi" w:cs="Arial"/>
          <w:b/>
          <w:color w:val="000000"/>
          <w:szCs w:val="19"/>
          <w:lang w:val="en-AU"/>
        </w:rPr>
        <w:t xml:space="preserve"> system)</w:t>
      </w:r>
    </w:p>
    <w:p w14:paraId="114CABFB"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456E7A99" w14:textId="08CBF925" w:rsidR="00AA6106" w:rsidRPr="00E27200" w:rsidRDefault="007560D8"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The malaria program</w:t>
      </w:r>
      <w:r w:rsidR="00AA6106" w:rsidRPr="00E27200">
        <w:rPr>
          <w:rFonts w:asciiTheme="minorHAnsi" w:hAnsiTheme="minorHAnsi" w:cs="Arial"/>
          <w:color w:val="000000"/>
          <w:szCs w:val="19"/>
          <w:lang w:val="en-AU"/>
        </w:rPr>
        <w:t xml:space="preserve"> receives funding from Global Fund and</w:t>
      </w:r>
      <w:r w:rsidRPr="00E27200">
        <w:rPr>
          <w:rFonts w:asciiTheme="minorHAnsi" w:hAnsiTheme="minorHAnsi" w:cs="Arial"/>
          <w:color w:val="000000"/>
          <w:szCs w:val="19"/>
          <w:lang w:val="en-AU"/>
        </w:rPr>
        <w:t xml:space="preserve"> most</w:t>
      </w:r>
      <w:r w:rsidR="00AA6106" w:rsidRPr="00E27200">
        <w:rPr>
          <w:rFonts w:asciiTheme="minorHAnsi" w:hAnsiTheme="minorHAnsi" w:cs="Arial"/>
          <w:color w:val="000000"/>
          <w:szCs w:val="19"/>
          <w:lang w:val="en-AU"/>
        </w:rPr>
        <w:t xml:space="preserve"> ACTs are </w:t>
      </w:r>
      <w:r w:rsidRPr="00E27200">
        <w:rPr>
          <w:rFonts w:asciiTheme="minorHAnsi" w:hAnsiTheme="minorHAnsi" w:cs="Arial"/>
          <w:color w:val="000000"/>
          <w:szCs w:val="19"/>
          <w:lang w:val="en-AU"/>
        </w:rPr>
        <w:t xml:space="preserve">procured through their </w:t>
      </w:r>
      <w:r w:rsidR="00AA6106" w:rsidRPr="00E27200">
        <w:rPr>
          <w:rFonts w:asciiTheme="minorHAnsi" w:hAnsiTheme="minorHAnsi" w:cs="Arial"/>
          <w:color w:val="000000"/>
          <w:szCs w:val="19"/>
          <w:lang w:val="en-AU"/>
        </w:rPr>
        <w:t>voluntary p</w:t>
      </w:r>
      <w:r w:rsidRPr="00E27200">
        <w:rPr>
          <w:rFonts w:asciiTheme="minorHAnsi" w:hAnsiTheme="minorHAnsi" w:cs="Arial"/>
          <w:color w:val="000000"/>
          <w:szCs w:val="19"/>
          <w:lang w:val="en-AU"/>
        </w:rPr>
        <w:t xml:space="preserve">ool procurement (VPP) mechanism whereby a </w:t>
      </w:r>
      <w:r w:rsidR="00AA6106" w:rsidRPr="00E27200">
        <w:rPr>
          <w:rFonts w:asciiTheme="minorHAnsi" w:hAnsiTheme="minorHAnsi" w:cs="Arial"/>
          <w:color w:val="000000"/>
          <w:szCs w:val="19"/>
          <w:lang w:val="en-AU"/>
        </w:rPr>
        <w:t xml:space="preserve">nominated procurement agent procures in the international open market and delivers </w:t>
      </w:r>
      <w:r w:rsidRPr="00E27200">
        <w:rPr>
          <w:rFonts w:asciiTheme="minorHAnsi" w:hAnsiTheme="minorHAnsi" w:cs="Arial"/>
          <w:color w:val="000000"/>
          <w:szCs w:val="19"/>
          <w:lang w:val="en-AU"/>
        </w:rPr>
        <w:t>consignments to AMS</w:t>
      </w:r>
      <w:r w:rsidR="005C07B4" w:rsidRPr="00E27200">
        <w:rPr>
          <w:rFonts w:asciiTheme="minorHAnsi" w:hAnsiTheme="minorHAnsi" w:cs="Arial"/>
          <w:color w:val="000000"/>
          <w:szCs w:val="19"/>
          <w:lang w:val="en-AU"/>
        </w:rPr>
        <w:t>s</w:t>
      </w:r>
      <w:r w:rsidR="00AA6106" w:rsidRPr="00E27200">
        <w:rPr>
          <w:rFonts w:asciiTheme="minorHAnsi" w:hAnsiTheme="minorHAnsi" w:cs="Arial"/>
          <w:color w:val="000000"/>
          <w:szCs w:val="19"/>
          <w:lang w:val="en-AU"/>
        </w:rPr>
        <w:t>.  These are supplemented with local procurement through third party suppliers</w:t>
      </w:r>
      <w:r w:rsidRPr="00E27200">
        <w:rPr>
          <w:rFonts w:asciiTheme="minorHAnsi" w:hAnsiTheme="minorHAnsi" w:cs="Arial"/>
          <w:color w:val="000000"/>
          <w:szCs w:val="19"/>
          <w:lang w:val="en-AU"/>
        </w:rPr>
        <w:t xml:space="preserve">, however serious </w:t>
      </w:r>
      <w:r w:rsidR="00AA6106" w:rsidRPr="00E27200">
        <w:rPr>
          <w:rFonts w:asciiTheme="minorHAnsi" w:hAnsiTheme="minorHAnsi" w:cs="Arial"/>
          <w:color w:val="000000"/>
          <w:szCs w:val="19"/>
          <w:lang w:val="en-AU"/>
        </w:rPr>
        <w:t xml:space="preserve">quality </w:t>
      </w:r>
      <w:r w:rsidRPr="00E27200">
        <w:rPr>
          <w:rFonts w:asciiTheme="minorHAnsi" w:hAnsiTheme="minorHAnsi" w:cs="Arial"/>
          <w:color w:val="000000"/>
          <w:szCs w:val="19"/>
          <w:lang w:val="en-AU"/>
        </w:rPr>
        <w:t xml:space="preserve">problems with storage and dispatch were noted </w:t>
      </w:r>
      <w:r w:rsidR="005C07B4" w:rsidRPr="00E27200">
        <w:rPr>
          <w:rFonts w:asciiTheme="minorHAnsi" w:hAnsiTheme="minorHAnsi" w:cs="Arial"/>
          <w:color w:val="000000"/>
          <w:szCs w:val="19"/>
          <w:lang w:val="en-AU"/>
        </w:rPr>
        <w:t xml:space="preserve">in this process </w:t>
      </w:r>
      <w:r w:rsidRPr="00E27200">
        <w:rPr>
          <w:rFonts w:asciiTheme="minorHAnsi" w:hAnsiTheme="minorHAnsi" w:cs="Arial"/>
          <w:color w:val="000000"/>
          <w:szCs w:val="19"/>
          <w:lang w:val="en-AU"/>
        </w:rPr>
        <w:t xml:space="preserve">by </w:t>
      </w:r>
      <w:r w:rsidR="005C07B4" w:rsidRPr="00E27200">
        <w:rPr>
          <w:rFonts w:asciiTheme="minorHAnsi" w:hAnsiTheme="minorHAnsi" w:cs="Arial"/>
          <w:color w:val="000000"/>
          <w:szCs w:val="19"/>
          <w:lang w:val="en-AU"/>
        </w:rPr>
        <w:t>a number of</w:t>
      </w:r>
      <w:r w:rsidRPr="00E27200">
        <w:rPr>
          <w:rFonts w:asciiTheme="minorHAnsi" w:hAnsiTheme="minorHAnsi" w:cs="Arial"/>
          <w:color w:val="000000"/>
          <w:szCs w:val="19"/>
          <w:lang w:val="en-AU"/>
        </w:rPr>
        <w:t xml:space="preserve"> informants. </w:t>
      </w:r>
      <w:r w:rsidR="00CD60FB">
        <w:rPr>
          <w:rFonts w:asciiTheme="minorHAnsi" w:hAnsiTheme="minorHAnsi" w:cs="Arial"/>
          <w:color w:val="000000"/>
          <w:szCs w:val="19"/>
          <w:lang w:val="en-AU"/>
        </w:rPr>
        <w:t>From the AMS</w:t>
      </w:r>
      <w:r w:rsidR="00AA6106" w:rsidRPr="00E27200">
        <w:rPr>
          <w:rFonts w:asciiTheme="minorHAnsi" w:hAnsiTheme="minorHAnsi" w:cs="Arial"/>
          <w:color w:val="000000"/>
          <w:szCs w:val="19"/>
          <w:lang w:val="en-AU"/>
        </w:rPr>
        <w:t>, stock move</w:t>
      </w:r>
      <w:r w:rsidR="00CD60FB">
        <w:rPr>
          <w:rFonts w:asciiTheme="minorHAnsi" w:hAnsiTheme="minorHAnsi" w:cs="Arial"/>
          <w:color w:val="000000"/>
          <w:szCs w:val="19"/>
          <w:lang w:val="en-AU"/>
        </w:rPr>
        <w:t>s</w:t>
      </w:r>
      <w:r w:rsidR="00AA6106" w:rsidRPr="00E27200">
        <w:rPr>
          <w:rFonts w:asciiTheme="minorHAnsi" w:hAnsiTheme="minorHAnsi" w:cs="Arial"/>
          <w:color w:val="000000"/>
          <w:szCs w:val="19"/>
          <w:lang w:val="en-AU"/>
        </w:rPr>
        <w:t xml:space="preserve"> to the provinces (transit stores and </w:t>
      </w:r>
      <w:r w:rsidR="005C07B4" w:rsidRPr="00E27200">
        <w:rPr>
          <w:rFonts w:asciiTheme="minorHAnsi" w:hAnsiTheme="minorHAnsi" w:cs="Arial"/>
          <w:color w:val="000000"/>
          <w:szCs w:val="19"/>
          <w:lang w:val="en-AU"/>
        </w:rPr>
        <w:t xml:space="preserve">malaria program </w:t>
      </w:r>
      <w:r w:rsidR="00AA6106" w:rsidRPr="00E27200">
        <w:rPr>
          <w:rFonts w:asciiTheme="minorHAnsi" w:hAnsiTheme="minorHAnsi" w:cs="Arial"/>
          <w:color w:val="000000"/>
          <w:szCs w:val="19"/>
          <w:lang w:val="en-AU"/>
        </w:rPr>
        <w:t xml:space="preserve">provincial supervisor) who in turn </w:t>
      </w:r>
      <w:proofErr w:type="gramStart"/>
      <w:r w:rsidR="00AA6106" w:rsidRPr="00E27200">
        <w:rPr>
          <w:rFonts w:asciiTheme="minorHAnsi" w:hAnsiTheme="minorHAnsi" w:cs="Arial"/>
          <w:color w:val="000000"/>
          <w:szCs w:val="19"/>
          <w:lang w:val="en-AU"/>
        </w:rPr>
        <w:t>organizes</w:t>
      </w:r>
      <w:proofErr w:type="gramEnd"/>
      <w:r w:rsidR="00AA6106" w:rsidRPr="00E27200">
        <w:rPr>
          <w:rFonts w:asciiTheme="minorHAnsi" w:hAnsiTheme="minorHAnsi" w:cs="Arial"/>
          <w:color w:val="000000"/>
          <w:szCs w:val="19"/>
          <w:lang w:val="en-AU"/>
        </w:rPr>
        <w:t xml:space="preserve"> with facilities </w:t>
      </w:r>
      <w:r w:rsidR="005C07B4" w:rsidRPr="00E27200">
        <w:rPr>
          <w:rFonts w:asciiTheme="minorHAnsi" w:hAnsiTheme="minorHAnsi" w:cs="Arial"/>
          <w:color w:val="000000"/>
          <w:szCs w:val="19"/>
          <w:lang w:val="en-AU"/>
        </w:rPr>
        <w:t>for</w:t>
      </w:r>
      <w:r w:rsidR="00AA6106" w:rsidRPr="00E27200">
        <w:rPr>
          <w:rFonts w:asciiTheme="minorHAnsi" w:hAnsiTheme="minorHAnsi" w:cs="Arial"/>
          <w:color w:val="000000"/>
          <w:szCs w:val="19"/>
          <w:lang w:val="en-AU"/>
        </w:rPr>
        <w:t xml:space="preserve"> delivery or collection as </w:t>
      </w:r>
      <w:r w:rsidR="005C07B4" w:rsidRPr="00E27200">
        <w:rPr>
          <w:rFonts w:asciiTheme="minorHAnsi" w:hAnsiTheme="minorHAnsi" w:cs="Arial"/>
          <w:color w:val="000000"/>
          <w:szCs w:val="19"/>
          <w:lang w:val="en-AU"/>
        </w:rPr>
        <w:t xml:space="preserve">local </w:t>
      </w:r>
      <w:r w:rsidR="00AA6106" w:rsidRPr="00E27200">
        <w:rPr>
          <w:rFonts w:asciiTheme="minorHAnsi" w:hAnsiTheme="minorHAnsi" w:cs="Arial"/>
          <w:color w:val="000000"/>
          <w:szCs w:val="19"/>
          <w:lang w:val="en-AU"/>
        </w:rPr>
        <w:t>resources a</w:t>
      </w:r>
      <w:r w:rsidR="005C07B4" w:rsidRPr="00E27200">
        <w:rPr>
          <w:rFonts w:asciiTheme="minorHAnsi" w:hAnsiTheme="minorHAnsi" w:cs="Arial"/>
          <w:color w:val="000000"/>
          <w:szCs w:val="19"/>
          <w:lang w:val="en-AU"/>
        </w:rPr>
        <w:t xml:space="preserve">nd infrastructure may allow.   </w:t>
      </w:r>
      <w:r w:rsidR="00AA6106" w:rsidRPr="00E27200">
        <w:rPr>
          <w:rFonts w:asciiTheme="minorHAnsi" w:hAnsiTheme="minorHAnsi" w:cs="Arial"/>
          <w:color w:val="000000"/>
          <w:szCs w:val="19"/>
          <w:lang w:val="en-AU"/>
        </w:rPr>
        <w:t xml:space="preserve">Given the </w:t>
      </w:r>
      <w:r w:rsidR="005C07B4" w:rsidRPr="00E27200">
        <w:rPr>
          <w:rFonts w:asciiTheme="minorHAnsi" w:hAnsiTheme="minorHAnsi" w:cs="Arial"/>
          <w:color w:val="000000"/>
          <w:szCs w:val="19"/>
          <w:lang w:val="en-AU"/>
        </w:rPr>
        <w:t>paucity of the malaria program</w:t>
      </w:r>
      <w:r w:rsidR="00AA6106" w:rsidRPr="00E27200">
        <w:rPr>
          <w:rFonts w:asciiTheme="minorHAnsi" w:hAnsiTheme="minorHAnsi" w:cs="Arial"/>
          <w:color w:val="000000"/>
          <w:szCs w:val="19"/>
          <w:lang w:val="en-AU"/>
        </w:rPr>
        <w:t xml:space="preserve"> data, </w:t>
      </w:r>
      <w:r w:rsidR="005C07B4" w:rsidRPr="00E27200">
        <w:rPr>
          <w:rFonts w:asciiTheme="minorHAnsi" w:hAnsiTheme="minorHAnsi" w:cs="Arial"/>
          <w:color w:val="000000"/>
          <w:szCs w:val="19"/>
          <w:lang w:val="en-AU"/>
        </w:rPr>
        <w:t>this is effectively a ‘push’ system</w:t>
      </w:r>
      <w:r w:rsidR="00AA6106" w:rsidRPr="00E27200">
        <w:rPr>
          <w:rFonts w:asciiTheme="minorHAnsi" w:hAnsiTheme="minorHAnsi" w:cs="Arial"/>
          <w:color w:val="000000"/>
          <w:szCs w:val="19"/>
          <w:lang w:val="en-AU"/>
        </w:rPr>
        <w:t>.</w:t>
      </w:r>
      <w:r w:rsidR="005C07B4" w:rsidRPr="00E27200">
        <w:rPr>
          <w:rFonts w:asciiTheme="minorHAnsi" w:hAnsiTheme="minorHAnsi" w:cs="Arial"/>
          <w:color w:val="000000"/>
          <w:szCs w:val="19"/>
          <w:lang w:val="en-AU"/>
        </w:rPr>
        <w:t xml:space="preserve">  </w:t>
      </w:r>
      <w:r w:rsidR="00AA6106" w:rsidRPr="00E27200">
        <w:rPr>
          <w:rFonts w:asciiTheme="minorHAnsi" w:hAnsiTheme="minorHAnsi" w:cs="Arial"/>
          <w:color w:val="000000"/>
          <w:szCs w:val="19"/>
          <w:lang w:val="en-AU"/>
        </w:rPr>
        <w:t>Malaria medicines have been in short supply due to problems with the Global Fund appointed procurement agent not being able to deliver on time.  When medicines were finally received, large quantities were about to expire</w:t>
      </w:r>
      <w:r w:rsidR="005C07B4" w:rsidRPr="00E27200">
        <w:rPr>
          <w:rFonts w:asciiTheme="minorHAnsi" w:hAnsiTheme="minorHAnsi" w:cs="Arial"/>
          <w:color w:val="000000"/>
          <w:szCs w:val="19"/>
          <w:lang w:val="en-AU"/>
        </w:rPr>
        <w:t xml:space="preserve"> and there were numerous reports of expired or close to expired medicines in facilities verified by this evaluation</w:t>
      </w:r>
      <w:r w:rsidR="00AA6106" w:rsidRPr="00E27200">
        <w:rPr>
          <w:rFonts w:asciiTheme="minorHAnsi" w:hAnsiTheme="minorHAnsi" w:cs="Arial"/>
          <w:color w:val="000000"/>
          <w:szCs w:val="19"/>
          <w:lang w:val="en-AU"/>
        </w:rPr>
        <w:t>.</w:t>
      </w:r>
    </w:p>
    <w:p w14:paraId="3A62252F" w14:textId="77777777" w:rsidR="005C07B4" w:rsidRPr="00E27200" w:rsidRDefault="005C07B4"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4E622F81" w14:textId="79CC33A9" w:rsidR="005C07B4" w:rsidRPr="00E27200" w:rsidRDefault="005C07B4" w:rsidP="007F1B31">
      <w:pPr>
        <w:pStyle w:val="CommentText"/>
        <w:rPr>
          <w:lang w:val="en-AU"/>
        </w:rPr>
      </w:pPr>
      <w:r w:rsidRPr="00E27200">
        <w:rPr>
          <w:rFonts w:asciiTheme="minorHAnsi" w:hAnsiTheme="minorHAnsi" w:cs="Arial"/>
          <w:color w:val="000000"/>
          <w:szCs w:val="19"/>
          <w:lang w:val="en-AU"/>
        </w:rPr>
        <w:t xml:space="preserve">Forecasts so far have been informed by catchment and incidence historical data based on sentinel surveillance for the last </w:t>
      </w:r>
      <w:r w:rsidR="00FA4453">
        <w:rPr>
          <w:rFonts w:asciiTheme="minorHAnsi" w:hAnsiTheme="minorHAnsi" w:cs="Arial"/>
          <w:color w:val="000000"/>
          <w:szCs w:val="19"/>
          <w:lang w:val="en-AU"/>
        </w:rPr>
        <w:t>ten</w:t>
      </w:r>
      <w:r w:rsidRPr="00E27200">
        <w:rPr>
          <w:rFonts w:asciiTheme="minorHAnsi" w:hAnsiTheme="minorHAnsi" w:cs="Arial"/>
          <w:color w:val="000000"/>
          <w:szCs w:val="19"/>
          <w:lang w:val="en-AU"/>
        </w:rPr>
        <w:t xml:space="preserve"> years. The Global Fund grant supports four logisticians and four M&amp;E </w:t>
      </w:r>
      <w:r w:rsidRPr="00E27200">
        <w:rPr>
          <w:rFonts w:asciiTheme="minorHAnsi" w:hAnsiTheme="minorHAnsi" w:cs="Arial"/>
          <w:color w:val="000000"/>
          <w:szCs w:val="19"/>
          <w:lang w:val="en-AU"/>
        </w:rPr>
        <w:lastRenderedPageBreak/>
        <w:t>officers who monitor supplies in the system</w:t>
      </w:r>
      <w:r w:rsidR="009E1E58" w:rsidRPr="00E27200">
        <w:rPr>
          <w:rFonts w:asciiTheme="minorHAnsi" w:hAnsiTheme="minorHAnsi" w:cs="Arial"/>
          <w:color w:val="000000"/>
          <w:szCs w:val="19"/>
          <w:lang w:val="en-AU"/>
        </w:rPr>
        <w:t>.</w:t>
      </w:r>
      <w:r w:rsidRPr="00E27200">
        <w:rPr>
          <w:rFonts w:asciiTheme="minorHAnsi" w:hAnsiTheme="minorHAnsi" w:cs="Arial"/>
          <w:color w:val="000000"/>
          <w:szCs w:val="19"/>
          <w:lang w:val="en-AU"/>
        </w:rPr>
        <w:t xml:space="preserve"> </w:t>
      </w:r>
      <w:r w:rsidR="009E1E58" w:rsidRPr="00E27200">
        <w:rPr>
          <w:rFonts w:asciiTheme="minorHAnsi" w:hAnsiTheme="minorHAnsi" w:cs="Arial"/>
          <w:color w:val="000000"/>
          <w:szCs w:val="19"/>
          <w:lang w:val="en-AU"/>
        </w:rPr>
        <w:t>The grant’s Principal R</w:t>
      </w:r>
      <w:r w:rsidRPr="00E27200">
        <w:rPr>
          <w:rFonts w:asciiTheme="minorHAnsi" w:hAnsiTheme="minorHAnsi" w:cs="Arial"/>
          <w:color w:val="000000"/>
          <w:szCs w:val="19"/>
          <w:lang w:val="en-AU"/>
        </w:rPr>
        <w:t xml:space="preserve">ecipient </w:t>
      </w:r>
      <w:r w:rsidR="009E1E58" w:rsidRPr="00E27200">
        <w:rPr>
          <w:rFonts w:asciiTheme="minorHAnsi" w:hAnsiTheme="minorHAnsi" w:cs="Arial"/>
          <w:color w:val="000000"/>
          <w:szCs w:val="19"/>
          <w:lang w:val="en-AU"/>
        </w:rPr>
        <w:t>reports that there</w:t>
      </w:r>
      <w:r w:rsidRPr="00E27200">
        <w:rPr>
          <w:rFonts w:asciiTheme="minorHAnsi" w:hAnsiTheme="minorHAnsi" w:cs="Arial"/>
          <w:color w:val="000000"/>
          <w:szCs w:val="19"/>
          <w:lang w:val="en-AU"/>
        </w:rPr>
        <w:t xml:space="preserve"> is currently an excess of ACTS in the country. </w:t>
      </w:r>
      <w:r w:rsidR="00DC7AF4">
        <w:rPr>
          <w:rFonts w:asciiTheme="minorHAnsi" w:hAnsiTheme="minorHAnsi" w:cs="Arial"/>
          <w:color w:val="000000"/>
          <w:szCs w:val="19"/>
          <w:lang w:val="en-AU"/>
        </w:rPr>
        <w:t>Our survey (see Section 5) did confirm significant levels of expired  medicines</w:t>
      </w:r>
      <w:r w:rsidR="00DC7AF4">
        <w:rPr>
          <w:rFonts w:asciiTheme="minorHAnsi" w:hAnsiTheme="minorHAnsi"/>
          <w:lang w:val="en-AU"/>
        </w:rPr>
        <w:t>, with</w:t>
      </w:r>
      <w:r w:rsidRPr="00E27200">
        <w:rPr>
          <w:rFonts w:asciiTheme="minorHAnsi" w:hAnsiTheme="minorHAnsi"/>
          <w:lang w:val="en-AU"/>
        </w:rPr>
        <w:t xml:space="preserve"> 25% of HFs recording some expired stock (18% </w:t>
      </w:r>
      <w:proofErr w:type="spellStart"/>
      <w:r w:rsidRPr="00E27200">
        <w:rPr>
          <w:rFonts w:asciiTheme="minorHAnsi" w:hAnsiTheme="minorHAnsi"/>
          <w:lang w:val="en-AU"/>
        </w:rPr>
        <w:t>hosp</w:t>
      </w:r>
      <w:proofErr w:type="spellEnd"/>
      <w:r w:rsidRPr="00E27200">
        <w:rPr>
          <w:rFonts w:asciiTheme="minorHAnsi" w:hAnsiTheme="minorHAnsi"/>
          <w:lang w:val="en-AU"/>
        </w:rPr>
        <w:t xml:space="preserve">, 23% HC/SC and 31% APs) </w:t>
      </w:r>
      <w:r w:rsidR="00E81846" w:rsidRPr="00E27200">
        <w:rPr>
          <w:rFonts w:asciiTheme="minorHAnsi" w:hAnsiTheme="minorHAnsi"/>
          <w:lang w:val="en-AU"/>
        </w:rPr>
        <w:t xml:space="preserve">an expiry rate </w:t>
      </w:r>
      <w:r w:rsidRPr="00E27200">
        <w:rPr>
          <w:rFonts w:asciiTheme="minorHAnsi" w:hAnsiTheme="minorHAnsi"/>
          <w:lang w:val="en-AU"/>
        </w:rPr>
        <w:t xml:space="preserve">higher than </w:t>
      </w:r>
      <w:r w:rsidR="00E81846" w:rsidRPr="00E27200">
        <w:rPr>
          <w:rFonts w:asciiTheme="minorHAnsi" w:hAnsiTheme="minorHAnsi"/>
          <w:lang w:val="en-AU"/>
        </w:rPr>
        <w:t>that for a</w:t>
      </w:r>
      <w:r w:rsidRPr="00E27200">
        <w:rPr>
          <w:rFonts w:asciiTheme="minorHAnsi" w:hAnsiTheme="minorHAnsi"/>
          <w:lang w:val="en-AU"/>
        </w:rPr>
        <w:t>ll</w:t>
      </w:r>
      <w:r w:rsidR="00741292">
        <w:rPr>
          <w:rFonts w:asciiTheme="minorHAnsi" w:hAnsiTheme="minorHAnsi"/>
          <w:lang w:val="en-AU"/>
        </w:rPr>
        <w:t xml:space="preserve"> other</w:t>
      </w:r>
      <w:r w:rsidRPr="00E27200">
        <w:rPr>
          <w:rFonts w:asciiTheme="minorHAnsi" w:hAnsiTheme="minorHAnsi"/>
          <w:lang w:val="en-AU"/>
        </w:rPr>
        <w:t xml:space="preserve"> </w:t>
      </w:r>
      <w:r w:rsidR="00741292">
        <w:rPr>
          <w:rFonts w:asciiTheme="minorHAnsi" w:hAnsiTheme="minorHAnsi"/>
          <w:lang w:val="en-AU"/>
        </w:rPr>
        <w:t xml:space="preserve">(‘push’ or ‘pull’) </w:t>
      </w:r>
      <w:r w:rsidR="00E81846" w:rsidRPr="00E27200">
        <w:rPr>
          <w:rFonts w:asciiTheme="minorHAnsi" w:hAnsiTheme="minorHAnsi"/>
          <w:lang w:val="en-AU"/>
        </w:rPr>
        <w:t>medicines in our survey (10%)</w:t>
      </w:r>
      <w:r w:rsidRPr="00E27200">
        <w:rPr>
          <w:rFonts w:asciiTheme="minorHAnsi" w:hAnsiTheme="minorHAnsi"/>
          <w:lang w:val="en-AU"/>
        </w:rPr>
        <w:t xml:space="preserve">. ACT was also reported as </w:t>
      </w:r>
      <w:r w:rsidR="00E81846" w:rsidRPr="00E27200">
        <w:rPr>
          <w:rFonts w:asciiTheme="minorHAnsi" w:hAnsiTheme="minorHAnsi"/>
          <w:lang w:val="en-AU"/>
        </w:rPr>
        <w:t>under-</w:t>
      </w:r>
      <w:r w:rsidRPr="00E27200">
        <w:rPr>
          <w:rFonts w:asciiTheme="minorHAnsi" w:hAnsiTheme="minorHAnsi"/>
          <w:lang w:val="en-AU"/>
        </w:rPr>
        <w:t xml:space="preserve">used in </w:t>
      </w:r>
      <w:r w:rsidR="00E81846" w:rsidRPr="00E27200">
        <w:rPr>
          <w:rFonts w:asciiTheme="minorHAnsi" w:hAnsiTheme="minorHAnsi"/>
          <w:lang w:val="en-AU"/>
        </w:rPr>
        <w:t>HFs (especially APs) that had difficulties in using or accessing RDTs</w:t>
      </w:r>
      <w:r w:rsidRPr="00E27200">
        <w:rPr>
          <w:rFonts w:asciiTheme="minorHAnsi" w:hAnsiTheme="minorHAnsi"/>
          <w:lang w:val="en-AU"/>
        </w:rPr>
        <w:t>.</w:t>
      </w:r>
      <w:r w:rsidR="00DC7AF4">
        <w:rPr>
          <w:rFonts w:asciiTheme="minorHAnsi" w:hAnsiTheme="minorHAnsi"/>
          <w:lang w:val="en-AU"/>
        </w:rPr>
        <w:t xml:space="preserve"> </w:t>
      </w:r>
      <w:r w:rsidR="00DC7AF4">
        <w:rPr>
          <w:rFonts w:asciiTheme="minorHAnsi" w:hAnsiTheme="minorHAnsi" w:cs="Arial"/>
          <w:color w:val="000000"/>
          <w:szCs w:val="19"/>
          <w:lang w:val="en-AU"/>
        </w:rPr>
        <w:t xml:space="preserve">Overall availability of new </w:t>
      </w:r>
      <w:proofErr w:type="spellStart"/>
      <w:r w:rsidR="00DC7AF4">
        <w:rPr>
          <w:rFonts w:asciiTheme="minorHAnsi" w:hAnsiTheme="minorHAnsi" w:cs="Arial"/>
          <w:color w:val="000000"/>
          <w:szCs w:val="19"/>
          <w:lang w:val="en-AU"/>
        </w:rPr>
        <w:t>antimalarials</w:t>
      </w:r>
      <w:proofErr w:type="spellEnd"/>
      <w:r w:rsidR="00DC7AF4">
        <w:rPr>
          <w:rFonts w:asciiTheme="minorHAnsi" w:hAnsiTheme="minorHAnsi" w:cs="Arial"/>
          <w:color w:val="000000"/>
          <w:szCs w:val="19"/>
          <w:lang w:val="en-AU"/>
        </w:rPr>
        <w:t xml:space="preserve"> was reasonable across the health system (at 79% of HFs overall), suggesting this ‘push’ system also achieved a relatively high delivery rate in the face of these inefficiencies.</w:t>
      </w:r>
    </w:p>
    <w:p w14:paraId="27C54A8C"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56C998CD"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The Global Fund finan</w:t>
      </w:r>
      <w:r w:rsidR="005C07B4" w:rsidRPr="00E27200">
        <w:rPr>
          <w:rFonts w:asciiTheme="minorHAnsi" w:hAnsiTheme="minorHAnsi" w:cs="Arial"/>
          <w:color w:val="000000"/>
          <w:szCs w:val="19"/>
          <w:lang w:val="en-AU"/>
        </w:rPr>
        <w:t xml:space="preserve">ced mosquito nets are procured </w:t>
      </w:r>
      <w:r w:rsidRPr="00E27200">
        <w:rPr>
          <w:rFonts w:asciiTheme="minorHAnsi" w:hAnsiTheme="minorHAnsi" w:cs="Arial"/>
          <w:color w:val="000000"/>
          <w:szCs w:val="19"/>
          <w:lang w:val="en-AU"/>
        </w:rPr>
        <w:t xml:space="preserve">directly </w:t>
      </w:r>
      <w:r w:rsidR="005C07B4" w:rsidRPr="00E27200">
        <w:rPr>
          <w:rFonts w:asciiTheme="minorHAnsi" w:hAnsiTheme="minorHAnsi" w:cs="Arial"/>
          <w:color w:val="000000"/>
          <w:szCs w:val="19"/>
          <w:lang w:val="en-AU"/>
        </w:rPr>
        <w:t xml:space="preserve">(as this is </w:t>
      </w:r>
      <w:r w:rsidRPr="00E27200">
        <w:rPr>
          <w:rFonts w:asciiTheme="minorHAnsi" w:hAnsiTheme="minorHAnsi" w:cs="Arial"/>
          <w:color w:val="000000"/>
          <w:szCs w:val="19"/>
          <w:lang w:val="en-AU"/>
        </w:rPr>
        <w:t>cheaper than through the VPP mechanism) and distributed by the Rotarians Against Malaria in Papua New Guinea (RAM-PNG) (Rotary Club PNG).  To date, RAM-PNG has delivered 2.3 million mosquito nets and it is estimated that two thirds of all villages in PNG have received nets.  Nets are bought together with the container which is transported to districts and from there local networks are used to deliver door to door after a needs assessment of nets per household requirement has been undertaken.  It has taken the Rotarians three years to achieve these results.</w:t>
      </w:r>
    </w:p>
    <w:p w14:paraId="0EF7D64E"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54E51C0B"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No satisfactory explanation was given as to the reason why LD logistics was not distributing malaria </w:t>
      </w:r>
      <w:r w:rsidR="00E81846" w:rsidRPr="00E27200">
        <w:rPr>
          <w:rFonts w:asciiTheme="minorHAnsi" w:hAnsiTheme="minorHAnsi" w:cs="Arial"/>
          <w:color w:val="000000"/>
          <w:szCs w:val="19"/>
          <w:lang w:val="en-AU"/>
        </w:rPr>
        <w:t xml:space="preserve">or TB </w:t>
      </w:r>
      <w:r w:rsidRPr="00E27200">
        <w:rPr>
          <w:rFonts w:asciiTheme="minorHAnsi" w:hAnsiTheme="minorHAnsi" w:cs="Arial"/>
          <w:color w:val="000000"/>
          <w:szCs w:val="19"/>
          <w:lang w:val="en-AU"/>
        </w:rPr>
        <w:t>medicines to facilities given that their contract with the NDOH covers all medicines</w:t>
      </w:r>
      <w:r w:rsidR="00E81846" w:rsidRPr="00E27200">
        <w:rPr>
          <w:rFonts w:asciiTheme="minorHAnsi" w:hAnsiTheme="minorHAnsi" w:cs="Arial"/>
          <w:color w:val="000000"/>
          <w:szCs w:val="19"/>
          <w:lang w:val="en-AU"/>
        </w:rPr>
        <w:t xml:space="preserve"> and there are no specific program exemptions</w:t>
      </w:r>
      <w:r w:rsidRPr="00E27200">
        <w:rPr>
          <w:rFonts w:asciiTheme="minorHAnsi" w:hAnsiTheme="minorHAnsi" w:cs="Arial"/>
          <w:color w:val="000000"/>
          <w:szCs w:val="19"/>
          <w:lang w:val="en-AU"/>
        </w:rPr>
        <w:t xml:space="preserve">. </w:t>
      </w:r>
      <w:r w:rsidR="006676BC" w:rsidRPr="00E27200">
        <w:rPr>
          <w:rFonts w:asciiTheme="minorHAnsi" w:hAnsiTheme="minorHAnsi" w:cs="Arial"/>
          <w:color w:val="000000"/>
          <w:szCs w:val="19"/>
          <w:lang w:val="en-AU"/>
        </w:rPr>
        <w:t>The MSPD reported that they now plan to extend this service</w:t>
      </w:r>
      <w:r w:rsidRPr="00E27200">
        <w:rPr>
          <w:rFonts w:asciiTheme="minorHAnsi" w:hAnsiTheme="minorHAnsi" w:cs="Arial"/>
          <w:color w:val="000000"/>
          <w:szCs w:val="19"/>
          <w:lang w:val="en-AU"/>
        </w:rPr>
        <w:t>.</w:t>
      </w:r>
    </w:p>
    <w:p w14:paraId="7471A431"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color w:val="000000"/>
          <w:szCs w:val="19"/>
          <w:u w:val="single"/>
          <w:lang w:val="en-AU"/>
        </w:rPr>
      </w:pPr>
    </w:p>
    <w:p w14:paraId="46B4CF9B"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color w:val="000000"/>
          <w:szCs w:val="19"/>
          <w:lang w:val="en-AU"/>
        </w:rPr>
      </w:pPr>
      <w:r w:rsidRPr="00E27200">
        <w:rPr>
          <w:rFonts w:asciiTheme="minorHAnsi" w:hAnsiTheme="minorHAnsi" w:cs="Arial"/>
          <w:b/>
          <w:color w:val="000000"/>
          <w:szCs w:val="19"/>
          <w:lang w:val="en-AU"/>
        </w:rPr>
        <w:t>HIV supply chain</w:t>
      </w:r>
    </w:p>
    <w:p w14:paraId="218D450D"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color w:val="000000"/>
          <w:szCs w:val="19"/>
          <w:u w:val="single"/>
          <w:lang w:val="en-AU"/>
        </w:rPr>
      </w:pPr>
    </w:p>
    <w:p w14:paraId="439ED219" w14:textId="1D3E1F4F"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The HIV programme requirement of anti</w:t>
      </w:r>
      <w:r w:rsidR="00C021FF">
        <w:rPr>
          <w:rFonts w:asciiTheme="minorHAnsi" w:hAnsiTheme="minorHAnsi" w:cs="Arial"/>
          <w:color w:val="000000"/>
          <w:szCs w:val="19"/>
          <w:lang w:val="en-AU"/>
        </w:rPr>
        <w:t>-</w:t>
      </w:r>
      <w:r w:rsidRPr="00E27200">
        <w:rPr>
          <w:rFonts w:asciiTheme="minorHAnsi" w:hAnsiTheme="minorHAnsi" w:cs="Arial"/>
          <w:color w:val="000000"/>
          <w:szCs w:val="19"/>
          <w:lang w:val="en-AU"/>
        </w:rPr>
        <w:t xml:space="preserve">retroviral (ARV) medicines is wholly funded by the GoPNG.  UNICEF acts as a procurement agent and the Clinton Health Access Initiative (CHAI) provides quantification services with a contract ending in 2013.   </w:t>
      </w:r>
      <w:r w:rsidR="006676BC" w:rsidRPr="00E27200">
        <w:rPr>
          <w:rFonts w:asciiTheme="minorHAnsi" w:hAnsiTheme="minorHAnsi" w:cs="Arial"/>
          <w:color w:val="000000"/>
          <w:szCs w:val="19"/>
          <w:lang w:val="en-AU"/>
        </w:rPr>
        <w:t xml:space="preserve">The program contracts the logistics firm </w:t>
      </w:r>
      <w:r w:rsidRPr="00E27200">
        <w:rPr>
          <w:rFonts w:asciiTheme="minorHAnsi" w:hAnsiTheme="minorHAnsi" w:cs="Arial"/>
          <w:color w:val="000000"/>
          <w:szCs w:val="19"/>
          <w:lang w:val="en-AU"/>
        </w:rPr>
        <w:t xml:space="preserve">TNT </w:t>
      </w:r>
      <w:r w:rsidR="006676BC" w:rsidRPr="00E27200">
        <w:rPr>
          <w:rFonts w:asciiTheme="minorHAnsi" w:hAnsiTheme="minorHAnsi" w:cs="Arial"/>
          <w:color w:val="000000"/>
          <w:szCs w:val="19"/>
          <w:lang w:val="en-AU"/>
        </w:rPr>
        <w:t>to deliver</w:t>
      </w:r>
      <w:r w:rsidRPr="00E27200">
        <w:rPr>
          <w:rFonts w:asciiTheme="minorHAnsi" w:hAnsiTheme="minorHAnsi" w:cs="Arial"/>
          <w:color w:val="000000"/>
          <w:szCs w:val="19"/>
          <w:lang w:val="en-AU"/>
        </w:rPr>
        <w:t xml:space="preserve"> to all 400 ARV </w:t>
      </w:r>
      <w:r w:rsidR="006676BC" w:rsidRPr="00E27200">
        <w:rPr>
          <w:rFonts w:asciiTheme="minorHAnsi" w:hAnsiTheme="minorHAnsi" w:cs="Arial"/>
          <w:color w:val="000000"/>
          <w:szCs w:val="19"/>
          <w:lang w:val="en-AU"/>
        </w:rPr>
        <w:t xml:space="preserve">treatment </w:t>
      </w:r>
      <w:r w:rsidRPr="00E27200">
        <w:rPr>
          <w:rFonts w:asciiTheme="minorHAnsi" w:hAnsiTheme="minorHAnsi" w:cs="Arial"/>
          <w:color w:val="000000"/>
          <w:szCs w:val="19"/>
          <w:lang w:val="en-AU"/>
        </w:rPr>
        <w:t xml:space="preserve">sites from </w:t>
      </w:r>
      <w:r w:rsidR="006676BC" w:rsidRPr="00E27200">
        <w:rPr>
          <w:rFonts w:asciiTheme="minorHAnsi" w:hAnsiTheme="minorHAnsi" w:cs="Arial"/>
          <w:color w:val="000000"/>
          <w:szCs w:val="19"/>
          <w:lang w:val="en-AU"/>
        </w:rPr>
        <w:t xml:space="preserve">a dedicated storeroom within </w:t>
      </w:r>
      <w:proofErr w:type="spellStart"/>
      <w:r w:rsidRPr="00E27200">
        <w:rPr>
          <w:rFonts w:asciiTheme="minorHAnsi" w:hAnsiTheme="minorHAnsi" w:cs="Arial"/>
          <w:color w:val="000000"/>
          <w:szCs w:val="19"/>
          <w:lang w:val="en-AU"/>
        </w:rPr>
        <w:t>Badili</w:t>
      </w:r>
      <w:proofErr w:type="spellEnd"/>
      <w:r w:rsidR="006676BC" w:rsidRPr="00E27200">
        <w:rPr>
          <w:rFonts w:asciiTheme="minorHAnsi" w:hAnsiTheme="minorHAnsi" w:cs="Arial"/>
          <w:color w:val="000000"/>
          <w:szCs w:val="19"/>
          <w:lang w:val="en-AU"/>
        </w:rPr>
        <w:t xml:space="preserve"> AMS, in amounts quantified in accordance with surveillance and treatment data</w:t>
      </w:r>
      <w:r w:rsidRPr="00E27200">
        <w:rPr>
          <w:rFonts w:asciiTheme="minorHAnsi" w:hAnsiTheme="minorHAnsi" w:cs="Arial"/>
          <w:color w:val="000000"/>
          <w:szCs w:val="19"/>
          <w:lang w:val="en-AU"/>
        </w:rPr>
        <w:t xml:space="preserve">.  </w:t>
      </w:r>
      <w:r w:rsidRPr="00760CE9">
        <w:rPr>
          <w:rFonts w:asciiTheme="minorHAnsi" w:hAnsiTheme="minorHAnsi" w:cs="Arial"/>
          <w:color w:val="000000"/>
          <w:szCs w:val="19"/>
          <w:lang w:val="en-AU"/>
        </w:rPr>
        <w:t xml:space="preserve">In essence, the HIV programme </w:t>
      </w:r>
      <w:r w:rsidR="002E785F" w:rsidRPr="00760CE9">
        <w:rPr>
          <w:rFonts w:asciiTheme="minorHAnsi" w:hAnsiTheme="minorHAnsi" w:cs="Arial"/>
          <w:color w:val="000000"/>
          <w:szCs w:val="19"/>
          <w:lang w:val="en-AU"/>
        </w:rPr>
        <w:t>bypasses</w:t>
      </w:r>
      <w:r w:rsidRPr="00760CE9">
        <w:rPr>
          <w:rFonts w:asciiTheme="minorHAnsi" w:hAnsiTheme="minorHAnsi" w:cs="Arial"/>
          <w:color w:val="000000"/>
          <w:szCs w:val="19"/>
          <w:lang w:val="en-AU"/>
        </w:rPr>
        <w:t xml:space="preserve"> the national </w:t>
      </w:r>
      <w:r w:rsidR="006676BC" w:rsidRPr="00760CE9">
        <w:rPr>
          <w:rFonts w:asciiTheme="minorHAnsi" w:hAnsiTheme="minorHAnsi" w:cs="Arial"/>
          <w:color w:val="000000"/>
          <w:szCs w:val="19"/>
          <w:lang w:val="en-AU"/>
        </w:rPr>
        <w:t xml:space="preserve">‘pull’ </w:t>
      </w:r>
      <w:r w:rsidRPr="00760CE9">
        <w:rPr>
          <w:rFonts w:asciiTheme="minorHAnsi" w:hAnsiTheme="minorHAnsi" w:cs="Arial"/>
          <w:color w:val="000000"/>
          <w:szCs w:val="19"/>
          <w:lang w:val="en-AU"/>
        </w:rPr>
        <w:t>system to meet their programmatic targets.</w:t>
      </w:r>
    </w:p>
    <w:p w14:paraId="3EEEE2C6"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6D7E89AA"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color w:val="000000"/>
          <w:szCs w:val="19"/>
          <w:lang w:val="en-AU"/>
        </w:rPr>
      </w:pPr>
      <w:r w:rsidRPr="00E27200">
        <w:rPr>
          <w:rFonts w:asciiTheme="minorHAnsi" w:hAnsiTheme="minorHAnsi" w:cs="Arial"/>
          <w:b/>
          <w:color w:val="000000"/>
          <w:szCs w:val="19"/>
          <w:lang w:val="en-AU"/>
        </w:rPr>
        <w:t>Tuberculosis (TB) Supply Chain</w:t>
      </w:r>
    </w:p>
    <w:p w14:paraId="2A742064"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440B69E1" w14:textId="0B55C14A"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The </w:t>
      </w:r>
      <w:r w:rsidR="001011B8" w:rsidRPr="00E27200">
        <w:rPr>
          <w:rFonts w:asciiTheme="minorHAnsi" w:hAnsiTheme="minorHAnsi" w:cs="Arial"/>
          <w:color w:val="000000"/>
          <w:szCs w:val="19"/>
          <w:lang w:val="en-AU"/>
        </w:rPr>
        <w:t>TB program</w:t>
      </w:r>
      <w:r w:rsidRPr="00E27200">
        <w:rPr>
          <w:rFonts w:asciiTheme="minorHAnsi" w:hAnsiTheme="minorHAnsi" w:cs="Arial"/>
          <w:color w:val="000000"/>
          <w:szCs w:val="19"/>
          <w:lang w:val="en-AU"/>
        </w:rPr>
        <w:t xml:space="preserve"> has been able over the years to collect consumption data from </w:t>
      </w:r>
      <w:r w:rsidR="001011B8" w:rsidRPr="00E27200">
        <w:rPr>
          <w:rFonts w:asciiTheme="minorHAnsi" w:hAnsiTheme="minorHAnsi" w:cs="Arial"/>
          <w:color w:val="000000"/>
          <w:szCs w:val="19"/>
          <w:lang w:val="en-AU"/>
        </w:rPr>
        <w:t xml:space="preserve">what the program terms </w:t>
      </w:r>
      <w:r w:rsidRPr="00E27200">
        <w:rPr>
          <w:rFonts w:asciiTheme="minorHAnsi" w:hAnsiTheme="minorHAnsi" w:cs="Arial"/>
          <w:color w:val="000000"/>
          <w:szCs w:val="19"/>
          <w:lang w:val="en-AU"/>
        </w:rPr>
        <w:t>‘Basic Management Units’</w:t>
      </w:r>
      <w:r w:rsidR="001011B8" w:rsidRPr="00E27200">
        <w:rPr>
          <w:rFonts w:asciiTheme="minorHAnsi" w:hAnsiTheme="minorHAnsi" w:cs="Arial"/>
          <w:color w:val="000000"/>
          <w:szCs w:val="19"/>
          <w:lang w:val="en-AU"/>
        </w:rPr>
        <w:t xml:space="preserve"> (BMUs): </w:t>
      </w:r>
      <w:r w:rsidRPr="00E27200">
        <w:rPr>
          <w:rFonts w:asciiTheme="minorHAnsi" w:hAnsiTheme="minorHAnsi" w:cs="Arial"/>
          <w:color w:val="000000"/>
          <w:szCs w:val="19"/>
          <w:lang w:val="en-AU"/>
        </w:rPr>
        <w:t xml:space="preserve">health facilities </w:t>
      </w:r>
      <w:r w:rsidR="001011B8" w:rsidRPr="00E27200">
        <w:rPr>
          <w:rFonts w:asciiTheme="minorHAnsi" w:hAnsiTheme="minorHAnsi" w:cs="Arial"/>
          <w:color w:val="000000"/>
          <w:szCs w:val="19"/>
          <w:lang w:val="en-AU"/>
        </w:rPr>
        <w:t xml:space="preserve">providing tuberculosis services. This has allowed relatively </w:t>
      </w:r>
      <w:r w:rsidRPr="00E27200">
        <w:rPr>
          <w:rFonts w:asciiTheme="minorHAnsi" w:hAnsiTheme="minorHAnsi" w:cs="Arial"/>
          <w:color w:val="000000"/>
          <w:szCs w:val="19"/>
          <w:lang w:val="en-AU"/>
        </w:rPr>
        <w:t>accurate forecasts based on registered cases</w:t>
      </w:r>
      <w:r w:rsidR="001011B8" w:rsidRPr="00E27200">
        <w:rPr>
          <w:rFonts w:asciiTheme="minorHAnsi" w:hAnsiTheme="minorHAnsi" w:cs="Arial"/>
          <w:color w:val="000000"/>
          <w:szCs w:val="19"/>
          <w:lang w:val="en-AU"/>
        </w:rPr>
        <w:t>, sufficient to quantify</w:t>
      </w:r>
      <w:r w:rsidRPr="00E27200">
        <w:rPr>
          <w:rFonts w:asciiTheme="minorHAnsi" w:hAnsiTheme="minorHAnsi" w:cs="Arial"/>
          <w:color w:val="000000"/>
          <w:szCs w:val="19"/>
          <w:lang w:val="en-AU"/>
        </w:rPr>
        <w:t xml:space="preserve"> a three month buffer</w:t>
      </w:r>
      <w:r w:rsidR="001011B8" w:rsidRPr="00E27200">
        <w:rPr>
          <w:rFonts w:asciiTheme="minorHAnsi" w:hAnsiTheme="minorHAnsi" w:cs="Arial"/>
          <w:color w:val="000000"/>
          <w:szCs w:val="19"/>
          <w:lang w:val="en-AU"/>
        </w:rPr>
        <w:t xml:space="preserve"> in supply</w:t>
      </w:r>
      <w:r w:rsidRPr="00E27200">
        <w:rPr>
          <w:rFonts w:asciiTheme="minorHAnsi" w:hAnsiTheme="minorHAnsi" w:cs="Arial"/>
          <w:color w:val="000000"/>
          <w:szCs w:val="19"/>
          <w:lang w:val="en-AU"/>
        </w:rPr>
        <w:t>.  BMUs submit quarte</w:t>
      </w:r>
      <w:r w:rsidR="001011B8" w:rsidRPr="00E27200">
        <w:rPr>
          <w:rFonts w:asciiTheme="minorHAnsi" w:hAnsiTheme="minorHAnsi" w:cs="Arial"/>
          <w:color w:val="000000"/>
          <w:szCs w:val="19"/>
          <w:lang w:val="en-AU"/>
        </w:rPr>
        <w:t xml:space="preserve">rly reports to the TB program </w:t>
      </w:r>
      <w:r w:rsidRPr="00E27200">
        <w:rPr>
          <w:rFonts w:asciiTheme="minorHAnsi" w:hAnsiTheme="minorHAnsi" w:cs="Arial"/>
          <w:color w:val="000000"/>
          <w:szCs w:val="19"/>
          <w:lang w:val="en-AU"/>
        </w:rPr>
        <w:t xml:space="preserve">including cases notified, consumption of TB </w:t>
      </w:r>
      <w:r w:rsidR="00FD5B5C">
        <w:rPr>
          <w:rFonts w:asciiTheme="minorHAnsi" w:hAnsiTheme="minorHAnsi" w:cs="Arial"/>
          <w:color w:val="000000"/>
          <w:szCs w:val="19"/>
          <w:lang w:val="en-AU"/>
        </w:rPr>
        <w:t>medicines</w:t>
      </w:r>
      <w:r w:rsidRPr="00E27200">
        <w:rPr>
          <w:rFonts w:asciiTheme="minorHAnsi" w:hAnsiTheme="minorHAnsi" w:cs="Arial"/>
          <w:color w:val="000000"/>
          <w:szCs w:val="19"/>
          <w:lang w:val="en-AU"/>
        </w:rPr>
        <w:t xml:space="preserve">, treatment outcomes and </w:t>
      </w:r>
      <w:r w:rsidR="001011B8" w:rsidRPr="00E27200">
        <w:rPr>
          <w:rFonts w:asciiTheme="minorHAnsi" w:hAnsiTheme="minorHAnsi" w:cs="Arial"/>
          <w:color w:val="000000"/>
          <w:szCs w:val="19"/>
          <w:lang w:val="en-AU"/>
        </w:rPr>
        <w:t xml:space="preserve">HIV/TB co-infection data. </w:t>
      </w:r>
    </w:p>
    <w:p w14:paraId="04E9B682"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150B3D92" w14:textId="7DAD17D8" w:rsidR="00777130" w:rsidRPr="00E27200" w:rsidRDefault="001011B8"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The program</w:t>
      </w:r>
      <w:r w:rsidR="00AA6106" w:rsidRPr="00E27200">
        <w:rPr>
          <w:rFonts w:asciiTheme="minorHAnsi" w:hAnsiTheme="minorHAnsi" w:cs="Arial"/>
          <w:color w:val="000000"/>
          <w:szCs w:val="19"/>
          <w:lang w:val="en-AU"/>
        </w:rPr>
        <w:t xml:space="preserve"> procures from the Global Drug Facility (GDF)</w:t>
      </w:r>
      <w:r w:rsidRPr="00E27200">
        <w:rPr>
          <w:rFonts w:asciiTheme="minorHAnsi" w:hAnsiTheme="minorHAnsi" w:cs="Arial"/>
          <w:color w:val="000000"/>
          <w:szCs w:val="19"/>
          <w:lang w:val="en-AU"/>
        </w:rPr>
        <w:t xml:space="preserve"> for</w:t>
      </w:r>
      <w:r w:rsidR="00AA6106" w:rsidRPr="00E27200">
        <w:rPr>
          <w:rFonts w:asciiTheme="minorHAnsi" w:hAnsiTheme="minorHAnsi" w:cs="Arial"/>
          <w:color w:val="000000"/>
          <w:szCs w:val="19"/>
          <w:lang w:val="en-AU"/>
        </w:rPr>
        <w:t xml:space="preserve"> TB medicines funded by Global Fund through the</w:t>
      </w:r>
      <w:r w:rsidR="00777130" w:rsidRPr="00E27200">
        <w:rPr>
          <w:rFonts w:asciiTheme="minorHAnsi" w:hAnsiTheme="minorHAnsi" w:cs="Arial"/>
          <w:color w:val="000000"/>
          <w:szCs w:val="19"/>
          <w:lang w:val="en-AU"/>
        </w:rPr>
        <w:t xml:space="preserve"> NDOH (MSPD). Initial attempts to procure </w:t>
      </w:r>
      <w:r w:rsidR="00AA6106" w:rsidRPr="00E27200">
        <w:rPr>
          <w:rFonts w:asciiTheme="minorHAnsi" w:hAnsiTheme="minorHAnsi" w:cs="Arial"/>
          <w:color w:val="000000"/>
          <w:szCs w:val="19"/>
          <w:lang w:val="en-AU"/>
        </w:rPr>
        <w:t xml:space="preserve">from the local market </w:t>
      </w:r>
      <w:r w:rsidR="00777130" w:rsidRPr="00E27200">
        <w:rPr>
          <w:rFonts w:asciiTheme="minorHAnsi" w:hAnsiTheme="minorHAnsi" w:cs="Arial"/>
          <w:color w:val="000000"/>
          <w:szCs w:val="19"/>
          <w:lang w:val="en-AU"/>
        </w:rPr>
        <w:t>failed to garner sufficient quality</w:t>
      </w:r>
      <w:r w:rsidR="00AA6106" w:rsidRPr="00E27200">
        <w:rPr>
          <w:rFonts w:asciiTheme="minorHAnsi" w:hAnsiTheme="minorHAnsi" w:cs="Arial"/>
          <w:color w:val="000000"/>
          <w:szCs w:val="19"/>
          <w:lang w:val="en-AU"/>
        </w:rPr>
        <w:t>. Medicines and medical supplies are moved from AMS to provincial transit stores from where BMUs collect</w:t>
      </w:r>
      <w:r w:rsidR="00777130" w:rsidRPr="00E27200">
        <w:rPr>
          <w:rFonts w:asciiTheme="minorHAnsi" w:hAnsiTheme="minorHAnsi" w:cs="Arial"/>
          <w:color w:val="000000"/>
          <w:szCs w:val="19"/>
          <w:lang w:val="en-AU"/>
        </w:rPr>
        <w:t xml:space="preserve"> supplies using their own resources. </w:t>
      </w:r>
      <w:r w:rsidR="00AA6106" w:rsidRPr="00E27200">
        <w:rPr>
          <w:rFonts w:asciiTheme="minorHAnsi" w:hAnsiTheme="minorHAnsi" w:cs="Arial"/>
          <w:color w:val="000000"/>
          <w:szCs w:val="19"/>
          <w:lang w:val="en-AU"/>
        </w:rPr>
        <w:t>The lack of resources to provide a predictable transport service was identified as a hindrance to co</w:t>
      </w:r>
      <w:r w:rsidR="00777130" w:rsidRPr="00E27200">
        <w:rPr>
          <w:rFonts w:asciiTheme="minorHAnsi" w:hAnsiTheme="minorHAnsi" w:cs="Arial"/>
          <w:color w:val="000000"/>
          <w:szCs w:val="19"/>
          <w:lang w:val="en-AU"/>
        </w:rPr>
        <w:t>mmodity access. It is estimated there is a BMU reporting level of 70% and each report has the medical supplies order integrated with activity and prevalence data, which enables efficient and accurate ordering at provincial level.  The provincial office keeps a copy of the order/report for replenishment from the transit store</w:t>
      </w:r>
      <w:r w:rsidR="00DD4975">
        <w:rPr>
          <w:rFonts w:asciiTheme="minorHAnsi" w:hAnsiTheme="minorHAnsi" w:cs="Arial"/>
          <w:color w:val="000000"/>
          <w:szCs w:val="19"/>
          <w:lang w:val="en-AU"/>
        </w:rPr>
        <w:t>, and where p</w:t>
      </w:r>
      <w:r w:rsidR="00777130" w:rsidRPr="00E27200">
        <w:rPr>
          <w:rFonts w:asciiTheme="minorHAnsi" w:hAnsiTheme="minorHAnsi" w:cs="Arial"/>
          <w:color w:val="000000"/>
          <w:szCs w:val="19"/>
          <w:lang w:val="en-AU"/>
        </w:rPr>
        <w:t>rovincial store staff raises monthly stock takes</w:t>
      </w:r>
      <w:r w:rsidR="00DD4975">
        <w:rPr>
          <w:rFonts w:asciiTheme="minorHAnsi" w:hAnsiTheme="minorHAnsi" w:cs="Arial"/>
          <w:color w:val="000000"/>
          <w:szCs w:val="19"/>
          <w:lang w:val="en-AU"/>
        </w:rPr>
        <w:t>, this</w:t>
      </w:r>
      <w:r w:rsidR="00777130" w:rsidRPr="00E27200">
        <w:rPr>
          <w:rFonts w:asciiTheme="minorHAnsi" w:hAnsiTheme="minorHAnsi" w:cs="Arial"/>
          <w:color w:val="000000"/>
          <w:szCs w:val="19"/>
          <w:lang w:val="en-AU"/>
        </w:rPr>
        <w:t xml:space="preserve"> adds to system efficiency.  </w:t>
      </w:r>
    </w:p>
    <w:p w14:paraId="6B45C12F" w14:textId="77777777" w:rsidR="00777130" w:rsidRPr="00E27200" w:rsidRDefault="00777130"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77A7B011" w14:textId="54EE3E3A" w:rsidR="00345301" w:rsidRDefault="00345301"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Pr>
          <w:rFonts w:asciiTheme="minorHAnsi" w:hAnsiTheme="minorHAnsi" w:cs="Arial"/>
          <w:color w:val="000000"/>
          <w:szCs w:val="19"/>
          <w:lang w:val="en-AU"/>
        </w:rPr>
        <w:t>T</w:t>
      </w:r>
      <w:r w:rsidR="00777130" w:rsidRPr="00E27200">
        <w:rPr>
          <w:rFonts w:asciiTheme="minorHAnsi" w:hAnsiTheme="minorHAnsi" w:cs="Arial"/>
          <w:color w:val="000000"/>
          <w:szCs w:val="19"/>
          <w:lang w:val="en-AU"/>
        </w:rPr>
        <w:t>he TB program</w:t>
      </w:r>
      <w:r w:rsidR="00AA6106" w:rsidRPr="00E27200">
        <w:rPr>
          <w:rFonts w:asciiTheme="minorHAnsi" w:hAnsiTheme="minorHAnsi" w:cs="Arial"/>
          <w:color w:val="000000"/>
          <w:szCs w:val="19"/>
          <w:lang w:val="en-AU"/>
        </w:rPr>
        <w:t xml:space="preserve"> is not included in the transport and distribution service </w:t>
      </w:r>
      <w:r w:rsidR="00777130" w:rsidRPr="00E27200">
        <w:rPr>
          <w:rFonts w:asciiTheme="minorHAnsi" w:hAnsiTheme="minorHAnsi" w:cs="Arial"/>
          <w:color w:val="000000"/>
          <w:szCs w:val="19"/>
          <w:lang w:val="en-AU"/>
        </w:rPr>
        <w:t>provided by</w:t>
      </w:r>
      <w:r w:rsidR="00AA6106" w:rsidRPr="00E27200">
        <w:rPr>
          <w:rFonts w:asciiTheme="minorHAnsi" w:hAnsiTheme="minorHAnsi" w:cs="Arial"/>
          <w:color w:val="000000"/>
          <w:szCs w:val="19"/>
          <w:lang w:val="en-AU"/>
        </w:rPr>
        <w:t xml:space="preserve"> LD Logistics </w:t>
      </w:r>
      <w:r w:rsidR="00777130" w:rsidRPr="00E27200">
        <w:rPr>
          <w:rFonts w:asciiTheme="minorHAnsi" w:hAnsiTheme="minorHAnsi" w:cs="Arial"/>
          <w:color w:val="000000"/>
          <w:szCs w:val="19"/>
          <w:lang w:val="en-AU"/>
        </w:rPr>
        <w:t xml:space="preserve">although there is no contractual reason </w:t>
      </w:r>
      <w:r>
        <w:rPr>
          <w:rFonts w:asciiTheme="minorHAnsi" w:hAnsiTheme="minorHAnsi" w:cs="Arial"/>
          <w:color w:val="000000"/>
          <w:szCs w:val="19"/>
          <w:lang w:val="en-AU"/>
        </w:rPr>
        <w:t>for this</w:t>
      </w:r>
      <w:r w:rsidR="00777130" w:rsidRPr="00E27200">
        <w:rPr>
          <w:rFonts w:asciiTheme="minorHAnsi" w:hAnsiTheme="minorHAnsi" w:cs="Arial"/>
          <w:color w:val="000000"/>
          <w:szCs w:val="19"/>
          <w:lang w:val="en-AU"/>
        </w:rPr>
        <w:t xml:space="preserve"> and NDOH managers have committed to </w:t>
      </w:r>
      <w:r>
        <w:rPr>
          <w:rFonts w:asciiTheme="minorHAnsi" w:hAnsiTheme="minorHAnsi" w:cs="Arial"/>
          <w:color w:val="000000"/>
          <w:szCs w:val="19"/>
          <w:lang w:val="en-AU"/>
        </w:rPr>
        <w:t>review this.</w:t>
      </w:r>
      <w:r w:rsidRPr="00E27200">
        <w:rPr>
          <w:rFonts w:asciiTheme="minorHAnsi" w:hAnsiTheme="minorHAnsi" w:cs="Arial"/>
          <w:color w:val="000000"/>
          <w:szCs w:val="19"/>
          <w:lang w:val="en-AU"/>
        </w:rPr>
        <w:t xml:space="preserve"> </w:t>
      </w:r>
    </w:p>
    <w:p w14:paraId="2177123C"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7003490F"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b/>
          <w:color w:val="000000"/>
          <w:szCs w:val="19"/>
          <w:lang w:val="en-AU"/>
        </w:rPr>
      </w:pPr>
      <w:r w:rsidRPr="00E27200">
        <w:rPr>
          <w:rFonts w:asciiTheme="minorHAnsi" w:hAnsiTheme="minorHAnsi" w:cs="Arial"/>
          <w:b/>
          <w:color w:val="000000"/>
          <w:szCs w:val="19"/>
          <w:lang w:val="en-AU"/>
        </w:rPr>
        <w:lastRenderedPageBreak/>
        <w:t>Vaccines</w:t>
      </w:r>
    </w:p>
    <w:p w14:paraId="4916A64E"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04F6E0DF" w14:textId="5B6F2EF0"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UNICEF partners with</w:t>
      </w:r>
      <w:r w:rsidR="00777130" w:rsidRPr="00E27200">
        <w:rPr>
          <w:rFonts w:asciiTheme="minorHAnsi" w:hAnsiTheme="minorHAnsi" w:cs="Arial"/>
          <w:color w:val="000000"/>
          <w:szCs w:val="19"/>
          <w:lang w:val="en-AU"/>
        </w:rPr>
        <w:t xml:space="preserve"> the NDOH in providing vaccines, which are funded both by GoPNG and t</w:t>
      </w:r>
      <w:r w:rsidRPr="00E27200">
        <w:rPr>
          <w:rFonts w:asciiTheme="minorHAnsi" w:hAnsiTheme="minorHAnsi" w:cs="Arial"/>
          <w:color w:val="000000"/>
          <w:szCs w:val="19"/>
          <w:lang w:val="en-AU"/>
        </w:rPr>
        <w:t xml:space="preserve">he GAVI Alliance </w:t>
      </w:r>
      <w:r w:rsidR="00777130" w:rsidRPr="00E27200">
        <w:rPr>
          <w:rFonts w:asciiTheme="minorHAnsi" w:hAnsiTheme="minorHAnsi" w:cs="Arial"/>
          <w:color w:val="000000"/>
          <w:szCs w:val="19"/>
          <w:lang w:val="en-AU"/>
        </w:rPr>
        <w:t xml:space="preserve">(for </w:t>
      </w:r>
      <w:proofErr w:type="spellStart"/>
      <w:r w:rsidR="00777130" w:rsidRPr="00E27200">
        <w:rPr>
          <w:rFonts w:asciiTheme="minorHAnsi" w:hAnsiTheme="minorHAnsi" w:cs="Arial"/>
          <w:color w:val="000000"/>
          <w:szCs w:val="19"/>
          <w:lang w:val="en-AU"/>
        </w:rPr>
        <w:t>pentavalent</w:t>
      </w:r>
      <w:proofErr w:type="spellEnd"/>
      <w:r w:rsidR="00777130" w:rsidRPr="00E27200">
        <w:rPr>
          <w:rFonts w:asciiTheme="minorHAnsi" w:hAnsiTheme="minorHAnsi" w:cs="Arial"/>
          <w:color w:val="000000"/>
          <w:szCs w:val="19"/>
          <w:lang w:val="en-AU"/>
        </w:rPr>
        <w:t xml:space="preserve"> vaccine). UNICEF acts</w:t>
      </w:r>
      <w:r w:rsidRPr="00E27200">
        <w:rPr>
          <w:rFonts w:asciiTheme="minorHAnsi" w:hAnsiTheme="minorHAnsi" w:cs="Arial"/>
          <w:color w:val="000000"/>
          <w:szCs w:val="19"/>
          <w:lang w:val="en-AU"/>
        </w:rPr>
        <w:t xml:space="preserve"> as a procurement agent.  There is no specified frequency for ordering vaccines</w:t>
      </w:r>
      <w:r w:rsidR="00777130" w:rsidRPr="00E27200">
        <w:rPr>
          <w:rFonts w:asciiTheme="minorHAnsi" w:hAnsiTheme="minorHAnsi" w:cs="Arial"/>
          <w:color w:val="000000"/>
          <w:szCs w:val="19"/>
          <w:lang w:val="en-AU"/>
        </w:rPr>
        <w:t>, although quantification is done annually</w:t>
      </w:r>
      <w:r w:rsidR="00400250" w:rsidRPr="00E27200">
        <w:rPr>
          <w:rFonts w:asciiTheme="minorHAnsi" w:hAnsiTheme="minorHAnsi" w:cs="Arial"/>
          <w:color w:val="000000"/>
          <w:szCs w:val="19"/>
          <w:lang w:val="en-AU"/>
        </w:rPr>
        <w:t>, including the use of data from micro-planning exercises carried out for special immunization activities</w:t>
      </w:r>
      <w:r w:rsidRPr="00E27200">
        <w:rPr>
          <w:rFonts w:asciiTheme="minorHAnsi" w:hAnsiTheme="minorHAnsi" w:cs="Arial"/>
          <w:color w:val="000000"/>
          <w:szCs w:val="19"/>
          <w:lang w:val="en-AU"/>
        </w:rPr>
        <w:t xml:space="preserve">.  The vaccine supply chain is </w:t>
      </w:r>
      <w:r w:rsidR="00400250" w:rsidRPr="00E27200">
        <w:rPr>
          <w:rFonts w:asciiTheme="minorHAnsi" w:hAnsiTheme="minorHAnsi" w:cs="Arial"/>
          <w:color w:val="000000"/>
          <w:szCs w:val="19"/>
          <w:lang w:val="en-AU"/>
        </w:rPr>
        <w:t xml:space="preserve">reported as </w:t>
      </w:r>
      <w:r w:rsidRPr="00E27200">
        <w:rPr>
          <w:rFonts w:asciiTheme="minorHAnsi" w:hAnsiTheme="minorHAnsi" w:cs="Arial"/>
          <w:color w:val="000000"/>
          <w:szCs w:val="19"/>
          <w:lang w:val="en-AU"/>
        </w:rPr>
        <w:t xml:space="preserve">not well organized though in general vaccines move from AMS to province then to district and </w:t>
      </w:r>
      <w:r w:rsidR="002E785F" w:rsidRPr="00E27200">
        <w:rPr>
          <w:rFonts w:asciiTheme="minorHAnsi" w:hAnsiTheme="minorHAnsi" w:cs="Arial"/>
          <w:color w:val="000000"/>
          <w:szCs w:val="19"/>
          <w:lang w:val="en-AU"/>
        </w:rPr>
        <w:t xml:space="preserve">finally to health facilities. </w:t>
      </w:r>
      <w:r w:rsidR="00400250" w:rsidRPr="00E27200">
        <w:rPr>
          <w:rFonts w:asciiTheme="minorHAnsi" w:hAnsiTheme="minorHAnsi" w:cs="Arial"/>
          <w:color w:val="000000"/>
          <w:szCs w:val="19"/>
          <w:lang w:val="en-AU"/>
        </w:rPr>
        <w:t>Informants report d</w:t>
      </w:r>
      <w:r w:rsidRPr="00E27200">
        <w:rPr>
          <w:rFonts w:asciiTheme="minorHAnsi" w:hAnsiTheme="minorHAnsi" w:cs="Arial"/>
          <w:color w:val="000000"/>
          <w:szCs w:val="19"/>
          <w:lang w:val="en-AU"/>
        </w:rPr>
        <w:t xml:space="preserve">ifficulties in meeting transport costs </w:t>
      </w:r>
      <w:r w:rsidR="00400250" w:rsidRPr="00E27200">
        <w:rPr>
          <w:rFonts w:asciiTheme="minorHAnsi" w:hAnsiTheme="minorHAnsi" w:cs="Arial"/>
          <w:color w:val="000000"/>
          <w:szCs w:val="19"/>
          <w:lang w:val="en-AU"/>
        </w:rPr>
        <w:t xml:space="preserve">that </w:t>
      </w:r>
      <w:r w:rsidRPr="00E27200">
        <w:rPr>
          <w:rFonts w:asciiTheme="minorHAnsi" w:hAnsiTheme="minorHAnsi" w:cs="Arial"/>
          <w:color w:val="000000"/>
          <w:szCs w:val="19"/>
          <w:lang w:val="en-AU"/>
        </w:rPr>
        <w:t xml:space="preserve">hampers vaccine </w:t>
      </w:r>
      <w:r w:rsidR="00400250" w:rsidRPr="00E27200">
        <w:rPr>
          <w:rFonts w:asciiTheme="minorHAnsi" w:hAnsiTheme="minorHAnsi" w:cs="Arial"/>
          <w:color w:val="000000"/>
          <w:szCs w:val="19"/>
          <w:lang w:val="en-AU"/>
        </w:rPr>
        <w:t>availability</w:t>
      </w:r>
      <w:r w:rsidRPr="00E27200">
        <w:rPr>
          <w:rFonts w:asciiTheme="minorHAnsi" w:hAnsiTheme="minorHAnsi" w:cs="Arial"/>
          <w:color w:val="000000"/>
          <w:szCs w:val="19"/>
          <w:lang w:val="en-AU"/>
        </w:rPr>
        <w:t xml:space="preserve">.  Most of the time </w:t>
      </w:r>
      <w:r w:rsidR="00400250" w:rsidRPr="00E27200">
        <w:rPr>
          <w:rFonts w:asciiTheme="minorHAnsi" w:hAnsiTheme="minorHAnsi" w:cs="Arial"/>
          <w:color w:val="000000"/>
          <w:szCs w:val="19"/>
          <w:lang w:val="en-AU"/>
        </w:rPr>
        <w:t>shipments</w:t>
      </w:r>
      <w:r w:rsidRPr="00E27200">
        <w:rPr>
          <w:rFonts w:asciiTheme="minorHAnsi" w:hAnsiTheme="minorHAnsi" w:cs="Arial"/>
          <w:color w:val="000000"/>
          <w:szCs w:val="19"/>
          <w:lang w:val="en-AU"/>
        </w:rPr>
        <w:t xml:space="preserve"> are pushed to health centres</w:t>
      </w:r>
      <w:r w:rsidR="00400250" w:rsidRPr="00E27200">
        <w:rPr>
          <w:rFonts w:asciiTheme="minorHAnsi" w:hAnsiTheme="minorHAnsi" w:cs="Arial"/>
          <w:color w:val="000000"/>
          <w:szCs w:val="19"/>
          <w:lang w:val="en-AU"/>
        </w:rPr>
        <w:t xml:space="preserve"> in quantities determined by population data</w:t>
      </w:r>
      <w:r w:rsidRPr="00E27200">
        <w:rPr>
          <w:rFonts w:asciiTheme="minorHAnsi" w:hAnsiTheme="minorHAnsi" w:cs="Arial"/>
          <w:color w:val="000000"/>
          <w:szCs w:val="19"/>
          <w:lang w:val="en-AU"/>
        </w:rPr>
        <w:t xml:space="preserve">. </w:t>
      </w:r>
      <w:r w:rsidR="00400250" w:rsidRPr="00E27200">
        <w:rPr>
          <w:rFonts w:asciiTheme="minorHAnsi" w:hAnsiTheme="minorHAnsi" w:cs="Arial"/>
          <w:color w:val="000000"/>
          <w:szCs w:val="19"/>
          <w:lang w:val="en-AU"/>
        </w:rPr>
        <w:t xml:space="preserve">Because of </w:t>
      </w:r>
      <w:r w:rsidRPr="00E27200">
        <w:rPr>
          <w:rFonts w:asciiTheme="minorHAnsi" w:hAnsiTheme="minorHAnsi" w:cs="Arial"/>
          <w:color w:val="000000"/>
          <w:szCs w:val="19"/>
          <w:lang w:val="en-AU"/>
        </w:rPr>
        <w:t>problems with identification of catchment area</w:t>
      </w:r>
      <w:r w:rsidR="00B672FF">
        <w:rPr>
          <w:rFonts w:asciiTheme="minorHAnsi" w:hAnsiTheme="minorHAnsi" w:cs="Arial"/>
          <w:color w:val="000000"/>
          <w:szCs w:val="19"/>
          <w:lang w:val="en-AU"/>
        </w:rPr>
        <w:t xml:space="preserve"> populations</w:t>
      </w:r>
      <w:r w:rsidRPr="00E27200">
        <w:rPr>
          <w:rFonts w:asciiTheme="minorHAnsi" w:hAnsiTheme="minorHAnsi" w:cs="Arial"/>
          <w:color w:val="000000"/>
          <w:szCs w:val="19"/>
          <w:lang w:val="en-AU"/>
        </w:rPr>
        <w:t xml:space="preserve"> and monitoring of vaccine </w:t>
      </w:r>
      <w:r w:rsidR="00B672FF">
        <w:rPr>
          <w:rFonts w:asciiTheme="minorHAnsi" w:hAnsiTheme="minorHAnsi" w:cs="Arial"/>
          <w:color w:val="000000"/>
          <w:szCs w:val="19"/>
          <w:lang w:val="en-AU"/>
        </w:rPr>
        <w:t>coverage</w:t>
      </w:r>
      <w:r w:rsidRPr="00E27200">
        <w:rPr>
          <w:rFonts w:asciiTheme="minorHAnsi" w:hAnsiTheme="minorHAnsi" w:cs="Arial"/>
          <w:color w:val="000000"/>
          <w:szCs w:val="19"/>
          <w:lang w:val="en-AU"/>
        </w:rPr>
        <w:t>, high wastage rate</w:t>
      </w:r>
      <w:r w:rsidR="00B672FF">
        <w:rPr>
          <w:rFonts w:asciiTheme="minorHAnsi" w:hAnsiTheme="minorHAnsi" w:cs="Arial"/>
          <w:color w:val="000000"/>
          <w:szCs w:val="19"/>
          <w:lang w:val="en-AU"/>
        </w:rPr>
        <w:t>s have been reported for some time; noting that there is an immunization program review underway in 2013 that can clarify this</w:t>
      </w:r>
      <w:r w:rsidRPr="00E27200">
        <w:rPr>
          <w:rFonts w:asciiTheme="minorHAnsi" w:hAnsiTheme="minorHAnsi" w:cs="Arial"/>
          <w:color w:val="000000"/>
          <w:szCs w:val="19"/>
          <w:lang w:val="en-AU"/>
        </w:rPr>
        <w:t>.</w:t>
      </w:r>
    </w:p>
    <w:p w14:paraId="0E1D7905"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1BB87C86" w14:textId="77777777" w:rsidR="007C1A68"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Though it was reported that all AMS </w:t>
      </w:r>
      <w:r w:rsidR="00400250" w:rsidRPr="00E27200">
        <w:rPr>
          <w:rFonts w:asciiTheme="minorHAnsi" w:hAnsiTheme="minorHAnsi" w:cs="Arial"/>
          <w:color w:val="000000"/>
          <w:szCs w:val="19"/>
          <w:lang w:val="en-AU"/>
        </w:rPr>
        <w:t>have</w:t>
      </w:r>
      <w:r w:rsidRPr="00E27200">
        <w:rPr>
          <w:rFonts w:asciiTheme="minorHAnsi" w:hAnsiTheme="minorHAnsi" w:cs="Arial"/>
          <w:color w:val="000000"/>
          <w:szCs w:val="19"/>
          <w:lang w:val="en-AU"/>
        </w:rPr>
        <w:t xml:space="preserve"> cold sto</w:t>
      </w:r>
      <w:r w:rsidR="00400250" w:rsidRPr="00E27200">
        <w:rPr>
          <w:rFonts w:asciiTheme="minorHAnsi" w:hAnsiTheme="minorHAnsi" w:cs="Arial"/>
          <w:color w:val="000000"/>
          <w:szCs w:val="19"/>
          <w:lang w:val="en-AU"/>
        </w:rPr>
        <w:t>rage, the infrastructure is poor</w:t>
      </w:r>
      <w:r w:rsidRPr="00E27200">
        <w:rPr>
          <w:rFonts w:asciiTheme="minorHAnsi" w:hAnsiTheme="minorHAnsi" w:cs="Arial"/>
          <w:color w:val="000000"/>
          <w:szCs w:val="19"/>
          <w:lang w:val="en-AU"/>
        </w:rPr>
        <w:t xml:space="preserve">. </w:t>
      </w:r>
      <w:r w:rsidR="007C1A68" w:rsidRPr="00E27200">
        <w:rPr>
          <w:rFonts w:asciiTheme="minorHAnsi" w:hAnsiTheme="minorHAnsi" w:cs="Arial"/>
          <w:color w:val="000000"/>
          <w:szCs w:val="19"/>
          <w:lang w:val="en-AU"/>
        </w:rPr>
        <w:t>Our evaluation survey found that 76% of health facilities had cold storage available (92% of hospitals and 76% of health centres and sub centres, but minimal cold chain facility at AP levels.  Only 17% make regular temperature monitoring checks.</w:t>
      </w:r>
      <w:r w:rsidRPr="00E27200">
        <w:rPr>
          <w:rFonts w:asciiTheme="minorHAnsi" w:hAnsiTheme="minorHAnsi" w:cs="Arial"/>
          <w:color w:val="000000"/>
          <w:szCs w:val="19"/>
          <w:lang w:val="en-AU"/>
        </w:rPr>
        <w:t xml:space="preserve"> </w:t>
      </w:r>
    </w:p>
    <w:p w14:paraId="0F8DF401" w14:textId="77777777" w:rsidR="007C1A68" w:rsidRPr="00E27200" w:rsidRDefault="007C1A68"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53D67D3D" w14:textId="51E9774F" w:rsidR="00AA6106" w:rsidRPr="00E27200" w:rsidRDefault="007439AA"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Pr>
          <w:rFonts w:asciiTheme="minorHAnsi" w:hAnsiTheme="minorHAnsi" w:cs="Arial"/>
          <w:color w:val="000000"/>
          <w:szCs w:val="19"/>
          <w:lang w:val="en-AU"/>
        </w:rPr>
        <w:t xml:space="preserve">The </w:t>
      </w:r>
      <w:r w:rsidR="00DC21D4">
        <w:rPr>
          <w:rFonts w:asciiTheme="minorHAnsi" w:hAnsiTheme="minorHAnsi" w:cs="Arial"/>
          <w:color w:val="000000"/>
          <w:szCs w:val="19"/>
          <w:lang w:val="en-AU"/>
        </w:rPr>
        <w:t xml:space="preserve">Australian </w:t>
      </w:r>
      <w:r>
        <w:rPr>
          <w:rFonts w:asciiTheme="minorHAnsi" w:hAnsiTheme="minorHAnsi" w:cs="Arial"/>
          <w:color w:val="000000"/>
          <w:szCs w:val="19"/>
          <w:lang w:val="en-AU"/>
        </w:rPr>
        <w:t>Government</w:t>
      </w:r>
      <w:r w:rsidRPr="00E27200">
        <w:rPr>
          <w:rFonts w:asciiTheme="minorHAnsi" w:hAnsiTheme="minorHAnsi" w:cs="Arial"/>
          <w:color w:val="000000"/>
          <w:szCs w:val="19"/>
          <w:lang w:val="en-AU"/>
        </w:rPr>
        <w:t xml:space="preserve"> </w:t>
      </w:r>
      <w:r w:rsidR="00AA6106" w:rsidRPr="00E27200">
        <w:rPr>
          <w:rFonts w:asciiTheme="minorHAnsi" w:hAnsiTheme="minorHAnsi" w:cs="Arial"/>
          <w:color w:val="000000"/>
          <w:szCs w:val="19"/>
          <w:lang w:val="en-AU"/>
        </w:rPr>
        <w:t xml:space="preserve">supported cold chain improvements and tasked CKP to undertake the procurement of cold chain equipment (refrigerators and solar units </w:t>
      </w:r>
      <w:r w:rsidR="00400250" w:rsidRPr="00E27200">
        <w:rPr>
          <w:rFonts w:asciiTheme="minorHAnsi" w:hAnsiTheme="minorHAnsi" w:cs="Arial"/>
          <w:color w:val="000000"/>
          <w:szCs w:val="19"/>
          <w:lang w:val="en-AU"/>
        </w:rPr>
        <w:t>to a value of</w:t>
      </w:r>
      <w:r w:rsidR="00AA6106" w:rsidRPr="00E27200">
        <w:rPr>
          <w:rFonts w:asciiTheme="minorHAnsi" w:hAnsiTheme="minorHAnsi" w:cs="Arial"/>
          <w:color w:val="000000"/>
          <w:szCs w:val="19"/>
          <w:lang w:val="en-AU"/>
        </w:rPr>
        <w:t xml:space="preserve"> USD 280,482).  The last units were received on 2</w:t>
      </w:r>
      <w:r w:rsidR="00AA6106" w:rsidRPr="00E27200">
        <w:rPr>
          <w:rFonts w:asciiTheme="minorHAnsi" w:hAnsiTheme="minorHAnsi" w:cs="Arial"/>
          <w:color w:val="000000"/>
          <w:szCs w:val="19"/>
          <w:vertAlign w:val="superscript"/>
          <w:lang w:val="en-AU"/>
        </w:rPr>
        <w:t>nd</w:t>
      </w:r>
      <w:r w:rsidR="00AA6106" w:rsidRPr="00E27200">
        <w:rPr>
          <w:rFonts w:asciiTheme="minorHAnsi" w:hAnsiTheme="minorHAnsi" w:cs="Arial"/>
          <w:color w:val="000000"/>
          <w:szCs w:val="19"/>
          <w:lang w:val="en-AU"/>
        </w:rPr>
        <w:t xml:space="preserve"> April 2012 and were procured by UNICEF as direct source of supply. Transport co</w:t>
      </w:r>
      <w:r w:rsidR="00400250" w:rsidRPr="00E27200">
        <w:rPr>
          <w:rFonts w:asciiTheme="minorHAnsi" w:hAnsiTheme="minorHAnsi" w:cs="Arial"/>
          <w:color w:val="000000"/>
          <w:szCs w:val="19"/>
          <w:lang w:val="en-AU"/>
        </w:rPr>
        <w:t xml:space="preserve">sts in country were revised to </w:t>
      </w:r>
      <w:r w:rsidR="00AA6106" w:rsidRPr="00E27200">
        <w:rPr>
          <w:rFonts w:asciiTheme="minorHAnsi" w:hAnsiTheme="minorHAnsi" w:cs="Arial"/>
          <w:color w:val="000000"/>
          <w:szCs w:val="19"/>
          <w:lang w:val="en-AU"/>
        </w:rPr>
        <w:t xml:space="preserve">590,126 </w:t>
      </w:r>
      <w:r w:rsidR="00400250" w:rsidRPr="00E27200">
        <w:rPr>
          <w:rFonts w:asciiTheme="minorHAnsi" w:hAnsiTheme="minorHAnsi" w:cs="Arial"/>
          <w:color w:val="000000"/>
          <w:szCs w:val="19"/>
          <w:lang w:val="en-AU"/>
        </w:rPr>
        <w:t>PGK</w:t>
      </w:r>
      <w:r w:rsidR="00AA6106" w:rsidRPr="00E27200">
        <w:rPr>
          <w:rFonts w:asciiTheme="minorHAnsi" w:hAnsiTheme="minorHAnsi" w:cs="Arial"/>
          <w:color w:val="000000"/>
          <w:szCs w:val="19"/>
          <w:lang w:val="en-AU"/>
        </w:rPr>
        <w:t xml:space="preserve">, this included freight forwarding services of redirecting one unit from </w:t>
      </w:r>
      <w:proofErr w:type="spellStart"/>
      <w:r w:rsidR="00AA6106" w:rsidRPr="00E27200">
        <w:rPr>
          <w:rFonts w:asciiTheme="minorHAnsi" w:hAnsiTheme="minorHAnsi" w:cs="Arial"/>
          <w:color w:val="000000"/>
          <w:szCs w:val="19"/>
          <w:lang w:val="en-AU"/>
        </w:rPr>
        <w:t>Amboin</w:t>
      </w:r>
      <w:proofErr w:type="spellEnd"/>
      <w:r w:rsidR="00AA6106" w:rsidRPr="00E27200">
        <w:rPr>
          <w:rFonts w:asciiTheme="minorHAnsi" w:hAnsiTheme="minorHAnsi" w:cs="Arial"/>
          <w:color w:val="000000"/>
          <w:szCs w:val="19"/>
          <w:lang w:val="en-AU"/>
        </w:rPr>
        <w:t xml:space="preserve"> (East Sepik) to Bosset Health Centre in Western Province.</w:t>
      </w:r>
    </w:p>
    <w:p w14:paraId="668F73CF"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285AC68F" w14:textId="14AA807E"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 xml:space="preserve">Through an open tender method </w:t>
      </w:r>
      <w:proofErr w:type="spellStart"/>
      <w:r w:rsidRPr="00E27200">
        <w:rPr>
          <w:rFonts w:asciiTheme="minorHAnsi" w:hAnsiTheme="minorHAnsi" w:cs="Arial"/>
          <w:color w:val="000000"/>
          <w:szCs w:val="19"/>
          <w:lang w:val="en-AU"/>
        </w:rPr>
        <w:t>Bookland</w:t>
      </w:r>
      <w:proofErr w:type="spellEnd"/>
      <w:r w:rsidRPr="00E27200">
        <w:rPr>
          <w:rFonts w:asciiTheme="minorHAnsi" w:hAnsiTheme="minorHAnsi" w:cs="Arial"/>
          <w:color w:val="000000"/>
          <w:szCs w:val="19"/>
          <w:lang w:val="en-AU"/>
        </w:rPr>
        <w:t xml:space="preserve"> PNG was awarded the transport contract to distribute the cold chain equipment.  Distribution commenced on March 2012</w:t>
      </w:r>
      <w:r w:rsidR="00400250" w:rsidRPr="00E27200">
        <w:rPr>
          <w:rFonts w:asciiTheme="minorHAnsi" w:hAnsiTheme="minorHAnsi" w:cs="Arial"/>
          <w:color w:val="000000"/>
          <w:szCs w:val="19"/>
          <w:lang w:val="en-AU"/>
        </w:rPr>
        <w:t>, with 90% of deliveries completed by September 2012</w:t>
      </w:r>
      <w:r w:rsidRPr="00E27200">
        <w:rPr>
          <w:rFonts w:asciiTheme="minorHAnsi" w:hAnsiTheme="minorHAnsi" w:cs="Arial"/>
          <w:color w:val="000000"/>
          <w:szCs w:val="19"/>
          <w:lang w:val="en-AU"/>
        </w:rPr>
        <w:t xml:space="preserve"> and </w:t>
      </w:r>
      <w:r w:rsidR="00400250" w:rsidRPr="00E27200">
        <w:rPr>
          <w:rFonts w:asciiTheme="minorHAnsi" w:hAnsiTheme="minorHAnsi" w:cs="Arial"/>
          <w:color w:val="000000"/>
          <w:szCs w:val="19"/>
          <w:lang w:val="en-AU"/>
        </w:rPr>
        <w:t>final deliveries by</w:t>
      </w:r>
      <w:r w:rsidRPr="00E27200">
        <w:rPr>
          <w:rFonts w:asciiTheme="minorHAnsi" w:hAnsiTheme="minorHAnsi" w:cs="Arial"/>
          <w:color w:val="000000"/>
          <w:szCs w:val="19"/>
          <w:lang w:val="en-AU"/>
        </w:rPr>
        <w:t xml:space="preserve"> </w:t>
      </w:r>
      <w:r w:rsidR="00400250" w:rsidRPr="00E27200">
        <w:rPr>
          <w:rFonts w:asciiTheme="minorHAnsi" w:hAnsiTheme="minorHAnsi" w:cs="Arial"/>
          <w:color w:val="000000"/>
          <w:szCs w:val="19"/>
          <w:lang w:val="en-AU"/>
        </w:rPr>
        <w:t>January 2013.</w:t>
      </w:r>
      <w:r w:rsidRPr="00E27200">
        <w:rPr>
          <w:rFonts w:asciiTheme="minorHAnsi" w:hAnsiTheme="minorHAnsi" w:cs="Arial"/>
          <w:color w:val="000000"/>
          <w:szCs w:val="19"/>
          <w:lang w:val="en-AU"/>
        </w:rPr>
        <w:t xml:space="preserve"> </w:t>
      </w:r>
      <w:r w:rsidR="00400250" w:rsidRPr="00E27200">
        <w:rPr>
          <w:rFonts w:asciiTheme="minorHAnsi" w:hAnsiTheme="minorHAnsi" w:cs="Arial"/>
          <w:color w:val="000000"/>
          <w:szCs w:val="19"/>
          <w:lang w:val="en-AU"/>
        </w:rPr>
        <w:t xml:space="preserve">There were some reports of difficulties in installation of </w:t>
      </w:r>
      <w:r w:rsidRPr="00E27200">
        <w:rPr>
          <w:rFonts w:asciiTheme="minorHAnsi" w:hAnsiTheme="minorHAnsi" w:cs="Arial"/>
          <w:color w:val="000000"/>
          <w:szCs w:val="19"/>
          <w:lang w:val="en-AU"/>
        </w:rPr>
        <w:t xml:space="preserve">refrigerators </w:t>
      </w:r>
      <w:r w:rsidR="00400250" w:rsidRPr="00E27200">
        <w:rPr>
          <w:rFonts w:asciiTheme="minorHAnsi" w:hAnsiTheme="minorHAnsi" w:cs="Arial"/>
          <w:color w:val="000000"/>
          <w:szCs w:val="19"/>
          <w:lang w:val="en-AU"/>
        </w:rPr>
        <w:t>supplied with</w:t>
      </w:r>
      <w:r w:rsidRPr="00E27200">
        <w:rPr>
          <w:rFonts w:asciiTheme="minorHAnsi" w:hAnsiTheme="minorHAnsi" w:cs="Arial"/>
          <w:color w:val="000000"/>
          <w:szCs w:val="19"/>
          <w:lang w:val="en-AU"/>
        </w:rPr>
        <w:t xml:space="preserve"> European </w:t>
      </w:r>
      <w:r w:rsidR="007C1A68" w:rsidRPr="00E27200">
        <w:rPr>
          <w:rFonts w:asciiTheme="minorHAnsi" w:hAnsiTheme="minorHAnsi" w:cs="Arial"/>
          <w:color w:val="000000"/>
          <w:szCs w:val="19"/>
          <w:lang w:val="en-AU"/>
        </w:rPr>
        <w:t>power connectors</w:t>
      </w:r>
      <w:r w:rsidRPr="00E27200">
        <w:rPr>
          <w:rFonts w:asciiTheme="minorHAnsi" w:hAnsiTheme="minorHAnsi" w:cs="Arial"/>
          <w:color w:val="000000"/>
          <w:szCs w:val="19"/>
          <w:lang w:val="en-AU"/>
        </w:rPr>
        <w:t>.</w:t>
      </w:r>
      <w:r w:rsidR="00471F43">
        <w:rPr>
          <w:rFonts w:asciiTheme="minorHAnsi" w:hAnsiTheme="minorHAnsi" w:cs="Arial"/>
          <w:color w:val="000000"/>
          <w:szCs w:val="19"/>
          <w:lang w:val="en-AU"/>
        </w:rPr>
        <w:t xml:space="preserve"> </w:t>
      </w:r>
      <w:r w:rsidR="00471F43">
        <w:t>However, adaptors were provided to all supplied facilities to address this.</w:t>
      </w:r>
    </w:p>
    <w:p w14:paraId="3D80272D" w14:textId="77777777" w:rsidR="00AA6106" w:rsidRPr="00E27200" w:rsidRDefault="00AA6106" w:rsidP="00AA6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p>
    <w:p w14:paraId="786BD145" w14:textId="4C4233D8" w:rsidR="00AA6106" w:rsidRPr="00E27200" w:rsidRDefault="00AA6106" w:rsidP="00BC5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sidRPr="00E27200">
        <w:rPr>
          <w:rFonts w:asciiTheme="minorHAnsi" w:hAnsiTheme="minorHAnsi" w:cs="Arial"/>
          <w:color w:val="000000"/>
          <w:szCs w:val="19"/>
          <w:lang w:val="en-AU"/>
        </w:rPr>
        <w:t>Out of the 22 districts where cold chain equipment was delivered</w:t>
      </w:r>
      <w:r w:rsidR="00557299">
        <w:rPr>
          <w:rFonts w:asciiTheme="minorHAnsi" w:hAnsiTheme="minorHAnsi" w:cs="Arial"/>
          <w:color w:val="000000"/>
          <w:szCs w:val="19"/>
          <w:lang w:val="en-AU"/>
        </w:rPr>
        <w:t xml:space="preserve"> based on the </w:t>
      </w:r>
      <w:proofErr w:type="spellStart"/>
      <w:r w:rsidR="00557299">
        <w:rPr>
          <w:rFonts w:asciiTheme="minorHAnsi" w:hAnsiTheme="minorHAnsi" w:cs="Arial"/>
          <w:color w:val="000000"/>
          <w:szCs w:val="19"/>
          <w:lang w:val="en-AU"/>
        </w:rPr>
        <w:t>NDoH</w:t>
      </w:r>
      <w:proofErr w:type="spellEnd"/>
      <w:r w:rsidR="00557299">
        <w:rPr>
          <w:rFonts w:asciiTheme="minorHAnsi" w:hAnsiTheme="minorHAnsi" w:cs="Arial"/>
          <w:color w:val="000000"/>
          <w:szCs w:val="19"/>
          <w:lang w:val="en-AU"/>
        </w:rPr>
        <w:t xml:space="preserve"> and WHO’s agreed list</w:t>
      </w:r>
      <w:r w:rsidRPr="00E27200">
        <w:rPr>
          <w:rFonts w:asciiTheme="minorHAnsi" w:hAnsiTheme="minorHAnsi" w:cs="Arial"/>
          <w:color w:val="000000"/>
          <w:szCs w:val="19"/>
          <w:lang w:val="en-AU"/>
        </w:rPr>
        <w:t xml:space="preserve">, only Middle </w:t>
      </w:r>
      <w:proofErr w:type="spellStart"/>
      <w:r w:rsidRPr="00E27200">
        <w:rPr>
          <w:rFonts w:asciiTheme="minorHAnsi" w:hAnsiTheme="minorHAnsi" w:cs="Arial"/>
          <w:color w:val="000000"/>
          <w:szCs w:val="19"/>
          <w:lang w:val="en-AU"/>
        </w:rPr>
        <w:t>Ramu</w:t>
      </w:r>
      <w:proofErr w:type="spellEnd"/>
      <w:r w:rsidRPr="00E27200">
        <w:rPr>
          <w:rFonts w:asciiTheme="minorHAnsi" w:hAnsiTheme="minorHAnsi" w:cs="Arial"/>
          <w:color w:val="000000"/>
          <w:szCs w:val="19"/>
          <w:lang w:val="en-AU"/>
        </w:rPr>
        <w:t xml:space="preserve">, </w:t>
      </w:r>
      <w:proofErr w:type="spellStart"/>
      <w:r w:rsidRPr="00E27200">
        <w:rPr>
          <w:rFonts w:asciiTheme="minorHAnsi" w:hAnsiTheme="minorHAnsi" w:cs="Arial"/>
          <w:color w:val="000000"/>
          <w:szCs w:val="19"/>
          <w:lang w:val="en-AU"/>
        </w:rPr>
        <w:t>Rai</w:t>
      </w:r>
      <w:proofErr w:type="spellEnd"/>
      <w:r w:rsidRPr="00E27200">
        <w:rPr>
          <w:rFonts w:asciiTheme="minorHAnsi" w:hAnsiTheme="minorHAnsi" w:cs="Arial"/>
          <w:color w:val="000000"/>
          <w:szCs w:val="19"/>
          <w:lang w:val="en-AU"/>
        </w:rPr>
        <w:t xml:space="preserve"> Coast and </w:t>
      </w:r>
      <w:proofErr w:type="spellStart"/>
      <w:r w:rsidRPr="00E27200">
        <w:rPr>
          <w:rFonts w:asciiTheme="minorHAnsi" w:hAnsiTheme="minorHAnsi" w:cs="Arial"/>
          <w:color w:val="000000"/>
          <w:szCs w:val="19"/>
          <w:lang w:val="en-AU"/>
        </w:rPr>
        <w:t>Bogia</w:t>
      </w:r>
      <w:proofErr w:type="spellEnd"/>
      <w:r w:rsidRPr="00E27200">
        <w:rPr>
          <w:rFonts w:asciiTheme="minorHAnsi" w:hAnsiTheme="minorHAnsi" w:cs="Arial"/>
          <w:color w:val="000000"/>
          <w:szCs w:val="19"/>
          <w:lang w:val="en-AU"/>
        </w:rPr>
        <w:t xml:space="preserve"> districts in </w:t>
      </w:r>
      <w:proofErr w:type="spellStart"/>
      <w:r w:rsidRPr="00E27200">
        <w:rPr>
          <w:rFonts w:asciiTheme="minorHAnsi" w:hAnsiTheme="minorHAnsi" w:cs="Arial"/>
          <w:color w:val="000000"/>
          <w:szCs w:val="19"/>
          <w:lang w:val="en-AU"/>
        </w:rPr>
        <w:t>Madang</w:t>
      </w:r>
      <w:proofErr w:type="spellEnd"/>
      <w:r w:rsidRPr="00E27200">
        <w:rPr>
          <w:rFonts w:asciiTheme="minorHAnsi" w:hAnsiTheme="minorHAnsi" w:cs="Arial"/>
          <w:color w:val="000000"/>
          <w:szCs w:val="19"/>
          <w:lang w:val="en-AU"/>
        </w:rPr>
        <w:t xml:space="preserve"> </w:t>
      </w:r>
      <w:r w:rsidR="007C1A68" w:rsidRPr="00E27200">
        <w:rPr>
          <w:rFonts w:asciiTheme="minorHAnsi" w:hAnsiTheme="minorHAnsi" w:cs="Arial"/>
          <w:color w:val="000000"/>
          <w:szCs w:val="19"/>
          <w:lang w:val="en-AU"/>
        </w:rPr>
        <w:t xml:space="preserve">Province, </w:t>
      </w:r>
      <w:r w:rsidRPr="00E27200">
        <w:rPr>
          <w:rFonts w:asciiTheme="minorHAnsi" w:hAnsiTheme="minorHAnsi" w:cs="Arial"/>
          <w:color w:val="000000"/>
          <w:szCs w:val="19"/>
          <w:lang w:val="en-AU"/>
        </w:rPr>
        <w:t xml:space="preserve">and </w:t>
      </w:r>
      <w:proofErr w:type="spellStart"/>
      <w:r w:rsidRPr="00E27200">
        <w:rPr>
          <w:rFonts w:asciiTheme="minorHAnsi" w:hAnsiTheme="minorHAnsi" w:cs="Arial"/>
          <w:color w:val="000000"/>
          <w:szCs w:val="19"/>
          <w:lang w:val="en-AU"/>
        </w:rPr>
        <w:t>Ambunti-Drekikir</w:t>
      </w:r>
      <w:proofErr w:type="spellEnd"/>
      <w:r w:rsidRPr="00E27200">
        <w:rPr>
          <w:rFonts w:asciiTheme="minorHAnsi" w:hAnsiTheme="minorHAnsi" w:cs="Arial"/>
          <w:color w:val="000000"/>
          <w:szCs w:val="19"/>
          <w:lang w:val="en-AU"/>
        </w:rPr>
        <w:t xml:space="preserve"> district in East Sepik </w:t>
      </w:r>
      <w:r w:rsidR="007C1A68" w:rsidRPr="00E27200">
        <w:rPr>
          <w:rFonts w:asciiTheme="minorHAnsi" w:hAnsiTheme="minorHAnsi" w:cs="Arial"/>
          <w:color w:val="000000"/>
          <w:szCs w:val="19"/>
          <w:lang w:val="en-AU"/>
        </w:rPr>
        <w:t xml:space="preserve">Province, </w:t>
      </w:r>
      <w:r w:rsidRPr="00E27200">
        <w:rPr>
          <w:rFonts w:asciiTheme="minorHAnsi" w:hAnsiTheme="minorHAnsi" w:cs="Arial"/>
          <w:color w:val="000000"/>
          <w:szCs w:val="19"/>
          <w:lang w:val="en-AU"/>
        </w:rPr>
        <w:t xml:space="preserve">are </w:t>
      </w:r>
      <w:r w:rsidR="007C1A68" w:rsidRPr="00E27200">
        <w:rPr>
          <w:rFonts w:asciiTheme="minorHAnsi" w:hAnsiTheme="minorHAnsi" w:cs="Arial"/>
          <w:color w:val="000000"/>
          <w:szCs w:val="19"/>
          <w:lang w:val="en-AU"/>
        </w:rPr>
        <w:t>designated as high</w:t>
      </w:r>
      <w:r w:rsidRPr="00E27200">
        <w:rPr>
          <w:rFonts w:asciiTheme="minorHAnsi" w:hAnsiTheme="minorHAnsi" w:cs="Arial"/>
          <w:color w:val="000000"/>
          <w:szCs w:val="19"/>
          <w:lang w:val="en-AU"/>
        </w:rPr>
        <w:t xml:space="preserve"> priority districts</w:t>
      </w:r>
      <w:r w:rsidR="00CC7BEC">
        <w:rPr>
          <w:rFonts w:asciiTheme="minorHAnsi" w:hAnsiTheme="minorHAnsi" w:cs="Arial"/>
          <w:color w:val="000000"/>
          <w:szCs w:val="19"/>
          <w:lang w:val="en-AU"/>
        </w:rPr>
        <w:t>, using immunization program markers based on reported vaccine coverage</w:t>
      </w:r>
      <w:r w:rsidR="00CC7BEC">
        <w:rPr>
          <w:rStyle w:val="FootnoteReference"/>
          <w:rFonts w:asciiTheme="minorHAnsi" w:hAnsiTheme="minorHAnsi"/>
          <w:color w:val="000000"/>
          <w:szCs w:val="19"/>
          <w:lang w:val="en-AU"/>
        </w:rPr>
        <w:footnoteReference w:id="23"/>
      </w:r>
      <w:r w:rsidRPr="00E27200">
        <w:rPr>
          <w:rFonts w:asciiTheme="minorHAnsi" w:hAnsiTheme="minorHAnsi" w:cs="Arial"/>
          <w:color w:val="000000"/>
          <w:szCs w:val="19"/>
          <w:lang w:val="en-AU"/>
        </w:rPr>
        <w:t xml:space="preserve">.  </w:t>
      </w:r>
      <w:r w:rsidR="007C1A68" w:rsidRPr="00E27200">
        <w:rPr>
          <w:rFonts w:asciiTheme="minorHAnsi" w:hAnsiTheme="minorHAnsi" w:cs="Arial"/>
          <w:color w:val="000000"/>
          <w:szCs w:val="19"/>
          <w:lang w:val="en-AU"/>
        </w:rPr>
        <w:t>N</w:t>
      </w:r>
      <w:r w:rsidRPr="00E27200">
        <w:rPr>
          <w:rFonts w:asciiTheme="minorHAnsi" w:hAnsiTheme="minorHAnsi" w:cs="Arial"/>
          <w:color w:val="000000"/>
          <w:szCs w:val="19"/>
          <w:lang w:val="en-AU"/>
        </w:rPr>
        <w:t xml:space="preserve">one of the hospitals (21) where equipment was </w:t>
      </w:r>
      <w:r w:rsidR="007C1A68" w:rsidRPr="00E27200">
        <w:rPr>
          <w:rFonts w:asciiTheme="minorHAnsi" w:hAnsiTheme="minorHAnsi" w:cs="Arial"/>
          <w:color w:val="000000"/>
          <w:szCs w:val="19"/>
          <w:lang w:val="en-AU"/>
        </w:rPr>
        <w:t>provided</w:t>
      </w:r>
      <w:r w:rsidRPr="00E27200">
        <w:rPr>
          <w:rFonts w:asciiTheme="minorHAnsi" w:hAnsiTheme="minorHAnsi" w:cs="Arial"/>
          <w:color w:val="000000"/>
          <w:szCs w:val="19"/>
          <w:lang w:val="en-AU"/>
        </w:rPr>
        <w:t xml:space="preserve"> were in priority districts.  </w:t>
      </w:r>
      <w:r w:rsidR="007C1A68" w:rsidRPr="00E27200">
        <w:rPr>
          <w:rFonts w:asciiTheme="minorHAnsi" w:hAnsiTheme="minorHAnsi" w:cs="Arial"/>
          <w:color w:val="000000"/>
          <w:szCs w:val="19"/>
          <w:lang w:val="en-AU"/>
        </w:rPr>
        <w:t>This suggests that future cold chain procurement is likely to be needed.</w:t>
      </w:r>
      <w:r w:rsidRPr="00E27200">
        <w:rPr>
          <w:lang w:val="en-AU"/>
        </w:rPr>
        <w:br w:type="page"/>
      </w:r>
    </w:p>
    <w:p w14:paraId="5B4841CB" w14:textId="77777777" w:rsidR="002C48C2" w:rsidRPr="00E27200" w:rsidRDefault="00607C00" w:rsidP="00E16C77">
      <w:pPr>
        <w:pStyle w:val="Heading1"/>
      </w:pPr>
      <w:bookmarkStart w:id="97" w:name="_Toc245810753"/>
      <w:r w:rsidRPr="00E27200">
        <w:lastRenderedPageBreak/>
        <w:t>Findings: a</w:t>
      </w:r>
      <w:r w:rsidR="002C48C2" w:rsidRPr="00E27200">
        <w:t>vailability and usage of essential medicines in health facilities</w:t>
      </w:r>
      <w:bookmarkEnd w:id="97"/>
    </w:p>
    <w:p w14:paraId="7E110127" w14:textId="77777777" w:rsidR="000E19DD" w:rsidRPr="00E27200" w:rsidRDefault="00B34AA2" w:rsidP="00B34AA2">
      <w:pPr>
        <w:pStyle w:val="Heading2"/>
      </w:pPr>
      <w:bookmarkStart w:id="98" w:name="_Toc245810754"/>
      <w:r w:rsidRPr="00E27200">
        <w:t>A</w:t>
      </w:r>
      <w:r w:rsidR="007A5715" w:rsidRPr="00E27200">
        <w:t>vailability of essential medicines</w:t>
      </w:r>
      <w:bookmarkEnd w:id="98"/>
    </w:p>
    <w:p w14:paraId="6D663166" w14:textId="2D40783A" w:rsidR="00171CE0" w:rsidRPr="00760CE9" w:rsidRDefault="000E19DD" w:rsidP="00E16C77">
      <w:pPr>
        <w:ind w:left="504"/>
        <w:rPr>
          <w:i/>
          <w:lang w:val="en-AU"/>
        </w:rPr>
      </w:pPr>
      <w:r w:rsidRPr="00E27200">
        <w:rPr>
          <w:b/>
          <w:i/>
          <w:lang w:val="en-AU"/>
        </w:rPr>
        <w:t xml:space="preserve">Key finding: </w:t>
      </w:r>
      <w:r w:rsidRPr="00E27200">
        <w:rPr>
          <w:i/>
          <w:lang w:val="en-AU"/>
        </w:rPr>
        <w:t xml:space="preserve">Availability of essential </w:t>
      </w:r>
      <w:r w:rsidR="0069282E">
        <w:rPr>
          <w:i/>
          <w:lang w:val="en-AU"/>
        </w:rPr>
        <w:t xml:space="preserve">tracer </w:t>
      </w:r>
      <w:r w:rsidRPr="00E27200">
        <w:rPr>
          <w:i/>
          <w:lang w:val="en-AU"/>
        </w:rPr>
        <w:t>medicines in 2013 was measured at 64%, using an internationally standardised</w:t>
      </w:r>
      <w:r w:rsidR="00171CE0" w:rsidRPr="00E27200">
        <w:rPr>
          <w:i/>
          <w:lang w:val="en-AU"/>
        </w:rPr>
        <w:t xml:space="preserve"> indicator. </w:t>
      </w:r>
      <w:r w:rsidR="00470629">
        <w:rPr>
          <w:i/>
          <w:lang w:val="en-AU"/>
        </w:rPr>
        <w:t>NHIS data and qualitative findings suggest a</w:t>
      </w:r>
      <w:r w:rsidR="00171CE0" w:rsidRPr="00E27200">
        <w:rPr>
          <w:i/>
          <w:lang w:val="en-AU"/>
        </w:rPr>
        <w:t>vailability has increased over the past three years, with a significant contribution from the kits distributed through the ‘push’ system.</w:t>
      </w:r>
      <w:r w:rsidR="0081390E">
        <w:rPr>
          <w:i/>
          <w:lang w:val="en-AU"/>
        </w:rPr>
        <w:t xml:space="preserve"> </w:t>
      </w:r>
      <w:r w:rsidR="0081390E" w:rsidRPr="00760CE9">
        <w:rPr>
          <w:i/>
          <w:lang w:val="en-AU"/>
        </w:rPr>
        <w:t>However stock-</w:t>
      </w:r>
      <w:r w:rsidR="00797D81" w:rsidRPr="00760CE9">
        <w:rPr>
          <w:i/>
          <w:lang w:val="en-AU"/>
        </w:rPr>
        <w:t>outs are still common and the majority of facilities needed to privately purchase supplementary medicines at some point.</w:t>
      </w:r>
    </w:p>
    <w:p w14:paraId="0481F631" w14:textId="77777777" w:rsidR="000E19DD" w:rsidRPr="00760CE9" w:rsidRDefault="00171CE0" w:rsidP="00E16C77">
      <w:pPr>
        <w:ind w:left="504"/>
        <w:rPr>
          <w:i/>
          <w:lang w:val="en-AU"/>
        </w:rPr>
      </w:pPr>
      <w:r w:rsidRPr="00760CE9">
        <w:rPr>
          <w:i/>
          <w:lang w:val="en-AU"/>
        </w:rPr>
        <w:t xml:space="preserve"> </w:t>
      </w:r>
    </w:p>
    <w:p w14:paraId="08CE6B14" w14:textId="77777777" w:rsidR="00B34AA2" w:rsidRPr="00760CE9" w:rsidRDefault="00B34AA2" w:rsidP="00B34AA2">
      <w:pPr>
        <w:pStyle w:val="Heading3"/>
      </w:pPr>
      <w:r w:rsidRPr="00760CE9">
        <w:t>Current availability and recent trends</w:t>
      </w:r>
    </w:p>
    <w:p w14:paraId="71EE975C" w14:textId="1576A6E2" w:rsidR="00622547" w:rsidRPr="00361D86" w:rsidRDefault="0090131E" w:rsidP="00E16C77">
      <w:pPr>
        <w:rPr>
          <w:spacing w:val="-2"/>
          <w:szCs w:val="22"/>
          <w:lang w:val="en-AU"/>
        </w:rPr>
      </w:pPr>
      <w:r w:rsidRPr="00760CE9">
        <w:rPr>
          <w:spacing w:val="-2"/>
          <w:szCs w:val="22"/>
          <w:lang w:val="en-AU"/>
        </w:rPr>
        <w:t xml:space="preserve">The overall </w:t>
      </w:r>
      <w:r w:rsidR="003A6464" w:rsidRPr="00760CE9">
        <w:rPr>
          <w:spacing w:val="-2"/>
          <w:szCs w:val="22"/>
          <w:lang w:val="en-AU"/>
        </w:rPr>
        <w:t xml:space="preserve">measurement of </w:t>
      </w:r>
      <w:r w:rsidRPr="00760CE9">
        <w:rPr>
          <w:spacing w:val="-2"/>
          <w:szCs w:val="22"/>
          <w:lang w:val="en-AU"/>
        </w:rPr>
        <w:t>availability</w:t>
      </w:r>
      <w:r w:rsidR="003A6464" w:rsidRPr="00760CE9">
        <w:rPr>
          <w:spacing w:val="-2"/>
          <w:szCs w:val="22"/>
          <w:lang w:val="en-AU"/>
        </w:rPr>
        <w:t>, using the WHO-comparable indicator,</w:t>
      </w:r>
      <w:r w:rsidRPr="00760CE9">
        <w:rPr>
          <w:spacing w:val="-2"/>
          <w:szCs w:val="22"/>
          <w:lang w:val="en-AU"/>
        </w:rPr>
        <w:t xml:space="preserve"> of 16 tracer </w:t>
      </w:r>
      <w:r w:rsidR="00A53830" w:rsidRPr="00760CE9">
        <w:rPr>
          <w:spacing w:val="-2"/>
          <w:szCs w:val="22"/>
          <w:lang w:val="en-AU"/>
        </w:rPr>
        <w:t>medicines</w:t>
      </w:r>
      <w:r w:rsidRPr="00760CE9">
        <w:rPr>
          <w:spacing w:val="-2"/>
          <w:szCs w:val="22"/>
          <w:lang w:val="en-AU"/>
        </w:rPr>
        <w:t xml:space="preserve"> in PNG was 64%. </w:t>
      </w:r>
      <w:r w:rsidR="00622547" w:rsidRPr="00760CE9">
        <w:rPr>
          <w:spacing w:val="-2"/>
          <w:szCs w:val="22"/>
          <w:lang w:val="en-AU"/>
        </w:rPr>
        <w:t xml:space="preserve">Of these, 63.6% were </w:t>
      </w:r>
      <w:r w:rsidR="00F15CA6" w:rsidRPr="00760CE9">
        <w:rPr>
          <w:spacing w:val="-2"/>
          <w:szCs w:val="22"/>
          <w:lang w:val="en-AU"/>
        </w:rPr>
        <w:t xml:space="preserve">from </w:t>
      </w:r>
      <w:r w:rsidR="007439AA">
        <w:rPr>
          <w:spacing w:val="-2"/>
          <w:szCs w:val="22"/>
          <w:lang w:val="en-AU"/>
        </w:rPr>
        <w:t xml:space="preserve">the </w:t>
      </w:r>
      <w:r w:rsidR="00DC21D4">
        <w:rPr>
          <w:rFonts w:cs="Arial"/>
          <w:color w:val="000000"/>
          <w:spacing w:val="-2"/>
          <w:szCs w:val="22"/>
          <w:lang w:val="en-AU"/>
        </w:rPr>
        <w:t xml:space="preserve">Australian </w:t>
      </w:r>
      <w:r w:rsidR="007439AA">
        <w:rPr>
          <w:rFonts w:cs="Arial"/>
          <w:color w:val="000000"/>
          <w:spacing w:val="-2"/>
          <w:szCs w:val="22"/>
          <w:lang w:val="en-AU"/>
        </w:rPr>
        <w:t>Government’s</w:t>
      </w:r>
      <w:r w:rsidR="007439AA" w:rsidRPr="00760CE9">
        <w:rPr>
          <w:rFonts w:cs="Arial"/>
          <w:color w:val="000000"/>
          <w:spacing w:val="-2"/>
          <w:szCs w:val="22"/>
          <w:lang w:val="en-AU"/>
        </w:rPr>
        <w:t xml:space="preserve"> </w:t>
      </w:r>
      <w:r w:rsidR="00F15CA6" w:rsidRPr="00760CE9">
        <w:rPr>
          <w:spacing w:val="-2"/>
          <w:szCs w:val="22"/>
          <w:lang w:val="en-AU"/>
        </w:rPr>
        <w:t>pharmaceutical supply contractors</w:t>
      </w:r>
      <w:r w:rsidR="00622547" w:rsidRPr="00760CE9">
        <w:rPr>
          <w:spacing w:val="-2"/>
          <w:szCs w:val="22"/>
          <w:lang w:val="en-AU"/>
        </w:rPr>
        <w:t xml:space="preserve">, taken as reliable quality due </w:t>
      </w:r>
      <w:r w:rsidR="00221E03" w:rsidRPr="00760CE9">
        <w:rPr>
          <w:spacing w:val="-2"/>
          <w:szCs w:val="22"/>
          <w:lang w:val="en-AU"/>
        </w:rPr>
        <w:t xml:space="preserve">to </w:t>
      </w:r>
      <w:r w:rsidR="00622547" w:rsidRPr="00760CE9">
        <w:rPr>
          <w:spacing w:val="-2"/>
          <w:szCs w:val="22"/>
          <w:lang w:val="en-AU"/>
        </w:rPr>
        <w:t>the quality-guaranteed nature of their source.</w:t>
      </w:r>
      <w:r w:rsidR="00622547" w:rsidRPr="00361D86">
        <w:rPr>
          <w:spacing w:val="-2"/>
          <w:szCs w:val="22"/>
          <w:lang w:val="en-AU"/>
        </w:rPr>
        <w:t xml:space="preserve"> </w:t>
      </w:r>
      <w:r w:rsidR="00A0563F" w:rsidRPr="00361D86">
        <w:rPr>
          <w:spacing w:val="-2"/>
          <w:szCs w:val="22"/>
          <w:lang w:val="en-AU"/>
        </w:rPr>
        <w:t xml:space="preserve"> </w:t>
      </w:r>
      <w:r w:rsidR="00622547" w:rsidRPr="00361D86">
        <w:rPr>
          <w:spacing w:val="-2"/>
          <w:szCs w:val="22"/>
          <w:lang w:val="en-AU"/>
        </w:rPr>
        <w:t>Compared to other countries in the region, t</w:t>
      </w:r>
      <w:r w:rsidRPr="00361D86">
        <w:rPr>
          <w:spacing w:val="-2"/>
          <w:szCs w:val="22"/>
          <w:lang w:val="en-AU"/>
        </w:rPr>
        <w:t xml:space="preserve">his is higher than </w:t>
      </w:r>
      <w:r w:rsidR="00622547" w:rsidRPr="00361D86">
        <w:rPr>
          <w:spacing w:val="-2"/>
          <w:szCs w:val="22"/>
          <w:lang w:val="en-AU"/>
        </w:rPr>
        <w:t>the</w:t>
      </w:r>
      <w:r w:rsidR="00D879BA" w:rsidRPr="00361D86">
        <w:rPr>
          <w:spacing w:val="-2"/>
          <w:szCs w:val="22"/>
          <w:lang w:val="en-AU"/>
        </w:rPr>
        <w:t xml:space="preserve"> availability found in a 2011</w:t>
      </w:r>
      <w:r w:rsidRPr="00361D86">
        <w:rPr>
          <w:spacing w:val="-2"/>
          <w:szCs w:val="22"/>
          <w:lang w:val="en-AU"/>
        </w:rPr>
        <w:t xml:space="preserve"> WHO/HAI pricing survey</w:t>
      </w:r>
      <w:r w:rsidR="006D4F4F" w:rsidRPr="00361D86">
        <w:rPr>
          <w:spacing w:val="-2"/>
          <w:szCs w:val="22"/>
          <w:lang w:val="en-AU"/>
        </w:rPr>
        <w:fldChar w:fldCharType="begin"/>
      </w:r>
      <w:r w:rsidR="003A6464" w:rsidRPr="00361D86">
        <w:rPr>
          <w:spacing w:val="-2"/>
          <w:szCs w:val="22"/>
          <w:lang w:val="en-AU"/>
        </w:rPr>
        <w:instrText xml:space="preserve"> ADDIN EN.CITE &lt;EndNote&gt;&lt;Cite&gt;&lt;Author&gt;World Health Organization&lt;/Author&gt;&lt;Year&gt;2011&lt;/Year&gt;&lt;RecNum&gt;56&lt;/RecNum&gt;&lt;DisplayText&gt;[5]&lt;/DisplayText&gt;&lt;record&gt;&lt;rec-number&gt;56&lt;/rec-number&gt;&lt;foreign-keys&gt;&lt;key app="EN" db-id="ex5s0vddkzxdfhese5yvf5vke2ree5azrt5t"&gt;56&lt;/key&gt;&lt;/foreign-keys&gt;&lt;ref-type name="Report"&gt;27&lt;/ref-type&gt;&lt;contributors&gt;&lt;authors&gt;&lt;author&gt;World Health Organization,&lt;/author&gt;&lt;/authors&gt;&lt;/contributors&gt;&lt;titles&gt;&lt;title&gt;Synthesis Report of Pharmaceutical Country Profiles 2011 (DRAFT)&lt;/title&gt;&lt;/titles&gt;&lt;dates&gt;&lt;year&gt;2011&lt;/year&gt;&lt;/dates&gt;&lt;pub-location&gt;Manila&lt;/pub-location&gt;&lt;publisher&gt;Western Pacific Regional Office of WHO&lt;/publisher&gt;&lt;urls&gt;&lt;/urls&gt;&lt;/record&gt;&lt;/Cite&gt;&lt;/EndNote&gt;</w:instrText>
      </w:r>
      <w:r w:rsidR="006D4F4F" w:rsidRPr="00361D86">
        <w:rPr>
          <w:spacing w:val="-2"/>
          <w:szCs w:val="22"/>
          <w:lang w:val="en-AU"/>
        </w:rPr>
        <w:fldChar w:fldCharType="separate"/>
      </w:r>
      <w:r w:rsidR="003A6464" w:rsidRPr="00361D86">
        <w:rPr>
          <w:noProof/>
          <w:spacing w:val="-2"/>
          <w:szCs w:val="22"/>
          <w:lang w:val="en-AU"/>
        </w:rPr>
        <w:t>[</w:t>
      </w:r>
      <w:hyperlink w:anchor="_ENREF_5" w:tooltip="World Health Organization, 2011 #56" w:history="1">
        <w:r w:rsidR="00E62392" w:rsidRPr="00361D86">
          <w:rPr>
            <w:noProof/>
            <w:spacing w:val="-2"/>
            <w:szCs w:val="22"/>
            <w:lang w:val="en-AU"/>
          </w:rPr>
          <w:t>5</w:t>
        </w:r>
      </w:hyperlink>
      <w:r w:rsidR="003A6464" w:rsidRPr="00361D86">
        <w:rPr>
          <w:noProof/>
          <w:spacing w:val="-2"/>
          <w:szCs w:val="22"/>
          <w:lang w:val="en-AU"/>
        </w:rPr>
        <w:t>]</w:t>
      </w:r>
      <w:r w:rsidR="006D4F4F" w:rsidRPr="00361D86">
        <w:rPr>
          <w:spacing w:val="-2"/>
          <w:szCs w:val="22"/>
          <w:lang w:val="en-AU"/>
        </w:rPr>
        <w:fldChar w:fldCharType="end"/>
      </w:r>
      <w:r w:rsidRPr="00361D86">
        <w:rPr>
          <w:spacing w:val="-2"/>
          <w:szCs w:val="22"/>
          <w:lang w:val="en-AU"/>
        </w:rPr>
        <w:t xml:space="preserve"> </w:t>
      </w:r>
      <w:r w:rsidR="00D879BA" w:rsidRPr="00361D86">
        <w:rPr>
          <w:spacing w:val="-2"/>
          <w:szCs w:val="22"/>
          <w:lang w:val="en-AU"/>
        </w:rPr>
        <w:t xml:space="preserve">that </w:t>
      </w:r>
      <w:r w:rsidRPr="00361D86">
        <w:rPr>
          <w:spacing w:val="-2"/>
          <w:szCs w:val="22"/>
          <w:lang w:val="en-AU"/>
        </w:rPr>
        <w:t>reported an average and median availability of less than 35%</w:t>
      </w:r>
      <w:r w:rsidR="004E0374" w:rsidRPr="00361D86">
        <w:rPr>
          <w:spacing w:val="-2"/>
          <w:szCs w:val="22"/>
          <w:lang w:val="en-AU"/>
        </w:rPr>
        <w:t xml:space="preserve"> </w:t>
      </w:r>
      <w:r w:rsidR="007622CF" w:rsidRPr="00361D86">
        <w:rPr>
          <w:spacing w:val="-2"/>
          <w:szCs w:val="22"/>
          <w:lang w:val="en-AU"/>
        </w:rPr>
        <w:t>across a number of</w:t>
      </w:r>
      <w:r w:rsidR="004E0374" w:rsidRPr="00361D86">
        <w:rPr>
          <w:spacing w:val="-2"/>
          <w:szCs w:val="22"/>
          <w:lang w:val="en-AU"/>
        </w:rPr>
        <w:t xml:space="preserve"> Asian and Pacific countries.</w:t>
      </w:r>
      <w:r w:rsidRPr="00361D86">
        <w:rPr>
          <w:spacing w:val="-2"/>
          <w:szCs w:val="22"/>
          <w:lang w:val="en-AU"/>
        </w:rPr>
        <w:t xml:space="preserve"> The </w:t>
      </w:r>
      <w:r w:rsidR="004E0374" w:rsidRPr="00361D86">
        <w:rPr>
          <w:spacing w:val="-2"/>
          <w:szCs w:val="22"/>
          <w:lang w:val="en-AU"/>
        </w:rPr>
        <w:t xml:space="preserve">level </w:t>
      </w:r>
      <w:r w:rsidRPr="00361D86">
        <w:rPr>
          <w:spacing w:val="-2"/>
          <w:szCs w:val="22"/>
          <w:lang w:val="en-AU"/>
        </w:rPr>
        <w:t xml:space="preserve">is </w:t>
      </w:r>
      <w:r w:rsidR="004E0374" w:rsidRPr="00361D86">
        <w:rPr>
          <w:spacing w:val="-2"/>
          <w:szCs w:val="22"/>
          <w:lang w:val="en-AU"/>
        </w:rPr>
        <w:t xml:space="preserve">comparable to East Timor in 2011, </w:t>
      </w:r>
      <w:r w:rsidRPr="00361D86">
        <w:rPr>
          <w:spacing w:val="-2"/>
          <w:szCs w:val="22"/>
          <w:lang w:val="en-AU"/>
        </w:rPr>
        <w:t>which reported an average availability of 60.4% (range 54.2-66.6%) for 24 selected medicines</w:t>
      </w:r>
      <w:r w:rsidR="004E0374" w:rsidRPr="00361D86">
        <w:rPr>
          <w:spacing w:val="-2"/>
          <w:szCs w:val="22"/>
          <w:lang w:val="en-AU"/>
        </w:rPr>
        <w:t>,</w:t>
      </w:r>
      <w:r w:rsidRPr="00361D86">
        <w:rPr>
          <w:spacing w:val="-2"/>
          <w:szCs w:val="22"/>
          <w:vertAlign w:val="superscript"/>
          <w:lang w:val="en-AU"/>
        </w:rPr>
        <w:t xml:space="preserve"> </w:t>
      </w:r>
      <w:r w:rsidRPr="00361D86">
        <w:rPr>
          <w:spacing w:val="-2"/>
          <w:szCs w:val="22"/>
          <w:lang w:val="en-AU"/>
        </w:rPr>
        <w:t xml:space="preserve">and Solomon Islands with 64% (average across 80 HFs using 30 tracer </w:t>
      </w:r>
      <w:r w:rsidR="00FA44B4">
        <w:rPr>
          <w:spacing w:val="-2"/>
          <w:szCs w:val="22"/>
          <w:lang w:val="en-AU"/>
        </w:rPr>
        <w:t>medicines</w:t>
      </w:r>
      <w:r w:rsidRPr="00361D86">
        <w:rPr>
          <w:spacing w:val="-2"/>
          <w:szCs w:val="22"/>
          <w:lang w:val="en-AU"/>
        </w:rPr>
        <w:t>)</w:t>
      </w:r>
      <w:r w:rsidR="004E0374" w:rsidRPr="00361D86">
        <w:rPr>
          <w:spacing w:val="-2"/>
          <w:szCs w:val="22"/>
          <w:lang w:val="en-AU"/>
        </w:rPr>
        <w:t>.  It is</w:t>
      </w:r>
      <w:r w:rsidRPr="00361D86">
        <w:rPr>
          <w:spacing w:val="-2"/>
          <w:szCs w:val="22"/>
          <w:lang w:val="en-AU"/>
        </w:rPr>
        <w:t xml:space="preserve"> lower than Tonga</w:t>
      </w:r>
      <w:r w:rsidR="00E1587F" w:rsidRPr="00361D86">
        <w:rPr>
          <w:spacing w:val="-2"/>
          <w:szCs w:val="22"/>
          <w:lang w:val="en-AU"/>
        </w:rPr>
        <w:t>,</w:t>
      </w:r>
      <w:r w:rsidRPr="00361D86">
        <w:rPr>
          <w:spacing w:val="-2"/>
          <w:szCs w:val="22"/>
          <w:lang w:val="en-AU"/>
        </w:rPr>
        <w:t xml:space="preserve"> which reported 92% availability among 15 </w:t>
      </w:r>
      <w:r w:rsidR="00B0370B" w:rsidRPr="00361D86">
        <w:rPr>
          <w:spacing w:val="-2"/>
          <w:szCs w:val="22"/>
          <w:lang w:val="en-AU"/>
        </w:rPr>
        <w:t>medicines</w:t>
      </w:r>
      <w:r w:rsidR="004E0374" w:rsidRPr="00361D86">
        <w:rPr>
          <w:spacing w:val="-2"/>
          <w:szCs w:val="22"/>
          <w:vertAlign w:val="superscript"/>
          <w:lang w:val="en-AU"/>
        </w:rPr>
        <w:footnoteReference w:id="24"/>
      </w:r>
      <w:r w:rsidRPr="00361D86">
        <w:rPr>
          <w:spacing w:val="-2"/>
          <w:szCs w:val="22"/>
          <w:lang w:val="en-AU"/>
        </w:rPr>
        <w:t xml:space="preserve">. </w:t>
      </w:r>
    </w:p>
    <w:p w14:paraId="69318DFE" w14:textId="77777777" w:rsidR="00622547" w:rsidRDefault="00622547" w:rsidP="00E16C77">
      <w:pPr>
        <w:rPr>
          <w:lang w:val="en-AU"/>
        </w:rPr>
      </w:pPr>
    </w:p>
    <w:p w14:paraId="288910B2" w14:textId="77777777" w:rsidR="006F2F73" w:rsidRDefault="00685F8A" w:rsidP="00E16C77">
      <w:pPr>
        <w:rPr>
          <w:lang w:val="en-AU"/>
        </w:rPr>
      </w:pPr>
      <w:r w:rsidRPr="00E27200">
        <w:rPr>
          <w:lang w:val="en-AU"/>
        </w:rPr>
        <w:t>The medicines with the highest availability were</w:t>
      </w:r>
      <w:r w:rsidR="006F2F73">
        <w:rPr>
          <w:lang w:val="en-AU"/>
        </w:rPr>
        <w:t>:</w:t>
      </w:r>
      <w:r w:rsidRPr="00E27200">
        <w:rPr>
          <w:lang w:val="en-AU"/>
        </w:rPr>
        <w:t xml:space="preserve"> </w:t>
      </w:r>
    </w:p>
    <w:p w14:paraId="3D16F87F" w14:textId="77777777" w:rsidR="006F2F73" w:rsidRDefault="00685F8A" w:rsidP="00AD3F80">
      <w:pPr>
        <w:pStyle w:val="ListParagraph"/>
        <w:numPr>
          <w:ilvl w:val="0"/>
          <w:numId w:val="49"/>
        </w:numPr>
        <w:rPr>
          <w:lang w:val="en-AU"/>
        </w:rPr>
      </w:pPr>
      <w:r w:rsidRPr="006F2F73">
        <w:rPr>
          <w:lang w:val="en-AU"/>
        </w:rPr>
        <w:t xml:space="preserve">ORS (96% across all HFs), </w:t>
      </w:r>
    </w:p>
    <w:p w14:paraId="25285F2D" w14:textId="77777777" w:rsidR="006F2F73" w:rsidRDefault="00685F8A" w:rsidP="00AD3F80">
      <w:pPr>
        <w:pStyle w:val="ListParagraph"/>
        <w:numPr>
          <w:ilvl w:val="0"/>
          <w:numId w:val="49"/>
        </w:numPr>
        <w:rPr>
          <w:lang w:val="en-AU"/>
        </w:rPr>
      </w:pPr>
      <w:proofErr w:type="spellStart"/>
      <w:proofErr w:type="gramStart"/>
      <w:r w:rsidRPr="006F2F73">
        <w:rPr>
          <w:lang w:val="en-AU"/>
        </w:rPr>
        <w:t>cotrimoxazole</w:t>
      </w:r>
      <w:proofErr w:type="spellEnd"/>
      <w:proofErr w:type="gramEnd"/>
      <w:r w:rsidRPr="006F2F73">
        <w:rPr>
          <w:lang w:val="en-AU"/>
        </w:rPr>
        <w:t xml:space="preserve"> tablets (90%), </w:t>
      </w:r>
    </w:p>
    <w:p w14:paraId="320E5AD9" w14:textId="77777777" w:rsidR="006F2F73" w:rsidRDefault="00685F8A" w:rsidP="00AD3F80">
      <w:pPr>
        <w:pStyle w:val="ListParagraph"/>
        <w:numPr>
          <w:ilvl w:val="0"/>
          <w:numId w:val="49"/>
        </w:numPr>
        <w:rPr>
          <w:lang w:val="en-AU"/>
        </w:rPr>
      </w:pPr>
      <w:proofErr w:type="gramStart"/>
      <w:r w:rsidRPr="006F2F73">
        <w:rPr>
          <w:lang w:val="en-AU"/>
        </w:rPr>
        <w:t>amoxicillin</w:t>
      </w:r>
      <w:proofErr w:type="gramEnd"/>
      <w:r w:rsidRPr="006F2F73">
        <w:rPr>
          <w:lang w:val="en-AU"/>
        </w:rPr>
        <w:t xml:space="preserve"> tablets (89%), </w:t>
      </w:r>
    </w:p>
    <w:p w14:paraId="414C93AB" w14:textId="77777777" w:rsidR="006F2F73" w:rsidRDefault="00685F8A" w:rsidP="00AD3F80">
      <w:pPr>
        <w:pStyle w:val="ListParagraph"/>
        <w:numPr>
          <w:ilvl w:val="0"/>
          <w:numId w:val="49"/>
        </w:numPr>
        <w:rPr>
          <w:lang w:val="en-AU"/>
        </w:rPr>
      </w:pPr>
      <w:r w:rsidRPr="006F2F73">
        <w:rPr>
          <w:lang w:val="en-AU"/>
        </w:rPr>
        <w:t xml:space="preserve">iron/folic acid tablet (83%) and </w:t>
      </w:r>
    </w:p>
    <w:p w14:paraId="2632ECC9" w14:textId="77777777" w:rsidR="006F2F73" w:rsidRDefault="00685F8A" w:rsidP="00AD3F80">
      <w:pPr>
        <w:pStyle w:val="ListParagraph"/>
        <w:numPr>
          <w:ilvl w:val="0"/>
          <w:numId w:val="49"/>
        </w:numPr>
        <w:rPr>
          <w:lang w:val="en-AU"/>
        </w:rPr>
      </w:pPr>
      <w:proofErr w:type="spellStart"/>
      <w:proofErr w:type="gramStart"/>
      <w:r w:rsidRPr="006F2F73">
        <w:rPr>
          <w:lang w:val="en-AU"/>
        </w:rPr>
        <w:t>artesunate</w:t>
      </w:r>
      <w:proofErr w:type="spellEnd"/>
      <w:proofErr w:type="gramEnd"/>
      <w:r w:rsidRPr="006F2F73">
        <w:rPr>
          <w:lang w:val="en-AU"/>
        </w:rPr>
        <w:t xml:space="preserve"> suppository (79%).  </w:t>
      </w:r>
    </w:p>
    <w:p w14:paraId="6E515611" w14:textId="77777777" w:rsidR="006F2F73" w:rsidRDefault="006F2F73">
      <w:pPr>
        <w:rPr>
          <w:lang w:val="en-AU"/>
        </w:rPr>
      </w:pPr>
    </w:p>
    <w:p w14:paraId="5DB77DFE" w14:textId="001FDAF5" w:rsidR="008D26F3" w:rsidRPr="006F2F73" w:rsidRDefault="00685F8A">
      <w:pPr>
        <w:rPr>
          <w:lang w:val="en-AU"/>
        </w:rPr>
      </w:pPr>
      <w:r w:rsidRPr="00760CE9">
        <w:rPr>
          <w:lang w:val="en-AU"/>
        </w:rPr>
        <w:t>Lowest availability was for gentamicin injection (37%</w:t>
      </w:r>
      <w:r w:rsidR="006F2F73" w:rsidRPr="00760CE9">
        <w:rPr>
          <w:lang w:val="en-AU"/>
        </w:rPr>
        <w:t xml:space="preserve"> across all HFs</w:t>
      </w:r>
      <w:r w:rsidRPr="00760CE9">
        <w:rPr>
          <w:lang w:val="en-AU"/>
        </w:rPr>
        <w:t>) and misoprostol tablets (44%).</w:t>
      </w:r>
      <w:r w:rsidRPr="006F2F73">
        <w:rPr>
          <w:lang w:val="en-AU"/>
        </w:rPr>
        <w:t xml:space="preserve"> ACT had reasonable availability at 70%</w:t>
      </w:r>
      <w:r w:rsidR="006F2F73">
        <w:rPr>
          <w:lang w:val="en-AU"/>
        </w:rPr>
        <w:t xml:space="preserve"> across all HFs</w:t>
      </w:r>
      <w:r w:rsidRPr="006F2F73">
        <w:rPr>
          <w:lang w:val="en-AU"/>
        </w:rPr>
        <w:t xml:space="preserve">. </w:t>
      </w:r>
      <w:r w:rsidR="00B0370B" w:rsidRPr="006F2F73">
        <w:rPr>
          <w:lang w:val="en-AU"/>
        </w:rPr>
        <w:t>Annex 11.2, especially T</w:t>
      </w:r>
      <w:r w:rsidRPr="006F2F73">
        <w:rPr>
          <w:lang w:val="en-AU"/>
        </w:rPr>
        <w:t>able</w:t>
      </w:r>
      <w:r w:rsidR="006F2F73" w:rsidRPr="006F2F73">
        <w:rPr>
          <w:lang w:val="en-AU"/>
        </w:rPr>
        <w:t>s A11 and A12, provides detailed results of availability and other core measures for the 16 tracer medicines</w:t>
      </w:r>
      <w:r w:rsidR="00B0370B" w:rsidRPr="006F2F73">
        <w:rPr>
          <w:lang w:val="en-AU"/>
        </w:rPr>
        <w:t xml:space="preserve">. </w:t>
      </w:r>
      <w:r w:rsidRPr="006F2F73">
        <w:rPr>
          <w:lang w:val="en-AU"/>
        </w:rPr>
        <w:t>A comparison of availability in different programs, contrasting ‘push’ and ‘pull’ systems is provided below</w:t>
      </w:r>
      <w:r w:rsidR="00F30A01">
        <w:rPr>
          <w:lang w:val="en-AU"/>
        </w:rPr>
        <w:t>, along with a review of the contribution of 100% kits</w:t>
      </w:r>
      <w:r w:rsidRPr="006F2F73">
        <w:rPr>
          <w:lang w:val="en-AU"/>
        </w:rPr>
        <w:t>.</w:t>
      </w:r>
    </w:p>
    <w:p w14:paraId="6495B116" w14:textId="77777777" w:rsidR="008D26F3" w:rsidRPr="00E27200" w:rsidRDefault="008D26F3" w:rsidP="00E16C77">
      <w:pPr>
        <w:rPr>
          <w:lang w:val="en-AU"/>
        </w:rPr>
      </w:pPr>
    </w:p>
    <w:p w14:paraId="07F96822" w14:textId="28B70674" w:rsidR="00B31314" w:rsidRDefault="00685F8A" w:rsidP="00E16C77">
      <w:pPr>
        <w:rPr>
          <w:lang w:val="en-AU"/>
        </w:rPr>
      </w:pPr>
      <w:r>
        <w:rPr>
          <w:lang w:val="en-AU"/>
        </w:rPr>
        <w:t xml:space="preserve">Measuring changes in availability over recent years is made difficult by a lack of earlier data. The evaluation team examined raw data in </w:t>
      </w:r>
      <w:r w:rsidR="0090131E" w:rsidRPr="00E27200">
        <w:rPr>
          <w:lang w:val="en-AU"/>
        </w:rPr>
        <w:t xml:space="preserve">a </w:t>
      </w:r>
      <w:r w:rsidR="007622CF" w:rsidRPr="00E27200">
        <w:rPr>
          <w:lang w:val="en-AU"/>
        </w:rPr>
        <w:t xml:space="preserve">2009 </w:t>
      </w:r>
      <w:r w:rsidR="0090131E" w:rsidRPr="00E27200">
        <w:rPr>
          <w:lang w:val="en-AU"/>
        </w:rPr>
        <w:t xml:space="preserve">study </w:t>
      </w:r>
      <w:r w:rsidR="007622CF" w:rsidRPr="00E27200">
        <w:rPr>
          <w:lang w:val="en-AU"/>
        </w:rPr>
        <w:t>that measured</w:t>
      </w:r>
      <w:r w:rsidR="005264D6">
        <w:rPr>
          <w:lang w:val="en-AU"/>
        </w:rPr>
        <w:t xml:space="preserve"> the presence of</w:t>
      </w:r>
      <w:r w:rsidR="007622CF" w:rsidRPr="00E27200">
        <w:rPr>
          <w:lang w:val="en-AU"/>
        </w:rPr>
        <w:t xml:space="preserve"> 37 </w:t>
      </w:r>
      <w:r w:rsidR="003A4BFC">
        <w:rPr>
          <w:lang w:val="en-AU"/>
        </w:rPr>
        <w:t>medicines</w:t>
      </w:r>
      <w:r w:rsidR="007622CF" w:rsidRPr="00E27200">
        <w:rPr>
          <w:lang w:val="en-AU"/>
        </w:rPr>
        <w:t xml:space="preserve"> in 55 H</w:t>
      </w:r>
      <w:r w:rsidR="00963B07">
        <w:rPr>
          <w:lang w:val="en-AU"/>
        </w:rPr>
        <w:t>C</w:t>
      </w:r>
      <w:r w:rsidR="007622CF" w:rsidRPr="00E27200">
        <w:rPr>
          <w:lang w:val="en-AU"/>
        </w:rPr>
        <w:t>s in PNG</w:t>
      </w:r>
      <w:r w:rsidR="006D4F4F" w:rsidRPr="00E27200">
        <w:rPr>
          <w:lang w:val="en-AU"/>
        </w:rPr>
        <w:fldChar w:fldCharType="begin"/>
      </w:r>
      <w:r w:rsidR="00B4645C" w:rsidRPr="00E27200">
        <w:rPr>
          <w:lang w:val="en-AU"/>
        </w:rPr>
        <w:instrText xml:space="preserve"> ADDIN EN.CITE &lt;EndNote&gt;&lt;Cite&gt;&lt;Author&gt;Inder&lt;/Author&gt;&lt;Year&gt;2009&lt;/Year&gt;&lt;RecNum&gt;42&lt;/RecNum&gt;&lt;DisplayText&gt;[8]&lt;/DisplayText&gt;&lt;record&gt;&lt;rec-number&gt;42&lt;/rec-number&gt;&lt;foreign-keys&gt;&lt;key app="EN" db-id="ex5s0vddkzxdfhese5yvf5vke2ree5azrt5t"&gt;42&lt;/key&gt;&lt;/foreign-keys&gt;&lt;ref-type name="Report"&gt;27&lt;/ref-type&gt;&lt;contributors&gt;&lt;authors&gt;&lt;author&gt;Brett Inder&lt;/author&gt;&lt;author&gt;Jean Spinks&lt;/author&gt;&lt;author&gt;Pratima Srivastava&lt;/author&gt;&lt;author&gt;Rohan Sweeney&lt;/author&gt;&lt;/authors&gt;&lt;tertiary-authors&gt;&lt;author&gt;whoop whoop&lt;/author&gt;&lt;/tertiary-authors&gt;&lt;subsidiary-authors&gt;&lt;author&gt;Centre for Health Economics,&lt;/author&gt;&lt;/subsidiary-authors&gt;&lt;/contributors&gt;&lt;titles&gt;&lt;title&gt;Papua New Guinea: Modeling costs and efficiency of primary health care services in Papua New Guinea&lt;/title&gt;&lt;/titles&gt;&lt;dates&gt;&lt;year&gt;2009&lt;/year&gt;&lt;pub-dates&gt;&lt;date&gt;November&lt;/date&gt;&lt;/pub-dates&gt;&lt;/dates&gt;&lt;pub-location&gt;Australia&lt;/pub-location&gt;&lt;publisher&gt;Monash University&lt;/publisher&gt;&lt;urls&gt;&lt;/urls&gt;&lt;/record&gt;&lt;/Cite&gt;&lt;/EndNote&gt;</w:instrText>
      </w:r>
      <w:r w:rsidR="006D4F4F" w:rsidRPr="00E27200">
        <w:rPr>
          <w:lang w:val="en-AU"/>
        </w:rPr>
        <w:fldChar w:fldCharType="separate"/>
      </w:r>
      <w:r w:rsidR="00B4645C" w:rsidRPr="00E27200">
        <w:rPr>
          <w:noProof/>
          <w:lang w:val="en-AU"/>
        </w:rPr>
        <w:t>[</w:t>
      </w:r>
      <w:hyperlink w:anchor="_ENREF_8" w:tooltip="Inder, 2009 #42" w:history="1">
        <w:r w:rsidR="00E62392" w:rsidRPr="00E27200">
          <w:rPr>
            <w:noProof/>
            <w:lang w:val="en-AU"/>
          </w:rPr>
          <w:t>8</w:t>
        </w:r>
      </w:hyperlink>
      <w:r w:rsidR="00B4645C" w:rsidRPr="00E27200">
        <w:rPr>
          <w:noProof/>
          <w:lang w:val="en-AU"/>
        </w:rPr>
        <w:t>]</w:t>
      </w:r>
      <w:r w:rsidR="006D4F4F" w:rsidRPr="00E27200">
        <w:rPr>
          <w:lang w:val="en-AU"/>
        </w:rPr>
        <w:fldChar w:fldCharType="end"/>
      </w:r>
      <w:r w:rsidR="007622CF" w:rsidRPr="00E27200">
        <w:rPr>
          <w:lang w:val="en-AU"/>
        </w:rPr>
        <w:t>,</w:t>
      </w:r>
      <w:r>
        <w:rPr>
          <w:lang w:val="en-AU"/>
        </w:rPr>
        <w:t xml:space="preserve"> estimating a comparable availability measure of 70%. This compares well with the 64% we measured in this evaluation, especially when considering that the 2009 </w:t>
      </w:r>
      <w:r w:rsidR="00963B07">
        <w:rPr>
          <w:lang w:val="en-AU"/>
        </w:rPr>
        <w:t xml:space="preserve">study (primarily performed for another purpose) did not include the more peripheral AP level in its sample. </w:t>
      </w:r>
    </w:p>
    <w:p w14:paraId="10E46340" w14:textId="77777777" w:rsidR="00B31314" w:rsidRDefault="00B31314" w:rsidP="00E16C77">
      <w:pPr>
        <w:rPr>
          <w:lang w:val="en-AU"/>
        </w:rPr>
      </w:pPr>
    </w:p>
    <w:p w14:paraId="52C2D639" w14:textId="716A674A" w:rsidR="00B31314" w:rsidRDefault="00B31314" w:rsidP="00E16C77">
      <w:pPr>
        <w:rPr>
          <w:lang w:val="en-AU"/>
        </w:rPr>
      </w:pPr>
      <w:r>
        <w:rPr>
          <w:lang w:val="en-AU"/>
        </w:rPr>
        <w:t>Other trend data was sought from the National Health Information System</w:t>
      </w:r>
      <w:r w:rsidR="006A1B60">
        <w:rPr>
          <w:lang w:val="en-AU"/>
        </w:rPr>
        <w:t>,</w:t>
      </w:r>
      <w:r w:rsidR="003D2E44">
        <w:rPr>
          <w:lang w:val="en-AU"/>
        </w:rPr>
        <w:t xml:space="preserve"> which consolidates data from monthly HC and hospital reports</w:t>
      </w:r>
      <w:r>
        <w:rPr>
          <w:lang w:val="en-AU"/>
        </w:rPr>
        <w:t xml:space="preserve">. </w:t>
      </w:r>
      <w:r w:rsidR="007622CF" w:rsidRPr="00E27200">
        <w:rPr>
          <w:lang w:val="en-AU"/>
        </w:rPr>
        <w:t xml:space="preserve">The consolidated NHIS </w:t>
      </w:r>
      <w:r w:rsidR="006A1B60">
        <w:rPr>
          <w:lang w:val="en-AU"/>
        </w:rPr>
        <w:t xml:space="preserve">stock-out </w:t>
      </w:r>
      <w:r w:rsidR="007622CF" w:rsidRPr="00E27200">
        <w:rPr>
          <w:lang w:val="en-AU"/>
        </w:rPr>
        <w:t xml:space="preserve">indicator </w:t>
      </w:r>
      <w:r w:rsidR="006A1B60" w:rsidRPr="00E27200">
        <w:rPr>
          <w:lang w:val="en-AU"/>
        </w:rPr>
        <w:t>(indicator 27)</w:t>
      </w:r>
      <w:r w:rsidR="006A1B60">
        <w:rPr>
          <w:lang w:val="en-AU"/>
        </w:rPr>
        <w:t xml:space="preserve">, </w:t>
      </w:r>
      <w:r w:rsidR="007622CF" w:rsidRPr="00E27200">
        <w:rPr>
          <w:lang w:val="en-AU"/>
        </w:rPr>
        <w:t>reported annually in sectoral reports</w:t>
      </w:r>
      <w:r w:rsidR="006A1B60">
        <w:rPr>
          <w:lang w:val="en-AU"/>
        </w:rPr>
        <w:t>,</w:t>
      </w:r>
      <w:r w:rsidR="007622CF" w:rsidRPr="00E27200">
        <w:rPr>
          <w:lang w:val="en-AU"/>
        </w:rPr>
        <w:t xml:space="preserve"> suggested 47% availability</w:t>
      </w:r>
      <w:r w:rsidR="006A1B60">
        <w:rPr>
          <w:lang w:val="en-AU"/>
        </w:rPr>
        <w:t xml:space="preserve"> in 2010, with little movement in the past decade.</w:t>
      </w:r>
      <w:r w:rsidR="007622CF" w:rsidRPr="00E27200">
        <w:rPr>
          <w:lang w:val="en-AU"/>
        </w:rPr>
        <w:t xml:space="preserve"> </w:t>
      </w:r>
      <w:r w:rsidR="006A1B60">
        <w:rPr>
          <w:lang w:val="en-AU"/>
        </w:rPr>
        <w:t>H</w:t>
      </w:r>
      <w:r w:rsidR="007622CF" w:rsidRPr="00E27200">
        <w:rPr>
          <w:lang w:val="en-AU"/>
        </w:rPr>
        <w:t xml:space="preserve">owever this indicator </w:t>
      </w:r>
      <w:r w:rsidR="006A1B60">
        <w:rPr>
          <w:lang w:val="en-AU"/>
        </w:rPr>
        <w:t xml:space="preserve">is calculated </w:t>
      </w:r>
      <w:r w:rsidR="007862F7">
        <w:rPr>
          <w:lang w:val="en-AU"/>
        </w:rPr>
        <w:t xml:space="preserve">very </w:t>
      </w:r>
      <w:r w:rsidR="006A1B60">
        <w:rPr>
          <w:lang w:val="en-AU"/>
        </w:rPr>
        <w:t xml:space="preserve">differently than the WHO </w:t>
      </w:r>
      <w:r w:rsidR="007862F7">
        <w:rPr>
          <w:lang w:val="en-AU"/>
        </w:rPr>
        <w:t>indicator</w:t>
      </w:r>
      <w:r w:rsidR="006A1B60">
        <w:rPr>
          <w:lang w:val="en-AU"/>
        </w:rPr>
        <w:t xml:space="preserve"> we used and </w:t>
      </w:r>
      <w:r w:rsidR="007622CF" w:rsidRPr="00E27200">
        <w:rPr>
          <w:lang w:val="en-AU"/>
        </w:rPr>
        <w:t xml:space="preserve">is highly sensitive </w:t>
      </w:r>
      <w:r>
        <w:rPr>
          <w:lang w:val="en-AU"/>
        </w:rPr>
        <w:t>to</w:t>
      </w:r>
      <w:r w:rsidRPr="00E27200">
        <w:rPr>
          <w:lang w:val="en-AU"/>
        </w:rPr>
        <w:t xml:space="preserve"> </w:t>
      </w:r>
      <w:r w:rsidR="007622CF" w:rsidRPr="00E27200">
        <w:rPr>
          <w:lang w:val="en-AU"/>
        </w:rPr>
        <w:t>any stock-outs across a varied range of medical supplies.</w:t>
      </w:r>
    </w:p>
    <w:p w14:paraId="17A125C5" w14:textId="77777777" w:rsidR="00B31314" w:rsidRPr="00E27200" w:rsidRDefault="00B31314" w:rsidP="00E16C77">
      <w:pPr>
        <w:rPr>
          <w:lang w:val="en-AU"/>
        </w:rPr>
      </w:pPr>
    </w:p>
    <w:p w14:paraId="66E23F61" w14:textId="75300D05" w:rsidR="003E0904" w:rsidRPr="00E27200" w:rsidRDefault="005D5F59" w:rsidP="00E16C77">
      <w:pPr>
        <w:rPr>
          <w:lang w:val="en-AU"/>
        </w:rPr>
      </w:pPr>
      <w:r w:rsidRPr="00E27200">
        <w:rPr>
          <w:lang w:val="en-AU"/>
        </w:rPr>
        <w:lastRenderedPageBreak/>
        <w:t xml:space="preserve">To examine </w:t>
      </w:r>
      <w:r w:rsidR="00B31314">
        <w:rPr>
          <w:lang w:val="en-AU"/>
        </w:rPr>
        <w:t xml:space="preserve">NHIS </w:t>
      </w:r>
      <w:r w:rsidRPr="00E27200">
        <w:rPr>
          <w:lang w:val="en-AU"/>
        </w:rPr>
        <w:t xml:space="preserve">trends in more detail we </w:t>
      </w:r>
      <w:r w:rsidR="006A1B60">
        <w:rPr>
          <w:lang w:val="en-AU"/>
        </w:rPr>
        <w:t>re-</w:t>
      </w:r>
      <w:r w:rsidRPr="00E27200">
        <w:rPr>
          <w:lang w:val="en-AU"/>
        </w:rPr>
        <w:t>analysed</w:t>
      </w:r>
      <w:r w:rsidR="006A1B60">
        <w:rPr>
          <w:lang w:val="en-AU"/>
        </w:rPr>
        <w:t xml:space="preserve"> the NHIS database to assess</w:t>
      </w:r>
      <w:r w:rsidRPr="00E27200">
        <w:rPr>
          <w:lang w:val="en-AU"/>
        </w:rPr>
        <w:t xml:space="preserve"> stock-out trends</w:t>
      </w:r>
      <w:r w:rsidR="006F149B" w:rsidRPr="00E27200">
        <w:rPr>
          <w:lang w:val="en-AU"/>
        </w:rPr>
        <w:t xml:space="preserve"> of individual medicines over 2010, 2011 and 2012.  This is possible because each HF monthly report records whether or not a stock-out occurred</w:t>
      </w:r>
      <w:r w:rsidR="002E5C2D" w:rsidRPr="00E27200">
        <w:rPr>
          <w:rStyle w:val="FootnoteReference"/>
          <w:lang w:val="en-AU"/>
        </w:rPr>
        <w:footnoteReference w:id="25"/>
      </w:r>
      <w:r w:rsidR="003E0904" w:rsidRPr="00E27200">
        <w:rPr>
          <w:lang w:val="en-AU"/>
        </w:rPr>
        <w:t xml:space="preserve"> </w:t>
      </w:r>
      <w:r w:rsidR="006A1B60">
        <w:rPr>
          <w:lang w:val="en-AU"/>
        </w:rPr>
        <w:t>separately for</w:t>
      </w:r>
      <w:r w:rsidR="003E0904" w:rsidRPr="00E27200">
        <w:rPr>
          <w:lang w:val="en-AU"/>
        </w:rPr>
        <w:t xml:space="preserve"> each of 28 different items</w:t>
      </w:r>
      <w:r w:rsidR="006F149B" w:rsidRPr="00E27200">
        <w:rPr>
          <w:lang w:val="en-AU"/>
        </w:rPr>
        <w:t>.</w:t>
      </w:r>
      <w:r w:rsidR="003E0904" w:rsidRPr="00E27200">
        <w:rPr>
          <w:lang w:val="en-AU"/>
        </w:rPr>
        <w:t xml:space="preserve"> The figure below shows stock-out rates for eight essential medicines (those included both in the NHIS monthly reports and in our survey) – with rates measured as the percentage of all monthl</w:t>
      </w:r>
      <w:r w:rsidR="00A0563F" w:rsidRPr="00E27200">
        <w:rPr>
          <w:lang w:val="en-AU"/>
        </w:rPr>
        <w:t xml:space="preserve">y reports supplied in that year. This covers </w:t>
      </w:r>
      <w:r w:rsidR="004404E9" w:rsidRPr="00E27200">
        <w:rPr>
          <w:lang w:val="en-AU"/>
        </w:rPr>
        <w:t xml:space="preserve">all hospitals, HCs and SCs that submit monthly reports </w:t>
      </w:r>
      <w:r w:rsidR="00A0563F" w:rsidRPr="00E27200">
        <w:rPr>
          <w:lang w:val="en-AU"/>
        </w:rPr>
        <w:t>(but not APs)</w:t>
      </w:r>
      <w:r w:rsidR="004404E9" w:rsidRPr="00E27200">
        <w:rPr>
          <w:lang w:val="en-AU"/>
        </w:rPr>
        <w:t>, and is very representative of HFs at these levels</w:t>
      </w:r>
      <w:r w:rsidR="00A0563F" w:rsidRPr="00E27200">
        <w:rPr>
          <w:lang w:val="en-AU"/>
        </w:rPr>
        <w:t>.</w:t>
      </w:r>
    </w:p>
    <w:p w14:paraId="10A6542B" w14:textId="77777777" w:rsidR="003E0904" w:rsidRPr="00E27200" w:rsidRDefault="003E0904" w:rsidP="00E16C77">
      <w:pPr>
        <w:rPr>
          <w:lang w:val="en-AU"/>
        </w:rPr>
      </w:pPr>
    </w:p>
    <w:p w14:paraId="57F7A6A0" w14:textId="6BA5D093" w:rsidR="00A0563F" w:rsidRPr="00E27200" w:rsidRDefault="00B31314" w:rsidP="00E16C77">
      <w:pPr>
        <w:rPr>
          <w:lang w:val="en-AU"/>
        </w:rPr>
      </w:pPr>
      <w:r>
        <w:rPr>
          <w:lang w:val="en-AU"/>
        </w:rPr>
        <w:t xml:space="preserve">This </w:t>
      </w:r>
      <w:r w:rsidRPr="00E27200">
        <w:rPr>
          <w:lang w:val="en-AU"/>
        </w:rPr>
        <w:t xml:space="preserve">further analysis of the NHIS suggests that availability of some essential medicines has increased in the past three years.  </w:t>
      </w:r>
      <w:r w:rsidR="00A0563F" w:rsidRPr="00E27200">
        <w:rPr>
          <w:lang w:val="en-AU"/>
        </w:rPr>
        <w:t>There were significant changes</w:t>
      </w:r>
      <w:r w:rsidR="00A0563F" w:rsidRPr="00E27200">
        <w:rPr>
          <w:rStyle w:val="FootnoteReference"/>
          <w:lang w:val="en-AU"/>
        </w:rPr>
        <w:footnoteReference w:id="26"/>
      </w:r>
      <w:r w:rsidR="00A0563F" w:rsidRPr="00E27200">
        <w:rPr>
          <w:lang w:val="en-AU"/>
        </w:rPr>
        <w:t xml:space="preserve"> in overall stock</w:t>
      </w:r>
      <w:r w:rsidR="00361D86">
        <w:rPr>
          <w:lang w:val="en-AU"/>
        </w:rPr>
        <w:t>-</w:t>
      </w:r>
      <w:r w:rsidR="00A0563F" w:rsidRPr="00E27200">
        <w:rPr>
          <w:lang w:val="en-AU"/>
        </w:rPr>
        <w:t xml:space="preserve">out rates between 2010 and 2012 for </w:t>
      </w:r>
      <w:r w:rsidR="00DB4944" w:rsidRPr="00E27200">
        <w:rPr>
          <w:lang w:val="en-AU"/>
        </w:rPr>
        <w:t>all</w:t>
      </w:r>
      <w:r w:rsidR="00A0563F" w:rsidRPr="00E27200">
        <w:rPr>
          <w:lang w:val="en-AU"/>
        </w:rPr>
        <w:t xml:space="preserve"> eight medicines that were reported.  Stock</w:t>
      </w:r>
      <w:r w:rsidR="00DB4944" w:rsidRPr="00E27200">
        <w:rPr>
          <w:lang w:val="en-AU"/>
        </w:rPr>
        <w:t>-</w:t>
      </w:r>
      <w:r w:rsidR="00A0563F" w:rsidRPr="00E27200">
        <w:rPr>
          <w:lang w:val="en-AU"/>
        </w:rPr>
        <w:t xml:space="preserve">out rates </w:t>
      </w:r>
      <w:r w:rsidR="00DB4944" w:rsidRPr="00E27200">
        <w:rPr>
          <w:lang w:val="en-AU"/>
        </w:rPr>
        <w:t xml:space="preserve">decreased (availability improved) for five medicines (Amoxicillin, Chloramphenicol, </w:t>
      </w:r>
      <w:proofErr w:type="spellStart"/>
      <w:r w:rsidR="00DB4944" w:rsidRPr="00E27200">
        <w:rPr>
          <w:lang w:val="en-AU"/>
        </w:rPr>
        <w:t>Cotrimoxazole</w:t>
      </w:r>
      <w:proofErr w:type="spellEnd"/>
      <w:r w:rsidR="00DB4944" w:rsidRPr="00E27200">
        <w:rPr>
          <w:lang w:val="en-AU"/>
        </w:rPr>
        <w:t>, ORS, ACT)</w:t>
      </w:r>
      <w:r w:rsidR="00E62AE0">
        <w:rPr>
          <w:lang w:val="en-AU"/>
        </w:rPr>
        <w:t>. It is noted that these are all</w:t>
      </w:r>
      <w:r w:rsidR="00DB4944" w:rsidRPr="00E27200">
        <w:rPr>
          <w:lang w:val="en-AU"/>
        </w:rPr>
        <w:t xml:space="preserve"> distributed </w:t>
      </w:r>
      <w:r w:rsidR="00E62AE0">
        <w:rPr>
          <w:lang w:val="en-AU"/>
        </w:rPr>
        <w:t>within</w:t>
      </w:r>
      <w:r w:rsidR="00E62AE0" w:rsidRPr="00E27200">
        <w:rPr>
          <w:lang w:val="en-AU"/>
        </w:rPr>
        <w:t xml:space="preserve"> </w:t>
      </w:r>
      <w:r w:rsidR="00DB4944" w:rsidRPr="00E27200">
        <w:rPr>
          <w:lang w:val="en-AU"/>
        </w:rPr>
        <w:t>the</w:t>
      </w:r>
      <w:r w:rsidR="00E62AE0">
        <w:rPr>
          <w:lang w:val="en-AU"/>
        </w:rPr>
        <w:t xml:space="preserve"> ‘push’ system of</w:t>
      </w:r>
      <w:r w:rsidR="00DB4944" w:rsidRPr="00E27200">
        <w:rPr>
          <w:lang w:val="en-AU"/>
        </w:rPr>
        <w:t xml:space="preserve"> 100% kit</w:t>
      </w:r>
      <w:r w:rsidR="00E62AE0">
        <w:rPr>
          <w:lang w:val="en-AU"/>
        </w:rPr>
        <w:t>s</w:t>
      </w:r>
      <w:r w:rsidR="00DB4944" w:rsidRPr="00E27200">
        <w:rPr>
          <w:lang w:val="en-AU"/>
        </w:rPr>
        <w:t xml:space="preserve"> </w:t>
      </w:r>
      <w:r w:rsidR="007862F7">
        <w:rPr>
          <w:lang w:val="en-AU"/>
        </w:rPr>
        <w:t>(as well as the ‘pull’ system)</w:t>
      </w:r>
      <w:r w:rsidR="00DB4944" w:rsidRPr="00E27200">
        <w:rPr>
          <w:lang w:val="en-AU"/>
        </w:rPr>
        <w:t xml:space="preserve"> or vertical malaria program.  Stock-out rates </w:t>
      </w:r>
      <w:r w:rsidR="00A0563F" w:rsidRPr="00E27200">
        <w:rPr>
          <w:lang w:val="en-AU"/>
        </w:rPr>
        <w:t xml:space="preserve">increased </w:t>
      </w:r>
      <w:r w:rsidR="00DB4944" w:rsidRPr="00E27200">
        <w:rPr>
          <w:lang w:val="en-AU"/>
        </w:rPr>
        <w:t xml:space="preserve">(availability decreased) </w:t>
      </w:r>
      <w:r w:rsidR="00A0563F" w:rsidRPr="00E27200">
        <w:rPr>
          <w:lang w:val="en-AU"/>
        </w:rPr>
        <w:t xml:space="preserve">for </w:t>
      </w:r>
      <w:r w:rsidR="001C029B" w:rsidRPr="00E27200">
        <w:rPr>
          <w:lang w:val="en-AU"/>
        </w:rPr>
        <w:t>two</w:t>
      </w:r>
      <w:r w:rsidR="00A0563F" w:rsidRPr="00E27200">
        <w:rPr>
          <w:lang w:val="en-AU"/>
        </w:rPr>
        <w:t xml:space="preserve"> medicines</w:t>
      </w:r>
      <w:r w:rsidR="00DB4944" w:rsidRPr="00E27200">
        <w:rPr>
          <w:lang w:val="en-AU"/>
        </w:rPr>
        <w:t xml:space="preserve">, distributed </w:t>
      </w:r>
      <w:r w:rsidR="007862F7">
        <w:rPr>
          <w:lang w:val="en-AU"/>
        </w:rPr>
        <w:t xml:space="preserve">only </w:t>
      </w:r>
      <w:r w:rsidR="00DB4944" w:rsidRPr="00E27200">
        <w:rPr>
          <w:lang w:val="en-AU"/>
        </w:rPr>
        <w:t xml:space="preserve">through the </w:t>
      </w:r>
      <w:r w:rsidR="007862F7">
        <w:rPr>
          <w:lang w:val="en-AU"/>
        </w:rPr>
        <w:t>‘</w:t>
      </w:r>
      <w:r w:rsidR="00DB4944" w:rsidRPr="00E27200">
        <w:rPr>
          <w:lang w:val="en-AU"/>
        </w:rPr>
        <w:t>pull</w:t>
      </w:r>
      <w:r w:rsidR="007862F7">
        <w:rPr>
          <w:lang w:val="en-AU"/>
        </w:rPr>
        <w:t>’</w:t>
      </w:r>
      <w:r w:rsidR="00DB4944" w:rsidRPr="00E27200">
        <w:rPr>
          <w:lang w:val="en-AU"/>
        </w:rPr>
        <w:t xml:space="preserve"> system (</w:t>
      </w:r>
      <w:proofErr w:type="spellStart"/>
      <w:r w:rsidR="000E19DD" w:rsidRPr="00E27200">
        <w:rPr>
          <w:lang w:val="en-AU"/>
        </w:rPr>
        <w:t>m</w:t>
      </w:r>
      <w:r w:rsidR="00A0563F" w:rsidRPr="00E27200">
        <w:rPr>
          <w:lang w:val="en-AU"/>
        </w:rPr>
        <w:t>edroxyprogesterone</w:t>
      </w:r>
      <w:proofErr w:type="spellEnd"/>
      <w:r w:rsidR="00DB4944" w:rsidRPr="00E27200">
        <w:rPr>
          <w:lang w:val="en-AU"/>
        </w:rPr>
        <w:t>,</w:t>
      </w:r>
      <w:r w:rsidR="00A0563F" w:rsidRPr="00E27200">
        <w:rPr>
          <w:lang w:val="en-AU"/>
        </w:rPr>
        <w:t xml:space="preserve"> </w:t>
      </w:r>
      <w:r w:rsidR="00DB4944" w:rsidRPr="00E27200">
        <w:rPr>
          <w:lang w:val="en-AU"/>
        </w:rPr>
        <w:t>o</w:t>
      </w:r>
      <w:r w:rsidR="00A0563F" w:rsidRPr="00E27200">
        <w:rPr>
          <w:lang w:val="en-AU"/>
        </w:rPr>
        <w:t>xytocin</w:t>
      </w:r>
      <w:r w:rsidR="001C029B" w:rsidRPr="00E27200">
        <w:rPr>
          <w:lang w:val="en-AU"/>
        </w:rPr>
        <w:t>) and one kit medicine (</w:t>
      </w:r>
      <w:r w:rsidR="00DB4944" w:rsidRPr="00E27200">
        <w:rPr>
          <w:lang w:val="en-AU"/>
        </w:rPr>
        <w:t>f</w:t>
      </w:r>
      <w:r w:rsidR="00A0563F" w:rsidRPr="00E27200">
        <w:rPr>
          <w:lang w:val="en-AU"/>
        </w:rPr>
        <w:t>errous sulphate</w:t>
      </w:r>
      <w:r w:rsidR="00DB4944" w:rsidRPr="00E27200">
        <w:rPr>
          <w:lang w:val="en-AU"/>
        </w:rPr>
        <w:t>/ folic acid</w:t>
      </w:r>
      <w:r w:rsidR="000E19DD" w:rsidRPr="00E27200">
        <w:rPr>
          <w:lang w:val="en-AU"/>
        </w:rPr>
        <w:t>)</w:t>
      </w:r>
      <w:r w:rsidR="00DB4944" w:rsidRPr="00E27200">
        <w:rPr>
          <w:lang w:val="en-AU"/>
        </w:rPr>
        <w:t xml:space="preserve"> </w:t>
      </w:r>
      <w:r w:rsidR="000E19DD" w:rsidRPr="00E27200">
        <w:rPr>
          <w:lang w:val="en-AU"/>
        </w:rPr>
        <w:t>that a</w:t>
      </w:r>
      <w:r w:rsidR="00DB4944" w:rsidRPr="00E27200">
        <w:rPr>
          <w:lang w:val="en-AU"/>
        </w:rPr>
        <w:t xml:space="preserve">re </w:t>
      </w:r>
      <w:r w:rsidR="000E19DD" w:rsidRPr="00E27200">
        <w:rPr>
          <w:lang w:val="en-AU"/>
        </w:rPr>
        <w:t>essential</w:t>
      </w:r>
      <w:r w:rsidR="00DB4944" w:rsidRPr="00E27200">
        <w:rPr>
          <w:lang w:val="en-AU"/>
        </w:rPr>
        <w:t xml:space="preserve"> </w:t>
      </w:r>
      <w:r w:rsidR="000E19DD" w:rsidRPr="00E27200">
        <w:rPr>
          <w:lang w:val="en-AU"/>
        </w:rPr>
        <w:t xml:space="preserve">to </w:t>
      </w:r>
      <w:r w:rsidR="00DB4944" w:rsidRPr="00E27200">
        <w:rPr>
          <w:lang w:val="en-AU"/>
        </w:rPr>
        <w:t>scheduled preventative services.</w:t>
      </w:r>
      <w:r w:rsidR="00E62AE0">
        <w:rPr>
          <w:lang w:val="en-AU"/>
        </w:rPr>
        <w:t xml:space="preserve">  The time-frame of this data overlaps only partially with the distribution of the 100% kits, and is likely to also reflect the influence of the ‘push’ system distribution of the earlier 40% kits.</w:t>
      </w:r>
    </w:p>
    <w:p w14:paraId="6221D218" w14:textId="77777777" w:rsidR="00B31314" w:rsidRDefault="00B31314" w:rsidP="00E16C77">
      <w:pPr>
        <w:rPr>
          <w:b/>
          <w:lang w:val="en-AU"/>
        </w:rPr>
      </w:pPr>
    </w:p>
    <w:p w14:paraId="2EB3201D" w14:textId="3B11F21D" w:rsidR="0090131E" w:rsidRPr="00E27200" w:rsidRDefault="002F03CB" w:rsidP="00E16C77">
      <w:pPr>
        <w:rPr>
          <w:b/>
          <w:lang w:val="en-AU"/>
        </w:rPr>
      </w:pPr>
      <w:bookmarkStart w:id="99" w:name="_GoBack"/>
      <w:r w:rsidRPr="008D11AA">
        <w:rPr>
          <w:noProof/>
          <w:highlight w:val="yellow"/>
          <w:lang w:val="en-AU" w:eastAsia="en-AU"/>
        </w:rPr>
        <w:drawing>
          <wp:anchor distT="0" distB="0" distL="114300" distR="114300" simplePos="0" relativeHeight="251658240" behindDoc="0" locked="0" layoutInCell="1" allowOverlap="1" wp14:anchorId="5E46624C" wp14:editId="20278F45">
            <wp:simplePos x="0" y="0"/>
            <wp:positionH relativeFrom="column">
              <wp:posOffset>-349250</wp:posOffset>
            </wp:positionH>
            <wp:positionV relativeFrom="paragraph">
              <wp:posOffset>228600</wp:posOffset>
            </wp:positionV>
            <wp:extent cx="6220460" cy="4572000"/>
            <wp:effectExtent l="0" t="0" r="889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bookmarkEnd w:id="99"/>
      <w:r w:rsidR="00221E03" w:rsidRPr="00E27200">
        <w:rPr>
          <w:b/>
          <w:lang w:val="en-AU"/>
        </w:rPr>
        <w:t>Figure 2</w:t>
      </w:r>
      <w:r w:rsidR="00A0563F" w:rsidRPr="00E27200">
        <w:rPr>
          <w:b/>
          <w:lang w:val="en-AU"/>
        </w:rPr>
        <w:t>: Changes in stock-out rates for eight essential medicines, 2010 - 2012</w:t>
      </w:r>
    </w:p>
    <w:p w14:paraId="28E3BA66" w14:textId="77777777" w:rsidR="00671E81" w:rsidRPr="00E27200" w:rsidRDefault="00671E81" w:rsidP="003744C0">
      <w:pPr>
        <w:rPr>
          <w:lang w:val="en-AU"/>
        </w:rPr>
      </w:pPr>
    </w:p>
    <w:p w14:paraId="4372A7EE" w14:textId="1A747843" w:rsidR="006F149B" w:rsidRDefault="00E62AE0" w:rsidP="00E16C77">
      <w:pPr>
        <w:rPr>
          <w:lang w:val="en-AU"/>
        </w:rPr>
      </w:pPr>
      <w:r>
        <w:rPr>
          <w:lang w:val="en-AU"/>
        </w:rPr>
        <w:lastRenderedPageBreak/>
        <w:t>Qualitative findings, detailed in section 5.1.3 below, highlight HF staff perceptions that the bulk of any recent increase in medicines availability is attributable to the ‘push’ systems of distribution.</w:t>
      </w:r>
    </w:p>
    <w:p w14:paraId="2EED08E3" w14:textId="77777777" w:rsidR="00EC3DE1" w:rsidRPr="00E27200" w:rsidRDefault="00EC3DE1" w:rsidP="00E16C77">
      <w:pPr>
        <w:rPr>
          <w:lang w:val="en-AU"/>
        </w:rPr>
      </w:pPr>
    </w:p>
    <w:p w14:paraId="20A13D3D" w14:textId="533F8911" w:rsidR="00D879BA" w:rsidRPr="00E27200" w:rsidRDefault="00B34AA2" w:rsidP="00B34AA2">
      <w:pPr>
        <w:pStyle w:val="Heading3"/>
      </w:pPr>
      <w:r w:rsidRPr="00E27200">
        <w:t xml:space="preserve">Comparisons of availability in different settings and </w:t>
      </w:r>
      <w:r w:rsidR="00142F50">
        <w:t>health system levels</w:t>
      </w:r>
    </w:p>
    <w:p w14:paraId="64B71697" w14:textId="320D4705" w:rsidR="004404E9" w:rsidRPr="00E27200" w:rsidRDefault="00F30A01" w:rsidP="00E16C77">
      <w:pPr>
        <w:rPr>
          <w:lang w:val="en-AU"/>
        </w:rPr>
      </w:pPr>
      <w:r>
        <w:rPr>
          <w:lang w:val="en-AU"/>
        </w:rPr>
        <w:t xml:space="preserve">We reviewed the relative availability, as a proportion of relevant tracer medicines available across all HFs.  These findings are presented in detail in table A12 of Annex 11.2. </w:t>
      </w:r>
      <w:r w:rsidR="00171CE0" w:rsidRPr="00E27200">
        <w:rPr>
          <w:lang w:val="en-AU"/>
        </w:rPr>
        <w:t>Stratified analysis of</w:t>
      </w:r>
      <w:r>
        <w:rPr>
          <w:lang w:val="en-AU"/>
        </w:rPr>
        <w:t xml:space="preserve"> this</w:t>
      </w:r>
      <w:r w:rsidR="00171CE0" w:rsidRPr="00E27200">
        <w:rPr>
          <w:lang w:val="en-AU"/>
        </w:rPr>
        <w:t xml:space="preserve"> HF survey </w:t>
      </w:r>
      <w:r w:rsidR="004404E9" w:rsidRPr="00E27200">
        <w:rPr>
          <w:lang w:val="en-AU"/>
        </w:rPr>
        <w:t>availability data</w:t>
      </w:r>
      <w:r w:rsidR="00351BBE" w:rsidRPr="00E27200">
        <w:rPr>
          <w:lang w:val="en-AU"/>
        </w:rPr>
        <w:t xml:space="preserve"> </w:t>
      </w:r>
      <w:r w:rsidR="00171CE0" w:rsidRPr="00E27200">
        <w:rPr>
          <w:lang w:val="en-AU"/>
        </w:rPr>
        <w:t>showed that</w:t>
      </w:r>
      <w:r w:rsidR="004404E9" w:rsidRPr="00E27200">
        <w:rPr>
          <w:lang w:val="en-AU"/>
        </w:rPr>
        <w:t>:</w:t>
      </w:r>
      <w:r w:rsidR="00171CE0" w:rsidRPr="00E27200">
        <w:rPr>
          <w:lang w:val="en-AU"/>
        </w:rPr>
        <w:t xml:space="preserve"> </w:t>
      </w:r>
    </w:p>
    <w:p w14:paraId="5EEA78FE" w14:textId="07A70711" w:rsidR="004404E9" w:rsidRPr="00E27200" w:rsidRDefault="0090131E" w:rsidP="00AD3F80">
      <w:pPr>
        <w:pStyle w:val="ListParagraph"/>
        <w:numPr>
          <w:ilvl w:val="0"/>
          <w:numId w:val="12"/>
        </w:numPr>
        <w:rPr>
          <w:rFonts w:cs="Times New Roman"/>
          <w:b/>
          <w:bCs/>
          <w:i/>
          <w:kern w:val="28"/>
          <w:sz w:val="24"/>
          <w:szCs w:val="22"/>
          <w:lang w:val="en-AU" w:eastAsia="en-AU"/>
        </w:rPr>
      </w:pPr>
      <w:r w:rsidRPr="00E27200">
        <w:rPr>
          <w:lang w:val="en-AU"/>
        </w:rPr>
        <w:t>Availability was similar among government</w:t>
      </w:r>
      <w:r w:rsidR="00F47A10">
        <w:rPr>
          <w:lang w:val="en-AU"/>
        </w:rPr>
        <w:t>-</w:t>
      </w:r>
      <w:r w:rsidRPr="00E27200">
        <w:rPr>
          <w:lang w:val="en-AU"/>
        </w:rPr>
        <w:t>managed and church</w:t>
      </w:r>
      <w:r w:rsidR="00F47A10">
        <w:rPr>
          <w:lang w:val="en-AU"/>
        </w:rPr>
        <w:t>-</w:t>
      </w:r>
      <w:r w:rsidRPr="00E27200">
        <w:rPr>
          <w:lang w:val="en-AU"/>
        </w:rPr>
        <w:t xml:space="preserve">managed facilities (where known) – 69.0% </w:t>
      </w:r>
      <w:r w:rsidR="0091042B" w:rsidRPr="00E27200">
        <w:rPr>
          <w:lang w:val="en-AU"/>
        </w:rPr>
        <w:t>vs.</w:t>
      </w:r>
      <w:r w:rsidRPr="00E27200">
        <w:rPr>
          <w:lang w:val="en-AU"/>
        </w:rPr>
        <w:t xml:space="preserve"> 74.7% respectively. </w:t>
      </w:r>
    </w:p>
    <w:p w14:paraId="36F06232" w14:textId="2DC6D6F1" w:rsidR="006773D9" w:rsidRPr="00E27200" w:rsidRDefault="006773D9" w:rsidP="00AD3F80">
      <w:pPr>
        <w:pStyle w:val="ListParagraph"/>
        <w:numPr>
          <w:ilvl w:val="0"/>
          <w:numId w:val="12"/>
        </w:numPr>
        <w:rPr>
          <w:rFonts w:cs="Times New Roman"/>
          <w:b/>
          <w:bCs/>
          <w:i/>
          <w:kern w:val="28"/>
          <w:sz w:val="24"/>
          <w:szCs w:val="22"/>
          <w:lang w:val="en-AU" w:eastAsia="en-AU"/>
        </w:rPr>
      </w:pPr>
      <w:r w:rsidRPr="00E27200">
        <w:rPr>
          <w:lang w:val="en-AU"/>
        </w:rPr>
        <w:t xml:space="preserve">Availability was similar for all regions (ranging from 60 to 65%), being lowest in </w:t>
      </w:r>
      <w:proofErr w:type="spellStart"/>
      <w:r w:rsidRPr="00E27200">
        <w:rPr>
          <w:lang w:val="en-AU"/>
        </w:rPr>
        <w:t>Madang</w:t>
      </w:r>
      <w:proofErr w:type="spellEnd"/>
      <w:r w:rsidRPr="00E27200">
        <w:rPr>
          <w:lang w:val="en-AU"/>
        </w:rPr>
        <w:t xml:space="preserve"> (56%), Western (58%), and WHP (59%) and </w:t>
      </w:r>
      <w:r w:rsidR="00471F43" w:rsidRPr="00E27200">
        <w:rPr>
          <w:lang w:val="en-AU"/>
        </w:rPr>
        <w:t>Bougainville</w:t>
      </w:r>
      <w:r w:rsidRPr="00E27200">
        <w:rPr>
          <w:lang w:val="en-AU"/>
        </w:rPr>
        <w:t xml:space="preserve"> (61%).</w:t>
      </w:r>
    </w:p>
    <w:p w14:paraId="4EE2F4A4" w14:textId="77777777" w:rsidR="00142F50" w:rsidRDefault="00142F50" w:rsidP="008D11AA">
      <w:pPr>
        <w:rPr>
          <w:lang w:val="en-AU"/>
        </w:rPr>
      </w:pPr>
    </w:p>
    <w:p w14:paraId="5399C50A" w14:textId="01EA0A1F" w:rsidR="00142F50" w:rsidRPr="00CB06AF" w:rsidRDefault="00142F50" w:rsidP="008D11AA">
      <w:pPr>
        <w:rPr>
          <w:rFonts w:cs="Times New Roman"/>
          <w:b/>
          <w:bCs/>
          <w:i/>
          <w:kern w:val="28"/>
          <w:sz w:val="24"/>
          <w:szCs w:val="22"/>
          <w:lang w:val="en-AU" w:eastAsia="en-AU"/>
        </w:rPr>
      </w:pPr>
      <w:r w:rsidRPr="00142F50">
        <w:rPr>
          <w:lang w:val="en-AU"/>
        </w:rPr>
        <w:t>Availability was highest in</w:t>
      </w:r>
      <w:r w:rsidR="00AD6C5E">
        <w:rPr>
          <w:lang w:val="en-AU"/>
        </w:rPr>
        <w:t xml:space="preserve"> more central levels of the health system: with 92%</w:t>
      </w:r>
      <w:r w:rsidRPr="00142F50">
        <w:rPr>
          <w:lang w:val="en-AU"/>
        </w:rPr>
        <w:t xml:space="preserve"> </w:t>
      </w:r>
      <w:r w:rsidR="00AD6C5E">
        <w:rPr>
          <w:lang w:val="en-AU"/>
        </w:rPr>
        <w:t xml:space="preserve">of tracer medicines available across </w:t>
      </w:r>
      <w:r w:rsidRPr="00142F50">
        <w:rPr>
          <w:lang w:val="en-AU"/>
        </w:rPr>
        <w:t>hospitals</w:t>
      </w:r>
      <w:r w:rsidR="00AD6C5E">
        <w:rPr>
          <w:lang w:val="en-AU"/>
        </w:rPr>
        <w:t xml:space="preserve">, and 75% of tracer medicines available across the HC/SC level.  The most critical level for increasing population access to care is the AP level.  When measured </w:t>
      </w:r>
      <w:r w:rsidR="002E60BC">
        <w:rPr>
          <w:lang w:val="en-AU"/>
        </w:rPr>
        <w:t>using the standard indicator, the proportion of all tracer medicines available at the AP was 48% - reflecting the unsurprising finding that this level of the system is less supplied than more central levels. However the more important measure is to consider AP availability of some of the more essential medicines for important population health threats.  In this regard, the current AP situation is</w:t>
      </w:r>
      <w:r w:rsidR="00090907">
        <w:rPr>
          <w:lang w:val="en-AU"/>
        </w:rPr>
        <w:t xml:space="preserve"> better than this figure suggests, as discussed in the section immediately below.</w:t>
      </w:r>
    </w:p>
    <w:p w14:paraId="78EC906A" w14:textId="77777777" w:rsidR="00221E03" w:rsidRDefault="00221E03" w:rsidP="00E16C77">
      <w:pPr>
        <w:rPr>
          <w:lang w:val="en-AU"/>
        </w:rPr>
      </w:pPr>
    </w:p>
    <w:p w14:paraId="38F77BB3" w14:textId="4B345558" w:rsidR="00142F50" w:rsidRDefault="002E60BC" w:rsidP="00E16C77">
      <w:pPr>
        <w:rPr>
          <w:lang w:val="en-AU"/>
        </w:rPr>
      </w:pPr>
      <w:r>
        <w:rPr>
          <w:lang w:val="en-AU"/>
        </w:rPr>
        <w:t>The overall</w:t>
      </w:r>
      <w:r w:rsidR="00142F50">
        <w:rPr>
          <w:lang w:val="en-AU"/>
        </w:rPr>
        <w:t xml:space="preserve"> test of availability </w:t>
      </w:r>
      <w:r w:rsidR="00CB06AF">
        <w:rPr>
          <w:lang w:val="en-AU"/>
        </w:rPr>
        <w:t xml:space="preserve">relates to 16 tracer medicines and thus follows the logic of the standard WHO indicator. It is stringent, but less so than the NHIS indicator (Indicator 27), which is more sensitive to stock-outs because, while the NHIS only consolidates reports across eight tracer medical supplies the variety of these supplies (including vaccinations, oxygen and child health record books in addition to medicines) increases the likelihood that </w:t>
      </w:r>
      <w:r w:rsidR="0083424C">
        <w:rPr>
          <w:lang w:val="en-AU"/>
        </w:rPr>
        <w:t>a stock-out will be calculated for any one HF. In our data, w</w:t>
      </w:r>
      <w:r w:rsidR="00CB06AF">
        <w:rPr>
          <w:lang w:val="en-AU"/>
        </w:rPr>
        <w:t>hile the</w:t>
      </w:r>
      <w:r w:rsidR="0083424C">
        <w:rPr>
          <w:lang w:val="en-AU"/>
        </w:rPr>
        <w:t xml:space="preserve"> summary measure (64%) we calculated </w:t>
      </w:r>
      <w:r w:rsidR="00CB06AF">
        <w:rPr>
          <w:lang w:val="en-AU"/>
        </w:rPr>
        <w:t xml:space="preserve">is comparable to similar countries in the region, </w:t>
      </w:r>
      <w:r w:rsidR="0083424C">
        <w:rPr>
          <w:lang w:val="en-AU"/>
        </w:rPr>
        <w:t>this still represents inadequate provision of essential medicines across the board in facilities. This can be seen by the significant experiences of stock-outs, and their subsequent effects, experienced by HFs and discussed in sections below.</w:t>
      </w:r>
    </w:p>
    <w:p w14:paraId="1835A5F9" w14:textId="77777777" w:rsidR="0083424C" w:rsidRDefault="0083424C" w:rsidP="00E16C77">
      <w:pPr>
        <w:rPr>
          <w:lang w:val="en-AU"/>
        </w:rPr>
      </w:pPr>
    </w:p>
    <w:p w14:paraId="24D9572A" w14:textId="33BA7F09" w:rsidR="0083424C" w:rsidRDefault="0083424C" w:rsidP="00E16C77">
      <w:pPr>
        <w:rPr>
          <w:lang w:val="en-AU"/>
        </w:rPr>
      </w:pPr>
      <w:r>
        <w:rPr>
          <w:lang w:val="en-AU"/>
        </w:rPr>
        <w:t xml:space="preserve">Even if the overall measure of availability is modest in comparison to elsewhere, what is different to recent years is that the availability of certain vital, life-saving medicines, such as amoxicillin, ORS, and </w:t>
      </w:r>
      <w:proofErr w:type="spellStart"/>
      <w:r>
        <w:rPr>
          <w:lang w:val="en-AU"/>
        </w:rPr>
        <w:t>antimalarials</w:t>
      </w:r>
      <w:proofErr w:type="spellEnd"/>
      <w:r>
        <w:rPr>
          <w:lang w:val="en-AU"/>
        </w:rPr>
        <w:t>, does seem to have increased.</w:t>
      </w:r>
      <w:r w:rsidR="00AD6C5E">
        <w:rPr>
          <w:lang w:val="en-AU"/>
        </w:rPr>
        <w:t xml:space="preserve">  Our findings suggest a strong contribution to this from the ‘push’ systems of distribution, as discussed below.</w:t>
      </w:r>
    </w:p>
    <w:p w14:paraId="065D00E1" w14:textId="77777777" w:rsidR="00142F50" w:rsidRDefault="00142F50" w:rsidP="00E16C77">
      <w:pPr>
        <w:rPr>
          <w:lang w:val="en-AU"/>
        </w:rPr>
      </w:pPr>
    </w:p>
    <w:p w14:paraId="46B9C8AB" w14:textId="605412E6" w:rsidR="00FC3754" w:rsidRDefault="00FC3754" w:rsidP="0083424C">
      <w:pPr>
        <w:pStyle w:val="Heading3"/>
      </w:pPr>
      <w:r>
        <w:t>Contribution of the 100% kits to availability at HC and AP levels</w:t>
      </w:r>
    </w:p>
    <w:p w14:paraId="586755EF" w14:textId="11613CF1" w:rsidR="005B04C6" w:rsidRDefault="00F30A01" w:rsidP="00FC3754">
      <w:pPr>
        <w:rPr>
          <w:lang w:val="en-AU"/>
        </w:rPr>
      </w:pPr>
      <w:r>
        <w:rPr>
          <w:lang w:val="en-AU"/>
        </w:rPr>
        <w:t>The overall availability measure o</w:t>
      </w:r>
      <w:r w:rsidR="00090907">
        <w:rPr>
          <w:lang w:val="en-AU"/>
        </w:rPr>
        <w:t xml:space="preserve">f 64% is measured as a proportion across all 16 tracer medicines. We also contrasted the availability of medicines available only through the ‘pull’ system, with those that were supplemented by the ‘push’ system, and one vertical program medicine, ACT. </w:t>
      </w:r>
      <w:r w:rsidR="00BB1783">
        <w:rPr>
          <w:lang w:val="en-AU"/>
        </w:rPr>
        <w:t xml:space="preserve">Within those supplemented by the ‘push’ system we also attempted to measure the proportion observed that were from </w:t>
      </w:r>
      <w:r w:rsidR="006D1CAB">
        <w:rPr>
          <w:lang w:val="en-AU"/>
        </w:rPr>
        <w:t xml:space="preserve">IDA, </w:t>
      </w:r>
      <w:r w:rsidR="00BB1783">
        <w:rPr>
          <w:lang w:val="en-AU"/>
        </w:rPr>
        <w:t xml:space="preserve">the </w:t>
      </w:r>
      <w:r w:rsidR="006D1CAB">
        <w:rPr>
          <w:lang w:val="en-AU"/>
        </w:rPr>
        <w:t xml:space="preserve">100% kits </w:t>
      </w:r>
      <w:r w:rsidR="00BB1783">
        <w:rPr>
          <w:lang w:val="en-AU"/>
        </w:rPr>
        <w:t>international supplier.  This was possible because this supplier used unique and consistent labelling across all its products</w:t>
      </w:r>
      <w:r w:rsidR="00BB1783">
        <w:rPr>
          <w:rStyle w:val="FootnoteReference"/>
          <w:lang w:val="en-AU"/>
        </w:rPr>
        <w:footnoteReference w:id="27"/>
      </w:r>
      <w:r w:rsidR="00BB1783">
        <w:rPr>
          <w:lang w:val="en-AU"/>
        </w:rPr>
        <w:t xml:space="preserve">. </w:t>
      </w:r>
    </w:p>
    <w:p w14:paraId="5FA18036" w14:textId="77777777" w:rsidR="005B04C6" w:rsidRDefault="005B04C6" w:rsidP="00FC3754">
      <w:pPr>
        <w:rPr>
          <w:lang w:val="en-AU"/>
        </w:rPr>
      </w:pPr>
    </w:p>
    <w:p w14:paraId="63379B0F" w14:textId="795D88F2" w:rsidR="005B04C6" w:rsidRDefault="005B04C6" w:rsidP="00C16631">
      <w:pPr>
        <w:rPr>
          <w:lang w:val="en-AU"/>
        </w:rPr>
      </w:pPr>
      <w:r>
        <w:rPr>
          <w:lang w:val="en-AU"/>
        </w:rPr>
        <w:t>Overall, t</w:t>
      </w:r>
      <w:r w:rsidRPr="00E27200">
        <w:rPr>
          <w:lang w:val="en-AU"/>
        </w:rPr>
        <w:t xml:space="preserve">he HF survey data showed that medicines </w:t>
      </w:r>
      <w:r>
        <w:rPr>
          <w:lang w:val="en-AU"/>
        </w:rPr>
        <w:t>supplemented by ‘push’ distributions of 100% kits had g</w:t>
      </w:r>
      <w:r w:rsidRPr="00E27200">
        <w:rPr>
          <w:lang w:val="en-AU"/>
        </w:rPr>
        <w:t>reater availability (at 68.8%) than ‘pull’</w:t>
      </w:r>
      <w:r>
        <w:rPr>
          <w:lang w:val="en-AU"/>
        </w:rPr>
        <w:t>-only</w:t>
      </w:r>
      <w:r w:rsidRPr="00E27200">
        <w:rPr>
          <w:lang w:val="en-AU"/>
        </w:rPr>
        <w:t xml:space="preserve"> system medicines (at 46.0%)</w:t>
      </w:r>
      <w:r>
        <w:rPr>
          <w:lang w:val="en-AU"/>
        </w:rPr>
        <w:t xml:space="preserve">, fewer </w:t>
      </w:r>
      <w:r w:rsidRPr="00C715EE">
        <w:rPr>
          <w:lang w:val="en-AU"/>
        </w:rPr>
        <w:t xml:space="preserve">expired </w:t>
      </w:r>
      <w:r w:rsidRPr="00C715EE">
        <w:rPr>
          <w:lang w:val="en-AU"/>
        </w:rPr>
        <w:lastRenderedPageBreak/>
        <w:t>medicines</w:t>
      </w:r>
      <w:r>
        <w:rPr>
          <w:lang w:val="en-AU"/>
        </w:rPr>
        <w:t xml:space="preserve">, were more likely to comprise generic medicines, but recorded similar durations </w:t>
      </w:r>
      <w:r w:rsidRPr="00E27200">
        <w:rPr>
          <w:lang w:val="en-AU"/>
        </w:rPr>
        <w:t>of stock</w:t>
      </w:r>
      <w:r>
        <w:rPr>
          <w:lang w:val="en-AU"/>
        </w:rPr>
        <w:t>-</w:t>
      </w:r>
      <w:r w:rsidRPr="00E27200">
        <w:rPr>
          <w:lang w:val="en-AU"/>
        </w:rPr>
        <w:t xml:space="preserve">outs </w:t>
      </w:r>
      <w:r>
        <w:rPr>
          <w:lang w:val="en-AU"/>
        </w:rPr>
        <w:t>when a stock-out did take place (see section on stock-outs below).</w:t>
      </w:r>
    </w:p>
    <w:p w14:paraId="041509F0" w14:textId="77777777" w:rsidR="005B04C6" w:rsidRDefault="005B04C6" w:rsidP="00FC3754">
      <w:pPr>
        <w:rPr>
          <w:lang w:val="en-AU"/>
        </w:rPr>
      </w:pPr>
    </w:p>
    <w:p w14:paraId="5413FE26" w14:textId="24338506" w:rsidR="00FC3754" w:rsidRDefault="00090907" w:rsidP="00FC3754">
      <w:pPr>
        <w:rPr>
          <w:lang w:val="en-AU"/>
        </w:rPr>
      </w:pPr>
      <w:r>
        <w:rPr>
          <w:lang w:val="en-AU"/>
        </w:rPr>
        <w:t>The table below is extract</w:t>
      </w:r>
      <w:r w:rsidR="005B04C6">
        <w:rPr>
          <w:lang w:val="en-AU"/>
        </w:rPr>
        <w:t>ed from Table A12 in Annex 11.2 and presents the comparisons of availability between different distribution systems, at different levels in the system.</w:t>
      </w:r>
    </w:p>
    <w:p w14:paraId="2BA13D55" w14:textId="77777777" w:rsidR="00090907" w:rsidRDefault="00090907" w:rsidP="00FC3754">
      <w:pPr>
        <w:rPr>
          <w:lang w:val="en-AU"/>
        </w:rPr>
      </w:pPr>
    </w:p>
    <w:p w14:paraId="0A60354D" w14:textId="29730707" w:rsidR="00090907" w:rsidRDefault="00090907" w:rsidP="00FC3754">
      <w:pPr>
        <w:rPr>
          <w:b/>
          <w:lang w:val="en-AU"/>
        </w:rPr>
      </w:pPr>
      <w:r>
        <w:rPr>
          <w:b/>
          <w:lang w:val="en-AU"/>
        </w:rPr>
        <w:t>Table</w:t>
      </w:r>
      <w:r w:rsidR="005B04C6">
        <w:rPr>
          <w:b/>
          <w:lang w:val="en-AU"/>
        </w:rPr>
        <w:t xml:space="preserve"> 6: Availability of medicines in different distribution systems</w:t>
      </w:r>
    </w:p>
    <w:tbl>
      <w:tblPr>
        <w:tblStyle w:val="TableGrid"/>
        <w:tblW w:w="0" w:type="auto"/>
        <w:tblLook w:val="04A0" w:firstRow="1" w:lastRow="0" w:firstColumn="1" w:lastColumn="0" w:noHBand="0" w:noVBand="1"/>
      </w:tblPr>
      <w:tblGrid>
        <w:gridCol w:w="2660"/>
        <w:gridCol w:w="1276"/>
        <w:gridCol w:w="1701"/>
        <w:gridCol w:w="2409"/>
      </w:tblGrid>
      <w:tr w:rsidR="00707469" w14:paraId="7DAC33F1" w14:textId="77777777" w:rsidTr="008D11AA">
        <w:trPr>
          <w:trHeight w:val="757"/>
        </w:trPr>
        <w:tc>
          <w:tcPr>
            <w:tcW w:w="2660" w:type="dxa"/>
          </w:tcPr>
          <w:p w14:paraId="5197121C" w14:textId="77777777" w:rsidR="00707469" w:rsidRPr="00C715EE" w:rsidRDefault="00707469" w:rsidP="00FC3754">
            <w:pPr>
              <w:rPr>
                <w:lang w:val="en-AU"/>
              </w:rPr>
            </w:pPr>
          </w:p>
        </w:tc>
        <w:tc>
          <w:tcPr>
            <w:tcW w:w="5386" w:type="dxa"/>
            <w:gridSpan w:val="3"/>
            <w:vAlign w:val="center"/>
          </w:tcPr>
          <w:p w14:paraId="0DCFB9ED" w14:textId="5EF6CFA4" w:rsidR="00707469" w:rsidRPr="00C715EE" w:rsidRDefault="00707469" w:rsidP="00C715EE">
            <w:pPr>
              <w:jc w:val="center"/>
              <w:rPr>
                <w:b/>
                <w:lang w:val="en-AU"/>
              </w:rPr>
            </w:pPr>
            <w:r w:rsidRPr="00C715EE">
              <w:rPr>
                <w:b/>
                <w:lang w:val="en-AU"/>
              </w:rPr>
              <w:t>Proportion of the relevant tracer medicines</w:t>
            </w:r>
          </w:p>
          <w:p w14:paraId="5AA16BAA" w14:textId="140B7FE7" w:rsidR="00707469" w:rsidRPr="00C715EE" w:rsidRDefault="0007243A" w:rsidP="00C715EE">
            <w:pPr>
              <w:jc w:val="center"/>
              <w:rPr>
                <w:lang w:val="en-AU"/>
              </w:rPr>
            </w:pPr>
            <w:r>
              <w:rPr>
                <w:lang w:val="en-AU"/>
              </w:rPr>
              <w:t xml:space="preserve">available all relevant HFs, </w:t>
            </w:r>
            <w:r w:rsidR="00707469">
              <w:rPr>
                <w:lang w:val="en-AU"/>
              </w:rPr>
              <w:t>%</w:t>
            </w:r>
            <w:r>
              <w:rPr>
                <w:lang w:val="en-AU"/>
              </w:rPr>
              <w:t xml:space="preserve"> (95%CI</w:t>
            </w:r>
            <w:r w:rsidR="00707469">
              <w:rPr>
                <w:lang w:val="en-AU"/>
              </w:rPr>
              <w:t>)</w:t>
            </w:r>
          </w:p>
        </w:tc>
      </w:tr>
      <w:tr w:rsidR="0007243A" w14:paraId="6D3EB721" w14:textId="77777777" w:rsidTr="00C715EE">
        <w:trPr>
          <w:trHeight w:val="537"/>
        </w:trPr>
        <w:tc>
          <w:tcPr>
            <w:tcW w:w="2660" w:type="dxa"/>
            <w:vAlign w:val="center"/>
          </w:tcPr>
          <w:p w14:paraId="5B9E71E9" w14:textId="77777777" w:rsidR="00E02A7A" w:rsidRPr="00C715EE" w:rsidRDefault="00E02A7A" w:rsidP="00C715EE">
            <w:pPr>
              <w:jc w:val="center"/>
              <w:rPr>
                <w:lang w:val="en-AU"/>
              </w:rPr>
            </w:pPr>
          </w:p>
        </w:tc>
        <w:tc>
          <w:tcPr>
            <w:tcW w:w="1276" w:type="dxa"/>
            <w:vAlign w:val="center"/>
          </w:tcPr>
          <w:p w14:paraId="6884E4BD" w14:textId="5EC117E5" w:rsidR="0007243A" w:rsidRPr="00C715EE" w:rsidRDefault="00E02A7A" w:rsidP="00C715EE">
            <w:pPr>
              <w:jc w:val="center"/>
              <w:rPr>
                <w:lang w:val="en-AU"/>
              </w:rPr>
            </w:pPr>
            <w:r>
              <w:rPr>
                <w:lang w:val="en-AU"/>
              </w:rPr>
              <w:t>Hospitals</w:t>
            </w:r>
          </w:p>
        </w:tc>
        <w:tc>
          <w:tcPr>
            <w:tcW w:w="1701" w:type="dxa"/>
            <w:vAlign w:val="center"/>
          </w:tcPr>
          <w:p w14:paraId="4D48127B" w14:textId="372E7D62" w:rsidR="00E02A7A" w:rsidRPr="00C715EE" w:rsidRDefault="00E02A7A" w:rsidP="00C715EE">
            <w:pPr>
              <w:jc w:val="center"/>
              <w:rPr>
                <w:lang w:val="en-AU"/>
              </w:rPr>
            </w:pPr>
            <w:r>
              <w:rPr>
                <w:lang w:val="en-AU"/>
              </w:rPr>
              <w:t>HC and SC</w:t>
            </w:r>
          </w:p>
        </w:tc>
        <w:tc>
          <w:tcPr>
            <w:tcW w:w="2409" w:type="dxa"/>
            <w:vAlign w:val="center"/>
          </w:tcPr>
          <w:p w14:paraId="60F9E122" w14:textId="0D8CDE70" w:rsidR="00E02A7A" w:rsidRPr="00C715EE" w:rsidRDefault="00E02A7A" w:rsidP="00C715EE">
            <w:pPr>
              <w:jc w:val="center"/>
              <w:rPr>
                <w:lang w:val="en-AU"/>
              </w:rPr>
            </w:pPr>
            <w:r>
              <w:rPr>
                <w:lang w:val="en-AU"/>
              </w:rPr>
              <w:t>AP</w:t>
            </w:r>
          </w:p>
        </w:tc>
      </w:tr>
      <w:tr w:rsidR="0007243A" w14:paraId="07B1D575" w14:textId="77777777" w:rsidTr="008D11AA">
        <w:trPr>
          <w:trHeight w:val="860"/>
        </w:trPr>
        <w:tc>
          <w:tcPr>
            <w:tcW w:w="2660" w:type="dxa"/>
            <w:vAlign w:val="center"/>
          </w:tcPr>
          <w:p w14:paraId="6859465C" w14:textId="7B73A9B6" w:rsidR="0007243A" w:rsidRDefault="00E02A7A" w:rsidP="00C715EE">
            <w:pPr>
              <w:jc w:val="center"/>
              <w:rPr>
                <w:lang w:val="en-AU"/>
              </w:rPr>
            </w:pPr>
            <w:r w:rsidRPr="00C16631">
              <w:rPr>
                <w:lang w:val="en-AU"/>
              </w:rPr>
              <w:t xml:space="preserve">Medicines </w:t>
            </w:r>
            <w:r w:rsidR="0007243A">
              <w:rPr>
                <w:lang w:val="en-AU"/>
              </w:rPr>
              <w:t>(3)</w:t>
            </w:r>
          </w:p>
          <w:p w14:paraId="1A046EC4" w14:textId="1F42AB06" w:rsidR="00E02A7A" w:rsidRPr="00C715EE" w:rsidRDefault="00E02A7A" w:rsidP="00C715EE">
            <w:pPr>
              <w:jc w:val="center"/>
              <w:rPr>
                <w:lang w:val="en-AU"/>
              </w:rPr>
            </w:pPr>
            <w:r w:rsidRPr="00C16631">
              <w:rPr>
                <w:lang w:val="en-AU"/>
              </w:rPr>
              <w:t>supplied only through the ‘</w:t>
            </w:r>
            <w:r w:rsidRPr="00C715EE">
              <w:rPr>
                <w:b/>
                <w:lang w:val="en-AU"/>
              </w:rPr>
              <w:t>pull’</w:t>
            </w:r>
            <w:r w:rsidRPr="00C16631">
              <w:rPr>
                <w:lang w:val="en-AU"/>
              </w:rPr>
              <w:t xml:space="preserve"> system</w:t>
            </w:r>
          </w:p>
        </w:tc>
        <w:tc>
          <w:tcPr>
            <w:tcW w:w="1276" w:type="dxa"/>
            <w:vAlign w:val="center"/>
          </w:tcPr>
          <w:p w14:paraId="371A1FC2" w14:textId="17441027" w:rsidR="00E02A7A" w:rsidRPr="00C715EE" w:rsidRDefault="0007243A" w:rsidP="00C715EE">
            <w:pPr>
              <w:jc w:val="center"/>
            </w:pPr>
            <w:r w:rsidRPr="00865B03">
              <w:t>77%</w:t>
            </w:r>
          </w:p>
        </w:tc>
        <w:tc>
          <w:tcPr>
            <w:tcW w:w="1701" w:type="dxa"/>
            <w:vAlign w:val="center"/>
          </w:tcPr>
          <w:p w14:paraId="0041250E" w14:textId="46EF525F" w:rsidR="00E02A7A" w:rsidRPr="00C715EE" w:rsidRDefault="0007243A" w:rsidP="00C715EE">
            <w:pPr>
              <w:jc w:val="center"/>
            </w:pPr>
            <w:r w:rsidRPr="00865B03">
              <w:t>57%</w:t>
            </w:r>
          </w:p>
        </w:tc>
        <w:tc>
          <w:tcPr>
            <w:tcW w:w="2409" w:type="dxa"/>
            <w:vAlign w:val="center"/>
          </w:tcPr>
          <w:p w14:paraId="5E3739D0" w14:textId="75C1782C" w:rsidR="00E02A7A" w:rsidRPr="00C715EE" w:rsidRDefault="0007243A" w:rsidP="00C715EE">
            <w:pPr>
              <w:jc w:val="center"/>
            </w:pPr>
            <w:r w:rsidRPr="00865B03">
              <w:t>25%</w:t>
            </w:r>
          </w:p>
        </w:tc>
      </w:tr>
      <w:tr w:rsidR="0007243A" w14:paraId="6BA10A6E" w14:textId="77777777" w:rsidTr="008D11AA">
        <w:trPr>
          <w:trHeight w:val="1553"/>
        </w:trPr>
        <w:tc>
          <w:tcPr>
            <w:tcW w:w="2660" w:type="dxa"/>
            <w:vAlign w:val="center"/>
          </w:tcPr>
          <w:p w14:paraId="28B45BF8" w14:textId="5BA7BB0D" w:rsidR="0007243A" w:rsidRDefault="00E02A7A" w:rsidP="00C715EE">
            <w:pPr>
              <w:jc w:val="center"/>
              <w:rPr>
                <w:lang w:val="en-AU"/>
              </w:rPr>
            </w:pPr>
            <w:r>
              <w:rPr>
                <w:lang w:val="en-AU"/>
              </w:rPr>
              <w:t>Medicines</w:t>
            </w:r>
          </w:p>
          <w:p w14:paraId="4C5692CA" w14:textId="2A3903F3" w:rsidR="00E02A7A" w:rsidRPr="00C715EE" w:rsidRDefault="0007243A" w:rsidP="00C715EE">
            <w:pPr>
              <w:jc w:val="center"/>
              <w:rPr>
                <w:lang w:val="en-AU"/>
              </w:rPr>
            </w:pPr>
            <w:r>
              <w:rPr>
                <w:lang w:val="en-AU"/>
              </w:rPr>
              <w:t xml:space="preserve">(12, HC or 12 and 7,AP) </w:t>
            </w:r>
            <w:r w:rsidR="00E02A7A">
              <w:rPr>
                <w:lang w:val="en-AU"/>
              </w:rPr>
              <w:t>supplemented through the ‘</w:t>
            </w:r>
            <w:r w:rsidR="00E02A7A" w:rsidRPr="00C715EE">
              <w:rPr>
                <w:b/>
                <w:lang w:val="en-AU"/>
              </w:rPr>
              <w:t>push’</w:t>
            </w:r>
            <w:r w:rsidR="00E02A7A">
              <w:rPr>
                <w:lang w:val="en-AU"/>
              </w:rPr>
              <w:t xml:space="preserve"> system</w:t>
            </w:r>
          </w:p>
        </w:tc>
        <w:tc>
          <w:tcPr>
            <w:tcW w:w="1276" w:type="dxa"/>
            <w:vAlign w:val="center"/>
          </w:tcPr>
          <w:p w14:paraId="304A2C72" w14:textId="4B2505B7" w:rsidR="00E02A7A" w:rsidRPr="00C715EE" w:rsidRDefault="00C5210A" w:rsidP="00C715EE">
            <w:pPr>
              <w:jc w:val="center"/>
            </w:pPr>
            <w:r>
              <w:t>78</w:t>
            </w:r>
            <w:r w:rsidR="0007243A" w:rsidRPr="00865B03">
              <w:t>%</w:t>
            </w:r>
          </w:p>
        </w:tc>
        <w:tc>
          <w:tcPr>
            <w:tcW w:w="1701" w:type="dxa"/>
            <w:vAlign w:val="center"/>
          </w:tcPr>
          <w:p w14:paraId="2897DBD2" w14:textId="66590CFA" w:rsidR="00E02A7A" w:rsidRPr="00C715EE" w:rsidRDefault="0007243A" w:rsidP="00C715EE">
            <w:pPr>
              <w:jc w:val="center"/>
            </w:pPr>
            <w:r w:rsidRPr="00865B03">
              <w:t>80%</w:t>
            </w:r>
          </w:p>
        </w:tc>
        <w:tc>
          <w:tcPr>
            <w:tcW w:w="2409" w:type="dxa"/>
            <w:vAlign w:val="center"/>
          </w:tcPr>
          <w:p w14:paraId="13F4B889" w14:textId="77777777" w:rsidR="0007243A" w:rsidRDefault="0007243A" w:rsidP="00C715EE">
            <w:pPr>
              <w:jc w:val="center"/>
            </w:pPr>
          </w:p>
          <w:p w14:paraId="05121C1D" w14:textId="6C543813" w:rsidR="0007243A" w:rsidRDefault="0007243A" w:rsidP="00C715EE">
            <w:pPr>
              <w:jc w:val="center"/>
            </w:pPr>
            <w:r w:rsidRPr="00865B03">
              <w:t>54%</w:t>
            </w:r>
            <w:r w:rsidR="00C5210A">
              <w:t xml:space="preserve"> </w:t>
            </w:r>
            <w:r w:rsidR="00C5210A" w:rsidRPr="008D11AA">
              <w:rPr>
                <w:sz w:val="18"/>
                <w:szCs w:val="18"/>
              </w:rPr>
              <w:t>(12 meds)</w:t>
            </w:r>
          </w:p>
          <w:p w14:paraId="600ED0BA" w14:textId="336A4B70" w:rsidR="0007243A" w:rsidRPr="00C715EE" w:rsidRDefault="0007243A" w:rsidP="00C715EE">
            <w:pPr>
              <w:jc w:val="center"/>
              <w:rPr>
                <w:i/>
                <w:sz w:val="18"/>
                <w:szCs w:val="18"/>
              </w:rPr>
            </w:pPr>
            <w:r w:rsidRPr="00C715EE">
              <w:rPr>
                <w:i/>
                <w:sz w:val="18"/>
                <w:szCs w:val="18"/>
              </w:rPr>
              <w:t>or</w:t>
            </w:r>
          </w:p>
          <w:p w14:paraId="3FEE88C4" w14:textId="01CE3D35" w:rsidR="0007243A" w:rsidRDefault="0007243A" w:rsidP="00C715EE">
            <w:pPr>
              <w:jc w:val="center"/>
            </w:pPr>
            <w:r w:rsidRPr="00C715EE">
              <w:rPr>
                <w:b/>
              </w:rPr>
              <w:t>79%</w:t>
            </w:r>
          </w:p>
          <w:p w14:paraId="64D8C8ED" w14:textId="6610772C" w:rsidR="00E02A7A" w:rsidRPr="008D11AA" w:rsidRDefault="0007243A" w:rsidP="00C10FD4">
            <w:pPr>
              <w:jc w:val="center"/>
              <w:rPr>
                <w:sz w:val="18"/>
                <w:szCs w:val="18"/>
                <w:lang w:val="en-AU"/>
              </w:rPr>
            </w:pPr>
            <w:r w:rsidRPr="008D11AA">
              <w:rPr>
                <w:sz w:val="18"/>
                <w:szCs w:val="18"/>
              </w:rPr>
              <w:t xml:space="preserve">(when only </w:t>
            </w:r>
            <w:r w:rsidR="00C5210A" w:rsidRPr="008D11AA">
              <w:rPr>
                <w:sz w:val="18"/>
                <w:szCs w:val="18"/>
              </w:rPr>
              <w:t>the seven</w:t>
            </w:r>
            <w:r w:rsidRPr="008D11AA">
              <w:rPr>
                <w:sz w:val="18"/>
                <w:szCs w:val="18"/>
              </w:rPr>
              <w:t xml:space="preserve">  medicines from the 100% AP kits are considered)</w:t>
            </w:r>
          </w:p>
        </w:tc>
      </w:tr>
      <w:tr w:rsidR="00DD1484" w14:paraId="397B02FC" w14:textId="77777777" w:rsidTr="008D11AA">
        <w:trPr>
          <w:trHeight w:val="559"/>
        </w:trPr>
        <w:tc>
          <w:tcPr>
            <w:tcW w:w="2660" w:type="dxa"/>
            <w:vAlign w:val="center"/>
          </w:tcPr>
          <w:p w14:paraId="1C1A121A" w14:textId="3CE0A1B7" w:rsidR="00DD1484" w:rsidRPr="00C715EE" w:rsidRDefault="00DD1484" w:rsidP="00C715EE">
            <w:pPr>
              <w:jc w:val="center"/>
              <w:rPr>
                <w:lang w:val="en-AU"/>
              </w:rPr>
            </w:pPr>
            <w:r>
              <w:rPr>
                <w:lang w:val="en-AU"/>
              </w:rPr>
              <w:t>Vertical program: ACT</w:t>
            </w:r>
          </w:p>
        </w:tc>
        <w:tc>
          <w:tcPr>
            <w:tcW w:w="1276" w:type="dxa"/>
            <w:vAlign w:val="center"/>
          </w:tcPr>
          <w:p w14:paraId="2F3537E7" w14:textId="3E729400" w:rsidR="00DD1484" w:rsidRPr="00C715EE" w:rsidRDefault="00DD1484" w:rsidP="00C715EE">
            <w:pPr>
              <w:jc w:val="center"/>
              <w:rPr>
                <w:lang w:val="en-AU"/>
              </w:rPr>
            </w:pPr>
            <w:r w:rsidRPr="00C715EE">
              <w:t>92%</w:t>
            </w:r>
          </w:p>
        </w:tc>
        <w:tc>
          <w:tcPr>
            <w:tcW w:w="1701" w:type="dxa"/>
            <w:vAlign w:val="center"/>
          </w:tcPr>
          <w:p w14:paraId="27AE6532" w14:textId="63C381B4" w:rsidR="00DD1484" w:rsidRPr="00C715EE" w:rsidRDefault="00DD1484" w:rsidP="00C715EE">
            <w:pPr>
              <w:jc w:val="center"/>
              <w:rPr>
                <w:lang w:val="en-AU"/>
              </w:rPr>
            </w:pPr>
            <w:r w:rsidRPr="00C715EE">
              <w:t>79%</w:t>
            </w:r>
          </w:p>
        </w:tc>
        <w:tc>
          <w:tcPr>
            <w:tcW w:w="2409" w:type="dxa"/>
            <w:vAlign w:val="center"/>
          </w:tcPr>
          <w:p w14:paraId="686D058E" w14:textId="5042A390" w:rsidR="00DD1484" w:rsidRPr="00C715EE" w:rsidRDefault="00DD1484" w:rsidP="00C715EE">
            <w:pPr>
              <w:jc w:val="center"/>
              <w:rPr>
                <w:lang w:val="en-AU"/>
              </w:rPr>
            </w:pPr>
            <w:r w:rsidRPr="00C715EE">
              <w:t>53%</w:t>
            </w:r>
          </w:p>
        </w:tc>
      </w:tr>
    </w:tbl>
    <w:p w14:paraId="67830C12" w14:textId="2789B8EF" w:rsidR="005B04C6" w:rsidRPr="008D11AA" w:rsidRDefault="00E02A7A" w:rsidP="0028714B">
      <w:pPr>
        <w:ind w:right="1088"/>
        <w:rPr>
          <w:sz w:val="18"/>
          <w:szCs w:val="18"/>
          <w:lang w:val="en-AU"/>
        </w:rPr>
      </w:pPr>
      <w:r w:rsidRPr="008D11AA">
        <w:rPr>
          <w:sz w:val="18"/>
          <w:szCs w:val="18"/>
          <w:lang w:val="en-AU"/>
        </w:rPr>
        <w:t xml:space="preserve">Note: </w:t>
      </w:r>
      <w:r w:rsidR="00965FD8" w:rsidRPr="008D11AA">
        <w:rPr>
          <w:sz w:val="18"/>
          <w:szCs w:val="18"/>
          <w:lang w:val="en-AU"/>
        </w:rPr>
        <w:t>Confidence intervals (95%) are displayed</w:t>
      </w:r>
      <w:r w:rsidR="0007243A" w:rsidRPr="008D11AA">
        <w:rPr>
          <w:sz w:val="18"/>
          <w:szCs w:val="18"/>
          <w:lang w:val="en-AU"/>
        </w:rPr>
        <w:t xml:space="preserve"> in the Annex</w:t>
      </w:r>
      <w:r w:rsidR="00965FD8" w:rsidRPr="008D11AA">
        <w:rPr>
          <w:sz w:val="18"/>
          <w:szCs w:val="18"/>
          <w:lang w:val="en-AU"/>
        </w:rPr>
        <w:t>, not for statistical testing (given the purposeful sampling) but to show the spread of standard error in these samples.</w:t>
      </w:r>
    </w:p>
    <w:p w14:paraId="22709515" w14:textId="77777777" w:rsidR="00FC3754" w:rsidRDefault="00FC3754" w:rsidP="00E16C77">
      <w:pPr>
        <w:rPr>
          <w:lang w:val="en-AU"/>
        </w:rPr>
      </w:pPr>
    </w:p>
    <w:p w14:paraId="698878B2" w14:textId="15480BD8" w:rsidR="00DD1484" w:rsidRDefault="00DD1484" w:rsidP="00E16C77">
      <w:pPr>
        <w:rPr>
          <w:lang w:val="en-AU"/>
        </w:rPr>
      </w:pPr>
      <w:r>
        <w:rPr>
          <w:lang w:val="en-AU"/>
        </w:rPr>
        <w:t xml:space="preserve">This suggests that both ‘push’ systems examined (the 100% kits and the vertical malaria program which functions similarly to a ‘push’ system) achieve similar levels of availability and </w:t>
      </w:r>
      <w:r w:rsidR="00BE43FC">
        <w:rPr>
          <w:lang w:val="en-AU"/>
        </w:rPr>
        <w:t xml:space="preserve">that ‘push’ system supplementation provides </w:t>
      </w:r>
      <w:r>
        <w:rPr>
          <w:lang w:val="en-AU"/>
        </w:rPr>
        <w:t xml:space="preserve">higher availability </w:t>
      </w:r>
      <w:r w:rsidR="00B03D08">
        <w:rPr>
          <w:lang w:val="en-AU"/>
        </w:rPr>
        <w:t xml:space="preserve">in peripheral HFs (HC/SC and AP levels) than does the ‘pull’ system. One </w:t>
      </w:r>
      <w:r w:rsidR="00BE43FC">
        <w:rPr>
          <w:lang w:val="en-AU"/>
        </w:rPr>
        <w:t>caution</w:t>
      </w:r>
      <w:r w:rsidR="00B03D08">
        <w:rPr>
          <w:lang w:val="en-AU"/>
        </w:rPr>
        <w:t xml:space="preserve"> is that the</w:t>
      </w:r>
      <w:r w:rsidR="0028714B">
        <w:rPr>
          <w:lang w:val="en-AU"/>
        </w:rPr>
        <w:t xml:space="preserve"> specific</w:t>
      </w:r>
      <w:r w:rsidR="00B03D08">
        <w:rPr>
          <w:lang w:val="en-AU"/>
        </w:rPr>
        <w:t xml:space="preserve"> medicines chosen as tracers</w:t>
      </w:r>
      <w:r w:rsidR="00B03D08">
        <w:rPr>
          <w:rStyle w:val="FootnoteReference"/>
          <w:lang w:val="en-AU"/>
        </w:rPr>
        <w:footnoteReference w:id="28"/>
      </w:r>
      <w:r w:rsidR="00B03D08">
        <w:rPr>
          <w:lang w:val="en-AU"/>
        </w:rPr>
        <w:t xml:space="preserve"> will have signi</w:t>
      </w:r>
      <w:r w:rsidR="00BE43FC">
        <w:rPr>
          <w:lang w:val="en-AU"/>
        </w:rPr>
        <w:t>ficant effect on these measures;</w:t>
      </w:r>
      <w:r w:rsidR="00B03D08">
        <w:rPr>
          <w:lang w:val="en-AU"/>
        </w:rPr>
        <w:t xml:space="preserve"> however our conclusion is strengthened </w:t>
      </w:r>
      <w:r w:rsidR="00BE43FC">
        <w:rPr>
          <w:lang w:val="en-AU"/>
        </w:rPr>
        <w:t>by the correlation with qualitative findings and other supply chain analyses, that clearly attribute recent availability gains to the impact of ‘push’ system distributions.</w:t>
      </w:r>
    </w:p>
    <w:p w14:paraId="4875491D" w14:textId="77777777" w:rsidR="00BE43FC" w:rsidRDefault="00BE43FC" w:rsidP="00E16C77">
      <w:pPr>
        <w:rPr>
          <w:lang w:val="en-AU"/>
        </w:rPr>
      </w:pPr>
    </w:p>
    <w:p w14:paraId="65F2BCBF" w14:textId="56A61F20" w:rsidR="00BE43FC" w:rsidRDefault="00BE43FC" w:rsidP="00C715EE">
      <w:pPr>
        <w:rPr>
          <w:lang w:val="en-AU"/>
        </w:rPr>
      </w:pPr>
      <w:r>
        <w:rPr>
          <w:lang w:val="en-AU"/>
        </w:rPr>
        <w:t>The most peripheral AP level is important to examine.  ‘Push’-supplemented availability is higher even when availability is tested by the basket of 12 medicines provided in the 100% HC kits; while only seven of these are included in 100% AP kits, others of the 12 tracer medicines do end up in APs through the ‘pull’ system or through informal inter-facility transfers.</w:t>
      </w:r>
      <w:r w:rsidR="00C16631">
        <w:rPr>
          <w:lang w:val="en-AU"/>
        </w:rPr>
        <w:t xml:space="preserve">  However availability is strikingly higher when the analysis is restricted to just the seven </w:t>
      </w:r>
      <w:r w:rsidR="00C16631" w:rsidRPr="00C16631">
        <w:rPr>
          <w:lang w:val="en-AU"/>
        </w:rPr>
        <w:t>medicines</w:t>
      </w:r>
      <w:r w:rsidR="00C16631" w:rsidRPr="00C715EE">
        <w:rPr>
          <w:vertAlign w:val="superscript"/>
          <w:lang w:val="en-AU"/>
        </w:rPr>
        <w:footnoteReference w:id="29"/>
      </w:r>
      <w:r w:rsidR="00C16631" w:rsidRPr="00C715EE">
        <w:rPr>
          <w:lang w:val="en-AU"/>
        </w:rPr>
        <w:t xml:space="preserve"> </w:t>
      </w:r>
      <w:r w:rsidR="00C16631">
        <w:rPr>
          <w:lang w:val="en-AU"/>
        </w:rPr>
        <w:t xml:space="preserve">provided to APs in the 100% AP kits: at </w:t>
      </w:r>
      <w:r w:rsidR="00C715EE">
        <w:rPr>
          <w:lang w:val="en-AU"/>
        </w:rPr>
        <w:t xml:space="preserve">79%, this brings AP availability </w:t>
      </w:r>
      <w:r w:rsidR="00C715EE" w:rsidRPr="00C16631">
        <w:rPr>
          <w:lang w:val="en-AU"/>
        </w:rPr>
        <w:t>to a similar</w:t>
      </w:r>
      <w:r w:rsidR="00C715EE">
        <w:rPr>
          <w:lang w:val="en-AU"/>
        </w:rPr>
        <w:t xml:space="preserve"> level as that seen at HCs and SCs.</w:t>
      </w:r>
    </w:p>
    <w:p w14:paraId="3E04E8D7" w14:textId="77777777" w:rsidR="00C715EE" w:rsidRDefault="00C715EE" w:rsidP="00C715EE">
      <w:pPr>
        <w:rPr>
          <w:lang w:val="en-AU"/>
        </w:rPr>
      </w:pPr>
    </w:p>
    <w:p w14:paraId="709945D8" w14:textId="31F39ACF" w:rsidR="00BE43FC" w:rsidRDefault="00BE43FC" w:rsidP="00E16C77">
      <w:pPr>
        <w:rPr>
          <w:lang w:val="en-AU"/>
        </w:rPr>
      </w:pPr>
      <w:r>
        <w:rPr>
          <w:lang w:val="en-AU"/>
        </w:rPr>
        <w:t>The specific impact of the recent 100% kits</w:t>
      </w:r>
      <w:r w:rsidR="0028714B">
        <w:rPr>
          <w:lang w:val="en-AU"/>
        </w:rPr>
        <w:t xml:space="preserve"> distribution</w:t>
      </w:r>
      <w:r>
        <w:rPr>
          <w:lang w:val="en-AU"/>
        </w:rPr>
        <w:t xml:space="preserve"> can be seen in that</w:t>
      </w:r>
      <w:r w:rsidR="0028714B">
        <w:rPr>
          <w:lang w:val="en-AU"/>
        </w:rPr>
        <w:t xml:space="preserve"> of the ‘push’-supplemented medicines at HC/SC level (with availability </w:t>
      </w:r>
      <w:r w:rsidR="00C5210A">
        <w:rPr>
          <w:lang w:val="en-AU"/>
        </w:rPr>
        <w:t>at 80</w:t>
      </w:r>
      <w:r w:rsidR="0028714B">
        <w:rPr>
          <w:lang w:val="en-AU"/>
        </w:rPr>
        <w:t xml:space="preserve">%) 64% were reported as derived from </w:t>
      </w:r>
      <w:r w:rsidR="006D1CAB">
        <w:rPr>
          <w:lang w:val="en-AU"/>
        </w:rPr>
        <w:t>IDA (</w:t>
      </w:r>
      <w:r w:rsidR="0028714B">
        <w:rPr>
          <w:lang w:val="en-AU"/>
        </w:rPr>
        <w:t xml:space="preserve">the Australian </w:t>
      </w:r>
      <w:r w:rsidR="007439AA">
        <w:rPr>
          <w:lang w:val="en-AU"/>
        </w:rPr>
        <w:t xml:space="preserve">Government’s pharmaceutical </w:t>
      </w:r>
      <w:r w:rsidR="0028714B">
        <w:rPr>
          <w:lang w:val="en-AU"/>
        </w:rPr>
        <w:t>supplier</w:t>
      </w:r>
      <w:r w:rsidR="006D1CAB">
        <w:rPr>
          <w:lang w:val="en-AU"/>
        </w:rPr>
        <w:t>)</w:t>
      </w:r>
      <w:r w:rsidR="0028714B">
        <w:rPr>
          <w:lang w:val="en-AU"/>
        </w:rPr>
        <w:t xml:space="preserve"> and of the 79% of ‘push’-supplemented medicines at the AP level (with availability at 79%) 66% were reported as derived from </w:t>
      </w:r>
      <w:r w:rsidR="006D1CAB">
        <w:rPr>
          <w:lang w:val="en-AU"/>
        </w:rPr>
        <w:t>IDA</w:t>
      </w:r>
      <w:r w:rsidR="0028714B">
        <w:rPr>
          <w:lang w:val="en-AU"/>
        </w:rPr>
        <w:t>.</w:t>
      </w:r>
    </w:p>
    <w:p w14:paraId="6BE61ABB" w14:textId="77777777" w:rsidR="0028714B" w:rsidRDefault="0028714B" w:rsidP="00E16C77">
      <w:pPr>
        <w:rPr>
          <w:lang w:val="en-AU"/>
        </w:rPr>
      </w:pPr>
    </w:p>
    <w:p w14:paraId="0B586F78" w14:textId="58683E89" w:rsidR="0028714B" w:rsidRDefault="00C5210A" w:rsidP="00E16C77">
      <w:pPr>
        <w:rPr>
          <w:lang w:val="en-AU"/>
        </w:rPr>
      </w:pPr>
      <w:r>
        <w:rPr>
          <w:lang w:val="en-AU"/>
        </w:rPr>
        <w:lastRenderedPageBreak/>
        <w:t>The ‘push’-supplemented tracer medicines we chose are some of the most important medicines needed at peripheral levels in PNG</w:t>
      </w:r>
      <w:r w:rsidR="001E7893">
        <w:rPr>
          <w:lang w:val="en-AU"/>
        </w:rPr>
        <w:t xml:space="preserve">. </w:t>
      </w:r>
      <w:r>
        <w:rPr>
          <w:lang w:val="en-AU"/>
        </w:rPr>
        <w:t xml:space="preserve">As examples one can consider the </w:t>
      </w:r>
      <w:r w:rsidR="001E7893">
        <w:rPr>
          <w:lang w:val="en-AU"/>
        </w:rPr>
        <w:t>following specific medicines. The table below shows selected medicines (see Annex 11.2, Table A11 for full listing) at HC and AP levels, including the proportion reported</w:t>
      </w:r>
      <w:r w:rsidR="00B62E2E">
        <w:rPr>
          <w:lang w:val="en-AU"/>
        </w:rPr>
        <w:t xml:space="preserve"> as derived from IDA, the 100% kits </w:t>
      </w:r>
      <w:r w:rsidR="001E7893">
        <w:rPr>
          <w:lang w:val="en-AU"/>
        </w:rPr>
        <w:t>supplier.</w:t>
      </w:r>
      <w:r w:rsidR="002265EF">
        <w:rPr>
          <w:lang w:val="en-AU"/>
        </w:rPr>
        <w:t xml:space="preserve"> In these examples, the contributi</w:t>
      </w:r>
      <w:r w:rsidR="00F04BF3">
        <w:rPr>
          <w:lang w:val="en-AU"/>
        </w:rPr>
        <w:t xml:space="preserve">on of the 100% kit varies: for </w:t>
      </w:r>
      <w:proofErr w:type="spellStart"/>
      <w:r w:rsidR="00F04BF3">
        <w:rPr>
          <w:lang w:val="en-AU"/>
        </w:rPr>
        <w:t>cotrimoxazole</w:t>
      </w:r>
      <w:proofErr w:type="spellEnd"/>
      <w:r w:rsidR="00F04BF3">
        <w:rPr>
          <w:lang w:val="en-AU"/>
        </w:rPr>
        <w:t xml:space="preserve"> around one half of availability is from the ‘pull’ system, but for amoxicillin, ORS and zinc the major contribution is from the 100% kits.</w:t>
      </w:r>
    </w:p>
    <w:p w14:paraId="3D609D8E" w14:textId="77777777" w:rsidR="001E7893" w:rsidRDefault="001E7893" w:rsidP="00E16C77">
      <w:pPr>
        <w:rPr>
          <w:lang w:val="en-AU"/>
        </w:rPr>
      </w:pPr>
    </w:p>
    <w:p w14:paraId="5A5D6D29" w14:textId="145BB2F0" w:rsidR="001E7893" w:rsidRDefault="001E7893" w:rsidP="00E16C77">
      <w:pPr>
        <w:rPr>
          <w:b/>
          <w:lang w:val="en-AU"/>
        </w:rPr>
      </w:pPr>
      <w:r>
        <w:rPr>
          <w:b/>
          <w:lang w:val="en-AU"/>
        </w:rPr>
        <w:t xml:space="preserve">Table 7: Selected medicines availability at HC and AP levels, with 100% </w:t>
      </w:r>
      <w:r w:rsidR="00F04BF3">
        <w:rPr>
          <w:b/>
          <w:lang w:val="en-AU"/>
        </w:rPr>
        <w:t xml:space="preserve">kits </w:t>
      </w:r>
      <w:r>
        <w:rPr>
          <w:b/>
          <w:lang w:val="en-AU"/>
        </w:rPr>
        <w:t>contribution</w:t>
      </w:r>
    </w:p>
    <w:tbl>
      <w:tblPr>
        <w:tblStyle w:val="TableGrid"/>
        <w:tblW w:w="0" w:type="auto"/>
        <w:tblLook w:val="04A0" w:firstRow="1" w:lastRow="0" w:firstColumn="1" w:lastColumn="0" w:noHBand="0" w:noVBand="1"/>
      </w:tblPr>
      <w:tblGrid>
        <w:gridCol w:w="1848"/>
        <w:gridCol w:w="1848"/>
        <w:gridCol w:w="1848"/>
        <w:gridCol w:w="1849"/>
        <w:gridCol w:w="1849"/>
      </w:tblGrid>
      <w:tr w:rsidR="00731134" w:rsidRPr="008D11AA" w14:paraId="1A551E4C" w14:textId="77777777" w:rsidTr="00731134">
        <w:trPr>
          <w:trHeight w:val="616"/>
        </w:trPr>
        <w:tc>
          <w:tcPr>
            <w:tcW w:w="1848" w:type="dxa"/>
            <w:vMerge w:val="restart"/>
            <w:vAlign w:val="center"/>
          </w:tcPr>
          <w:p w14:paraId="3AE611C8" w14:textId="77777777" w:rsidR="00731134" w:rsidRPr="008D11AA" w:rsidRDefault="00731134" w:rsidP="008D11AA">
            <w:pPr>
              <w:jc w:val="center"/>
              <w:rPr>
                <w:lang w:val="en-AU"/>
              </w:rPr>
            </w:pPr>
          </w:p>
        </w:tc>
        <w:tc>
          <w:tcPr>
            <w:tcW w:w="3696" w:type="dxa"/>
            <w:gridSpan w:val="2"/>
            <w:vAlign w:val="center"/>
          </w:tcPr>
          <w:p w14:paraId="1B559078" w14:textId="2FDE1283" w:rsidR="00731134" w:rsidRPr="008D11AA" w:rsidRDefault="00731134" w:rsidP="008D11AA">
            <w:pPr>
              <w:jc w:val="center"/>
              <w:rPr>
                <w:lang w:val="en-AU"/>
              </w:rPr>
            </w:pPr>
            <w:r w:rsidRPr="008D11AA">
              <w:rPr>
                <w:lang w:val="en-AU"/>
              </w:rPr>
              <w:t>HC</w:t>
            </w:r>
          </w:p>
        </w:tc>
        <w:tc>
          <w:tcPr>
            <w:tcW w:w="3698" w:type="dxa"/>
            <w:gridSpan w:val="2"/>
            <w:vAlign w:val="center"/>
          </w:tcPr>
          <w:p w14:paraId="167ED243" w14:textId="6BCB5A7E" w:rsidR="00731134" w:rsidRPr="008D11AA" w:rsidRDefault="00731134" w:rsidP="008D11AA">
            <w:pPr>
              <w:jc w:val="center"/>
              <w:rPr>
                <w:lang w:val="en-AU"/>
              </w:rPr>
            </w:pPr>
            <w:r w:rsidRPr="008D11AA">
              <w:rPr>
                <w:lang w:val="en-AU"/>
              </w:rPr>
              <w:t>AP</w:t>
            </w:r>
          </w:p>
        </w:tc>
      </w:tr>
      <w:tr w:rsidR="00731134" w:rsidRPr="008D11AA" w14:paraId="32B9B57B" w14:textId="77777777" w:rsidTr="008D11AA">
        <w:trPr>
          <w:trHeight w:val="1403"/>
        </w:trPr>
        <w:tc>
          <w:tcPr>
            <w:tcW w:w="1848" w:type="dxa"/>
            <w:vMerge/>
            <w:vAlign w:val="center"/>
          </w:tcPr>
          <w:p w14:paraId="442B3D8D" w14:textId="77777777" w:rsidR="00731134" w:rsidRDefault="00731134" w:rsidP="001E7893">
            <w:pPr>
              <w:jc w:val="center"/>
              <w:rPr>
                <w:lang w:val="en-AU"/>
              </w:rPr>
            </w:pPr>
          </w:p>
        </w:tc>
        <w:tc>
          <w:tcPr>
            <w:tcW w:w="1848" w:type="dxa"/>
            <w:vAlign w:val="center"/>
          </w:tcPr>
          <w:p w14:paraId="49E5142D" w14:textId="4C15751F" w:rsidR="00731134" w:rsidRPr="00C10FD4" w:rsidRDefault="00731134" w:rsidP="001E7893">
            <w:pPr>
              <w:jc w:val="center"/>
              <w:rPr>
                <w:lang w:val="en-AU"/>
              </w:rPr>
            </w:pPr>
            <w:r>
              <w:rPr>
                <w:lang w:val="en-AU"/>
              </w:rPr>
              <w:t>Proportion of HFs with any availability (%)</w:t>
            </w:r>
          </w:p>
        </w:tc>
        <w:tc>
          <w:tcPr>
            <w:tcW w:w="1848" w:type="dxa"/>
            <w:vAlign w:val="center"/>
          </w:tcPr>
          <w:p w14:paraId="7443E6E6" w14:textId="255E0AE4" w:rsidR="00731134" w:rsidRPr="00C10FD4" w:rsidRDefault="00731134" w:rsidP="00455B89">
            <w:pPr>
              <w:jc w:val="center"/>
              <w:rPr>
                <w:lang w:val="en-AU"/>
              </w:rPr>
            </w:pPr>
            <w:r>
              <w:rPr>
                <w:lang w:val="en-AU"/>
              </w:rPr>
              <w:t xml:space="preserve">Proportion of available medicines derived from </w:t>
            </w:r>
            <w:r w:rsidR="00455B89">
              <w:rPr>
                <w:lang w:val="en-AU"/>
              </w:rPr>
              <w:t>IDA (</w:t>
            </w:r>
            <w:r>
              <w:rPr>
                <w:lang w:val="en-AU"/>
              </w:rPr>
              <w:t xml:space="preserve">100% </w:t>
            </w:r>
            <w:r w:rsidR="00455B89">
              <w:rPr>
                <w:lang w:val="en-AU"/>
              </w:rPr>
              <w:t>kit</w:t>
            </w:r>
            <w:r>
              <w:rPr>
                <w:lang w:val="en-AU"/>
              </w:rPr>
              <w:t xml:space="preserve"> supplier</w:t>
            </w:r>
            <w:r w:rsidR="00455B89">
              <w:rPr>
                <w:lang w:val="en-AU"/>
              </w:rPr>
              <w:t>)</w:t>
            </w:r>
            <w:r>
              <w:rPr>
                <w:lang w:val="en-AU"/>
              </w:rPr>
              <w:t xml:space="preserve"> (%)</w:t>
            </w:r>
          </w:p>
        </w:tc>
        <w:tc>
          <w:tcPr>
            <w:tcW w:w="1849" w:type="dxa"/>
            <w:vAlign w:val="center"/>
          </w:tcPr>
          <w:p w14:paraId="6BFDFC9D" w14:textId="4717D0E4" w:rsidR="00731134" w:rsidRPr="00C10FD4" w:rsidRDefault="00731134" w:rsidP="001E7893">
            <w:pPr>
              <w:jc w:val="center"/>
              <w:rPr>
                <w:lang w:val="en-AU"/>
              </w:rPr>
            </w:pPr>
            <w:r>
              <w:rPr>
                <w:lang w:val="en-AU"/>
              </w:rPr>
              <w:t>Proportion of HFs with any availability (%)</w:t>
            </w:r>
          </w:p>
        </w:tc>
        <w:tc>
          <w:tcPr>
            <w:tcW w:w="1849" w:type="dxa"/>
            <w:vAlign w:val="center"/>
          </w:tcPr>
          <w:p w14:paraId="09D10501" w14:textId="7386CE15" w:rsidR="00731134" w:rsidRPr="00C10FD4" w:rsidRDefault="00731134" w:rsidP="001E7893">
            <w:pPr>
              <w:jc w:val="center"/>
              <w:rPr>
                <w:lang w:val="en-AU"/>
              </w:rPr>
            </w:pPr>
            <w:r>
              <w:rPr>
                <w:lang w:val="en-AU"/>
              </w:rPr>
              <w:t xml:space="preserve">Proportion of available medicines derived from </w:t>
            </w:r>
            <w:r w:rsidR="00455B89">
              <w:rPr>
                <w:lang w:val="en-AU"/>
              </w:rPr>
              <w:t>IDA (100% kit supplier)</w:t>
            </w:r>
            <w:r>
              <w:rPr>
                <w:lang w:val="en-AU"/>
              </w:rPr>
              <w:t xml:space="preserve"> (%)</w:t>
            </w:r>
          </w:p>
        </w:tc>
      </w:tr>
      <w:tr w:rsidR="001E7893" w:rsidRPr="008D11AA" w14:paraId="2C60C9FF" w14:textId="77777777" w:rsidTr="008D11AA">
        <w:trPr>
          <w:trHeight w:val="430"/>
        </w:trPr>
        <w:tc>
          <w:tcPr>
            <w:tcW w:w="1848" w:type="dxa"/>
            <w:vAlign w:val="center"/>
          </w:tcPr>
          <w:p w14:paraId="4E7807CD" w14:textId="5A11A415" w:rsidR="001E7893" w:rsidRPr="008D11AA" w:rsidRDefault="00A44ADA" w:rsidP="008D11AA">
            <w:pPr>
              <w:jc w:val="center"/>
              <w:rPr>
                <w:lang w:val="en-AU"/>
              </w:rPr>
            </w:pPr>
            <w:proofErr w:type="spellStart"/>
            <w:r>
              <w:rPr>
                <w:lang w:val="en-AU"/>
              </w:rPr>
              <w:t>Amoxicilin</w:t>
            </w:r>
            <w:proofErr w:type="spellEnd"/>
          </w:p>
        </w:tc>
        <w:tc>
          <w:tcPr>
            <w:tcW w:w="1848" w:type="dxa"/>
            <w:vAlign w:val="center"/>
          </w:tcPr>
          <w:p w14:paraId="6DD0142B" w14:textId="47885865" w:rsidR="001E7893" w:rsidRPr="008D11AA" w:rsidRDefault="00731134" w:rsidP="008D11AA">
            <w:pPr>
              <w:jc w:val="center"/>
              <w:rPr>
                <w:lang w:val="en-AU"/>
              </w:rPr>
            </w:pPr>
            <w:r>
              <w:rPr>
                <w:lang w:val="en-AU"/>
              </w:rPr>
              <w:t>97%</w:t>
            </w:r>
          </w:p>
        </w:tc>
        <w:tc>
          <w:tcPr>
            <w:tcW w:w="1848" w:type="dxa"/>
            <w:vAlign w:val="center"/>
          </w:tcPr>
          <w:p w14:paraId="62A2A783" w14:textId="54B3F61A" w:rsidR="001E7893" w:rsidRPr="008D11AA" w:rsidRDefault="00731134" w:rsidP="008D11AA">
            <w:pPr>
              <w:jc w:val="center"/>
              <w:rPr>
                <w:lang w:val="en-AU"/>
              </w:rPr>
            </w:pPr>
            <w:r>
              <w:rPr>
                <w:lang w:val="en-AU"/>
              </w:rPr>
              <w:t>82%</w:t>
            </w:r>
          </w:p>
        </w:tc>
        <w:tc>
          <w:tcPr>
            <w:tcW w:w="1849" w:type="dxa"/>
            <w:vAlign w:val="center"/>
          </w:tcPr>
          <w:p w14:paraId="15012A07" w14:textId="16F5345D" w:rsidR="001E7893" w:rsidRPr="008D11AA" w:rsidRDefault="00731134" w:rsidP="008D11AA">
            <w:pPr>
              <w:jc w:val="center"/>
              <w:rPr>
                <w:lang w:val="en-AU"/>
              </w:rPr>
            </w:pPr>
            <w:r>
              <w:rPr>
                <w:lang w:val="en-AU"/>
              </w:rPr>
              <w:t>76%</w:t>
            </w:r>
          </w:p>
        </w:tc>
        <w:tc>
          <w:tcPr>
            <w:tcW w:w="1849" w:type="dxa"/>
            <w:vAlign w:val="center"/>
          </w:tcPr>
          <w:p w14:paraId="68B6156C" w14:textId="57E6A35C" w:rsidR="001E7893" w:rsidRPr="008D11AA" w:rsidRDefault="00731134" w:rsidP="008D11AA">
            <w:pPr>
              <w:jc w:val="center"/>
              <w:rPr>
                <w:lang w:val="en-AU"/>
              </w:rPr>
            </w:pPr>
            <w:r>
              <w:rPr>
                <w:lang w:val="en-AU"/>
              </w:rPr>
              <w:t>97%</w:t>
            </w:r>
          </w:p>
        </w:tc>
      </w:tr>
      <w:tr w:rsidR="001E7893" w:rsidRPr="008D11AA" w14:paraId="3A3B1083" w14:textId="77777777" w:rsidTr="008D11AA">
        <w:trPr>
          <w:trHeight w:val="415"/>
        </w:trPr>
        <w:tc>
          <w:tcPr>
            <w:tcW w:w="1848" w:type="dxa"/>
            <w:vAlign w:val="center"/>
          </w:tcPr>
          <w:p w14:paraId="4EEFBF35" w14:textId="6D062E1D" w:rsidR="001E7893" w:rsidRPr="008D11AA" w:rsidRDefault="00A44ADA" w:rsidP="008D11AA">
            <w:pPr>
              <w:jc w:val="center"/>
              <w:rPr>
                <w:lang w:val="en-AU"/>
              </w:rPr>
            </w:pPr>
            <w:proofErr w:type="spellStart"/>
            <w:r>
              <w:rPr>
                <w:lang w:val="en-AU"/>
              </w:rPr>
              <w:t>Cotrimoxazole</w:t>
            </w:r>
            <w:proofErr w:type="spellEnd"/>
          </w:p>
        </w:tc>
        <w:tc>
          <w:tcPr>
            <w:tcW w:w="1848" w:type="dxa"/>
            <w:vAlign w:val="center"/>
          </w:tcPr>
          <w:p w14:paraId="5E87283F" w14:textId="466F3F83" w:rsidR="001E7893" w:rsidRPr="008D11AA" w:rsidRDefault="002265EF" w:rsidP="008D11AA">
            <w:pPr>
              <w:jc w:val="center"/>
              <w:rPr>
                <w:lang w:val="en-AU"/>
              </w:rPr>
            </w:pPr>
            <w:r>
              <w:rPr>
                <w:lang w:val="en-AU"/>
              </w:rPr>
              <w:t>90%</w:t>
            </w:r>
          </w:p>
        </w:tc>
        <w:tc>
          <w:tcPr>
            <w:tcW w:w="1848" w:type="dxa"/>
            <w:vAlign w:val="center"/>
          </w:tcPr>
          <w:p w14:paraId="021FEA7B" w14:textId="33E63165" w:rsidR="001E7893" w:rsidRPr="008D11AA" w:rsidRDefault="002265EF" w:rsidP="008D11AA">
            <w:pPr>
              <w:jc w:val="center"/>
              <w:rPr>
                <w:lang w:val="en-AU"/>
              </w:rPr>
            </w:pPr>
            <w:r>
              <w:rPr>
                <w:lang w:val="en-AU"/>
              </w:rPr>
              <w:t>46%</w:t>
            </w:r>
          </w:p>
        </w:tc>
        <w:tc>
          <w:tcPr>
            <w:tcW w:w="1849" w:type="dxa"/>
            <w:vAlign w:val="center"/>
          </w:tcPr>
          <w:p w14:paraId="1D733240" w14:textId="34E45211" w:rsidR="001E7893" w:rsidRPr="008D11AA" w:rsidRDefault="002265EF" w:rsidP="008D11AA">
            <w:pPr>
              <w:jc w:val="center"/>
              <w:rPr>
                <w:lang w:val="en-AU"/>
              </w:rPr>
            </w:pPr>
            <w:r>
              <w:rPr>
                <w:lang w:val="en-AU"/>
              </w:rPr>
              <w:t>87%</w:t>
            </w:r>
          </w:p>
        </w:tc>
        <w:tc>
          <w:tcPr>
            <w:tcW w:w="1849" w:type="dxa"/>
            <w:vAlign w:val="center"/>
          </w:tcPr>
          <w:p w14:paraId="675B7241" w14:textId="5A589233" w:rsidR="001E7893" w:rsidRPr="008D11AA" w:rsidRDefault="002265EF" w:rsidP="008D11AA">
            <w:pPr>
              <w:jc w:val="center"/>
              <w:rPr>
                <w:lang w:val="en-AU"/>
              </w:rPr>
            </w:pPr>
            <w:r>
              <w:rPr>
                <w:lang w:val="en-AU"/>
              </w:rPr>
              <w:t>64%</w:t>
            </w:r>
          </w:p>
        </w:tc>
      </w:tr>
      <w:tr w:rsidR="001E7893" w:rsidRPr="008D11AA" w14:paraId="21534B9F" w14:textId="77777777" w:rsidTr="008D11AA">
        <w:trPr>
          <w:trHeight w:val="407"/>
        </w:trPr>
        <w:tc>
          <w:tcPr>
            <w:tcW w:w="1848" w:type="dxa"/>
            <w:vAlign w:val="center"/>
          </w:tcPr>
          <w:p w14:paraId="06F556D2" w14:textId="2123F3EA" w:rsidR="001E7893" w:rsidRPr="008D11AA" w:rsidRDefault="00A44ADA" w:rsidP="008D11AA">
            <w:pPr>
              <w:jc w:val="center"/>
              <w:rPr>
                <w:lang w:val="en-AU"/>
              </w:rPr>
            </w:pPr>
            <w:r>
              <w:rPr>
                <w:lang w:val="en-AU"/>
              </w:rPr>
              <w:t>ORS</w:t>
            </w:r>
          </w:p>
        </w:tc>
        <w:tc>
          <w:tcPr>
            <w:tcW w:w="1848" w:type="dxa"/>
            <w:vAlign w:val="center"/>
          </w:tcPr>
          <w:p w14:paraId="0D1078FB" w14:textId="6DE83B18" w:rsidR="001E7893" w:rsidRPr="008D11AA" w:rsidRDefault="002265EF" w:rsidP="008D11AA">
            <w:pPr>
              <w:jc w:val="center"/>
              <w:rPr>
                <w:lang w:val="en-AU"/>
              </w:rPr>
            </w:pPr>
            <w:r>
              <w:rPr>
                <w:lang w:val="en-AU"/>
              </w:rPr>
              <w:t>97%</w:t>
            </w:r>
          </w:p>
        </w:tc>
        <w:tc>
          <w:tcPr>
            <w:tcW w:w="1848" w:type="dxa"/>
            <w:vAlign w:val="center"/>
          </w:tcPr>
          <w:p w14:paraId="4BFDDB9F" w14:textId="270F2420" w:rsidR="001E7893" w:rsidRPr="008D11AA" w:rsidRDefault="002265EF" w:rsidP="008D11AA">
            <w:pPr>
              <w:jc w:val="center"/>
              <w:rPr>
                <w:lang w:val="en-AU"/>
              </w:rPr>
            </w:pPr>
            <w:r>
              <w:rPr>
                <w:lang w:val="en-AU"/>
              </w:rPr>
              <w:t>84%</w:t>
            </w:r>
          </w:p>
        </w:tc>
        <w:tc>
          <w:tcPr>
            <w:tcW w:w="1849" w:type="dxa"/>
            <w:vAlign w:val="center"/>
          </w:tcPr>
          <w:p w14:paraId="64DF4391" w14:textId="012FEFCC" w:rsidR="001E7893" w:rsidRPr="008D11AA" w:rsidRDefault="002265EF" w:rsidP="008D11AA">
            <w:pPr>
              <w:jc w:val="center"/>
              <w:rPr>
                <w:lang w:val="en-AU"/>
              </w:rPr>
            </w:pPr>
            <w:r>
              <w:rPr>
                <w:lang w:val="en-AU"/>
              </w:rPr>
              <w:t>97%</w:t>
            </w:r>
          </w:p>
        </w:tc>
        <w:tc>
          <w:tcPr>
            <w:tcW w:w="1849" w:type="dxa"/>
            <w:vAlign w:val="center"/>
          </w:tcPr>
          <w:p w14:paraId="64300597" w14:textId="301CC6A8" w:rsidR="001E7893" w:rsidRPr="008D11AA" w:rsidRDefault="00F12045" w:rsidP="008D11AA">
            <w:pPr>
              <w:jc w:val="center"/>
              <w:rPr>
                <w:lang w:val="en-AU"/>
              </w:rPr>
            </w:pPr>
            <w:r>
              <w:rPr>
                <w:lang w:val="en-AU"/>
              </w:rPr>
              <w:t>84%</w:t>
            </w:r>
          </w:p>
        </w:tc>
      </w:tr>
      <w:tr w:rsidR="00A44ADA" w:rsidRPr="008D11AA" w14:paraId="52C89A0A" w14:textId="77777777" w:rsidTr="008D11AA">
        <w:trPr>
          <w:trHeight w:val="426"/>
        </w:trPr>
        <w:tc>
          <w:tcPr>
            <w:tcW w:w="1848" w:type="dxa"/>
            <w:vAlign w:val="center"/>
          </w:tcPr>
          <w:p w14:paraId="102DDE14" w14:textId="74CA4E9E" w:rsidR="00A44ADA" w:rsidRDefault="00A44ADA" w:rsidP="001E7893">
            <w:pPr>
              <w:jc w:val="center"/>
              <w:rPr>
                <w:lang w:val="en-AU"/>
              </w:rPr>
            </w:pPr>
            <w:r>
              <w:rPr>
                <w:lang w:val="en-AU"/>
              </w:rPr>
              <w:t>Zinc</w:t>
            </w:r>
          </w:p>
        </w:tc>
        <w:tc>
          <w:tcPr>
            <w:tcW w:w="1848" w:type="dxa"/>
            <w:vAlign w:val="center"/>
          </w:tcPr>
          <w:p w14:paraId="4AAD5DB0" w14:textId="5AFDD4E0" w:rsidR="00A44ADA" w:rsidRPr="00C10FD4" w:rsidRDefault="00F12045" w:rsidP="001E7893">
            <w:pPr>
              <w:jc w:val="center"/>
              <w:rPr>
                <w:lang w:val="en-AU"/>
              </w:rPr>
            </w:pPr>
            <w:r>
              <w:rPr>
                <w:lang w:val="en-AU"/>
              </w:rPr>
              <w:t>78%</w:t>
            </w:r>
          </w:p>
        </w:tc>
        <w:tc>
          <w:tcPr>
            <w:tcW w:w="1848" w:type="dxa"/>
            <w:vAlign w:val="center"/>
          </w:tcPr>
          <w:p w14:paraId="77EFFA28" w14:textId="7C47B731" w:rsidR="00A44ADA" w:rsidRPr="00C10FD4" w:rsidRDefault="00F04BF3" w:rsidP="001E7893">
            <w:pPr>
              <w:jc w:val="center"/>
              <w:rPr>
                <w:lang w:val="en-AU"/>
              </w:rPr>
            </w:pPr>
            <w:r>
              <w:rPr>
                <w:lang w:val="en-AU"/>
              </w:rPr>
              <w:t>93%</w:t>
            </w:r>
          </w:p>
        </w:tc>
        <w:tc>
          <w:tcPr>
            <w:tcW w:w="1849" w:type="dxa"/>
            <w:vAlign w:val="center"/>
          </w:tcPr>
          <w:p w14:paraId="4C5CCCD6" w14:textId="56DC77E8" w:rsidR="00A44ADA" w:rsidRPr="00C10FD4" w:rsidRDefault="00F12045" w:rsidP="001E7893">
            <w:pPr>
              <w:jc w:val="center"/>
              <w:rPr>
                <w:lang w:val="en-AU"/>
              </w:rPr>
            </w:pPr>
            <w:r>
              <w:rPr>
                <w:lang w:val="en-AU"/>
              </w:rPr>
              <w:t>68%</w:t>
            </w:r>
          </w:p>
        </w:tc>
        <w:tc>
          <w:tcPr>
            <w:tcW w:w="1849" w:type="dxa"/>
            <w:vAlign w:val="center"/>
          </w:tcPr>
          <w:p w14:paraId="1F2B14C5" w14:textId="664BD267" w:rsidR="00A44ADA" w:rsidRPr="00C10FD4" w:rsidRDefault="00F04BF3" w:rsidP="001E7893">
            <w:pPr>
              <w:jc w:val="center"/>
              <w:rPr>
                <w:lang w:val="en-AU"/>
              </w:rPr>
            </w:pPr>
            <w:r>
              <w:rPr>
                <w:lang w:val="en-AU"/>
              </w:rPr>
              <w:t>100%</w:t>
            </w:r>
          </w:p>
        </w:tc>
      </w:tr>
      <w:tr w:rsidR="00731134" w:rsidRPr="008D11AA" w14:paraId="2E880703" w14:textId="77777777" w:rsidTr="00731134">
        <w:trPr>
          <w:trHeight w:val="426"/>
        </w:trPr>
        <w:tc>
          <w:tcPr>
            <w:tcW w:w="1848" w:type="dxa"/>
            <w:vAlign w:val="center"/>
          </w:tcPr>
          <w:p w14:paraId="047127B7" w14:textId="3381C62C" w:rsidR="00731134" w:rsidRDefault="00731134" w:rsidP="001E7893">
            <w:pPr>
              <w:jc w:val="center"/>
              <w:rPr>
                <w:lang w:val="en-AU"/>
              </w:rPr>
            </w:pPr>
            <w:r>
              <w:rPr>
                <w:lang w:val="en-AU"/>
              </w:rPr>
              <w:t>ACT</w:t>
            </w:r>
          </w:p>
        </w:tc>
        <w:tc>
          <w:tcPr>
            <w:tcW w:w="1848" w:type="dxa"/>
            <w:vAlign w:val="center"/>
          </w:tcPr>
          <w:p w14:paraId="040D4112" w14:textId="71F7C736" w:rsidR="00731134" w:rsidRPr="00C10FD4" w:rsidRDefault="00731134" w:rsidP="001E7893">
            <w:pPr>
              <w:jc w:val="center"/>
              <w:rPr>
                <w:lang w:val="en-AU"/>
              </w:rPr>
            </w:pPr>
            <w:r>
              <w:rPr>
                <w:lang w:val="en-AU"/>
              </w:rPr>
              <w:t>79%</w:t>
            </w:r>
          </w:p>
        </w:tc>
        <w:tc>
          <w:tcPr>
            <w:tcW w:w="1848" w:type="dxa"/>
            <w:vAlign w:val="center"/>
          </w:tcPr>
          <w:p w14:paraId="0B85FBC0" w14:textId="123BB384" w:rsidR="00731134" w:rsidRPr="00C10FD4" w:rsidRDefault="00731134" w:rsidP="001E7893">
            <w:pPr>
              <w:jc w:val="center"/>
              <w:rPr>
                <w:lang w:val="en-AU"/>
              </w:rPr>
            </w:pPr>
            <w:r>
              <w:rPr>
                <w:lang w:val="en-AU"/>
              </w:rPr>
              <w:t>Vertical program, not in 100% kits</w:t>
            </w:r>
          </w:p>
        </w:tc>
        <w:tc>
          <w:tcPr>
            <w:tcW w:w="1849" w:type="dxa"/>
            <w:vAlign w:val="center"/>
          </w:tcPr>
          <w:p w14:paraId="2E17AEAC" w14:textId="49A25EFF" w:rsidR="00731134" w:rsidRPr="00C10FD4" w:rsidRDefault="00731134" w:rsidP="001E7893">
            <w:pPr>
              <w:jc w:val="center"/>
              <w:rPr>
                <w:lang w:val="en-AU"/>
              </w:rPr>
            </w:pPr>
            <w:r>
              <w:rPr>
                <w:lang w:val="en-AU"/>
              </w:rPr>
              <w:t>53%</w:t>
            </w:r>
          </w:p>
        </w:tc>
        <w:tc>
          <w:tcPr>
            <w:tcW w:w="1849" w:type="dxa"/>
            <w:vAlign w:val="center"/>
          </w:tcPr>
          <w:p w14:paraId="5D94BF9E" w14:textId="36A1A305" w:rsidR="00731134" w:rsidRPr="00C10FD4" w:rsidRDefault="00731134" w:rsidP="001E7893">
            <w:pPr>
              <w:jc w:val="center"/>
              <w:rPr>
                <w:lang w:val="en-AU"/>
              </w:rPr>
            </w:pPr>
            <w:r>
              <w:rPr>
                <w:lang w:val="en-AU"/>
              </w:rPr>
              <w:t>Vertical program, not in 100% kits</w:t>
            </w:r>
          </w:p>
        </w:tc>
      </w:tr>
    </w:tbl>
    <w:p w14:paraId="0628EFD9" w14:textId="55F8FD2C" w:rsidR="001E7893" w:rsidRPr="008D11AA" w:rsidRDefault="00731134" w:rsidP="00E16C77">
      <w:pPr>
        <w:rPr>
          <w:sz w:val="20"/>
          <w:lang w:val="en-AU"/>
        </w:rPr>
      </w:pPr>
      <w:r w:rsidRPr="008D11AA">
        <w:rPr>
          <w:sz w:val="20"/>
          <w:lang w:val="en-AU"/>
        </w:rPr>
        <w:t xml:space="preserve">Note: </w:t>
      </w:r>
      <w:proofErr w:type="gramStart"/>
      <w:r w:rsidRPr="008D11AA">
        <w:rPr>
          <w:sz w:val="20"/>
          <w:lang w:val="en-AU"/>
        </w:rPr>
        <w:t>AP measures only include those APs visited in the survey, with observation of stock levels, and excludes</w:t>
      </w:r>
      <w:proofErr w:type="gramEnd"/>
      <w:r w:rsidRPr="008D11AA">
        <w:rPr>
          <w:sz w:val="20"/>
          <w:lang w:val="en-AU"/>
        </w:rPr>
        <w:t xml:space="preserve"> those where the AP staff was simply interviewed.</w:t>
      </w:r>
    </w:p>
    <w:p w14:paraId="266D2ED1" w14:textId="1B92C2C5" w:rsidR="00EF00F1" w:rsidRPr="00E27200" w:rsidRDefault="00EF00F1" w:rsidP="00E16C77">
      <w:pPr>
        <w:rPr>
          <w:lang w:val="en-AU"/>
        </w:rPr>
      </w:pPr>
    </w:p>
    <w:p w14:paraId="172A89E0" w14:textId="7C97ADA1" w:rsidR="00183CFD" w:rsidRPr="008D11AA" w:rsidRDefault="001E7893" w:rsidP="00183CFD">
      <w:pPr>
        <w:rPr>
          <w:lang w:val="en-AU"/>
        </w:rPr>
      </w:pPr>
      <w:r>
        <w:rPr>
          <w:lang w:val="en-AU"/>
        </w:rPr>
        <w:t xml:space="preserve">The higher level of availability seen here represents a significant contribution to these facilities’ capacity to provide services, as discussed in Section 8.  </w:t>
      </w:r>
      <w:r w:rsidR="00BB1783">
        <w:rPr>
          <w:rFonts w:asciiTheme="minorHAnsi" w:hAnsiTheme="minorHAnsi"/>
          <w:szCs w:val="22"/>
        </w:rPr>
        <w:t xml:space="preserve">Qualitative findings add evidence for a strong contribution by ‘push’ systems to medicines availability. </w:t>
      </w:r>
      <w:r w:rsidR="00183CFD">
        <w:rPr>
          <w:rFonts w:asciiTheme="minorHAnsi" w:hAnsiTheme="minorHAnsi"/>
          <w:szCs w:val="22"/>
        </w:rPr>
        <w:t xml:space="preserve">In interviews with HF staff during the survey, </w:t>
      </w:r>
      <w:proofErr w:type="gramStart"/>
      <w:r w:rsidR="00183CFD">
        <w:rPr>
          <w:rFonts w:asciiTheme="minorHAnsi" w:hAnsiTheme="minorHAnsi"/>
          <w:szCs w:val="22"/>
        </w:rPr>
        <w:t>staff were</w:t>
      </w:r>
      <w:proofErr w:type="gramEnd"/>
      <w:r w:rsidR="00183CFD">
        <w:rPr>
          <w:rFonts w:asciiTheme="minorHAnsi" w:hAnsiTheme="minorHAnsi"/>
          <w:szCs w:val="22"/>
        </w:rPr>
        <w:t xml:space="preserve"> asked open, non-leading questions about changes seen since the commencement of the 100% kits distribution.</w:t>
      </w:r>
      <w:r w:rsidR="00183CFD" w:rsidRPr="00183CFD">
        <w:t xml:space="preserve"> </w:t>
      </w:r>
      <w:r w:rsidR="00183CFD" w:rsidRPr="00183CFD">
        <w:rPr>
          <w:rFonts w:asciiTheme="minorHAnsi" w:hAnsiTheme="minorHAnsi"/>
          <w:szCs w:val="22"/>
        </w:rPr>
        <w:t xml:space="preserve">The overwhelming majority </w:t>
      </w:r>
      <w:r w:rsidR="00183CFD">
        <w:rPr>
          <w:rFonts w:asciiTheme="minorHAnsi" w:hAnsiTheme="minorHAnsi"/>
          <w:szCs w:val="22"/>
        </w:rPr>
        <w:t xml:space="preserve">of reports from facilities </w:t>
      </w:r>
      <w:r w:rsidR="00183CFD" w:rsidRPr="00183CFD">
        <w:rPr>
          <w:rFonts w:asciiTheme="minorHAnsi" w:hAnsiTheme="minorHAnsi"/>
          <w:szCs w:val="22"/>
        </w:rPr>
        <w:t>were positive about the ‘push’ program, frequently mentioning that the supplement to their supplies compensated for delays or missing orders from an AMS in the ‘pull’ system.</w:t>
      </w:r>
      <w:r w:rsidR="00183CFD">
        <w:rPr>
          <w:rFonts w:asciiTheme="minorHAnsi" w:hAnsiTheme="minorHAnsi"/>
          <w:szCs w:val="22"/>
        </w:rPr>
        <w:t xml:space="preserve"> </w:t>
      </w:r>
      <w:r w:rsidR="00183CFD" w:rsidRPr="006333D3">
        <w:rPr>
          <w:rFonts w:asciiTheme="minorHAnsi" w:hAnsiTheme="minorHAnsi"/>
          <w:szCs w:val="22"/>
        </w:rPr>
        <w:t>Almost all noted i</w:t>
      </w:r>
      <w:r w:rsidR="00183CFD" w:rsidRPr="006333D3">
        <w:rPr>
          <w:rFonts w:asciiTheme="minorHAnsi" w:hAnsiTheme="minorHAnsi"/>
        </w:rPr>
        <w:t xml:space="preserve">ncreased stock levels and supply lasting longer as illustrated by a range of quotes: </w:t>
      </w:r>
    </w:p>
    <w:p w14:paraId="55F8037B" w14:textId="77777777" w:rsidR="00183CFD" w:rsidRPr="006333D3" w:rsidRDefault="00183CFD" w:rsidP="00AD3F80">
      <w:pPr>
        <w:pStyle w:val="ListParagraph"/>
        <w:numPr>
          <w:ilvl w:val="0"/>
          <w:numId w:val="50"/>
        </w:numPr>
        <w:jc w:val="left"/>
        <w:rPr>
          <w:rFonts w:asciiTheme="minorHAnsi" w:hAnsiTheme="minorHAnsi"/>
          <w:i/>
        </w:rPr>
      </w:pPr>
      <w:r w:rsidRPr="006333D3">
        <w:rPr>
          <w:rFonts w:asciiTheme="minorHAnsi" w:hAnsiTheme="minorHAnsi"/>
          <w:i/>
        </w:rPr>
        <w:t xml:space="preserve">“Lots of medication available, especially the necessary ones. So happy about the program.”(AP, Highlands) </w:t>
      </w:r>
    </w:p>
    <w:p w14:paraId="26AA6CDD" w14:textId="77777777" w:rsidR="00183CFD" w:rsidRPr="006333D3" w:rsidRDefault="00183CFD" w:rsidP="00AD3F80">
      <w:pPr>
        <w:pStyle w:val="ListParagraph"/>
        <w:numPr>
          <w:ilvl w:val="0"/>
          <w:numId w:val="50"/>
        </w:numPr>
        <w:jc w:val="left"/>
        <w:rPr>
          <w:rFonts w:asciiTheme="minorHAnsi" w:hAnsiTheme="minorHAnsi"/>
          <w:i/>
        </w:rPr>
      </w:pPr>
      <w:r w:rsidRPr="006333D3">
        <w:rPr>
          <w:rFonts w:asciiTheme="minorHAnsi" w:hAnsiTheme="minorHAnsi"/>
          <w:i/>
        </w:rPr>
        <w:t>“It helps a lot with stock outs. When medicines ordered from AMS are N/S the kits help the HC keep going” (HC, Islands)</w:t>
      </w:r>
    </w:p>
    <w:p w14:paraId="731F1254" w14:textId="77777777" w:rsidR="00183CFD" w:rsidRPr="006333D3" w:rsidRDefault="00183CFD" w:rsidP="00AD3F80">
      <w:pPr>
        <w:pStyle w:val="ListParagraph"/>
        <w:numPr>
          <w:ilvl w:val="0"/>
          <w:numId w:val="50"/>
        </w:numPr>
        <w:jc w:val="left"/>
        <w:rPr>
          <w:rFonts w:asciiTheme="minorHAnsi" w:hAnsiTheme="minorHAnsi"/>
          <w:i/>
        </w:rPr>
      </w:pPr>
      <w:r w:rsidRPr="006333D3">
        <w:rPr>
          <w:rFonts w:asciiTheme="minorHAnsi" w:hAnsiTheme="minorHAnsi"/>
          <w:i/>
        </w:rPr>
        <w:t xml:space="preserve">“…when there is a delay in their order from area medical store. The availability of these kits in the healthy facility keeps the health </w:t>
      </w:r>
      <w:proofErr w:type="spellStart"/>
      <w:r w:rsidRPr="006333D3">
        <w:rPr>
          <w:rFonts w:asciiTheme="minorHAnsi" w:hAnsiTheme="minorHAnsi"/>
          <w:i/>
        </w:rPr>
        <w:t>centre</w:t>
      </w:r>
      <w:proofErr w:type="spellEnd"/>
      <w:r w:rsidRPr="006333D3">
        <w:rPr>
          <w:rFonts w:asciiTheme="minorHAnsi" w:hAnsiTheme="minorHAnsi"/>
          <w:i/>
        </w:rPr>
        <w:t xml:space="preserve"> in operation” (HC, </w:t>
      </w:r>
      <w:proofErr w:type="spellStart"/>
      <w:r w:rsidRPr="006333D3">
        <w:rPr>
          <w:rFonts w:asciiTheme="minorHAnsi" w:hAnsiTheme="minorHAnsi"/>
          <w:i/>
        </w:rPr>
        <w:t>Momase</w:t>
      </w:r>
      <w:proofErr w:type="spellEnd"/>
      <w:r w:rsidRPr="006333D3">
        <w:rPr>
          <w:rFonts w:asciiTheme="minorHAnsi" w:hAnsiTheme="minorHAnsi"/>
          <w:i/>
        </w:rPr>
        <w:t xml:space="preserve">). </w:t>
      </w:r>
    </w:p>
    <w:p w14:paraId="0A0F1BA0" w14:textId="77777777" w:rsidR="00183CFD" w:rsidRPr="006333D3" w:rsidRDefault="00183CFD" w:rsidP="00AD3F80">
      <w:pPr>
        <w:pStyle w:val="ListParagraph"/>
        <w:numPr>
          <w:ilvl w:val="0"/>
          <w:numId w:val="50"/>
        </w:numPr>
        <w:jc w:val="left"/>
        <w:rPr>
          <w:rFonts w:asciiTheme="minorHAnsi" w:hAnsiTheme="minorHAnsi"/>
          <w:i/>
        </w:rPr>
      </w:pPr>
      <w:r w:rsidRPr="006333D3">
        <w:rPr>
          <w:rFonts w:asciiTheme="minorHAnsi" w:hAnsiTheme="minorHAnsi"/>
          <w:i/>
        </w:rPr>
        <w:t>“Major boost to overcoming shortages. Much less stock outs, reduced cancellation of surgical lists. Used to need to purchase privately from Hagen, but now not needed for about 1 year.” (District Hospital, Highlands)</w:t>
      </w:r>
    </w:p>
    <w:p w14:paraId="3FE34828" w14:textId="66F59FBB" w:rsidR="008A1CBD" w:rsidRPr="00215295" w:rsidRDefault="00183CFD" w:rsidP="00AD3F80">
      <w:pPr>
        <w:pStyle w:val="ListParagraph"/>
        <w:numPr>
          <w:ilvl w:val="0"/>
          <w:numId w:val="50"/>
        </w:numPr>
        <w:jc w:val="left"/>
        <w:rPr>
          <w:rFonts w:asciiTheme="minorHAnsi" w:hAnsiTheme="minorHAnsi"/>
          <w:i/>
        </w:rPr>
      </w:pPr>
      <w:r w:rsidRPr="006333D3">
        <w:rPr>
          <w:rFonts w:asciiTheme="minorHAnsi" w:hAnsiTheme="minorHAnsi"/>
          <w:i/>
        </w:rPr>
        <w:t>“ These medicines are readily available for the best treatment of patients and which overcome the chances of giving incomplete doses” (AP, Islands)</w:t>
      </w:r>
    </w:p>
    <w:p w14:paraId="2436B100" w14:textId="77777777" w:rsidR="00FC3754" w:rsidRPr="00E27200" w:rsidRDefault="00FC3754" w:rsidP="008A1CBD">
      <w:pPr>
        <w:rPr>
          <w:lang w:val="en-AU"/>
        </w:rPr>
      </w:pPr>
    </w:p>
    <w:p w14:paraId="19507A88" w14:textId="4DA17431" w:rsidR="00E1587F" w:rsidRPr="00E27200" w:rsidRDefault="001A61BB" w:rsidP="00E16C77">
      <w:pPr>
        <w:pStyle w:val="Heading3"/>
      </w:pPr>
      <w:r w:rsidRPr="00E27200">
        <w:t xml:space="preserve">HF experiences with </w:t>
      </w:r>
      <w:r w:rsidR="00E1587F" w:rsidRPr="00E27200">
        <w:t>stock</w:t>
      </w:r>
      <w:r w:rsidR="00C25EDE">
        <w:t>-</w:t>
      </w:r>
      <w:r w:rsidR="00E1587F" w:rsidRPr="00E27200">
        <w:t>outs</w:t>
      </w:r>
    </w:p>
    <w:p w14:paraId="3F797079" w14:textId="7343CD2C" w:rsidR="0070147F" w:rsidRPr="00E27200" w:rsidRDefault="000A06D5" w:rsidP="0070147F">
      <w:pPr>
        <w:rPr>
          <w:lang w:val="en-AU"/>
        </w:rPr>
      </w:pPr>
      <w:r w:rsidRPr="00760CE9">
        <w:rPr>
          <w:lang w:val="en-AU"/>
        </w:rPr>
        <w:t>In cases w</w:t>
      </w:r>
      <w:r w:rsidR="00A94557" w:rsidRPr="00760CE9">
        <w:rPr>
          <w:lang w:val="en-AU"/>
        </w:rPr>
        <w:t>h</w:t>
      </w:r>
      <w:r w:rsidRPr="00760CE9">
        <w:rPr>
          <w:lang w:val="en-AU"/>
        </w:rPr>
        <w:t>ere lack of stock of certain medicines was recorded,</w:t>
      </w:r>
      <w:r w:rsidR="00C25EDE" w:rsidRPr="00760CE9">
        <w:rPr>
          <w:lang w:val="en-AU"/>
        </w:rPr>
        <w:t xml:space="preserve"> the average stock-</w:t>
      </w:r>
      <w:r w:rsidR="001A61BB" w:rsidRPr="00760CE9">
        <w:rPr>
          <w:lang w:val="en-AU"/>
        </w:rPr>
        <w:t>out rate </w:t>
      </w:r>
      <w:r w:rsidR="00E13679" w:rsidRPr="00760CE9">
        <w:rPr>
          <w:lang w:val="en-AU"/>
        </w:rPr>
        <w:t xml:space="preserve">in hospitals, HC/SC or APs </w:t>
      </w:r>
      <w:r w:rsidR="001A61BB" w:rsidRPr="00760CE9">
        <w:rPr>
          <w:lang w:val="en-AU"/>
        </w:rPr>
        <w:t>overall was 51.4%</w:t>
      </w:r>
      <w:r w:rsidR="00E13679" w:rsidRPr="00760CE9">
        <w:rPr>
          <w:lang w:val="en-AU"/>
        </w:rPr>
        <w:t>; that is:</w:t>
      </w:r>
      <w:r w:rsidR="001A61BB" w:rsidRPr="00760CE9">
        <w:rPr>
          <w:lang w:val="en-AU"/>
        </w:rPr>
        <w:t xml:space="preserve"> overall, among </w:t>
      </w:r>
      <w:r w:rsidRPr="00760CE9">
        <w:rPr>
          <w:lang w:val="en-AU"/>
        </w:rPr>
        <w:t xml:space="preserve">medicines subject to </w:t>
      </w:r>
      <w:r w:rsidR="001A61BB" w:rsidRPr="00760CE9">
        <w:rPr>
          <w:lang w:val="en-AU"/>
        </w:rPr>
        <w:t>stock-out</w:t>
      </w:r>
      <w:r w:rsidRPr="00760CE9">
        <w:rPr>
          <w:lang w:val="en-AU"/>
        </w:rPr>
        <w:t>, they</w:t>
      </w:r>
      <w:r w:rsidR="001A61BB" w:rsidRPr="00760CE9">
        <w:rPr>
          <w:lang w:val="en-AU"/>
        </w:rPr>
        <w:t xml:space="preserve"> </w:t>
      </w:r>
      <w:r w:rsidRPr="00760CE9">
        <w:rPr>
          <w:lang w:val="en-AU"/>
        </w:rPr>
        <w:t>were un</w:t>
      </w:r>
      <w:r w:rsidR="001A61BB" w:rsidRPr="00760CE9">
        <w:rPr>
          <w:lang w:val="en-AU"/>
        </w:rPr>
        <w:t xml:space="preserve">available for </w:t>
      </w:r>
      <w:r w:rsidR="0091042B" w:rsidRPr="00760CE9">
        <w:rPr>
          <w:lang w:val="en-AU"/>
        </w:rPr>
        <w:t>approximately 45</w:t>
      </w:r>
      <w:r w:rsidR="001A61BB" w:rsidRPr="00760CE9">
        <w:rPr>
          <w:lang w:val="en-AU"/>
        </w:rPr>
        <w:t xml:space="preserve"> days over </w:t>
      </w:r>
      <w:r w:rsidR="00F15CA6" w:rsidRPr="00760CE9">
        <w:rPr>
          <w:lang w:val="en-AU"/>
        </w:rPr>
        <w:t>a three</w:t>
      </w:r>
      <w:r w:rsidR="001A61BB" w:rsidRPr="00760CE9">
        <w:rPr>
          <w:lang w:val="en-AU"/>
        </w:rPr>
        <w:t xml:space="preserve"> month period.</w:t>
      </w:r>
      <w:r w:rsidR="001A61BB" w:rsidRPr="00E27200">
        <w:rPr>
          <w:lang w:val="en-AU"/>
        </w:rPr>
        <w:t xml:space="preserve">  There were lower </w:t>
      </w:r>
      <w:r w:rsidR="001A61BB" w:rsidRPr="00E27200">
        <w:rPr>
          <w:lang w:val="en-AU"/>
        </w:rPr>
        <w:lastRenderedPageBreak/>
        <w:t>stock</w:t>
      </w:r>
      <w:r w:rsidR="00361D86">
        <w:rPr>
          <w:lang w:val="en-AU"/>
        </w:rPr>
        <w:t>-</w:t>
      </w:r>
      <w:r w:rsidR="001A61BB" w:rsidRPr="00E27200">
        <w:rPr>
          <w:lang w:val="en-AU"/>
        </w:rPr>
        <w:t>out rates at church run facilities compared to government manage</w:t>
      </w:r>
      <w:r w:rsidR="00436F0E">
        <w:rPr>
          <w:lang w:val="en-AU"/>
        </w:rPr>
        <w:t>d</w:t>
      </w:r>
      <w:r w:rsidR="001A61BB" w:rsidRPr="00E27200">
        <w:rPr>
          <w:lang w:val="en-AU"/>
        </w:rPr>
        <w:t xml:space="preserve"> HFs (34.8% </w:t>
      </w:r>
      <w:r w:rsidR="0091042B" w:rsidRPr="00E27200">
        <w:rPr>
          <w:lang w:val="en-AU"/>
        </w:rPr>
        <w:t>vs.</w:t>
      </w:r>
      <w:r w:rsidR="001A61BB" w:rsidRPr="00E27200">
        <w:rPr>
          <w:lang w:val="en-AU"/>
        </w:rPr>
        <w:t xml:space="preserve"> 58.9%). Stock</w:t>
      </w:r>
      <w:r w:rsidR="00361D86">
        <w:rPr>
          <w:lang w:val="en-AU"/>
        </w:rPr>
        <w:t>-</w:t>
      </w:r>
      <w:r w:rsidR="001A61BB" w:rsidRPr="00E27200">
        <w:rPr>
          <w:lang w:val="en-AU"/>
        </w:rPr>
        <w:t xml:space="preserve">out rates were similar among </w:t>
      </w:r>
      <w:r w:rsidR="00314939">
        <w:rPr>
          <w:lang w:val="en-AU"/>
        </w:rPr>
        <w:t>‘push’-supplemented</w:t>
      </w:r>
      <w:r w:rsidR="00314939" w:rsidRPr="00E27200">
        <w:rPr>
          <w:lang w:val="en-AU"/>
        </w:rPr>
        <w:t xml:space="preserve"> </w:t>
      </w:r>
      <w:r w:rsidR="001A61BB" w:rsidRPr="00E27200">
        <w:rPr>
          <w:lang w:val="en-AU"/>
        </w:rPr>
        <w:t xml:space="preserve">and </w:t>
      </w:r>
      <w:r w:rsidR="00314939">
        <w:rPr>
          <w:lang w:val="en-AU"/>
        </w:rPr>
        <w:t>‘pull’-only</w:t>
      </w:r>
      <w:r w:rsidR="001A61BB" w:rsidRPr="00E27200">
        <w:rPr>
          <w:lang w:val="en-AU"/>
        </w:rPr>
        <w:t xml:space="preserve"> system </w:t>
      </w:r>
      <w:r w:rsidR="00314939">
        <w:rPr>
          <w:lang w:val="en-AU"/>
        </w:rPr>
        <w:t>medicines</w:t>
      </w:r>
      <w:r w:rsidR="00314939" w:rsidRPr="00E27200">
        <w:rPr>
          <w:lang w:val="en-AU"/>
        </w:rPr>
        <w:t xml:space="preserve"> </w:t>
      </w:r>
      <w:r w:rsidR="001A61BB" w:rsidRPr="00E27200">
        <w:rPr>
          <w:lang w:val="en-AU"/>
        </w:rPr>
        <w:t xml:space="preserve">(49.1% </w:t>
      </w:r>
      <w:r w:rsidR="0091042B" w:rsidRPr="00E27200">
        <w:rPr>
          <w:lang w:val="en-AU"/>
        </w:rPr>
        <w:t>vs. 57.9%). Stock</w:t>
      </w:r>
      <w:r w:rsidR="00361D86">
        <w:rPr>
          <w:lang w:val="en-AU"/>
        </w:rPr>
        <w:t>-</w:t>
      </w:r>
      <w:r w:rsidR="001A61BB" w:rsidRPr="00E27200">
        <w:rPr>
          <w:lang w:val="en-AU"/>
        </w:rPr>
        <w:t>out rates were lowest at hospitals (25.5%) but similar at HC/SC (71.4%) and A</w:t>
      </w:r>
      <w:r w:rsidRPr="00E27200">
        <w:rPr>
          <w:lang w:val="en-AU"/>
        </w:rPr>
        <w:t xml:space="preserve">Ps (66.4%). </w:t>
      </w:r>
    </w:p>
    <w:p w14:paraId="30DCAD39" w14:textId="77777777" w:rsidR="0070147F" w:rsidRPr="00E27200" w:rsidRDefault="0070147F" w:rsidP="0070147F">
      <w:pPr>
        <w:rPr>
          <w:lang w:val="en-AU"/>
        </w:rPr>
      </w:pPr>
    </w:p>
    <w:p w14:paraId="1CEE2054" w14:textId="0B230906" w:rsidR="00E23096" w:rsidRPr="00E27200" w:rsidRDefault="001A61BB" w:rsidP="00E23096">
      <w:pPr>
        <w:rPr>
          <w:lang w:val="en-AU"/>
        </w:rPr>
      </w:pPr>
      <w:r w:rsidRPr="00E27200">
        <w:rPr>
          <w:lang w:val="en-AU"/>
        </w:rPr>
        <w:t>Lower stock</w:t>
      </w:r>
      <w:r w:rsidR="00361D86">
        <w:rPr>
          <w:lang w:val="en-AU"/>
        </w:rPr>
        <w:t>-</w:t>
      </w:r>
      <w:r w:rsidRPr="00E27200">
        <w:rPr>
          <w:lang w:val="en-AU"/>
        </w:rPr>
        <w:t>out rates at hospitals may be a result of the hospital</w:t>
      </w:r>
      <w:r w:rsidR="00314939">
        <w:rPr>
          <w:lang w:val="en-AU"/>
        </w:rPr>
        <w:t>’</w:t>
      </w:r>
      <w:r w:rsidRPr="00E27200">
        <w:rPr>
          <w:lang w:val="en-AU"/>
        </w:rPr>
        <w:t xml:space="preserve">s </w:t>
      </w:r>
      <w:r w:rsidR="000A06D5" w:rsidRPr="00E27200">
        <w:rPr>
          <w:lang w:val="en-AU"/>
        </w:rPr>
        <w:t xml:space="preserve">closer location to AMS or PTS, as well as the fact that they have internal </w:t>
      </w:r>
      <w:r w:rsidR="0091042B" w:rsidRPr="00E27200">
        <w:rPr>
          <w:lang w:val="en-AU"/>
        </w:rPr>
        <w:t>budgets, which</w:t>
      </w:r>
      <w:r w:rsidR="000A06D5" w:rsidRPr="00E27200">
        <w:rPr>
          <w:lang w:val="en-AU"/>
        </w:rPr>
        <w:t xml:space="preserve"> allow them to purchase medicines outside the regular supply chain. </w:t>
      </w:r>
      <w:r w:rsidR="00E23096" w:rsidRPr="00E27200">
        <w:rPr>
          <w:lang w:val="en-AU"/>
        </w:rPr>
        <w:t xml:space="preserve"> Survey data suggest that actions taken by HFs when they had a stock</w:t>
      </w:r>
      <w:r w:rsidR="00436F0E">
        <w:rPr>
          <w:lang w:val="en-AU"/>
        </w:rPr>
        <w:t>-</w:t>
      </w:r>
      <w:r w:rsidR="00E23096" w:rsidRPr="00E27200">
        <w:rPr>
          <w:lang w:val="en-AU"/>
        </w:rPr>
        <w:t xml:space="preserve">out included: </w:t>
      </w:r>
    </w:p>
    <w:p w14:paraId="765AE7F7" w14:textId="78BF70BC" w:rsidR="00E23096" w:rsidRPr="00E27200" w:rsidRDefault="00E23096" w:rsidP="00AD3F80">
      <w:pPr>
        <w:pStyle w:val="ListParagraph"/>
        <w:numPr>
          <w:ilvl w:val="0"/>
          <w:numId w:val="19"/>
        </w:numPr>
        <w:rPr>
          <w:lang w:val="en-AU"/>
        </w:rPr>
      </w:pPr>
      <w:proofErr w:type="gramStart"/>
      <w:r w:rsidRPr="00E27200">
        <w:rPr>
          <w:lang w:val="en-AU"/>
        </w:rPr>
        <w:t>obtaining</w:t>
      </w:r>
      <w:proofErr w:type="gramEnd"/>
      <w:r w:rsidRPr="00E27200">
        <w:rPr>
          <w:lang w:val="en-AU"/>
        </w:rPr>
        <w:t xml:space="preserve"> stock from another HF was</w:t>
      </w:r>
      <w:r w:rsidR="00905EAB">
        <w:rPr>
          <w:lang w:val="en-AU"/>
        </w:rPr>
        <w:t xml:space="preserve"> most commonly undertaken (75%);</w:t>
      </w:r>
      <w:r w:rsidRPr="00E27200">
        <w:rPr>
          <w:lang w:val="en-AU"/>
        </w:rPr>
        <w:t xml:space="preserve"> </w:t>
      </w:r>
    </w:p>
    <w:p w14:paraId="1881EA71" w14:textId="6354C1D3" w:rsidR="00E23096" w:rsidRPr="00E27200" w:rsidRDefault="00E23096" w:rsidP="00AD3F80">
      <w:pPr>
        <w:pStyle w:val="ListParagraph"/>
        <w:numPr>
          <w:ilvl w:val="0"/>
          <w:numId w:val="19"/>
        </w:numPr>
        <w:rPr>
          <w:lang w:val="en-AU"/>
        </w:rPr>
      </w:pPr>
      <w:r w:rsidRPr="00E27200">
        <w:rPr>
          <w:lang w:val="en-AU"/>
        </w:rPr>
        <w:t>ordering from AMS (52%)</w:t>
      </w:r>
      <w:r w:rsidR="00905EAB">
        <w:rPr>
          <w:lang w:val="en-AU"/>
        </w:rPr>
        <w:t>;</w:t>
      </w:r>
      <w:r w:rsidRPr="00E27200">
        <w:rPr>
          <w:lang w:val="en-AU"/>
        </w:rPr>
        <w:t xml:space="preserve"> then </w:t>
      </w:r>
    </w:p>
    <w:p w14:paraId="4B0BA055" w14:textId="459C9A49" w:rsidR="00E23096" w:rsidRPr="00E27200" w:rsidRDefault="00E23096" w:rsidP="00AD3F80">
      <w:pPr>
        <w:pStyle w:val="ListParagraph"/>
        <w:numPr>
          <w:ilvl w:val="0"/>
          <w:numId w:val="19"/>
        </w:numPr>
        <w:rPr>
          <w:lang w:val="en-AU"/>
        </w:rPr>
      </w:pPr>
      <w:r w:rsidRPr="00E27200">
        <w:rPr>
          <w:lang w:val="en-AU"/>
        </w:rPr>
        <w:t>local procurement (35%)</w:t>
      </w:r>
      <w:r w:rsidR="00905EAB">
        <w:rPr>
          <w:lang w:val="en-AU"/>
        </w:rPr>
        <w:t>; or</w:t>
      </w:r>
    </w:p>
    <w:p w14:paraId="1812A7F6" w14:textId="28C06BCF" w:rsidR="00E23096" w:rsidRPr="00E27200" w:rsidRDefault="00E23096" w:rsidP="00AD3F80">
      <w:pPr>
        <w:pStyle w:val="ListParagraph"/>
        <w:numPr>
          <w:ilvl w:val="0"/>
          <w:numId w:val="19"/>
        </w:numPr>
        <w:rPr>
          <w:lang w:val="en-AU"/>
        </w:rPr>
      </w:pPr>
      <w:proofErr w:type="gramStart"/>
      <w:r w:rsidRPr="00E27200">
        <w:rPr>
          <w:lang w:val="en-AU"/>
        </w:rPr>
        <w:t>other</w:t>
      </w:r>
      <w:proofErr w:type="gramEnd"/>
      <w:r w:rsidRPr="00E27200">
        <w:rPr>
          <w:lang w:val="en-AU"/>
        </w:rPr>
        <w:t xml:space="preserve"> options (n=3) included sending a patient with a prescription to obtain the </w:t>
      </w:r>
      <w:r w:rsidR="00905EAB">
        <w:rPr>
          <w:lang w:val="en-AU"/>
        </w:rPr>
        <w:t>medicines</w:t>
      </w:r>
      <w:r w:rsidRPr="00E27200">
        <w:rPr>
          <w:lang w:val="en-AU"/>
        </w:rPr>
        <w:t xml:space="preserve"> privately. </w:t>
      </w:r>
    </w:p>
    <w:p w14:paraId="2ACBE0A6" w14:textId="77777777" w:rsidR="00A079FE" w:rsidRDefault="00A079FE" w:rsidP="00E23096">
      <w:pPr>
        <w:rPr>
          <w:b/>
          <w:lang w:val="en-AU"/>
        </w:rPr>
      </w:pPr>
    </w:p>
    <w:p w14:paraId="6A7617F8" w14:textId="5A70D482" w:rsidR="00E23096" w:rsidRPr="00E27200" w:rsidRDefault="0091042B" w:rsidP="00E23096">
      <w:pPr>
        <w:rPr>
          <w:b/>
          <w:lang w:val="en-AU"/>
        </w:rPr>
      </w:pPr>
      <w:r w:rsidRPr="00E27200">
        <w:rPr>
          <w:b/>
          <w:lang w:val="en-AU"/>
        </w:rPr>
        <w:t xml:space="preserve">Table </w:t>
      </w:r>
      <w:r w:rsidR="00314939">
        <w:rPr>
          <w:b/>
          <w:lang w:val="en-AU"/>
        </w:rPr>
        <w:t>8</w:t>
      </w:r>
      <w:r w:rsidR="00E23096" w:rsidRPr="00E27200">
        <w:rPr>
          <w:b/>
          <w:lang w:val="en-AU"/>
        </w:rPr>
        <w:t>:  Actions taken</w:t>
      </w:r>
      <w:r w:rsidR="00314939">
        <w:rPr>
          <w:b/>
          <w:lang w:val="en-AU"/>
        </w:rPr>
        <w:t xml:space="preserve"> by HFs</w:t>
      </w:r>
      <w:r w:rsidR="00E23096" w:rsidRPr="00E27200">
        <w:rPr>
          <w:b/>
          <w:lang w:val="en-AU"/>
        </w:rPr>
        <w:t xml:space="preserve"> when there are stock</w:t>
      </w:r>
      <w:r w:rsidR="00361D86">
        <w:rPr>
          <w:b/>
          <w:lang w:val="en-AU"/>
        </w:rPr>
        <w:t>-</w:t>
      </w:r>
      <w:r w:rsidR="00E23096" w:rsidRPr="00E27200">
        <w:rPr>
          <w:b/>
          <w:lang w:val="en-AU"/>
        </w:rPr>
        <w:t>outs</w:t>
      </w:r>
      <w:r w:rsidR="00E23096" w:rsidRPr="00E27200">
        <w:rPr>
          <w:rStyle w:val="FootnoteReference"/>
          <w:b/>
          <w:lang w:val="en-AU"/>
        </w:rPr>
        <w:footnoteReference w:id="30"/>
      </w:r>
      <w:r w:rsidR="00E23096" w:rsidRPr="00E27200">
        <w:rPr>
          <w:b/>
          <w:lang w:val="en-AU"/>
        </w:rPr>
        <w:t xml:space="preserve"> </w:t>
      </w:r>
    </w:p>
    <w:tbl>
      <w:tblPr>
        <w:tblStyle w:val="TableGrid"/>
        <w:tblW w:w="6592" w:type="dxa"/>
        <w:tblInd w:w="108" w:type="dxa"/>
        <w:tblLook w:val="04A0" w:firstRow="1" w:lastRow="0" w:firstColumn="1" w:lastColumn="0" w:noHBand="0" w:noVBand="1"/>
      </w:tblPr>
      <w:tblGrid>
        <w:gridCol w:w="1031"/>
        <w:gridCol w:w="2187"/>
        <w:gridCol w:w="1687"/>
        <w:gridCol w:w="1687"/>
      </w:tblGrid>
      <w:tr w:rsidR="00E23096" w:rsidRPr="00E27200" w14:paraId="066B26AD" w14:textId="77777777">
        <w:tc>
          <w:tcPr>
            <w:tcW w:w="1031" w:type="dxa"/>
            <w:vAlign w:val="center"/>
          </w:tcPr>
          <w:p w14:paraId="4F8272DD" w14:textId="77777777" w:rsidR="00E23096" w:rsidRPr="00E27200" w:rsidRDefault="00E23096" w:rsidP="00E23096">
            <w:pPr>
              <w:rPr>
                <w:b/>
                <w:lang w:val="en-AU"/>
              </w:rPr>
            </w:pPr>
            <w:r w:rsidRPr="00E27200">
              <w:rPr>
                <w:b/>
                <w:lang w:val="en-AU"/>
              </w:rPr>
              <w:t>HFs type</w:t>
            </w:r>
          </w:p>
        </w:tc>
        <w:tc>
          <w:tcPr>
            <w:tcW w:w="2187" w:type="dxa"/>
            <w:vAlign w:val="center"/>
          </w:tcPr>
          <w:p w14:paraId="5A7D6618" w14:textId="77777777" w:rsidR="00E23096" w:rsidRPr="00E27200" w:rsidRDefault="00E23096" w:rsidP="00E23096">
            <w:pPr>
              <w:rPr>
                <w:b/>
                <w:lang w:val="en-AU"/>
              </w:rPr>
            </w:pPr>
            <w:r w:rsidRPr="00E27200">
              <w:rPr>
                <w:b/>
                <w:lang w:val="en-AU"/>
              </w:rPr>
              <w:t>% HF obtaining stock from another HF (N=88)</w:t>
            </w:r>
          </w:p>
        </w:tc>
        <w:tc>
          <w:tcPr>
            <w:tcW w:w="1687" w:type="dxa"/>
            <w:vAlign w:val="center"/>
          </w:tcPr>
          <w:p w14:paraId="17C29072" w14:textId="77777777" w:rsidR="00E23096" w:rsidRPr="00E27200" w:rsidRDefault="00E23096" w:rsidP="00E23096">
            <w:pPr>
              <w:rPr>
                <w:b/>
                <w:lang w:val="en-AU"/>
              </w:rPr>
            </w:pPr>
            <w:r w:rsidRPr="00E27200">
              <w:rPr>
                <w:b/>
                <w:lang w:val="en-AU"/>
              </w:rPr>
              <w:t>% HFs who order from AMS</w:t>
            </w:r>
          </w:p>
          <w:p w14:paraId="1E2C2435" w14:textId="77777777" w:rsidR="00E23096" w:rsidRPr="00E27200" w:rsidRDefault="00E23096" w:rsidP="00E23096">
            <w:pPr>
              <w:rPr>
                <w:b/>
                <w:lang w:val="en-AU"/>
              </w:rPr>
            </w:pPr>
            <w:r w:rsidRPr="00E27200">
              <w:rPr>
                <w:b/>
                <w:lang w:val="en-AU"/>
              </w:rPr>
              <w:t>(N=88)</w:t>
            </w:r>
          </w:p>
        </w:tc>
        <w:tc>
          <w:tcPr>
            <w:tcW w:w="1687" w:type="dxa"/>
            <w:vAlign w:val="center"/>
          </w:tcPr>
          <w:p w14:paraId="1E75C0F9" w14:textId="77777777" w:rsidR="00E23096" w:rsidRPr="00E27200" w:rsidRDefault="00E23096" w:rsidP="00E23096">
            <w:pPr>
              <w:rPr>
                <w:b/>
                <w:lang w:val="en-AU"/>
              </w:rPr>
            </w:pPr>
            <w:r w:rsidRPr="00E27200">
              <w:rPr>
                <w:b/>
                <w:lang w:val="en-AU"/>
              </w:rPr>
              <w:t xml:space="preserve">% HF Buy from local market </w:t>
            </w:r>
          </w:p>
          <w:p w14:paraId="2678E162" w14:textId="77777777" w:rsidR="00E23096" w:rsidRPr="00E27200" w:rsidRDefault="00E23096" w:rsidP="00E23096">
            <w:pPr>
              <w:rPr>
                <w:b/>
                <w:lang w:val="en-AU"/>
              </w:rPr>
            </w:pPr>
            <w:r w:rsidRPr="00E27200">
              <w:rPr>
                <w:b/>
                <w:lang w:val="en-AU"/>
              </w:rPr>
              <w:t>(N=88)</w:t>
            </w:r>
          </w:p>
        </w:tc>
      </w:tr>
      <w:tr w:rsidR="00E23096" w:rsidRPr="00E27200" w14:paraId="3ED6574A" w14:textId="77777777">
        <w:tc>
          <w:tcPr>
            <w:tcW w:w="1031" w:type="dxa"/>
            <w:vAlign w:val="center"/>
          </w:tcPr>
          <w:p w14:paraId="57B7658E" w14:textId="77777777" w:rsidR="00E23096" w:rsidRPr="00E27200" w:rsidRDefault="00E23096" w:rsidP="00E23096">
            <w:pPr>
              <w:rPr>
                <w:lang w:val="en-AU"/>
              </w:rPr>
            </w:pPr>
            <w:r w:rsidRPr="00E27200">
              <w:rPr>
                <w:lang w:val="en-AU"/>
              </w:rPr>
              <w:t>Hospital</w:t>
            </w:r>
          </w:p>
        </w:tc>
        <w:tc>
          <w:tcPr>
            <w:tcW w:w="2187" w:type="dxa"/>
            <w:vAlign w:val="center"/>
          </w:tcPr>
          <w:p w14:paraId="31BFE6F5" w14:textId="77777777" w:rsidR="00E23096" w:rsidRPr="00E27200" w:rsidRDefault="00E23096" w:rsidP="00E23096">
            <w:pPr>
              <w:rPr>
                <w:lang w:val="en-AU"/>
              </w:rPr>
            </w:pPr>
            <w:r w:rsidRPr="00E27200">
              <w:rPr>
                <w:lang w:val="en-AU"/>
              </w:rPr>
              <w:t>44%</w:t>
            </w:r>
            <w:r w:rsidRPr="00E27200">
              <w:rPr>
                <w:rStyle w:val="FootnoteReference"/>
                <w:lang w:val="en-AU"/>
              </w:rPr>
              <w:footnoteReference w:id="31"/>
            </w:r>
          </w:p>
        </w:tc>
        <w:tc>
          <w:tcPr>
            <w:tcW w:w="1687" w:type="dxa"/>
            <w:vAlign w:val="center"/>
          </w:tcPr>
          <w:p w14:paraId="2A0C0DD6" w14:textId="77777777" w:rsidR="00E23096" w:rsidRPr="00E27200" w:rsidRDefault="00E23096" w:rsidP="00E23096">
            <w:pPr>
              <w:rPr>
                <w:lang w:val="en-AU"/>
              </w:rPr>
            </w:pPr>
            <w:r w:rsidRPr="00E27200">
              <w:rPr>
                <w:lang w:val="en-AU"/>
              </w:rPr>
              <w:t>100%</w:t>
            </w:r>
          </w:p>
        </w:tc>
        <w:tc>
          <w:tcPr>
            <w:tcW w:w="1687" w:type="dxa"/>
            <w:vAlign w:val="center"/>
          </w:tcPr>
          <w:p w14:paraId="2B7B9380" w14:textId="77777777" w:rsidR="00E23096" w:rsidRPr="00E27200" w:rsidRDefault="00E23096" w:rsidP="00E23096">
            <w:pPr>
              <w:rPr>
                <w:lang w:val="en-AU"/>
              </w:rPr>
            </w:pPr>
            <w:r w:rsidRPr="00E27200">
              <w:rPr>
                <w:lang w:val="en-AU"/>
              </w:rPr>
              <w:t>60%</w:t>
            </w:r>
          </w:p>
        </w:tc>
      </w:tr>
      <w:tr w:rsidR="00E23096" w:rsidRPr="00E27200" w14:paraId="7F8FE772" w14:textId="77777777">
        <w:tc>
          <w:tcPr>
            <w:tcW w:w="1031" w:type="dxa"/>
            <w:vAlign w:val="center"/>
          </w:tcPr>
          <w:p w14:paraId="3FDF77CB" w14:textId="77777777" w:rsidR="00E23096" w:rsidRPr="00E27200" w:rsidRDefault="00E23096" w:rsidP="00E23096">
            <w:pPr>
              <w:rPr>
                <w:lang w:val="en-AU"/>
              </w:rPr>
            </w:pPr>
            <w:r w:rsidRPr="00E27200">
              <w:rPr>
                <w:lang w:val="en-AU"/>
              </w:rPr>
              <w:t>HC/SC</w:t>
            </w:r>
          </w:p>
        </w:tc>
        <w:tc>
          <w:tcPr>
            <w:tcW w:w="2187" w:type="dxa"/>
            <w:vAlign w:val="center"/>
          </w:tcPr>
          <w:p w14:paraId="7B036C47" w14:textId="77777777" w:rsidR="00E23096" w:rsidRPr="00E27200" w:rsidRDefault="00E23096" w:rsidP="00E23096">
            <w:pPr>
              <w:rPr>
                <w:lang w:val="en-AU"/>
              </w:rPr>
            </w:pPr>
            <w:r w:rsidRPr="00E27200">
              <w:rPr>
                <w:lang w:val="en-AU"/>
              </w:rPr>
              <w:t>60%</w:t>
            </w:r>
          </w:p>
        </w:tc>
        <w:tc>
          <w:tcPr>
            <w:tcW w:w="1687" w:type="dxa"/>
            <w:vAlign w:val="center"/>
          </w:tcPr>
          <w:p w14:paraId="4D5DCF36" w14:textId="77777777" w:rsidR="00E23096" w:rsidRPr="00E27200" w:rsidRDefault="00E23096" w:rsidP="00E23096">
            <w:pPr>
              <w:rPr>
                <w:lang w:val="en-AU"/>
              </w:rPr>
            </w:pPr>
            <w:r w:rsidRPr="00E27200">
              <w:rPr>
                <w:lang w:val="en-AU"/>
              </w:rPr>
              <w:t>70%</w:t>
            </w:r>
          </w:p>
        </w:tc>
        <w:tc>
          <w:tcPr>
            <w:tcW w:w="1687" w:type="dxa"/>
            <w:vAlign w:val="center"/>
          </w:tcPr>
          <w:p w14:paraId="22E3285B" w14:textId="77777777" w:rsidR="00E23096" w:rsidRPr="00E27200" w:rsidRDefault="00E23096" w:rsidP="00E23096">
            <w:pPr>
              <w:rPr>
                <w:lang w:val="en-AU"/>
              </w:rPr>
            </w:pPr>
            <w:r w:rsidRPr="00E27200">
              <w:rPr>
                <w:lang w:val="en-AU"/>
              </w:rPr>
              <w:t>35%</w:t>
            </w:r>
          </w:p>
        </w:tc>
      </w:tr>
      <w:tr w:rsidR="00E23096" w:rsidRPr="00E27200" w14:paraId="51ECFFE8" w14:textId="77777777">
        <w:tc>
          <w:tcPr>
            <w:tcW w:w="1031" w:type="dxa"/>
            <w:vAlign w:val="center"/>
          </w:tcPr>
          <w:p w14:paraId="4EAF100D" w14:textId="77777777" w:rsidR="00E23096" w:rsidRPr="00E27200" w:rsidRDefault="00E23096" w:rsidP="00E23096">
            <w:pPr>
              <w:rPr>
                <w:lang w:val="en-AU"/>
              </w:rPr>
            </w:pPr>
            <w:r w:rsidRPr="00E27200">
              <w:rPr>
                <w:lang w:val="en-AU"/>
              </w:rPr>
              <w:t>APs</w:t>
            </w:r>
          </w:p>
        </w:tc>
        <w:tc>
          <w:tcPr>
            <w:tcW w:w="2187" w:type="dxa"/>
            <w:vAlign w:val="center"/>
          </w:tcPr>
          <w:p w14:paraId="2D07A481" w14:textId="77777777" w:rsidR="00E23096" w:rsidRPr="00E27200" w:rsidRDefault="00E23096" w:rsidP="00E23096">
            <w:pPr>
              <w:rPr>
                <w:lang w:val="en-AU"/>
              </w:rPr>
            </w:pPr>
            <w:r w:rsidRPr="00E27200">
              <w:rPr>
                <w:lang w:val="en-AU"/>
              </w:rPr>
              <w:t>90%</w:t>
            </w:r>
          </w:p>
        </w:tc>
        <w:tc>
          <w:tcPr>
            <w:tcW w:w="1687" w:type="dxa"/>
            <w:vAlign w:val="center"/>
          </w:tcPr>
          <w:p w14:paraId="193EC447" w14:textId="77777777" w:rsidR="00E23096" w:rsidRPr="00E27200" w:rsidRDefault="00E23096" w:rsidP="00E23096">
            <w:pPr>
              <w:rPr>
                <w:lang w:val="en-AU"/>
              </w:rPr>
            </w:pPr>
            <w:r w:rsidRPr="00E27200">
              <w:rPr>
                <w:lang w:val="en-AU"/>
              </w:rPr>
              <w:t>19%</w:t>
            </w:r>
          </w:p>
        </w:tc>
        <w:tc>
          <w:tcPr>
            <w:tcW w:w="1687" w:type="dxa"/>
            <w:vAlign w:val="center"/>
          </w:tcPr>
          <w:p w14:paraId="17FCA259" w14:textId="77777777" w:rsidR="00E23096" w:rsidRPr="00E27200" w:rsidRDefault="00E23096" w:rsidP="00E23096">
            <w:pPr>
              <w:tabs>
                <w:tab w:val="left" w:pos="405"/>
                <w:tab w:val="center" w:pos="538"/>
              </w:tabs>
              <w:rPr>
                <w:lang w:val="en-AU"/>
              </w:rPr>
            </w:pPr>
            <w:r w:rsidRPr="00E27200">
              <w:rPr>
                <w:lang w:val="en-AU"/>
              </w:rPr>
              <w:t>19%</w:t>
            </w:r>
          </w:p>
        </w:tc>
      </w:tr>
      <w:tr w:rsidR="00E23096" w:rsidRPr="00E27200" w14:paraId="2074E18F" w14:textId="77777777">
        <w:tc>
          <w:tcPr>
            <w:tcW w:w="1031" w:type="dxa"/>
            <w:vAlign w:val="center"/>
          </w:tcPr>
          <w:p w14:paraId="0C223D61" w14:textId="77777777" w:rsidR="00E23096" w:rsidRPr="00E27200" w:rsidRDefault="00E23096" w:rsidP="00E23096">
            <w:pPr>
              <w:rPr>
                <w:b/>
                <w:lang w:val="en-AU"/>
              </w:rPr>
            </w:pPr>
            <w:r w:rsidRPr="00E27200">
              <w:rPr>
                <w:b/>
                <w:lang w:val="en-AU"/>
              </w:rPr>
              <w:t>TOTAL</w:t>
            </w:r>
          </w:p>
        </w:tc>
        <w:tc>
          <w:tcPr>
            <w:tcW w:w="2187" w:type="dxa"/>
            <w:vAlign w:val="center"/>
          </w:tcPr>
          <w:p w14:paraId="18995A67" w14:textId="77777777" w:rsidR="00E23096" w:rsidRPr="00E27200" w:rsidRDefault="00E23096" w:rsidP="00E23096">
            <w:pPr>
              <w:rPr>
                <w:b/>
                <w:lang w:val="en-AU"/>
              </w:rPr>
            </w:pPr>
            <w:r w:rsidRPr="00E27200">
              <w:rPr>
                <w:b/>
                <w:lang w:val="en-AU"/>
              </w:rPr>
              <w:t>75%</w:t>
            </w:r>
          </w:p>
        </w:tc>
        <w:tc>
          <w:tcPr>
            <w:tcW w:w="1687" w:type="dxa"/>
            <w:vAlign w:val="center"/>
          </w:tcPr>
          <w:p w14:paraId="4E2DE2AE" w14:textId="77777777" w:rsidR="00E23096" w:rsidRPr="00E27200" w:rsidRDefault="00E23096" w:rsidP="00E23096">
            <w:pPr>
              <w:rPr>
                <w:b/>
                <w:lang w:val="en-AU"/>
              </w:rPr>
            </w:pPr>
            <w:r w:rsidRPr="00E27200">
              <w:rPr>
                <w:b/>
                <w:lang w:val="en-AU"/>
              </w:rPr>
              <w:t>52%</w:t>
            </w:r>
          </w:p>
        </w:tc>
        <w:tc>
          <w:tcPr>
            <w:tcW w:w="1687" w:type="dxa"/>
            <w:vAlign w:val="center"/>
          </w:tcPr>
          <w:p w14:paraId="515E0F11" w14:textId="77777777" w:rsidR="00E23096" w:rsidRPr="00E27200" w:rsidRDefault="00E23096" w:rsidP="00E23096">
            <w:pPr>
              <w:tabs>
                <w:tab w:val="left" w:pos="405"/>
                <w:tab w:val="center" w:pos="538"/>
              </w:tabs>
              <w:rPr>
                <w:b/>
                <w:lang w:val="en-AU"/>
              </w:rPr>
            </w:pPr>
            <w:r w:rsidRPr="00E27200">
              <w:rPr>
                <w:b/>
                <w:lang w:val="en-AU"/>
              </w:rPr>
              <w:t>35%</w:t>
            </w:r>
          </w:p>
        </w:tc>
      </w:tr>
    </w:tbl>
    <w:p w14:paraId="3EFDF162" w14:textId="77777777" w:rsidR="00E23096" w:rsidRPr="00E27200" w:rsidRDefault="00E23096" w:rsidP="0070147F">
      <w:pPr>
        <w:rPr>
          <w:lang w:val="en-AU"/>
        </w:rPr>
      </w:pPr>
    </w:p>
    <w:p w14:paraId="2F220C8D" w14:textId="588C15E6" w:rsidR="0070147F" w:rsidRPr="00E27200" w:rsidRDefault="0070147F" w:rsidP="0070147F">
      <w:pPr>
        <w:rPr>
          <w:rFonts w:asciiTheme="majorHAnsi" w:hAnsiTheme="majorHAnsi" w:cs="Arial"/>
          <w:color w:val="000000"/>
          <w:szCs w:val="19"/>
          <w:lang w:val="en-AU"/>
        </w:rPr>
      </w:pPr>
      <w:r w:rsidRPr="00E27200">
        <w:rPr>
          <w:lang w:val="en-AU"/>
        </w:rPr>
        <w:t xml:space="preserve">The private sector will continue to be an option to supplement medical supplies through the current substantive use of local procurement mechanisms. Local procurement of medicines occurs frequently and at substantial costs, especially at hospitals: two hospitals recorded spending ~between 150,000 PGK to 600,000 PGK each in 2012 and one district in </w:t>
      </w:r>
      <w:r w:rsidR="00F47A10">
        <w:rPr>
          <w:lang w:val="en-AU"/>
        </w:rPr>
        <w:t xml:space="preserve">the </w:t>
      </w:r>
      <w:r w:rsidRPr="00E27200">
        <w:rPr>
          <w:lang w:val="en-AU"/>
        </w:rPr>
        <w:t xml:space="preserve">Southern </w:t>
      </w:r>
      <w:r w:rsidR="00F47A10">
        <w:rPr>
          <w:lang w:val="en-AU"/>
        </w:rPr>
        <w:t>region</w:t>
      </w:r>
      <w:r w:rsidR="00F47A10" w:rsidRPr="00E27200">
        <w:rPr>
          <w:lang w:val="en-AU"/>
        </w:rPr>
        <w:t xml:space="preserve"> </w:t>
      </w:r>
      <w:r w:rsidRPr="00E27200">
        <w:rPr>
          <w:lang w:val="en-AU"/>
        </w:rPr>
        <w:t xml:space="preserve">had spent ~200,000 PGK in just three months of 2013 on locally procured </w:t>
      </w:r>
      <w:r w:rsidR="004F093C">
        <w:rPr>
          <w:lang w:val="en-AU"/>
        </w:rPr>
        <w:t>medicines</w:t>
      </w:r>
      <w:r w:rsidRPr="00E27200">
        <w:rPr>
          <w:lang w:val="en-AU"/>
        </w:rPr>
        <w:t>. Procured items range from paracetamol or aspirin to items not on the EML (e</w:t>
      </w:r>
      <w:r w:rsidR="00436F0E">
        <w:rPr>
          <w:lang w:val="en-AU"/>
        </w:rPr>
        <w:t>.</w:t>
      </w:r>
      <w:r w:rsidRPr="00E27200">
        <w:rPr>
          <w:lang w:val="en-AU"/>
        </w:rPr>
        <w:t xml:space="preserve">g. </w:t>
      </w:r>
      <w:proofErr w:type="spellStart"/>
      <w:r w:rsidRPr="00E27200">
        <w:rPr>
          <w:lang w:val="en-AU"/>
        </w:rPr>
        <w:t>hydroxyurea</w:t>
      </w:r>
      <w:proofErr w:type="spellEnd"/>
      <w:r w:rsidRPr="00E27200">
        <w:rPr>
          <w:lang w:val="en-AU"/>
        </w:rPr>
        <w:t xml:space="preserve">, </w:t>
      </w:r>
      <w:proofErr w:type="spellStart"/>
      <w:r w:rsidRPr="00E27200">
        <w:rPr>
          <w:lang w:val="en-AU"/>
        </w:rPr>
        <w:t>Haemacel</w:t>
      </w:r>
      <w:proofErr w:type="spellEnd"/>
      <w:r w:rsidRPr="00E27200">
        <w:rPr>
          <w:lang w:val="en-AU"/>
        </w:rPr>
        <w:t>/</w:t>
      </w:r>
      <w:proofErr w:type="spellStart"/>
      <w:r w:rsidRPr="00E27200">
        <w:rPr>
          <w:lang w:val="en-AU"/>
        </w:rPr>
        <w:t>gelofusine</w:t>
      </w:r>
      <w:proofErr w:type="spellEnd"/>
      <w:r w:rsidRPr="00E27200">
        <w:rPr>
          <w:lang w:val="en-AU"/>
        </w:rPr>
        <w:t xml:space="preserve">).  </w:t>
      </w:r>
      <w:r w:rsidRPr="00E27200">
        <w:rPr>
          <w:rFonts w:asciiTheme="majorHAnsi" w:hAnsiTheme="majorHAnsi" w:cs="Arial"/>
          <w:color w:val="000000"/>
          <w:szCs w:val="19"/>
          <w:lang w:val="en-AU"/>
        </w:rPr>
        <w:t xml:space="preserve"> </w:t>
      </w:r>
      <w:r w:rsidRPr="00E27200">
        <w:rPr>
          <w:lang w:val="en-AU"/>
        </w:rPr>
        <w:t xml:space="preserve">Overall 51% of all respondents in our survey had purchased medicines in the </w:t>
      </w:r>
      <w:r w:rsidR="00D062F3">
        <w:rPr>
          <w:lang w:val="en-AU"/>
        </w:rPr>
        <w:t xml:space="preserve">last 12 months as a result of </w:t>
      </w:r>
      <w:r w:rsidRPr="00E27200">
        <w:rPr>
          <w:lang w:val="en-AU"/>
        </w:rPr>
        <w:t>stock</w:t>
      </w:r>
      <w:r w:rsidR="00D062F3">
        <w:rPr>
          <w:lang w:val="en-AU"/>
        </w:rPr>
        <w:t>-</w:t>
      </w:r>
      <w:r w:rsidRPr="00E27200">
        <w:rPr>
          <w:lang w:val="en-AU"/>
        </w:rPr>
        <w:t xml:space="preserve">outs with most (90%) hospitals taking this option. </w:t>
      </w:r>
    </w:p>
    <w:p w14:paraId="48484FCB" w14:textId="77777777" w:rsidR="0070147F" w:rsidRPr="00E27200" w:rsidRDefault="0070147F" w:rsidP="0070147F">
      <w:pPr>
        <w:rPr>
          <w:lang w:val="en-AU"/>
        </w:rPr>
      </w:pPr>
    </w:p>
    <w:p w14:paraId="1929FF08" w14:textId="3CDD1A7A" w:rsidR="0070147F" w:rsidRPr="00E27200" w:rsidRDefault="0091042B" w:rsidP="0070147F">
      <w:pPr>
        <w:rPr>
          <w:b/>
          <w:lang w:val="en-AU"/>
        </w:rPr>
      </w:pPr>
      <w:r w:rsidRPr="00E27200">
        <w:rPr>
          <w:b/>
          <w:lang w:val="en-AU"/>
        </w:rPr>
        <w:t xml:space="preserve">Table </w:t>
      </w:r>
      <w:r w:rsidR="00314939">
        <w:rPr>
          <w:b/>
          <w:lang w:val="en-AU"/>
        </w:rPr>
        <w:t>9</w:t>
      </w:r>
      <w:r w:rsidR="0070147F" w:rsidRPr="00E27200">
        <w:rPr>
          <w:b/>
          <w:lang w:val="en-AU"/>
        </w:rPr>
        <w:t xml:space="preserve">:  </w:t>
      </w:r>
      <w:r w:rsidR="00E13679">
        <w:rPr>
          <w:b/>
          <w:lang w:val="en-AU"/>
        </w:rPr>
        <w:t>Medicines</w:t>
      </w:r>
      <w:r w:rsidR="0070147F" w:rsidRPr="00E27200">
        <w:rPr>
          <w:b/>
          <w:lang w:val="en-AU"/>
        </w:rPr>
        <w:t xml:space="preserve"> purchased in last 12 months due to stock</w:t>
      </w:r>
      <w:r w:rsidR="009A272F">
        <w:rPr>
          <w:b/>
          <w:lang w:val="en-AU"/>
        </w:rPr>
        <w:t>-</w:t>
      </w:r>
      <w:r w:rsidR="0070147F" w:rsidRPr="00E27200">
        <w:rPr>
          <w:b/>
          <w:lang w:val="en-AU"/>
        </w:rPr>
        <w:t>outs</w:t>
      </w:r>
    </w:p>
    <w:tbl>
      <w:tblPr>
        <w:tblStyle w:val="TableGrid"/>
        <w:tblW w:w="4962" w:type="dxa"/>
        <w:tblInd w:w="108" w:type="dxa"/>
        <w:tblLayout w:type="fixed"/>
        <w:tblLook w:val="04A0" w:firstRow="1" w:lastRow="0" w:firstColumn="1" w:lastColumn="0" w:noHBand="0" w:noVBand="1"/>
      </w:tblPr>
      <w:tblGrid>
        <w:gridCol w:w="2108"/>
        <w:gridCol w:w="2854"/>
      </w:tblGrid>
      <w:tr w:rsidR="0070147F" w:rsidRPr="00E27200" w14:paraId="2579380B" w14:textId="77777777" w:rsidTr="008D11AA">
        <w:tc>
          <w:tcPr>
            <w:tcW w:w="2108" w:type="dxa"/>
            <w:vAlign w:val="center"/>
          </w:tcPr>
          <w:p w14:paraId="7B29990A" w14:textId="77777777" w:rsidR="0070147F" w:rsidRPr="00E27200" w:rsidRDefault="0070147F" w:rsidP="0070147F">
            <w:pPr>
              <w:rPr>
                <w:b/>
                <w:lang w:val="en-AU"/>
              </w:rPr>
            </w:pPr>
            <w:r w:rsidRPr="00E27200">
              <w:rPr>
                <w:b/>
                <w:lang w:val="en-AU"/>
              </w:rPr>
              <w:t>HFs type</w:t>
            </w:r>
          </w:p>
        </w:tc>
        <w:tc>
          <w:tcPr>
            <w:tcW w:w="2854" w:type="dxa"/>
            <w:vAlign w:val="center"/>
          </w:tcPr>
          <w:p w14:paraId="05E10B40" w14:textId="77777777" w:rsidR="0070147F" w:rsidRPr="00E27200" w:rsidRDefault="0070147F" w:rsidP="0070147F">
            <w:pPr>
              <w:rPr>
                <w:b/>
                <w:lang w:val="en-AU"/>
              </w:rPr>
            </w:pPr>
            <w:r w:rsidRPr="00E27200">
              <w:rPr>
                <w:b/>
                <w:lang w:val="en-AU"/>
              </w:rPr>
              <w:t xml:space="preserve">% HF who purchased medicine in the past 12 months </w:t>
            </w:r>
          </w:p>
        </w:tc>
      </w:tr>
      <w:tr w:rsidR="0070147F" w:rsidRPr="00E27200" w14:paraId="45190C61" w14:textId="77777777" w:rsidTr="008D11AA">
        <w:tc>
          <w:tcPr>
            <w:tcW w:w="2108" w:type="dxa"/>
            <w:vAlign w:val="center"/>
          </w:tcPr>
          <w:p w14:paraId="3667D4C4" w14:textId="77777777" w:rsidR="0070147F" w:rsidRPr="00E27200" w:rsidRDefault="0070147F" w:rsidP="0070147F">
            <w:pPr>
              <w:rPr>
                <w:lang w:val="en-AU"/>
              </w:rPr>
            </w:pPr>
            <w:r w:rsidRPr="00E27200">
              <w:rPr>
                <w:lang w:val="en-AU"/>
              </w:rPr>
              <w:t>Hospital (n=10)</w:t>
            </w:r>
          </w:p>
        </w:tc>
        <w:tc>
          <w:tcPr>
            <w:tcW w:w="2854" w:type="dxa"/>
            <w:vAlign w:val="center"/>
          </w:tcPr>
          <w:p w14:paraId="485A23B7" w14:textId="77777777" w:rsidR="0070147F" w:rsidRPr="00E27200" w:rsidRDefault="0070147F" w:rsidP="0070147F">
            <w:pPr>
              <w:rPr>
                <w:lang w:val="en-AU"/>
              </w:rPr>
            </w:pPr>
            <w:r w:rsidRPr="00E27200">
              <w:rPr>
                <w:lang w:val="en-AU"/>
              </w:rPr>
              <w:t>90%</w:t>
            </w:r>
          </w:p>
        </w:tc>
      </w:tr>
      <w:tr w:rsidR="0070147F" w:rsidRPr="00E27200" w14:paraId="6F13371B" w14:textId="77777777" w:rsidTr="008D11AA">
        <w:tc>
          <w:tcPr>
            <w:tcW w:w="2108" w:type="dxa"/>
            <w:vAlign w:val="center"/>
          </w:tcPr>
          <w:p w14:paraId="6CFCCA77" w14:textId="77777777" w:rsidR="0070147F" w:rsidRPr="00E27200" w:rsidRDefault="0070147F" w:rsidP="0070147F">
            <w:pPr>
              <w:rPr>
                <w:lang w:val="en-AU"/>
              </w:rPr>
            </w:pPr>
            <w:r w:rsidRPr="00E27200">
              <w:rPr>
                <w:lang w:val="en-AU"/>
              </w:rPr>
              <w:t>HC/SC (n=42)</w:t>
            </w:r>
          </w:p>
        </w:tc>
        <w:tc>
          <w:tcPr>
            <w:tcW w:w="2854" w:type="dxa"/>
            <w:vAlign w:val="center"/>
          </w:tcPr>
          <w:p w14:paraId="38F02048" w14:textId="77777777" w:rsidR="0070147F" w:rsidRPr="00E27200" w:rsidRDefault="0070147F" w:rsidP="0070147F">
            <w:pPr>
              <w:rPr>
                <w:lang w:val="en-AU"/>
              </w:rPr>
            </w:pPr>
            <w:r w:rsidRPr="00E27200">
              <w:rPr>
                <w:lang w:val="en-AU"/>
              </w:rPr>
              <w:t>52%</w:t>
            </w:r>
          </w:p>
        </w:tc>
      </w:tr>
      <w:tr w:rsidR="0070147F" w:rsidRPr="00E27200" w14:paraId="5699A472" w14:textId="77777777" w:rsidTr="008D11AA">
        <w:tc>
          <w:tcPr>
            <w:tcW w:w="2108" w:type="dxa"/>
            <w:vAlign w:val="center"/>
          </w:tcPr>
          <w:p w14:paraId="4F35F58D" w14:textId="77777777" w:rsidR="0070147F" w:rsidRPr="00E27200" w:rsidRDefault="0070147F" w:rsidP="0070147F">
            <w:pPr>
              <w:rPr>
                <w:lang w:val="en-AU"/>
              </w:rPr>
            </w:pPr>
            <w:r w:rsidRPr="00E27200">
              <w:rPr>
                <w:lang w:val="en-AU"/>
              </w:rPr>
              <w:t>APs (n=37)</w:t>
            </w:r>
          </w:p>
        </w:tc>
        <w:tc>
          <w:tcPr>
            <w:tcW w:w="2854" w:type="dxa"/>
            <w:vAlign w:val="center"/>
          </w:tcPr>
          <w:p w14:paraId="641A0E0B" w14:textId="77777777" w:rsidR="0070147F" w:rsidRPr="00E27200" w:rsidRDefault="0070147F" w:rsidP="0070147F">
            <w:pPr>
              <w:tabs>
                <w:tab w:val="left" w:pos="405"/>
                <w:tab w:val="center" w:pos="538"/>
              </w:tabs>
              <w:rPr>
                <w:lang w:val="en-AU"/>
              </w:rPr>
            </w:pPr>
            <w:r w:rsidRPr="00E27200">
              <w:rPr>
                <w:lang w:val="en-AU"/>
              </w:rPr>
              <w:t>41%</w:t>
            </w:r>
          </w:p>
        </w:tc>
      </w:tr>
      <w:tr w:rsidR="0070147F" w:rsidRPr="00E27200" w14:paraId="0EBF7053" w14:textId="77777777" w:rsidTr="008D11AA">
        <w:tc>
          <w:tcPr>
            <w:tcW w:w="2108" w:type="dxa"/>
            <w:vAlign w:val="center"/>
          </w:tcPr>
          <w:p w14:paraId="5F468B32" w14:textId="77777777" w:rsidR="0070147F" w:rsidRPr="00E27200" w:rsidRDefault="0070147F" w:rsidP="0070147F">
            <w:pPr>
              <w:rPr>
                <w:b/>
                <w:lang w:val="en-AU"/>
              </w:rPr>
            </w:pPr>
            <w:r w:rsidRPr="00E27200">
              <w:rPr>
                <w:b/>
                <w:lang w:val="en-AU"/>
              </w:rPr>
              <w:t>TOTAL</w:t>
            </w:r>
          </w:p>
        </w:tc>
        <w:tc>
          <w:tcPr>
            <w:tcW w:w="2854" w:type="dxa"/>
            <w:vAlign w:val="center"/>
          </w:tcPr>
          <w:p w14:paraId="3056D894" w14:textId="77777777" w:rsidR="0070147F" w:rsidRPr="00E27200" w:rsidRDefault="0070147F" w:rsidP="0070147F">
            <w:pPr>
              <w:tabs>
                <w:tab w:val="left" w:pos="405"/>
                <w:tab w:val="center" w:pos="538"/>
              </w:tabs>
              <w:rPr>
                <w:b/>
                <w:lang w:val="en-AU"/>
              </w:rPr>
            </w:pPr>
            <w:r w:rsidRPr="00E27200">
              <w:rPr>
                <w:b/>
                <w:lang w:val="en-AU"/>
              </w:rPr>
              <w:t>51%</w:t>
            </w:r>
          </w:p>
        </w:tc>
      </w:tr>
    </w:tbl>
    <w:p w14:paraId="6144C95C" w14:textId="77777777" w:rsidR="0070147F" w:rsidRDefault="0070147F" w:rsidP="00A61626">
      <w:pPr>
        <w:rPr>
          <w:lang w:val="en-AU"/>
        </w:rPr>
      </w:pPr>
    </w:p>
    <w:p w14:paraId="26EDCAE1" w14:textId="094DA0AD" w:rsidR="00E13679" w:rsidRDefault="00E13679" w:rsidP="00A61626">
      <w:pPr>
        <w:rPr>
          <w:lang w:val="en-AU"/>
        </w:rPr>
      </w:pPr>
      <w:r>
        <w:rPr>
          <w:lang w:val="en-AU"/>
        </w:rPr>
        <w:t xml:space="preserve">Even though peripheral HFs, especially APs, do not in theory have any discretionary budget for supplementary purchases, the qualitative data demonstrate that in reality it is common for these facilities to use consolidated user fees, donations or other informal sources of income to </w:t>
      </w:r>
      <w:r w:rsidR="00797D81">
        <w:rPr>
          <w:lang w:val="en-AU"/>
        </w:rPr>
        <w:t>buy supplementary medicines from local private suppliers. As noted elsewhere, in some cases patients were instructed directly to purchase medicines that were not available in the facility when needed.</w:t>
      </w:r>
    </w:p>
    <w:p w14:paraId="0B8CE844" w14:textId="77777777" w:rsidR="00E13679" w:rsidRPr="00E27200" w:rsidRDefault="00E13679" w:rsidP="00A61626">
      <w:pPr>
        <w:rPr>
          <w:lang w:val="en-AU"/>
        </w:rPr>
      </w:pPr>
    </w:p>
    <w:p w14:paraId="37B739F7" w14:textId="556BF256" w:rsidR="0070147F" w:rsidRPr="00E27200" w:rsidRDefault="0070147F" w:rsidP="0070147F">
      <w:pPr>
        <w:rPr>
          <w:lang w:val="en-AU"/>
        </w:rPr>
      </w:pPr>
      <w:r w:rsidRPr="00E27200">
        <w:rPr>
          <w:lang w:val="en-AU"/>
        </w:rPr>
        <w:t xml:space="preserve">Qualitative findings </w:t>
      </w:r>
      <w:r w:rsidR="00E13679">
        <w:rPr>
          <w:lang w:val="en-AU"/>
        </w:rPr>
        <w:t xml:space="preserve">also </w:t>
      </w:r>
      <w:r w:rsidRPr="00E27200">
        <w:rPr>
          <w:lang w:val="en-AU"/>
        </w:rPr>
        <w:t>suggest that c</w:t>
      </w:r>
      <w:r w:rsidR="00FC4803" w:rsidRPr="00E27200">
        <w:rPr>
          <w:lang w:val="en-AU"/>
        </w:rPr>
        <w:t>ommunication between health facilities was reported by health managers to be generally working well</w:t>
      </w:r>
      <w:r w:rsidR="003D7B59" w:rsidRPr="00E27200">
        <w:rPr>
          <w:lang w:val="en-AU"/>
        </w:rPr>
        <w:t xml:space="preserve"> and particularl</w:t>
      </w:r>
      <w:r w:rsidR="00BC17D0">
        <w:rPr>
          <w:lang w:val="en-AU"/>
        </w:rPr>
        <w:t>y useful in responding to stock-</w:t>
      </w:r>
      <w:r w:rsidR="003D7B59" w:rsidRPr="00E27200">
        <w:rPr>
          <w:lang w:val="en-AU"/>
        </w:rPr>
        <w:t>outs</w:t>
      </w:r>
      <w:r w:rsidR="00FC4803" w:rsidRPr="00E27200">
        <w:rPr>
          <w:lang w:val="en-AU"/>
        </w:rPr>
        <w:t xml:space="preserve">. </w:t>
      </w:r>
      <w:r w:rsidR="00FC4803" w:rsidRPr="00E27200">
        <w:rPr>
          <w:lang w:val="en-AU"/>
        </w:rPr>
        <w:lastRenderedPageBreak/>
        <w:t xml:space="preserve">This was demonstrated through comments around sharing of medicines if one health facility had run out: </w:t>
      </w:r>
    </w:p>
    <w:p w14:paraId="0B379A97" w14:textId="75BC040D" w:rsidR="00FC4803" w:rsidRPr="00E27200" w:rsidRDefault="00FC4803" w:rsidP="0070147F">
      <w:pPr>
        <w:ind w:left="720" w:right="1088"/>
        <w:rPr>
          <w:lang w:val="en-AU"/>
        </w:rPr>
      </w:pPr>
      <w:r w:rsidRPr="00E27200">
        <w:rPr>
          <w:lang w:val="en-AU"/>
        </w:rPr>
        <w:t>“</w:t>
      </w:r>
      <w:r w:rsidR="002A09C7">
        <w:rPr>
          <w:i/>
          <w:lang w:val="en-AU"/>
        </w:rPr>
        <w:t>When there’s stock-</w:t>
      </w:r>
      <w:r w:rsidRPr="00E27200">
        <w:rPr>
          <w:i/>
          <w:lang w:val="en-AU"/>
        </w:rPr>
        <w:t xml:space="preserve">outs, they use alternate medicines or close clinics for emergencies only. The health facilities contact each other for sharing of drugs if they have run out.” </w:t>
      </w:r>
      <w:r w:rsidRPr="00E27200">
        <w:rPr>
          <w:lang w:val="en-AU"/>
        </w:rPr>
        <w:t xml:space="preserve"> Some participants noted that communication between the AMS and PTS was reasonable. </w:t>
      </w:r>
    </w:p>
    <w:p w14:paraId="6F324EDF" w14:textId="77777777" w:rsidR="003A6464" w:rsidRPr="00E27200" w:rsidRDefault="003A6464" w:rsidP="00A61626">
      <w:pPr>
        <w:rPr>
          <w:lang w:val="en-AU"/>
        </w:rPr>
      </w:pPr>
    </w:p>
    <w:p w14:paraId="7808ADCE" w14:textId="77777777" w:rsidR="003D7B59" w:rsidRPr="00E27200" w:rsidRDefault="00EF0F09" w:rsidP="003D7B59">
      <w:pPr>
        <w:ind w:right="-46"/>
        <w:rPr>
          <w:lang w:val="en-AU"/>
        </w:rPr>
      </w:pPr>
      <w:r w:rsidRPr="00E27200">
        <w:rPr>
          <w:lang w:val="en-AU"/>
        </w:rPr>
        <w:t>Health managers reported that when health facilities ran out of medicines, the health facility or the patient had to bear the cost for purchasing extra me</w:t>
      </w:r>
      <w:r w:rsidR="009F5FBF" w:rsidRPr="00E27200">
        <w:rPr>
          <w:lang w:val="en-AU"/>
        </w:rPr>
        <w:t>dicines from private pharmacies</w:t>
      </w:r>
      <w:r w:rsidR="00F93DEC" w:rsidRPr="00E27200">
        <w:rPr>
          <w:lang w:val="en-AU"/>
        </w:rPr>
        <w:t xml:space="preserve"> or use</w:t>
      </w:r>
      <w:r w:rsidR="009F5FBF" w:rsidRPr="00E27200">
        <w:rPr>
          <w:lang w:val="en-AU"/>
        </w:rPr>
        <w:t xml:space="preserve"> the facility’</w:t>
      </w:r>
      <w:r w:rsidR="00F93DEC" w:rsidRPr="00E27200">
        <w:rPr>
          <w:lang w:val="en-AU"/>
        </w:rPr>
        <w:t>s funds to</w:t>
      </w:r>
      <w:r w:rsidR="009F5FBF" w:rsidRPr="00E27200">
        <w:rPr>
          <w:lang w:val="en-AU"/>
        </w:rPr>
        <w:t xml:space="preserve"> arrange transport for delivery of supplies.</w:t>
      </w:r>
      <w:r w:rsidRPr="00E27200">
        <w:rPr>
          <w:lang w:val="en-AU"/>
        </w:rPr>
        <w:t xml:space="preserve"> This was noted as an expensive exercise, with health facilities using patient user fees to cover the costs of purchasing extra medicines. </w:t>
      </w:r>
    </w:p>
    <w:p w14:paraId="0000AE27" w14:textId="77777777" w:rsidR="003D7B59" w:rsidRPr="00E27200" w:rsidRDefault="00EF0F09" w:rsidP="003D7B59">
      <w:pPr>
        <w:ind w:left="720" w:right="1088"/>
        <w:rPr>
          <w:i/>
          <w:lang w:val="en-AU"/>
        </w:rPr>
      </w:pPr>
      <w:r w:rsidRPr="00E27200">
        <w:rPr>
          <w:lang w:val="en-AU"/>
        </w:rPr>
        <w:t>“</w:t>
      </w:r>
      <w:proofErr w:type="spellStart"/>
      <w:r w:rsidRPr="00E27200">
        <w:rPr>
          <w:i/>
          <w:lang w:val="en-AU"/>
        </w:rPr>
        <w:t>Enga</w:t>
      </w:r>
      <w:proofErr w:type="spellEnd"/>
      <w:r w:rsidRPr="00E27200">
        <w:rPr>
          <w:i/>
          <w:lang w:val="en-AU"/>
        </w:rPr>
        <w:t xml:space="preserve"> doesn’t buy drugs, but the patients have to go and buy the drugs which is very expensive.” </w:t>
      </w:r>
    </w:p>
    <w:p w14:paraId="3525BA74" w14:textId="77777777" w:rsidR="003D7B59" w:rsidRPr="00E27200" w:rsidRDefault="003D7B59" w:rsidP="003D7B59">
      <w:pPr>
        <w:ind w:right="-46"/>
        <w:rPr>
          <w:lang w:val="en-AU"/>
        </w:rPr>
      </w:pPr>
    </w:p>
    <w:p w14:paraId="036EB509" w14:textId="77777777" w:rsidR="003D7B59" w:rsidRPr="00A079FE" w:rsidRDefault="00EF0F09" w:rsidP="00A079FE">
      <w:pPr>
        <w:ind w:right="-46"/>
        <w:rPr>
          <w:lang w:val="en-AU"/>
        </w:rPr>
      </w:pPr>
      <w:r w:rsidRPr="00E27200">
        <w:rPr>
          <w:lang w:val="en-AU"/>
        </w:rPr>
        <w:t xml:space="preserve">Health managers were </w:t>
      </w:r>
      <w:r w:rsidR="003D7B59" w:rsidRPr="00E27200">
        <w:rPr>
          <w:lang w:val="en-AU"/>
        </w:rPr>
        <w:t>also w</w:t>
      </w:r>
      <w:r w:rsidRPr="00E27200">
        <w:rPr>
          <w:lang w:val="en-AU"/>
        </w:rPr>
        <w:t xml:space="preserve">ary of the </w:t>
      </w:r>
      <w:r w:rsidR="003D7B59" w:rsidRPr="00E27200">
        <w:rPr>
          <w:lang w:val="en-AU"/>
        </w:rPr>
        <w:t xml:space="preserve">potential impact of the </w:t>
      </w:r>
      <w:r w:rsidRPr="00E27200">
        <w:rPr>
          <w:lang w:val="en-AU"/>
        </w:rPr>
        <w:t>current user fee system being abolished; in which case the health facilities would not have enough funds to purchase the extra supplies: “</w:t>
      </w:r>
      <w:r w:rsidRPr="00E27200">
        <w:rPr>
          <w:i/>
          <w:lang w:val="en-AU"/>
        </w:rPr>
        <w:t xml:space="preserve">The problem is when we do not have patient fees; we will not have the money to pay.”  </w:t>
      </w:r>
    </w:p>
    <w:p w14:paraId="4923C0B5" w14:textId="77777777" w:rsidR="0090131E" w:rsidRDefault="00EF0F09" w:rsidP="00E23096">
      <w:pPr>
        <w:ind w:right="-46"/>
        <w:rPr>
          <w:lang w:val="en-AU"/>
        </w:rPr>
      </w:pPr>
      <w:r w:rsidRPr="00E27200">
        <w:rPr>
          <w:lang w:val="en-AU"/>
        </w:rPr>
        <w:t xml:space="preserve">Buying extra supplies was also only feasible for health facilities that were located in areas where they could access a private pharmacy. </w:t>
      </w:r>
      <w:r w:rsidR="003D7B59" w:rsidRPr="00E27200">
        <w:rPr>
          <w:lang w:val="en-AU"/>
        </w:rPr>
        <w:t>This is generally only in towns, with most rural areas lacking this option</w:t>
      </w:r>
      <w:r w:rsidRPr="00E27200">
        <w:rPr>
          <w:lang w:val="en-AU"/>
        </w:rPr>
        <w:t>. A few participants mentioned that lack of funding was being used as an excuse for not purchasing adequate medical supplies – which they felt wasn’t the case as there were funds to pay private distributors.</w:t>
      </w:r>
    </w:p>
    <w:p w14:paraId="415ACC73" w14:textId="77777777" w:rsidR="00AD6C5E" w:rsidRDefault="00AD6C5E" w:rsidP="00E23096">
      <w:pPr>
        <w:ind w:right="-46"/>
        <w:rPr>
          <w:lang w:val="en-AU"/>
        </w:rPr>
      </w:pPr>
    </w:p>
    <w:p w14:paraId="53623104" w14:textId="7326C7A2" w:rsidR="00AD6C5E" w:rsidRPr="008D11AA" w:rsidRDefault="00AD6C5E" w:rsidP="00AD6C5E">
      <w:pPr>
        <w:rPr>
          <w:lang w:val="en-AU"/>
        </w:rPr>
      </w:pPr>
      <w:r w:rsidRPr="00E27200">
        <w:rPr>
          <w:lang w:val="en-AU"/>
        </w:rPr>
        <w:t xml:space="preserve">As noted above, under distribution, qualitative data from health managers and HF staff confirmed that availability of medicines and supplies in the </w:t>
      </w:r>
      <w:r w:rsidR="00436F0E">
        <w:rPr>
          <w:lang w:val="en-AU"/>
        </w:rPr>
        <w:t>‘</w:t>
      </w:r>
      <w:r w:rsidRPr="00E27200">
        <w:rPr>
          <w:lang w:val="en-AU"/>
        </w:rPr>
        <w:t>pull</w:t>
      </w:r>
      <w:r w:rsidR="00436F0E">
        <w:rPr>
          <w:lang w:val="en-AU"/>
        </w:rPr>
        <w:t>’</w:t>
      </w:r>
      <w:r w:rsidRPr="00E27200">
        <w:rPr>
          <w:lang w:val="en-AU"/>
        </w:rPr>
        <w:t xml:space="preserve"> system was constrained by difficulties in the supply chain. Some staff reported AMS dispatch of </w:t>
      </w:r>
      <w:r w:rsidRPr="00AD6C5E">
        <w:rPr>
          <w:lang w:val="en-AU"/>
        </w:rPr>
        <w:t xml:space="preserve">excess medicines that the health facility did not order and </w:t>
      </w:r>
      <w:r>
        <w:rPr>
          <w:lang w:val="en-AU"/>
        </w:rPr>
        <w:t xml:space="preserve">that were </w:t>
      </w:r>
      <w:r w:rsidRPr="00AD6C5E">
        <w:rPr>
          <w:lang w:val="en-AU"/>
        </w:rPr>
        <w:t>close to expiring</w:t>
      </w:r>
      <w:r w:rsidR="001609E0">
        <w:rPr>
          <w:lang w:val="en-AU"/>
        </w:rPr>
        <w:t xml:space="preserve">, using the health facility as </w:t>
      </w:r>
      <w:r w:rsidR="002E60BC">
        <w:rPr>
          <w:lang w:val="en-AU"/>
        </w:rPr>
        <w:t>what one informant termed a</w:t>
      </w:r>
      <w:r w:rsidRPr="00AD6C5E">
        <w:rPr>
          <w:lang w:val="en-AU"/>
        </w:rPr>
        <w:t xml:space="preserve"> </w:t>
      </w:r>
      <w:r w:rsidRPr="008D11AA">
        <w:rPr>
          <w:i/>
          <w:lang w:val="en-AU"/>
        </w:rPr>
        <w:t>“dumping ground</w:t>
      </w:r>
      <w:r w:rsidRPr="00AD6C5E">
        <w:rPr>
          <w:i/>
          <w:lang w:val="en-AU"/>
        </w:rPr>
        <w:t>”.</w:t>
      </w:r>
      <w:r w:rsidRPr="00E27200">
        <w:rPr>
          <w:i/>
          <w:lang w:val="en-AU"/>
        </w:rPr>
        <w:t xml:space="preserve"> </w:t>
      </w:r>
      <w:r w:rsidRPr="00E27200">
        <w:rPr>
          <w:lang w:val="en-AU"/>
        </w:rPr>
        <w:t xml:space="preserve">More information can be found in Annex </w:t>
      </w:r>
      <w:r>
        <w:rPr>
          <w:lang w:val="en-AU"/>
        </w:rPr>
        <w:t>11</w:t>
      </w:r>
      <w:r w:rsidRPr="00E27200">
        <w:rPr>
          <w:lang w:val="en-AU"/>
        </w:rPr>
        <w:t>.4.</w:t>
      </w:r>
    </w:p>
    <w:p w14:paraId="7BA4C08F" w14:textId="77777777" w:rsidR="00E23096" w:rsidRPr="00E27200" w:rsidRDefault="00E23096" w:rsidP="00E16C77">
      <w:pPr>
        <w:rPr>
          <w:lang w:val="en-AU"/>
        </w:rPr>
      </w:pPr>
    </w:p>
    <w:p w14:paraId="7A7C21DC" w14:textId="77777777" w:rsidR="007A5715" w:rsidRPr="00E27200" w:rsidRDefault="007A5715" w:rsidP="00B34AA2">
      <w:pPr>
        <w:pStyle w:val="Heading2"/>
      </w:pPr>
      <w:bookmarkStart w:id="100" w:name="_Toc245810755"/>
      <w:r w:rsidRPr="00E27200">
        <w:t>Rational use of essential medicines</w:t>
      </w:r>
      <w:r w:rsidR="00D860B3">
        <w:t xml:space="preserve"> and appropriate prescribing</w:t>
      </w:r>
      <w:bookmarkEnd w:id="100"/>
    </w:p>
    <w:p w14:paraId="072BF521" w14:textId="77777777" w:rsidR="00B34AA2" w:rsidRPr="00E27200" w:rsidRDefault="00B34AA2" w:rsidP="00B34AA2">
      <w:pPr>
        <w:ind w:left="432"/>
        <w:rPr>
          <w:i/>
          <w:lang w:val="en-AU"/>
        </w:rPr>
      </w:pPr>
      <w:r w:rsidRPr="00E27200">
        <w:rPr>
          <w:b/>
          <w:i/>
          <w:lang w:val="en-AU"/>
        </w:rPr>
        <w:t xml:space="preserve">Key finding: </w:t>
      </w:r>
      <w:r w:rsidRPr="00E27200">
        <w:rPr>
          <w:i/>
          <w:lang w:val="en-AU"/>
        </w:rPr>
        <w:t>While many facilities are using increasingly available medicines well, with good compliance with some core aspects of STGs (including new malaria treatment protocols), there are few STGs that are followed completely. Over-use of some medicines (such as antibiotics) and under-use of others (such as zinc) are more likely to reflect deficiencies in staff training than community pressures.</w:t>
      </w:r>
      <w:r w:rsidR="007D6333">
        <w:rPr>
          <w:i/>
          <w:lang w:val="en-AU"/>
        </w:rPr>
        <w:t xml:space="preserve"> It was reported that information resources provided with kits could be more user-friendly and STGs could be helpfully tailored to the AP level.</w:t>
      </w:r>
    </w:p>
    <w:p w14:paraId="3C679E5F" w14:textId="77777777" w:rsidR="00B34AA2" w:rsidRPr="00E27200" w:rsidRDefault="00B34AA2" w:rsidP="00B34AA2">
      <w:pPr>
        <w:rPr>
          <w:lang w:val="en-AU"/>
        </w:rPr>
      </w:pPr>
    </w:p>
    <w:p w14:paraId="6E3382DE" w14:textId="77777777" w:rsidR="00D860B3" w:rsidRPr="00D860B3" w:rsidRDefault="00D860B3" w:rsidP="00FF0038">
      <w:pPr>
        <w:pStyle w:val="Heading3"/>
      </w:pPr>
      <w:r>
        <w:t>Rational medicine use</w:t>
      </w:r>
    </w:p>
    <w:p w14:paraId="49306F1E" w14:textId="31C57715" w:rsidR="00B34AA2" w:rsidRDefault="00470629" w:rsidP="00B34AA2">
      <w:pPr>
        <w:rPr>
          <w:lang w:val="en-AU"/>
        </w:rPr>
      </w:pPr>
      <w:r>
        <w:rPr>
          <w:lang w:val="en-AU"/>
        </w:rPr>
        <w:t xml:space="preserve">Rational use of medicines, for this survey was assessed through important tracer conditions noted in the survey methodology.  It can be viewed as the proportion of health staff reported using the correct medicine for a given condition, and avoidance of </w:t>
      </w:r>
      <w:r w:rsidR="0012024D">
        <w:rPr>
          <w:lang w:val="en-AU"/>
        </w:rPr>
        <w:t>un-needed</w:t>
      </w:r>
      <w:r>
        <w:rPr>
          <w:lang w:val="en-AU"/>
        </w:rPr>
        <w:t xml:space="preserve"> medicines – in assessing this</w:t>
      </w:r>
      <w:r w:rsidR="00436F0E">
        <w:rPr>
          <w:lang w:val="en-AU"/>
        </w:rPr>
        <w:t>,</w:t>
      </w:r>
      <w:r>
        <w:rPr>
          <w:lang w:val="en-AU"/>
        </w:rPr>
        <w:t xml:space="preserve"> the evaluation related judgements to compliance with national STGs.</w:t>
      </w:r>
      <w:r w:rsidR="00201AD7">
        <w:rPr>
          <w:lang w:val="en-AU"/>
        </w:rPr>
        <w:t xml:space="preserve">  Full details are provided in Annex </w:t>
      </w:r>
      <w:r w:rsidR="00890836">
        <w:rPr>
          <w:lang w:val="en-AU"/>
        </w:rPr>
        <w:t>11</w:t>
      </w:r>
      <w:r w:rsidR="00201AD7">
        <w:rPr>
          <w:lang w:val="en-AU"/>
        </w:rPr>
        <w:t xml:space="preserve">.2, including a breakdown by level of HF. </w:t>
      </w:r>
    </w:p>
    <w:p w14:paraId="62239E19" w14:textId="77777777" w:rsidR="00470629" w:rsidRDefault="00470629" w:rsidP="00B34AA2">
      <w:pPr>
        <w:rPr>
          <w:lang w:val="en-AU"/>
        </w:rPr>
      </w:pPr>
    </w:p>
    <w:p w14:paraId="0B751ADF" w14:textId="77777777" w:rsidR="00470629" w:rsidRDefault="00470629" w:rsidP="00B34AA2">
      <w:pPr>
        <w:rPr>
          <w:lang w:val="en-AU"/>
        </w:rPr>
      </w:pPr>
      <w:r>
        <w:rPr>
          <w:lang w:val="en-AU"/>
        </w:rPr>
        <w:t>Proportions of staff</w:t>
      </w:r>
      <w:r w:rsidR="0012024D">
        <w:rPr>
          <w:lang w:val="en-AU"/>
        </w:rPr>
        <w:t xml:space="preserve"> using a correct medicine for a condition included:</w:t>
      </w:r>
    </w:p>
    <w:p w14:paraId="2694A52B" w14:textId="72388718" w:rsidR="007A5715" w:rsidRDefault="00206B06" w:rsidP="00AD3F80">
      <w:pPr>
        <w:pStyle w:val="ListParagraph"/>
        <w:numPr>
          <w:ilvl w:val="0"/>
          <w:numId w:val="24"/>
        </w:numPr>
        <w:rPr>
          <w:lang w:val="en-AU"/>
        </w:rPr>
      </w:pPr>
      <w:r>
        <w:rPr>
          <w:lang w:val="en-AU"/>
        </w:rPr>
        <w:t>For</w:t>
      </w:r>
      <w:r w:rsidR="008113E4">
        <w:rPr>
          <w:lang w:val="en-AU"/>
        </w:rPr>
        <w:t xml:space="preserve"> children under five</w:t>
      </w:r>
      <w:r w:rsidR="007A5715" w:rsidRPr="0012024D">
        <w:rPr>
          <w:lang w:val="en-AU"/>
        </w:rPr>
        <w:t xml:space="preserve"> years of age treated for childhood diarrhoea, 80% reported using </w:t>
      </w:r>
      <w:r w:rsidR="002D680F" w:rsidRPr="002D680F">
        <w:rPr>
          <w:b/>
          <w:lang w:val="en-AU"/>
        </w:rPr>
        <w:t>oral rehydration solution</w:t>
      </w:r>
      <w:r w:rsidR="002D680F">
        <w:rPr>
          <w:lang w:val="en-AU"/>
        </w:rPr>
        <w:t xml:space="preserve"> </w:t>
      </w:r>
      <w:r w:rsidR="00436F0E">
        <w:rPr>
          <w:lang w:val="en-AU"/>
        </w:rPr>
        <w:t>(</w:t>
      </w:r>
      <w:r w:rsidR="007A5715" w:rsidRPr="0012024D">
        <w:rPr>
          <w:lang w:val="en-AU"/>
        </w:rPr>
        <w:t>ORS</w:t>
      </w:r>
      <w:r w:rsidR="00436F0E">
        <w:rPr>
          <w:lang w:val="en-AU"/>
        </w:rPr>
        <w:t>)</w:t>
      </w:r>
      <w:r w:rsidR="00F47A10">
        <w:rPr>
          <w:lang w:val="en-AU"/>
        </w:rPr>
        <w:t>.</w:t>
      </w:r>
      <w:r w:rsidR="0012024D">
        <w:rPr>
          <w:lang w:val="en-AU"/>
        </w:rPr>
        <w:t xml:space="preserve"> </w:t>
      </w:r>
      <w:r w:rsidR="0012024D" w:rsidRPr="00E27200">
        <w:rPr>
          <w:lang w:val="en-AU"/>
        </w:rPr>
        <w:t xml:space="preserve">Our ORS prescribing rates were similar to </w:t>
      </w:r>
      <w:r w:rsidR="0012024D">
        <w:rPr>
          <w:lang w:val="en-AU"/>
        </w:rPr>
        <w:t>that reported by</w:t>
      </w:r>
      <w:r w:rsidR="0012024D" w:rsidRPr="00E27200">
        <w:rPr>
          <w:lang w:val="en-AU"/>
        </w:rPr>
        <w:t xml:space="preserve"> WHO</w:t>
      </w:r>
      <w:r w:rsidR="0012024D">
        <w:rPr>
          <w:lang w:val="en-AU"/>
        </w:rPr>
        <w:t xml:space="preserve"> in</w:t>
      </w:r>
      <w:r w:rsidR="0012024D" w:rsidRPr="00E27200">
        <w:rPr>
          <w:lang w:val="en-AU"/>
        </w:rPr>
        <w:t xml:space="preserve"> 2004</w:t>
      </w:r>
      <w:r w:rsidR="0012024D">
        <w:rPr>
          <w:lang w:val="en-AU"/>
        </w:rPr>
        <w:t xml:space="preserve"> (80-95% in low/middle-</w:t>
      </w:r>
      <w:r w:rsidR="0012024D" w:rsidRPr="00E27200">
        <w:rPr>
          <w:lang w:val="en-AU"/>
        </w:rPr>
        <w:t>income countries)</w:t>
      </w:r>
      <w:r w:rsidR="006D4F4F">
        <w:rPr>
          <w:lang w:val="en-AU"/>
        </w:rPr>
        <w:fldChar w:fldCharType="begin"/>
      </w:r>
      <w:r>
        <w:rPr>
          <w:lang w:val="en-AU"/>
        </w:rPr>
        <w:instrText xml:space="preserve"> ADDIN EN.CITE &lt;EndNote&gt;&lt;Cite&gt;&lt;Author&gt;World Health Organization&lt;/Author&gt;&lt;Year&gt;2006&lt;/Year&gt;&lt;RecNum&gt;57&lt;/RecNum&gt;&lt;DisplayText&gt;[7]&lt;/DisplayText&gt;&lt;record&gt;&lt;rec-number&gt;57&lt;/rec-number&gt;&lt;foreign-keys&gt;&lt;key app="EN" db-id="ex5s0vddkzxdfhese5yvf5vke2ree5azrt5t"&gt;57&lt;/key&gt;&lt;/foreign-keys&gt;&lt;ref-type name="Report"&gt;27&lt;/ref-type&gt;&lt;contributors&gt;&lt;authors&gt;&lt;author&gt;World Health Organization,&lt;/author&gt;&lt;/authors&gt;&lt;/contributors&gt;&lt;titles&gt;&lt;title&gt;Using indicators to measure country pharmaceutical situations. Fact Book on WHO Level I and Level II monitoring indicators&lt;/title&gt;&lt;/titles&gt;&lt;number&gt;WHO/TCM/2006.2 &lt;/number&gt;&lt;dates&gt;&lt;year&gt;2006&lt;/year&gt;&lt;/dates&gt;&lt;pub-location&gt;Geneva&lt;/pub-location&gt;&lt;publisher&gt;WHO&lt;/publisher&gt;&lt;urls&gt;&lt;/urls&gt;&lt;/record&gt;&lt;/Cite&gt;&lt;/EndNote&gt;</w:instrText>
      </w:r>
      <w:r w:rsidR="006D4F4F">
        <w:rPr>
          <w:lang w:val="en-AU"/>
        </w:rPr>
        <w:fldChar w:fldCharType="separate"/>
      </w:r>
      <w:r>
        <w:rPr>
          <w:noProof/>
          <w:lang w:val="en-AU"/>
        </w:rPr>
        <w:t>[</w:t>
      </w:r>
      <w:hyperlink w:anchor="_ENREF_7" w:tooltip="World Health Organization, 2006 #57" w:history="1">
        <w:r w:rsidR="00E62392">
          <w:rPr>
            <w:noProof/>
            <w:lang w:val="en-AU"/>
          </w:rPr>
          <w:t>7</w:t>
        </w:r>
      </w:hyperlink>
      <w:r>
        <w:rPr>
          <w:noProof/>
          <w:lang w:val="en-AU"/>
        </w:rPr>
        <w:t>]</w:t>
      </w:r>
      <w:r w:rsidR="006D4F4F">
        <w:rPr>
          <w:lang w:val="en-AU"/>
        </w:rPr>
        <w:fldChar w:fldCharType="end"/>
      </w:r>
      <w:r w:rsidR="0012024D" w:rsidRPr="00E27200">
        <w:rPr>
          <w:lang w:val="en-AU"/>
        </w:rPr>
        <w:t xml:space="preserve"> and </w:t>
      </w:r>
      <w:r w:rsidR="0012024D">
        <w:rPr>
          <w:lang w:val="en-AU"/>
        </w:rPr>
        <w:t>regionally (at 79%)</w:t>
      </w:r>
      <w:r w:rsidR="006D4F4F">
        <w:rPr>
          <w:lang w:val="en-AU"/>
        </w:rPr>
        <w:fldChar w:fldCharType="begin"/>
      </w:r>
      <w:r w:rsidR="0012024D">
        <w:rPr>
          <w:lang w:val="en-AU"/>
        </w:rPr>
        <w:instrText xml:space="preserve"> ADDIN EN.CITE &lt;EndNote&gt;&lt;Cite&gt;&lt;Author&gt;World Health Organization&lt;/Author&gt;&lt;Year&gt;2011&lt;/Year&gt;&lt;RecNum&gt;56&lt;/RecNum&gt;&lt;DisplayText&gt;[5]&lt;/DisplayText&gt;&lt;record&gt;&lt;rec-number&gt;56&lt;/rec-number&gt;&lt;foreign-keys&gt;&lt;key app="EN" db-id="ex5s0vddkzxdfhese5yvf5vke2ree5azrt5t"&gt;56&lt;/key&gt;&lt;/foreign-keys&gt;&lt;ref-type name="Report"&gt;27&lt;/ref-type&gt;&lt;contributors&gt;&lt;authors&gt;&lt;author&gt;World Health Organization,&lt;/author&gt;&lt;/authors&gt;&lt;/contributors&gt;&lt;titles&gt;&lt;title&gt;Synthesis Report of Pharmaceutical Country Profiles 2011 (DRAFT)&lt;/title&gt;&lt;/titles&gt;&lt;dates&gt;&lt;year&gt;2011&lt;/year&gt;&lt;/dates&gt;&lt;pub-location&gt;Manila&lt;/pub-location&gt;&lt;publisher&gt;Western Pacific Regional Office of WHO&lt;/publisher&gt;&lt;urls&gt;&lt;/urls&gt;&lt;/record&gt;&lt;/Cite&gt;&lt;/EndNote&gt;</w:instrText>
      </w:r>
      <w:r w:rsidR="006D4F4F">
        <w:rPr>
          <w:lang w:val="en-AU"/>
        </w:rPr>
        <w:fldChar w:fldCharType="separate"/>
      </w:r>
      <w:r w:rsidR="0012024D">
        <w:rPr>
          <w:noProof/>
          <w:lang w:val="en-AU"/>
        </w:rPr>
        <w:t>[</w:t>
      </w:r>
      <w:hyperlink w:anchor="_ENREF_5" w:tooltip="World Health Organization, 2011 #56" w:history="1">
        <w:r w:rsidR="00E62392">
          <w:rPr>
            <w:noProof/>
            <w:lang w:val="en-AU"/>
          </w:rPr>
          <w:t>5</w:t>
        </w:r>
      </w:hyperlink>
      <w:r w:rsidR="0012024D">
        <w:rPr>
          <w:noProof/>
          <w:lang w:val="en-AU"/>
        </w:rPr>
        <w:t>]</w:t>
      </w:r>
      <w:r w:rsidR="006D4F4F">
        <w:rPr>
          <w:lang w:val="en-AU"/>
        </w:rPr>
        <w:fldChar w:fldCharType="end"/>
      </w:r>
      <w:r w:rsidR="00201AD7">
        <w:rPr>
          <w:lang w:val="en-AU"/>
        </w:rPr>
        <w:t xml:space="preserve"> but only 23% reported using </w:t>
      </w:r>
      <w:r w:rsidR="00201AD7" w:rsidRPr="002D680F">
        <w:rPr>
          <w:b/>
          <w:lang w:val="en-AU"/>
        </w:rPr>
        <w:t>zinc</w:t>
      </w:r>
      <w:r w:rsidR="00201AD7">
        <w:rPr>
          <w:lang w:val="en-AU"/>
        </w:rPr>
        <w:t>, which has been part of STGs for diarrhoea for some years</w:t>
      </w:r>
      <w:r w:rsidR="0012024D">
        <w:rPr>
          <w:lang w:val="en-AU"/>
        </w:rPr>
        <w:t>;</w:t>
      </w:r>
      <w:r w:rsidR="007A5715" w:rsidRPr="0012024D">
        <w:rPr>
          <w:lang w:val="en-AU"/>
        </w:rPr>
        <w:t xml:space="preserve"> </w:t>
      </w:r>
    </w:p>
    <w:p w14:paraId="2F913964" w14:textId="77777777" w:rsidR="00206B06" w:rsidRDefault="00206B06" w:rsidP="00AD3F80">
      <w:pPr>
        <w:pStyle w:val="ListParagraph"/>
        <w:numPr>
          <w:ilvl w:val="0"/>
          <w:numId w:val="24"/>
        </w:numPr>
        <w:rPr>
          <w:lang w:val="en-AU"/>
        </w:rPr>
      </w:pPr>
      <w:r>
        <w:rPr>
          <w:lang w:val="en-AU"/>
        </w:rPr>
        <w:lastRenderedPageBreak/>
        <w:t>For</w:t>
      </w:r>
      <w:r w:rsidR="007A5715" w:rsidRPr="00206B06">
        <w:rPr>
          <w:lang w:val="en-AU"/>
        </w:rPr>
        <w:t xml:space="preserve"> acute respiratory infections (</w:t>
      </w:r>
      <w:r>
        <w:rPr>
          <w:lang w:val="en-AU"/>
        </w:rPr>
        <w:t>pneumonia</w:t>
      </w:r>
      <w:r w:rsidR="007A5715" w:rsidRPr="00206B06">
        <w:rPr>
          <w:lang w:val="en-AU"/>
        </w:rPr>
        <w:t xml:space="preserve">) in children under five years of age, overall 77% reported using the recommended treatment with </w:t>
      </w:r>
      <w:r w:rsidR="007A5715" w:rsidRPr="002D680F">
        <w:rPr>
          <w:b/>
          <w:lang w:val="en-AU"/>
        </w:rPr>
        <w:t>amoxicillin</w:t>
      </w:r>
      <w:r w:rsidR="007A5715" w:rsidRPr="00206B06">
        <w:rPr>
          <w:lang w:val="en-AU"/>
        </w:rPr>
        <w:t xml:space="preserve"> and 55% reported using an injectable antibiotic (mainly </w:t>
      </w:r>
      <w:proofErr w:type="spellStart"/>
      <w:r w:rsidR="007A5715" w:rsidRPr="002D680F">
        <w:rPr>
          <w:b/>
          <w:lang w:val="en-AU"/>
        </w:rPr>
        <w:t>benzylpenicillin</w:t>
      </w:r>
      <w:proofErr w:type="spellEnd"/>
      <w:r w:rsidR="007A5715" w:rsidRPr="00206B06">
        <w:rPr>
          <w:lang w:val="en-AU"/>
        </w:rPr>
        <w:t>)</w:t>
      </w:r>
      <w:r>
        <w:rPr>
          <w:lang w:val="en-AU"/>
        </w:rPr>
        <w:t xml:space="preserve"> – noting that the injectable antibiotic is compliant with STGs if the child is assessed as having severe pneumonia;</w:t>
      </w:r>
    </w:p>
    <w:p w14:paraId="715371D7" w14:textId="77777777" w:rsidR="00206B06" w:rsidRDefault="00206B06" w:rsidP="00AD3F80">
      <w:pPr>
        <w:pStyle w:val="ListParagraph"/>
        <w:numPr>
          <w:ilvl w:val="0"/>
          <w:numId w:val="24"/>
        </w:numPr>
        <w:rPr>
          <w:lang w:val="en-AU"/>
        </w:rPr>
      </w:pPr>
      <w:r w:rsidRPr="00206B06">
        <w:rPr>
          <w:lang w:val="en-AU"/>
        </w:rPr>
        <w:t>For</w:t>
      </w:r>
      <w:r w:rsidR="007A5715" w:rsidRPr="00206B06">
        <w:rPr>
          <w:lang w:val="en-AU"/>
        </w:rPr>
        <w:t xml:space="preserve"> </w:t>
      </w:r>
      <w:r>
        <w:rPr>
          <w:lang w:val="en-AU"/>
        </w:rPr>
        <w:t xml:space="preserve">adult </w:t>
      </w:r>
      <w:r w:rsidR="007A5715" w:rsidRPr="00206B06">
        <w:rPr>
          <w:lang w:val="en-AU"/>
        </w:rPr>
        <w:t xml:space="preserve">malaria, </w:t>
      </w:r>
      <w:r>
        <w:rPr>
          <w:lang w:val="en-AU"/>
        </w:rPr>
        <w:t xml:space="preserve">75% reported using </w:t>
      </w:r>
      <w:proofErr w:type="spellStart"/>
      <w:r w:rsidR="007A5715" w:rsidRPr="002D680F">
        <w:rPr>
          <w:b/>
          <w:lang w:val="en-AU"/>
        </w:rPr>
        <w:t>artemisinin</w:t>
      </w:r>
      <w:proofErr w:type="spellEnd"/>
      <w:r w:rsidR="007A5715" w:rsidRPr="002D680F">
        <w:rPr>
          <w:b/>
          <w:lang w:val="en-AU"/>
        </w:rPr>
        <w:t xml:space="preserve"> combination therapy</w:t>
      </w:r>
      <w:r w:rsidR="007A5715" w:rsidRPr="00206B06">
        <w:rPr>
          <w:lang w:val="en-AU"/>
        </w:rPr>
        <w:t xml:space="preserve"> (ACT) </w:t>
      </w:r>
      <w:r>
        <w:rPr>
          <w:lang w:val="en-AU"/>
        </w:rPr>
        <w:t xml:space="preserve">(with some adding </w:t>
      </w:r>
      <w:proofErr w:type="spellStart"/>
      <w:r w:rsidR="007A5715" w:rsidRPr="00206B06">
        <w:rPr>
          <w:lang w:val="en-AU"/>
        </w:rPr>
        <w:t>artemether</w:t>
      </w:r>
      <w:proofErr w:type="spellEnd"/>
      <w:r w:rsidR="007A5715" w:rsidRPr="00206B06">
        <w:rPr>
          <w:lang w:val="en-AU"/>
        </w:rPr>
        <w:t xml:space="preserve"> injection for severe infections</w:t>
      </w:r>
      <w:r>
        <w:rPr>
          <w:lang w:val="en-AU"/>
        </w:rPr>
        <w:t>);</w:t>
      </w:r>
    </w:p>
    <w:p w14:paraId="29432E02" w14:textId="77777777" w:rsidR="007A5715" w:rsidRDefault="00206B06" w:rsidP="00AD3F80">
      <w:pPr>
        <w:pStyle w:val="ListParagraph"/>
        <w:numPr>
          <w:ilvl w:val="0"/>
          <w:numId w:val="24"/>
        </w:numPr>
        <w:rPr>
          <w:lang w:val="en-AU"/>
        </w:rPr>
      </w:pPr>
      <w:r>
        <w:rPr>
          <w:lang w:val="en-AU"/>
        </w:rPr>
        <w:t>For prevention of post-partum bleeding in childbirth</w:t>
      </w:r>
      <w:r w:rsidR="00201AD7">
        <w:rPr>
          <w:lang w:val="en-AU"/>
        </w:rPr>
        <w:t>, 73%</w:t>
      </w:r>
      <w:r w:rsidR="007A5715" w:rsidRPr="00206B06">
        <w:rPr>
          <w:lang w:val="en-AU"/>
        </w:rPr>
        <w:t xml:space="preserve"> </w:t>
      </w:r>
      <w:r w:rsidR="002D680F">
        <w:rPr>
          <w:lang w:val="en-AU"/>
        </w:rPr>
        <w:t xml:space="preserve">reported using an </w:t>
      </w:r>
      <w:r w:rsidR="002D680F" w:rsidRPr="002D680F">
        <w:rPr>
          <w:b/>
          <w:lang w:val="en-AU"/>
        </w:rPr>
        <w:t>injectable oxytocic</w:t>
      </w:r>
      <w:r w:rsidR="002D680F">
        <w:rPr>
          <w:lang w:val="en-AU"/>
        </w:rPr>
        <w:t xml:space="preserve"> (oxytocin or </w:t>
      </w:r>
      <w:proofErr w:type="spellStart"/>
      <w:r w:rsidR="002D680F">
        <w:rPr>
          <w:lang w:val="en-AU"/>
        </w:rPr>
        <w:t>ergometrine</w:t>
      </w:r>
      <w:proofErr w:type="spellEnd"/>
      <w:r w:rsidR="002D680F">
        <w:rPr>
          <w:lang w:val="en-AU"/>
        </w:rPr>
        <w:t xml:space="preserve">) but only 30% reported using the oral alternative, </w:t>
      </w:r>
      <w:r w:rsidR="002D680F" w:rsidRPr="002D680F">
        <w:rPr>
          <w:b/>
          <w:lang w:val="en-AU"/>
        </w:rPr>
        <w:t>misoprostol</w:t>
      </w:r>
      <w:r w:rsidR="002D680F">
        <w:rPr>
          <w:lang w:val="en-AU"/>
        </w:rPr>
        <w:t>.</w:t>
      </w:r>
    </w:p>
    <w:p w14:paraId="70938A57" w14:textId="77777777" w:rsidR="00F47A10" w:rsidRDefault="00F47A10" w:rsidP="002D680F">
      <w:pPr>
        <w:rPr>
          <w:lang w:val="en-AU"/>
        </w:rPr>
      </w:pPr>
    </w:p>
    <w:p w14:paraId="1148C198" w14:textId="77777777" w:rsidR="00201AD7" w:rsidRPr="002D680F" w:rsidRDefault="00201AD7" w:rsidP="002D680F">
      <w:pPr>
        <w:rPr>
          <w:lang w:val="en-AU"/>
        </w:rPr>
      </w:pPr>
      <w:r w:rsidRPr="002D680F">
        <w:rPr>
          <w:lang w:val="en-AU"/>
        </w:rPr>
        <w:t>Compliance with STGs, in terms of giving the correct medicine for a condition was not significantly higher at hospitals than HCs or APs, if anything it was slightly higher in APs for all conditions except for prevention of post-partum bleeding.</w:t>
      </w:r>
    </w:p>
    <w:p w14:paraId="2F37A6E8" w14:textId="77777777" w:rsidR="00206B06" w:rsidRDefault="00206B06" w:rsidP="00E16C77">
      <w:pPr>
        <w:rPr>
          <w:lang w:val="en-AU"/>
        </w:rPr>
      </w:pPr>
    </w:p>
    <w:p w14:paraId="050ADF16" w14:textId="77777777" w:rsidR="007A5715" w:rsidRPr="00760CE9" w:rsidRDefault="002D680F" w:rsidP="00E16C77">
      <w:pPr>
        <w:rPr>
          <w:lang w:val="en-AU"/>
        </w:rPr>
      </w:pPr>
      <w:r w:rsidRPr="00760CE9">
        <w:rPr>
          <w:lang w:val="en-AU"/>
        </w:rPr>
        <w:t>Proportion of staff who gave an un-needed medicine for a condition included:</w:t>
      </w:r>
    </w:p>
    <w:p w14:paraId="0D1D0971" w14:textId="5A1DDE5B" w:rsidR="0012024D" w:rsidRPr="00760CE9" w:rsidRDefault="008113E4" w:rsidP="00AD3F80">
      <w:pPr>
        <w:pStyle w:val="ListParagraph"/>
        <w:numPr>
          <w:ilvl w:val="0"/>
          <w:numId w:val="25"/>
        </w:numPr>
        <w:rPr>
          <w:lang w:val="en-AU"/>
        </w:rPr>
      </w:pPr>
      <w:r w:rsidRPr="00760CE9">
        <w:rPr>
          <w:lang w:val="en-AU"/>
        </w:rPr>
        <w:t>For children under five</w:t>
      </w:r>
      <w:r w:rsidR="002D680F" w:rsidRPr="00760CE9">
        <w:rPr>
          <w:lang w:val="en-AU"/>
        </w:rPr>
        <w:t xml:space="preserve"> years of age treated for diarrhoea, </w:t>
      </w:r>
      <w:r w:rsidR="0012024D" w:rsidRPr="00760CE9">
        <w:rPr>
          <w:lang w:val="en-AU"/>
        </w:rPr>
        <w:t xml:space="preserve">62% </w:t>
      </w:r>
      <w:r w:rsidR="002D680F" w:rsidRPr="00760CE9">
        <w:rPr>
          <w:lang w:val="en-AU"/>
        </w:rPr>
        <w:t xml:space="preserve">reported using </w:t>
      </w:r>
      <w:r w:rsidR="0012024D" w:rsidRPr="00760CE9">
        <w:rPr>
          <w:lang w:val="en-AU"/>
        </w:rPr>
        <w:t xml:space="preserve">an </w:t>
      </w:r>
      <w:r w:rsidR="0012024D" w:rsidRPr="00760CE9">
        <w:rPr>
          <w:b/>
          <w:lang w:val="en-AU"/>
        </w:rPr>
        <w:t>anti-worming</w:t>
      </w:r>
      <w:r w:rsidR="0012024D" w:rsidRPr="00760CE9">
        <w:rPr>
          <w:lang w:val="en-AU"/>
        </w:rPr>
        <w:t xml:space="preserve"> </w:t>
      </w:r>
      <w:r w:rsidR="002D680F" w:rsidRPr="00760CE9">
        <w:rPr>
          <w:lang w:val="en-AU"/>
        </w:rPr>
        <w:t>medicine</w:t>
      </w:r>
      <w:r w:rsidR="0012024D" w:rsidRPr="00760CE9">
        <w:rPr>
          <w:lang w:val="en-AU"/>
        </w:rPr>
        <w:t xml:space="preserve"> and 54% </w:t>
      </w:r>
      <w:r w:rsidR="002D680F" w:rsidRPr="00760CE9">
        <w:rPr>
          <w:lang w:val="en-AU"/>
        </w:rPr>
        <w:t xml:space="preserve">reported using </w:t>
      </w:r>
      <w:r w:rsidR="0012024D" w:rsidRPr="00760CE9">
        <w:rPr>
          <w:lang w:val="en-AU"/>
        </w:rPr>
        <w:t xml:space="preserve">an </w:t>
      </w:r>
      <w:r w:rsidR="0012024D" w:rsidRPr="00760CE9">
        <w:rPr>
          <w:b/>
          <w:lang w:val="en-AU"/>
        </w:rPr>
        <w:t>antibiotic</w:t>
      </w:r>
      <w:r w:rsidR="00436F0E" w:rsidRPr="00760CE9">
        <w:rPr>
          <w:lang w:val="en-AU"/>
        </w:rPr>
        <w:t>;</w:t>
      </w:r>
    </w:p>
    <w:p w14:paraId="2DFFDB3D" w14:textId="399100AD" w:rsidR="00206B06" w:rsidRPr="00760CE9" w:rsidRDefault="00206B06" w:rsidP="00AD3F80">
      <w:pPr>
        <w:pStyle w:val="ListParagraph"/>
        <w:numPr>
          <w:ilvl w:val="0"/>
          <w:numId w:val="25"/>
        </w:numPr>
        <w:rPr>
          <w:lang w:val="en-AU"/>
        </w:rPr>
      </w:pPr>
      <w:r w:rsidRPr="00760CE9">
        <w:rPr>
          <w:lang w:val="en-AU"/>
        </w:rPr>
        <w:t xml:space="preserve">Among treatment for upper respiratory tract infections (URTI) in any age, overall 75% reported using an </w:t>
      </w:r>
      <w:r w:rsidRPr="00760CE9">
        <w:rPr>
          <w:b/>
          <w:lang w:val="en-AU"/>
        </w:rPr>
        <w:t>antibiotic</w:t>
      </w:r>
      <w:r w:rsidR="002D680F" w:rsidRPr="00760CE9">
        <w:rPr>
          <w:b/>
          <w:lang w:val="en-AU"/>
        </w:rPr>
        <w:t>;</w:t>
      </w:r>
      <w:r w:rsidR="00436F0E" w:rsidRPr="00760CE9">
        <w:rPr>
          <w:b/>
          <w:lang w:val="en-AU"/>
        </w:rPr>
        <w:t xml:space="preserve"> and</w:t>
      </w:r>
    </w:p>
    <w:p w14:paraId="4B8A8CED" w14:textId="77777777" w:rsidR="00206B06" w:rsidRPr="00760CE9" w:rsidRDefault="002D680F" w:rsidP="00AD3F80">
      <w:pPr>
        <w:pStyle w:val="ListParagraph"/>
        <w:numPr>
          <w:ilvl w:val="0"/>
          <w:numId w:val="25"/>
        </w:numPr>
        <w:rPr>
          <w:lang w:val="en-AU"/>
        </w:rPr>
      </w:pPr>
      <w:r w:rsidRPr="00760CE9">
        <w:rPr>
          <w:lang w:val="en-AU"/>
        </w:rPr>
        <w:t xml:space="preserve">For adults with malaria, </w:t>
      </w:r>
      <w:r w:rsidR="00C44022" w:rsidRPr="00760CE9">
        <w:rPr>
          <w:lang w:val="en-AU"/>
        </w:rPr>
        <w:t xml:space="preserve">49% reported using an </w:t>
      </w:r>
      <w:r w:rsidR="00C44022" w:rsidRPr="00760CE9">
        <w:rPr>
          <w:b/>
          <w:lang w:val="en-AU"/>
        </w:rPr>
        <w:t>older antimalarial</w:t>
      </w:r>
      <w:r w:rsidR="00C44022" w:rsidRPr="00760CE9">
        <w:rPr>
          <w:lang w:val="en-AU"/>
        </w:rPr>
        <w:t xml:space="preserve"> (such as </w:t>
      </w:r>
      <w:proofErr w:type="spellStart"/>
      <w:r w:rsidR="00C44022" w:rsidRPr="00760CE9">
        <w:rPr>
          <w:lang w:val="en-AU"/>
        </w:rPr>
        <w:t>chloroquine</w:t>
      </w:r>
      <w:proofErr w:type="spellEnd"/>
      <w:r w:rsidR="00C44022" w:rsidRPr="00760CE9">
        <w:rPr>
          <w:lang w:val="en-AU"/>
        </w:rPr>
        <w:t xml:space="preserve"> and </w:t>
      </w:r>
      <w:proofErr w:type="spellStart"/>
      <w:r w:rsidR="00C44022" w:rsidRPr="00760CE9">
        <w:rPr>
          <w:lang w:val="en-AU"/>
        </w:rPr>
        <w:t>sulfadoxine</w:t>
      </w:r>
      <w:proofErr w:type="spellEnd"/>
      <w:r w:rsidR="00C44022" w:rsidRPr="00760CE9">
        <w:rPr>
          <w:lang w:val="en-AU"/>
        </w:rPr>
        <w:t>/</w:t>
      </w:r>
      <w:proofErr w:type="spellStart"/>
      <w:r w:rsidR="00C44022" w:rsidRPr="00760CE9">
        <w:rPr>
          <w:lang w:val="en-AU"/>
        </w:rPr>
        <w:t>pyrimethamine</w:t>
      </w:r>
      <w:proofErr w:type="spellEnd"/>
      <w:r w:rsidR="00C44022" w:rsidRPr="00760CE9">
        <w:rPr>
          <w:lang w:val="en-AU"/>
        </w:rPr>
        <w:t>), with some stating they would only use this if the RDT was negative – noting a positive RDT required the use of ACT.</w:t>
      </w:r>
    </w:p>
    <w:p w14:paraId="1D4D2ACE" w14:textId="77777777" w:rsidR="00206B06" w:rsidRDefault="00206B06" w:rsidP="00470629">
      <w:pPr>
        <w:rPr>
          <w:lang w:val="en-AU"/>
        </w:rPr>
      </w:pPr>
    </w:p>
    <w:p w14:paraId="346FD7FC" w14:textId="77777777" w:rsidR="00C44022" w:rsidRPr="00760CE9" w:rsidRDefault="00C44022" w:rsidP="00470629">
      <w:pPr>
        <w:rPr>
          <w:lang w:val="en-AU"/>
        </w:rPr>
      </w:pPr>
      <w:r>
        <w:rPr>
          <w:lang w:val="en-AU"/>
        </w:rPr>
        <w:t>This represents a significant level of over-use of some medicines, especially antib</w:t>
      </w:r>
      <w:r w:rsidR="002971C5">
        <w:rPr>
          <w:lang w:val="en-AU"/>
        </w:rPr>
        <w:t>i</w:t>
      </w:r>
      <w:r>
        <w:rPr>
          <w:lang w:val="en-AU"/>
        </w:rPr>
        <w:t>otics</w:t>
      </w:r>
      <w:r w:rsidR="00FF0038">
        <w:rPr>
          <w:lang w:val="en-AU"/>
        </w:rPr>
        <w:t xml:space="preserve"> – which are the most commonly dispensed form of medicine (see below)</w:t>
      </w:r>
      <w:r>
        <w:rPr>
          <w:lang w:val="en-AU"/>
        </w:rPr>
        <w:t xml:space="preserve">.  The use of older </w:t>
      </w:r>
      <w:proofErr w:type="spellStart"/>
      <w:r>
        <w:rPr>
          <w:lang w:val="en-AU"/>
        </w:rPr>
        <w:t>antimalarials</w:t>
      </w:r>
      <w:proofErr w:type="spellEnd"/>
      <w:r>
        <w:rPr>
          <w:lang w:val="en-AU"/>
        </w:rPr>
        <w:t xml:space="preserve"> is also concerning, suggesting that health staff find it difficult to rely on the new RDTs (rather than simply the presence of fever) for diagnosis. </w:t>
      </w:r>
      <w:r w:rsidRPr="00760CE9">
        <w:rPr>
          <w:lang w:val="en-AU"/>
        </w:rPr>
        <w:t xml:space="preserve">This level of over-use is of concern because of the potential to contribute to drug resistance, as well as being wasteful of supplies.  It was notable that </w:t>
      </w:r>
      <w:r w:rsidR="00D860B3" w:rsidRPr="00760CE9">
        <w:rPr>
          <w:lang w:val="en-AU"/>
        </w:rPr>
        <w:t>this over-use was more common at HC and AP levels than at hospitals in our survey.</w:t>
      </w:r>
    </w:p>
    <w:p w14:paraId="41BDAC66" w14:textId="77777777" w:rsidR="00D860B3" w:rsidRPr="00760CE9" w:rsidRDefault="00D860B3" w:rsidP="002D680F">
      <w:pPr>
        <w:rPr>
          <w:lang w:val="en-AU"/>
        </w:rPr>
      </w:pPr>
    </w:p>
    <w:p w14:paraId="248B9455" w14:textId="5798382D" w:rsidR="002971C5" w:rsidRPr="00760CE9" w:rsidRDefault="00470629" w:rsidP="002971C5">
      <w:pPr>
        <w:rPr>
          <w:lang w:val="en-AU"/>
        </w:rPr>
      </w:pPr>
      <w:r w:rsidRPr="00760CE9">
        <w:rPr>
          <w:lang w:val="en-AU"/>
        </w:rPr>
        <w:t xml:space="preserve">Rational prescribing requires ongoing training and improvement with only 54% of the most senior prescriber at HFs having received some rational </w:t>
      </w:r>
      <w:r w:rsidR="00181A53" w:rsidRPr="00760CE9">
        <w:rPr>
          <w:lang w:val="en-AU"/>
        </w:rPr>
        <w:t>medicine</w:t>
      </w:r>
      <w:r w:rsidRPr="00760CE9">
        <w:rPr>
          <w:lang w:val="en-AU"/>
        </w:rPr>
        <w:t xml:space="preserve"> use/clinical training update in the last 3 years. Overall 58% of facilities had </w:t>
      </w:r>
      <w:r w:rsidRPr="00760CE9">
        <w:rPr>
          <w:i/>
          <w:lang w:val="en-AU"/>
        </w:rPr>
        <w:t>all</w:t>
      </w:r>
      <w:r w:rsidRPr="00760CE9">
        <w:rPr>
          <w:lang w:val="en-AU"/>
        </w:rPr>
        <w:t xml:space="preserve"> the surveyed STGs /EMLs/National Formulary of which 58% were the latest editions. Availability was low compare to </w:t>
      </w:r>
      <w:r w:rsidR="00D860B3" w:rsidRPr="00760CE9">
        <w:rPr>
          <w:lang w:val="en-AU"/>
        </w:rPr>
        <w:t>regional WHO measures</w:t>
      </w:r>
      <w:r w:rsidR="006D4F4F" w:rsidRPr="00760CE9">
        <w:rPr>
          <w:lang w:val="en-AU"/>
        </w:rPr>
        <w:fldChar w:fldCharType="begin"/>
      </w:r>
      <w:r w:rsidR="00D860B3" w:rsidRPr="00760CE9">
        <w:rPr>
          <w:lang w:val="en-AU"/>
        </w:rPr>
        <w:instrText xml:space="preserve"> ADDIN EN.CITE &lt;EndNote&gt;&lt;Cite&gt;&lt;Author&gt;World Health Organization&lt;/Author&gt;&lt;Year&gt;2011&lt;/Year&gt;&lt;RecNum&gt;56&lt;/RecNum&gt;&lt;DisplayText&gt;[5]&lt;/DisplayText&gt;&lt;record&gt;&lt;rec-number&gt;56&lt;/rec-number&gt;&lt;foreign-keys&gt;&lt;key app="EN" db-id="ex5s0vddkzxdfhese5yvf5vke2ree5azrt5t"&gt;56&lt;/key&gt;&lt;/foreign-keys&gt;&lt;ref-type name="Report"&gt;27&lt;/ref-type&gt;&lt;contributors&gt;&lt;authors&gt;&lt;author&gt;World Health Organization,&lt;/author&gt;&lt;/authors&gt;&lt;/contributors&gt;&lt;titles&gt;&lt;title&gt;Synthesis Report of Pharmaceutical Country Profiles 2011 (DRAFT)&lt;/title&gt;&lt;/titles&gt;&lt;dates&gt;&lt;year&gt;2011&lt;/year&gt;&lt;/dates&gt;&lt;pub-location&gt;Manila&lt;/pub-location&gt;&lt;publisher&gt;Western Pacific Regional Office of WHO&lt;/publisher&gt;&lt;urls&gt;&lt;/urls&gt;&lt;/record&gt;&lt;/Cite&gt;&lt;/EndNote&gt;</w:instrText>
      </w:r>
      <w:r w:rsidR="006D4F4F" w:rsidRPr="00760CE9">
        <w:rPr>
          <w:lang w:val="en-AU"/>
        </w:rPr>
        <w:fldChar w:fldCharType="separate"/>
      </w:r>
      <w:r w:rsidR="00D860B3" w:rsidRPr="00760CE9">
        <w:rPr>
          <w:noProof/>
          <w:lang w:val="en-AU"/>
        </w:rPr>
        <w:t>[</w:t>
      </w:r>
      <w:hyperlink w:anchor="_ENREF_5" w:tooltip="World Health Organization, 2011 #56" w:history="1">
        <w:r w:rsidR="00E62392" w:rsidRPr="00760CE9">
          <w:rPr>
            <w:noProof/>
            <w:lang w:val="en-AU"/>
          </w:rPr>
          <w:t>5</w:t>
        </w:r>
      </w:hyperlink>
      <w:r w:rsidR="00D860B3" w:rsidRPr="00760CE9">
        <w:rPr>
          <w:noProof/>
          <w:lang w:val="en-AU"/>
        </w:rPr>
        <w:t>]</w:t>
      </w:r>
      <w:r w:rsidR="006D4F4F" w:rsidRPr="00760CE9">
        <w:rPr>
          <w:lang w:val="en-AU"/>
        </w:rPr>
        <w:fldChar w:fldCharType="end"/>
      </w:r>
      <w:r w:rsidR="00D860B3" w:rsidRPr="00760CE9">
        <w:rPr>
          <w:lang w:val="en-AU"/>
        </w:rPr>
        <w:t xml:space="preserve"> </w:t>
      </w:r>
      <w:r w:rsidRPr="00760CE9">
        <w:rPr>
          <w:lang w:val="en-AU"/>
        </w:rPr>
        <w:t>which indicated a copy of STGs was present in approximately 82% of public health</w:t>
      </w:r>
      <w:r w:rsidR="00D860B3" w:rsidRPr="00760CE9">
        <w:rPr>
          <w:lang w:val="en-AU"/>
        </w:rPr>
        <w:t xml:space="preserve"> facilities in the region</w:t>
      </w:r>
      <w:r w:rsidRPr="00760CE9">
        <w:rPr>
          <w:lang w:val="en-AU"/>
        </w:rPr>
        <w:t>.</w:t>
      </w:r>
      <w:r w:rsidR="002971C5" w:rsidRPr="00760CE9">
        <w:rPr>
          <w:lang w:val="en-AU"/>
        </w:rPr>
        <w:t xml:space="preserve"> </w:t>
      </w:r>
    </w:p>
    <w:p w14:paraId="19C63B1A" w14:textId="77777777" w:rsidR="002971C5" w:rsidRPr="00760CE9" w:rsidRDefault="002971C5" w:rsidP="002971C5">
      <w:pPr>
        <w:rPr>
          <w:lang w:val="en-AU"/>
        </w:rPr>
      </w:pPr>
    </w:p>
    <w:p w14:paraId="64D60D17" w14:textId="46E82538" w:rsidR="002971C5" w:rsidRPr="00760CE9" w:rsidRDefault="002971C5" w:rsidP="002971C5">
      <w:pPr>
        <w:rPr>
          <w:lang w:val="en-AU"/>
        </w:rPr>
      </w:pPr>
      <w:r w:rsidRPr="00760CE9">
        <w:rPr>
          <w:lang w:val="en-AU"/>
        </w:rPr>
        <w:t xml:space="preserve">Two of our survey tracer medicines that are in the EML, zinc tablets and </w:t>
      </w:r>
      <w:proofErr w:type="spellStart"/>
      <w:r w:rsidRPr="00760CE9">
        <w:rPr>
          <w:lang w:val="en-AU"/>
        </w:rPr>
        <w:t>artesunate</w:t>
      </w:r>
      <w:proofErr w:type="spellEnd"/>
      <w:r w:rsidRPr="00760CE9">
        <w:rPr>
          <w:lang w:val="en-AU"/>
        </w:rPr>
        <w:t xml:space="preserve"> suppository, were under-used, despite being available in facilities, with the reason reported as lack of staff training.  Although the 100%</w:t>
      </w:r>
      <w:r w:rsidR="00720525" w:rsidRPr="00760CE9">
        <w:rPr>
          <w:lang w:val="en-AU"/>
        </w:rPr>
        <w:t xml:space="preserve"> kits</w:t>
      </w:r>
      <w:r w:rsidRPr="00760CE9">
        <w:rPr>
          <w:lang w:val="en-AU"/>
        </w:rPr>
        <w:t xml:space="preserve"> are distributed with an information booklet providing details of new medicines, this may need revision or supplementation. Qualitative findings included recommendations that the dosing information in the booklets delivered with the kits could be more user friendly, especially in weight-based dosing schedules for children. </w:t>
      </w:r>
    </w:p>
    <w:p w14:paraId="02C1117D" w14:textId="77777777" w:rsidR="002971C5" w:rsidRPr="00760CE9" w:rsidRDefault="002971C5" w:rsidP="002971C5">
      <w:pPr>
        <w:rPr>
          <w:lang w:val="en-AU"/>
        </w:rPr>
      </w:pPr>
    </w:p>
    <w:p w14:paraId="43C88BA0" w14:textId="3CAF9419" w:rsidR="002971C5" w:rsidRPr="002971C5" w:rsidRDefault="002971C5" w:rsidP="002971C5">
      <w:pPr>
        <w:rPr>
          <w:lang w:val="en-AU"/>
        </w:rPr>
      </w:pPr>
      <w:r w:rsidRPr="00760CE9">
        <w:rPr>
          <w:lang w:val="en-AU"/>
        </w:rPr>
        <w:t xml:space="preserve">Another source of confusion was some health facility workers’ found it difficult to distinguish between the generic name and brand name of the medicines, for example most staff only understood </w:t>
      </w:r>
      <w:proofErr w:type="spellStart"/>
      <w:r w:rsidRPr="00760CE9">
        <w:rPr>
          <w:lang w:val="en-AU"/>
        </w:rPr>
        <w:t>medroxyprogesterone</w:t>
      </w:r>
      <w:proofErr w:type="spellEnd"/>
      <w:r w:rsidRPr="00760CE9">
        <w:rPr>
          <w:lang w:val="en-AU"/>
        </w:rPr>
        <w:t xml:space="preserve"> injection when it was mentioned as “depot”. Similarly staff did not know </w:t>
      </w:r>
      <w:proofErr w:type="spellStart"/>
      <w:r w:rsidRPr="00760CE9">
        <w:rPr>
          <w:lang w:val="en-AU"/>
        </w:rPr>
        <w:t>Plasmotrim</w:t>
      </w:r>
      <w:proofErr w:type="spellEnd"/>
      <w:r w:rsidRPr="00760CE9">
        <w:rPr>
          <w:lang w:val="en-AU"/>
        </w:rPr>
        <w:t xml:space="preserve">™ was </w:t>
      </w:r>
      <w:proofErr w:type="spellStart"/>
      <w:r w:rsidRPr="00760CE9">
        <w:rPr>
          <w:lang w:val="en-AU"/>
        </w:rPr>
        <w:t>artesunate</w:t>
      </w:r>
      <w:proofErr w:type="spellEnd"/>
      <w:r w:rsidRPr="00760CE9">
        <w:rPr>
          <w:lang w:val="en-AU"/>
        </w:rPr>
        <w:t>. As medicines are increasingly provided under generic names</w:t>
      </w:r>
      <w:r w:rsidR="00436F0E" w:rsidRPr="00760CE9">
        <w:rPr>
          <w:lang w:val="en-AU"/>
        </w:rPr>
        <w:t>,</w:t>
      </w:r>
      <w:r w:rsidRPr="00760CE9">
        <w:rPr>
          <w:lang w:val="en-AU"/>
        </w:rPr>
        <w:t xml:space="preserve"> (as is the case in the 100% kits), specific communication materials on this issue may help improve rational use of medicines.</w:t>
      </w:r>
    </w:p>
    <w:p w14:paraId="7FA16133" w14:textId="77777777" w:rsidR="00470629" w:rsidRDefault="00470629" w:rsidP="00470629">
      <w:pPr>
        <w:rPr>
          <w:lang w:val="en-AU"/>
        </w:rPr>
      </w:pPr>
    </w:p>
    <w:p w14:paraId="3ABD1B68" w14:textId="2725E981" w:rsidR="00A079FE" w:rsidRPr="00E27200" w:rsidRDefault="00A079FE" w:rsidP="00470629">
      <w:pPr>
        <w:rPr>
          <w:lang w:val="en-AU"/>
        </w:rPr>
      </w:pPr>
      <w:r>
        <w:rPr>
          <w:lang w:val="en-AU"/>
        </w:rPr>
        <w:lastRenderedPageBreak/>
        <w:t xml:space="preserve">As noted in Section 3, some revision of the level of facility to which medicines are distributed will be helpful. Some </w:t>
      </w:r>
      <w:r w:rsidRPr="002971C5">
        <w:rPr>
          <w:lang w:val="en-AU"/>
        </w:rPr>
        <w:t xml:space="preserve">health facility workers reported delivery of category B and C </w:t>
      </w:r>
      <w:r w:rsidR="006006DB">
        <w:rPr>
          <w:lang w:val="en-AU"/>
        </w:rPr>
        <w:t>medicines</w:t>
      </w:r>
      <w:r w:rsidR="004E7AF7">
        <w:rPr>
          <w:lang w:val="en-AU"/>
        </w:rPr>
        <w:t xml:space="preserve"> </w:t>
      </w:r>
      <w:r w:rsidRPr="002971C5">
        <w:rPr>
          <w:lang w:val="en-AU"/>
        </w:rPr>
        <w:t>(requiring a doctor or specialist) in the kits</w:t>
      </w:r>
      <w:r>
        <w:rPr>
          <w:lang w:val="en-AU"/>
        </w:rPr>
        <w:t>,</w:t>
      </w:r>
      <w:r w:rsidRPr="002971C5">
        <w:rPr>
          <w:lang w:val="en-AU"/>
        </w:rPr>
        <w:t xml:space="preserve"> which could not be used because there were no doctors at the facility.</w:t>
      </w:r>
      <w:r w:rsidR="00E335D6">
        <w:rPr>
          <w:lang w:val="en-AU"/>
        </w:rPr>
        <w:t xml:space="preserve"> Central sources noted that this was part of an intentional strategy to improve access, in the hope that such medicines could be used if a medical officer provided remote authorization by phone or radio.</w:t>
      </w:r>
      <w:r w:rsidRPr="002971C5">
        <w:rPr>
          <w:lang w:val="en-AU"/>
        </w:rPr>
        <w:t xml:space="preserve"> Some of these kit </w:t>
      </w:r>
      <w:r>
        <w:rPr>
          <w:lang w:val="en-AU"/>
        </w:rPr>
        <w:t>medicines (e</w:t>
      </w:r>
      <w:r w:rsidR="00436F0E">
        <w:rPr>
          <w:lang w:val="en-AU"/>
        </w:rPr>
        <w:t>.</w:t>
      </w:r>
      <w:r>
        <w:rPr>
          <w:lang w:val="en-AU"/>
        </w:rPr>
        <w:t>g</w:t>
      </w:r>
      <w:r w:rsidR="00436F0E">
        <w:rPr>
          <w:lang w:val="en-AU"/>
        </w:rPr>
        <w:t>.</w:t>
      </w:r>
      <w:r>
        <w:rPr>
          <w:lang w:val="en-AU"/>
        </w:rPr>
        <w:t>:</w:t>
      </w:r>
      <w:r w:rsidRPr="002971C5">
        <w:rPr>
          <w:lang w:val="en-AU"/>
        </w:rPr>
        <w:t xml:space="preserve"> carbamazepine and hydrochlorothiazide) do not have dosing information in STG</w:t>
      </w:r>
      <w:r>
        <w:rPr>
          <w:lang w:val="en-AU"/>
        </w:rPr>
        <w:t>s</w:t>
      </w:r>
      <w:r w:rsidRPr="002971C5">
        <w:rPr>
          <w:lang w:val="en-AU"/>
        </w:rPr>
        <w:t>. Lastly the STG</w:t>
      </w:r>
      <w:r>
        <w:rPr>
          <w:lang w:val="en-AU"/>
        </w:rPr>
        <w:t>s</w:t>
      </w:r>
      <w:r w:rsidRPr="002971C5">
        <w:rPr>
          <w:lang w:val="en-AU"/>
        </w:rPr>
        <w:t xml:space="preserve"> are written for “Nurses, Health </w:t>
      </w:r>
      <w:r>
        <w:rPr>
          <w:lang w:val="en-AU"/>
        </w:rPr>
        <w:t xml:space="preserve">Extension Officers and Doctors”, rather than for </w:t>
      </w:r>
      <w:r w:rsidRPr="002971C5">
        <w:rPr>
          <w:lang w:val="en-AU"/>
        </w:rPr>
        <w:t>Community Health Workers</w:t>
      </w:r>
      <w:r>
        <w:rPr>
          <w:lang w:val="en-AU"/>
        </w:rPr>
        <w:t>, who commonly staff</w:t>
      </w:r>
      <w:r w:rsidRPr="002971C5">
        <w:rPr>
          <w:lang w:val="en-AU"/>
        </w:rPr>
        <w:t xml:space="preserve"> APs</w:t>
      </w:r>
      <w:r>
        <w:rPr>
          <w:lang w:val="en-AU"/>
        </w:rPr>
        <w:t xml:space="preserve"> (66% in our survey)</w:t>
      </w:r>
      <w:r w:rsidRPr="002971C5">
        <w:rPr>
          <w:lang w:val="en-AU"/>
        </w:rPr>
        <w:t xml:space="preserve">. </w:t>
      </w:r>
      <w:r>
        <w:rPr>
          <w:lang w:val="en-AU"/>
        </w:rPr>
        <w:t>Feedback from</w:t>
      </w:r>
      <w:r w:rsidRPr="002971C5">
        <w:rPr>
          <w:lang w:val="en-AU"/>
        </w:rPr>
        <w:t xml:space="preserve"> health manager’s feedback (Annex </w:t>
      </w:r>
      <w:r w:rsidR="000E2144">
        <w:rPr>
          <w:lang w:val="en-AU"/>
        </w:rPr>
        <w:t>11</w:t>
      </w:r>
      <w:r w:rsidRPr="002971C5">
        <w:rPr>
          <w:lang w:val="en-AU"/>
        </w:rPr>
        <w:t xml:space="preserve">.4) was </w:t>
      </w:r>
      <w:r>
        <w:rPr>
          <w:lang w:val="en-AU"/>
        </w:rPr>
        <w:t xml:space="preserve">also </w:t>
      </w:r>
      <w:r w:rsidRPr="002971C5">
        <w:rPr>
          <w:lang w:val="en-AU"/>
        </w:rPr>
        <w:t>in accordance with these findings.</w:t>
      </w:r>
    </w:p>
    <w:p w14:paraId="03D13555" w14:textId="77777777" w:rsidR="00470629" w:rsidRDefault="00470629" w:rsidP="00E16C77">
      <w:pPr>
        <w:ind w:left="-709"/>
        <w:rPr>
          <w:lang w:val="en-AU"/>
        </w:rPr>
      </w:pPr>
    </w:p>
    <w:p w14:paraId="0BF7BB79" w14:textId="77777777" w:rsidR="00FF0038" w:rsidRDefault="00FF0038" w:rsidP="00FF0038">
      <w:pPr>
        <w:pStyle w:val="Heading3"/>
      </w:pPr>
      <w:r>
        <w:t xml:space="preserve">Different medicines dispensed, and dispensing practices </w:t>
      </w:r>
    </w:p>
    <w:p w14:paraId="39DFD046" w14:textId="6889DF41" w:rsidR="00FF0038" w:rsidRDefault="00FF0038" w:rsidP="00FF0038">
      <w:pPr>
        <w:rPr>
          <w:lang w:val="en-AU"/>
        </w:rPr>
      </w:pPr>
      <w:r>
        <w:rPr>
          <w:lang w:val="en-AU"/>
        </w:rPr>
        <w:t xml:space="preserve">The survey provided an opportunity to review the types of </w:t>
      </w:r>
      <w:r w:rsidR="00E340FC">
        <w:rPr>
          <w:lang w:val="en-AU"/>
        </w:rPr>
        <w:t>medicines commonly dispensed at</w:t>
      </w:r>
      <w:r>
        <w:rPr>
          <w:lang w:val="en-AU"/>
        </w:rPr>
        <w:t xml:space="preserve"> HFs in PNG.  </w:t>
      </w:r>
      <w:r w:rsidRPr="00E27200">
        <w:rPr>
          <w:lang w:val="en-AU"/>
        </w:rPr>
        <w:t xml:space="preserve">Among </w:t>
      </w:r>
      <w:r>
        <w:rPr>
          <w:lang w:val="en-AU"/>
        </w:rPr>
        <w:t xml:space="preserve">the </w:t>
      </w:r>
      <w:r w:rsidRPr="00E27200">
        <w:rPr>
          <w:lang w:val="en-AU"/>
        </w:rPr>
        <w:t>1088 prescriptions</w:t>
      </w:r>
      <w:r>
        <w:rPr>
          <w:lang w:val="en-AU"/>
        </w:rPr>
        <w:t xml:space="preserve"> assessed after random selection of </w:t>
      </w:r>
      <w:r w:rsidRPr="00FF0038">
        <w:rPr>
          <w:i/>
          <w:lang w:val="en-AU"/>
        </w:rPr>
        <w:t>outpatients</w:t>
      </w:r>
      <w:r>
        <w:rPr>
          <w:lang w:val="en-AU"/>
        </w:rPr>
        <w:t xml:space="preserve"> in over 100 facilities:</w:t>
      </w:r>
    </w:p>
    <w:p w14:paraId="5A45D390" w14:textId="77777777" w:rsidR="00FF0038" w:rsidRDefault="00FF0038" w:rsidP="00AD3F80">
      <w:pPr>
        <w:pStyle w:val="ListParagraph"/>
        <w:numPr>
          <w:ilvl w:val="0"/>
          <w:numId w:val="26"/>
        </w:numPr>
        <w:rPr>
          <w:lang w:val="en-AU"/>
        </w:rPr>
      </w:pPr>
      <w:r w:rsidRPr="00FF0038">
        <w:rPr>
          <w:lang w:val="en-AU"/>
        </w:rPr>
        <w:t>36% were antibiotics</w:t>
      </w:r>
      <w:r>
        <w:rPr>
          <w:lang w:val="en-AU"/>
        </w:rPr>
        <w:t>;</w:t>
      </w:r>
    </w:p>
    <w:p w14:paraId="43D215C0" w14:textId="77777777" w:rsidR="00FF0038" w:rsidRDefault="00FF0038" w:rsidP="00AD3F80">
      <w:pPr>
        <w:pStyle w:val="ListParagraph"/>
        <w:numPr>
          <w:ilvl w:val="0"/>
          <w:numId w:val="26"/>
        </w:numPr>
        <w:rPr>
          <w:lang w:val="en-AU"/>
        </w:rPr>
      </w:pPr>
      <w:r w:rsidRPr="00FF0038">
        <w:rPr>
          <w:lang w:val="en-AU"/>
        </w:rPr>
        <w:t>27% were for analgesics</w:t>
      </w:r>
      <w:r>
        <w:rPr>
          <w:lang w:val="en-AU"/>
        </w:rPr>
        <w:t>;</w:t>
      </w:r>
      <w:r w:rsidRPr="00FF0038">
        <w:rPr>
          <w:lang w:val="en-AU"/>
        </w:rPr>
        <w:t xml:space="preserve"> </w:t>
      </w:r>
    </w:p>
    <w:p w14:paraId="6D9949CE" w14:textId="77777777" w:rsidR="00FF0038" w:rsidRDefault="00FF0038" w:rsidP="00AD3F80">
      <w:pPr>
        <w:pStyle w:val="ListParagraph"/>
        <w:numPr>
          <w:ilvl w:val="0"/>
          <w:numId w:val="26"/>
        </w:numPr>
        <w:rPr>
          <w:lang w:val="en-AU"/>
        </w:rPr>
      </w:pPr>
      <w:r w:rsidRPr="00FF0038">
        <w:rPr>
          <w:lang w:val="en-AU"/>
        </w:rPr>
        <w:t xml:space="preserve">14% </w:t>
      </w:r>
      <w:r>
        <w:rPr>
          <w:lang w:val="en-AU"/>
        </w:rPr>
        <w:t xml:space="preserve">were </w:t>
      </w:r>
      <w:proofErr w:type="spellStart"/>
      <w:r w:rsidR="00470883">
        <w:rPr>
          <w:lang w:val="en-AU"/>
        </w:rPr>
        <w:t>anti</w:t>
      </w:r>
      <w:r w:rsidRPr="00FF0038">
        <w:rPr>
          <w:lang w:val="en-AU"/>
        </w:rPr>
        <w:t>malarial</w:t>
      </w:r>
      <w:r>
        <w:rPr>
          <w:lang w:val="en-AU"/>
        </w:rPr>
        <w:t>s</w:t>
      </w:r>
      <w:proofErr w:type="spellEnd"/>
      <w:r>
        <w:rPr>
          <w:lang w:val="en-AU"/>
        </w:rPr>
        <w:t>;</w:t>
      </w:r>
    </w:p>
    <w:p w14:paraId="2CB1429F" w14:textId="77777777" w:rsidR="00FF0038" w:rsidRDefault="00FF0038" w:rsidP="00AD3F80">
      <w:pPr>
        <w:pStyle w:val="ListParagraph"/>
        <w:numPr>
          <w:ilvl w:val="0"/>
          <w:numId w:val="26"/>
        </w:numPr>
        <w:rPr>
          <w:lang w:val="en-AU"/>
        </w:rPr>
      </w:pPr>
      <w:r w:rsidRPr="00FF0038">
        <w:rPr>
          <w:lang w:val="en-AU"/>
        </w:rPr>
        <w:t xml:space="preserve">5% </w:t>
      </w:r>
      <w:r>
        <w:rPr>
          <w:lang w:val="en-AU"/>
        </w:rPr>
        <w:t xml:space="preserve">were </w:t>
      </w:r>
      <w:r w:rsidRPr="00FF0038">
        <w:rPr>
          <w:lang w:val="en-AU"/>
        </w:rPr>
        <w:t>anthelminthic</w:t>
      </w:r>
      <w:r>
        <w:rPr>
          <w:lang w:val="en-AU"/>
        </w:rPr>
        <w:t>.</w:t>
      </w:r>
    </w:p>
    <w:p w14:paraId="27559F10" w14:textId="77777777" w:rsidR="00FF0038" w:rsidRPr="00FF0038" w:rsidRDefault="00FF0038" w:rsidP="00FF0038">
      <w:pPr>
        <w:rPr>
          <w:lang w:val="en-AU"/>
        </w:rPr>
      </w:pPr>
    </w:p>
    <w:p w14:paraId="1AC3DF5D" w14:textId="456F0431" w:rsidR="00FF0038" w:rsidRPr="00FF0038" w:rsidRDefault="00FF0038" w:rsidP="00FF0038">
      <w:pPr>
        <w:rPr>
          <w:lang w:val="en-AU"/>
        </w:rPr>
      </w:pPr>
      <w:r w:rsidRPr="00FF0038">
        <w:rPr>
          <w:lang w:val="en-AU"/>
        </w:rPr>
        <w:t>If all anti-infective agents (e</w:t>
      </w:r>
      <w:r>
        <w:rPr>
          <w:lang w:val="en-AU"/>
        </w:rPr>
        <w:t xml:space="preserve">xcluding medicines for malaria) are combined, this estimates that </w:t>
      </w:r>
      <w:r w:rsidRPr="00FF0038">
        <w:rPr>
          <w:lang w:val="en-AU"/>
        </w:rPr>
        <w:t xml:space="preserve"> 45% of prescriptions were for anti-</w:t>
      </w:r>
      <w:proofErr w:type="spellStart"/>
      <w:r w:rsidRPr="00FF0038">
        <w:rPr>
          <w:lang w:val="en-AU"/>
        </w:rPr>
        <w:t>infectives</w:t>
      </w:r>
      <w:proofErr w:type="spellEnd"/>
      <w:r>
        <w:rPr>
          <w:lang w:val="en-AU"/>
        </w:rPr>
        <w:t>; this finding is similar to the WHO regional study</w:t>
      </w:r>
      <w:r w:rsidR="006D4F4F">
        <w:rPr>
          <w:lang w:val="en-AU"/>
        </w:rPr>
        <w:fldChar w:fldCharType="begin"/>
      </w:r>
      <w:r w:rsidR="00761EEB">
        <w:rPr>
          <w:lang w:val="en-AU"/>
        </w:rPr>
        <w:instrText xml:space="preserve"> ADDIN EN.CITE &lt;EndNote&gt;&lt;Cite&gt;&lt;Author&gt;World Health Organization&lt;/Author&gt;&lt;Year&gt;2011&lt;/Year&gt;&lt;RecNum&gt;56&lt;/RecNum&gt;&lt;DisplayText&gt;[5]&lt;/DisplayText&gt;&lt;record&gt;&lt;rec-number&gt;56&lt;/rec-number&gt;&lt;foreign-keys&gt;&lt;key app="EN" db-id="ex5s0vddkzxdfhese5yvf5vke2ree5azrt5t"&gt;56&lt;/key&gt;&lt;/foreign-keys&gt;&lt;ref-type name="Report"&gt;27&lt;/ref-type&gt;&lt;contributors&gt;&lt;authors&gt;&lt;author&gt;World Health Organization,&lt;/author&gt;&lt;/authors&gt;&lt;/contributors&gt;&lt;titles&gt;&lt;title&gt;Synthesis Report of Pharmaceutical Country Profiles 2011 (DRAFT)&lt;/title&gt;&lt;/titles&gt;&lt;dates&gt;&lt;year&gt;2011&lt;/year&gt;&lt;/dates&gt;&lt;pub-location&gt;Manila&lt;/pub-location&gt;&lt;publisher&gt;Western Pacific Regional Office of WHO&lt;/publisher&gt;&lt;urls&gt;&lt;/urls&gt;&lt;/record&gt;&lt;/Cite&gt;&lt;/EndNote&gt;</w:instrText>
      </w:r>
      <w:r w:rsidR="006D4F4F">
        <w:rPr>
          <w:lang w:val="en-AU"/>
        </w:rPr>
        <w:fldChar w:fldCharType="separate"/>
      </w:r>
      <w:r w:rsidR="00761EEB">
        <w:rPr>
          <w:noProof/>
          <w:lang w:val="en-AU"/>
        </w:rPr>
        <w:t>[</w:t>
      </w:r>
      <w:hyperlink w:anchor="_ENREF_5" w:tooltip="World Health Organization, 2011 #56" w:history="1">
        <w:r w:rsidR="00E62392">
          <w:rPr>
            <w:noProof/>
            <w:lang w:val="en-AU"/>
          </w:rPr>
          <w:t>5</w:t>
        </w:r>
      </w:hyperlink>
      <w:r w:rsidR="00761EEB">
        <w:rPr>
          <w:noProof/>
          <w:lang w:val="en-AU"/>
        </w:rPr>
        <w:t>]</w:t>
      </w:r>
      <w:r w:rsidR="006D4F4F">
        <w:rPr>
          <w:lang w:val="en-AU"/>
        </w:rPr>
        <w:fldChar w:fldCharType="end"/>
      </w:r>
      <w:r w:rsidR="00761EEB">
        <w:rPr>
          <w:lang w:val="en-AU"/>
        </w:rPr>
        <w:t xml:space="preserve"> that measured a </w:t>
      </w:r>
      <w:r w:rsidRPr="00FF0038">
        <w:rPr>
          <w:lang w:val="en-AU"/>
        </w:rPr>
        <w:t xml:space="preserve">regional mean percentage of patients receiving antibiotics </w:t>
      </w:r>
      <w:r w:rsidR="00761EEB">
        <w:rPr>
          <w:lang w:val="en-AU"/>
        </w:rPr>
        <w:t>at</w:t>
      </w:r>
      <w:r w:rsidRPr="00FF0038">
        <w:rPr>
          <w:lang w:val="en-AU"/>
        </w:rPr>
        <w:t xml:space="preserve"> 53%.</w:t>
      </w:r>
    </w:p>
    <w:p w14:paraId="675CAF40" w14:textId="77777777" w:rsidR="00FF0038" w:rsidRDefault="00FF0038" w:rsidP="00D860B3">
      <w:pPr>
        <w:rPr>
          <w:lang w:val="en-AU"/>
        </w:rPr>
      </w:pPr>
    </w:p>
    <w:p w14:paraId="69BC1A7E" w14:textId="2B07718A" w:rsidR="00F322D2" w:rsidRDefault="00D860B3" w:rsidP="001559A0">
      <w:pPr>
        <w:rPr>
          <w:lang w:val="en-AU"/>
        </w:rPr>
      </w:pPr>
      <w:r>
        <w:rPr>
          <w:lang w:val="en-AU"/>
        </w:rPr>
        <w:t>The survey also assessed dispensing practices</w:t>
      </w:r>
      <w:r w:rsidR="001559A0">
        <w:rPr>
          <w:lang w:val="en-AU"/>
        </w:rPr>
        <w:t xml:space="preserve"> for 1088 prescriptions</w:t>
      </w:r>
      <w:r>
        <w:rPr>
          <w:lang w:val="en-AU"/>
        </w:rPr>
        <w:t xml:space="preserve">, noting good dispensing is critical to ensuring that patients have the ability to use medicines accurately. </w:t>
      </w:r>
      <w:r w:rsidR="001559A0">
        <w:rPr>
          <w:lang w:val="en-AU"/>
        </w:rPr>
        <w:t xml:space="preserve"> </w:t>
      </w:r>
      <w:r w:rsidR="00F322D2" w:rsidRPr="00E27200">
        <w:rPr>
          <w:lang w:val="en-AU"/>
        </w:rPr>
        <w:t xml:space="preserve">Although 89% of patients </w:t>
      </w:r>
      <w:r w:rsidR="00E335D6">
        <w:rPr>
          <w:lang w:val="en-AU"/>
        </w:rPr>
        <w:t xml:space="preserve">reported that they </w:t>
      </w:r>
      <w:r w:rsidR="00F322D2" w:rsidRPr="00E27200">
        <w:rPr>
          <w:lang w:val="en-AU"/>
        </w:rPr>
        <w:t xml:space="preserve">understood how to take their </w:t>
      </w:r>
      <w:r w:rsidR="001559A0">
        <w:rPr>
          <w:lang w:val="en-AU"/>
        </w:rPr>
        <w:t>medicines</w:t>
      </w:r>
      <w:r w:rsidR="00F322D2" w:rsidRPr="00E27200">
        <w:rPr>
          <w:lang w:val="en-AU"/>
        </w:rPr>
        <w:t xml:space="preserve"> at the time of the interview (comparable to WHO 2004 data of 80-89%</w:t>
      </w:r>
      <w:r w:rsidR="001559A0">
        <w:rPr>
          <w:lang w:val="en-AU"/>
        </w:rPr>
        <w:t xml:space="preserve"> </w:t>
      </w:r>
      <w:r w:rsidR="006D4F4F">
        <w:rPr>
          <w:lang w:val="en-AU"/>
        </w:rPr>
        <w:fldChar w:fldCharType="begin"/>
      </w:r>
      <w:r w:rsidR="001559A0">
        <w:rPr>
          <w:lang w:val="en-AU"/>
        </w:rPr>
        <w:instrText xml:space="preserve"> ADDIN EN.CITE &lt;EndNote&gt;&lt;Cite&gt;&lt;Author&gt;World Health Organization&lt;/Author&gt;&lt;Year&gt;2006&lt;/Year&gt;&lt;RecNum&gt;57&lt;/RecNum&gt;&lt;DisplayText&gt;[7]&lt;/DisplayText&gt;&lt;record&gt;&lt;rec-number&gt;57&lt;/rec-number&gt;&lt;foreign-keys&gt;&lt;key app="EN" db-id="ex5s0vddkzxdfhese5yvf5vke2ree5azrt5t"&gt;57&lt;/key&gt;&lt;/foreign-keys&gt;&lt;ref-type name="Report"&gt;27&lt;/ref-type&gt;&lt;contributors&gt;&lt;authors&gt;&lt;author&gt;World Health Organization,&lt;/author&gt;&lt;/authors&gt;&lt;/contributors&gt;&lt;titles&gt;&lt;title&gt;Using indicators to measure country pharmaceutical situations. Fact Book on WHO Level I and Level II monitoring indicators&lt;/title&gt;&lt;/titles&gt;&lt;number&gt;WHO/TCM/2006.2 &lt;/number&gt;&lt;dates&gt;&lt;year&gt;2006&lt;/year&gt;&lt;/dates&gt;&lt;pub-location&gt;Geneva&lt;/pub-location&gt;&lt;publisher&gt;WHO&lt;/publisher&gt;&lt;urls&gt;&lt;/urls&gt;&lt;/record&gt;&lt;/Cite&gt;&lt;/EndNote&gt;</w:instrText>
      </w:r>
      <w:r w:rsidR="006D4F4F">
        <w:rPr>
          <w:lang w:val="en-AU"/>
        </w:rPr>
        <w:fldChar w:fldCharType="separate"/>
      </w:r>
      <w:r w:rsidR="001559A0">
        <w:rPr>
          <w:noProof/>
          <w:lang w:val="en-AU"/>
        </w:rPr>
        <w:t>[</w:t>
      </w:r>
      <w:hyperlink w:anchor="_ENREF_7" w:tooltip="World Health Organization, 2006 #57" w:history="1">
        <w:r w:rsidR="00E62392">
          <w:rPr>
            <w:noProof/>
            <w:lang w:val="en-AU"/>
          </w:rPr>
          <w:t>7</w:t>
        </w:r>
      </w:hyperlink>
      <w:r w:rsidR="001559A0">
        <w:rPr>
          <w:noProof/>
          <w:lang w:val="en-AU"/>
        </w:rPr>
        <w:t>]</w:t>
      </w:r>
      <w:r w:rsidR="006D4F4F">
        <w:rPr>
          <w:lang w:val="en-AU"/>
        </w:rPr>
        <w:fldChar w:fldCharType="end"/>
      </w:r>
      <w:r w:rsidR="00F322D2" w:rsidRPr="00E27200">
        <w:rPr>
          <w:lang w:val="en-AU"/>
        </w:rPr>
        <w:t>)</w:t>
      </w:r>
      <w:r w:rsidR="00E335D6">
        <w:rPr>
          <w:lang w:val="en-AU"/>
        </w:rPr>
        <w:t xml:space="preserve">. Good practice dictates that </w:t>
      </w:r>
      <w:r w:rsidR="009A622A">
        <w:rPr>
          <w:lang w:val="en-AU"/>
        </w:rPr>
        <w:t>verbal advice</w:t>
      </w:r>
      <w:r w:rsidR="00E335D6">
        <w:rPr>
          <w:lang w:val="en-AU"/>
        </w:rPr>
        <w:t xml:space="preserve"> is supplemented by the application of a patient-specific label by the dispenser, noting prescribing advice for that individual patient. This aspect of </w:t>
      </w:r>
      <w:r w:rsidR="00E335D6" w:rsidRPr="009A622A">
        <w:rPr>
          <w:lang w:val="en-AU"/>
        </w:rPr>
        <w:t>labelling</w:t>
      </w:r>
      <w:r w:rsidR="009A622A" w:rsidRPr="009A622A">
        <w:rPr>
          <w:rStyle w:val="FootnoteReference"/>
          <w:lang w:val="en-AU"/>
        </w:rPr>
        <w:footnoteReference w:id="32"/>
      </w:r>
      <w:r w:rsidR="00F322D2" w:rsidRPr="009A622A">
        <w:rPr>
          <w:lang w:val="en-AU"/>
        </w:rPr>
        <w:t xml:space="preserve"> was poor</w:t>
      </w:r>
      <w:r w:rsidR="009A622A">
        <w:rPr>
          <w:lang w:val="en-AU"/>
        </w:rPr>
        <w:t>,</w:t>
      </w:r>
      <w:r w:rsidR="00F322D2" w:rsidRPr="009A622A">
        <w:rPr>
          <w:lang w:val="en-AU"/>
        </w:rPr>
        <w:t xml:space="preserve"> with only 47% of medicines labelled with </w:t>
      </w:r>
      <w:r w:rsidR="001559A0" w:rsidRPr="009A622A">
        <w:rPr>
          <w:lang w:val="en-AU"/>
        </w:rPr>
        <w:t xml:space="preserve">all of </w:t>
      </w:r>
      <w:r w:rsidR="00F322D2" w:rsidRPr="009A622A">
        <w:rPr>
          <w:lang w:val="en-AU"/>
        </w:rPr>
        <w:t xml:space="preserve">a </w:t>
      </w:r>
      <w:r w:rsidR="001559A0" w:rsidRPr="009A622A">
        <w:rPr>
          <w:lang w:val="en-AU"/>
        </w:rPr>
        <w:t xml:space="preserve">medicine </w:t>
      </w:r>
      <w:r w:rsidR="00F322D2" w:rsidRPr="009A622A">
        <w:rPr>
          <w:lang w:val="en-AU"/>
        </w:rPr>
        <w:t>name, dose and duration of therapy.</w:t>
      </w:r>
      <w:r w:rsidR="00F322D2" w:rsidRPr="00E27200">
        <w:rPr>
          <w:lang w:val="en-AU"/>
        </w:rPr>
        <w:t xml:space="preserve"> </w:t>
      </w:r>
      <w:r w:rsidR="001559A0">
        <w:rPr>
          <w:lang w:val="en-AU"/>
        </w:rPr>
        <w:t xml:space="preserve">Proportions of prescription with good </w:t>
      </w:r>
      <w:r w:rsidR="00F322D2" w:rsidRPr="00E27200">
        <w:rPr>
          <w:lang w:val="en-AU"/>
        </w:rPr>
        <w:t xml:space="preserve">standards </w:t>
      </w:r>
      <w:r w:rsidR="009A622A">
        <w:rPr>
          <w:lang w:val="en-AU"/>
        </w:rPr>
        <w:t xml:space="preserve">of dispensing labelling </w:t>
      </w:r>
      <w:r w:rsidR="00F322D2" w:rsidRPr="00E27200">
        <w:rPr>
          <w:lang w:val="en-AU"/>
        </w:rPr>
        <w:t>were much lower than the WPRO report</w:t>
      </w:r>
      <w:r w:rsidR="006D4F4F">
        <w:rPr>
          <w:lang w:val="en-AU"/>
        </w:rPr>
        <w:fldChar w:fldCharType="begin"/>
      </w:r>
      <w:r w:rsidR="001559A0">
        <w:rPr>
          <w:lang w:val="en-AU"/>
        </w:rPr>
        <w:instrText xml:space="preserve"> ADDIN EN.CITE &lt;EndNote&gt;&lt;Cite&gt;&lt;Author&gt;World Health Organization&lt;/Author&gt;&lt;Year&gt;2011&lt;/Year&gt;&lt;RecNum&gt;56&lt;/RecNum&gt;&lt;DisplayText&gt;[5]&lt;/DisplayText&gt;&lt;record&gt;&lt;rec-number&gt;56&lt;/rec-number&gt;&lt;foreign-keys&gt;&lt;key app="EN" db-id="ex5s0vddkzxdfhese5yvf5vke2ree5azrt5t"&gt;56&lt;/key&gt;&lt;/foreign-keys&gt;&lt;ref-type name="Report"&gt;27&lt;/ref-type&gt;&lt;contributors&gt;&lt;authors&gt;&lt;author&gt;World Health Organization,&lt;/author&gt;&lt;/authors&gt;&lt;/contributors&gt;&lt;titles&gt;&lt;title&gt;Synthesis Report of Pharmaceutical Country Profiles 2011 (DRAFT)&lt;/title&gt;&lt;/titles&gt;&lt;dates&gt;&lt;year&gt;2011&lt;/year&gt;&lt;/dates&gt;&lt;pub-location&gt;Manila&lt;/pub-location&gt;&lt;publisher&gt;Western Pacific Regional Office of WHO&lt;/publisher&gt;&lt;urls&gt;&lt;/urls&gt;&lt;/record&gt;&lt;/Cite&gt;&lt;/EndNote&gt;</w:instrText>
      </w:r>
      <w:r w:rsidR="006D4F4F">
        <w:rPr>
          <w:lang w:val="en-AU"/>
        </w:rPr>
        <w:fldChar w:fldCharType="separate"/>
      </w:r>
      <w:r w:rsidR="001559A0">
        <w:rPr>
          <w:noProof/>
          <w:lang w:val="en-AU"/>
        </w:rPr>
        <w:t>[</w:t>
      </w:r>
      <w:hyperlink w:anchor="_ENREF_5" w:tooltip="World Health Organization, 2011 #56" w:history="1">
        <w:r w:rsidR="00E62392">
          <w:rPr>
            <w:noProof/>
            <w:lang w:val="en-AU"/>
          </w:rPr>
          <w:t>5</w:t>
        </w:r>
      </w:hyperlink>
      <w:r w:rsidR="001559A0">
        <w:rPr>
          <w:noProof/>
          <w:lang w:val="en-AU"/>
        </w:rPr>
        <w:t>]</w:t>
      </w:r>
      <w:r w:rsidR="006D4F4F">
        <w:rPr>
          <w:lang w:val="en-AU"/>
        </w:rPr>
        <w:fldChar w:fldCharType="end"/>
      </w:r>
      <w:r w:rsidR="00F322D2" w:rsidRPr="00E27200">
        <w:rPr>
          <w:lang w:val="en-AU"/>
        </w:rPr>
        <w:t xml:space="preserve"> </w:t>
      </w:r>
      <w:r w:rsidR="001559A0">
        <w:rPr>
          <w:lang w:val="en-AU"/>
        </w:rPr>
        <w:t>which found</w:t>
      </w:r>
      <w:r w:rsidR="00F322D2" w:rsidRPr="00E27200">
        <w:rPr>
          <w:lang w:val="en-AU"/>
        </w:rPr>
        <w:t xml:space="preserve"> 94% of medicines in public health facilities </w:t>
      </w:r>
      <w:r w:rsidR="001559A0">
        <w:rPr>
          <w:lang w:val="en-AU"/>
        </w:rPr>
        <w:t>to be</w:t>
      </w:r>
      <w:r w:rsidR="00F322D2" w:rsidRPr="00E27200">
        <w:rPr>
          <w:lang w:val="en-AU"/>
        </w:rPr>
        <w:t xml:space="preserve"> adequately labelled. </w:t>
      </w:r>
    </w:p>
    <w:p w14:paraId="7051315B" w14:textId="77777777" w:rsidR="001559A0" w:rsidRPr="00E27200" w:rsidRDefault="001559A0" w:rsidP="001559A0">
      <w:pPr>
        <w:rPr>
          <w:lang w:val="en-AU"/>
        </w:rPr>
      </w:pPr>
    </w:p>
    <w:p w14:paraId="75DF6B3D" w14:textId="77777777" w:rsidR="007D6333" w:rsidRPr="00E27200" w:rsidRDefault="007D6333" w:rsidP="007D6333">
      <w:pPr>
        <w:rPr>
          <w:lang w:val="en-AU"/>
        </w:rPr>
      </w:pPr>
      <w:r>
        <w:rPr>
          <w:lang w:val="en-AU"/>
        </w:rPr>
        <w:t xml:space="preserve">Dispensing of expired medicines is not recommended, although PNG has an informal policy (reported by HF staff during interviews) that medicines can be used up to a certain number of months (variously quoted as 3 or 6) after their expiry date. </w:t>
      </w:r>
      <w:r w:rsidRPr="00E27200">
        <w:rPr>
          <w:lang w:val="en-AU"/>
        </w:rPr>
        <w:t xml:space="preserve">42% of Health facilities had dispensed expired medicines to patients in the last 12 months because they did not have enough non-expired stock but needed to treat their patient.  This was similar across facility types. </w:t>
      </w:r>
    </w:p>
    <w:p w14:paraId="1721F4AE" w14:textId="77777777" w:rsidR="007D6333" w:rsidRDefault="007D6333" w:rsidP="007D6333">
      <w:pPr>
        <w:rPr>
          <w:lang w:val="en-AU"/>
        </w:rPr>
      </w:pPr>
    </w:p>
    <w:p w14:paraId="0CB471E2" w14:textId="33D358CC" w:rsidR="007D6333" w:rsidRPr="007D6333" w:rsidRDefault="007D6333" w:rsidP="007D6333">
      <w:pPr>
        <w:rPr>
          <w:b/>
          <w:lang w:val="en-AU"/>
        </w:rPr>
      </w:pPr>
      <w:r w:rsidRPr="007D6333">
        <w:rPr>
          <w:b/>
          <w:lang w:val="en-AU"/>
        </w:rPr>
        <w:t xml:space="preserve">Table </w:t>
      </w:r>
      <w:r w:rsidR="00314939">
        <w:rPr>
          <w:b/>
          <w:lang w:val="en-AU"/>
        </w:rPr>
        <w:t>10</w:t>
      </w:r>
      <w:r w:rsidRPr="007D6333">
        <w:rPr>
          <w:b/>
          <w:lang w:val="en-AU"/>
        </w:rPr>
        <w:t xml:space="preserve">: </w:t>
      </w:r>
      <w:r w:rsidR="006630B4">
        <w:rPr>
          <w:b/>
          <w:lang w:val="en-AU"/>
        </w:rPr>
        <w:t>Proportion (</w:t>
      </w:r>
      <w:r w:rsidRPr="007D6333">
        <w:rPr>
          <w:b/>
          <w:lang w:val="en-AU"/>
        </w:rPr>
        <w:t>%</w:t>
      </w:r>
      <w:r w:rsidR="006630B4">
        <w:rPr>
          <w:b/>
          <w:lang w:val="en-AU"/>
        </w:rPr>
        <w:t>)</w:t>
      </w:r>
      <w:r w:rsidRPr="007D6333">
        <w:rPr>
          <w:b/>
          <w:lang w:val="en-AU"/>
        </w:rPr>
        <w:t xml:space="preserve"> Facilities dispensing expired medicines in last 12 months</w:t>
      </w:r>
    </w:p>
    <w:tbl>
      <w:tblPr>
        <w:tblStyle w:val="TableGrid"/>
        <w:tblW w:w="4536" w:type="dxa"/>
        <w:tblInd w:w="108" w:type="dxa"/>
        <w:tblLook w:val="04A0" w:firstRow="1" w:lastRow="0" w:firstColumn="1" w:lastColumn="0" w:noHBand="0" w:noVBand="1"/>
      </w:tblPr>
      <w:tblGrid>
        <w:gridCol w:w="1843"/>
        <w:gridCol w:w="2693"/>
      </w:tblGrid>
      <w:tr w:rsidR="007D6333" w:rsidRPr="00E27200" w14:paraId="40DD0746" w14:textId="77777777" w:rsidTr="00C128A6">
        <w:tc>
          <w:tcPr>
            <w:tcW w:w="1843" w:type="dxa"/>
            <w:vAlign w:val="center"/>
          </w:tcPr>
          <w:p w14:paraId="0181A733" w14:textId="77777777" w:rsidR="007D6333" w:rsidRPr="00E27200" w:rsidRDefault="007D6333" w:rsidP="00A86257">
            <w:pPr>
              <w:rPr>
                <w:b/>
                <w:lang w:val="en-AU"/>
              </w:rPr>
            </w:pPr>
            <w:r w:rsidRPr="00E27200">
              <w:rPr>
                <w:b/>
                <w:lang w:val="en-AU"/>
              </w:rPr>
              <w:t>HFs type</w:t>
            </w:r>
          </w:p>
        </w:tc>
        <w:tc>
          <w:tcPr>
            <w:tcW w:w="2693" w:type="dxa"/>
            <w:vAlign w:val="center"/>
          </w:tcPr>
          <w:p w14:paraId="65F7F690" w14:textId="77777777" w:rsidR="007D6333" w:rsidRPr="00E27200" w:rsidRDefault="007D6333" w:rsidP="00C128A6">
            <w:pPr>
              <w:jc w:val="center"/>
              <w:rPr>
                <w:b/>
                <w:lang w:val="en-AU"/>
              </w:rPr>
            </w:pPr>
            <w:r w:rsidRPr="00E27200">
              <w:rPr>
                <w:b/>
                <w:lang w:val="en-AU"/>
              </w:rPr>
              <w:t>% dispensing expired</w:t>
            </w:r>
          </w:p>
          <w:p w14:paraId="74BAE480" w14:textId="795A735F" w:rsidR="007D6333" w:rsidRPr="00E27200" w:rsidRDefault="007D6333" w:rsidP="00C128A6">
            <w:pPr>
              <w:jc w:val="center"/>
              <w:rPr>
                <w:b/>
                <w:lang w:val="en-AU"/>
              </w:rPr>
            </w:pPr>
            <w:r w:rsidRPr="00E27200">
              <w:rPr>
                <w:b/>
                <w:lang w:val="en-AU"/>
              </w:rPr>
              <w:t>medicines in last 12 months</w:t>
            </w:r>
          </w:p>
        </w:tc>
      </w:tr>
      <w:tr w:rsidR="007D6333" w:rsidRPr="00E27200" w14:paraId="25B300E7" w14:textId="77777777" w:rsidTr="00C128A6">
        <w:tc>
          <w:tcPr>
            <w:tcW w:w="1843" w:type="dxa"/>
            <w:vAlign w:val="center"/>
          </w:tcPr>
          <w:p w14:paraId="3D6DCB88" w14:textId="49568186" w:rsidR="007D6333" w:rsidRPr="00E27200" w:rsidRDefault="007D6333" w:rsidP="00A86257">
            <w:pPr>
              <w:rPr>
                <w:lang w:val="en-AU"/>
              </w:rPr>
            </w:pPr>
            <w:r w:rsidRPr="00E27200">
              <w:rPr>
                <w:lang w:val="en-AU"/>
              </w:rPr>
              <w:t>Hospital</w:t>
            </w:r>
            <w:r w:rsidR="00C128A6">
              <w:rPr>
                <w:lang w:val="en-AU"/>
              </w:rPr>
              <w:t xml:space="preserve"> </w:t>
            </w:r>
            <w:r w:rsidRPr="00E27200">
              <w:rPr>
                <w:lang w:val="en-AU"/>
              </w:rPr>
              <w:t>(n=11)</w:t>
            </w:r>
          </w:p>
        </w:tc>
        <w:tc>
          <w:tcPr>
            <w:tcW w:w="2693" w:type="dxa"/>
            <w:vAlign w:val="center"/>
          </w:tcPr>
          <w:p w14:paraId="382605A3" w14:textId="77777777" w:rsidR="007D6333" w:rsidRPr="00E27200" w:rsidRDefault="007D6333" w:rsidP="00C128A6">
            <w:pPr>
              <w:jc w:val="center"/>
              <w:rPr>
                <w:lang w:val="en-AU"/>
              </w:rPr>
            </w:pPr>
            <w:r w:rsidRPr="00E27200">
              <w:rPr>
                <w:lang w:val="en-AU"/>
              </w:rPr>
              <w:t>45%</w:t>
            </w:r>
          </w:p>
        </w:tc>
      </w:tr>
      <w:tr w:rsidR="007D6333" w:rsidRPr="00E27200" w14:paraId="4ED49F1B" w14:textId="77777777" w:rsidTr="00C128A6">
        <w:tc>
          <w:tcPr>
            <w:tcW w:w="1843" w:type="dxa"/>
            <w:vAlign w:val="center"/>
          </w:tcPr>
          <w:p w14:paraId="45A8F5A7" w14:textId="0CF4E393" w:rsidR="007D6333" w:rsidRPr="00E27200" w:rsidRDefault="007D6333" w:rsidP="00A86257">
            <w:pPr>
              <w:rPr>
                <w:lang w:val="en-AU"/>
              </w:rPr>
            </w:pPr>
            <w:r w:rsidRPr="00E27200">
              <w:rPr>
                <w:lang w:val="en-AU"/>
              </w:rPr>
              <w:t>HC/SC</w:t>
            </w:r>
            <w:r w:rsidR="00C128A6">
              <w:rPr>
                <w:lang w:val="en-AU"/>
              </w:rPr>
              <w:t xml:space="preserve"> </w:t>
            </w:r>
            <w:r w:rsidRPr="00E27200">
              <w:rPr>
                <w:lang w:val="en-AU"/>
              </w:rPr>
              <w:t>(n=39)</w:t>
            </w:r>
          </w:p>
        </w:tc>
        <w:tc>
          <w:tcPr>
            <w:tcW w:w="2693" w:type="dxa"/>
            <w:vAlign w:val="center"/>
          </w:tcPr>
          <w:p w14:paraId="7DE4D537" w14:textId="77777777" w:rsidR="007D6333" w:rsidRPr="00E27200" w:rsidRDefault="007D6333" w:rsidP="00C128A6">
            <w:pPr>
              <w:jc w:val="center"/>
              <w:rPr>
                <w:lang w:val="en-AU"/>
              </w:rPr>
            </w:pPr>
            <w:r w:rsidRPr="00E27200">
              <w:rPr>
                <w:lang w:val="en-AU"/>
              </w:rPr>
              <w:t>41%</w:t>
            </w:r>
          </w:p>
        </w:tc>
      </w:tr>
      <w:tr w:rsidR="007D6333" w:rsidRPr="00E27200" w14:paraId="6D4DF62E" w14:textId="77777777" w:rsidTr="00C128A6">
        <w:tc>
          <w:tcPr>
            <w:tcW w:w="1843" w:type="dxa"/>
            <w:vAlign w:val="center"/>
          </w:tcPr>
          <w:p w14:paraId="751B91A0" w14:textId="7481882E" w:rsidR="007D6333" w:rsidRPr="00E27200" w:rsidRDefault="007D6333" w:rsidP="00A86257">
            <w:pPr>
              <w:rPr>
                <w:lang w:val="en-AU"/>
              </w:rPr>
            </w:pPr>
            <w:r w:rsidRPr="00E27200">
              <w:rPr>
                <w:lang w:val="en-AU"/>
              </w:rPr>
              <w:t>APs</w:t>
            </w:r>
            <w:r w:rsidR="00C128A6">
              <w:rPr>
                <w:lang w:val="en-AU"/>
              </w:rPr>
              <w:t xml:space="preserve"> </w:t>
            </w:r>
            <w:r w:rsidRPr="00E27200">
              <w:rPr>
                <w:lang w:val="en-AU"/>
              </w:rPr>
              <w:t>(n=45)</w:t>
            </w:r>
          </w:p>
        </w:tc>
        <w:tc>
          <w:tcPr>
            <w:tcW w:w="2693" w:type="dxa"/>
            <w:vAlign w:val="center"/>
          </w:tcPr>
          <w:p w14:paraId="3DAE9319" w14:textId="77777777" w:rsidR="007D6333" w:rsidRPr="00E27200" w:rsidRDefault="007D6333" w:rsidP="00C128A6">
            <w:pPr>
              <w:tabs>
                <w:tab w:val="left" w:pos="405"/>
                <w:tab w:val="center" w:pos="538"/>
              </w:tabs>
              <w:jc w:val="center"/>
              <w:rPr>
                <w:lang w:val="en-AU"/>
              </w:rPr>
            </w:pPr>
            <w:r w:rsidRPr="00E27200">
              <w:rPr>
                <w:lang w:val="en-AU"/>
              </w:rPr>
              <w:t>42%</w:t>
            </w:r>
          </w:p>
        </w:tc>
      </w:tr>
      <w:tr w:rsidR="007D6333" w:rsidRPr="00E27200" w14:paraId="3B66E0DA" w14:textId="77777777" w:rsidTr="00C128A6">
        <w:tc>
          <w:tcPr>
            <w:tcW w:w="1843" w:type="dxa"/>
            <w:vAlign w:val="center"/>
          </w:tcPr>
          <w:p w14:paraId="62EA2337" w14:textId="77777777" w:rsidR="007D6333" w:rsidRPr="00E27200" w:rsidRDefault="007D6333" w:rsidP="00A86257">
            <w:pPr>
              <w:rPr>
                <w:b/>
                <w:lang w:val="en-AU"/>
              </w:rPr>
            </w:pPr>
            <w:r w:rsidRPr="00E27200">
              <w:rPr>
                <w:b/>
                <w:lang w:val="en-AU"/>
              </w:rPr>
              <w:t>TOTAL (median)</w:t>
            </w:r>
          </w:p>
        </w:tc>
        <w:tc>
          <w:tcPr>
            <w:tcW w:w="2693" w:type="dxa"/>
            <w:vAlign w:val="center"/>
          </w:tcPr>
          <w:p w14:paraId="4B55F362" w14:textId="77777777" w:rsidR="007D6333" w:rsidRPr="00E27200" w:rsidRDefault="007D6333" w:rsidP="00C128A6">
            <w:pPr>
              <w:tabs>
                <w:tab w:val="left" w:pos="405"/>
                <w:tab w:val="center" w:pos="538"/>
              </w:tabs>
              <w:jc w:val="center"/>
              <w:rPr>
                <w:b/>
                <w:lang w:val="en-AU"/>
              </w:rPr>
            </w:pPr>
            <w:r w:rsidRPr="00E27200">
              <w:rPr>
                <w:b/>
                <w:lang w:val="en-AU"/>
              </w:rPr>
              <w:t>42%</w:t>
            </w:r>
          </w:p>
        </w:tc>
      </w:tr>
    </w:tbl>
    <w:p w14:paraId="74CCD466" w14:textId="77777777" w:rsidR="007D6333" w:rsidRDefault="007D6333" w:rsidP="001559A0">
      <w:pPr>
        <w:rPr>
          <w:lang w:val="en-AU"/>
        </w:rPr>
      </w:pPr>
    </w:p>
    <w:p w14:paraId="70FD38A6" w14:textId="7EBB7DFF" w:rsidR="001559A0" w:rsidRDefault="001559A0" w:rsidP="001559A0">
      <w:pPr>
        <w:rPr>
          <w:lang w:val="en-AU"/>
        </w:rPr>
      </w:pPr>
      <w:r>
        <w:rPr>
          <w:lang w:val="en-AU"/>
        </w:rPr>
        <w:lastRenderedPageBreak/>
        <w:t>Other benchmarks of prescribing measured in the survey can be compared to regional norms in the WPRO report</w:t>
      </w:r>
      <w:r w:rsidR="006D4F4F">
        <w:rPr>
          <w:lang w:val="en-AU"/>
        </w:rPr>
        <w:fldChar w:fldCharType="begin"/>
      </w:r>
      <w:r>
        <w:rPr>
          <w:lang w:val="en-AU"/>
        </w:rPr>
        <w:instrText xml:space="preserve"> ADDIN EN.CITE &lt;EndNote&gt;&lt;Cite&gt;&lt;Author&gt;World Health Organization&lt;/Author&gt;&lt;Year&gt;2011&lt;/Year&gt;&lt;RecNum&gt;56&lt;/RecNum&gt;&lt;DisplayText&gt;[5]&lt;/DisplayText&gt;&lt;record&gt;&lt;rec-number&gt;56&lt;/rec-number&gt;&lt;foreign-keys&gt;&lt;key app="EN" db-id="ex5s0vddkzxdfhese5yvf5vke2ree5azrt5t"&gt;56&lt;/key&gt;&lt;/foreign-keys&gt;&lt;ref-type name="Report"&gt;27&lt;/ref-type&gt;&lt;contributors&gt;&lt;authors&gt;&lt;author&gt;World Health Organization,&lt;/author&gt;&lt;/authors&gt;&lt;/contributors&gt;&lt;titles&gt;&lt;title&gt;Synthesis Report of Pharmaceutical Country Profiles 2011 (DRAFT)&lt;/title&gt;&lt;/titles&gt;&lt;dates&gt;&lt;year&gt;2011&lt;/year&gt;&lt;/dates&gt;&lt;pub-location&gt;Manila&lt;/pub-location&gt;&lt;publisher&gt;Western Pacific Regional Office of WHO&lt;/publisher&gt;&lt;urls&gt;&lt;/urls&gt;&lt;/record&gt;&lt;/Cite&gt;&lt;/EndNote&gt;</w:instrText>
      </w:r>
      <w:r w:rsidR="006D4F4F">
        <w:rPr>
          <w:lang w:val="en-AU"/>
        </w:rPr>
        <w:fldChar w:fldCharType="separate"/>
      </w:r>
      <w:r>
        <w:rPr>
          <w:noProof/>
          <w:lang w:val="en-AU"/>
        </w:rPr>
        <w:t>[</w:t>
      </w:r>
      <w:hyperlink w:anchor="_ENREF_5" w:tooltip="World Health Organization, 2011 #56" w:history="1">
        <w:r w:rsidR="00E62392">
          <w:rPr>
            <w:noProof/>
            <w:lang w:val="en-AU"/>
          </w:rPr>
          <w:t>5</w:t>
        </w:r>
      </w:hyperlink>
      <w:r>
        <w:rPr>
          <w:noProof/>
          <w:lang w:val="en-AU"/>
        </w:rPr>
        <w:t>]</w:t>
      </w:r>
      <w:r w:rsidR="006D4F4F">
        <w:rPr>
          <w:lang w:val="en-AU"/>
        </w:rPr>
        <w:fldChar w:fldCharType="end"/>
      </w:r>
      <w:r>
        <w:rPr>
          <w:lang w:val="en-AU"/>
        </w:rPr>
        <w:t xml:space="preserve"> as:</w:t>
      </w:r>
    </w:p>
    <w:p w14:paraId="3D733237" w14:textId="77777777" w:rsidR="00357018" w:rsidRDefault="00F322D2" w:rsidP="00AD3F80">
      <w:pPr>
        <w:pStyle w:val="ListParagraph"/>
        <w:numPr>
          <w:ilvl w:val="0"/>
          <w:numId w:val="27"/>
        </w:numPr>
        <w:rPr>
          <w:lang w:val="en-AU"/>
        </w:rPr>
      </w:pPr>
      <w:proofErr w:type="gramStart"/>
      <w:r w:rsidRPr="001559A0">
        <w:rPr>
          <w:lang w:val="en-AU"/>
        </w:rPr>
        <w:t>median</w:t>
      </w:r>
      <w:proofErr w:type="gramEnd"/>
      <w:r w:rsidRPr="001559A0">
        <w:rPr>
          <w:lang w:val="en-AU"/>
        </w:rPr>
        <w:t xml:space="preserve"> number of items prescribed per consultation</w:t>
      </w:r>
      <w:r w:rsidR="00357018">
        <w:rPr>
          <w:lang w:val="en-AU"/>
        </w:rPr>
        <w:t xml:space="preserve"> in PNG was 2 items </w:t>
      </w:r>
      <w:r w:rsidRPr="001559A0">
        <w:rPr>
          <w:lang w:val="en-AU"/>
        </w:rPr>
        <w:t>of which majority (96%) were dispensed/administered to the patient</w:t>
      </w:r>
      <w:r w:rsidR="00357018">
        <w:rPr>
          <w:lang w:val="en-AU"/>
        </w:rPr>
        <w:t xml:space="preserve"> (WPRO 96%);</w:t>
      </w:r>
    </w:p>
    <w:p w14:paraId="075A2FD7" w14:textId="77777777" w:rsidR="00357018" w:rsidRDefault="00357018" w:rsidP="00AD3F80">
      <w:pPr>
        <w:pStyle w:val="ListParagraph"/>
        <w:numPr>
          <w:ilvl w:val="0"/>
          <w:numId w:val="27"/>
        </w:numPr>
        <w:rPr>
          <w:lang w:val="en-AU"/>
        </w:rPr>
      </w:pPr>
      <w:proofErr w:type="gramStart"/>
      <w:r>
        <w:rPr>
          <w:lang w:val="en-AU"/>
        </w:rPr>
        <w:t>proportion</w:t>
      </w:r>
      <w:proofErr w:type="gramEnd"/>
      <w:r>
        <w:rPr>
          <w:lang w:val="en-AU"/>
        </w:rPr>
        <w:t xml:space="preserve"> of medicines prescribed by generic name in PNG was</w:t>
      </w:r>
      <w:r w:rsidR="00F322D2" w:rsidRPr="00357018">
        <w:rPr>
          <w:lang w:val="en-AU"/>
        </w:rPr>
        <w:t xml:space="preserve"> 57%</w:t>
      </w:r>
      <w:r>
        <w:rPr>
          <w:lang w:val="en-AU"/>
        </w:rPr>
        <w:t xml:space="preserve"> (WPRO 80%);</w:t>
      </w:r>
    </w:p>
    <w:p w14:paraId="29EA0600" w14:textId="77777777" w:rsidR="00F322D2" w:rsidRPr="00357018" w:rsidRDefault="00357018" w:rsidP="00AD3F80">
      <w:pPr>
        <w:pStyle w:val="ListParagraph"/>
        <w:numPr>
          <w:ilvl w:val="0"/>
          <w:numId w:val="27"/>
        </w:numPr>
        <w:rPr>
          <w:lang w:val="en-AU"/>
        </w:rPr>
      </w:pPr>
      <w:r>
        <w:rPr>
          <w:lang w:val="en-AU"/>
        </w:rPr>
        <w:t>proportion of medicines that were injections (noting ours was an outpatient sample) was  8% (WPRO 20%), noting that l</w:t>
      </w:r>
      <w:r w:rsidR="00F322D2" w:rsidRPr="00357018">
        <w:rPr>
          <w:lang w:val="en-AU"/>
        </w:rPr>
        <w:t xml:space="preserve">ow rates of injections not only reduce costs but </w:t>
      </w:r>
      <w:r>
        <w:rPr>
          <w:lang w:val="en-AU"/>
        </w:rPr>
        <w:t>are</w:t>
      </w:r>
      <w:r w:rsidR="00F322D2" w:rsidRPr="00357018">
        <w:rPr>
          <w:lang w:val="en-AU"/>
        </w:rPr>
        <w:t xml:space="preserve"> less invasive and </w:t>
      </w:r>
      <w:r>
        <w:rPr>
          <w:lang w:val="en-AU"/>
        </w:rPr>
        <w:t>taken as a</w:t>
      </w:r>
      <w:r w:rsidR="00F322D2" w:rsidRPr="00357018">
        <w:rPr>
          <w:lang w:val="en-AU"/>
        </w:rPr>
        <w:t xml:space="preserve"> positive</w:t>
      </w:r>
      <w:r>
        <w:rPr>
          <w:lang w:val="en-AU"/>
        </w:rPr>
        <w:t xml:space="preserve"> indicator</w:t>
      </w:r>
      <w:r w:rsidR="00F322D2" w:rsidRPr="00357018">
        <w:rPr>
          <w:lang w:val="en-AU"/>
        </w:rPr>
        <w:t xml:space="preserve"> for rational </w:t>
      </w:r>
      <w:r>
        <w:rPr>
          <w:lang w:val="en-AU"/>
        </w:rPr>
        <w:t>medicines</w:t>
      </w:r>
      <w:r w:rsidR="00F322D2" w:rsidRPr="00357018">
        <w:rPr>
          <w:lang w:val="en-AU"/>
        </w:rPr>
        <w:t xml:space="preserve"> use.</w:t>
      </w:r>
    </w:p>
    <w:p w14:paraId="11F4FF00" w14:textId="77777777" w:rsidR="00F322D2" w:rsidRDefault="00F322D2" w:rsidP="00E16C77">
      <w:pPr>
        <w:rPr>
          <w:lang w:val="en-AU"/>
        </w:rPr>
      </w:pPr>
    </w:p>
    <w:p w14:paraId="4BD8B2C8" w14:textId="243589CD" w:rsidR="00AB2BDF" w:rsidRPr="00E27200" w:rsidRDefault="00361146" w:rsidP="00AB2BDF">
      <w:pPr>
        <w:pStyle w:val="Heading3"/>
      </w:pPr>
      <w:r>
        <w:t xml:space="preserve">Opinions on usability </w:t>
      </w:r>
      <w:r w:rsidR="00AB2BDF" w:rsidRPr="00E27200">
        <w:t xml:space="preserve">of 100% </w:t>
      </w:r>
      <w:r w:rsidR="00AB2BDF">
        <w:t xml:space="preserve">HC and AP </w:t>
      </w:r>
      <w:r w:rsidR="00AB2BDF" w:rsidRPr="00E27200">
        <w:t>kit contents</w:t>
      </w:r>
      <w:r>
        <w:t>, and other supplies</w:t>
      </w:r>
    </w:p>
    <w:p w14:paraId="534F9033" w14:textId="3D6F1289" w:rsidR="00AB2BDF" w:rsidRPr="00E27200" w:rsidRDefault="00A25309" w:rsidP="00AB2BDF">
      <w:pPr>
        <w:ind w:right="-46"/>
        <w:rPr>
          <w:szCs w:val="22"/>
          <w:lang w:val="en-AU"/>
        </w:rPr>
      </w:pPr>
      <w:r>
        <w:rPr>
          <w:szCs w:val="22"/>
          <w:lang w:val="en-AU"/>
        </w:rPr>
        <w:t xml:space="preserve">Our HF survey attempted to assess </w:t>
      </w:r>
      <w:r w:rsidR="00B2566C">
        <w:rPr>
          <w:szCs w:val="22"/>
          <w:lang w:val="en-AU"/>
        </w:rPr>
        <w:t>usage of</w:t>
      </w:r>
      <w:r w:rsidR="00B75041">
        <w:rPr>
          <w:szCs w:val="22"/>
          <w:lang w:val="en-AU"/>
        </w:rPr>
        <w:t xml:space="preserve"> medicines in</w:t>
      </w:r>
      <w:r w:rsidR="00BA641B">
        <w:rPr>
          <w:szCs w:val="22"/>
          <w:lang w:val="en-AU"/>
        </w:rPr>
        <w:t xml:space="preserve"> 100%</w:t>
      </w:r>
      <w:r w:rsidR="00B75041">
        <w:rPr>
          <w:szCs w:val="22"/>
          <w:lang w:val="en-AU"/>
        </w:rPr>
        <w:t xml:space="preserve"> kits</w:t>
      </w:r>
      <w:r>
        <w:rPr>
          <w:szCs w:val="22"/>
          <w:lang w:val="en-AU"/>
        </w:rPr>
        <w:t xml:space="preserve"> in some detail, seeking suggestions for where </w:t>
      </w:r>
      <w:r w:rsidR="00AB2BDF" w:rsidRPr="00E27200">
        <w:rPr>
          <w:szCs w:val="22"/>
          <w:lang w:val="en-AU"/>
        </w:rPr>
        <w:t xml:space="preserve">both contents and quantities could be improved. The survey </w:t>
      </w:r>
      <w:r w:rsidR="00BA641B">
        <w:rPr>
          <w:szCs w:val="22"/>
          <w:lang w:val="en-AU"/>
        </w:rPr>
        <w:t xml:space="preserve">captured </w:t>
      </w:r>
      <w:r w:rsidR="00AB2BDF" w:rsidRPr="00E27200">
        <w:rPr>
          <w:szCs w:val="22"/>
          <w:lang w:val="en-AU"/>
        </w:rPr>
        <w:t>HF staff opinions on which contents were less likely to be used – with detailed analysis suggesting non-use was very often due to lack of staff training or awareness of the proper use of certa</w:t>
      </w:r>
      <w:r w:rsidR="00BA641B">
        <w:rPr>
          <w:szCs w:val="22"/>
          <w:lang w:val="en-AU"/>
        </w:rPr>
        <w:t>in medicines, rather than a mis</w:t>
      </w:r>
      <w:r w:rsidR="00AB2BDF" w:rsidRPr="00E27200">
        <w:rPr>
          <w:szCs w:val="22"/>
          <w:lang w:val="en-AU"/>
        </w:rPr>
        <w:t>match between kit contents and population health needs.</w:t>
      </w:r>
    </w:p>
    <w:p w14:paraId="2E5BE3CC" w14:textId="77777777" w:rsidR="00AB2BDF" w:rsidRPr="00E27200" w:rsidRDefault="00AB2BDF" w:rsidP="00AB2BDF">
      <w:pPr>
        <w:ind w:right="-472"/>
        <w:rPr>
          <w:szCs w:val="22"/>
          <w:lang w:val="en-AU"/>
        </w:rPr>
      </w:pPr>
    </w:p>
    <w:p w14:paraId="163ED8D6" w14:textId="195DF978" w:rsidR="00AB2BDF" w:rsidRPr="00E27200" w:rsidRDefault="00361146" w:rsidP="00AB2BDF">
      <w:pPr>
        <w:ind w:right="-46"/>
        <w:rPr>
          <w:szCs w:val="22"/>
          <w:lang w:val="en-AU"/>
        </w:rPr>
      </w:pPr>
      <w:r>
        <w:rPr>
          <w:szCs w:val="22"/>
          <w:lang w:val="en-AU"/>
        </w:rPr>
        <w:t xml:space="preserve">The table below summarises the most common medicines cited as not being used at some time (including both ‘push’ and ‘pull’ system products). </w:t>
      </w:r>
      <w:r w:rsidR="00AB2BDF" w:rsidRPr="00E27200">
        <w:rPr>
          <w:szCs w:val="22"/>
          <w:lang w:val="en-AU"/>
        </w:rPr>
        <w:t xml:space="preserve">Lack of relevant training was cited as the reason for less usage than anticipated of a range of medicines, most commonly: </w:t>
      </w:r>
      <w:proofErr w:type="spellStart"/>
      <w:r w:rsidR="00AB2BDF" w:rsidRPr="00E27200">
        <w:rPr>
          <w:szCs w:val="22"/>
          <w:lang w:val="en-AU"/>
        </w:rPr>
        <w:t>Artesunate</w:t>
      </w:r>
      <w:proofErr w:type="spellEnd"/>
      <w:r w:rsidR="00AB2BDF" w:rsidRPr="00E27200">
        <w:rPr>
          <w:szCs w:val="22"/>
          <w:lang w:val="en-AU"/>
        </w:rPr>
        <w:t xml:space="preserve"> suppository (16% of total respondents), Zinc tablets (10%), Ampicillin injection (6%) and misoprostol tablets (6%). Absence of the relevant disease was cited for less usage of medicines such as Zinc tablets (9%), </w:t>
      </w:r>
      <w:proofErr w:type="spellStart"/>
      <w:r w:rsidR="00AB2BDF" w:rsidRPr="00E27200">
        <w:rPr>
          <w:szCs w:val="22"/>
          <w:lang w:val="en-AU"/>
        </w:rPr>
        <w:t>Artesunate</w:t>
      </w:r>
      <w:proofErr w:type="spellEnd"/>
      <w:r w:rsidR="00AB2BDF" w:rsidRPr="00E27200">
        <w:rPr>
          <w:szCs w:val="22"/>
          <w:lang w:val="en-AU"/>
        </w:rPr>
        <w:t xml:space="preserve"> suppository (7%), and Whitfield’s ointment. In many cases it was clear that disease was actually prevalent (for example diarrh</w:t>
      </w:r>
      <w:r w:rsidR="00BA641B">
        <w:rPr>
          <w:szCs w:val="22"/>
          <w:lang w:val="en-AU"/>
        </w:rPr>
        <w:t>o</w:t>
      </w:r>
      <w:r w:rsidR="00AB2BDF" w:rsidRPr="00E27200">
        <w:rPr>
          <w:szCs w:val="22"/>
          <w:lang w:val="en-AU"/>
        </w:rPr>
        <w:t xml:space="preserve">ea requiring zinc treatment by new STGs), but that this had not been recognized at the HF. Other reasons for not using a </w:t>
      </w:r>
      <w:r w:rsidR="00724DC2">
        <w:rPr>
          <w:szCs w:val="22"/>
          <w:lang w:val="en-AU"/>
        </w:rPr>
        <w:t>medicine</w:t>
      </w:r>
      <w:r w:rsidR="00AB2BDF" w:rsidRPr="00E27200">
        <w:rPr>
          <w:szCs w:val="22"/>
          <w:lang w:val="en-AU"/>
        </w:rPr>
        <w:t xml:space="preserve"> related to </w:t>
      </w:r>
      <w:proofErr w:type="spellStart"/>
      <w:r w:rsidR="00AB2BDF" w:rsidRPr="00E27200">
        <w:rPr>
          <w:szCs w:val="22"/>
          <w:lang w:val="en-AU"/>
        </w:rPr>
        <w:t>Artesunate</w:t>
      </w:r>
      <w:proofErr w:type="spellEnd"/>
      <w:r w:rsidR="00AB2BDF" w:rsidRPr="00E27200">
        <w:rPr>
          <w:szCs w:val="22"/>
          <w:lang w:val="en-AU"/>
        </w:rPr>
        <w:t xml:space="preserve"> suppository (8%) and </w:t>
      </w:r>
      <w:proofErr w:type="spellStart"/>
      <w:r w:rsidR="00AB2BDF" w:rsidRPr="00E27200">
        <w:rPr>
          <w:szCs w:val="22"/>
          <w:lang w:val="en-AU"/>
        </w:rPr>
        <w:t>Primaquine</w:t>
      </w:r>
      <w:proofErr w:type="spellEnd"/>
      <w:r w:rsidR="00AB2BDF" w:rsidRPr="00E27200">
        <w:rPr>
          <w:szCs w:val="22"/>
          <w:lang w:val="en-AU"/>
        </w:rPr>
        <w:t xml:space="preserve"> (3%) and Quinine (3%) with </w:t>
      </w:r>
      <w:proofErr w:type="spellStart"/>
      <w:r w:rsidR="00AB2BDF" w:rsidRPr="00E27200">
        <w:rPr>
          <w:szCs w:val="22"/>
          <w:lang w:val="en-AU"/>
        </w:rPr>
        <w:t>artesunate</w:t>
      </w:r>
      <w:proofErr w:type="spellEnd"/>
      <w:r w:rsidR="00AB2BDF" w:rsidRPr="00E27200">
        <w:rPr>
          <w:szCs w:val="22"/>
          <w:lang w:val="en-AU"/>
        </w:rPr>
        <w:t xml:space="preserve"> suppository being an embarrassing form of administering a </w:t>
      </w:r>
      <w:r w:rsidR="00724DC2">
        <w:rPr>
          <w:szCs w:val="22"/>
          <w:lang w:val="en-AU"/>
        </w:rPr>
        <w:t>medicine</w:t>
      </w:r>
      <w:r w:rsidR="00AB2BDF" w:rsidRPr="00E27200">
        <w:rPr>
          <w:szCs w:val="22"/>
          <w:lang w:val="en-AU"/>
        </w:rPr>
        <w:t xml:space="preserve"> (especially as up to 4 suppositories may be needed). </w:t>
      </w:r>
    </w:p>
    <w:p w14:paraId="0411476A" w14:textId="77777777" w:rsidR="00AB2BDF" w:rsidRPr="00E27200" w:rsidRDefault="00AB2BDF" w:rsidP="00AB2BDF">
      <w:pPr>
        <w:ind w:left="-709"/>
        <w:rPr>
          <w:szCs w:val="22"/>
          <w:lang w:val="en-AU"/>
        </w:rPr>
      </w:pPr>
    </w:p>
    <w:p w14:paraId="25ED4D6E" w14:textId="5AFB152D" w:rsidR="00AB2BDF" w:rsidRPr="00E27200" w:rsidRDefault="00314939" w:rsidP="00AB2BDF">
      <w:pPr>
        <w:rPr>
          <w:b/>
          <w:szCs w:val="22"/>
          <w:lang w:val="en-AU"/>
        </w:rPr>
      </w:pPr>
      <w:r>
        <w:rPr>
          <w:b/>
          <w:szCs w:val="22"/>
          <w:lang w:val="en-AU"/>
        </w:rPr>
        <w:t>Table 11</w:t>
      </w:r>
      <w:r w:rsidR="00AB2BDF" w:rsidRPr="00E27200">
        <w:rPr>
          <w:b/>
          <w:szCs w:val="22"/>
          <w:lang w:val="en-AU"/>
        </w:rPr>
        <w:t xml:space="preserve">: </w:t>
      </w:r>
      <w:r w:rsidR="00AB2BDF">
        <w:rPr>
          <w:b/>
          <w:szCs w:val="22"/>
          <w:lang w:val="en-AU"/>
        </w:rPr>
        <w:t>Medicines</w:t>
      </w:r>
      <w:r w:rsidR="00AB2BDF" w:rsidRPr="00E27200">
        <w:rPr>
          <w:b/>
          <w:szCs w:val="22"/>
          <w:lang w:val="en-AU"/>
        </w:rPr>
        <w:t xml:space="preserve"> reported as not used </w:t>
      </w:r>
      <w:r w:rsidR="00A25309">
        <w:rPr>
          <w:b/>
          <w:szCs w:val="22"/>
          <w:lang w:val="en-AU"/>
        </w:rPr>
        <w:t xml:space="preserve">at some point </w:t>
      </w:r>
      <w:r w:rsidR="00AB2BDF" w:rsidRPr="00E27200">
        <w:rPr>
          <w:b/>
          <w:szCs w:val="22"/>
          <w:lang w:val="en-AU"/>
        </w:rPr>
        <w:t xml:space="preserve">by </w:t>
      </w:r>
      <w:r w:rsidR="00537387">
        <w:rPr>
          <w:b/>
          <w:szCs w:val="22"/>
          <w:lang w:val="en-AU"/>
        </w:rPr>
        <w:t>some HFs</w:t>
      </w:r>
    </w:p>
    <w:tbl>
      <w:tblPr>
        <w:tblStyle w:val="TableGrid"/>
        <w:tblW w:w="9072" w:type="dxa"/>
        <w:tblInd w:w="108" w:type="dxa"/>
        <w:tblLayout w:type="fixed"/>
        <w:tblLook w:val="04A0" w:firstRow="1" w:lastRow="0" w:firstColumn="1" w:lastColumn="0" w:noHBand="0" w:noVBand="1"/>
      </w:tblPr>
      <w:tblGrid>
        <w:gridCol w:w="2268"/>
        <w:gridCol w:w="3261"/>
        <w:gridCol w:w="3543"/>
      </w:tblGrid>
      <w:tr w:rsidR="00AB2BDF" w:rsidRPr="00E27200" w14:paraId="14AA4D21" w14:textId="77777777" w:rsidTr="008D11AA">
        <w:tc>
          <w:tcPr>
            <w:tcW w:w="2268" w:type="dxa"/>
            <w:vAlign w:val="center"/>
          </w:tcPr>
          <w:p w14:paraId="1BC036FA" w14:textId="77777777" w:rsidR="00AB2BDF" w:rsidRPr="00E27200" w:rsidRDefault="00AB2BDF" w:rsidP="0037274E">
            <w:pPr>
              <w:jc w:val="center"/>
              <w:rPr>
                <w:b/>
                <w:sz w:val="22"/>
                <w:szCs w:val="22"/>
                <w:lang w:val="en-AU"/>
              </w:rPr>
            </w:pPr>
            <w:r w:rsidRPr="00E27200">
              <w:rPr>
                <w:b/>
                <w:sz w:val="22"/>
                <w:szCs w:val="22"/>
                <w:lang w:val="en-AU"/>
              </w:rPr>
              <w:t>Hospital</w:t>
            </w:r>
          </w:p>
        </w:tc>
        <w:tc>
          <w:tcPr>
            <w:tcW w:w="3261" w:type="dxa"/>
            <w:vAlign w:val="center"/>
          </w:tcPr>
          <w:p w14:paraId="3809C945" w14:textId="77777777" w:rsidR="00AB2BDF" w:rsidRPr="00E27200" w:rsidRDefault="00AB2BDF" w:rsidP="0037274E">
            <w:pPr>
              <w:jc w:val="center"/>
              <w:rPr>
                <w:b/>
                <w:sz w:val="22"/>
                <w:szCs w:val="22"/>
                <w:lang w:val="en-AU"/>
              </w:rPr>
            </w:pPr>
            <w:r w:rsidRPr="00E27200">
              <w:rPr>
                <w:b/>
                <w:sz w:val="22"/>
                <w:szCs w:val="22"/>
                <w:lang w:val="en-AU"/>
              </w:rPr>
              <w:t>HC/SC</w:t>
            </w:r>
          </w:p>
        </w:tc>
        <w:tc>
          <w:tcPr>
            <w:tcW w:w="3543" w:type="dxa"/>
            <w:vAlign w:val="center"/>
          </w:tcPr>
          <w:p w14:paraId="6A7B3B99" w14:textId="77777777" w:rsidR="00AB2BDF" w:rsidRPr="00E27200" w:rsidRDefault="00AB2BDF" w:rsidP="0037274E">
            <w:pPr>
              <w:jc w:val="center"/>
              <w:rPr>
                <w:b/>
                <w:sz w:val="22"/>
                <w:szCs w:val="22"/>
                <w:lang w:val="en-AU"/>
              </w:rPr>
            </w:pPr>
            <w:r w:rsidRPr="00E27200">
              <w:rPr>
                <w:b/>
                <w:sz w:val="22"/>
                <w:szCs w:val="22"/>
                <w:lang w:val="en-AU"/>
              </w:rPr>
              <w:t>APs</w:t>
            </w:r>
          </w:p>
        </w:tc>
      </w:tr>
      <w:tr w:rsidR="00AB2BDF" w:rsidRPr="00E27200" w14:paraId="66D8471E" w14:textId="77777777" w:rsidTr="008D11AA">
        <w:tc>
          <w:tcPr>
            <w:tcW w:w="2268" w:type="dxa"/>
            <w:shd w:val="clear" w:color="auto" w:fill="auto"/>
          </w:tcPr>
          <w:tbl>
            <w:tblPr>
              <w:tblW w:w="2496" w:type="dxa"/>
              <w:tblLayout w:type="fixed"/>
              <w:tblLook w:val="04A0" w:firstRow="1" w:lastRow="0" w:firstColumn="1" w:lastColumn="0" w:noHBand="0" w:noVBand="1"/>
            </w:tblPr>
            <w:tblGrid>
              <w:gridCol w:w="2496"/>
            </w:tblGrid>
            <w:tr w:rsidR="00AB2BDF" w:rsidRPr="00E27200" w14:paraId="7592588A" w14:textId="77777777" w:rsidTr="0037274E">
              <w:trPr>
                <w:trHeight w:val="300"/>
              </w:trPr>
              <w:tc>
                <w:tcPr>
                  <w:tcW w:w="2496" w:type="dxa"/>
                  <w:tcBorders>
                    <w:top w:val="nil"/>
                    <w:left w:val="nil"/>
                    <w:bottom w:val="nil"/>
                    <w:right w:val="nil"/>
                  </w:tcBorders>
                  <w:shd w:val="clear" w:color="auto" w:fill="auto"/>
                  <w:noWrap/>
                  <w:vAlign w:val="bottom"/>
                </w:tcPr>
                <w:p w14:paraId="645D97B8" w14:textId="7F8B49F4" w:rsidR="00AB2BDF" w:rsidRPr="00E27200" w:rsidRDefault="00AB2BDF" w:rsidP="0037274E">
                  <w:pPr>
                    <w:rPr>
                      <w:szCs w:val="22"/>
                      <w:lang w:val="en-AU"/>
                    </w:rPr>
                  </w:pPr>
                  <w:r w:rsidRPr="00E27200">
                    <w:rPr>
                      <w:szCs w:val="22"/>
                      <w:lang w:val="en-AU"/>
                    </w:rPr>
                    <w:t>Ampicillin injection</w:t>
                  </w:r>
                  <w:r w:rsidR="001F5AC5">
                    <w:rPr>
                      <w:szCs w:val="22"/>
                      <w:lang w:val="en-AU"/>
                    </w:rPr>
                    <w:t>*</w:t>
                  </w:r>
                </w:p>
              </w:tc>
            </w:tr>
            <w:tr w:rsidR="00AB2BDF" w:rsidRPr="00E27200" w14:paraId="195BB784" w14:textId="77777777" w:rsidTr="0037274E">
              <w:trPr>
                <w:trHeight w:val="300"/>
              </w:trPr>
              <w:tc>
                <w:tcPr>
                  <w:tcW w:w="2496" w:type="dxa"/>
                  <w:tcBorders>
                    <w:top w:val="nil"/>
                    <w:left w:val="nil"/>
                    <w:bottom w:val="nil"/>
                    <w:right w:val="nil"/>
                  </w:tcBorders>
                  <w:shd w:val="clear" w:color="auto" w:fill="auto"/>
                  <w:noWrap/>
                  <w:vAlign w:val="bottom"/>
                </w:tcPr>
                <w:p w14:paraId="0A5B9927" w14:textId="77777777" w:rsidR="00AB2BDF" w:rsidRPr="00E27200" w:rsidRDefault="00AB2BDF" w:rsidP="0037274E">
                  <w:pPr>
                    <w:rPr>
                      <w:szCs w:val="22"/>
                      <w:lang w:val="en-AU"/>
                    </w:rPr>
                  </w:pPr>
                  <w:proofErr w:type="spellStart"/>
                  <w:r w:rsidRPr="00E27200">
                    <w:rPr>
                      <w:szCs w:val="22"/>
                      <w:lang w:val="en-AU"/>
                    </w:rPr>
                    <w:t>Artesunate</w:t>
                  </w:r>
                  <w:proofErr w:type="spellEnd"/>
                  <w:r w:rsidRPr="00E27200">
                    <w:rPr>
                      <w:szCs w:val="22"/>
                      <w:lang w:val="en-AU"/>
                    </w:rPr>
                    <w:t xml:space="preserve"> </w:t>
                  </w:r>
                </w:p>
                <w:p w14:paraId="770F19BF" w14:textId="49C2D68B" w:rsidR="00AB2BDF" w:rsidRPr="00E27200" w:rsidRDefault="00AB2BDF" w:rsidP="0037274E">
                  <w:pPr>
                    <w:rPr>
                      <w:szCs w:val="22"/>
                      <w:lang w:val="en-AU"/>
                    </w:rPr>
                  </w:pPr>
                  <w:r w:rsidRPr="00E27200">
                    <w:rPr>
                      <w:szCs w:val="22"/>
                      <w:lang w:val="en-AU"/>
                    </w:rPr>
                    <w:t xml:space="preserve">  </w:t>
                  </w:r>
                  <w:r w:rsidR="001F5AC5" w:rsidRPr="00E27200">
                    <w:rPr>
                      <w:szCs w:val="22"/>
                      <w:lang w:val="en-AU"/>
                    </w:rPr>
                    <w:t>S</w:t>
                  </w:r>
                  <w:r w:rsidRPr="00E27200">
                    <w:rPr>
                      <w:szCs w:val="22"/>
                      <w:lang w:val="en-AU"/>
                    </w:rPr>
                    <w:t>uppository</w:t>
                  </w:r>
                  <w:r w:rsidR="001F5AC5">
                    <w:rPr>
                      <w:szCs w:val="22"/>
                      <w:lang w:val="en-AU"/>
                    </w:rPr>
                    <w:t>*</w:t>
                  </w:r>
                </w:p>
              </w:tc>
            </w:tr>
            <w:tr w:rsidR="00AB2BDF" w:rsidRPr="00E27200" w14:paraId="6F91B3E8" w14:textId="77777777" w:rsidTr="0037274E">
              <w:trPr>
                <w:trHeight w:val="300"/>
              </w:trPr>
              <w:tc>
                <w:tcPr>
                  <w:tcW w:w="2496" w:type="dxa"/>
                  <w:tcBorders>
                    <w:top w:val="nil"/>
                    <w:left w:val="nil"/>
                    <w:bottom w:val="nil"/>
                    <w:right w:val="nil"/>
                  </w:tcBorders>
                  <w:shd w:val="clear" w:color="auto" w:fill="auto"/>
                  <w:noWrap/>
                  <w:vAlign w:val="bottom"/>
                </w:tcPr>
                <w:p w14:paraId="6E9BF1A2" w14:textId="52AD67FD" w:rsidR="00AB2BDF" w:rsidRPr="00E27200" w:rsidRDefault="00AB2BDF" w:rsidP="0037274E">
                  <w:pPr>
                    <w:rPr>
                      <w:szCs w:val="22"/>
                      <w:lang w:val="en-AU"/>
                    </w:rPr>
                  </w:pPr>
                  <w:r w:rsidRPr="00E27200">
                    <w:rPr>
                      <w:szCs w:val="22"/>
                      <w:lang w:val="en-AU"/>
                    </w:rPr>
                    <w:t>Vitamin A</w:t>
                  </w:r>
                  <w:r w:rsidR="001F5AC5">
                    <w:rPr>
                      <w:szCs w:val="22"/>
                      <w:lang w:val="en-AU"/>
                    </w:rPr>
                    <w:t>*</w:t>
                  </w:r>
                </w:p>
              </w:tc>
            </w:tr>
            <w:tr w:rsidR="00AB2BDF" w:rsidRPr="00E27200" w14:paraId="495AAE96" w14:textId="77777777" w:rsidTr="0037274E">
              <w:trPr>
                <w:trHeight w:val="300"/>
              </w:trPr>
              <w:tc>
                <w:tcPr>
                  <w:tcW w:w="2496" w:type="dxa"/>
                  <w:tcBorders>
                    <w:top w:val="nil"/>
                    <w:left w:val="nil"/>
                    <w:bottom w:val="nil"/>
                    <w:right w:val="nil"/>
                  </w:tcBorders>
                  <w:shd w:val="clear" w:color="auto" w:fill="auto"/>
                  <w:noWrap/>
                  <w:vAlign w:val="bottom"/>
                </w:tcPr>
                <w:p w14:paraId="43AFC663" w14:textId="617B386A" w:rsidR="00AB2BDF" w:rsidRPr="00E27200" w:rsidRDefault="00AB2BDF" w:rsidP="0037274E">
                  <w:pPr>
                    <w:rPr>
                      <w:szCs w:val="22"/>
                      <w:lang w:val="en-AU"/>
                    </w:rPr>
                  </w:pPr>
                  <w:r w:rsidRPr="00E27200">
                    <w:rPr>
                      <w:szCs w:val="22"/>
                      <w:lang w:val="en-AU"/>
                    </w:rPr>
                    <w:t xml:space="preserve"> Zinc</w:t>
                  </w:r>
                  <w:r w:rsidR="001F5AC5">
                    <w:rPr>
                      <w:szCs w:val="22"/>
                      <w:lang w:val="en-AU"/>
                    </w:rPr>
                    <w:t>*</w:t>
                  </w:r>
                </w:p>
              </w:tc>
            </w:tr>
          </w:tbl>
          <w:p w14:paraId="36E89C8A" w14:textId="77777777" w:rsidR="00AB2BDF" w:rsidRPr="00E27200" w:rsidRDefault="00AB2BDF" w:rsidP="0037274E">
            <w:pPr>
              <w:rPr>
                <w:sz w:val="22"/>
                <w:szCs w:val="22"/>
                <w:lang w:val="en-AU"/>
              </w:rPr>
            </w:pPr>
          </w:p>
        </w:tc>
        <w:tc>
          <w:tcPr>
            <w:tcW w:w="3261" w:type="dxa"/>
            <w:shd w:val="clear" w:color="auto" w:fill="auto"/>
          </w:tcPr>
          <w:tbl>
            <w:tblPr>
              <w:tblW w:w="4076" w:type="dxa"/>
              <w:tblLayout w:type="fixed"/>
              <w:tblLook w:val="04A0" w:firstRow="1" w:lastRow="0" w:firstColumn="1" w:lastColumn="0" w:noHBand="0" w:noVBand="1"/>
            </w:tblPr>
            <w:tblGrid>
              <w:gridCol w:w="4076"/>
            </w:tblGrid>
            <w:tr w:rsidR="00AB2BDF" w:rsidRPr="00E27200" w14:paraId="2BCB6E0B" w14:textId="77777777" w:rsidTr="0037274E">
              <w:trPr>
                <w:trHeight w:val="300"/>
              </w:trPr>
              <w:tc>
                <w:tcPr>
                  <w:tcW w:w="4076" w:type="dxa"/>
                  <w:tcBorders>
                    <w:top w:val="nil"/>
                    <w:left w:val="nil"/>
                    <w:bottom w:val="nil"/>
                    <w:right w:val="nil"/>
                  </w:tcBorders>
                  <w:shd w:val="clear" w:color="auto" w:fill="auto"/>
                  <w:noWrap/>
                  <w:vAlign w:val="bottom"/>
                </w:tcPr>
                <w:p w14:paraId="14CA3121" w14:textId="63F6B369" w:rsidR="00AB2BDF" w:rsidRPr="00E27200" w:rsidRDefault="00AB2BDF" w:rsidP="0037274E">
                  <w:pPr>
                    <w:rPr>
                      <w:szCs w:val="22"/>
                      <w:lang w:val="en-AU"/>
                    </w:rPr>
                  </w:pPr>
                  <w:r w:rsidRPr="00E27200">
                    <w:rPr>
                      <w:szCs w:val="22"/>
                      <w:lang w:val="en-AU"/>
                    </w:rPr>
                    <w:t>Ampicillin injection</w:t>
                  </w:r>
                  <w:r w:rsidR="001F5AC5">
                    <w:rPr>
                      <w:szCs w:val="22"/>
                      <w:lang w:val="en-AU"/>
                    </w:rPr>
                    <w:t>*</w:t>
                  </w:r>
                </w:p>
              </w:tc>
            </w:tr>
            <w:tr w:rsidR="00AB2BDF" w:rsidRPr="00E27200" w14:paraId="3BA1DFC2" w14:textId="77777777" w:rsidTr="0037274E">
              <w:trPr>
                <w:trHeight w:val="300"/>
              </w:trPr>
              <w:tc>
                <w:tcPr>
                  <w:tcW w:w="4076" w:type="dxa"/>
                  <w:tcBorders>
                    <w:top w:val="nil"/>
                    <w:left w:val="nil"/>
                    <w:bottom w:val="nil"/>
                    <w:right w:val="nil"/>
                  </w:tcBorders>
                  <w:shd w:val="clear" w:color="auto" w:fill="auto"/>
                  <w:noWrap/>
                  <w:vAlign w:val="bottom"/>
                </w:tcPr>
                <w:p w14:paraId="36497889" w14:textId="77777777" w:rsidR="00AB2BDF" w:rsidRPr="00E27200" w:rsidRDefault="00AB2BDF" w:rsidP="0037274E">
                  <w:pPr>
                    <w:rPr>
                      <w:szCs w:val="22"/>
                      <w:lang w:val="en-AU"/>
                    </w:rPr>
                  </w:pPr>
                  <w:proofErr w:type="spellStart"/>
                  <w:r w:rsidRPr="00E27200">
                    <w:rPr>
                      <w:szCs w:val="22"/>
                      <w:lang w:val="en-AU"/>
                    </w:rPr>
                    <w:t>Artemether-Lumefantrine</w:t>
                  </w:r>
                  <w:proofErr w:type="spellEnd"/>
                </w:p>
              </w:tc>
            </w:tr>
            <w:tr w:rsidR="00AB2BDF" w:rsidRPr="00E27200" w14:paraId="67C90014" w14:textId="77777777" w:rsidTr="0037274E">
              <w:trPr>
                <w:trHeight w:val="300"/>
              </w:trPr>
              <w:tc>
                <w:tcPr>
                  <w:tcW w:w="4076" w:type="dxa"/>
                  <w:tcBorders>
                    <w:top w:val="nil"/>
                    <w:left w:val="nil"/>
                    <w:bottom w:val="nil"/>
                    <w:right w:val="nil"/>
                  </w:tcBorders>
                  <w:shd w:val="clear" w:color="auto" w:fill="auto"/>
                  <w:noWrap/>
                  <w:vAlign w:val="bottom"/>
                </w:tcPr>
                <w:p w14:paraId="4C11F3F6" w14:textId="4CA4A910" w:rsidR="00AB2BDF" w:rsidRPr="00E27200" w:rsidRDefault="00AB2BDF" w:rsidP="0037274E">
                  <w:pPr>
                    <w:rPr>
                      <w:szCs w:val="22"/>
                      <w:lang w:val="en-AU"/>
                    </w:rPr>
                  </w:pPr>
                  <w:proofErr w:type="spellStart"/>
                  <w:r w:rsidRPr="00E27200">
                    <w:rPr>
                      <w:szCs w:val="22"/>
                      <w:lang w:val="en-AU"/>
                    </w:rPr>
                    <w:t>Artesunate</w:t>
                  </w:r>
                  <w:proofErr w:type="spellEnd"/>
                  <w:r w:rsidRPr="00E27200">
                    <w:rPr>
                      <w:szCs w:val="22"/>
                      <w:lang w:val="en-AU"/>
                    </w:rPr>
                    <w:t xml:space="preserve"> suppository</w:t>
                  </w:r>
                  <w:r w:rsidR="001F5AC5">
                    <w:rPr>
                      <w:szCs w:val="22"/>
                      <w:lang w:val="en-AU"/>
                    </w:rPr>
                    <w:t>*</w:t>
                  </w:r>
                </w:p>
              </w:tc>
            </w:tr>
            <w:tr w:rsidR="00AB2BDF" w:rsidRPr="00E27200" w14:paraId="2DBC9CC1" w14:textId="77777777" w:rsidTr="0037274E">
              <w:trPr>
                <w:trHeight w:val="300"/>
              </w:trPr>
              <w:tc>
                <w:tcPr>
                  <w:tcW w:w="4076" w:type="dxa"/>
                  <w:tcBorders>
                    <w:top w:val="nil"/>
                    <w:left w:val="nil"/>
                    <w:bottom w:val="nil"/>
                    <w:right w:val="nil"/>
                  </w:tcBorders>
                  <w:shd w:val="clear" w:color="auto" w:fill="auto"/>
                  <w:noWrap/>
                  <w:vAlign w:val="bottom"/>
                </w:tcPr>
                <w:p w14:paraId="2514E5B2" w14:textId="0A4DB2DE" w:rsidR="00AB2BDF" w:rsidRPr="00E27200" w:rsidRDefault="00AB2BDF" w:rsidP="0037274E">
                  <w:pPr>
                    <w:rPr>
                      <w:szCs w:val="22"/>
                      <w:lang w:val="en-AU"/>
                    </w:rPr>
                  </w:pPr>
                  <w:r w:rsidRPr="00E27200">
                    <w:rPr>
                      <w:szCs w:val="22"/>
                      <w:lang w:val="en-AU"/>
                    </w:rPr>
                    <w:t>Chloramphenicol injection</w:t>
                  </w:r>
                  <w:r w:rsidR="001F5AC5">
                    <w:rPr>
                      <w:szCs w:val="22"/>
                      <w:lang w:val="en-AU"/>
                    </w:rPr>
                    <w:t>*</w:t>
                  </w:r>
                </w:p>
              </w:tc>
            </w:tr>
            <w:tr w:rsidR="00AB2BDF" w:rsidRPr="00E27200" w14:paraId="38883331" w14:textId="77777777" w:rsidTr="0037274E">
              <w:trPr>
                <w:trHeight w:val="300"/>
              </w:trPr>
              <w:tc>
                <w:tcPr>
                  <w:tcW w:w="4076" w:type="dxa"/>
                  <w:tcBorders>
                    <w:top w:val="nil"/>
                    <w:left w:val="nil"/>
                    <w:bottom w:val="nil"/>
                    <w:right w:val="nil"/>
                  </w:tcBorders>
                  <w:shd w:val="clear" w:color="auto" w:fill="auto"/>
                  <w:noWrap/>
                  <w:vAlign w:val="bottom"/>
                </w:tcPr>
                <w:p w14:paraId="37D66FB5" w14:textId="77777777" w:rsidR="00AB2BDF" w:rsidRPr="00E27200" w:rsidRDefault="00AB2BDF" w:rsidP="0037274E">
                  <w:pPr>
                    <w:rPr>
                      <w:szCs w:val="22"/>
                      <w:lang w:val="en-AU"/>
                    </w:rPr>
                  </w:pPr>
                  <w:r w:rsidRPr="00E27200">
                    <w:rPr>
                      <w:szCs w:val="22"/>
                      <w:lang w:val="en-AU"/>
                    </w:rPr>
                    <w:t>Gentamicin injection</w:t>
                  </w:r>
                </w:p>
              </w:tc>
            </w:tr>
            <w:tr w:rsidR="00AB2BDF" w:rsidRPr="00E27200" w14:paraId="6F8EAF48" w14:textId="77777777" w:rsidTr="0037274E">
              <w:trPr>
                <w:trHeight w:val="300"/>
              </w:trPr>
              <w:tc>
                <w:tcPr>
                  <w:tcW w:w="4076" w:type="dxa"/>
                  <w:tcBorders>
                    <w:top w:val="nil"/>
                    <w:left w:val="nil"/>
                    <w:bottom w:val="nil"/>
                    <w:right w:val="nil"/>
                  </w:tcBorders>
                  <w:shd w:val="clear" w:color="auto" w:fill="auto"/>
                  <w:noWrap/>
                  <w:vAlign w:val="bottom"/>
                </w:tcPr>
                <w:p w14:paraId="5C20C0BB" w14:textId="61D39B74" w:rsidR="00AB2BDF" w:rsidRPr="00E27200" w:rsidRDefault="00AB2BDF" w:rsidP="0037274E">
                  <w:pPr>
                    <w:rPr>
                      <w:szCs w:val="22"/>
                      <w:lang w:val="en-AU"/>
                    </w:rPr>
                  </w:pPr>
                  <w:r w:rsidRPr="00E27200">
                    <w:rPr>
                      <w:szCs w:val="22"/>
                      <w:lang w:val="en-AU"/>
                    </w:rPr>
                    <w:t>Magnesium sulphate injection</w:t>
                  </w:r>
                  <w:r w:rsidR="001F5AC5">
                    <w:rPr>
                      <w:szCs w:val="22"/>
                      <w:lang w:val="en-AU"/>
                    </w:rPr>
                    <w:t>*</w:t>
                  </w:r>
                </w:p>
              </w:tc>
            </w:tr>
            <w:tr w:rsidR="00AB2BDF" w:rsidRPr="00E27200" w14:paraId="766ECCC6" w14:textId="77777777" w:rsidTr="0037274E">
              <w:trPr>
                <w:trHeight w:val="300"/>
              </w:trPr>
              <w:tc>
                <w:tcPr>
                  <w:tcW w:w="4076" w:type="dxa"/>
                  <w:tcBorders>
                    <w:top w:val="nil"/>
                    <w:left w:val="nil"/>
                    <w:bottom w:val="nil"/>
                    <w:right w:val="nil"/>
                  </w:tcBorders>
                  <w:shd w:val="clear" w:color="auto" w:fill="auto"/>
                  <w:noWrap/>
                  <w:vAlign w:val="bottom"/>
                </w:tcPr>
                <w:p w14:paraId="4FE745D5" w14:textId="77777777" w:rsidR="00AB2BDF" w:rsidRPr="00E27200" w:rsidRDefault="00AB2BDF" w:rsidP="0037274E">
                  <w:pPr>
                    <w:rPr>
                      <w:szCs w:val="22"/>
                      <w:lang w:val="en-AU"/>
                    </w:rPr>
                  </w:pPr>
                  <w:proofErr w:type="spellStart"/>
                  <w:r w:rsidRPr="00E27200">
                    <w:rPr>
                      <w:szCs w:val="22"/>
                      <w:lang w:val="en-AU"/>
                    </w:rPr>
                    <w:t>Medroxyprogesterone</w:t>
                  </w:r>
                  <w:proofErr w:type="spellEnd"/>
                  <w:r w:rsidRPr="00E27200">
                    <w:rPr>
                      <w:szCs w:val="22"/>
                      <w:lang w:val="en-AU"/>
                    </w:rPr>
                    <w:t xml:space="preserve"> depot          injection</w:t>
                  </w:r>
                </w:p>
              </w:tc>
            </w:tr>
            <w:tr w:rsidR="00AB2BDF" w:rsidRPr="00E27200" w14:paraId="4C21F89E" w14:textId="77777777" w:rsidTr="0037274E">
              <w:trPr>
                <w:trHeight w:val="300"/>
              </w:trPr>
              <w:tc>
                <w:tcPr>
                  <w:tcW w:w="4076" w:type="dxa"/>
                  <w:tcBorders>
                    <w:top w:val="nil"/>
                    <w:left w:val="nil"/>
                    <w:bottom w:val="nil"/>
                    <w:right w:val="nil"/>
                  </w:tcBorders>
                  <w:shd w:val="clear" w:color="auto" w:fill="auto"/>
                  <w:noWrap/>
                  <w:vAlign w:val="bottom"/>
                </w:tcPr>
                <w:p w14:paraId="13B2C450" w14:textId="10D0842F" w:rsidR="00AB2BDF" w:rsidRPr="00E27200" w:rsidRDefault="001F5AC5" w:rsidP="0037274E">
                  <w:pPr>
                    <w:rPr>
                      <w:szCs w:val="22"/>
                      <w:lang w:val="en-AU"/>
                    </w:rPr>
                  </w:pPr>
                  <w:r>
                    <w:rPr>
                      <w:szCs w:val="22"/>
                      <w:lang w:val="en-AU"/>
                    </w:rPr>
                    <w:t>Misoprostol*</w:t>
                  </w:r>
                </w:p>
              </w:tc>
            </w:tr>
            <w:tr w:rsidR="00AB2BDF" w:rsidRPr="00E27200" w14:paraId="48D7B9EC" w14:textId="77777777" w:rsidTr="0037274E">
              <w:trPr>
                <w:trHeight w:val="300"/>
              </w:trPr>
              <w:tc>
                <w:tcPr>
                  <w:tcW w:w="4076" w:type="dxa"/>
                  <w:tcBorders>
                    <w:top w:val="nil"/>
                    <w:left w:val="nil"/>
                    <w:bottom w:val="nil"/>
                    <w:right w:val="nil"/>
                  </w:tcBorders>
                  <w:shd w:val="clear" w:color="auto" w:fill="auto"/>
                  <w:noWrap/>
                  <w:vAlign w:val="bottom"/>
                </w:tcPr>
                <w:p w14:paraId="4E4BB125" w14:textId="77777777" w:rsidR="00AB2BDF" w:rsidRPr="00E27200" w:rsidRDefault="00AB2BDF" w:rsidP="0037274E">
                  <w:pPr>
                    <w:rPr>
                      <w:szCs w:val="22"/>
                      <w:lang w:val="en-AU"/>
                    </w:rPr>
                  </w:pPr>
                  <w:r w:rsidRPr="00E27200">
                    <w:rPr>
                      <w:szCs w:val="22"/>
                      <w:lang w:val="en-AU"/>
                    </w:rPr>
                    <w:t>Oxytocin injection</w:t>
                  </w:r>
                </w:p>
              </w:tc>
            </w:tr>
            <w:tr w:rsidR="00AB2BDF" w:rsidRPr="00E27200" w14:paraId="2194E041" w14:textId="77777777" w:rsidTr="0037274E">
              <w:trPr>
                <w:trHeight w:val="300"/>
              </w:trPr>
              <w:tc>
                <w:tcPr>
                  <w:tcW w:w="4076" w:type="dxa"/>
                  <w:tcBorders>
                    <w:top w:val="nil"/>
                    <w:left w:val="nil"/>
                    <w:bottom w:val="nil"/>
                    <w:right w:val="nil"/>
                  </w:tcBorders>
                  <w:shd w:val="clear" w:color="auto" w:fill="auto"/>
                  <w:noWrap/>
                  <w:vAlign w:val="bottom"/>
                </w:tcPr>
                <w:p w14:paraId="170478A4" w14:textId="2A6BAAFC" w:rsidR="00AB2BDF" w:rsidRPr="00E27200" w:rsidRDefault="00AB2BDF" w:rsidP="0037274E">
                  <w:pPr>
                    <w:rPr>
                      <w:szCs w:val="22"/>
                      <w:lang w:val="en-AU"/>
                    </w:rPr>
                  </w:pPr>
                  <w:r w:rsidRPr="00E27200">
                    <w:rPr>
                      <w:szCs w:val="22"/>
                      <w:lang w:val="en-AU"/>
                    </w:rPr>
                    <w:t>Sodium Chloride solution</w:t>
                  </w:r>
                  <w:r w:rsidR="001F5AC5">
                    <w:rPr>
                      <w:szCs w:val="22"/>
                      <w:lang w:val="en-AU"/>
                    </w:rPr>
                    <w:t>*</w:t>
                  </w:r>
                </w:p>
              </w:tc>
            </w:tr>
            <w:tr w:rsidR="00AB2BDF" w:rsidRPr="00E27200" w14:paraId="323DA31E" w14:textId="77777777" w:rsidTr="0037274E">
              <w:trPr>
                <w:trHeight w:val="300"/>
              </w:trPr>
              <w:tc>
                <w:tcPr>
                  <w:tcW w:w="4076" w:type="dxa"/>
                  <w:tcBorders>
                    <w:top w:val="nil"/>
                    <w:left w:val="nil"/>
                    <w:bottom w:val="nil"/>
                    <w:right w:val="nil"/>
                  </w:tcBorders>
                  <w:shd w:val="clear" w:color="auto" w:fill="auto"/>
                  <w:noWrap/>
                  <w:vAlign w:val="bottom"/>
                </w:tcPr>
                <w:p w14:paraId="676BEBB0" w14:textId="1BB2F161" w:rsidR="00AB2BDF" w:rsidRPr="00E27200" w:rsidRDefault="00AB2BDF" w:rsidP="0037274E">
                  <w:pPr>
                    <w:rPr>
                      <w:szCs w:val="22"/>
                      <w:lang w:val="en-AU"/>
                    </w:rPr>
                  </w:pPr>
                  <w:r w:rsidRPr="00E27200">
                    <w:rPr>
                      <w:szCs w:val="22"/>
                      <w:lang w:val="en-AU"/>
                    </w:rPr>
                    <w:t>Vitamin A</w:t>
                  </w:r>
                  <w:r w:rsidR="001F5AC5">
                    <w:rPr>
                      <w:szCs w:val="22"/>
                      <w:lang w:val="en-AU"/>
                    </w:rPr>
                    <w:t>*</w:t>
                  </w:r>
                </w:p>
              </w:tc>
            </w:tr>
            <w:tr w:rsidR="00AB2BDF" w:rsidRPr="00E27200" w14:paraId="136A8109" w14:textId="77777777" w:rsidTr="0037274E">
              <w:trPr>
                <w:trHeight w:val="300"/>
              </w:trPr>
              <w:tc>
                <w:tcPr>
                  <w:tcW w:w="4076" w:type="dxa"/>
                  <w:tcBorders>
                    <w:top w:val="nil"/>
                    <w:left w:val="nil"/>
                    <w:bottom w:val="nil"/>
                    <w:right w:val="nil"/>
                  </w:tcBorders>
                  <w:shd w:val="clear" w:color="auto" w:fill="auto"/>
                  <w:noWrap/>
                  <w:vAlign w:val="bottom"/>
                </w:tcPr>
                <w:p w14:paraId="01A78A1F" w14:textId="6F90A911" w:rsidR="00AB2BDF" w:rsidRPr="00E27200" w:rsidRDefault="00AB2BDF" w:rsidP="0037274E">
                  <w:pPr>
                    <w:rPr>
                      <w:szCs w:val="22"/>
                      <w:lang w:val="en-AU"/>
                    </w:rPr>
                  </w:pPr>
                  <w:r w:rsidRPr="00E27200">
                    <w:rPr>
                      <w:szCs w:val="22"/>
                      <w:lang w:val="en-AU"/>
                    </w:rPr>
                    <w:t>Zinc</w:t>
                  </w:r>
                  <w:r w:rsidR="001F5AC5">
                    <w:rPr>
                      <w:szCs w:val="22"/>
                      <w:lang w:val="en-AU"/>
                    </w:rPr>
                    <w:t>*</w:t>
                  </w:r>
                </w:p>
              </w:tc>
            </w:tr>
          </w:tbl>
          <w:p w14:paraId="77E4EB77" w14:textId="77777777" w:rsidR="00AB2BDF" w:rsidRPr="00E27200" w:rsidRDefault="00AB2BDF" w:rsidP="0037274E">
            <w:pPr>
              <w:rPr>
                <w:sz w:val="22"/>
                <w:szCs w:val="22"/>
                <w:lang w:val="en-AU"/>
              </w:rPr>
            </w:pPr>
          </w:p>
        </w:tc>
        <w:tc>
          <w:tcPr>
            <w:tcW w:w="3543" w:type="dxa"/>
            <w:shd w:val="clear" w:color="auto" w:fill="auto"/>
          </w:tcPr>
          <w:tbl>
            <w:tblPr>
              <w:tblW w:w="4076" w:type="dxa"/>
              <w:tblLayout w:type="fixed"/>
              <w:tblLook w:val="04A0" w:firstRow="1" w:lastRow="0" w:firstColumn="1" w:lastColumn="0" w:noHBand="0" w:noVBand="1"/>
            </w:tblPr>
            <w:tblGrid>
              <w:gridCol w:w="4076"/>
            </w:tblGrid>
            <w:tr w:rsidR="00AB2BDF" w:rsidRPr="00E27200" w14:paraId="03AFD697" w14:textId="77777777" w:rsidTr="0037274E">
              <w:trPr>
                <w:trHeight w:val="300"/>
              </w:trPr>
              <w:tc>
                <w:tcPr>
                  <w:tcW w:w="4076" w:type="dxa"/>
                  <w:tcBorders>
                    <w:top w:val="nil"/>
                    <w:left w:val="nil"/>
                    <w:bottom w:val="nil"/>
                    <w:right w:val="nil"/>
                  </w:tcBorders>
                  <w:shd w:val="clear" w:color="auto" w:fill="auto"/>
                  <w:noWrap/>
                  <w:vAlign w:val="bottom"/>
                </w:tcPr>
                <w:p w14:paraId="242A3E96" w14:textId="77777777" w:rsidR="00AB2BDF" w:rsidRPr="00E27200" w:rsidRDefault="00AB2BDF" w:rsidP="0037274E">
                  <w:pPr>
                    <w:rPr>
                      <w:szCs w:val="22"/>
                      <w:lang w:val="en-AU"/>
                    </w:rPr>
                  </w:pPr>
                  <w:r w:rsidRPr="00E27200">
                    <w:rPr>
                      <w:szCs w:val="22"/>
                      <w:lang w:val="en-AU"/>
                    </w:rPr>
                    <w:t>Ampicillin injection</w:t>
                  </w:r>
                </w:p>
              </w:tc>
            </w:tr>
            <w:tr w:rsidR="00AB2BDF" w:rsidRPr="00E27200" w14:paraId="13C20C15" w14:textId="77777777" w:rsidTr="0037274E">
              <w:trPr>
                <w:trHeight w:val="300"/>
              </w:trPr>
              <w:tc>
                <w:tcPr>
                  <w:tcW w:w="4076" w:type="dxa"/>
                  <w:tcBorders>
                    <w:top w:val="nil"/>
                    <w:left w:val="nil"/>
                    <w:bottom w:val="nil"/>
                    <w:right w:val="nil"/>
                  </w:tcBorders>
                  <w:shd w:val="clear" w:color="auto" w:fill="auto"/>
                  <w:noWrap/>
                  <w:vAlign w:val="bottom"/>
                </w:tcPr>
                <w:p w14:paraId="0BC80705" w14:textId="77777777" w:rsidR="00AB2BDF" w:rsidRPr="00E27200" w:rsidRDefault="00AB2BDF" w:rsidP="0037274E">
                  <w:pPr>
                    <w:rPr>
                      <w:szCs w:val="22"/>
                      <w:lang w:val="en-AU"/>
                    </w:rPr>
                  </w:pPr>
                  <w:proofErr w:type="spellStart"/>
                  <w:r w:rsidRPr="00E27200">
                    <w:rPr>
                      <w:szCs w:val="22"/>
                      <w:lang w:val="en-AU"/>
                    </w:rPr>
                    <w:t>Artemether-Lumefantrine</w:t>
                  </w:r>
                  <w:proofErr w:type="spellEnd"/>
                  <w:r w:rsidRPr="00E27200">
                    <w:rPr>
                      <w:szCs w:val="22"/>
                      <w:lang w:val="en-AU"/>
                    </w:rPr>
                    <w:t xml:space="preserve"> </w:t>
                  </w:r>
                </w:p>
              </w:tc>
            </w:tr>
            <w:tr w:rsidR="00AB2BDF" w:rsidRPr="00E27200" w14:paraId="0573B0A5" w14:textId="77777777" w:rsidTr="0037274E">
              <w:trPr>
                <w:trHeight w:val="300"/>
              </w:trPr>
              <w:tc>
                <w:tcPr>
                  <w:tcW w:w="4076" w:type="dxa"/>
                  <w:tcBorders>
                    <w:top w:val="nil"/>
                    <w:left w:val="nil"/>
                    <w:bottom w:val="nil"/>
                    <w:right w:val="nil"/>
                  </w:tcBorders>
                  <w:shd w:val="clear" w:color="auto" w:fill="auto"/>
                  <w:noWrap/>
                  <w:vAlign w:val="bottom"/>
                </w:tcPr>
                <w:p w14:paraId="16563D20" w14:textId="6E7B6046" w:rsidR="00AB2BDF" w:rsidRPr="00E27200" w:rsidRDefault="00AB2BDF" w:rsidP="0037274E">
                  <w:pPr>
                    <w:rPr>
                      <w:szCs w:val="22"/>
                      <w:lang w:val="en-AU"/>
                    </w:rPr>
                  </w:pPr>
                  <w:proofErr w:type="spellStart"/>
                  <w:r w:rsidRPr="00E27200">
                    <w:rPr>
                      <w:szCs w:val="22"/>
                      <w:lang w:val="en-AU"/>
                    </w:rPr>
                    <w:t>Artesunate</w:t>
                  </w:r>
                  <w:proofErr w:type="spellEnd"/>
                  <w:r w:rsidRPr="00E27200">
                    <w:rPr>
                      <w:szCs w:val="22"/>
                      <w:lang w:val="en-AU"/>
                    </w:rPr>
                    <w:t xml:space="preserve"> suppository</w:t>
                  </w:r>
                  <w:r w:rsidR="00361146">
                    <w:rPr>
                      <w:szCs w:val="22"/>
                      <w:lang w:val="en-AU"/>
                    </w:rPr>
                    <w:t>*</w:t>
                  </w:r>
                  <w:r w:rsidRPr="00E27200">
                    <w:rPr>
                      <w:szCs w:val="22"/>
                      <w:lang w:val="en-AU"/>
                    </w:rPr>
                    <w:t xml:space="preserve"> </w:t>
                  </w:r>
                </w:p>
              </w:tc>
            </w:tr>
            <w:tr w:rsidR="00AB2BDF" w:rsidRPr="00E27200" w14:paraId="097FE2D4" w14:textId="77777777" w:rsidTr="0037274E">
              <w:trPr>
                <w:trHeight w:val="300"/>
              </w:trPr>
              <w:tc>
                <w:tcPr>
                  <w:tcW w:w="4076" w:type="dxa"/>
                  <w:tcBorders>
                    <w:top w:val="nil"/>
                    <w:left w:val="nil"/>
                    <w:bottom w:val="nil"/>
                    <w:right w:val="nil"/>
                  </w:tcBorders>
                  <w:shd w:val="clear" w:color="auto" w:fill="auto"/>
                  <w:noWrap/>
                  <w:vAlign w:val="bottom"/>
                </w:tcPr>
                <w:p w14:paraId="424C7060" w14:textId="77777777" w:rsidR="00AB2BDF" w:rsidRPr="00E27200" w:rsidRDefault="00AB2BDF" w:rsidP="0037274E">
                  <w:pPr>
                    <w:rPr>
                      <w:szCs w:val="22"/>
                      <w:lang w:val="en-AU"/>
                    </w:rPr>
                  </w:pPr>
                  <w:r w:rsidRPr="00E27200">
                    <w:rPr>
                      <w:szCs w:val="22"/>
                      <w:lang w:val="en-AU"/>
                    </w:rPr>
                    <w:t xml:space="preserve">Chloramphenicol injection </w:t>
                  </w:r>
                </w:p>
              </w:tc>
            </w:tr>
            <w:tr w:rsidR="00AB2BDF" w:rsidRPr="00E27200" w14:paraId="1042E9FE" w14:textId="77777777" w:rsidTr="0037274E">
              <w:trPr>
                <w:trHeight w:val="300"/>
              </w:trPr>
              <w:tc>
                <w:tcPr>
                  <w:tcW w:w="4076" w:type="dxa"/>
                  <w:tcBorders>
                    <w:top w:val="nil"/>
                    <w:left w:val="nil"/>
                    <w:bottom w:val="nil"/>
                    <w:right w:val="nil"/>
                  </w:tcBorders>
                  <w:shd w:val="clear" w:color="auto" w:fill="auto"/>
                  <w:noWrap/>
                  <w:vAlign w:val="bottom"/>
                </w:tcPr>
                <w:p w14:paraId="0A2D8B3A" w14:textId="77777777" w:rsidR="00AB2BDF" w:rsidRPr="00E27200" w:rsidRDefault="00AB2BDF" w:rsidP="0037274E">
                  <w:pPr>
                    <w:rPr>
                      <w:szCs w:val="22"/>
                      <w:lang w:val="en-AU"/>
                    </w:rPr>
                  </w:pPr>
                  <w:r w:rsidRPr="00E27200">
                    <w:rPr>
                      <w:szCs w:val="22"/>
                      <w:lang w:val="en-AU"/>
                    </w:rPr>
                    <w:t xml:space="preserve">Gentamicin injection </w:t>
                  </w:r>
                </w:p>
              </w:tc>
            </w:tr>
            <w:tr w:rsidR="00AB2BDF" w:rsidRPr="00E27200" w14:paraId="09732465" w14:textId="77777777" w:rsidTr="0037274E">
              <w:trPr>
                <w:trHeight w:val="300"/>
              </w:trPr>
              <w:tc>
                <w:tcPr>
                  <w:tcW w:w="4076" w:type="dxa"/>
                  <w:tcBorders>
                    <w:top w:val="nil"/>
                    <w:left w:val="nil"/>
                    <w:bottom w:val="nil"/>
                    <w:right w:val="nil"/>
                  </w:tcBorders>
                  <w:shd w:val="clear" w:color="auto" w:fill="auto"/>
                  <w:noWrap/>
                  <w:vAlign w:val="bottom"/>
                </w:tcPr>
                <w:p w14:paraId="72177868" w14:textId="5FAFD300" w:rsidR="00AB2BDF" w:rsidRPr="00E27200" w:rsidRDefault="00AB2BDF" w:rsidP="0037274E">
                  <w:pPr>
                    <w:rPr>
                      <w:szCs w:val="22"/>
                      <w:lang w:val="en-AU"/>
                    </w:rPr>
                  </w:pPr>
                  <w:r w:rsidRPr="00E27200">
                    <w:rPr>
                      <w:szCs w:val="22"/>
                      <w:lang w:val="en-AU"/>
                    </w:rPr>
                    <w:t xml:space="preserve">Magnesium sulphate injection </w:t>
                  </w:r>
                </w:p>
              </w:tc>
            </w:tr>
            <w:tr w:rsidR="00AB2BDF" w:rsidRPr="00E27200" w14:paraId="002C5176" w14:textId="77777777" w:rsidTr="0037274E">
              <w:trPr>
                <w:trHeight w:val="300"/>
              </w:trPr>
              <w:tc>
                <w:tcPr>
                  <w:tcW w:w="4076" w:type="dxa"/>
                  <w:tcBorders>
                    <w:top w:val="nil"/>
                    <w:left w:val="nil"/>
                    <w:bottom w:val="nil"/>
                    <w:right w:val="nil"/>
                  </w:tcBorders>
                  <w:shd w:val="clear" w:color="auto" w:fill="auto"/>
                  <w:noWrap/>
                  <w:vAlign w:val="bottom"/>
                </w:tcPr>
                <w:p w14:paraId="2147FED9" w14:textId="77777777" w:rsidR="00AB2BDF" w:rsidRPr="00E27200" w:rsidRDefault="00AB2BDF" w:rsidP="0037274E">
                  <w:pPr>
                    <w:rPr>
                      <w:szCs w:val="22"/>
                      <w:lang w:val="en-AU"/>
                    </w:rPr>
                  </w:pPr>
                  <w:proofErr w:type="spellStart"/>
                  <w:r w:rsidRPr="00E27200">
                    <w:rPr>
                      <w:szCs w:val="22"/>
                      <w:lang w:val="en-AU"/>
                    </w:rPr>
                    <w:t>Medroxyprogesterone</w:t>
                  </w:r>
                  <w:proofErr w:type="spellEnd"/>
                  <w:r w:rsidRPr="00E27200">
                    <w:rPr>
                      <w:szCs w:val="22"/>
                      <w:lang w:val="en-AU"/>
                    </w:rPr>
                    <w:t xml:space="preserve"> depot </w:t>
                  </w:r>
                </w:p>
                <w:p w14:paraId="6208A199" w14:textId="77777777" w:rsidR="00AB2BDF" w:rsidRPr="00E27200" w:rsidRDefault="00AB2BDF" w:rsidP="0037274E">
                  <w:pPr>
                    <w:rPr>
                      <w:szCs w:val="22"/>
                      <w:lang w:val="en-AU"/>
                    </w:rPr>
                  </w:pPr>
                  <w:r w:rsidRPr="00E27200">
                    <w:rPr>
                      <w:szCs w:val="22"/>
                      <w:lang w:val="en-AU"/>
                    </w:rPr>
                    <w:t xml:space="preserve">   injection </w:t>
                  </w:r>
                </w:p>
              </w:tc>
            </w:tr>
            <w:tr w:rsidR="00AB2BDF" w:rsidRPr="00E27200" w14:paraId="4389FAA6" w14:textId="77777777" w:rsidTr="0037274E">
              <w:trPr>
                <w:trHeight w:val="300"/>
              </w:trPr>
              <w:tc>
                <w:tcPr>
                  <w:tcW w:w="4076" w:type="dxa"/>
                  <w:tcBorders>
                    <w:top w:val="nil"/>
                    <w:left w:val="nil"/>
                    <w:bottom w:val="nil"/>
                    <w:right w:val="nil"/>
                  </w:tcBorders>
                  <w:shd w:val="clear" w:color="auto" w:fill="auto"/>
                  <w:noWrap/>
                  <w:vAlign w:val="bottom"/>
                </w:tcPr>
                <w:p w14:paraId="3F3DDE67" w14:textId="773E88B4" w:rsidR="00AB2BDF" w:rsidRPr="00E27200" w:rsidRDefault="00AB2BDF" w:rsidP="0037274E">
                  <w:pPr>
                    <w:rPr>
                      <w:szCs w:val="22"/>
                      <w:lang w:val="en-AU"/>
                    </w:rPr>
                  </w:pPr>
                  <w:r w:rsidRPr="00E27200">
                    <w:rPr>
                      <w:szCs w:val="22"/>
                      <w:lang w:val="en-AU"/>
                    </w:rPr>
                    <w:t>Misoprostol</w:t>
                  </w:r>
                </w:p>
              </w:tc>
            </w:tr>
            <w:tr w:rsidR="00AB2BDF" w:rsidRPr="00E27200" w14:paraId="7AF9E83E" w14:textId="77777777" w:rsidTr="0037274E">
              <w:trPr>
                <w:trHeight w:val="300"/>
              </w:trPr>
              <w:tc>
                <w:tcPr>
                  <w:tcW w:w="4076" w:type="dxa"/>
                  <w:tcBorders>
                    <w:top w:val="nil"/>
                    <w:left w:val="nil"/>
                    <w:bottom w:val="nil"/>
                    <w:right w:val="nil"/>
                  </w:tcBorders>
                  <w:shd w:val="clear" w:color="auto" w:fill="auto"/>
                  <w:noWrap/>
                  <w:vAlign w:val="bottom"/>
                </w:tcPr>
                <w:p w14:paraId="1F618361" w14:textId="77777777" w:rsidR="00AB2BDF" w:rsidRPr="00E27200" w:rsidRDefault="00AB2BDF" w:rsidP="0037274E">
                  <w:pPr>
                    <w:rPr>
                      <w:szCs w:val="22"/>
                      <w:lang w:val="en-AU"/>
                    </w:rPr>
                  </w:pPr>
                  <w:r w:rsidRPr="00E27200">
                    <w:rPr>
                      <w:szCs w:val="22"/>
                      <w:lang w:val="en-AU"/>
                    </w:rPr>
                    <w:t>Oxytocin injection</w:t>
                  </w:r>
                </w:p>
              </w:tc>
            </w:tr>
            <w:tr w:rsidR="00AB2BDF" w:rsidRPr="00E27200" w14:paraId="65303899" w14:textId="77777777" w:rsidTr="0037274E">
              <w:trPr>
                <w:trHeight w:val="300"/>
              </w:trPr>
              <w:tc>
                <w:tcPr>
                  <w:tcW w:w="4076" w:type="dxa"/>
                  <w:tcBorders>
                    <w:top w:val="nil"/>
                    <w:left w:val="nil"/>
                    <w:bottom w:val="nil"/>
                    <w:right w:val="nil"/>
                  </w:tcBorders>
                  <w:shd w:val="clear" w:color="auto" w:fill="auto"/>
                  <w:noWrap/>
                  <w:vAlign w:val="bottom"/>
                </w:tcPr>
                <w:p w14:paraId="604F81B7" w14:textId="77777777" w:rsidR="00AB2BDF" w:rsidRPr="00E27200" w:rsidRDefault="00AB2BDF" w:rsidP="0037274E">
                  <w:pPr>
                    <w:rPr>
                      <w:szCs w:val="22"/>
                      <w:lang w:val="en-AU"/>
                    </w:rPr>
                  </w:pPr>
                  <w:r w:rsidRPr="00E27200">
                    <w:rPr>
                      <w:szCs w:val="22"/>
                      <w:lang w:val="en-AU"/>
                    </w:rPr>
                    <w:t xml:space="preserve">Sodium Chloride solution </w:t>
                  </w:r>
                </w:p>
              </w:tc>
            </w:tr>
            <w:tr w:rsidR="00AB2BDF" w:rsidRPr="00E27200" w14:paraId="1CFF4B35" w14:textId="77777777" w:rsidTr="0037274E">
              <w:trPr>
                <w:trHeight w:val="300"/>
              </w:trPr>
              <w:tc>
                <w:tcPr>
                  <w:tcW w:w="4076" w:type="dxa"/>
                  <w:tcBorders>
                    <w:top w:val="nil"/>
                    <w:left w:val="nil"/>
                    <w:bottom w:val="nil"/>
                    <w:right w:val="nil"/>
                  </w:tcBorders>
                  <w:shd w:val="clear" w:color="auto" w:fill="auto"/>
                  <w:noWrap/>
                  <w:vAlign w:val="bottom"/>
                </w:tcPr>
                <w:p w14:paraId="05F82DBC" w14:textId="13421239" w:rsidR="00AB2BDF" w:rsidRPr="00E27200" w:rsidRDefault="00AB2BDF" w:rsidP="0037274E">
                  <w:pPr>
                    <w:rPr>
                      <w:szCs w:val="22"/>
                      <w:lang w:val="en-AU"/>
                    </w:rPr>
                  </w:pPr>
                  <w:r w:rsidRPr="00E27200">
                    <w:rPr>
                      <w:szCs w:val="22"/>
                      <w:lang w:val="en-AU"/>
                    </w:rPr>
                    <w:t>Vitamin A</w:t>
                  </w:r>
                  <w:r w:rsidR="001F5AC5">
                    <w:rPr>
                      <w:szCs w:val="22"/>
                      <w:lang w:val="en-AU"/>
                    </w:rPr>
                    <w:t>*</w:t>
                  </w:r>
                </w:p>
              </w:tc>
            </w:tr>
            <w:tr w:rsidR="00AB2BDF" w:rsidRPr="00E27200" w14:paraId="38860F70" w14:textId="77777777" w:rsidTr="0037274E">
              <w:trPr>
                <w:trHeight w:val="300"/>
              </w:trPr>
              <w:tc>
                <w:tcPr>
                  <w:tcW w:w="4076" w:type="dxa"/>
                  <w:tcBorders>
                    <w:top w:val="nil"/>
                    <w:left w:val="nil"/>
                    <w:bottom w:val="nil"/>
                    <w:right w:val="nil"/>
                  </w:tcBorders>
                  <w:shd w:val="clear" w:color="auto" w:fill="auto"/>
                  <w:noWrap/>
                  <w:vAlign w:val="bottom"/>
                </w:tcPr>
                <w:p w14:paraId="08F4F5CB" w14:textId="68C1D837" w:rsidR="00AB2BDF" w:rsidRPr="00E27200" w:rsidRDefault="00AB2BDF" w:rsidP="0037274E">
                  <w:pPr>
                    <w:rPr>
                      <w:szCs w:val="22"/>
                      <w:lang w:val="en-AU"/>
                    </w:rPr>
                  </w:pPr>
                  <w:r w:rsidRPr="00E27200">
                    <w:rPr>
                      <w:szCs w:val="22"/>
                      <w:lang w:val="en-AU"/>
                    </w:rPr>
                    <w:t>Zinc</w:t>
                  </w:r>
                  <w:r w:rsidR="001F5AC5">
                    <w:rPr>
                      <w:szCs w:val="22"/>
                      <w:lang w:val="en-AU"/>
                    </w:rPr>
                    <w:t>*</w:t>
                  </w:r>
                </w:p>
              </w:tc>
            </w:tr>
          </w:tbl>
          <w:p w14:paraId="0A0B195A" w14:textId="77777777" w:rsidR="00AB2BDF" w:rsidRPr="00E27200" w:rsidRDefault="00AB2BDF" w:rsidP="0037274E">
            <w:pPr>
              <w:rPr>
                <w:sz w:val="22"/>
                <w:szCs w:val="22"/>
                <w:lang w:val="en-AU"/>
              </w:rPr>
            </w:pPr>
          </w:p>
        </w:tc>
      </w:tr>
    </w:tbl>
    <w:p w14:paraId="122D374C" w14:textId="28688435" w:rsidR="00AB2BDF" w:rsidRPr="00A25309" w:rsidRDefault="00537387" w:rsidP="00B75041">
      <w:pPr>
        <w:jc w:val="left"/>
        <w:rPr>
          <w:sz w:val="20"/>
          <w:lang w:val="en-AU"/>
        </w:rPr>
      </w:pPr>
      <w:r>
        <w:rPr>
          <w:sz w:val="20"/>
          <w:lang w:val="en-AU"/>
        </w:rPr>
        <w:t xml:space="preserve">Note: Analysis </w:t>
      </w:r>
      <w:r w:rsidR="00B75041">
        <w:rPr>
          <w:sz w:val="20"/>
          <w:lang w:val="en-AU"/>
        </w:rPr>
        <w:t xml:space="preserve">where the HF </w:t>
      </w:r>
      <w:r>
        <w:rPr>
          <w:sz w:val="20"/>
          <w:lang w:val="en-AU"/>
        </w:rPr>
        <w:t>had stock of items.</w:t>
      </w:r>
      <w:r w:rsidR="001F5AC5">
        <w:rPr>
          <w:sz w:val="20"/>
          <w:lang w:val="en-AU"/>
        </w:rPr>
        <w:t xml:space="preserve"> </w:t>
      </w:r>
      <w:r w:rsidR="00361146">
        <w:rPr>
          <w:sz w:val="20"/>
          <w:lang w:val="en-AU"/>
        </w:rPr>
        <w:t>100% kit medicines designated by*</w:t>
      </w:r>
      <w:r w:rsidR="001F5AC5">
        <w:rPr>
          <w:sz w:val="20"/>
          <w:lang w:val="en-AU"/>
        </w:rPr>
        <w:t xml:space="preserve">. </w:t>
      </w:r>
      <w:proofErr w:type="spellStart"/>
      <w:r w:rsidR="001F5AC5">
        <w:rPr>
          <w:sz w:val="20"/>
          <w:lang w:val="en-AU"/>
        </w:rPr>
        <w:t>Artemether-Lumefantrine</w:t>
      </w:r>
      <w:proofErr w:type="spellEnd"/>
      <w:r w:rsidR="001F5AC5">
        <w:rPr>
          <w:sz w:val="20"/>
          <w:lang w:val="en-AU"/>
        </w:rPr>
        <w:t xml:space="preserve"> supplied by vertical ‘push’ program.  </w:t>
      </w:r>
    </w:p>
    <w:p w14:paraId="71390198" w14:textId="77777777" w:rsidR="00A25309" w:rsidRDefault="00A25309" w:rsidP="00AB2BDF">
      <w:pPr>
        <w:rPr>
          <w:szCs w:val="22"/>
          <w:lang w:val="en-AU"/>
        </w:rPr>
      </w:pPr>
    </w:p>
    <w:p w14:paraId="6BAF1993" w14:textId="52E8BF37" w:rsidR="00AB2BDF" w:rsidRPr="00E27200" w:rsidRDefault="00AB2BDF" w:rsidP="00AB2BDF">
      <w:pPr>
        <w:rPr>
          <w:szCs w:val="22"/>
          <w:lang w:val="en-AU"/>
        </w:rPr>
      </w:pPr>
      <w:r w:rsidRPr="00A90CD5">
        <w:rPr>
          <w:szCs w:val="22"/>
          <w:lang w:val="en-AU"/>
        </w:rPr>
        <w:t xml:space="preserve">Most facilities reported antibiotics (e.g. oral amoxicillin and </w:t>
      </w:r>
      <w:proofErr w:type="spellStart"/>
      <w:r w:rsidRPr="00A90CD5">
        <w:rPr>
          <w:szCs w:val="22"/>
          <w:lang w:val="en-AU"/>
        </w:rPr>
        <w:t>benzylpeniciilin</w:t>
      </w:r>
      <w:proofErr w:type="spellEnd"/>
      <w:r w:rsidRPr="00A90CD5">
        <w:rPr>
          <w:szCs w:val="22"/>
          <w:lang w:val="en-AU"/>
        </w:rPr>
        <w:t xml:space="preserve"> injection) and analgesics (aspirin and paracetamol) as the most common medicines that ran out too quickly and were therefore considered undersupplied.  </w:t>
      </w:r>
      <w:r w:rsidRPr="00A90CD5">
        <w:t xml:space="preserve">However, it is </w:t>
      </w:r>
      <w:r w:rsidR="00506C6F" w:rsidRPr="00A90CD5">
        <w:t>also</w:t>
      </w:r>
      <w:r w:rsidRPr="00A90CD5">
        <w:t xml:space="preserve"> likely that over-use of antibiotics and analgesics </w:t>
      </w:r>
      <w:r w:rsidR="00506C6F" w:rsidRPr="00A90CD5">
        <w:t xml:space="preserve">(as noted in our analysis of rationale use of medicines) </w:t>
      </w:r>
      <w:r w:rsidRPr="00A90CD5">
        <w:t>contributed to shortages</w:t>
      </w:r>
      <w:r w:rsidR="00CD7C51" w:rsidRPr="00A90CD5">
        <w:t>;</w:t>
      </w:r>
      <w:r w:rsidR="00506C6F" w:rsidRPr="00A90CD5">
        <w:t xml:space="preserve"> in fact this may be as important as any true </w:t>
      </w:r>
      <w:r w:rsidRPr="00A90CD5">
        <w:t>under-supply.</w:t>
      </w:r>
    </w:p>
    <w:p w14:paraId="37751ABB" w14:textId="77777777" w:rsidR="00AB2BDF" w:rsidRDefault="00AB2BDF" w:rsidP="00AB2BDF">
      <w:pPr>
        <w:ind w:left="-709"/>
        <w:rPr>
          <w:szCs w:val="22"/>
          <w:lang w:val="en-AU"/>
        </w:rPr>
      </w:pPr>
    </w:p>
    <w:p w14:paraId="50F01C92" w14:textId="77777777" w:rsidR="00314939" w:rsidRPr="00E27200" w:rsidRDefault="00314939" w:rsidP="00AB2BDF">
      <w:pPr>
        <w:ind w:left="-709"/>
        <w:rPr>
          <w:szCs w:val="22"/>
          <w:lang w:val="en-AU"/>
        </w:rPr>
      </w:pPr>
    </w:p>
    <w:p w14:paraId="228F5B5E" w14:textId="56352C44" w:rsidR="00AB2BDF" w:rsidRPr="00E27200" w:rsidRDefault="00314939" w:rsidP="00AB2BDF">
      <w:pPr>
        <w:rPr>
          <w:b/>
          <w:szCs w:val="22"/>
          <w:lang w:val="en-AU"/>
        </w:rPr>
      </w:pPr>
      <w:r>
        <w:rPr>
          <w:b/>
          <w:szCs w:val="22"/>
          <w:lang w:val="en-AU"/>
        </w:rPr>
        <w:t>Table 12</w:t>
      </w:r>
      <w:r w:rsidR="00AB2BDF" w:rsidRPr="00E27200">
        <w:rPr>
          <w:b/>
          <w:szCs w:val="22"/>
          <w:lang w:val="en-AU"/>
        </w:rPr>
        <w:t xml:space="preserve">: </w:t>
      </w:r>
      <w:r w:rsidR="00AB2BDF">
        <w:rPr>
          <w:b/>
          <w:szCs w:val="22"/>
          <w:lang w:val="en-AU"/>
        </w:rPr>
        <w:t>Medicines</w:t>
      </w:r>
      <w:r w:rsidR="00AB2BDF" w:rsidRPr="00E27200">
        <w:rPr>
          <w:b/>
          <w:szCs w:val="22"/>
          <w:lang w:val="en-AU"/>
        </w:rPr>
        <w:t xml:space="preserve"> repo</w:t>
      </w:r>
      <w:r w:rsidR="00B2566C">
        <w:rPr>
          <w:b/>
          <w:szCs w:val="22"/>
          <w:lang w:val="en-AU"/>
        </w:rPr>
        <w:t xml:space="preserve">rted </w:t>
      </w:r>
      <w:r w:rsidR="006630B4">
        <w:rPr>
          <w:b/>
          <w:szCs w:val="22"/>
          <w:lang w:val="en-AU"/>
        </w:rPr>
        <w:t xml:space="preserve">by some HFs </w:t>
      </w:r>
      <w:r w:rsidR="00B2566C">
        <w:rPr>
          <w:b/>
          <w:szCs w:val="22"/>
          <w:lang w:val="en-AU"/>
        </w:rPr>
        <w:t>as running out too quickly</w:t>
      </w:r>
    </w:p>
    <w:tbl>
      <w:tblPr>
        <w:tblStyle w:val="TableGrid"/>
        <w:tblW w:w="8862" w:type="dxa"/>
        <w:tblInd w:w="108" w:type="dxa"/>
        <w:tblLook w:val="04A0" w:firstRow="1" w:lastRow="0" w:firstColumn="1" w:lastColumn="0" w:noHBand="0" w:noVBand="1"/>
      </w:tblPr>
      <w:tblGrid>
        <w:gridCol w:w="2874"/>
        <w:gridCol w:w="3064"/>
        <w:gridCol w:w="2924"/>
      </w:tblGrid>
      <w:tr w:rsidR="00AB2BDF" w:rsidRPr="00E27200" w14:paraId="7D6B4A72" w14:textId="77777777" w:rsidTr="0037274E">
        <w:tc>
          <w:tcPr>
            <w:tcW w:w="2874" w:type="dxa"/>
            <w:vAlign w:val="center"/>
          </w:tcPr>
          <w:p w14:paraId="70B0DA0C" w14:textId="77777777" w:rsidR="00AB2BDF" w:rsidRPr="00E27200" w:rsidRDefault="00AB2BDF" w:rsidP="0037274E">
            <w:pPr>
              <w:rPr>
                <w:sz w:val="22"/>
                <w:szCs w:val="22"/>
                <w:lang w:val="en-AU"/>
              </w:rPr>
            </w:pPr>
            <w:r w:rsidRPr="00E27200">
              <w:rPr>
                <w:sz w:val="22"/>
                <w:szCs w:val="22"/>
                <w:lang w:val="en-AU"/>
              </w:rPr>
              <w:t>Hospital</w:t>
            </w:r>
          </w:p>
        </w:tc>
        <w:tc>
          <w:tcPr>
            <w:tcW w:w="3064" w:type="dxa"/>
            <w:vAlign w:val="center"/>
          </w:tcPr>
          <w:p w14:paraId="4BA9E157" w14:textId="77777777" w:rsidR="00AB2BDF" w:rsidRPr="00E27200" w:rsidRDefault="00AB2BDF" w:rsidP="0037274E">
            <w:pPr>
              <w:rPr>
                <w:sz w:val="22"/>
                <w:szCs w:val="22"/>
                <w:lang w:val="en-AU"/>
              </w:rPr>
            </w:pPr>
            <w:r w:rsidRPr="00E27200">
              <w:rPr>
                <w:sz w:val="22"/>
                <w:szCs w:val="22"/>
                <w:lang w:val="en-AU"/>
              </w:rPr>
              <w:t>HC/SC</w:t>
            </w:r>
          </w:p>
        </w:tc>
        <w:tc>
          <w:tcPr>
            <w:tcW w:w="2924" w:type="dxa"/>
            <w:vAlign w:val="center"/>
          </w:tcPr>
          <w:p w14:paraId="4F369E7F" w14:textId="77777777" w:rsidR="00AB2BDF" w:rsidRPr="00E27200" w:rsidRDefault="00AB2BDF" w:rsidP="0037274E">
            <w:pPr>
              <w:rPr>
                <w:sz w:val="22"/>
                <w:szCs w:val="22"/>
                <w:lang w:val="en-AU"/>
              </w:rPr>
            </w:pPr>
            <w:r w:rsidRPr="00E27200">
              <w:rPr>
                <w:sz w:val="22"/>
                <w:szCs w:val="22"/>
                <w:lang w:val="en-AU"/>
              </w:rPr>
              <w:t>APs</w:t>
            </w:r>
          </w:p>
        </w:tc>
      </w:tr>
      <w:tr w:rsidR="00AB2BDF" w:rsidRPr="00E27200" w14:paraId="40177443" w14:textId="77777777" w:rsidTr="0037274E">
        <w:tc>
          <w:tcPr>
            <w:tcW w:w="2874" w:type="dxa"/>
          </w:tcPr>
          <w:p w14:paraId="1813EF3A" w14:textId="77777777" w:rsidR="00AB2BDF" w:rsidRPr="00E27200" w:rsidRDefault="00AB2BDF" w:rsidP="0037274E">
            <w:pPr>
              <w:rPr>
                <w:sz w:val="22"/>
                <w:szCs w:val="22"/>
                <w:lang w:val="en-AU"/>
              </w:rPr>
            </w:pPr>
            <w:r w:rsidRPr="00E27200">
              <w:rPr>
                <w:sz w:val="22"/>
                <w:szCs w:val="22"/>
                <w:lang w:val="en-AU"/>
              </w:rPr>
              <w:t>Amoxicillin tablet 10%</w:t>
            </w:r>
          </w:p>
          <w:p w14:paraId="4FCD48A1" w14:textId="77777777" w:rsidR="00AB2BDF" w:rsidRPr="00E27200" w:rsidRDefault="00AB2BDF" w:rsidP="0037274E">
            <w:pPr>
              <w:rPr>
                <w:sz w:val="22"/>
                <w:szCs w:val="22"/>
                <w:lang w:val="en-AU"/>
              </w:rPr>
            </w:pPr>
            <w:proofErr w:type="spellStart"/>
            <w:r w:rsidRPr="00E27200">
              <w:rPr>
                <w:sz w:val="22"/>
                <w:szCs w:val="22"/>
                <w:lang w:val="en-AU"/>
              </w:rPr>
              <w:t>Benzylpenicillin</w:t>
            </w:r>
            <w:proofErr w:type="spellEnd"/>
            <w:r w:rsidRPr="00E27200">
              <w:rPr>
                <w:sz w:val="22"/>
                <w:szCs w:val="22"/>
                <w:lang w:val="en-AU"/>
              </w:rPr>
              <w:t xml:space="preserve"> injection 8%</w:t>
            </w:r>
          </w:p>
          <w:p w14:paraId="11682A0C" w14:textId="77777777" w:rsidR="00AB2BDF" w:rsidRPr="00E27200" w:rsidRDefault="00AB2BDF" w:rsidP="0037274E">
            <w:pPr>
              <w:rPr>
                <w:sz w:val="22"/>
                <w:szCs w:val="22"/>
                <w:lang w:val="en-AU"/>
              </w:rPr>
            </w:pPr>
            <w:r w:rsidRPr="00E27200">
              <w:rPr>
                <w:sz w:val="22"/>
                <w:szCs w:val="22"/>
                <w:lang w:val="en-AU"/>
              </w:rPr>
              <w:t>Paracetamol tablet 8%</w:t>
            </w:r>
          </w:p>
          <w:p w14:paraId="6421D4DD" w14:textId="77777777" w:rsidR="00AB2BDF" w:rsidRPr="00E27200" w:rsidRDefault="00AB2BDF" w:rsidP="0037274E">
            <w:pPr>
              <w:rPr>
                <w:sz w:val="22"/>
                <w:szCs w:val="22"/>
                <w:lang w:val="en-AU"/>
              </w:rPr>
            </w:pPr>
            <w:proofErr w:type="spellStart"/>
            <w:r w:rsidRPr="00E27200">
              <w:rPr>
                <w:sz w:val="22"/>
                <w:szCs w:val="22"/>
                <w:lang w:val="en-AU"/>
              </w:rPr>
              <w:t>Cotrimoxazole</w:t>
            </w:r>
            <w:proofErr w:type="spellEnd"/>
            <w:r w:rsidRPr="00E27200">
              <w:rPr>
                <w:sz w:val="22"/>
                <w:szCs w:val="22"/>
                <w:lang w:val="en-AU"/>
              </w:rPr>
              <w:t xml:space="preserve"> tablet 6%</w:t>
            </w:r>
          </w:p>
          <w:p w14:paraId="00F01F92" w14:textId="77777777" w:rsidR="00AB2BDF" w:rsidRPr="00E27200" w:rsidRDefault="00AB2BDF" w:rsidP="0037274E">
            <w:pPr>
              <w:rPr>
                <w:sz w:val="22"/>
                <w:szCs w:val="22"/>
                <w:lang w:val="en-AU"/>
              </w:rPr>
            </w:pPr>
          </w:p>
          <w:p w14:paraId="16F7CC21" w14:textId="77777777" w:rsidR="00AB2BDF" w:rsidRPr="00E27200" w:rsidRDefault="00AB2BDF" w:rsidP="0037274E">
            <w:pPr>
              <w:rPr>
                <w:sz w:val="22"/>
                <w:szCs w:val="22"/>
                <w:lang w:val="en-AU"/>
              </w:rPr>
            </w:pPr>
          </w:p>
        </w:tc>
        <w:tc>
          <w:tcPr>
            <w:tcW w:w="3064" w:type="dxa"/>
          </w:tcPr>
          <w:p w14:paraId="3B5EC849" w14:textId="77777777" w:rsidR="00AB2BDF" w:rsidRPr="00E27200" w:rsidRDefault="00AB2BDF" w:rsidP="0037274E">
            <w:pPr>
              <w:rPr>
                <w:sz w:val="22"/>
                <w:szCs w:val="22"/>
                <w:lang w:val="en-AU"/>
              </w:rPr>
            </w:pPr>
            <w:r w:rsidRPr="00E27200">
              <w:rPr>
                <w:sz w:val="22"/>
                <w:szCs w:val="22"/>
                <w:lang w:val="en-AU"/>
              </w:rPr>
              <w:t>Amoxicillin tablet 17%</w:t>
            </w:r>
          </w:p>
          <w:p w14:paraId="3E3663A3" w14:textId="77777777" w:rsidR="00AB2BDF" w:rsidRPr="00E27200" w:rsidRDefault="00AB2BDF" w:rsidP="0037274E">
            <w:pPr>
              <w:rPr>
                <w:sz w:val="22"/>
                <w:szCs w:val="22"/>
                <w:lang w:val="en-AU"/>
              </w:rPr>
            </w:pPr>
            <w:r w:rsidRPr="00E27200">
              <w:rPr>
                <w:sz w:val="22"/>
                <w:szCs w:val="22"/>
                <w:lang w:val="en-AU"/>
              </w:rPr>
              <w:t>Paracetamol tablet 14%</w:t>
            </w:r>
          </w:p>
          <w:p w14:paraId="47992E8B" w14:textId="77777777" w:rsidR="00AB2BDF" w:rsidRPr="00E27200" w:rsidRDefault="00AB2BDF" w:rsidP="0037274E">
            <w:pPr>
              <w:rPr>
                <w:sz w:val="22"/>
                <w:szCs w:val="22"/>
                <w:lang w:val="en-AU"/>
              </w:rPr>
            </w:pPr>
            <w:proofErr w:type="spellStart"/>
            <w:r w:rsidRPr="00E27200">
              <w:rPr>
                <w:sz w:val="22"/>
                <w:szCs w:val="22"/>
                <w:lang w:val="en-AU"/>
              </w:rPr>
              <w:t>Cotrimoxazole</w:t>
            </w:r>
            <w:proofErr w:type="spellEnd"/>
            <w:r w:rsidRPr="00E27200">
              <w:rPr>
                <w:sz w:val="22"/>
                <w:szCs w:val="22"/>
                <w:lang w:val="en-AU"/>
              </w:rPr>
              <w:t xml:space="preserve"> tablet 11%</w:t>
            </w:r>
          </w:p>
          <w:p w14:paraId="5A9B6B87" w14:textId="77777777" w:rsidR="00AB2BDF" w:rsidRPr="00E27200" w:rsidRDefault="00AB2BDF" w:rsidP="0037274E">
            <w:pPr>
              <w:rPr>
                <w:sz w:val="22"/>
                <w:szCs w:val="22"/>
                <w:lang w:val="en-AU"/>
              </w:rPr>
            </w:pPr>
            <w:proofErr w:type="spellStart"/>
            <w:r w:rsidRPr="00E27200">
              <w:rPr>
                <w:sz w:val="22"/>
                <w:szCs w:val="22"/>
                <w:lang w:val="en-AU"/>
              </w:rPr>
              <w:t>Benzylpenicillin</w:t>
            </w:r>
            <w:proofErr w:type="spellEnd"/>
            <w:r w:rsidRPr="00E27200">
              <w:rPr>
                <w:sz w:val="22"/>
                <w:szCs w:val="22"/>
                <w:lang w:val="en-AU"/>
              </w:rPr>
              <w:t xml:space="preserve"> injection  7%</w:t>
            </w:r>
          </w:p>
          <w:p w14:paraId="1778FC80" w14:textId="77777777" w:rsidR="00AB2BDF" w:rsidRPr="00E27200" w:rsidRDefault="00AB2BDF" w:rsidP="0037274E">
            <w:pPr>
              <w:rPr>
                <w:sz w:val="22"/>
                <w:szCs w:val="22"/>
                <w:lang w:val="en-AU"/>
              </w:rPr>
            </w:pPr>
            <w:r w:rsidRPr="00E27200">
              <w:rPr>
                <w:sz w:val="22"/>
                <w:szCs w:val="22"/>
                <w:lang w:val="en-AU"/>
              </w:rPr>
              <w:t>Aspirin 6%</w:t>
            </w:r>
          </w:p>
          <w:p w14:paraId="60A09655" w14:textId="14DC004D" w:rsidR="00AB2BDF" w:rsidRPr="00E27200" w:rsidRDefault="00AB2BDF" w:rsidP="0037274E">
            <w:pPr>
              <w:rPr>
                <w:sz w:val="22"/>
                <w:szCs w:val="22"/>
                <w:lang w:val="en-AU"/>
              </w:rPr>
            </w:pPr>
            <w:r w:rsidRPr="00E27200">
              <w:rPr>
                <w:sz w:val="22"/>
                <w:szCs w:val="22"/>
                <w:lang w:val="en-AU"/>
              </w:rPr>
              <w:t>Chloramphenicol  injection 6%</w:t>
            </w:r>
          </w:p>
        </w:tc>
        <w:tc>
          <w:tcPr>
            <w:tcW w:w="2924" w:type="dxa"/>
          </w:tcPr>
          <w:p w14:paraId="0BB417B8" w14:textId="77777777" w:rsidR="00AB2BDF" w:rsidRPr="00E27200" w:rsidRDefault="00AB2BDF" w:rsidP="0037274E">
            <w:pPr>
              <w:rPr>
                <w:sz w:val="22"/>
                <w:szCs w:val="22"/>
                <w:lang w:val="en-AU"/>
              </w:rPr>
            </w:pPr>
            <w:r w:rsidRPr="00E27200">
              <w:rPr>
                <w:sz w:val="22"/>
                <w:szCs w:val="22"/>
                <w:lang w:val="en-AU"/>
              </w:rPr>
              <w:t>Amoxicillin tablet 18%</w:t>
            </w:r>
          </w:p>
          <w:p w14:paraId="16FEA358" w14:textId="77777777" w:rsidR="00AB2BDF" w:rsidRPr="00E27200" w:rsidRDefault="00AB2BDF" w:rsidP="0037274E">
            <w:pPr>
              <w:rPr>
                <w:sz w:val="22"/>
                <w:szCs w:val="22"/>
                <w:lang w:val="en-AU"/>
              </w:rPr>
            </w:pPr>
            <w:r w:rsidRPr="00E27200">
              <w:rPr>
                <w:sz w:val="22"/>
                <w:szCs w:val="22"/>
                <w:lang w:val="en-AU"/>
              </w:rPr>
              <w:t>Paracetamol tablet 17%</w:t>
            </w:r>
          </w:p>
          <w:p w14:paraId="41CD34F8" w14:textId="77777777" w:rsidR="00AB2BDF" w:rsidRPr="00E27200" w:rsidRDefault="00AB2BDF" w:rsidP="0037274E">
            <w:pPr>
              <w:rPr>
                <w:sz w:val="22"/>
                <w:szCs w:val="22"/>
                <w:lang w:val="en-AU"/>
              </w:rPr>
            </w:pPr>
            <w:proofErr w:type="spellStart"/>
            <w:r w:rsidRPr="00E27200">
              <w:rPr>
                <w:sz w:val="22"/>
                <w:szCs w:val="22"/>
                <w:lang w:val="en-AU"/>
              </w:rPr>
              <w:t>Cotrimoxazole</w:t>
            </w:r>
            <w:proofErr w:type="spellEnd"/>
            <w:r w:rsidRPr="00E27200">
              <w:rPr>
                <w:sz w:val="22"/>
                <w:szCs w:val="22"/>
                <w:lang w:val="en-AU"/>
              </w:rPr>
              <w:t xml:space="preserve"> tablet 10%</w:t>
            </w:r>
          </w:p>
          <w:p w14:paraId="7875EB4D" w14:textId="77777777" w:rsidR="00AB2BDF" w:rsidRPr="00E27200" w:rsidRDefault="00AB2BDF" w:rsidP="0037274E">
            <w:pPr>
              <w:rPr>
                <w:sz w:val="22"/>
                <w:szCs w:val="22"/>
                <w:lang w:val="en-AU"/>
              </w:rPr>
            </w:pPr>
            <w:r w:rsidRPr="00E27200">
              <w:rPr>
                <w:sz w:val="22"/>
                <w:szCs w:val="22"/>
                <w:lang w:val="en-AU"/>
              </w:rPr>
              <w:t>Aspirin 8%</w:t>
            </w:r>
          </w:p>
          <w:p w14:paraId="5ED0E7AD" w14:textId="77777777" w:rsidR="00AB2BDF" w:rsidRPr="00E27200" w:rsidRDefault="00AB2BDF" w:rsidP="0037274E">
            <w:pPr>
              <w:rPr>
                <w:sz w:val="22"/>
                <w:szCs w:val="22"/>
                <w:lang w:val="en-AU"/>
              </w:rPr>
            </w:pPr>
            <w:proofErr w:type="spellStart"/>
            <w:r w:rsidRPr="00E27200">
              <w:rPr>
                <w:sz w:val="22"/>
                <w:szCs w:val="22"/>
                <w:lang w:val="en-AU"/>
              </w:rPr>
              <w:t>Benzylpenicillin</w:t>
            </w:r>
            <w:proofErr w:type="spellEnd"/>
            <w:r w:rsidRPr="00E27200">
              <w:rPr>
                <w:sz w:val="22"/>
                <w:szCs w:val="22"/>
                <w:lang w:val="en-AU"/>
              </w:rPr>
              <w:t xml:space="preserve"> injection  8%</w:t>
            </w:r>
          </w:p>
          <w:p w14:paraId="0F54B7AF" w14:textId="77777777" w:rsidR="00AB2BDF" w:rsidRPr="00E27200" w:rsidRDefault="00AB2BDF" w:rsidP="0037274E">
            <w:pPr>
              <w:rPr>
                <w:sz w:val="22"/>
                <w:szCs w:val="22"/>
                <w:lang w:val="en-AU"/>
              </w:rPr>
            </w:pPr>
          </w:p>
        </w:tc>
      </w:tr>
    </w:tbl>
    <w:p w14:paraId="5ED41750" w14:textId="15349005" w:rsidR="00AB2BDF" w:rsidRPr="00E27200" w:rsidRDefault="00B2566C" w:rsidP="00A26CE3">
      <w:pPr>
        <w:jc w:val="left"/>
        <w:rPr>
          <w:sz w:val="20"/>
          <w:lang w:val="en-AU"/>
        </w:rPr>
      </w:pPr>
      <w:r>
        <w:rPr>
          <w:sz w:val="20"/>
          <w:lang w:val="en-AU"/>
        </w:rPr>
        <w:t xml:space="preserve">Note: </w:t>
      </w:r>
      <w:r w:rsidR="00AB2BDF" w:rsidRPr="00E27200">
        <w:rPr>
          <w:sz w:val="20"/>
          <w:lang w:val="en-AU"/>
        </w:rPr>
        <w:t xml:space="preserve">reported only if there was &gt;5% of total respondents reporting any </w:t>
      </w:r>
      <w:r>
        <w:rPr>
          <w:sz w:val="20"/>
          <w:lang w:val="en-AU"/>
        </w:rPr>
        <w:t>medicine</w:t>
      </w:r>
    </w:p>
    <w:p w14:paraId="098F4443" w14:textId="77777777" w:rsidR="00AB2BDF" w:rsidRPr="00E27200" w:rsidRDefault="00AB2BDF" w:rsidP="00AB2BDF">
      <w:pPr>
        <w:ind w:left="-709"/>
        <w:rPr>
          <w:szCs w:val="22"/>
          <w:lang w:val="en-AU"/>
        </w:rPr>
      </w:pPr>
    </w:p>
    <w:p w14:paraId="583A7CE7" w14:textId="77777777" w:rsidR="00AB2BDF" w:rsidRPr="00E27200" w:rsidRDefault="00AB2BDF" w:rsidP="00AB2BDF">
      <w:pPr>
        <w:ind w:right="-46"/>
        <w:rPr>
          <w:szCs w:val="22"/>
          <w:lang w:val="en-AU"/>
        </w:rPr>
      </w:pPr>
      <w:r w:rsidRPr="00E27200">
        <w:rPr>
          <w:szCs w:val="22"/>
          <w:lang w:val="en-AU"/>
        </w:rPr>
        <w:t xml:space="preserve">Most provincial health staff wanted to be involved in discussions on the contents and quantities of items in the kits. Suggestions have also been received to involve hospitals and provincial AMSs as a group to decide on what to procure and how much to distribute to the provinces. </w:t>
      </w:r>
    </w:p>
    <w:p w14:paraId="072001EB" w14:textId="77777777" w:rsidR="00B75041" w:rsidRDefault="00B75041" w:rsidP="00AB2BDF">
      <w:pPr>
        <w:rPr>
          <w:szCs w:val="22"/>
          <w:lang w:val="en-AU"/>
        </w:rPr>
      </w:pPr>
    </w:p>
    <w:p w14:paraId="71F65748" w14:textId="45FC9412" w:rsidR="00B75041" w:rsidRPr="00E27200" w:rsidRDefault="00B75041" w:rsidP="00B75041">
      <w:pPr>
        <w:rPr>
          <w:lang w:val="en-AU"/>
        </w:rPr>
      </w:pPr>
      <w:r w:rsidRPr="00E27200">
        <w:rPr>
          <w:szCs w:val="22"/>
          <w:lang w:val="en-AU"/>
        </w:rPr>
        <w:t xml:space="preserve">District and Provincial managers suggested kits could also contain TB and HIV supplies (Malaria ACT and RDTs are planned to be in Kits in 2014) and reported </w:t>
      </w:r>
      <w:proofErr w:type="spellStart"/>
      <w:r w:rsidRPr="00E27200">
        <w:rPr>
          <w:szCs w:val="22"/>
          <w:lang w:val="en-AU"/>
        </w:rPr>
        <w:t>medroxyprogesterone</w:t>
      </w:r>
      <w:proofErr w:type="spellEnd"/>
      <w:r w:rsidRPr="00E27200">
        <w:rPr>
          <w:szCs w:val="22"/>
          <w:lang w:val="en-AU"/>
        </w:rPr>
        <w:t xml:space="preserve"> injection to also be in short supply despite most AMSs holding large supplies of this medicine.</w:t>
      </w:r>
      <w:r w:rsidRPr="00E27200">
        <w:rPr>
          <w:rStyle w:val="FootnoteReference"/>
          <w:szCs w:val="22"/>
          <w:lang w:val="en-AU"/>
        </w:rPr>
        <w:footnoteReference w:id="33"/>
      </w:r>
      <w:r w:rsidRPr="00E27200">
        <w:rPr>
          <w:szCs w:val="22"/>
          <w:lang w:val="en-AU"/>
        </w:rPr>
        <w:t xml:space="preserve"> </w:t>
      </w:r>
      <w:r w:rsidRPr="00E27200">
        <w:rPr>
          <w:lang w:val="en-AU"/>
        </w:rPr>
        <w:t xml:space="preserve">Qualitative feedback </w:t>
      </w:r>
      <w:r>
        <w:rPr>
          <w:lang w:val="en-AU"/>
        </w:rPr>
        <w:t xml:space="preserve">(more detail in Annex 11.4) </w:t>
      </w:r>
      <w:r w:rsidRPr="00E27200">
        <w:rPr>
          <w:lang w:val="en-AU"/>
        </w:rPr>
        <w:t xml:space="preserve">from health managers echoed this point:  </w:t>
      </w:r>
    </w:p>
    <w:p w14:paraId="127F46DE" w14:textId="77777777" w:rsidR="00B75041" w:rsidRPr="00E27200" w:rsidRDefault="00B75041" w:rsidP="00B75041">
      <w:pPr>
        <w:ind w:left="720" w:right="1229"/>
        <w:rPr>
          <w:i/>
          <w:lang w:val="en-AU"/>
        </w:rPr>
      </w:pPr>
      <w:r w:rsidRPr="00A90CD5">
        <w:rPr>
          <w:i/>
          <w:lang w:val="en-AU"/>
        </w:rPr>
        <w:t>“Supplies need to be improved so that they are matched with needs of individual health facilities and aid posts, this would stop wastage.”</w:t>
      </w:r>
      <w:r w:rsidRPr="00E27200">
        <w:rPr>
          <w:i/>
          <w:lang w:val="en-AU"/>
        </w:rPr>
        <w:t xml:space="preserve">  </w:t>
      </w:r>
    </w:p>
    <w:p w14:paraId="12088300" w14:textId="77777777" w:rsidR="000B5EC9" w:rsidRDefault="000B5EC9" w:rsidP="00AB2BDF">
      <w:pPr>
        <w:rPr>
          <w:lang w:val="en-AU"/>
        </w:rPr>
      </w:pPr>
    </w:p>
    <w:p w14:paraId="170BD484" w14:textId="05C95062" w:rsidR="00B75041" w:rsidRDefault="00B75041" w:rsidP="00AB2BDF">
      <w:pPr>
        <w:rPr>
          <w:szCs w:val="22"/>
          <w:lang w:val="en-AU"/>
        </w:rPr>
      </w:pPr>
      <w:r>
        <w:rPr>
          <w:lang w:val="en-AU"/>
        </w:rPr>
        <w:t>Given that the i</w:t>
      </w:r>
      <w:r w:rsidRPr="00E27200">
        <w:rPr>
          <w:szCs w:val="22"/>
          <w:lang w:val="en-AU"/>
        </w:rPr>
        <w:t xml:space="preserve">nformation from </w:t>
      </w:r>
      <w:r>
        <w:rPr>
          <w:szCs w:val="22"/>
          <w:lang w:val="en-AU"/>
        </w:rPr>
        <w:t xml:space="preserve">HFs and managers noted </w:t>
      </w:r>
      <w:r w:rsidRPr="00E27200">
        <w:rPr>
          <w:szCs w:val="22"/>
          <w:lang w:val="en-AU"/>
        </w:rPr>
        <w:t xml:space="preserve">that the 100% kits are highly valued, </w:t>
      </w:r>
      <w:r>
        <w:rPr>
          <w:szCs w:val="22"/>
          <w:lang w:val="en-AU"/>
        </w:rPr>
        <w:t xml:space="preserve">it is unsurprising that the majority of suggestions for improvement from HF staff in the qualitative data (apart from suggestions for more frequent delivery) were for some tailoring of kit contents to their needs. </w:t>
      </w:r>
    </w:p>
    <w:p w14:paraId="4866ABB8" w14:textId="77777777" w:rsidR="00B75041" w:rsidRDefault="00B75041" w:rsidP="00AB2BDF">
      <w:pPr>
        <w:rPr>
          <w:szCs w:val="22"/>
          <w:lang w:val="en-AU"/>
        </w:rPr>
      </w:pPr>
    </w:p>
    <w:p w14:paraId="3E5D9285" w14:textId="6986C3A0" w:rsidR="00B75041" w:rsidRPr="00E27200" w:rsidRDefault="0036761A" w:rsidP="00AB2BDF">
      <w:pPr>
        <w:rPr>
          <w:szCs w:val="22"/>
          <w:lang w:val="en-AU"/>
        </w:rPr>
      </w:pPr>
      <w:r w:rsidRPr="00A90CD5">
        <w:rPr>
          <w:szCs w:val="22"/>
          <w:lang w:val="en-AU"/>
        </w:rPr>
        <w:t>As discussed in earlier sections</w:t>
      </w:r>
      <w:r w:rsidR="00CD7C51" w:rsidRPr="00A90CD5">
        <w:rPr>
          <w:szCs w:val="22"/>
          <w:lang w:val="en-AU"/>
        </w:rPr>
        <w:t>,</w:t>
      </w:r>
      <w:r w:rsidRPr="00A90CD5">
        <w:rPr>
          <w:szCs w:val="22"/>
          <w:lang w:val="en-AU"/>
        </w:rPr>
        <w:t xml:space="preserve"> usage data is currently difficult to obtain anywhere in the system. For the ‘push’ system, our survey found only 17% of HFs reported having stock-cards that, if used, could help quantify usage. These were actually dispatched with kits, but few HFs recognized their presence, and very few attempted to use them.</w:t>
      </w:r>
      <w:r w:rsidRPr="00471948">
        <w:rPr>
          <w:szCs w:val="22"/>
          <w:lang w:val="en-AU"/>
        </w:rPr>
        <w:t xml:space="preserve"> </w:t>
      </w:r>
      <w:r>
        <w:rPr>
          <w:szCs w:val="22"/>
          <w:lang w:val="en-AU"/>
        </w:rPr>
        <w:t xml:space="preserve"> </w:t>
      </w:r>
      <w:r w:rsidR="00B75041">
        <w:rPr>
          <w:szCs w:val="22"/>
          <w:lang w:val="en-AU"/>
        </w:rPr>
        <w:t xml:space="preserve">Additional information on medicines used more </w:t>
      </w:r>
      <w:r w:rsidR="002F65C4">
        <w:rPr>
          <w:szCs w:val="22"/>
          <w:lang w:val="en-AU"/>
        </w:rPr>
        <w:t xml:space="preserve">or less frequently </w:t>
      </w:r>
      <w:r>
        <w:rPr>
          <w:szCs w:val="22"/>
          <w:lang w:val="en-AU"/>
        </w:rPr>
        <w:t xml:space="preserve">from our survey </w:t>
      </w:r>
      <w:r w:rsidR="00B75041">
        <w:rPr>
          <w:szCs w:val="22"/>
          <w:lang w:val="en-AU"/>
        </w:rPr>
        <w:t xml:space="preserve">is provided in the data annexes.  Use of this for future quantification of kit contents at various levels in the system is likely to be helpful, but should be combined with other data, such as rapid operational research, as noted in </w:t>
      </w:r>
      <w:r w:rsidR="002F65C4">
        <w:rPr>
          <w:szCs w:val="22"/>
          <w:lang w:val="en-AU"/>
        </w:rPr>
        <w:t>other sections of this report and in the recommendations.</w:t>
      </w:r>
      <w:r>
        <w:rPr>
          <w:szCs w:val="22"/>
          <w:lang w:val="en-AU"/>
        </w:rPr>
        <w:t xml:space="preserve"> </w:t>
      </w:r>
      <w:r w:rsidR="002F65C4">
        <w:rPr>
          <w:szCs w:val="22"/>
          <w:lang w:val="en-AU"/>
        </w:rPr>
        <w:t xml:space="preserve">The 2014 kits tender has already taken a more integrated approach across ‘push’ and ‘pull’ systems, and the evaluation team feel there is an opportunity to review the most useful contents for ‘push’ system supplements, continuing to vary at HC and AP levels, </w:t>
      </w:r>
      <w:r w:rsidR="00072CD2">
        <w:rPr>
          <w:szCs w:val="22"/>
          <w:lang w:val="en-AU"/>
        </w:rPr>
        <w:t xml:space="preserve">now that </w:t>
      </w:r>
      <w:r w:rsidR="002F65C4">
        <w:rPr>
          <w:szCs w:val="22"/>
          <w:lang w:val="en-AU"/>
        </w:rPr>
        <w:t>the tender is concluded.</w:t>
      </w:r>
    </w:p>
    <w:p w14:paraId="7EE76409" w14:textId="77777777" w:rsidR="0090131E" w:rsidRPr="00E27200" w:rsidRDefault="0090131E" w:rsidP="00E16C77">
      <w:pPr>
        <w:rPr>
          <w:rFonts w:cs="Times New Roman"/>
          <w:b/>
          <w:bCs/>
          <w:spacing w:val="-10"/>
          <w:kern w:val="28"/>
          <w:sz w:val="36"/>
          <w:szCs w:val="36"/>
          <w:lang w:val="en-AU" w:eastAsia="en-AU"/>
        </w:rPr>
      </w:pPr>
      <w:r w:rsidRPr="00E27200">
        <w:rPr>
          <w:lang w:val="en-AU"/>
        </w:rPr>
        <w:br w:type="page"/>
      </w:r>
    </w:p>
    <w:p w14:paraId="0DF5A096" w14:textId="77777777" w:rsidR="002C48C2" w:rsidRPr="00E27200" w:rsidRDefault="00607C00" w:rsidP="00E16C77">
      <w:pPr>
        <w:pStyle w:val="Heading1"/>
      </w:pPr>
      <w:bookmarkStart w:id="101" w:name="_Toc245810756"/>
      <w:r w:rsidRPr="00E27200">
        <w:lastRenderedPageBreak/>
        <w:t>Findings: s</w:t>
      </w:r>
      <w:r w:rsidR="002C48C2" w:rsidRPr="00E27200">
        <w:t>torage and ma</w:t>
      </w:r>
      <w:r w:rsidR="0090131E" w:rsidRPr="00E27200">
        <w:t>nagement of medical supplies</w:t>
      </w:r>
      <w:r w:rsidR="009920DD" w:rsidRPr="00E27200">
        <w:t xml:space="preserve"> in health facilities</w:t>
      </w:r>
      <w:bookmarkEnd w:id="101"/>
    </w:p>
    <w:p w14:paraId="231E62F3" w14:textId="77777777" w:rsidR="0090131E" w:rsidRPr="00E27200" w:rsidRDefault="0090131E" w:rsidP="00E16C77">
      <w:pPr>
        <w:ind w:left="-709"/>
        <w:rPr>
          <w:lang w:val="en-AU"/>
        </w:rPr>
      </w:pPr>
    </w:p>
    <w:p w14:paraId="5FC6D08D" w14:textId="77777777" w:rsidR="0090131E" w:rsidRPr="00E27200" w:rsidRDefault="0090131E" w:rsidP="00E16C77">
      <w:pPr>
        <w:pStyle w:val="Heading2"/>
      </w:pPr>
      <w:bookmarkStart w:id="102" w:name="_Toc245621430"/>
      <w:bookmarkStart w:id="103" w:name="_Toc245810757"/>
      <w:r w:rsidRPr="00E27200">
        <w:t>Storage and handling in facilities and stores</w:t>
      </w:r>
      <w:bookmarkEnd w:id="102"/>
      <w:bookmarkEnd w:id="103"/>
    </w:p>
    <w:p w14:paraId="693BADFA" w14:textId="77777777" w:rsidR="00B34AA2" w:rsidRPr="00E27200" w:rsidRDefault="00B34AA2" w:rsidP="00B34AA2">
      <w:pPr>
        <w:rPr>
          <w:lang w:val="en-AU"/>
        </w:rPr>
      </w:pPr>
    </w:p>
    <w:p w14:paraId="318E3A38" w14:textId="77777777" w:rsidR="00B34AA2" w:rsidRPr="00E27200" w:rsidRDefault="00491FF9" w:rsidP="00B34AA2">
      <w:pPr>
        <w:ind w:left="432"/>
        <w:rPr>
          <w:i/>
          <w:lang w:val="en-AU"/>
        </w:rPr>
      </w:pPr>
      <w:r w:rsidRPr="00E27200">
        <w:rPr>
          <w:b/>
          <w:i/>
          <w:lang w:val="en-AU"/>
        </w:rPr>
        <w:t xml:space="preserve">Key Finding: </w:t>
      </w:r>
      <w:r w:rsidR="00221E03" w:rsidRPr="00E27200">
        <w:rPr>
          <w:i/>
          <w:lang w:val="en-AU"/>
        </w:rPr>
        <w:t>Storage and record keeping at health facilities requires significant attention, with limited storage capacity negatively affecting their ability to store and process medicines in a systematic and hygienic manner. Temperature control, both in the regular monitoring of their cold storage and methods to cool the internal ambient temperature needs attention to maintain the quality of medicines</w:t>
      </w:r>
    </w:p>
    <w:p w14:paraId="385C4D7C" w14:textId="77777777" w:rsidR="00491FF9" w:rsidRPr="00E27200" w:rsidRDefault="00491FF9" w:rsidP="009D4227">
      <w:pPr>
        <w:rPr>
          <w:b/>
          <w:i/>
          <w:lang w:val="en-AU"/>
        </w:rPr>
      </w:pPr>
    </w:p>
    <w:p w14:paraId="48157167" w14:textId="3AF6945F" w:rsidR="0090131E" w:rsidRDefault="0090131E" w:rsidP="00560C1E">
      <w:pPr>
        <w:rPr>
          <w:lang w:val="en-AU"/>
        </w:rPr>
      </w:pPr>
      <w:r w:rsidRPr="00A90CD5">
        <w:rPr>
          <w:lang w:val="en-AU"/>
        </w:rPr>
        <w:t>Overall conditions for storage and handling of medicines outside of a hospital setting were inadequate. Overall</w:t>
      </w:r>
      <w:r w:rsidRPr="00E27200">
        <w:rPr>
          <w:lang w:val="en-AU"/>
        </w:rPr>
        <w:t xml:space="preserve"> storage at HFs were inadequate with only ~60% of all HFs having all the optimal storage and handling condition for medicines.  Conditions became poorer with the remoteness of the HF with hospitals having better conditions compared to APs (~80% </w:t>
      </w:r>
      <w:r w:rsidR="005C4C94" w:rsidRPr="00E27200">
        <w:rPr>
          <w:lang w:val="en-AU"/>
        </w:rPr>
        <w:t>vs.</w:t>
      </w:r>
      <w:r w:rsidRPr="00E27200">
        <w:rPr>
          <w:lang w:val="en-AU"/>
        </w:rPr>
        <w:t xml:space="preserve"> ~50%). Monitoring of cold storage temperatures (19%), poor stock management (FEFO</w:t>
      </w:r>
      <w:r w:rsidR="0048267C">
        <w:rPr>
          <w:lang w:val="en-AU"/>
        </w:rPr>
        <w:t>=</w:t>
      </w:r>
      <w:r w:rsidRPr="00E27200">
        <w:rPr>
          <w:lang w:val="en-AU"/>
        </w:rPr>
        <w:t>54%</w:t>
      </w:r>
      <w:r w:rsidR="0048267C">
        <w:rPr>
          <w:lang w:val="en-AU"/>
        </w:rPr>
        <w:t>,</w:t>
      </w:r>
      <w:r w:rsidRPr="00E27200">
        <w:rPr>
          <w:lang w:val="en-AU"/>
        </w:rPr>
        <w:t xml:space="preserve"> and systematic method of storing medicines</w:t>
      </w:r>
      <w:r w:rsidR="0048267C">
        <w:rPr>
          <w:lang w:val="en-AU"/>
        </w:rPr>
        <w:t>=</w:t>
      </w:r>
      <w:r w:rsidRPr="00E27200">
        <w:rPr>
          <w:lang w:val="en-AU"/>
        </w:rPr>
        <w:t xml:space="preserve">57%) and active methods to cool the storage areas (57%) needed the most attention. </w:t>
      </w:r>
    </w:p>
    <w:p w14:paraId="79AC50B6" w14:textId="77777777" w:rsidR="009D4227" w:rsidRDefault="009D4227" w:rsidP="00560C1E">
      <w:pPr>
        <w:rPr>
          <w:lang w:val="en-AU"/>
        </w:rPr>
      </w:pPr>
    </w:p>
    <w:p w14:paraId="62A13D37" w14:textId="4E0258A2" w:rsidR="009D4227" w:rsidRPr="0059157B" w:rsidRDefault="00AA463A" w:rsidP="009D4227">
      <w:pPr>
        <w:rPr>
          <w:b/>
        </w:rPr>
      </w:pPr>
      <w:r>
        <w:rPr>
          <w:b/>
        </w:rPr>
        <w:t>Table 1</w:t>
      </w:r>
      <w:r w:rsidR="00314939">
        <w:rPr>
          <w:b/>
        </w:rPr>
        <w:t>3</w:t>
      </w:r>
      <w:r w:rsidR="009D4227" w:rsidRPr="0059157B">
        <w:rPr>
          <w:b/>
        </w:rPr>
        <w:t>: Proportion (%) of HFs with good storage and handling of medicines at health facilities</w:t>
      </w:r>
    </w:p>
    <w:tbl>
      <w:tblPr>
        <w:tblStyle w:val="TableGrid"/>
        <w:tblW w:w="9951" w:type="dxa"/>
        <w:jc w:val="center"/>
        <w:tblInd w:w="-955" w:type="dxa"/>
        <w:tblLook w:val="04A0" w:firstRow="1" w:lastRow="0" w:firstColumn="1" w:lastColumn="0" w:noHBand="0" w:noVBand="1"/>
      </w:tblPr>
      <w:tblGrid>
        <w:gridCol w:w="2763"/>
        <w:gridCol w:w="730"/>
        <w:gridCol w:w="865"/>
        <w:gridCol w:w="610"/>
        <w:gridCol w:w="930"/>
        <w:gridCol w:w="733"/>
        <w:gridCol w:w="865"/>
        <w:gridCol w:w="595"/>
        <w:gridCol w:w="930"/>
        <w:gridCol w:w="930"/>
      </w:tblGrid>
      <w:tr w:rsidR="004C0CAF" w:rsidRPr="00E473A0" w14:paraId="4C4C46E4" w14:textId="77777777" w:rsidTr="004C0CAF">
        <w:trPr>
          <w:jc w:val="center"/>
        </w:trPr>
        <w:tc>
          <w:tcPr>
            <w:tcW w:w="2763" w:type="dxa"/>
            <w:vAlign w:val="center"/>
          </w:tcPr>
          <w:p w14:paraId="5EB664C9" w14:textId="77777777" w:rsidR="004C0CAF" w:rsidRPr="00E473A0" w:rsidRDefault="004C0CAF" w:rsidP="009D4227">
            <w:pPr>
              <w:jc w:val="center"/>
              <w:rPr>
                <w:sz w:val="18"/>
                <w:szCs w:val="18"/>
              </w:rPr>
            </w:pPr>
          </w:p>
        </w:tc>
        <w:tc>
          <w:tcPr>
            <w:tcW w:w="3135" w:type="dxa"/>
            <w:gridSpan w:val="4"/>
            <w:vAlign w:val="center"/>
          </w:tcPr>
          <w:p w14:paraId="7B7D0746" w14:textId="0537EE78" w:rsidR="004C0CAF" w:rsidRPr="00E473A0" w:rsidRDefault="004C0CAF" w:rsidP="009D4227">
            <w:pPr>
              <w:jc w:val="center"/>
              <w:rPr>
                <w:sz w:val="18"/>
                <w:szCs w:val="18"/>
              </w:rPr>
            </w:pPr>
            <w:r w:rsidRPr="00E473A0">
              <w:rPr>
                <w:sz w:val="18"/>
                <w:szCs w:val="18"/>
              </w:rPr>
              <w:t>Storeroom (% YES)</w:t>
            </w:r>
          </w:p>
        </w:tc>
        <w:tc>
          <w:tcPr>
            <w:tcW w:w="3123" w:type="dxa"/>
            <w:gridSpan w:val="4"/>
            <w:vAlign w:val="center"/>
          </w:tcPr>
          <w:p w14:paraId="68078942" w14:textId="78DED286" w:rsidR="004C0CAF" w:rsidRPr="00E473A0" w:rsidRDefault="004C0CAF" w:rsidP="009D4227">
            <w:pPr>
              <w:jc w:val="center"/>
              <w:rPr>
                <w:sz w:val="18"/>
                <w:szCs w:val="18"/>
              </w:rPr>
            </w:pPr>
            <w:r w:rsidRPr="00E473A0">
              <w:rPr>
                <w:sz w:val="18"/>
                <w:szCs w:val="18"/>
              </w:rPr>
              <w:t>Dispensing area (% YES)</w:t>
            </w:r>
          </w:p>
        </w:tc>
        <w:tc>
          <w:tcPr>
            <w:tcW w:w="930" w:type="dxa"/>
            <w:vAlign w:val="center"/>
          </w:tcPr>
          <w:p w14:paraId="0429A284" w14:textId="77777777" w:rsidR="004C0CAF" w:rsidRPr="00E473A0" w:rsidRDefault="004C0CAF" w:rsidP="009D4227">
            <w:pPr>
              <w:jc w:val="center"/>
              <w:rPr>
                <w:sz w:val="18"/>
                <w:szCs w:val="18"/>
              </w:rPr>
            </w:pPr>
          </w:p>
        </w:tc>
      </w:tr>
      <w:tr w:rsidR="004C0CAF" w:rsidRPr="00E473A0" w14:paraId="05F5DDD3" w14:textId="77777777" w:rsidTr="004C0CAF">
        <w:trPr>
          <w:trHeight w:val="798"/>
          <w:jc w:val="center"/>
        </w:trPr>
        <w:tc>
          <w:tcPr>
            <w:tcW w:w="2763" w:type="dxa"/>
            <w:vAlign w:val="center"/>
          </w:tcPr>
          <w:p w14:paraId="254887B9" w14:textId="77777777" w:rsidR="009D4227" w:rsidRPr="00E473A0" w:rsidRDefault="009D4227" w:rsidP="001C7548">
            <w:pPr>
              <w:jc w:val="center"/>
              <w:rPr>
                <w:sz w:val="18"/>
                <w:szCs w:val="18"/>
              </w:rPr>
            </w:pPr>
            <w:r>
              <w:rPr>
                <w:sz w:val="18"/>
                <w:szCs w:val="18"/>
              </w:rPr>
              <w:t>N = 100</w:t>
            </w:r>
          </w:p>
        </w:tc>
        <w:tc>
          <w:tcPr>
            <w:tcW w:w="730" w:type="dxa"/>
            <w:vAlign w:val="center"/>
          </w:tcPr>
          <w:p w14:paraId="6A8B9773" w14:textId="77777777" w:rsidR="009D4227" w:rsidRPr="00E473A0" w:rsidRDefault="009D4227" w:rsidP="001C7548">
            <w:pPr>
              <w:pStyle w:val="Textotabela10"/>
              <w:jc w:val="center"/>
              <w:rPr>
                <w:rFonts w:asciiTheme="minorHAnsi" w:eastAsiaTheme="minorHAnsi" w:hAnsiTheme="minorHAnsi" w:cstheme="minorBidi"/>
                <w:sz w:val="18"/>
                <w:szCs w:val="18"/>
                <w:lang w:val="en-AU" w:eastAsia="en-US"/>
              </w:rPr>
            </w:pPr>
            <w:proofErr w:type="spellStart"/>
            <w:r w:rsidRPr="00E473A0">
              <w:rPr>
                <w:rFonts w:asciiTheme="minorHAnsi" w:eastAsiaTheme="minorHAnsi" w:hAnsiTheme="minorHAnsi" w:cstheme="minorBidi"/>
                <w:sz w:val="18"/>
                <w:szCs w:val="18"/>
                <w:lang w:val="en-AU" w:eastAsia="en-US"/>
              </w:rPr>
              <w:t>Hosp</w:t>
            </w:r>
            <w:proofErr w:type="spellEnd"/>
          </w:p>
        </w:tc>
        <w:tc>
          <w:tcPr>
            <w:tcW w:w="865" w:type="dxa"/>
            <w:vAlign w:val="center"/>
          </w:tcPr>
          <w:p w14:paraId="083E0F6A" w14:textId="77777777" w:rsidR="009D4227" w:rsidRPr="00E473A0" w:rsidRDefault="009D4227" w:rsidP="001C7548">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HC/SC</w:t>
            </w:r>
          </w:p>
        </w:tc>
        <w:tc>
          <w:tcPr>
            <w:tcW w:w="610" w:type="dxa"/>
            <w:vAlign w:val="center"/>
          </w:tcPr>
          <w:p w14:paraId="4FE219EB" w14:textId="77777777" w:rsidR="009D4227" w:rsidRPr="00E473A0" w:rsidRDefault="009D4227" w:rsidP="001C7548">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AP</w:t>
            </w:r>
          </w:p>
        </w:tc>
        <w:tc>
          <w:tcPr>
            <w:tcW w:w="930" w:type="dxa"/>
            <w:shd w:val="clear" w:color="auto" w:fill="D9D9D9" w:themeFill="background1" w:themeFillShade="D9"/>
            <w:vAlign w:val="center"/>
          </w:tcPr>
          <w:p w14:paraId="30091FFE" w14:textId="68B7C2E9" w:rsidR="009D4227" w:rsidRPr="00E473A0" w:rsidRDefault="004C0CAF" w:rsidP="001C7548">
            <w:pPr>
              <w:pStyle w:val="Textotabela10"/>
              <w:jc w:val="center"/>
              <w:rPr>
                <w:rFonts w:asciiTheme="minorHAnsi" w:eastAsiaTheme="minorHAnsi" w:hAnsiTheme="minorHAnsi" w:cstheme="minorBidi"/>
                <w:sz w:val="18"/>
                <w:szCs w:val="18"/>
                <w:lang w:val="en-AU" w:eastAsia="en-US"/>
              </w:rPr>
            </w:pPr>
            <w:r>
              <w:rPr>
                <w:rFonts w:asciiTheme="minorHAnsi" w:eastAsiaTheme="minorHAnsi" w:hAnsiTheme="minorHAnsi" w:cstheme="minorBidi"/>
                <w:sz w:val="18"/>
                <w:szCs w:val="18"/>
                <w:lang w:val="en-AU" w:eastAsia="en-US"/>
              </w:rPr>
              <w:t>All</w:t>
            </w:r>
          </w:p>
          <w:p w14:paraId="691D2205" w14:textId="71A34CED" w:rsidR="009D4227" w:rsidRDefault="009D4227" w:rsidP="001C7548">
            <w:pPr>
              <w:pStyle w:val="BodyText"/>
              <w:spacing w:after="0"/>
              <w:jc w:val="center"/>
              <w:rPr>
                <w:rFonts w:asciiTheme="minorHAnsi" w:eastAsiaTheme="minorHAnsi" w:hAnsiTheme="minorHAnsi" w:cstheme="minorBidi"/>
                <w:bCs/>
                <w:sz w:val="18"/>
                <w:szCs w:val="18"/>
                <w:lang w:val="en-AU"/>
              </w:rPr>
            </w:pPr>
            <w:r>
              <w:rPr>
                <w:rFonts w:asciiTheme="minorHAnsi" w:eastAsiaTheme="minorHAnsi" w:hAnsiTheme="minorHAnsi" w:cstheme="minorBidi"/>
                <w:sz w:val="18"/>
                <w:szCs w:val="18"/>
                <w:lang w:val="en-AU"/>
              </w:rPr>
              <w:t>Store</w:t>
            </w:r>
            <w:r w:rsidR="004C0CAF">
              <w:rPr>
                <w:rFonts w:asciiTheme="minorHAnsi" w:eastAsiaTheme="minorHAnsi" w:hAnsiTheme="minorHAnsi" w:cstheme="minorBidi"/>
                <w:sz w:val="18"/>
                <w:szCs w:val="18"/>
                <w:lang w:val="en-AU"/>
              </w:rPr>
              <w:t>s</w:t>
            </w:r>
          </w:p>
          <w:p w14:paraId="1DAF165A" w14:textId="77777777" w:rsidR="009D4227" w:rsidRPr="00E473A0" w:rsidRDefault="009D4227" w:rsidP="001C7548">
            <w:pPr>
              <w:pStyle w:val="BodyText"/>
              <w:spacing w:after="0"/>
              <w:jc w:val="center"/>
              <w:rPr>
                <w:rFonts w:asciiTheme="minorHAnsi" w:eastAsiaTheme="minorHAnsi" w:hAnsiTheme="minorHAnsi" w:cstheme="minorBidi"/>
                <w:bCs/>
                <w:sz w:val="18"/>
                <w:szCs w:val="18"/>
                <w:lang w:val="en-AU"/>
              </w:rPr>
            </w:pPr>
            <w:r>
              <w:rPr>
                <w:rFonts w:asciiTheme="minorHAnsi" w:eastAsiaTheme="minorHAnsi" w:hAnsiTheme="minorHAnsi" w:cstheme="minorBidi"/>
                <w:sz w:val="18"/>
                <w:szCs w:val="18"/>
                <w:lang w:val="en-AU"/>
              </w:rPr>
              <w:t>(median)</w:t>
            </w:r>
          </w:p>
        </w:tc>
        <w:tc>
          <w:tcPr>
            <w:tcW w:w="733" w:type="dxa"/>
            <w:vAlign w:val="center"/>
          </w:tcPr>
          <w:p w14:paraId="60F929D3" w14:textId="77777777" w:rsidR="009D4227" w:rsidRPr="00E473A0" w:rsidRDefault="009D4227" w:rsidP="001C7548">
            <w:pPr>
              <w:pStyle w:val="Textotabela10"/>
              <w:jc w:val="center"/>
              <w:rPr>
                <w:rFonts w:asciiTheme="minorHAnsi" w:eastAsiaTheme="minorHAnsi" w:hAnsiTheme="minorHAnsi" w:cstheme="minorBidi"/>
                <w:sz w:val="18"/>
                <w:szCs w:val="18"/>
                <w:lang w:val="en-AU" w:eastAsia="en-US"/>
              </w:rPr>
            </w:pPr>
            <w:proofErr w:type="spellStart"/>
            <w:r w:rsidRPr="00E473A0">
              <w:rPr>
                <w:rFonts w:asciiTheme="minorHAnsi" w:eastAsiaTheme="minorHAnsi" w:hAnsiTheme="minorHAnsi" w:cstheme="minorBidi"/>
                <w:sz w:val="18"/>
                <w:szCs w:val="18"/>
                <w:lang w:val="en-AU" w:eastAsia="en-US"/>
              </w:rPr>
              <w:t>Hosp</w:t>
            </w:r>
            <w:proofErr w:type="spellEnd"/>
          </w:p>
        </w:tc>
        <w:tc>
          <w:tcPr>
            <w:tcW w:w="865" w:type="dxa"/>
            <w:vAlign w:val="center"/>
          </w:tcPr>
          <w:p w14:paraId="51C66728" w14:textId="77777777" w:rsidR="009D4227" w:rsidRPr="00E473A0" w:rsidRDefault="009D4227" w:rsidP="00851881">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HC/SC</w:t>
            </w:r>
          </w:p>
        </w:tc>
        <w:tc>
          <w:tcPr>
            <w:tcW w:w="595" w:type="dxa"/>
            <w:vAlign w:val="center"/>
          </w:tcPr>
          <w:p w14:paraId="43704BC3" w14:textId="77777777" w:rsidR="009D4227" w:rsidRPr="00E473A0" w:rsidRDefault="009D4227" w:rsidP="00851881">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AP</w:t>
            </w:r>
          </w:p>
        </w:tc>
        <w:tc>
          <w:tcPr>
            <w:tcW w:w="930" w:type="dxa"/>
            <w:shd w:val="clear" w:color="auto" w:fill="D9D9D9" w:themeFill="background1" w:themeFillShade="D9"/>
            <w:vAlign w:val="center"/>
          </w:tcPr>
          <w:p w14:paraId="461756B3" w14:textId="182BF08B" w:rsidR="009D4227" w:rsidRPr="00E473A0" w:rsidRDefault="004C0CAF" w:rsidP="00851881">
            <w:pPr>
              <w:pStyle w:val="Textotabela10"/>
              <w:jc w:val="center"/>
              <w:rPr>
                <w:rFonts w:asciiTheme="minorHAnsi" w:eastAsiaTheme="minorHAnsi" w:hAnsiTheme="minorHAnsi" w:cstheme="minorBidi"/>
                <w:sz w:val="18"/>
                <w:szCs w:val="18"/>
                <w:lang w:val="en-AU" w:eastAsia="en-US"/>
              </w:rPr>
            </w:pPr>
            <w:r>
              <w:rPr>
                <w:rFonts w:asciiTheme="minorHAnsi" w:eastAsiaTheme="minorHAnsi" w:hAnsiTheme="minorHAnsi" w:cstheme="minorBidi"/>
                <w:sz w:val="18"/>
                <w:szCs w:val="18"/>
                <w:lang w:val="en-AU" w:eastAsia="en-US"/>
              </w:rPr>
              <w:t>All</w:t>
            </w:r>
          </w:p>
          <w:p w14:paraId="0865E939" w14:textId="638711E4" w:rsidR="009D4227" w:rsidRDefault="009D4227" w:rsidP="001C7548">
            <w:pPr>
              <w:pStyle w:val="BodyText"/>
              <w:spacing w:after="0"/>
              <w:jc w:val="center"/>
              <w:rPr>
                <w:rFonts w:asciiTheme="minorHAnsi" w:eastAsiaTheme="minorHAnsi" w:hAnsiTheme="minorHAnsi" w:cstheme="minorBidi"/>
                <w:bCs/>
                <w:sz w:val="18"/>
                <w:szCs w:val="18"/>
                <w:lang w:val="en-AU"/>
              </w:rPr>
            </w:pPr>
            <w:proofErr w:type="spellStart"/>
            <w:r w:rsidRPr="00E473A0">
              <w:rPr>
                <w:rFonts w:asciiTheme="minorHAnsi" w:eastAsiaTheme="minorHAnsi" w:hAnsiTheme="minorHAnsi" w:cstheme="minorBidi"/>
                <w:sz w:val="18"/>
                <w:szCs w:val="18"/>
                <w:lang w:val="en-AU"/>
              </w:rPr>
              <w:t>Disp</w:t>
            </w:r>
            <w:r w:rsidR="004C0CAF">
              <w:rPr>
                <w:rFonts w:asciiTheme="minorHAnsi" w:eastAsiaTheme="minorHAnsi" w:hAnsiTheme="minorHAnsi" w:cstheme="minorBidi"/>
                <w:sz w:val="18"/>
                <w:szCs w:val="18"/>
                <w:lang w:val="en-AU"/>
              </w:rPr>
              <w:t>ens-ing</w:t>
            </w:r>
            <w:proofErr w:type="spellEnd"/>
            <w:r w:rsidR="004C0CAF">
              <w:rPr>
                <w:rFonts w:asciiTheme="minorHAnsi" w:eastAsiaTheme="minorHAnsi" w:hAnsiTheme="minorHAnsi" w:cstheme="minorBidi"/>
                <w:sz w:val="18"/>
                <w:szCs w:val="18"/>
                <w:lang w:val="en-AU"/>
              </w:rPr>
              <w:t xml:space="preserve"> area</w:t>
            </w:r>
          </w:p>
          <w:p w14:paraId="48B0DB2A" w14:textId="77777777" w:rsidR="009D4227" w:rsidRPr="00E473A0" w:rsidRDefault="009D4227" w:rsidP="001C7548">
            <w:pPr>
              <w:pStyle w:val="BodyText"/>
              <w:spacing w:after="0"/>
              <w:jc w:val="center"/>
              <w:rPr>
                <w:rFonts w:asciiTheme="minorHAnsi" w:eastAsiaTheme="minorHAnsi" w:hAnsiTheme="minorHAnsi" w:cstheme="minorBidi"/>
                <w:bCs/>
                <w:sz w:val="18"/>
                <w:szCs w:val="18"/>
                <w:lang w:val="en-AU"/>
              </w:rPr>
            </w:pPr>
            <w:r>
              <w:rPr>
                <w:rFonts w:asciiTheme="minorHAnsi" w:eastAsiaTheme="minorHAnsi" w:hAnsiTheme="minorHAnsi" w:cstheme="minorBidi"/>
                <w:sz w:val="18"/>
                <w:szCs w:val="18"/>
                <w:lang w:val="en-AU"/>
              </w:rPr>
              <w:t>(median)</w:t>
            </w:r>
          </w:p>
        </w:tc>
        <w:tc>
          <w:tcPr>
            <w:tcW w:w="930" w:type="dxa"/>
            <w:shd w:val="clear" w:color="auto" w:fill="BFBFBF" w:themeFill="background1" w:themeFillShade="BF"/>
            <w:vAlign w:val="center"/>
          </w:tcPr>
          <w:p w14:paraId="43D4C196" w14:textId="77777777" w:rsidR="009D4227" w:rsidRDefault="009D4227" w:rsidP="001C7548">
            <w:pPr>
              <w:pStyle w:val="Textotabela10"/>
              <w:jc w:val="center"/>
              <w:rPr>
                <w:rFonts w:asciiTheme="minorHAnsi" w:eastAsiaTheme="minorHAnsi" w:hAnsiTheme="minorHAnsi" w:cstheme="minorBidi"/>
                <w:b/>
                <w:sz w:val="18"/>
                <w:szCs w:val="18"/>
                <w:lang w:val="en-AU" w:eastAsia="en-US"/>
              </w:rPr>
            </w:pPr>
            <w:r w:rsidRPr="008A241A">
              <w:rPr>
                <w:rFonts w:asciiTheme="minorHAnsi" w:eastAsiaTheme="minorHAnsi" w:hAnsiTheme="minorHAnsi" w:cstheme="minorBidi"/>
                <w:b/>
                <w:sz w:val="18"/>
                <w:szCs w:val="18"/>
                <w:lang w:val="en-AU" w:eastAsia="en-US"/>
              </w:rPr>
              <w:t>TOTAL</w:t>
            </w:r>
          </w:p>
          <w:p w14:paraId="54135D79" w14:textId="77777777" w:rsidR="009D4227" w:rsidRPr="00383542" w:rsidRDefault="009D4227" w:rsidP="001C7548">
            <w:pPr>
              <w:pStyle w:val="BodyText"/>
              <w:spacing w:after="0"/>
              <w:rPr>
                <w:rFonts w:eastAsiaTheme="minorHAnsi"/>
                <w:lang w:val="en-AU"/>
              </w:rPr>
            </w:pPr>
            <w:r w:rsidRPr="00383542">
              <w:rPr>
                <w:rFonts w:asciiTheme="minorHAnsi" w:eastAsiaTheme="minorHAnsi" w:hAnsiTheme="minorHAnsi" w:cstheme="minorBidi"/>
                <w:sz w:val="18"/>
                <w:szCs w:val="18"/>
                <w:lang w:val="en-AU"/>
              </w:rPr>
              <w:t>(median)</w:t>
            </w:r>
          </w:p>
        </w:tc>
      </w:tr>
      <w:tr w:rsidR="004C0CAF" w:rsidRPr="00E473A0" w14:paraId="043A40CF" w14:textId="77777777">
        <w:trPr>
          <w:jc w:val="center"/>
        </w:trPr>
        <w:tc>
          <w:tcPr>
            <w:tcW w:w="2763" w:type="dxa"/>
            <w:vAlign w:val="center"/>
          </w:tcPr>
          <w:p w14:paraId="444BAC96" w14:textId="77777777" w:rsidR="009D4227" w:rsidRPr="00AA463A" w:rsidRDefault="009D4227" w:rsidP="00AA463A">
            <w:pPr>
              <w:jc w:val="center"/>
              <w:rPr>
                <w:spacing w:val="-4"/>
                <w:sz w:val="18"/>
                <w:szCs w:val="18"/>
              </w:rPr>
            </w:pPr>
            <w:r w:rsidRPr="00AA463A">
              <w:rPr>
                <w:spacing w:val="-4"/>
                <w:sz w:val="18"/>
                <w:szCs w:val="18"/>
              </w:rPr>
              <w:t xml:space="preserve">Method in place to control temperature (e.g. ceiling </w:t>
            </w:r>
            <w:r w:rsidR="00AA463A" w:rsidRPr="00AA463A">
              <w:rPr>
                <w:spacing w:val="-4"/>
                <w:sz w:val="18"/>
                <w:szCs w:val="18"/>
              </w:rPr>
              <w:t>space fan)</w:t>
            </w:r>
          </w:p>
        </w:tc>
        <w:tc>
          <w:tcPr>
            <w:tcW w:w="730" w:type="dxa"/>
            <w:vAlign w:val="center"/>
          </w:tcPr>
          <w:p w14:paraId="2628D487" w14:textId="77777777" w:rsidR="009D4227" w:rsidRPr="00E473A0" w:rsidRDefault="009D4227" w:rsidP="009D4227">
            <w:pPr>
              <w:pStyle w:val="Textotabela10"/>
              <w:jc w:val="center"/>
              <w:rPr>
                <w:sz w:val="18"/>
                <w:szCs w:val="18"/>
              </w:rPr>
            </w:pPr>
            <w:r w:rsidRPr="00E473A0">
              <w:rPr>
                <w:sz w:val="18"/>
                <w:szCs w:val="18"/>
              </w:rPr>
              <w:t>7</w:t>
            </w:r>
            <w:r>
              <w:rPr>
                <w:sz w:val="18"/>
                <w:szCs w:val="18"/>
              </w:rPr>
              <w:t>5</w:t>
            </w:r>
            <w:r w:rsidRPr="00E473A0">
              <w:rPr>
                <w:sz w:val="18"/>
                <w:szCs w:val="18"/>
              </w:rPr>
              <w:t>%</w:t>
            </w:r>
          </w:p>
        </w:tc>
        <w:tc>
          <w:tcPr>
            <w:tcW w:w="865" w:type="dxa"/>
            <w:vAlign w:val="center"/>
          </w:tcPr>
          <w:p w14:paraId="076E1750" w14:textId="77777777" w:rsidR="009D4227" w:rsidRPr="00E473A0" w:rsidRDefault="009D4227" w:rsidP="009D4227">
            <w:pPr>
              <w:pStyle w:val="Textotabela10"/>
              <w:jc w:val="center"/>
              <w:rPr>
                <w:sz w:val="18"/>
                <w:szCs w:val="18"/>
              </w:rPr>
            </w:pPr>
            <w:r w:rsidRPr="00E473A0">
              <w:rPr>
                <w:sz w:val="18"/>
                <w:szCs w:val="18"/>
              </w:rPr>
              <w:t>54%</w:t>
            </w:r>
          </w:p>
        </w:tc>
        <w:tc>
          <w:tcPr>
            <w:tcW w:w="610" w:type="dxa"/>
            <w:vAlign w:val="center"/>
          </w:tcPr>
          <w:p w14:paraId="25810A7E" w14:textId="77777777" w:rsidR="009D4227" w:rsidRPr="00E473A0" w:rsidRDefault="009D4227" w:rsidP="009D4227">
            <w:pPr>
              <w:pStyle w:val="Textotabela10"/>
              <w:jc w:val="center"/>
              <w:rPr>
                <w:sz w:val="18"/>
                <w:szCs w:val="18"/>
              </w:rPr>
            </w:pPr>
            <w:r w:rsidRPr="00E473A0">
              <w:rPr>
                <w:sz w:val="18"/>
                <w:szCs w:val="18"/>
              </w:rPr>
              <w:t>42%</w:t>
            </w:r>
          </w:p>
        </w:tc>
        <w:tc>
          <w:tcPr>
            <w:tcW w:w="930" w:type="dxa"/>
            <w:shd w:val="clear" w:color="auto" w:fill="D9D9D9" w:themeFill="background1" w:themeFillShade="D9"/>
            <w:vAlign w:val="center"/>
          </w:tcPr>
          <w:p w14:paraId="627C409D" w14:textId="77777777" w:rsidR="009D4227" w:rsidRPr="00E473A0" w:rsidRDefault="009D4227" w:rsidP="009D4227">
            <w:pPr>
              <w:pStyle w:val="Textotabela10"/>
              <w:jc w:val="center"/>
              <w:rPr>
                <w:sz w:val="18"/>
                <w:szCs w:val="18"/>
              </w:rPr>
            </w:pPr>
            <w:r>
              <w:rPr>
                <w:sz w:val="18"/>
                <w:szCs w:val="18"/>
              </w:rPr>
              <w:t>54%</w:t>
            </w:r>
          </w:p>
        </w:tc>
        <w:tc>
          <w:tcPr>
            <w:tcW w:w="733" w:type="dxa"/>
            <w:vAlign w:val="center"/>
          </w:tcPr>
          <w:p w14:paraId="53C7B3C1" w14:textId="77777777" w:rsidR="009D4227" w:rsidRPr="00E473A0" w:rsidRDefault="009D4227" w:rsidP="009D4227">
            <w:pPr>
              <w:pStyle w:val="Textotabela10"/>
              <w:jc w:val="center"/>
              <w:rPr>
                <w:sz w:val="18"/>
                <w:szCs w:val="18"/>
              </w:rPr>
            </w:pPr>
            <w:r>
              <w:rPr>
                <w:sz w:val="18"/>
                <w:szCs w:val="18"/>
              </w:rPr>
              <w:t>92%</w:t>
            </w:r>
          </w:p>
        </w:tc>
        <w:tc>
          <w:tcPr>
            <w:tcW w:w="865" w:type="dxa"/>
            <w:vAlign w:val="center"/>
          </w:tcPr>
          <w:p w14:paraId="2F47E275" w14:textId="77777777" w:rsidR="009D4227" w:rsidRPr="00E473A0" w:rsidRDefault="009D4227" w:rsidP="009D4227">
            <w:pPr>
              <w:pStyle w:val="Textotabela10"/>
              <w:jc w:val="center"/>
              <w:rPr>
                <w:sz w:val="18"/>
                <w:szCs w:val="18"/>
              </w:rPr>
            </w:pPr>
            <w:r>
              <w:rPr>
                <w:sz w:val="18"/>
                <w:szCs w:val="18"/>
              </w:rPr>
              <w:t>57%</w:t>
            </w:r>
          </w:p>
        </w:tc>
        <w:tc>
          <w:tcPr>
            <w:tcW w:w="595" w:type="dxa"/>
            <w:vAlign w:val="center"/>
          </w:tcPr>
          <w:p w14:paraId="73C77931" w14:textId="77777777" w:rsidR="009D4227" w:rsidRPr="00E473A0" w:rsidRDefault="009D4227" w:rsidP="009D4227">
            <w:pPr>
              <w:pStyle w:val="Textotabela10"/>
              <w:jc w:val="center"/>
              <w:rPr>
                <w:sz w:val="18"/>
                <w:szCs w:val="18"/>
              </w:rPr>
            </w:pPr>
            <w:r>
              <w:rPr>
                <w:sz w:val="18"/>
                <w:szCs w:val="18"/>
              </w:rPr>
              <w:t>54%</w:t>
            </w:r>
          </w:p>
        </w:tc>
        <w:tc>
          <w:tcPr>
            <w:tcW w:w="930" w:type="dxa"/>
            <w:shd w:val="clear" w:color="auto" w:fill="D9D9D9" w:themeFill="background1" w:themeFillShade="D9"/>
            <w:vAlign w:val="center"/>
          </w:tcPr>
          <w:p w14:paraId="46815312" w14:textId="77777777" w:rsidR="009D4227" w:rsidRPr="00E473A0" w:rsidRDefault="009D4227" w:rsidP="009D4227">
            <w:pPr>
              <w:pStyle w:val="Textotabela10"/>
              <w:jc w:val="center"/>
              <w:rPr>
                <w:sz w:val="18"/>
                <w:szCs w:val="18"/>
              </w:rPr>
            </w:pPr>
            <w:r>
              <w:rPr>
                <w:sz w:val="18"/>
                <w:szCs w:val="18"/>
              </w:rPr>
              <w:t>57%</w:t>
            </w:r>
          </w:p>
        </w:tc>
        <w:tc>
          <w:tcPr>
            <w:tcW w:w="930" w:type="dxa"/>
            <w:shd w:val="clear" w:color="auto" w:fill="BFBFBF" w:themeFill="background1" w:themeFillShade="BF"/>
            <w:vAlign w:val="center"/>
          </w:tcPr>
          <w:p w14:paraId="6A5CC68F" w14:textId="77777777" w:rsidR="009D4227" w:rsidRPr="008A241A" w:rsidRDefault="009D4227" w:rsidP="009D4227">
            <w:pPr>
              <w:pStyle w:val="Textotabela10"/>
              <w:jc w:val="center"/>
              <w:rPr>
                <w:b/>
                <w:sz w:val="18"/>
                <w:szCs w:val="18"/>
              </w:rPr>
            </w:pPr>
            <w:r>
              <w:rPr>
                <w:b/>
                <w:sz w:val="18"/>
                <w:szCs w:val="18"/>
              </w:rPr>
              <w:t>57</w:t>
            </w:r>
            <w:r w:rsidRPr="008A241A">
              <w:rPr>
                <w:b/>
                <w:sz w:val="18"/>
                <w:szCs w:val="18"/>
              </w:rPr>
              <w:t>%</w:t>
            </w:r>
          </w:p>
        </w:tc>
      </w:tr>
      <w:tr w:rsidR="004C0CAF" w:rsidRPr="00E473A0" w14:paraId="06F331B0" w14:textId="77777777">
        <w:trPr>
          <w:jc w:val="center"/>
        </w:trPr>
        <w:tc>
          <w:tcPr>
            <w:tcW w:w="2763" w:type="dxa"/>
            <w:vAlign w:val="center"/>
          </w:tcPr>
          <w:p w14:paraId="49D4E50B" w14:textId="77777777" w:rsidR="009D4227" w:rsidRPr="00E473A0" w:rsidRDefault="009D4227" w:rsidP="009D4227">
            <w:pPr>
              <w:jc w:val="center"/>
              <w:rPr>
                <w:sz w:val="18"/>
                <w:szCs w:val="18"/>
              </w:rPr>
            </w:pPr>
            <w:r w:rsidRPr="00E473A0">
              <w:rPr>
                <w:sz w:val="18"/>
                <w:szCs w:val="18"/>
              </w:rPr>
              <w:t>There are windows that can be opened or there are air vents.</w:t>
            </w:r>
          </w:p>
        </w:tc>
        <w:tc>
          <w:tcPr>
            <w:tcW w:w="730" w:type="dxa"/>
            <w:vAlign w:val="center"/>
          </w:tcPr>
          <w:p w14:paraId="0763B868" w14:textId="77777777" w:rsidR="009D4227" w:rsidRPr="00E473A0" w:rsidRDefault="009D4227" w:rsidP="009D4227">
            <w:pPr>
              <w:jc w:val="center"/>
              <w:rPr>
                <w:sz w:val="18"/>
                <w:szCs w:val="18"/>
              </w:rPr>
            </w:pPr>
            <w:r>
              <w:rPr>
                <w:sz w:val="18"/>
                <w:szCs w:val="18"/>
              </w:rPr>
              <w:t>100%</w:t>
            </w:r>
          </w:p>
        </w:tc>
        <w:tc>
          <w:tcPr>
            <w:tcW w:w="865" w:type="dxa"/>
            <w:vAlign w:val="center"/>
          </w:tcPr>
          <w:p w14:paraId="17A6265B" w14:textId="77777777" w:rsidR="009D4227" w:rsidRPr="00E473A0" w:rsidRDefault="009D4227" w:rsidP="009D4227">
            <w:pPr>
              <w:jc w:val="center"/>
              <w:rPr>
                <w:sz w:val="18"/>
                <w:szCs w:val="18"/>
              </w:rPr>
            </w:pPr>
            <w:r>
              <w:rPr>
                <w:sz w:val="18"/>
                <w:szCs w:val="18"/>
              </w:rPr>
              <w:t>80%</w:t>
            </w:r>
          </w:p>
        </w:tc>
        <w:tc>
          <w:tcPr>
            <w:tcW w:w="610" w:type="dxa"/>
            <w:vAlign w:val="center"/>
          </w:tcPr>
          <w:p w14:paraId="5C1A29DA" w14:textId="77777777" w:rsidR="009D4227" w:rsidRPr="00E473A0" w:rsidRDefault="009D4227" w:rsidP="009D4227">
            <w:pPr>
              <w:jc w:val="center"/>
              <w:rPr>
                <w:sz w:val="18"/>
                <w:szCs w:val="18"/>
              </w:rPr>
            </w:pPr>
            <w:r>
              <w:rPr>
                <w:sz w:val="18"/>
                <w:szCs w:val="18"/>
              </w:rPr>
              <w:t>75%</w:t>
            </w:r>
          </w:p>
        </w:tc>
        <w:tc>
          <w:tcPr>
            <w:tcW w:w="930" w:type="dxa"/>
            <w:shd w:val="clear" w:color="auto" w:fill="D9D9D9" w:themeFill="background1" w:themeFillShade="D9"/>
            <w:vAlign w:val="center"/>
          </w:tcPr>
          <w:p w14:paraId="72C48442" w14:textId="77777777" w:rsidR="009D4227" w:rsidRPr="00E473A0" w:rsidRDefault="009D4227" w:rsidP="009D4227">
            <w:pPr>
              <w:jc w:val="center"/>
              <w:rPr>
                <w:sz w:val="18"/>
                <w:szCs w:val="18"/>
              </w:rPr>
            </w:pPr>
            <w:r>
              <w:rPr>
                <w:sz w:val="18"/>
                <w:szCs w:val="18"/>
              </w:rPr>
              <w:t>80%</w:t>
            </w:r>
          </w:p>
        </w:tc>
        <w:tc>
          <w:tcPr>
            <w:tcW w:w="733" w:type="dxa"/>
            <w:vAlign w:val="center"/>
          </w:tcPr>
          <w:p w14:paraId="7812BFAD" w14:textId="77777777" w:rsidR="009D4227" w:rsidRPr="00E473A0" w:rsidRDefault="009D4227" w:rsidP="009D4227">
            <w:pPr>
              <w:jc w:val="center"/>
              <w:rPr>
                <w:sz w:val="18"/>
                <w:szCs w:val="18"/>
              </w:rPr>
            </w:pPr>
            <w:r>
              <w:rPr>
                <w:sz w:val="18"/>
                <w:szCs w:val="18"/>
              </w:rPr>
              <w:t>92%</w:t>
            </w:r>
          </w:p>
        </w:tc>
        <w:tc>
          <w:tcPr>
            <w:tcW w:w="865" w:type="dxa"/>
            <w:vAlign w:val="center"/>
          </w:tcPr>
          <w:p w14:paraId="025038AD" w14:textId="77777777" w:rsidR="009D4227" w:rsidRPr="00E473A0" w:rsidRDefault="009D4227" w:rsidP="009D4227">
            <w:pPr>
              <w:jc w:val="center"/>
              <w:rPr>
                <w:sz w:val="18"/>
                <w:szCs w:val="18"/>
              </w:rPr>
            </w:pPr>
            <w:r>
              <w:rPr>
                <w:sz w:val="18"/>
                <w:szCs w:val="18"/>
              </w:rPr>
              <w:t>90%</w:t>
            </w:r>
          </w:p>
        </w:tc>
        <w:tc>
          <w:tcPr>
            <w:tcW w:w="595" w:type="dxa"/>
            <w:vAlign w:val="center"/>
          </w:tcPr>
          <w:p w14:paraId="5A9AFCD1" w14:textId="77777777" w:rsidR="009D4227" w:rsidRPr="00E473A0" w:rsidRDefault="009D4227" w:rsidP="009D4227">
            <w:pPr>
              <w:jc w:val="center"/>
              <w:rPr>
                <w:sz w:val="18"/>
                <w:szCs w:val="18"/>
              </w:rPr>
            </w:pPr>
            <w:r>
              <w:rPr>
                <w:sz w:val="18"/>
                <w:szCs w:val="18"/>
              </w:rPr>
              <w:t>88%</w:t>
            </w:r>
          </w:p>
        </w:tc>
        <w:tc>
          <w:tcPr>
            <w:tcW w:w="930" w:type="dxa"/>
            <w:shd w:val="clear" w:color="auto" w:fill="D9D9D9" w:themeFill="background1" w:themeFillShade="D9"/>
            <w:vAlign w:val="center"/>
          </w:tcPr>
          <w:p w14:paraId="06E1D212" w14:textId="77777777" w:rsidR="009D4227" w:rsidRPr="00E473A0" w:rsidRDefault="009D4227" w:rsidP="009D4227">
            <w:pPr>
              <w:jc w:val="center"/>
              <w:rPr>
                <w:sz w:val="18"/>
                <w:szCs w:val="18"/>
              </w:rPr>
            </w:pPr>
            <w:r>
              <w:rPr>
                <w:sz w:val="18"/>
                <w:szCs w:val="18"/>
              </w:rPr>
              <w:t>90%</w:t>
            </w:r>
          </w:p>
        </w:tc>
        <w:tc>
          <w:tcPr>
            <w:tcW w:w="930" w:type="dxa"/>
            <w:shd w:val="clear" w:color="auto" w:fill="BFBFBF" w:themeFill="background1" w:themeFillShade="BF"/>
            <w:vAlign w:val="center"/>
          </w:tcPr>
          <w:p w14:paraId="2044B57D" w14:textId="77777777" w:rsidR="009D4227" w:rsidRPr="008A241A" w:rsidRDefault="009D4227" w:rsidP="009D4227">
            <w:pPr>
              <w:jc w:val="center"/>
              <w:rPr>
                <w:b/>
                <w:sz w:val="18"/>
                <w:szCs w:val="18"/>
              </w:rPr>
            </w:pPr>
            <w:r>
              <w:rPr>
                <w:b/>
                <w:sz w:val="18"/>
                <w:szCs w:val="18"/>
              </w:rPr>
              <w:t>90</w:t>
            </w:r>
            <w:r w:rsidRPr="008A241A">
              <w:rPr>
                <w:b/>
                <w:sz w:val="18"/>
                <w:szCs w:val="18"/>
              </w:rPr>
              <w:t>%</w:t>
            </w:r>
          </w:p>
        </w:tc>
      </w:tr>
      <w:tr w:rsidR="004C0CAF" w:rsidRPr="00E473A0" w14:paraId="5D988D96" w14:textId="77777777">
        <w:trPr>
          <w:jc w:val="center"/>
        </w:trPr>
        <w:tc>
          <w:tcPr>
            <w:tcW w:w="2763" w:type="dxa"/>
            <w:vAlign w:val="center"/>
          </w:tcPr>
          <w:p w14:paraId="3AC5E609" w14:textId="3621E343" w:rsidR="009D4227" w:rsidRPr="00E473A0" w:rsidRDefault="009D4227" w:rsidP="009D4227">
            <w:pPr>
              <w:jc w:val="center"/>
              <w:rPr>
                <w:sz w:val="18"/>
                <w:szCs w:val="18"/>
              </w:rPr>
            </w:pPr>
            <w:r w:rsidRPr="00E473A0">
              <w:rPr>
                <w:sz w:val="18"/>
                <w:szCs w:val="18"/>
              </w:rPr>
              <w:t xml:space="preserve">Direct sunlight cannot enter the </w:t>
            </w:r>
            <w:r w:rsidR="00851881">
              <w:rPr>
                <w:sz w:val="18"/>
                <w:szCs w:val="18"/>
              </w:rPr>
              <w:t xml:space="preserve">storage </w:t>
            </w:r>
            <w:r w:rsidRPr="00E473A0">
              <w:rPr>
                <w:sz w:val="18"/>
                <w:szCs w:val="18"/>
              </w:rPr>
              <w:t xml:space="preserve">area </w:t>
            </w:r>
          </w:p>
        </w:tc>
        <w:tc>
          <w:tcPr>
            <w:tcW w:w="730" w:type="dxa"/>
            <w:vAlign w:val="center"/>
          </w:tcPr>
          <w:p w14:paraId="5516AA7B" w14:textId="77777777" w:rsidR="009D4227" w:rsidRPr="00E473A0" w:rsidRDefault="009D4227" w:rsidP="009D4227">
            <w:pPr>
              <w:jc w:val="center"/>
              <w:rPr>
                <w:sz w:val="18"/>
                <w:szCs w:val="18"/>
              </w:rPr>
            </w:pPr>
            <w:r>
              <w:rPr>
                <w:sz w:val="18"/>
                <w:szCs w:val="18"/>
              </w:rPr>
              <w:t>75%</w:t>
            </w:r>
          </w:p>
        </w:tc>
        <w:tc>
          <w:tcPr>
            <w:tcW w:w="865" w:type="dxa"/>
            <w:vAlign w:val="center"/>
          </w:tcPr>
          <w:p w14:paraId="619707E6" w14:textId="77777777" w:rsidR="009D4227" w:rsidRPr="00E473A0" w:rsidRDefault="009D4227" w:rsidP="009D4227">
            <w:pPr>
              <w:jc w:val="center"/>
              <w:rPr>
                <w:sz w:val="18"/>
                <w:szCs w:val="18"/>
              </w:rPr>
            </w:pPr>
            <w:r>
              <w:rPr>
                <w:sz w:val="18"/>
                <w:szCs w:val="18"/>
              </w:rPr>
              <w:t>63%</w:t>
            </w:r>
          </w:p>
        </w:tc>
        <w:tc>
          <w:tcPr>
            <w:tcW w:w="610" w:type="dxa"/>
            <w:vAlign w:val="center"/>
          </w:tcPr>
          <w:p w14:paraId="7A16ECE0" w14:textId="77777777" w:rsidR="009D4227" w:rsidRPr="00E473A0" w:rsidRDefault="009D4227" w:rsidP="009D4227">
            <w:pPr>
              <w:jc w:val="center"/>
              <w:rPr>
                <w:sz w:val="18"/>
                <w:szCs w:val="18"/>
              </w:rPr>
            </w:pPr>
            <w:r>
              <w:rPr>
                <w:sz w:val="18"/>
                <w:szCs w:val="18"/>
              </w:rPr>
              <w:t>52%</w:t>
            </w:r>
          </w:p>
        </w:tc>
        <w:tc>
          <w:tcPr>
            <w:tcW w:w="930" w:type="dxa"/>
            <w:shd w:val="clear" w:color="auto" w:fill="D9D9D9" w:themeFill="background1" w:themeFillShade="D9"/>
            <w:vAlign w:val="center"/>
          </w:tcPr>
          <w:p w14:paraId="5C8A43E9" w14:textId="77777777" w:rsidR="009D4227" w:rsidRPr="00E473A0" w:rsidRDefault="009D4227" w:rsidP="009D4227">
            <w:pPr>
              <w:jc w:val="center"/>
              <w:rPr>
                <w:sz w:val="18"/>
                <w:szCs w:val="18"/>
              </w:rPr>
            </w:pPr>
            <w:r>
              <w:rPr>
                <w:sz w:val="18"/>
                <w:szCs w:val="18"/>
              </w:rPr>
              <w:t>63%</w:t>
            </w:r>
          </w:p>
        </w:tc>
        <w:tc>
          <w:tcPr>
            <w:tcW w:w="733" w:type="dxa"/>
            <w:vAlign w:val="center"/>
          </w:tcPr>
          <w:p w14:paraId="3F5C2945" w14:textId="77777777" w:rsidR="009D4227" w:rsidRPr="00E473A0" w:rsidRDefault="009D4227" w:rsidP="009D4227">
            <w:pPr>
              <w:jc w:val="center"/>
              <w:rPr>
                <w:sz w:val="18"/>
                <w:szCs w:val="18"/>
              </w:rPr>
            </w:pPr>
            <w:r>
              <w:rPr>
                <w:sz w:val="18"/>
                <w:szCs w:val="18"/>
              </w:rPr>
              <w:t>69%</w:t>
            </w:r>
          </w:p>
        </w:tc>
        <w:tc>
          <w:tcPr>
            <w:tcW w:w="865" w:type="dxa"/>
            <w:vAlign w:val="center"/>
          </w:tcPr>
          <w:p w14:paraId="4DA81DEC" w14:textId="77777777" w:rsidR="009D4227" w:rsidRPr="00E473A0" w:rsidRDefault="009D4227" w:rsidP="009D4227">
            <w:pPr>
              <w:jc w:val="center"/>
              <w:rPr>
                <w:sz w:val="18"/>
                <w:szCs w:val="18"/>
              </w:rPr>
            </w:pPr>
            <w:r>
              <w:rPr>
                <w:sz w:val="18"/>
                <w:szCs w:val="18"/>
              </w:rPr>
              <w:t>63%</w:t>
            </w:r>
          </w:p>
        </w:tc>
        <w:tc>
          <w:tcPr>
            <w:tcW w:w="595" w:type="dxa"/>
            <w:vAlign w:val="center"/>
          </w:tcPr>
          <w:p w14:paraId="4590C91D" w14:textId="77777777" w:rsidR="009D4227" w:rsidRPr="00E473A0" w:rsidRDefault="009D4227" w:rsidP="009D4227">
            <w:pPr>
              <w:jc w:val="center"/>
              <w:rPr>
                <w:sz w:val="18"/>
                <w:szCs w:val="18"/>
              </w:rPr>
            </w:pPr>
            <w:r>
              <w:rPr>
                <w:sz w:val="18"/>
                <w:szCs w:val="18"/>
              </w:rPr>
              <w:t>51%</w:t>
            </w:r>
          </w:p>
        </w:tc>
        <w:tc>
          <w:tcPr>
            <w:tcW w:w="930" w:type="dxa"/>
            <w:shd w:val="clear" w:color="auto" w:fill="D9D9D9" w:themeFill="background1" w:themeFillShade="D9"/>
            <w:vAlign w:val="center"/>
          </w:tcPr>
          <w:p w14:paraId="5E804A54" w14:textId="77777777" w:rsidR="009D4227" w:rsidRPr="00E473A0" w:rsidRDefault="009D4227" w:rsidP="009D4227">
            <w:pPr>
              <w:jc w:val="center"/>
              <w:rPr>
                <w:sz w:val="18"/>
                <w:szCs w:val="18"/>
              </w:rPr>
            </w:pPr>
            <w:r>
              <w:rPr>
                <w:sz w:val="18"/>
                <w:szCs w:val="18"/>
              </w:rPr>
              <w:t>63%</w:t>
            </w:r>
          </w:p>
        </w:tc>
        <w:tc>
          <w:tcPr>
            <w:tcW w:w="930" w:type="dxa"/>
            <w:shd w:val="clear" w:color="auto" w:fill="BFBFBF" w:themeFill="background1" w:themeFillShade="BF"/>
            <w:vAlign w:val="center"/>
          </w:tcPr>
          <w:p w14:paraId="7AB06ED3" w14:textId="77777777" w:rsidR="009D4227" w:rsidRPr="008A241A" w:rsidRDefault="009D4227" w:rsidP="009D4227">
            <w:pPr>
              <w:jc w:val="center"/>
              <w:rPr>
                <w:b/>
                <w:sz w:val="18"/>
                <w:szCs w:val="18"/>
              </w:rPr>
            </w:pPr>
            <w:r>
              <w:rPr>
                <w:b/>
                <w:sz w:val="18"/>
                <w:szCs w:val="18"/>
              </w:rPr>
              <w:t>63</w:t>
            </w:r>
            <w:r w:rsidRPr="008A241A">
              <w:rPr>
                <w:b/>
                <w:sz w:val="18"/>
                <w:szCs w:val="18"/>
              </w:rPr>
              <w:t>%</w:t>
            </w:r>
          </w:p>
        </w:tc>
      </w:tr>
      <w:tr w:rsidR="004C0CAF" w:rsidRPr="00E473A0" w14:paraId="2A82A7E5" w14:textId="77777777">
        <w:trPr>
          <w:jc w:val="center"/>
        </w:trPr>
        <w:tc>
          <w:tcPr>
            <w:tcW w:w="2763" w:type="dxa"/>
            <w:vAlign w:val="center"/>
          </w:tcPr>
          <w:p w14:paraId="407C93ED" w14:textId="3C15F8E0" w:rsidR="009D4227" w:rsidRPr="00E473A0" w:rsidRDefault="009D4227" w:rsidP="009D4227">
            <w:pPr>
              <w:jc w:val="center"/>
              <w:rPr>
                <w:sz w:val="18"/>
                <w:szCs w:val="18"/>
              </w:rPr>
            </w:pPr>
            <w:r w:rsidRPr="00E473A0">
              <w:rPr>
                <w:sz w:val="18"/>
                <w:szCs w:val="18"/>
              </w:rPr>
              <w:t>Area is free from moisture (e</w:t>
            </w:r>
            <w:r w:rsidR="00CD7C51">
              <w:rPr>
                <w:sz w:val="18"/>
                <w:szCs w:val="18"/>
              </w:rPr>
              <w:t>.</w:t>
            </w:r>
            <w:r w:rsidRPr="00E473A0">
              <w:rPr>
                <w:sz w:val="18"/>
                <w:szCs w:val="18"/>
              </w:rPr>
              <w:t>g. leaking ceiling, roof, drains, taps)</w:t>
            </w:r>
          </w:p>
        </w:tc>
        <w:tc>
          <w:tcPr>
            <w:tcW w:w="730" w:type="dxa"/>
            <w:vAlign w:val="center"/>
          </w:tcPr>
          <w:p w14:paraId="0643BC2D" w14:textId="77777777" w:rsidR="009D4227" w:rsidRPr="00E473A0" w:rsidRDefault="009D4227" w:rsidP="009D4227">
            <w:pPr>
              <w:jc w:val="center"/>
              <w:rPr>
                <w:sz w:val="18"/>
                <w:szCs w:val="18"/>
              </w:rPr>
            </w:pPr>
            <w:r>
              <w:rPr>
                <w:sz w:val="18"/>
                <w:szCs w:val="18"/>
              </w:rPr>
              <w:t>75%</w:t>
            </w:r>
          </w:p>
        </w:tc>
        <w:tc>
          <w:tcPr>
            <w:tcW w:w="865" w:type="dxa"/>
            <w:vAlign w:val="center"/>
          </w:tcPr>
          <w:p w14:paraId="6F96ABFD" w14:textId="77777777" w:rsidR="009D4227" w:rsidRPr="00E473A0" w:rsidRDefault="009D4227" w:rsidP="009D4227">
            <w:pPr>
              <w:jc w:val="center"/>
              <w:rPr>
                <w:sz w:val="18"/>
                <w:szCs w:val="18"/>
              </w:rPr>
            </w:pPr>
            <w:r>
              <w:rPr>
                <w:sz w:val="18"/>
                <w:szCs w:val="18"/>
              </w:rPr>
              <w:t>83%</w:t>
            </w:r>
          </w:p>
        </w:tc>
        <w:tc>
          <w:tcPr>
            <w:tcW w:w="610" w:type="dxa"/>
            <w:vAlign w:val="center"/>
          </w:tcPr>
          <w:p w14:paraId="0250F81C" w14:textId="77777777" w:rsidR="009D4227" w:rsidRPr="00E473A0" w:rsidRDefault="009D4227" w:rsidP="009D4227">
            <w:pPr>
              <w:jc w:val="center"/>
              <w:rPr>
                <w:sz w:val="18"/>
                <w:szCs w:val="18"/>
              </w:rPr>
            </w:pPr>
            <w:r>
              <w:rPr>
                <w:sz w:val="18"/>
                <w:szCs w:val="18"/>
              </w:rPr>
              <w:t>74%</w:t>
            </w:r>
          </w:p>
        </w:tc>
        <w:tc>
          <w:tcPr>
            <w:tcW w:w="930" w:type="dxa"/>
            <w:shd w:val="clear" w:color="auto" w:fill="D9D9D9" w:themeFill="background1" w:themeFillShade="D9"/>
            <w:vAlign w:val="center"/>
          </w:tcPr>
          <w:p w14:paraId="774AEC90" w14:textId="77777777" w:rsidR="009D4227" w:rsidRPr="00E473A0" w:rsidRDefault="009D4227" w:rsidP="009D4227">
            <w:pPr>
              <w:jc w:val="center"/>
              <w:rPr>
                <w:sz w:val="18"/>
                <w:szCs w:val="18"/>
              </w:rPr>
            </w:pPr>
            <w:r>
              <w:rPr>
                <w:sz w:val="18"/>
                <w:szCs w:val="18"/>
              </w:rPr>
              <w:t>75%</w:t>
            </w:r>
          </w:p>
        </w:tc>
        <w:tc>
          <w:tcPr>
            <w:tcW w:w="733" w:type="dxa"/>
            <w:vAlign w:val="center"/>
          </w:tcPr>
          <w:p w14:paraId="10623878" w14:textId="77777777" w:rsidR="009D4227" w:rsidRPr="00E473A0" w:rsidRDefault="009D4227" w:rsidP="009D4227">
            <w:pPr>
              <w:jc w:val="center"/>
              <w:rPr>
                <w:sz w:val="18"/>
                <w:szCs w:val="18"/>
              </w:rPr>
            </w:pPr>
            <w:r>
              <w:rPr>
                <w:sz w:val="18"/>
                <w:szCs w:val="18"/>
              </w:rPr>
              <w:t>85%</w:t>
            </w:r>
          </w:p>
        </w:tc>
        <w:tc>
          <w:tcPr>
            <w:tcW w:w="865" w:type="dxa"/>
            <w:vAlign w:val="center"/>
          </w:tcPr>
          <w:p w14:paraId="231D0A38" w14:textId="77777777" w:rsidR="009D4227" w:rsidRPr="00E473A0" w:rsidRDefault="009D4227" w:rsidP="009D4227">
            <w:pPr>
              <w:jc w:val="center"/>
              <w:rPr>
                <w:sz w:val="18"/>
                <w:szCs w:val="18"/>
              </w:rPr>
            </w:pPr>
            <w:r>
              <w:rPr>
                <w:sz w:val="18"/>
                <w:szCs w:val="18"/>
              </w:rPr>
              <w:t>85%</w:t>
            </w:r>
          </w:p>
        </w:tc>
        <w:tc>
          <w:tcPr>
            <w:tcW w:w="595" w:type="dxa"/>
            <w:vAlign w:val="center"/>
          </w:tcPr>
          <w:p w14:paraId="2C1DC9C8" w14:textId="77777777" w:rsidR="009D4227" w:rsidRPr="00E473A0" w:rsidRDefault="009D4227" w:rsidP="009D4227">
            <w:pPr>
              <w:jc w:val="center"/>
              <w:rPr>
                <w:sz w:val="18"/>
                <w:szCs w:val="18"/>
              </w:rPr>
            </w:pPr>
            <w:r>
              <w:rPr>
                <w:sz w:val="18"/>
                <w:szCs w:val="18"/>
              </w:rPr>
              <w:t>78%</w:t>
            </w:r>
          </w:p>
        </w:tc>
        <w:tc>
          <w:tcPr>
            <w:tcW w:w="930" w:type="dxa"/>
            <w:shd w:val="clear" w:color="auto" w:fill="D9D9D9" w:themeFill="background1" w:themeFillShade="D9"/>
            <w:vAlign w:val="center"/>
          </w:tcPr>
          <w:p w14:paraId="0DD2C36B" w14:textId="77777777" w:rsidR="009D4227" w:rsidRPr="00E473A0" w:rsidRDefault="009D4227" w:rsidP="009D4227">
            <w:pPr>
              <w:jc w:val="center"/>
              <w:rPr>
                <w:sz w:val="18"/>
                <w:szCs w:val="18"/>
              </w:rPr>
            </w:pPr>
            <w:r>
              <w:rPr>
                <w:sz w:val="18"/>
                <w:szCs w:val="18"/>
              </w:rPr>
              <w:t>85%</w:t>
            </w:r>
          </w:p>
        </w:tc>
        <w:tc>
          <w:tcPr>
            <w:tcW w:w="930" w:type="dxa"/>
            <w:shd w:val="clear" w:color="auto" w:fill="BFBFBF" w:themeFill="background1" w:themeFillShade="BF"/>
            <w:vAlign w:val="center"/>
          </w:tcPr>
          <w:p w14:paraId="699F9777" w14:textId="77777777" w:rsidR="009D4227" w:rsidRPr="008A241A" w:rsidRDefault="009D4227" w:rsidP="009D4227">
            <w:pPr>
              <w:jc w:val="center"/>
              <w:rPr>
                <w:b/>
                <w:sz w:val="18"/>
                <w:szCs w:val="18"/>
              </w:rPr>
            </w:pPr>
            <w:r>
              <w:rPr>
                <w:b/>
                <w:sz w:val="18"/>
                <w:szCs w:val="18"/>
              </w:rPr>
              <w:t>85</w:t>
            </w:r>
            <w:r w:rsidRPr="008A241A">
              <w:rPr>
                <w:b/>
                <w:sz w:val="18"/>
                <w:szCs w:val="18"/>
              </w:rPr>
              <w:t>%</w:t>
            </w:r>
          </w:p>
        </w:tc>
      </w:tr>
      <w:tr w:rsidR="004C0CAF" w:rsidRPr="00E473A0" w14:paraId="4AA66DF0" w14:textId="77777777" w:rsidTr="001C7548">
        <w:trPr>
          <w:trHeight w:val="680"/>
          <w:jc w:val="center"/>
        </w:trPr>
        <w:tc>
          <w:tcPr>
            <w:tcW w:w="2763" w:type="dxa"/>
          </w:tcPr>
          <w:p w14:paraId="716FB2BD" w14:textId="77777777" w:rsidR="009D4227" w:rsidRPr="00E473A0" w:rsidRDefault="009D4227" w:rsidP="009D4227">
            <w:pPr>
              <w:jc w:val="center"/>
              <w:rPr>
                <w:sz w:val="18"/>
                <w:szCs w:val="18"/>
              </w:rPr>
            </w:pPr>
            <w:r>
              <w:rPr>
                <w:sz w:val="18"/>
                <w:szCs w:val="18"/>
              </w:rPr>
              <w:t>C</w:t>
            </w:r>
            <w:r w:rsidRPr="00E473A0">
              <w:rPr>
                <w:sz w:val="18"/>
                <w:szCs w:val="18"/>
              </w:rPr>
              <w:t>old storage in the facility.</w:t>
            </w:r>
          </w:p>
          <w:p w14:paraId="5B2F6AAF" w14:textId="16C1E16A" w:rsidR="004C0CAF" w:rsidRPr="00E473A0" w:rsidRDefault="009D4227" w:rsidP="009D4227">
            <w:pPr>
              <w:jc w:val="center"/>
              <w:rPr>
                <w:sz w:val="18"/>
                <w:szCs w:val="18"/>
              </w:rPr>
            </w:pPr>
            <w:r>
              <w:rPr>
                <w:sz w:val="18"/>
                <w:szCs w:val="18"/>
              </w:rPr>
              <w:t xml:space="preserve">% type: </w:t>
            </w:r>
            <w:r w:rsidR="004C0CAF">
              <w:rPr>
                <w:sz w:val="18"/>
                <w:szCs w:val="18"/>
              </w:rPr>
              <w:t xml:space="preserve"> </w:t>
            </w:r>
          </w:p>
          <w:p w14:paraId="23C5FA20" w14:textId="26F15ED3" w:rsidR="009D4227" w:rsidRPr="00E473A0" w:rsidRDefault="009D4227" w:rsidP="001C7548">
            <w:pPr>
              <w:jc w:val="center"/>
              <w:rPr>
                <w:sz w:val="18"/>
                <w:szCs w:val="18"/>
              </w:rPr>
            </w:pPr>
            <w:r w:rsidRPr="00E473A0">
              <w:rPr>
                <w:sz w:val="18"/>
                <w:szCs w:val="18"/>
              </w:rPr>
              <w:t>Electricity</w:t>
            </w:r>
            <w:r>
              <w:rPr>
                <w:sz w:val="18"/>
                <w:szCs w:val="18"/>
              </w:rPr>
              <w:t xml:space="preserve"> (E)</w:t>
            </w:r>
            <w:r w:rsidR="004C0CAF">
              <w:rPr>
                <w:sz w:val="18"/>
                <w:szCs w:val="18"/>
              </w:rPr>
              <w:t xml:space="preserve">, </w:t>
            </w:r>
            <w:r w:rsidRPr="00E473A0">
              <w:rPr>
                <w:sz w:val="18"/>
                <w:szCs w:val="18"/>
              </w:rPr>
              <w:t>Gas</w:t>
            </w:r>
            <w:r>
              <w:rPr>
                <w:sz w:val="18"/>
                <w:szCs w:val="18"/>
              </w:rPr>
              <w:t xml:space="preserve"> (G)</w:t>
            </w:r>
          </w:p>
          <w:p w14:paraId="7D196E78" w14:textId="3F360321" w:rsidR="009D4227" w:rsidRPr="00E473A0" w:rsidRDefault="004C0CAF" w:rsidP="009D4227">
            <w:pPr>
              <w:jc w:val="center"/>
              <w:rPr>
                <w:sz w:val="18"/>
                <w:szCs w:val="18"/>
              </w:rPr>
            </w:pPr>
            <w:r>
              <w:rPr>
                <w:sz w:val="18"/>
                <w:szCs w:val="18"/>
              </w:rPr>
              <w:t xml:space="preserve"> and </w:t>
            </w:r>
            <w:r w:rsidR="009D4227" w:rsidRPr="00E473A0">
              <w:rPr>
                <w:sz w:val="18"/>
                <w:szCs w:val="18"/>
              </w:rPr>
              <w:t>Solar</w:t>
            </w:r>
            <w:r w:rsidR="009D4227">
              <w:rPr>
                <w:sz w:val="18"/>
                <w:szCs w:val="18"/>
              </w:rPr>
              <w:t xml:space="preserve"> (S)</w:t>
            </w:r>
          </w:p>
        </w:tc>
        <w:tc>
          <w:tcPr>
            <w:tcW w:w="730" w:type="dxa"/>
          </w:tcPr>
          <w:p w14:paraId="1FCD9194" w14:textId="6CBD4A3F" w:rsidR="009D4227" w:rsidRDefault="009D4227" w:rsidP="001C7548">
            <w:pPr>
              <w:jc w:val="center"/>
              <w:rPr>
                <w:sz w:val="18"/>
                <w:szCs w:val="18"/>
              </w:rPr>
            </w:pPr>
            <w:r>
              <w:rPr>
                <w:sz w:val="18"/>
                <w:szCs w:val="18"/>
              </w:rPr>
              <w:t>92%</w:t>
            </w:r>
          </w:p>
          <w:p w14:paraId="2C56B056" w14:textId="77777777" w:rsidR="009D4227" w:rsidRDefault="009D4227" w:rsidP="009D4227">
            <w:pPr>
              <w:jc w:val="center"/>
              <w:rPr>
                <w:sz w:val="18"/>
                <w:szCs w:val="18"/>
              </w:rPr>
            </w:pPr>
            <w:r>
              <w:rPr>
                <w:sz w:val="18"/>
                <w:szCs w:val="18"/>
              </w:rPr>
              <w:t>E:91%</w:t>
            </w:r>
          </w:p>
          <w:p w14:paraId="14B7975B" w14:textId="77777777" w:rsidR="009D4227" w:rsidRPr="00E473A0" w:rsidRDefault="009D4227" w:rsidP="009D4227">
            <w:pPr>
              <w:jc w:val="center"/>
              <w:rPr>
                <w:sz w:val="18"/>
                <w:szCs w:val="18"/>
              </w:rPr>
            </w:pPr>
            <w:r>
              <w:rPr>
                <w:sz w:val="18"/>
                <w:szCs w:val="18"/>
              </w:rPr>
              <w:t xml:space="preserve">G:9% </w:t>
            </w:r>
          </w:p>
        </w:tc>
        <w:tc>
          <w:tcPr>
            <w:tcW w:w="865" w:type="dxa"/>
          </w:tcPr>
          <w:p w14:paraId="54BAFF12" w14:textId="34D6386A" w:rsidR="009D4227" w:rsidRDefault="009D4227" w:rsidP="001C7548">
            <w:pPr>
              <w:jc w:val="center"/>
              <w:rPr>
                <w:sz w:val="18"/>
                <w:szCs w:val="18"/>
              </w:rPr>
            </w:pPr>
            <w:r>
              <w:rPr>
                <w:sz w:val="18"/>
                <w:szCs w:val="18"/>
              </w:rPr>
              <w:t>76%</w:t>
            </w:r>
          </w:p>
          <w:p w14:paraId="24D82A36" w14:textId="77777777" w:rsidR="009D4227" w:rsidRDefault="009D4227" w:rsidP="009D4227">
            <w:pPr>
              <w:jc w:val="center"/>
              <w:rPr>
                <w:sz w:val="18"/>
                <w:szCs w:val="18"/>
              </w:rPr>
            </w:pPr>
            <w:r>
              <w:rPr>
                <w:sz w:val="18"/>
                <w:szCs w:val="18"/>
              </w:rPr>
              <w:t>E:37%</w:t>
            </w:r>
          </w:p>
          <w:p w14:paraId="13D816D6" w14:textId="77777777" w:rsidR="009D4227" w:rsidRDefault="009D4227" w:rsidP="009D4227">
            <w:pPr>
              <w:jc w:val="center"/>
              <w:rPr>
                <w:sz w:val="18"/>
                <w:szCs w:val="18"/>
              </w:rPr>
            </w:pPr>
            <w:r>
              <w:rPr>
                <w:sz w:val="18"/>
                <w:szCs w:val="18"/>
              </w:rPr>
              <w:t>G:47%</w:t>
            </w:r>
          </w:p>
          <w:p w14:paraId="63F0D294" w14:textId="77777777" w:rsidR="009D4227" w:rsidRPr="00E473A0" w:rsidRDefault="009D4227" w:rsidP="009D4227">
            <w:pPr>
              <w:jc w:val="center"/>
              <w:rPr>
                <w:sz w:val="18"/>
                <w:szCs w:val="18"/>
              </w:rPr>
            </w:pPr>
            <w:r>
              <w:rPr>
                <w:sz w:val="18"/>
                <w:szCs w:val="18"/>
              </w:rPr>
              <w:t>S:17%</w:t>
            </w:r>
          </w:p>
        </w:tc>
        <w:tc>
          <w:tcPr>
            <w:tcW w:w="610" w:type="dxa"/>
          </w:tcPr>
          <w:p w14:paraId="28CB5281" w14:textId="77777777" w:rsidR="009D4227" w:rsidRDefault="009D4227" w:rsidP="009D4227">
            <w:pPr>
              <w:jc w:val="center"/>
              <w:rPr>
                <w:sz w:val="18"/>
                <w:szCs w:val="18"/>
              </w:rPr>
            </w:pPr>
            <w:r>
              <w:rPr>
                <w:sz w:val="18"/>
                <w:szCs w:val="18"/>
              </w:rPr>
              <w:t>0%</w:t>
            </w:r>
          </w:p>
          <w:p w14:paraId="1B28F76E" w14:textId="77777777" w:rsidR="009D4227" w:rsidRDefault="009D4227" w:rsidP="009D4227">
            <w:pPr>
              <w:jc w:val="center"/>
              <w:rPr>
                <w:sz w:val="18"/>
                <w:szCs w:val="18"/>
              </w:rPr>
            </w:pPr>
          </w:p>
          <w:p w14:paraId="0DA90544" w14:textId="77777777" w:rsidR="009D4227" w:rsidRPr="00E473A0" w:rsidRDefault="009D4227" w:rsidP="009D4227">
            <w:pPr>
              <w:jc w:val="center"/>
              <w:rPr>
                <w:sz w:val="18"/>
                <w:szCs w:val="18"/>
              </w:rPr>
            </w:pPr>
            <w:r>
              <w:rPr>
                <w:sz w:val="18"/>
                <w:szCs w:val="18"/>
              </w:rPr>
              <w:t>-</w:t>
            </w:r>
          </w:p>
        </w:tc>
        <w:tc>
          <w:tcPr>
            <w:tcW w:w="930" w:type="dxa"/>
            <w:shd w:val="clear" w:color="auto" w:fill="D9D9D9" w:themeFill="background1" w:themeFillShade="D9"/>
          </w:tcPr>
          <w:p w14:paraId="149163AC" w14:textId="193F1925" w:rsidR="009D4227" w:rsidRDefault="009D4227" w:rsidP="001C7548">
            <w:pPr>
              <w:jc w:val="center"/>
              <w:rPr>
                <w:sz w:val="18"/>
                <w:szCs w:val="18"/>
              </w:rPr>
            </w:pPr>
            <w:r>
              <w:rPr>
                <w:sz w:val="18"/>
                <w:szCs w:val="18"/>
              </w:rPr>
              <w:t>76%</w:t>
            </w:r>
          </w:p>
          <w:p w14:paraId="28A97861" w14:textId="77777777" w:rsidR="009D4227" w:rsidRDefault="009D4227" w:rsidP="009D4227">
            <w:pPr>
              <w:jc w:val="center"/>
              <w:rPr>
                <w:sz w:val="18"/>
                <w:szCs w:val="18"/>
              </w:rPr>
            </w:pPr>
            <w:r>
              <w:rPr>
                <w:sz w:val="18"/>
                <w:szCs w:val="18"/>
              </w:rPr>
              <w:t>E:64%</w:t>
            </w:r>
          </w:p>
          <w:p w14:paraId="087BF23D" w14:textId="77777777" w:rsidR="009D4227" w:rsidRDefault="009D4227" w:rsidP="009D4227">
            <w:pPr>
              <w:jc w:val="center"/>
              <w:rPr>
                <w:sz w:val="18"/>
                <w:szCs w:val="18"/>
              </w:rPr>
            </w:pPr>
            <w:r>
              <w:rPr>
                <w:sz w:val="18"/>
                <w:szCs w:val="18"/>
              </w:rPr>
              <w:t>G:28%</w:t>
            </w:r>
          </w:p>
          <w:p w14:paraId="1608CF33" w14:textId="77777777" w:rsidR="009D4227" w:rsidRPr="00E473A0" w:rsidRDefault="009D4227" w:rsidP="009D4227">
            <w:pPr>
              <w:jc w:val="center"/>
              <w:rPr>
                <w:sz w:val="18"/>
                <w:szCs w:val="18"/>
              </w:rPr>
            </w:pPr>
            <w:r>
              <w:rPr>
                <w:sz w:val="18"/>
                <w:szCs w:val="18"/>
              </w:rPr>
              <w:t>S:17%</w:t>
            </w:r>
          </w:p>
        </w:tc>
        <w:tc>
          <w:tcPr>
            <w:tcW w:w="733" w:type="dxa"/>
          </w:tcPr>
          <w:p w14:paraId="390FCB11" w14:textId="24B463BB" w:rsidR="009D4227" w:rsidRDefault="009D4227" w:rsidP="001C7548">
            <w:pPr>
              <w:jc w:val="center"/>
              <w:rPr>
                <w:sz w:val="18"/>
                <w:szCs w:val="18"/>
              </w:rPr>
            </w:pPr>
            <w:r>
              <w:rPr>
                <w:sz w:val="18"/>
                <w:szCs w:val="18"/>
              </w:rPr>
              <w:t>69%</w:t>
            </w:r>
          </w:p>
          <w:p w14:paraId="2DEE10A3" w14:textId="77777777" w:rsidR="009D4227" w:rsidRDefault="009D4227" w:rsidP="009D4227">
            <w:pPr>
              <w:jc w:val="center"/>
              <w:rPr>
                <w:sz w:val="18"/>
                <w:szCs w:val="18"/>
              </w:rPr>
            </w:pPr>
            <w:r>
              <w:rPr>
                <w:sz w:val="18"/>
                <w:szCs w:val="18"/>
              </w:rPr>
              <w:t>E:89%</w:t>
            </w:r>
          </w:p>
          <w:p w14:paraId="2100FF4E" w14:textId="77777777" w:rsidR="009D4227" w:rsidRDefault="009D4227" w:rsidP="009D4227">
            <w:pPr>
              <w:jc w:val="center"/>
              <w:rPr>
                <w:sz w:val="18"/>
                <w:szCs w:val="18"/>
              </w:rPr>
            </w:pPr>
            <w:r>
              <w:rPr>
                <w:sz w:val="18"/>
                <w:szCs w:val="18"/>
              </w:rPr>
              <w:t>G:11%</w:t>
            </w:r>
          </w:p>
          <w:p w14:paraId="3E4F0EC1" w14:textId="77777777" w:rsidR="009D4227" w:rsidRPr="00E473A0" w:rsidRDefault="009D4227" w:rsidP="009D4227">
            <w:pPr>
              <w:jc w:val="center"/>
              <w:rPr>
                <w:sz w:val="18"/>
                <w:szCs w:val="18"/>
              </w:rPr>
            </w:pPr>
          </w:p>
        </w:tc>
        <w:tc>
          <w:tcPr>
            <w:tcW w:w="865" w:type="dxa"/>
          </w:tcPr>
          <w:p w14:paraId="68404E98" w14:textId="3762B4C2" w:rsidR="009D4227" w:rsidRDefault="009D4227" w:rsidP="001C7548">
            <w:pPr>
              <w:jc w:val="center"/>
              <w:rPr>
                <w:sz w:val="18"/>
                <w:szCs w:val="18"/>
              </w:rPr>
            </w:pPr>
            <w:r>
              <w:rPr>
                <w:sz w:val="18"/>
                <w:szCs w:val="18"/>
              </w:rPr>
              <w:t>51%</w:t>
            </w:r>
          </w:p>
          <w:p w14:paraId="0614133C" w14:textId="77777777" w:rsidR="009D4227" w:rsidRDefault="009D4227" w:rsidP="009D4227">
            <w:pPr>
              <w:jc w:val="center"/>
              <w:rPr>
                <w:sz w:val="18"/>
                <w:szCs w:val="18"/>
              </w:rPr>
            </w:pPr>
            <w:r>
              <w:rPr>
                <w:sz w:val="18"/>
                <w:szCs w:val="18"/>
              </w:rPr>
              <w:t>E:52%</w:t>
            </w:r>
          </w:p>
          <w:p w14:paraId="4B329B7F" w14:textId="77777777" w:rsidR="009D4227" w:rsidRDefault="009D4227" w:rsidP="009D4227">
            <w:pPr>
              <w:jc w:val="center"/>
              <w:rPr>
                <w:sz w:val="18"/>
                <w:szCs w:val="18"/>
              </w:rPr>
            </w:pPr>
            <w:r>
              <w:rPr>
                <w:sz w:val="18"/>
                <w:szCs w:val="18"/>
              </w:rPr>
              <w:t>G:29%</w:t>
            </w:r>
          </w:p>
          <w:p w14:paraId="6F84218A" w14:textId="77777777" w:rsidR="009D4227" w:rsidRPr="00E473A0" w:rsidRDefault="009D4227" w:rsidP="009D4227">
            <w:pPr>
              <w:jc w:val="center"/>
              <w:rPr>
                <w:sz w:val="18"/>
                <w:szCs w:val="18"/>
              </w:rPr>
            </w:pPr>
            <w:r>
              <w:rPr>
                <w:sz w:val="18"/>
                <w:szCs w:val="18"/>
              </w:rPr>
              <w:t>S:19%</w:t>
            </w:r>
          </w:p>
        </w:tc>
        <w:tc>
          <w:tcPr>
            <w:tcW w:w="595" w:type="dxa"/>
          </w:tcPr>
          <w:p w14:paraId="3B079322" w14:textId="77777777" w:rsidR="009D4227" w:rsidRDefault="009D4227" w:rsidP="009D4227">
            <w:pPr>
              <w:jc w:val="center"/>
              <w:rPr>
                <w:sz w:val="18"/>
                <w:szCs w:val="18"/>
              </w:rPr>
            </w:pPr>
            <w:r>
              <w:rPr>
                <w:sz w:val="18"/>
                <w:szCs w:val="18"/>
              </w:rPr>
              <w:t>0%</w:t>
            </w:r>
          </w:p>
          <w:p w14:paraId="2CA45DB0" w14:textId="77777777" w:rsidR="009D4227" w:rsidRDefault="009D4227" w:rsidP="009D4227">
            <w:pPr>
              <w:jc w:val="center"/>
              <w:rPr>
                <w:sz w:val="18"/>
                <w:szCs w:val="18"/>
              </w:rPr>
            </w:pPr>
          </w:p>
          <w:p w14:paraId="38AAF6B7" w14:textId="77777777" w:rsidR="009D4227" w:rsidRPr="00E473A0" w:rsidRDefault="009D4227" w:rsidP="009D4227">
            <w:pPr>
              <w:jc w:val="center"/>
              <w:rPr>
                <w:sz w:val="18"/>
                <w:szCs w:val="18"/>
              </w:rPr>
            </w:pPr>
            <w:r>
              <w:rPr>
                <w:sz w:val="18"/>
                <w:szCs w:val="18"/>
              </w:rPr>
              <w:t>-</w:t>
            </w:r>
          </w:p>
        </w:tc>
        <w:tc>
          <w:tcPr>
            <w:tcW w:w="930" w:type="dxa"/>
            <w:shd w:val="clear" w:color="auto" w:fill="D9D9D9" w:themeFill="background1" w:themeFillShade="D9"/>
          </w:tcPr>
          <w:p w14:paraId="30570DB9" w14:textId="60BD3650" w:rsidR="009D4227" w:rsidRDefault="009D4227" w:rsidP="001C7548">
            <w:pPr>
              <w:jc w:val="center"/>
              <w:rPr>
                <w:sz w:val="18"/>
                <w:szCs w:val="18"/>
              </w:rPr>
            </w:pPr>
            <w:r>
              <w:rPr>
                <w:sz w:val="18"/>
                <w:szCs w:val="18"/>
              </w:rPr>
              <w:t>51%</w:t>
            </w:r>
          </w:p>
          <w:p w14:paraId="16B650D8" w14:textId="77777777" w:rsidR="009D4227" w:rsidRDefault="009D4227" w:rsidP="009D4227">
            <w:pPr>
              <w:jc w:val="center"/>
              <w:rPr>
                <w:sz w:val="18"/>
                <w:szCs w:val="18"/>
              </w:rPr>
            </w:pPr>
            <w:r>
              <w:rPr>
                <w:sz w:val="18"/>
                <w:szCs w:val="18"/>
              </w:rPr>
              <w:t>E:71%</w:t>
            </w:r>
          </w:p>
          <w:p w14:paraId="6B4831C1" w14:textId="77777777" w:rsidR="009D4227" w:rsidRDefault="009D4227" w:rsidP="009D4227">
            <w:pPr>
              <w:jc w:val="center"/>
              <w:rPr>
                <w:sz w:val="18"/>
                <w:szCs w:val="18"/>
              </w:rPr>
            </w:pPr>
            <w:r>
              <w:rPr>
                <w:sz w:val="18"/>
                <w:szCs w:val="18"/>
              </w:rPr>
              <w:t>G:20%</w:t>
            </w:r>
          </w:p>
          <w:p w14:paraId="4BA9974C" w14:textId="77777777" w:rsidR="009D4227" w:rsidRPr="00E473A0" w:rsidRDefault="009D4227" w:rsidP="009D4227">
            <w:pPr>
              <w:jc w:val="center"/>
              <w:rPr>
                <w:sz w:val="18"/>
                <w:szCs w:val="18"/>
              </w:rPr>
            </w:pPr>
            <w:r>
              <w:rPr>
                <w:sz w:val="18"/>
                <w:szCs w:val="18"/>
              </w:rPr>
              <w:t>S:19%</w:t>
            </w:r>
          </w:p>
        </w:tc>
        <w:tc>
          <w:tcPr>
            <w:tcW w:w="930" w:type="dxa"/>
            <w:shd w:val="clear" w:color="auto" w:fill="BFBFBF" w:themeFill="background1" w:themeFillShade="BF"/>
          </w:tcPr>
          <w:p w14:paraId="5379EFFB" w14:textId="55D991F9" w:rsidR="009D4227" w:rsidRPr="008A241A" w:rsidRDefault="009D4227" w:rsidP="001C7548">
            <w:pPr>
              <w:jc w:val="center"/>
              <w:rPr>
                <w:b/>
                <w:sz w:val="18"/>
                <w:szCs w:val="18"/>
              </w:rPr>
            </w:pPr>
            <w:r>
              <w:rPr>
                <w:b/>
                <w:sz w:val="18"/>
                <w:szCs w:val="18"/>
              </w:rPr>
              <w:t>51</w:t>
            </w:r>
            <w:r w:rsidRPr="008A241A">
              <w:rPr>
                <w:b/>
                <w:sz w:val="18"/>
                <w:szCs w:val="18"/>
              </w:rPr>
              <w:t>%</w:t>
            </w:r>
          </w:p>
          <w:p w14:paraId="07F85005" w14:textId="77777777" w:rsidR="009D4227" w:rsidRPr="008A241A" w:rsidRDefault="009D4227" w:rsidP="009D4227">
            <w:pPr>
              <w:jc w:val="center"/>
              <w:rPr>
                <w:b/>
                <w:sz w:val="18"/>
                <w:szCs w:val="18"/>
              </w:rPr>
            </w:pPr>
            <w:r>
              <w:rPr>
                <w:b/>
                <w:sz w:val="18"/>
                <w:szCs w:val="18"/>
              </w:rPr>
              <w:t>E6</w:t>
            </w:r>
            <w:r w:rsidRPr="008A241A">
              <w:rPr>
                <w:b/>
                <w:sz w:val="18"/>
                <w:szCs w:val="18"/>
              </w:rPr>
              <w:t>7%</w:t>
            </w:r>
          </w:p>
          <w:p w14:paraId="5C228F81" w14:textId="77777777" w:rsidR="009D4227" w:rsidRPr="008A241A" w:rsidRDefault="009D4227" w:rsidP="009D4227">
            <w:pPr>
              <w:jc w:val="center"/>
              <w:rPr>
                <w:b/>
                <w:sz w:val="18"/>
                <w:szCs w:val="18"/>
              </w:rPr>
            </w:pPr>
            <w:r>
              <w:rPr>
                <w:b/>
                <w:sz w:val="18"/>
                <w:szCs w:val="18"/>
              </w:rPr>
              <w:t>G:24</w:t>
            </w:r>
            <w:r w:rsidRPr="008A241A">
              <w:rPr>
                <w:b/>
                <w:sz w:val="18"/>
                <w:szCs w:val="18"/>
              </w:rPr>
              <w:t>%</w:t>
            </w:r>
          </w:p>
          <w:p w14:paraId="34E830D7" w14:textId="77777777" w:rsidR="009D4227" w:rsidRPr="008A241A" w:rsidRDefault="009D4227" w:rsidP="009D4227">
            <w:pPr>
              <w:jc w:val="center"/>
              <w:rPr>
                <w:b/>
                <w:sz w:val="18"/>
                <w:szCs w:val="18"/>
              </w:rPr>
            </w:pPr>
            <w:r>
              <w:rPr>
                <w:b/>
                <w:sz w:val="18"/>
                <w:szCs w:val="18"/>
              </w:rPr>
              <w:t>S:19</w:t>
            </w:r>
            <w:r w:rsidRPr="008A241A">
              <w:rPr>
                <w:b/>
                <w:sz w:val="18"/>
                <w:szCs w:val="18"/>
              </w:rPr>
              <w:t>%</w:t>
            </w:r>
          </w:p>
        </w:tc>
      </w:tr>
      <w:tr w:rsidR="004C0CAF" w:rsidRPr="00E473A0" w14:paraId="58F8B8C0" w14:textId="77777777">
        <w:trPr>
          <w:jc w:val="center"/>
        </w:trPr>
        <w:tc>
          <w:tcPr>
            <w:tcW w:w="2763" w:type="dxa"/>
            <w:vAlign w:val="center"/>
          </w:tcPr>
          <w:p w14:paraId="6DD4751D" w14:textId="77777777" w:rsidR="009D4227" w:rsidRPr="00E473A0" w:rsidRDefault="009D4227" w:rsidP="009D4227">
            <w:pPr>
              <w:jc w:val="center"/>
              <w:rPr>
                <w:sz w:val="18"/>
                <w:szCs w:val="18"/>
              </w:rPr>
            </w:pPr>
            <w:r>
              <w:rPr>
                <w:sz w:val="18"/>
                <w:szCs w:val="18"/>
              </w:rPr>
              <w:t>R</w:t>
            </w:r>
            <w:r w:rsidRPr="00E473A0">
              <w:rPr>
                <w:sz w:val="18"/>
                <w:szCs w:val="18"/>
              </w:rPr>
              <w:t>egularly filled temperature chart for the cold storage</w:t>
            </w:r>
          </w:p>
        </w:tc>
        <w:tc>
          <w:tcPr>
            <w:tcW w:w="730" w:type="dxa"/>
            <w:vAlign w:val="center"/>
          </w:tcPr>
          <w:p w14:paraId="0A9DCD14" w14:textId="77777777" w:rsidR="009D4227" w:rsidRPr="00E473A0" w:rsidRDefault="009D4227" w:rsidP="009D4227">
            <w:pPr>
              <w:jc w:val="center"/>
              <w:rPr>
                <w:sz w:val="18"/>
                <w:szCs w:val="18"/>
              </w:rPr>
            </w:pPr>
            <w:r>
              <w:rPr>
                <w:sz w:val="18"/>
                <w:szCs w:val="18"/>
              </w:rPr>
              <w:t>17%</w:t>
            </w:r>
          </w:p>
        </w:tc>
        <w:tc>
          <w:tcPr>
            <w:tcW w:w="865" w:type="dxa"/>
            <w:vAlign w:val="center"/>
          </w:tcPr>
          <w:p w14:paraId="62D12F56" w14:textId="77777777" w:rsidR="009D4227" w:rsidRPr="00E473A0" w:rsidRDefault="009D4227" w:rsidP="009D4227">
            <w:pPr>
              <w:jc w:val="center"/>
              <w:rPr>
                <w:sz w:val="18"/>
                <w:szCs w:val="18"/>
              </w:rPr>
            </w:pPr>
            <w:r>
              <w:rPr>
                <w:sz w:val="18"/>
                <w:szCs w:val="18"/>
              </w:rPr>
              <w:t>45%</w:t>
            </w:r>
          </w:p>
        </w:tc>
        <w:tc>
          <w:tcPr>
            <w:tcW w:w="610" w:type="dxa"/>
            <w:vAlign w:val="center"/>
          </w:tcPr>
          <w:p w14:paraId="0E11E37E" w14:textId="77777777" w:rsidR="009D4227" w:rsidRPr="00E473A0" w:rsidRDefault="009D4227" w:rsidP="009D4227">
            <w:pPr>
              <w:jc w:val="center"/>
              <w:rPr>
                <w:sz w:val="18"/>
                <w:szCs w:val="18"/>
              </w:rPr>
            </w:pPr>
            <w:r>
              <w:rPr>
                <w:sz w:val="18"/>
                <w:szCs w:val="18"/>
              </w:rPr>
              <w:t>2%</w:t>
            </w:r>
          </w:p>
        </w:tc>
        <w:tc>
          <w:tcPr>
            <w:tcW w:w="930" w:type="dxa"/>
            <w:shd w:val="clear" w:color="auto" w:fill="D9D9D9" w:themeFill="background1" w:themeFillShade="D9"/>
            <w:vAlign w:val="center"/>
          </w:tcPr>
          <w:p w14:paraId="5F5105CE" w14:textId="77777777" w:rsidR="009D4227" w:rsidRPr="00E473A0" w:rsidRDefault="009D4227" w:rsidP="009D4227">
            <w:pPr>
              <w:jc w:val="center"/>
              <w:rPr>
                <w:sz w:val="18"/>
                <w:szCs w:val="18"/>
              </w:rPr>
            </w:pPr>
            <w:r>
              <w:rPr>
                <w:sz w:val="18"/>
                <w:szCs w:val="18"/>
              </w:rPr>
              <w:t>17%</w:t>
            </w:r>
          </w:p>
        </w:tc>
        <w:tc>
          <w:tcPr>
            <w:tcW w:w="733" w:type="dxa"/>
            <w:vAlign w:val="center"/>
          </w:tcPr>
          <w:p w14:paraId="4258900B" w14:textId="77777777" w:rsidR="009D4227" w:rsidRPr="00E473A0" w:rsidRDefault="009D4227" w:rsidP="009D4227">
            <w:pPr>
              <w:jc w:val="center"/>
              <w:rPr>
                <w:sz w:val="18"/>
                <w:szCs w:val="18"/>
              </w:rPr>
            </w:pPr>
            <w:r>
              <w:rPr>
                <w:sz w:val="18"/>
                <w:szCs w:val="18"/>
              </w:rPr>
              <w:t>27%</w:t>
            </w:r>
          </w:p>
        </w:tc>
        <w:tc>
          <w:tcPr>
            <w:tcW w:w="865" w:type="dxa"/>
            <w:vAlign w:val="center"/>
          </w:tcPr>
          <w:p w14:paraId="5A9AD887" w14:textId="77777777" w:rsidR="009D4227" w:rsidRPr="00E473A0" w:rsidRDefault="009D4227" w:rsidP="009D4227">
            <w:pPr>
              <w:jc w:val="center"/>
              <w:rPr>
                <w:sz w:val="18"/>
                <w:szCs w:val="18"/>
              </w:rPr>
            </w:pPr>
            <w:r>
              <w:rPr>
                <w:sz w:val="18"/>
                <w:szCs w:val="18"/>
              </w:rPr>
              <w:t>19%</w:t>
            </w:r>
          </w:p>
        </w:tc>
        <w:tc>
          <w:tcPr>
            <w:tcW w:w="595" w:type="dxa"/>
            <w:vAlign w:val="center"/>
          </w:tcPr>
          <w:p w14:paraId="0171876B" w14:textId="77777777" w:rsidR="009D4227" w:rsidRPr="00E473A0" w:rsidRDefault="009D4227" w:rsidP="009D4227">
            <w:pPr>
              <w:jc w:val="center"/>
              <w:rPr>
                <w:sz w:val="18"/>
                <w:szCs w:val="18"/>
              </w:rPr>
            </w:pPr>
            <w:r>
              <w:rPr>
                <w:sz w:val="18"/>
                <w:szCs w:val="18"/>
              </w:rPr>
              <w:t>0%</w:t>
            </w:r>
          </w:p>
        </w:tc>
        <w:tc>
          <w:tcPr>
            <w:tcW w:w="930" w:type="dxa"/>
            <w:shd w:val="clear" w:color="auto" w:fill="D9D9D9" w:themeFill="background1" w:themeFillShade="D9"/>
            <w:vAlign w:val="center"/>
          </w:tcPr>
          <w:p w14:paraId="7B64B536" w14:textId="77777777" w:rsidR="009D4227" w:rsidRPr="00E473A0" w:rsidRDefault="009D4227" w:rsidP="009D4227">
            <w:pPr>
              <w:jc w:val="center"/>
              <w:rPr>
                <w:sz w:val="18"/>
                <w:szCs w:val="18"/>
              </w:rPr>
            </w:pPr>
            <w:r>
              <w:rPr>
                <w:sz w:val="18"/>
                <w:szCs w:val="18"/>
              </w:rPr>
              <w:t>19%</w:t>
            </w:r>
          </w:p>
        </w:tc>
        <w:tc>
          <w:tcPr>
            <w:tcW w:w="930" w:type="dxa"/>
            <w:shd w:val="clear" w:color="auto" w:fill="BFBFBF" w:themeFill="background1" w:themeFillShade="BF"/>
            <w:vAlign w:val="center"/>
          </w:tcPr>
          <w:p w14:paraId="6188D24D" w14:textId="77777777" w:rsidR="009D4227" w:rsidRPr="008A241A" w:rsidRDefault="009D4227" w:rsidP="009D4227">
            <w:pPr>
              <w:jc w:val="center"/>
              <w:rPr>
                <w:b/>
                <w:sz w:val="18"/>
                <w:szCs w:val="18"/>
              </w:rPr>
            </w:pPr>
            <w:r>
              <w:rPr>
                <w:b/>
                <w:sz w:val="18"/>
                <w:szCs w:val="18"/>
              </w:rPr>
              <w:t>19</w:t>
            </w:r>
            <w:r w:rsidRPr="008A241A">
              <w:rPr>
                <w:b/>
                <w:sz w:val="18"/>
                <w:szCs w:val="18"/>
              </w:rPr>
              <w:t>%</w:t>
            </w:r>
          </w:p>
        </w:tc>
      </w:tr>
      <w:tr w:rsidR="004C0CAF" w:rsidRPr="00E473A0" w14:paraId="7AD8069E" w14:textId="77777777">
        <w:trPr>
          <w:jc w:val="center"/>
        </w:trPr>
        <w:tc>
          <w:tcPr>
            <w:tcW w:w="2763" w:type="dxa"/>
            <w:vAlign w:val="center"/>
          </w:tcPr>
          <w:p w14:paraId="58D4835A" w14:textId="77777777" w:rsidR="009D4227" w:rsidRPr="00E473A0" w:rsidRDefault="009D4227" w:rsidP="009D4227">
            <w:pPr>
              <w:jc w:val="center"/>
              <w:rPr>
                <w:sz w:val="18"/>
                <w:szCs w:val="18"/>
              </w:rPr>
            </w:pPr>
            <w:r w:rsidRPr="00E473A0">
              <w:rPr>
                <w:sz w:val="18"/>
                <w:szCs w:val="18"/>
              </w:rPr>
              <w:t>Medicines are not stored directly on the floor.</w:t>
            </w:r>
          </w:p>
        </w:tc>
        <w:tc>
          <w:tcPr>
            <w:tcW w:w="730" w:type="dxa"/>
            <w:vAlign w:val="center"/>
          </w:tcPr>
          <w:p w14:paraId="6BBFF939" w14:textId="77777777" w:rsidR="009D4227" w:rsidRPr="00E473A0" w:rsidRDefault="009D4227" w:rsidP="009D4227">
            <w:pPr>
              <w:jc w:val="center"/>
              <w:rPr>
                <w:sz w:val="18"/>
                <w:szCs w:val="18"/>
              </w:rPr>
            </w:pPr>
            <w:r>
              <w:rPr>
                <w:sz w:val="18"/>
                <w:szCs w:val="18"/>
              </w:rPr>
              <w:t>42%</w:t>
            </w:r>
          </w:p>
        </w:tc>
        <w:tc>
          <w:tcPr>
            <w:tcW w:w="865" w:type="dxa"/>
            <w:vAlign w:val="center"/>
          </w:tcPr>
          <w:p w14:paraId="3EC8DE44" w14:textId="77777777" w:rsidR="009D4227" w:rsidRPr="00E473A0" w:rsidRDefault="009D4227" w:rsidP="009D4227">
            <w:pPr>
              <w:jc w:val="center"/>
              <w:rPr>
                <w:sz w:val="18"/>
                <w:szCs w:val="18"/>
              </w:rPr>
            </w:pPr>
            <w:r>
              <w:rPr>
                <w:sz w:val="18"/>
                <w:szCs w:val="18"/>
              </w:rPr>
              <w:t>41%</w:t>
            </w:r>
          </w:p>
        </w:tc>
        <w:tc>
          <w:tcPr>
            <w:tcW w:w="610" w:type="dxa"/>
            <w:vAlign w:val="center"/>
          </w:tcPr>
          <w:p w14:paraId="3B03B989" w14:textId="77777777" w:rsidR="009D4227" w:rsidRPr="00E473A0" w:rsidRDefault="009D4227" w:rsidP="009D4227">
            <w:pPr>
              <w:jc w:val="center"/>
              <w:rPr>
                <w:sz w:val="18"/>
                <w:szCs w:val="18"/>
              </w:rPr>
            </w:pPr>
            <w:r>
              <w:rPr>
                <w:sz w:val="18"/>
                <w:szCs w:val="18"/>
              </w:rPr>
              <w:t>62%</w:t>
            </w:r>
          </w:p>
        </w:tc>
        <w:tc>
          <w:tcPr>
            <w:tcW w:w="930" w:type="dxa"/>
            <w:shd w:val="clear" w:color="auto" w:fill="D9D9D9" w:themeFill="background1" w:themeFillShade="D9"/>
            <w:vAlign w:val="center"/>
          </w:tcPr>
          <w:p w14:paraId="18F186A7" w14:textId="77777777" w:rsidR="009D4227" w:rsidRPr="00E473A0" w:rsidRDefault="009D4227" w:rsidP="009D4227">
            <w:pPr>
              <w:jc w:val="center"/>
              <w:rPr>
                <w:sz w:val="18"/>
                <w:szCs w:val="18"/>
              </w:rPr>
            </w:pPr>
            <w:r>
              <w:rPr>
                <w:sz w:val="18"/>
                <w:szCs w:val="18"/>
              </w:rPr>
              <w:t>42%</w:t>
            </w:r>
          </w:p>
        </w:tc>
        <w:tc>
          <w:tcPr>
            <w:tcW w:w="733" w:type="dxa"/>
            <w:vAlign w:val="center"/>
          </w:tcPr>
          <w:p w14:paraId="04C76BE5" w14:textId="77777777" w:rsidR="009D4227" w:rsidRPr="00E473A0" w:rsidRDefault="009D4227" w:rsidP="009D4227">
            <w:pPr>
              <w:jc w:val="center"/>
              <w:rPr>
                <w:sz w:val="18"/>
                <w:szCs w:val="18"/>
              </w:rPr>
            </w:pPr>
            <w:r>
              <w:rPr>
                <w:sz w:val="18"/>
                <w:szCs w:val="18"/>
              </w:rPr>
              <w:t>69%</w:t>
            </w:r>
          </w:p>
        </w:tc>
        <w:tc>
          <w:tcPr>
            <w:tcW w:w="865" w:type="dxa"/>
            <w:vAlign w:val="center"/>
          </w:tcPr>
          <w:p w14:paraId="7182DEA5" w14:textId="77777777" w:rsidR="009D4227" w:rsidRPr="00E473A0" w:rsidRDefault="009D4227" w:rsidP="009D4227">
            <w:pPr>
              <w:jc w:val="center"/>
              <w:rPr>
                <w:sz w:val="18"/>
                <w:szCs w:val="18"/>
              </w:rPr>
            </w:pPr>
            <w:r>
              <w:rPr>
                <w:sz w:val="18"/>
                <w:szCs w:val="18"/>
              </w:rPr>
              <w:t>41%</w:t>
            </w:r>
          </w:p>
        </w:tc>
        <w:tc>
          <w:tcPr>
            <w:tcW w:w="595" w:type="dxa"/>
            <w:vAlign w:val="center"/>
          </w:tcPr>
          <w:p w14:paraId="44A45175" w14:textId="77777777" w:rsidR="009D4227" w:rsidRPr="00E473A0" w:rsidRDefault="009D4227" w:rsidP="009D4227">
            <w:pPr>
              <w:jc w:val="center"/>
              <w:rPr>
                <w:sz w:val="18"/>
                <w:szCs w:val="18"/>
              </w:rPr>
            </w:pPr>
            <w:r>
              <w:rPr>
                <w:sz w:val="18"/>
                <w:szCs w:val="18"/>
              </w:rPr>
              <w:t>58%</w:t>
            </w:r>
          </w:p>
        </w:tc>
        <w:tc>
          <w:tcPr>
            <w:tcW w:w="930" w:type="dxa"/>
            <w:shd w:val="clear" w:color="auto" w:fill="D9D9D9" w:themeFill="background1" w:themeFillShade="D9"/>
            <w:vAlign w:val="center"/>
          </w:tcPr>
          <w:p w14:paraId="6ED5D689" w14:textId="77777777" w:rsidR="009D4227" w:rsidRPr="00E473A0" w:rsidRDefault="009D4227" w:rsidP="009D4227">
            <w:pPr>
              <w:jc w:val="center"/>
              <w:rPr>
                <w:sz w:val="18"/>
                <w:szCs w:val="18"/>
              </w:rPr>
            </w:pPr>
            <w:r>
              <w:rPr>
                <w:sz w:val="18"/>
                <w:szCs w:val="18"/>
              </w:rPr>
              <w:t>58%</w:t>
            </w:r>
          </w:p>
        </w:tc>
        <w:tc>
          <w:tcPr>
            <w:tcW w:w="930" w:type="dxa"/>
            <w:shd w:val="clear" w:color="auto" w:fill="BFBFBF" w:themeFill="background1" w:themeFillShade="BF"/>
            <w:vAlign w:val="center"/>
          </w:tcPr>
          <w:p w14:paraId="1C94283A" w14:textId="77777777" w:rsidR="009D4227" w:rsidRPr="008A241A" w:rsidRDefault="009D4227" w:rsidP="009D4227">
            <w:pPr>
              <w:jc w:val="center"/>
              <w:rPr>
                <w:b/>
                <w:sz w:val="18"/>
                <w:szCs w:val="18"/>
              </w:rPr>
            </w:pPr>
            <w:r>
              <w:rPr>
                <w:b/>
                <w:sz w:val="18"/>
                <w:szCs w:val="18"/>
              </w:rPr>
              <w:t>58</w:t>
            </w:r>
            <w:r w:rsidRPr="008A241A">
              <w:rPr>
                <w:b/>
                <w:sz w:val="18"/>
                <w:szCs w:val="18"/>
              </w:rPr>
              <w:t>%</w:t>
            </w:r>
          </w:p>
        </w:tc>
      </w:tr>
      <w:tr w:rsidR="004C0CAF" w:rsidRPr="00E473A0" w14:paraId="0D17DB62" w14:textId="77777777">
        <w:trPr>
          <w:jc w:val="center"/>
        </w:trPr>
        <w:tc>
          <w:tcPr>
            <w:tcW w:w="2763" w:type="dxa"/>
            <w:vAlign w:val="center"/>
          </w:tcPr>
          <w:p w14:paraId="4C82DB86" w14:textId="77777777" w:rsidR="009D4227" w:rsidRPr="00E473A0" w:rsidRDefault="009D4227" w:rsidP="00AA463A">
            <w:pPr>
              <w:jc w:val="center"/>
              <w:rPr>
                <w:sz w:val="18"/>
                <w:szCs w:val="18"/>
              </w:rPr>
            </w:pPr>
            <w:r w:rsidRPr="00E473A0">
              <w:rPr>
                <w:sz w:val="18"/>
                <w:szCs w:val="18"/>
              </w:rPr>
              <w:t>100% Kit medicines are stored in a systematic way</w:t>
            </w:r>
          </w:p>
        </w:tc>
        <w:tc>
          <w:tcPr>
            <w:tcW w:w="730" w:type="dxa"/>
            <w:vAlign w:val="center"/>
          </w:tcPr>
          <w:p w14:paraId="532C94E5" w14:textId="77777777" w:rsidR="009D4227" w:rsidRPr="00E473A0" w:rsidRDefault="009D4227" w:rsidP="009D4227">
            <w:pPr>
              <w:jc w:val="center"/>
              <w:rPr>
                <w:sz w:val="18"/>
                <w:szCs w:val="18"/>
              </w:rPr>
            </w:pPr>
            <w:r>
              <w:rPr>
                <w:sz w:val="18"/>
                <w:szCs w:val="18"/>
              </w:rPr>
              <w:t>67%</w:t>
            </w:r>
          </w:p>
        </w:tc>
        <w:tc>
          <w:tcPr>
            <w:tcW w:w="865" w:type="dxa"/>
            <w:vAlign w:val="center"/>
          </w:tcPr>
          <w:p w14:paraId="705900A3" w14:textId="77777777" w:rsidR="009D4227" w:rsidRPr="00E473A0" w:rsidRDefault="009D4227" w:rsidP="009D4227">
            <w:pPr>
              <w:jc w:val="center"/>
              <w:rPr>
                <w:sz w:val="18"/>
                <w:szCs w:val="18"/>
              </w:rPr>
            </w:pPr>
            <w:r>
              <w:rPr>
                <w:sz w:val="18"/>
                <w:szCs w:val="18"/>
              </w:rPr>
              <w:t>59%</w:t>
            </w:r>
          </w:p>
        </w:tc>
        <w:tc>
          <w:tcPr>
            <w:tcW w:w="610" w:type="dxa"/>
            <w:vAlign w:val="center"/>
          </w:tcPr>
          <w:p w14:paraId="217A5930" w14:textId="77777777" w:rsidR="009D4227" w:rsidRPr="00E473A0" w:rsidRDefault="009D4227" w:rsidP="009D4227">
            <w:pPr>
              <w:jc w:val="center"/>
              <w:rPr>
                <w:sz w:val="18"/>
                <w:szCs w:val="18"/>
              </w:rPr>
            </w:pPr>
            <w:r>
              <w:rPr>
                <w:sz w:val="18"/>
                <w:szCs w:val="18"/>
              </w:rPr>
              <w:t>36%</w:t>
            </w:r>
          </w:p>
        </w:tc>
        <w:tc>
          <w:tcPr>
            <w:tcW w:w="930" w:type="dxa"/>
            <w:shd w:val="clear" w:color="auto" w:fill="D9D9D9" w:themeFill="background1" w:themeFillShade="D9"/>
            <w:vAlign w:val="center"/>
          </w:tcPr>
          <w:p w14:paraId="6DBC5689" w14:textId="77777777" w:rsidR="009D4227" w:rsidRPr="00E473A0" w:rsidRDefault="009D4227" w:rsidP="009D4227">
            <w:pPr>
              <w:jc w:val="center"/>
              <w:rPr>
                <w:sz w:val="18"/>
                <w:szCs w:val="18"/>
              </w:rPr>
            </w:pPr>
            <w:r>
              <w:rPr>
                <w:sz w:val="18"/>
                <w:szCs w:val="18"/>
              </w:rPr>
              <w:t>42%</w:t>
            </w:r>
          </w:p>
        </w:tc>
        <w:tc>
          <w:tcPr>
            <w:tcW w:w="733" w:type="dxa"/>
            <w:vAlign w:val="center"/>
          </w:tcPr>
          <w:p w14:paraId="6D50A646" w14:textId="77777777" w:rsidR="009D4227" w:rsidRPr="00E473A0" w:rsidRDefault="009D4227" w:rsidP="009D4227">
            <w:pPr>
              <w:jc w:val="center"/>
              <w:rPr>
                <w:sz w:val="18"/>
                <w:szCs w:val="18"/>
              </w:rPr>
            </w:pPr>
            <w:r>
              <w:rPr>
                <w:sz w:val="18"/>
                <w:szCs w:val="18"/>
              </w:rPr>
              <w:t>85%</w:t>
            </w:r>
          </w:p>
        </w:tc>
        <w:tc>
          <w:tcPr>
            <w:tcW w:w="865" w:type="dxa"/>
            <w:vAlign w:val="center"/>
          </w:tcPr>
          <w:p w14:paraId="4A07C9D5" w14:textId="77777777" w:rsidR="009D4227" w:rsidRPr="00E473A0" w:rsidRDefault="009D4227" w:rsidP="009D4227">
            <w:pPr>
              <w:jc w:val="center"/>
              <w:rPr>
                <w:sz w:val="18"/>
                <w:szCs w:val="18"/>
              </w:rPr>
            </w:pPr>
            <w:r>
              <w:rPr>
                <w:sz w:val="18"/>
                <w:szCs w:val="18"/>
              </w:rPr>
              <w:t>41%</w:t>
            </w:r>
          </w:p>
        </w:tc>
        <w:tc>
          <w:tcPr>
            <w:tcW w:w="595" w:type="dxa"/>
            <w:vAlign w:val="center"/>
          </w:tcPr>
          <w:p w14:paraId="27D6DAB4" w14:textId="77777777" w:rsidR="009D4227" w:rsidRPr="00E473A0" w:rsidRDefault="009D4227" w:rsidP="009D4227">
            <w:pPr>
              <w:jc w:val="center"/>
              <w:rPr>
                <w:sz w:val="18"/>
                <w:szCs w:val="18"/>
              </w:rPr>
            </w:pPr>
            <w:r>
              <w:rPr>
                <w:sz w:val="18"/>
                <w:szCs w:val="18"/>
              </w:rPr>
              <w:t>23%</w:t>
            </w:r>
          </w:p>
        </w:tc>
        <w:tc>
          <w:tcPr>
            <w:tcW w:w="930" w:type="dxa"/>
            <w:shd w:val="clear" w:color="auto" w:fill="D9D9D9" w:themeFill="background1" w:themeFillShade="D9"/>
            <w:vAlign w:val="center"/>
          </w:tcPr>
          <w:p w14:paraId="7890FB90" w14:textId="77777777" w:rsidR="009D4227" w:rsidRPr="00E473A0" w:rsidRDefault="009D4227" w:rsidP="009D4227">
            <w:pPr>
              <w:jc w:val="center"/>
              <w:rPr>
                <w:sz w:val="18"/>
                <w:szCs w:val="18"/>
              </w:rPr>
            </w:pPr>
            <w:r>
              <w:rPr>
                <w:sz w:val="18"/>
                <w:szCs w:val="18"/>
              </w:rPr>
              <w:t>57%</w:t>
            </w:r>
          </w:p>
        </w:tc>
        <w:tc>
          <w:tcPr>
            <w:tcW w:w="930" w:type="dxa"/>
            <w:shd w:val="clear" w:color="auto" w:fill="BFBFBF" w:themeFill="background1" w:themeFillShade="BF"/>
            <w:vAlign w:val="center"/>
          </w:tcPr>
          <w:p w14:paraId="6D0FAAC9" w14:textId="77777777" w:rsidR="009D4227" w:rsidRPr="008A241A" w:rsidRDefault="009D4227" w:rsidP="009D4227">
            <w:pPr>
              <w:jc w:val="center"/>
              <w:rPr>
                <w:b/>
                <w:sz w:val="18"/>
                <w:szCs w:val="18"/>
              </w:rPr>
            </w:pPr>
            <w:r>
              <w:rPr>
                <w:b/>
                <w:sz w:val="18"/>
                <w:szCs w:val="18"/>
              </w:rPr>
              <w:t>57</w:t>
            </w:r>
            <w:r w:rsidRPr="008A241A">
              <w:rPr>
                <w:b/>
                <w:sz w:val="18"/>
                <w:szCs w:val="18"/>
              </w:rPr>
              <w:t>%</w:t>
            </w:r>
          </w:p>
        </w:tc>
      </w:tr>
      <w:tr w:rsidR="004C0CAF" w:rsidRPr="00E473A0" w14:paraId="50811674" w14:textId="77777777">
        <w:trPr>
          <w:jc w:val="center"/>
        </w:trPr>
        <w:tc>
          <w:tcPr>
            <w:tcW w:w="2763" w:type="dxa"/>
            <w:vAlign w:val="center"/>
          </w:tcPr>
          <w:p w14:paraId="6747E38A" w14:textId="77777777" w:rsidR="009D4227" w:rsidRPr="00E473A0" w:rsidRDefault="009D4227" w:rsidP="00AA463A">
            <w:pPr>
              <w:jc w:val="center"/>
              <w:rPr>
                <w:sz w:val="18"/>
                <w:szCs w:val="18"/>
              </w:rPr>
            </w:pPr>
            <w:r w:rsidRPr="00E473A0">
              <w:rPr>
                <w:sz w:val="18"/>
                <w:szCs w:val="18"/>
              </w:rPr>
              <w:t>Non 100% Kit medicines are stored in a systematic way</w:t>
            </w:r>
          </w:p>
        </w:tc>
        <w:tc>
          <w:tcPr>
            <w:tcW w:w="730" w:type="dxa"/>
            <w:vAlign w:val="center"/>
          </w:tcPr>
          <w:p w14:paraId="4BF11407" w14:textId="77777777" w:rsidR="009D4227" w:rsidRPr="00E473A0" w:rsidRDefault="009D4227" w:rsidP="009D4227">
            <w:pPr>
              <w:jc w:val="center"/>
              <w:rPr>
                <w:sz w:val="18"/>
                <w:szCs w:val="18"/>
              </w:rPr>
            </w:pPr>
            <w:r>
              <w:rPr>
                <w:sz w:val="18"/>
                <w:szCs w:val="18"/>
              </w:rPr>
              <w:t>75%</w:t>
            </w:r>
          </w:p>
        </w:tc>
        <w:tc>
          <w:tcPr>
            <w:tcW w:w="865" w:type="dxa"/>
            <w:vAlign w:val="center"/>
          </w:tcPr>
          <w:p w14:paraId="7A9A23C9" w14:textId="77777777" w:rsidR="009D4227" w:rsidRPr="00E473A0" w:rsidRDefault="009D4227" w:rsidP="009D4227">
            <w:pPr>
              <w:jc w:val="center"/>
              <w:rPr>
                <w:sz w:val="18"/>
                <w:szCs w:val="18"/>
              </w:rPr>
            </w:pPr>
            <w:r>
              <w:rPr>
                <w:sz w:val="18"/>
                <w:szCs w:val="18"/>
              </w:rPr>
              <w:t>63%</w:t>
            </w:r>
          </w:p>
        </w:tc>
        <w:tc>
          <w:tcPr>
            <w:tcW w:w="610" w:type="dxa"/>
            <w:vAlign w:val="center"/>
          </w:tcPr>
          <w:p w14:paraId="065BCEA8" w14:textId="77777777" w:rsidR="009D4227" w:rsidRPr="00E473A0" w:rsidRDefault="009D4227" w:rsidP="009D4227">
            <w:pPr>
              <w:jc w:val="center"/>
              <w:rPr>
                <w:sz w:val="18"/>
                <w:szCs w:val="18"/>
              </w:rPr>
            </w:pPr>
            <w:r>
              <w:rPr>
                <w:sz w:val="18"/>
                <w:szCs w:val="18"/>
              </w:rPr>
              <w:t>42%</w:t>
            </w:r>
          </w:p>
        </w:tc>
        <w:tc>
          <w:tcPr>
            <w:tcW w:w="930" w:type="dxa"/>
            <w:shd w:val="clear" w:color="auto" w:fill="D9D9D9" w:themeFill="background1" w:themeFillShade="D9"/>
            <w:vAlign w:val="center"/>
          </w:tcPr>
          <w:p w14:paraId="0B13C798" w14:textId="77777777" w:rsidR="009D4227" w:rsidRPr="00E473A0" w:rsidRDefault="009D4227" w:rsidP="009D4227">
            <w:pPr>
              <w:jc w:val="center"/>
              <w:rPr>
                <w:sz w:val="18"/>
                <w:szCs w:val="18"/>
              </w:rPr>
            </w:pPr>
            <w:r>
              <w:rPr>
                <w:sz w:val="18"/>
                <w:szCs w:val="18"/>
              </w:rPr>
              <w:t>42%</w:t>
            </w:r>
          </w:p>
        </w:tc>
        <w:tc>
          <w:tcPr>
            <w:tcW w:w="733" w:type="dxa"/>
            <w:vAlign w:val="center"/>
          </w:tcPr>
          <w:p w14:paraId="10DCCD6A" w14:textId="77777777" w:rsidR="009D4227" w:rsidRPr="00E473A0" w:rsidRDefault="009D4227" w:rsidP="009D4227">
            <w:pPr>
              <w:jc w:val="center"/>
              <w:rPr>
                <w:sz w:val="18"/>
                <w:szCs w:val="18"/>
              </w:rPr>
            </w:pPr>
            <w:r>
              <w:rPr>
                <w:sz w:val="18"/>
                <w:szCs w:val="18"/>
              </w:rPr>
              <w:t>92%</w:t>
            </w:r>
          </w:p>
        </w:tc>
        <w:tc>
          <w:tcPr>
            <w:tcW w:w="865" w:type="dxa"/>
            <w:vAlign w:val="center"/>
          </w:tcPr>
          <w:p w14:paraId="01C12205" w14:textId="77777777" w:rsidR="009D4227" w:rsidRPr="00E473A0" w:rsidRDefault="009D4227" w:rsidP="009D4227">
            <w:pPr>
              <w:jc w:val="center"/>
              <w:rPr>
                <w:sz w:val="18"/>
                <w:szCs w:val="18"/>
              </w:rPr>
            </w:pPr>
            <w:r>
              <w:rPr>
                <w:sz w:val="18"/>
                <w:szCs w:val="18"/>
              </w:rPr>
              <w:t>40%</w:t>
            </w:r>
          </w:p>
        </w:tc>
        <w:tc>
          <w:tcPr>
            <w:tcW w:w="595" w:type="dxa"/>
            <w:vAlign w:val="center"/>
          </w:tcPr>
          <w:p w14:paraId="6942CA5E" w14:textId="77777777" w:rsidR="009D4227" w:rsidRPr="00E473A0" w:rsidRDefault="009D4227" w:rsidP="009D4227">
            <w:pPr>
              <w:jc w:val="center"/>
              <w:rPr>
                <w:sz w:val="18"/>
                <w:szCs w:val="18"/>
              </w:rPr>
            </w:pPr>
            <w:r>
              <w:rPr>
                <w:sz w:val="18"/>
                <w:szCs w:val="18"/>
              </w:rPr>
              <w:t>29%</w:t>
            </w:r>
          </w:p>
        </w:tc>
        <w:tc>
          <w:tcPr>
            <w:tcW w:w="930" w:type="dxa"/>
            <w:shd w:val="clear" w:color="auto" w:fill="D9D9D9" w:themeFill="background1" w:themeFillShade="D9"/>
            <w:vAlign w:val="center"/>
          </w:tcPr>
          <w:p w14:paraId="425A6CF7" w14:textId="77777777" w:rsidR="009D4227" w:rsidRPr="00E473A0" w:rsidRDefault="009D4227" w:rsidP="009D4227">
            <w:pPr>
              <w:jc w:val="center"/>
              <w:rPr>
                <w:sz w:val="18"/>
                <w:szCs w:val="18"/>
              </w:rPr>
            </w:pPr>
            <w:r>
              <w:rPr>
                <w:sz w:val="18"/>
                <w:szCs w:val="18"/>
              </w:rPr>
              <w:t>57%</w:t>
            </w:r>
          </w:p>
        </w:tc>
        <w:tc>
          <w:tcPr>
            <w:tcW w:w="930" w:type="dxa"/>
            <w:shd w:val="clear" w:color="auto" w:fill="BFBFBF" w:themeFill="background1" w:themeFillShade="BF"/>
            <w:vAlign w:val="center"/>
          </w:tcPr>
          <w:p w14:paraId="22131108" w14:textId="77777777" w:rsidR="009D4227" w:rsidRPr="008A241A" w:rsidRDefault="009D4227" w:rsidP="009D4227">
            <w:pPr>
              <w:jc w:val="center"/>
              <w:rPr>
                <w:b/>
                <w:sz w:val="18"/>
                <w:szCs w:val="18"/>
              </w:rPr>
            </w:pPr>
            <w:r>
              <w:rPr>
                <w:b/>
                <w:sz w:val="18"/>
                <w:szCs w:val="18"/>
              </w:rPr>
              <w:t>57%</w:t>
            </w:r>
          </w:p>
        </w:tc>
      </w:tr>
      <w:tr w:rsidR="004C0CAF" w:rsidRPr="00E473A0" w14:paraId="0ECF2BA9" w14:textId="77777777">
        <w:trPr>
          <w:jc w:val="center"/>
        </w:trPr>
        <w:tc>
          <w:tcPr>
            <w:tcW w:w="2763" w:type="dxa"/>
            <w:vAlign w:val="center"/>
          </w:tcPr>
          <w:p w14:paraId="034742FA" w14:textId="77777777" w:rsidR="009D4227" w:rsidRPr="00E473A0" w:rsidRDefault="009D4227" w:rsidP="009D4227">
            <w:pPr>
              <w:jc w:val="center"/>
              <w:rPr>
                <w:sz w:val="18"/>
                <w:szCs w:val="18"/>
              </w:rPr>
            </w:pPr>
            <w:r w:rsidRPr="00E473A0">
              <w:rPr>
                <w:sz w:val="18"/>
                <w:szCs w:val="18"/>
              </w:rPr>
              <w:t>Medicines are stored first-expiry-first out (FEFO).</w:t>
            </w:r>
          </w:p>
        </w:tc>
        <w:tc>
          <w:tcPr>
            <w:tcW w:w="730" w:type="dxa"/>
            <w:vAlign w:val="center"/>
          </w:tcPr>
          <w:p w14:paraId="5FE11456" w14:textId="77777777" w:rsidR="009D4227" w:rsidRPr="00E473A0" w:rsidRDefault="009D4227" w:rsidP="009D4227">
            <w:pPr>
              <w:jc w:val="center"/>
              <w:rPr>
                <w:sz w:val="18"/>
                <w:szCs w:val="18"/>
              </w:rPr>
            </w:pPr>
            <w:r>
              <w:rPr>
                <w:sz w:val="18"/>
                <w:szCs w:val="18"/>
              </w:rPr>
              <w:t>83%</w:t>
            </w:r>
          </w:p>
        </w:tc>
        <w:tc>
          <w:tcPr>
            <w:tcW w:w="865" w:type="dxa"/>
            <w:vAlign w:val="center"/>
          </w:tcPr>
          <w:p w14:paraId="58D604D4" w14:textId="77777777" w:rsidR="009D4227" w:rsidRPr="00E473A0" w:rsidRDefault="009D4227" w:rsidP="009D4227">
            <w:pPr>
              <w:jc w:val="center"/>
              <w:rPr>
                <w:sz w:val="18"/>
                <w:szCs w:val="18"/>
              </w:rPr>
            </w:pPr>
            <w:r>
              <w:rPr>
                <w:sz w:val="18"/>
                <w:szCs w:val="18"/>
              </w:rPr>
              <w:t>73%</w:t>
            </w:r>
          </w:p>
        </w:tc>
        <w:tc>
          <w:tcPr>
            <w:tcW w:w="610" w:type="dxa"/>
            <w:vAlign w:val="center"/>
          </w:tcPr>
          <w:p w14:paraId="258424D7" w14:textId="77777777" w:rsidR="009D4227" w:rsidRPr="00E473A0" w:rsidRDefault="009D4227" w:rsidP="009D4227">
            <w:pPr>
              <w:jc w:val="center"/>
              <w:rPr>
                <w:sz w:val="18"/>
                <w:szCs w:val="18"/>
              </w:rPr>
            </w:pPr>
            <w:r>
              <w:rPr>
                <w:sz w:val="18"/>
                <w:szCs w:val="18"/>
              </w:rPr>
              <w:t>48%</w:t>
            </w:r>
          </w:p>
        </w:tc>
        <w:tc>
          <w:tcPr>
            <w:tcW w:w="930" w:type="dxa"/>
            <w:shd w:val="clear" w:color="auto" w:fill="D9D9D9" w:themeFill="background1" w:themeFillShade="D9"/>
            <w:vAlign w:val="center"/>
          </w:tcPr>
          <w:p w14:paraId="59860E31" w14:textId="77777777" w:rsidR="009D4227" w:rsidRPr="00E473A0" w:rsidRDefault="009D4227" w:rsidP="009D4227">
            <w:pPr>
              <w:jc w:val="center"/>
              <w:rPr>
                <w:sz w:val="18"/>
                <w:szCs w:val="18"/>
              </w:rPr>
            </w:pPr>
            <w:r>
              <w:rPr>
                <w:sz w:val="18"/>
                <w:szCs w:val="18"/>
              </w:rPr>
              <w:t>73%</w:t>
            </w:r>
          </w:p>
        </w:tc>
        <w:tc>
          <w:tcPr>
            <w:tcW w:w="733" w:type="dxa"/>
            <w:vAlign w:val="center"/>
          </w:tcPr>
          <w:p w14:paraId="06DB4F96" w14:textId="77777777" w:rsidR="009D4227" w:rsidRPr="00E473A0" w:rsidRDefault="009D4227" w:rsidP="009D4227">
            <w:pPr>
              <w:jc w:val="center"/>
              <w:rPr>
                <w:sz w:val="18"/>
                <w:szCs w:val="18"/>
              </w:rPr>
            </w:pPr>
            <w:r>
              <w:rPr>
                <w:sz w:val="18"/>
                <w:szCs w:val="18"/>
              </w:rPr>
              <w:t>100%</w:t>
            </w:r>
          </w:p>
        </w:tc>
        <w:tc>
          <w:tcPr>
            <w:tcW w:w="865" w:type="dxa"/>
            <w:vAlign w:val="center"/>
          </w:tcPr>
          <w:p w14:paraId="2688E28B" w14:textId="77777777" w:rsidR="009D4227" w:rsidRPr="00E473A0" w:rsidRDefault="009D4227" w:rsidP="009D4227">
            <w:pPr>
              <w:jc w:val="center"/>
              <w:rPr>
                <w:sz w:val="18"/>
                <w:szCs w:val="18"/>
              </w:rPr>
            </w:pPr>
            <w:r>
              <w:rPr>
                <w:sz w:val="18"/>
                <w:szCs w:val="18"/>
              </w:rPr>
              <w:t>54%</w:t>
            </w:r>
          </w:p>
        </w:tc>
        <w:tc>
          <w:tcPr>
            <w:tcW w:w="595" w:type="dxa"/>
            <w:vAlign w:val="center"/>
          </w:tcPr>
          <w:p w14:paraId="6C67B90C" w14:textId="77777777" w:rsidR="009D4227" w:rsidRPr="00E473A0" w:rsidRDefault="009D4227" w:rsidP="009D4227">
            <w:pPr>
              <w:jc w:val="center"/>
              <w:rPr>
                <w:sz w:val="18"/>
                <w:szCs w:val="18"/>
              </w:rPr>
            </w:pPr>
            <w:r>
              <w:rPr>
                <w:sz w:val="18"/>
                <w:szCs w:val="18"/>
              </w:rPr>
              <w:t>34%</w:t>
            </w:r>
          </w:p>
        </w:tc>
        <w:tc>
          <w:tcPr>
            <w:tcW w:w="930" w:type="dxa"/>
            <w:shd w:val="clear" w:color="auto" w:fill="D9D9D9" w:themeFill="background1" w:themeFillShade="D9"/>
            <w:vAlign w:val="center"/>
          </w:tcPr>
          <w:p w14:paraId="6232F74B" w14:textId="77777777" w:rsidR="009D4227" w:rsidRPr="00E473A0" w:rsidRDefault="009D4227" w:rsidP="009D4227">
            <w:pPr>
              <w:jc w:val="center"/>
              <w:rPr>
                <w:sz w:val="18"/>
                <w:szCs w:val="18"/>
              </w:rPr>
            </w:pPr>
            <w:r>
              <w:rPr>
                <w:sz w:val="18"/>
                <w:szCs w:val="18"/>
              </w:rPr>
              <w:t>54%</w:t>
            </w:r>
          </w:p>
        </w:tc>
        <w:tc>
          <w:tcPr>
            <w:tcW w:w="930" w:type="dxa"/>
            <w:shd w:val="clear" w:color="auto" w:fill="BFBFBF" w:themeFill="background1" w:themeFillShade="BF"/>
            <w:vAlign w:val="center"/>
          </w:tcPr>
          <w:p w14:paraId="5845F4DA" w14:textId="77777777" w:rsidR="009D4227" w:rsidRPr="008A241A" w:rsidRDefault="009D4227" w:rsidP="009D4227">
            <w:pPr>
              <w:jc w:val="center"/>
              <w:rPr>
                <w:b/>
                <w:sz w:val="18"/>
                <w:szCs w:val="18"/>
              </w:rPr>
            </w:pPr>
            <w:r>
              <w:rPr>
                <w:b/>
                <w:sz w:val="18"/>
                <w:szCs w:val="18"/>
              </w:rPr>
              <w:t>54</w:t>
            </w:r>
            <w:r w:rsidRPr="008A241A">
              <w:rPr>
                <w:b/>
                <w:sz w:val="18"/>
                <w:szCs w:val="18"/>
              </w:rPr>
              <w:t>%</w:t>
            </w:r>
          </w:p>
        </w:tc>
      </w:tr>
      <w:tr w:rsidR="004C0CAF" w:rsidRPr="00E473A0" w14:paraId="29D9FDAA" w14:textId="77777777">
        <w:trPr>
          <w:jc w:val="center"/>
        </w:trPr>
        <w:tc>
          <w:tcPr>
            <w:tcW w:w="2763" w:type="dxa"/>
            <w:vAlign w:val="center"/>
          </w:tcPr>
          <w:p w14:paraId="3CCAAB6A" w14:textId="77777777" w:rsidR="009D4227" w:rsidRPr="00E473A0" w:rsidRDefault="009D4227" w:rsidP="00AA463A">
            <w:pPr>
              <w:jc w:val="center"/>
              <w:rPr>
                <w:sz w:val="18"/>
                <w:szCs w:val="18"/>
              </w:rPr>
            </w:pPr>
            <w:r w:rsidRPr="00E473A0">
              <w:rPr>
                <w:sz w:val="18"/>
                <w:szCs w:val="18"/>
              </w:rPr>
              <w:t xml:space="preserve">Medicines are stored separately to non–medicinal products </w:t>
            </w:r>
          </w:p>
        </w:tc>
        <w:tc>
          <w:tcPr>
            <w:tcW w:w="730" w:type="dxa"/>
            <w:vAlign w:val="center"/>
          </w:tcPr>
          <w:p w14:paraId="461EE41D" w14:textId="77777777" w:rsidR="009D4227" w:rsidRPr="00E473A0" w:rsidRDefault="009D4227" w:rsidP="009D4227">
            <w:pPr>
              <w:jc w:val="center"/>
              <w:rPr>
                <w:sz w:val="18"/>
                <w:szCs w:val="18"/>
              </w:rPr>
            </w:pPr>
            <w:r>
              <w:rPr>
                <w:sz w:val="18"/>
                <w:szCs w:val="18"/>
              </w:rPr>
              <w:t>92%</w:t>
            </w:r>
          </w:p>
        </w:tc>
        <w:tc>
          <w:tcPr>
            <w:tcW w:w="865" w:type="dxa"/>
            <w:vAlign w:val="center"/>
          </w:tcPr>
          <w:p w14:paraId="2A2207E0" w14:textId="77777777" w:rsidR="009D4227" w:rsidRPr="00E473A0" w:rsidRDefault="009D4227" w:rsidP="009D4227">
            <w:pPr>
              <w:jc w:val="center"/>
              <w:rPr>
                <w:sz w:val="18"/>
                <w:szCs w:val="18"/>
              </w:rPr>
            </w:pPr>
            <w:r>
              <w:rPr>
                <w:sz w:val="18"/>
                <w:szCs w:val="18"/>
              </w:rPr>
              <w:t>80%</w:t>
            </w:r>
          </w:p>
        </w:tc>
        <w:tc>
          <w:tcPr>
            <w:tcW w:w="610" w:type="dxa"/>
            <w:vAlign w:val="center"/>
          </w:tcPr>
          <w:p w14:paraId="7694DFF5" w14:textId="77777777" w:rsidR="009D4227" w:rsidRPr="00E473A0" w:rsidRDefault="009D4227" w:rsidP="009D4227">
            <w:pPr>
              <w:jc w:val="center"/>
              <w:rPr>
                <w:sz w:val="18"/>
                <w:szCs w:val="18"/>
              </w:rPr>
            </w:pPr>
            <w:r>
              <w:rPr>
                <w:sz w:val="18"/>
                <w:szCs w:val="18"/>
              </w:rPr>
              <w:t>75%</w:t>
            </w:r>
          </w:p>
        </w:tc>
        <w:tc>
          <w:tcPr>
            <w:tcW w:w="930" w:type="dxa"/>
            <w:shd w:val="clear" w:color="auto" w:fill="D9D9D9" w:themeFill="background1" w:themeFillShade="D9"/>
            <w:vAlign w:val="center"/>
          </w:tcPr>
          <w:p w14:paraId="4860B410" w14:textId="77777777" w:rsidR="009D4227" w:rsidRPr="00E473A0" w:rsidRDefault="009D4227" w:rsidP="009D4227">
            <w:pPr>
              <w:jc w:val="center"/>
              <w:rPr>
                <w:sz w:val="18"/>
                <w:szCs w:val="18"/>
              </w:rPr>
            </w:pPr>
            <w:r>
              <w:rPr>
                <w:sz w:val="18"/>
                <w:szCs w:val="18"/>
              </w:rPr>
              <w:t>80%</w:t>
            </w:r>
          </w:p>
        </w:tc>
        <w:tc>
          <w:tcPr>
            <w:tcW w:w="733" w:type="dxa"/>
            <w:vAlign w:val="center"/>
          </w:tcPr>
          <w:p w14:paraId="40E89F9B" w14:textId="77777777" w:rsidR="009D4227" w:rsidRPr="00E473A0" w:rsidRDefault="009D4227" w:rsidP="009D4227">
            <w:pPr>
              <w:jc w:val="center"/>
              <w:rPr>
                <w:sz w:val="18"/>
                <w:szCs w:val="18"/>
              </w:rPr>
            </w:pPr>
            <w:r>
              <w:rPr>
                <w:sz w:val="18"/>
                <w:szCs w:val="18"/>
              </w:rPr>
              <w:t>100%</w:t>
            </w:r>
          </w:p>
        </w:tc>
        <w:tc>
          <w:tcPr>
            <w:tcW w:w="865" w:type="dxa"/>
            <w:vAlign w:val="center"/>
          </w:tcPr>
          <w:p w14:paraId="373FD653" w14:textId="77777777" w:rsidR="009D4227" w:rsidRPr="00E473A0" w:rsidRDefault="009D4227" w:rsidP="009D4227">
            <w:pPr>
              <w:jc w:val="center"/>
              <w:rPr>
                <w:sz w:val="18"/>
                <w:szCs w:val="18"/>
              </w:rPr>
            </w:pPr>
            <w:r>
              <w:rPr>
                <w:sz w:val="18"/>
                <w:szCs w:val="18"/>
              </w:rPr>
              <w:t>88%</w:t>
            </w:r>
          </w:p>
        </w:tc>
        <w:tc>
          <w:tcPr>
            <w:tcW w:w="595" w:type="dxa"/>
            <w:vAlign w:val="center"/>
          </w:tcPr>
          <w:p w14:paraId="270DFFE7" w14:textId="77777777" w:rsidR="009D4227" w:rsidRPr="00E473A0" w:rsidRDefault="009D4227" w:rsidP="009D4227">
            <w:pPr>
              <w:jc w:val="center"/>
              <w:rPr>
                <w:sz w:val="18"/>
                <w:szCs w:val="18"/>
              </w:rPr>
            </w:pPr>
            <w:r>
              <w:rPr>
                <w:sz w:val="18"/>
                <w:szCs w:val="18"/>
              </w:rPr>
              <w:t>76%</w:t>
            </w:r>
          </w:p>
        </w:tc>
        <w:tc>
          <w:tcPr>
            <w:tcW w:w="930" w:type="dxa"/>
            <w:shd w:val="clear" w:color="auto" w:fill="D9D9D9" w:themeFill="background1" w:themeFillShade="D9"/>
            <w:vAlign w:val="center"/>
          </w:tcPr>
          <w:p w14:paraId="5F1EFAE9" w14:textId="77777777" w:rsidR="009D4227" w:rsidRPr="00E473A0" w:rsidRDefault="009D4227" w:rsidP="009D4227">
            <w:pPr>
              <w:jc w:val="center"/>
              <w:rPr>
                <w:sz w:val="18"/>
                <w:szCs w:val="18"/>
              </w:rPr>
            </w:pPr>
            <w:r>
              <w:rPr>
                <w:sz w:val="18"/>
                <w:szCs w:val="18"/>
              </w:rPr>
              <w:t>88%</w:t>
            </w:r>
          </w:p>
        </w:tc>
        <w:tc>
          <w:tcPr>
            <w:tcW w:w="930" w:type="dxa"/>
            <w:shd w:val="clear" w:color="auto" w:fill="BFBFBF" w:themeFill="background1" w:themeFillShade="BF"/>
            <w:vAlign w:val="center"/>
          </w:tcPr>
          <w:p w14:paraId="428CAD1D" w14:textId="77777777" w:rsidR="009D4227" w:rsidRPr="008A241A" w:rsidRDefault="009D4227" w:rsidP="009D4227">
            <w:pPr>
              <w:jc w:val="center"/>
              <w:rPr>
                <w:b/>
                <w:sz w:val="18"/>
                <w:szCs w:val="18"/>
              </w:rPr>
            </w:pPr>
            <w:r>
              <w:rPr>
                <w:b/>
                <w:sz w:val="18"/>
                <w:szCs w:val="18"/>
              </w:rPr>
              <w:t>88</w:t>
            </w:r>
            <w:r w:rsidRPr="008A241A">
              <w:rPr>
                <w:b/>
                <w:sz w:val="18"/>
                <w:szCs w:val="18"/>
              </w:rPr>
              <w:t>%</w:t>
            </w:r>
          </w:p>
        </w:tc>
      </w:tr>
      <w:tr w:rsidR="004C0CAF" w:rsidRPr="00E473A0" w14:paraId="607DB72A" w14:textId="77777777">
        <w:trPr>
          <w:jc w:val="center"/>
        </w:trPr>
        <w:tc>
          <w:tcPr>
            <w:tcW w:w="2763" w:type="dxa"/>
            <w:vAlign w:val="center"/>
          </w:tcPr>
          <w:p w14:paraId="2AE52B37" w14:textId="77777777" w:rsidR="009D4227" w:rsidRPr="00E473A0" w:rsidRDefault="00AA463A" w:rsidP="009D4227">
            <w:pPr>
              <w:jc w:val="center"/>
              <w:rPr>
                <w:sz w:val="18"/>
                <w:szCs w:val="18"/>
              </w:rPr>
            </w:pPr>
            <w:r>
              <w:rPr>
                <w:sz w:val="18"/>
                <w:szCs w:val="18"/>
              </w:rPr>
              <w:t>N</w:t>
            </w:r>
            <w:r w:rsidR="009D4227" w:rsidRPr="00E473A0">
              <w:rPr>
                <w:sz w:val="18"/>
                <w:szCs w:val="18"/>
              </w:rPr>
              <w:t>o evidence of pests in the area.</w:t>
            </w:r>
          </w:p>
        </w:tc>
        <w:tc>
          <w:tcPr>
            <w:tcW w:w="730" w:type="dxa"/>
            <w:vAlign w:val="center"/>
          </w:tcPr>
          <w:p w14:paraId="34B7A942" w14:textId="77777777" w:rsidR="009D4227" w:rsidRPr="00E473A0" w:rsidRDefault="009D4227" w:rsidP="009D4227">
            <w:pPr>
              <w:jc w:val="center"/>
              <w:rPr>
                <w:sz w:val="18"/>
                <w:szCs w:val="18"/>
              </w:rPr>
            </w:pPr>
            <w:r>
              <w:rPr>
                <w:sz w:val="18"/>
                <w:szCs w:val="18"/>
              </w:rPr>
              <w:t>50%</w:t>
            </w:r>
          </w:p>
        </w:tc>
        <w:tc>
          <w:tcPr>
            <w:tcW w:w="865" w:type="dxa"/>
            <w:vAlign w:val="center"/>
          </w:tcPr>
          <w:p w14:paraId="04E51F5F" w14:textId="77777777" w:rsidR="009D4227" w:rsidRPr="00E473A0" w:rsidRDefault="009D4227" w:rsidP="009D4227">
            <w:pPr>
              <w:jc w:val="center"/>
              <w:rPr>
                <w:sz w:val="18"/>
                <w:szCs w:val="18"/>
              </w:rPr>
            </w:pPr>
            <w:r>
              <w:rPr>
                <w:sz w:val="18"/>
                <w:szCs w:val="18"/>
              </w:rPr>
              <w:t>54%</w:t>
            </w:r>
          </w:p>
        </w:tc>
        <w:tc>
          <w:tcPr>
            <w:tcW w:w="610" w:type="dxa"/>
            <w:vAlign w:val="center"/>
          </w:tcPr>
          <w:p w14:paraId="64F1438B" w14:textId="77777777" w:rsidR="009D4227" w:rsidRPr="00E473A0" w:rsidRDefault="009D4227" w:rsidP="009D4227">
            <w:pPr>
              <w:jc w:val="center"/>
              <w:rPr>
                <w:sz w:val="18"/>
                <w:szCs w:val="18"/>
              </w:rPr>
            </w:pPr>
            <w:r>
              <w:rPr>
                <w:sz w:val="18"/>
                <w:szCs w:val="18"/>
              </w:rPr>
              <w:t>60%</w:t>
            </w:r>
          </w:p>
        </w:tc>
        <w:tc>
          <w:tcPr>
            <w:tcW w:w="930" w:type="dxa"/>
            <w:shd w:val="clear" w:color="auto" w:fill="D9D9D9" w:themeFill="background1" w:themeFillShade="D9"/>
            <w:vAlign w:val="center"/>
          </w:tcPr>
          <w:p w14:paraId="16B92901" w14:textId="77777777" w:rsidR="009D4227" w:rsidRPr="00E473A0" w:rsidRDefault="009D4227" w:rsidP="009D4227">
            <w:pPr>
              <w:jc w:val="center"/>
              <w:rPr>
                <w:sz w:val="18"/>
                <w:szCs w:val="18"/>
              </w:rPr>
            </w:pPr>
            <w:r>
              <w:rPr>
                <w:sz w:val="18"/>
                <w:szCs w:val="18"/>
              </w:rPr>
              <w:t>54%</w:t>
            </w:r>
          </w:p>
        </w:tc>
        <w:tc>
          <w:tcPr>
            <w:tcW w:w="733" w:type="dxa"/>
            <w:vAlign w:val="center"/>
          </w:tcPr>
          <w:p w14:paraId="5866C85B" w14:textId="77777777" w:rsidR="009D4227" w:rsidRPr="00E473A0" w:rsidRDefault="009D4227" w:rsidP="009D4227">
            <w:pPr>
              <w:jc w:val="center"/>
              <w:rPr>
                <w:sz w:val="18"/>
                <w:szCs w:val="18"/>
              </w:rPr>
            </w:pPr>
            <w:r>
              <w:rPr>
                <w:sz w:val="18"/>
                <w:szCs w:val="18"/>
              </w:rPr>
              <w:t>69%</w:t>
            </w:r>
          </w:p>
        </w:tc>
        <w:tc>
          <w:tcPr>
            <w:tcW w:w="865" w:type="dxa"/>
            <w:vAlign w:val="center"/>
          </w:tcPr>
          <w:p w14:paraId="7A211F5A" w14:textId="77777777" w:rsidR="009D4227" w:rsidRPr="00E473A0" w:rsidRDefault="009D4227" w:rsidP="009D4227">
            <w:pPr>
              <w:jc w:val="center"/>
              <w:rPr>
                <w:sz w:val="18"/>
                <w:szCs w:val="18"/>
              </w:rPr>
            </w:pPr>
            <w:r>
              <w:rPr>
                <w:sz w:val="18"/>
                <w:szCs w:val="18"/>
              </w:rPr>
              <w:t>51%</w:t>
            </w:r>
          </w:p>
        </w:tc>
        <w:tc>
          <w:tcPr>
            <w:tcW w:w="595" w:type="dxa"/>
            <w:vAlign w:val="center"/>
          </w:tcPr>
          <w:p w14:paraId="63BCA6CB" w14:textId="77777777" w:rsidR="009D4227" w:rsidRPr="00E473A0" w:rsidRDefault="009D4227" w:rsidP="009D4227">
            <w:pPr>
              <w:jc w:val="center"/>
              <w:rPr>
                <w:sz w:val="18"/>
                <w:szCs w:val="18"/>
              </w:rPr>
            </w:pPr>
            <w:r>
              <w:rPr>
                <w:sz w:val="18"/>
                <w:szCs w:val="18"/>
              </w:rPr>
              <w:t>65%</w:t>
            </w:r>
          </w:p>
        </w:tc>
        <w:tc>
          <w:tcPr>
            <w:tcW w:w="930" w:type="dxa"/>
            <w:shd w:val="clear" w:color="auto" w:fill="D9D9D9" w:themeFill="background1" w:themeFillShade="D9"/>
            <w:vAlign w:val="center"/>
          </w:tcPr>
          <w:p w14:paraId="5757B78D" w14:textId="77777777" w:rsidR="009D4227" w:rsidRPr="00E473A0" w:rsidRDefault="009D4227" w:rsidP="009D4227">
            <w:pPr>
              <w:jc w:val="center"/>
              <w:rPr>
                <w:sz w:val="18"/>
                <w:szCs w:val="18"/>
              </w:rPr>
            </w:pPr>
            <w:r>
              <w:rPr>
                <w:sz w:val="18"/>
                <w:szCs w:val="18"/>
              </w:rPr>
              <w:t>65%</w:t>
            </w:r>
          </w:p>
        </w:tc>
        <w:tc>
          <w:tcPr>
            <w:tcW w:w="930" w:type="dxa"/>
            <w:shd w:val="clear" w:color="auto" w:fill="BFBFBF" w:themeFill="background1" w:themeFillShade="BF"/>
            <w:vAlign w:val="center"/>
          </w:tcPr>
          <w:p w14:paraId="5B297516" w14:textId="77777777" w:rsidR="009D4227" w:rsidRPr="008A241A" w:rsidRDefault="009D4227" w:rsidP="009D4227">
            <w:pPr>
              <w:jc w:val="center"/>
              <w:rPr>
                <w:b/>
                <w:sz w:val="18"/>
                <w:szCs w:val="18"/>
              </w:rPr>
            </w:pPr>
            <w:r>
              <w:rPr>
                <w:b/>
                <w:sz w:val="18"/>
                <w:szCs w:val="18"/>
              </w:rPr>
              <w:t>65</w:t>
            </w:r>
            <w:r w:rsidRPr="008A241A">
              <w:rPr>
                <w:b/>
                <w:sz w:val="18"/>
                <w:szCs w:val="18"/>
              </w:rPr>
              <w:t>%</w:t>
            </w:r>
          </w:p>
        </w:tc>
      </w:tr>
      <w:tr w:rsidR="004C0CAF" w:rsidRPr="00E473A0" w14:paraId="4BA69831" w14:textId="77777777">
        <w:trPr>
          <w:jc w:val="center"/>
        </w:trPr>
        <w:tc>
          <w:tcPr>
            <w:tcW w:w="2763" w:type="dxa"/>
            <w:vAlign w:val="center"/>
          </w:tcPr>
          <w:p w14:paraId="51E8AEDB" w14:textId="77777777" w:rsidR="009D4227" w:rsidRPr="00E473A0" w:rsidRDefault="009D4227" w:rsidP="009D4227">
            <w:pPr>
              <w:jc w:val="center"/>
              <w:rPr>
                <w:sz w:val="18"/>
                <w:szCs w:val="18"/>
              </w:rPr>
            </w:pPr>
            <w:r w:rsidRPr="00E473A0">
              <w:rPr>
                <w:sz w:val="18"/>
                <w:szCs w:val="18"/>
              </w:rPr>
              <w:t>Tablets/capsules are not manipulated by naked hand.</w:t>
            </w:r>
          </w:p>
        </w:tc>
        <w:tc>
          <w:tcPr>
            <w:tcW w:w="730" w:type="dxa"/>
            <w:vAlign w:val="center"/>
          </w:tcPr>
          <w:p w14:paraId="6688F746" w14:textId="77777777" w:rsidR="009D4227" w:rsidRPr="00E473A0" w:rsidRDefault="009D4227" w:rsidP="009D4227">
            <w:pPr>
              <w:jc w:val="center"/>
              <w:rPr>
                <w:sz w:val="18"/>
                <w:szCs w:val="18"/>
              </w:rPr>
            </w:pPr>
            <w:r>
              <w:rPr>
                <w:sz w:val="18"/>
                <w:szCs w:val="18"/>
              </w:rPr>
              <w:t>NA</w:t>
            </w:r>
          </w:p>
        </w:tc>
        <w:tc>
          <w:tcPr>
            <w:tcW w:w="865" w:type="dxa"/>
            <w:vAlign w:val="center"/>
          </w:tcPr>
          <w:p w14:paraId="2F8331F7" w14:textId="77777777" w:rsidR="009D4227" w:rsidRPr="00E473A0" w:rsidRDefault="009D4227" w:rsidP="009D4227">
            <w:pPr>
              <w:jc w:val="center"/>
              <w:rPr>
                <w:sz w:val="18"/>
                <w:szCs w:val="18"/>
              </w:rPr>
            </w:pPr>
            <w:r>
              <w:rPr>
                <w:sz w:val="18"/>
                <w:szCs w:val="18"/>
              </w:rPr>
              <w:t>NA</w:t>
            </w:r>
          </w:p>
        </w:tc>
        <w:tc>
          <w:tcPr>
            <w:tcW w:w="610" w:type="dxa"/>
            <w:vAlign w:val="center"/>
          </w:tcPr>
          <w:p w14:paraId="57209C08" w14:textId="77777777" w:rsidR="009D4227" w:rsidRPr="00E473A0" w:rsidRDefault="009D4227" w:rsidP="009D4227">
            <w:pPr>
              <w:jc w:val="center"/>
              <w:rPr>
                <w:sz w:val="18"/>
                <w:szCs w:val="18"/>
              </w:rPr>
            </w:pPr>
            <w:r>
              <w:rPr>
                <w:sz w:val="18"/>
                <w:szCs w:val="18"/>
              </w:rPr>
              <w:t>NA</w:t>
            </w:r>
          </w:p>
        </w:tc>
        <w:tc>
          <w:tcPr>
            <w:tcW w:w="930" w:type="dxa"/>
            <w:shd w:val="clear" w:color="auto" w:fill="D9D9D9" w:themeFill="background1" w:themeFillShade="D9"/>
            <w:vAlign w:val="center"/>
          </w:tcPr>
          <w:p w14:paraId="190ECDCE" w14:textId="77777777" w:rsidR="009D4227" w:rsidRPr="00E473A0" w:rsidRDefault="009D4227" w:rsidP="009D4227">
            <w:pPr>
              <w:jc w:val="center"/>
              <w:rPr>
                <w:sz w:val="18"/>
                <w:szCs w:val="18"/>
              </w:rPr>
            </w:pPr>
            <w:r>
              <w:rPr>
                <w:sz w:val="18"/>
                <w:szCs w:val="18"/>
              </w:rPr>
              <w:t>NA</w:t>
            </w:r>
          </w:p>
        </w:tc>
        <w:tc>
          <w:tcPr>
            <w:tcW w:w="733" w:type="dxa"/>
            <w:vAlign w:val="center"/>
          </w:tcPr>
          <w:p w14:paraId="67FA04B7" w14:textId="77777777" w:rsidR="009D4227" w:rsidRPr="00E473A0" w:rsidRDefault="009D4227" w:rsidP="009D4227">
            <w:pPr>
              <w:jc w:val="center"/>
              <w:rPr>
                <w:sz w:val="18"/>
                <w:szCs w:val="18"/>
              </w:rPr>
            </w:pPr>
            <w:r>
              <w:rPr>
                <w:sz w:val="18"/>
                <w:szCs w:val="18"/>
              </w:rPr>
              <w:t>755</w:t>
            </w:r>
          </w:p>
        </w:tc>
        <w:tc>
          <w:tcPr>
            <w:tcW w:w="865" w:type="dxa"/>
            <w:vAlign w:val="center"/>
          </w:tcPr>
          <w:p w14:paraId="7D93D91D" w14:textId="77777777" w:rsidR="009D4227" w:rsidRPr="00E473A0" w:rsidRDefault="009D4227" w:rsidP="009D4227">
            <w:pPr>
              <w:jc w:val="center"/>
              <w:rPr>
                <w:sz w:val="18"/>
                <w:szCs w:val="18"/>
              </w:rPr>
            </w:pPr>
            <w:r>
              <w:rPr>
                <w:sz w:val="18"/>
                <w:szCs w:val="18"/>
              </w:rPr>
              <w:t>48%</w:t>
            </w:r>
          </w:p>
        </w:tc>
        <w:tc>
          <w:tcPr>
            <w:tcW w:w="595" w:type="dxa"/>
            <w:vAlign w:val="center"/>
          </w:tcPr>
          <w:p w14:paraId="2BFD184F" w14:textId="77777777" w:rsidR="009D4227" w:rsidRPr="00E473A0" w:rsidRDefault="009D4227" w:rsidP="009D4227">
            <w:pPr>
              <w:jc w:val="center"/>
              <w:rPr>
                <w:sz w:val="18"/>
                <w:szCs w:val="18"/>
              </w:rPr>
            </w:pPr>
            <w:r>
              <w:rPr>
                <w:sz w:val="18"/>
                <w:szCs w:val="18"/>
              </w:rPr>
              <w:t>51%</w:t>
            </w:r>
          </w:p>
        </w:tc>
        <w:tc>
          <w:tcPr>
            <w:tcW w:w="930" w:type="dxa"/>
            <w:shd w:val="clear" w:color="auto" w:fill="D9D9D9" w:themeFill="background1" w:themeFillShade="D9"/>
            <w:vAlign w:val="center"/>
          </w:tcPr>
          <w:p w14:paraId="279A6265" w14:textId="77777777" w:rsidR="009D4227" w:rsidRPr="00E473A0" w:rsidRDefault="009D4227" w:rsidP="009D4227">
            <w:pPr>
              <w:jc w:val="center"/>
              <w:rPr>
                <w:sz w:val="18"/>
                <w:szCs w:val="18"/>
              </w:rPr>
            </w:pPr>
            <w:r>
              <w:rPr>
                <w:sz w:val="18"/>
                <w:szCs w:val="18"/>
              </w:rPr>
              <w:t>51%</w:t>
            </w:r>
          </w:p>
        </w:tc>
        <w:tc>
          <w:tcPr>
            <w:tcW w:w="930" w:type="dxa"/>
            <w:shd w:val="clear" w:color="auto" w:fill="BFBFBF" w:themeFill="background1" w:themeFillShade="BF"/>
            <w:vAlign w:val="center"/>
          </w:tcPr>
          <w:p w14:paraId="68BD9268" w14:textId="77777777" w:rsidR="009D4227" w:rsidRPr="008A241A" w:rsidRDefault="009D4227" w:rsidP="009D4227">
            <w:pPr>
              <w:jc w:val="center"/>
              <w:rPr>
                <w:b/>
                <w:sz w:val="18"/>
                <w:szCs w:val="18"/>
              </w:rPr>
            </w:pPr>
            <w:r w:rsidRPr="008A241A">
              <w:rPr>
                <w:b/>
                <w:sz w:val="18"/>
                <w:szCs w:val="18"/>
              </w:rPr>
              <w:t>-</w:t>
            </w:r>
          </w:p>
        </w:tc>
      </w:tr>
      <w:tr w:rsidR="004C0CAF" w:rsidRPr="00671E3B" w14:paraId="4DA4DDDA" w14:textId="77777777" w:rsidTr="00851881">
        <w:trPr>
          <w:trHeight w:val="373"/>
          <w:jc w:val="center"/>
        </w:trPr>
        <w:tc>
          <w:tcPr>
            <w:tcW w:w="2763" w:type="dxa"/>
            <w:vAlign w:val="center"/>
          </w:tcPr>
          <w:p w14:paraId="512965AB" w14:textId="77777777" w:rsidR="009D4227" w:rsidRPr="00671E3B" w:rsidRDefault="009D4227" w:rsidP="009D4227">
            <w:pPr>
              <w:jc w:val="center"/>
              <w:rPr>
                <w:b/>
                <w:sz w:val="18"/>
                <w:szCs w:val="18"/>
              </w:rPr>
            </w:pPr>
            <w:r>
              <w:rPr>
                <w:b/>
                <w:sz w:val="18"/>
                <w:szCs w:val="18"/>
              </w:rPr>
              <w:t>TOTAL (median)</w:t>
            </w:r>
          </w:p>
        </w:tc>
        <w:tc>
          <w:tcPr>
            <w:tcW w:w="730" w:type="dxa"/>
            <w:vAlign w:val="center"/>
          </w:tcPr>
          <w:p w14:paraId="3C2E311B" w14:textId="77777777" w:rsidR="009D4227" w:rsidRPr="00671E3B" w:rsidRDefault="009D4227" w:rsidP="009D4227">
            <w:pPr>
              <w:jc w:val="center"/>
              <w:rPr>
                <w:b/>
                <w:sz w:val="18"/>
                <w:szCs w:val="18"/>
              </w:rPr>
            </w:pPr>
            <w:r>
              <w:rPr>
                <w:b/>
                <w:sz w:val="18"/>
                <w:szCs w:val="18"/>
              </w:rPr>
              <w:t>75%</w:t>
            </w:r>
          </w:p>
        </w:tc>
        <w:tc>
          <w:tcPr>
            <w:tcW w:w="865" w:type="dxa"/>
            <w:vAlign w:val="center"/>
          </w:tcPr>
          <w:p w14:paraId="531EA66F" w14:textId="77777777" w:rsidR="009D4227" w:rsidRPr="00671E3B" w:rsidRDefault="009D4227" w:rsidP="009D4227">
            <w:pPr>
              <w:jc w:val="center"/>
              <w:rPr>
                <w:b/>
                <w:sz w:val="18"/>
                <w:szCs w:val="18"/>
              </w:rPr>
            </w:pPr>
            <w:r>
              <w:rPr>
                <w:b/>
                <w:sz w:val="18"/>
                <w:szCs w:val="18"/>
              </w:rPr>
              <w:t>63%</w:t>
            </w:r>
          </w:p>
        </w:tc>
        <w:tc>
          <w:tcPr>
            <w:tcW w:w="610" w:type="dxa"/>
            <w:vAlign w:val="center"/>
          </w:tcPr>
          <w:p w14:paraId="59E3D10E" w14:textId="77777777" w:rsidR="009D4227" w:rsidRPr="00671E3B" w:rsidRDefault="009D4227" w:rsidP="009D4227">
            <w:pPr>
              <w:jc w:val="center"/>
              <w:rPr>
                <w:b/>
                <w:sz w:val="18"/>
                <w:szCs w:val="18"/>
              </w:rPr>
            </w:pPr>
            <w:r>
              <w:rPr>
                <w:b/>
                <w:sz w:val="18"/>
                <w:szCs w:val="18"/>
              </w:rPr>
              <w:t>50%</w:t>
            </w:r>
          </w:p>
        </w:tc>
        <w:tc>
          <w:tcPr>
            <w:tcW w:w="930" w:type="dxa"/>
            <w:shd w:val="clear" w:color="auto" w:fill="D9D9D9" w:themeFill="background1" w:themeFillShade="D9"/>
            <w:vAlign w:val="center"/>
          </w:tcPr>
          <w:p w14:paraId="13D7F309" w14:textId="77777777" w:rsidR="009D4227" w:rsidRPr="00671E3B" w:rsidRDefault="009D4227" w:rsidP="009D4227">
            <w:pPr>
              <w:jc w:val="center"/>
              <w:rPr>
                <w:b/>
                <w:sz w:val="18"/>
                <w:szCs w:val="18"/>
              </w:rPr>
            </w:pPr>
            <w:r>
              <w:rPr>
                <w:b/>
                <w:sz w:val="18"/>
                <w:szCs w:val="18"/>
              </w:rPr>
              <w:t>59%</w:t>
            </w:r>
          </w:p>
        </w:tc>
        <w:tc>
          <w:tcPr>
            <w:tcW w:w="733" w:type="dxa"/>
            <w:vAlign w:val="center"/>
          </w:tcPr>
          <w:p w14:paraId="5E9357CA" w14:textId="77777777" w:rsidR="009D4227" w:rsidRPr="00671E3B" w:rsidRDefault="009D4227" w:rsidP="009D4227">
            <w:pPr>
              <w:jc w:val="center"/>
              <w:rPr>
                <w:b/>
                <w:sz w:val="18"/>
                <w:szCs w:val="18"/>
              </w:rPr>
            </w:pPr>
            <w:r>
              <w:rPr>
                <w:b/>
                <w:sz w:val="18"/>
                <w:szCs w:val="18"/>
              </w:rPr>
              <w:t>85%</w:t>
            </w:r>
          </w:p>
        </w:tc>
        <w:tc>
          <w:tcPr>
            <w:tcW w:w="865" w:type="dxa"/>
            <w:vAlign w:val="center"/>
          </w:tcPr>
          <w:p w14:paraId="559BD113" w14:textId="77777777" w:rsidR="009D4227" w:rsidRPr="00671E3B" w:rsidRDefault="009D4227" w:rsidP="009D4227">
            <w:pPr>
              <w:jc w:val="center"/>
              <w:rPr>
                <w:b/>
                <w:sz w:val="18"/>
                <w:szCs w:val="18"/>
              </w:rPr>
            </w:pPr>
            <w:r>
              <w:rPr>
                <w:b/>
                <w:sz w:val="18"/>
                <w:szCs w:val="18"/>
              </w:rPr>
              <w:t>51%</w:t>
            </w:r>
          </w:p>
        </w:tc>
        <w:tc>
          <w:tcPr>
            <w:tcW w:w="595" w:type="dxa"/>
            <w:vAlign w:val="center"/>
          </w:tcPr>
          <w:p w14:paraId="55B0A6EF" w14:textId="77777777" w:rsidR="009D4227" w:rsidRPr="00671E3B" w:rsidRDefault="009D4227" w:rsidP="009D4227">
            <w:pPr>
              <w:jc w:val="center"/>
              <w:rPr>
                <w:b/>
                <w:sz w:val="18"/>
                <w:szCs w:val="18"/>
              </w:rPr>
            </w:pPr>
            <w:r>
              <w:rPr>
                <w:b/>
                <w:sz w:val="18"/>
                <w:szCs w:val="18"/>
              </w:rPr>
              <w:t>51%</w:t>
            </w:r>
          </w:p>
        </w:tc>
        <w:tc>
          <w:tcPr>
            <w:tcW w:w="930" w:type="dxa"/>
            <w:shd w:val="clear" w:color="auto" w:fill="D9D9D9" w:themeFill="background1" w:themeFillShade="D9"/>
            <w:vAlign w:val="center"/>
          </w:tcPr>
          <w:p w14:paraId="75010147" w14:textId="77777777" w:rsidR="009D4227" w:rsidRPr="00671E3B" w:rsidRDefault="009D4227" w:rsidP="009D4227">
            <w:pPr>
              <w:jc w:val="center"/>
              <w:rPr>
                <w:b/>
                <w:sz w:val="18"/>
                <w:szCs w:val="18"/>
              </w:rPr>
            </w:pPr>
            <w:r>
              <w:rPr>
                <w:b/>
                <w:sz w:val="18"/>
                <w:szCs w:val="18"/>
              </w:rPr>
              <w:t>57</w:t>
            </w:r>
            <w:r w:rsidRPr="00671E3B">
              <w:rPr>
                <w:b/>
                <w:sz w:val="18"/>
                <w:szCs w:val="18"/>
              </w:rPr>
              <w:t>%</w:t>
            </w:r>
          </w:p>
        </w:tc>
        <w:tc>
          <w:tcPr>
            <w:tcW w:w="930" w:type="dxa"/>
            <w:shd w:val="clear" w:color="auto" w:fill="BFBFBF" w:themeFill="background1" w:themeFillShade="BF"/>
            <w:vAlign w:val="center"/>
          </w:tcPr>
          <w:p w14:paraId="429AF48F" w14:textId="77777777" w:rsidR="009D4227" w:rsidRPr="00671E3B" w:rsidRDefault="009D4227" w:rsidP="009D4227">
            <w:pPr>
              <w:jc w:val="center"/>
              <w:rPr>
                <w:b/>
                <w:sz w:val="18"/>
                <w:szCs w:val="18"/>
              </w:rPr>
            </w:pPr>
            <w:r>
              <w:rPr>
                <w:b/>
                <w:sz w:val="18"/>
                <w:szCs w:val="18"/>
              </w:rPr>
              <w:t>57</w:t>
            </w:r>
            <w:r w:rsidRPr="00671E3B">
              <w:rPr>
                <w:b/>
                <w:sz w:val="18"/>
                <w:szCs w:val="18"/>
              </w:rPr>
              <w:t>%</w:t>
            </w:r>
          </w:p>
        </w:tc>
      </w:tr>
    </w:tbl>
    <w:p w14:paraId="48DFCE1C" w14:textId="77777777" w:rsidR="009D4227" w:rsidRPr="00E27200" w:rsidRDefault="009D4227" w:rsidP="00560C1E">
      <w:pPr>
        <w:rPr>
          <w:lang w:val="en-AU"/>
        </w:rPr>
      </w:pPr>
    </w:p>
    <w:p w14:paraId="4CF2E0D0" w14:textId="77777777" w:rsidR="0090131E" w:rsidRPr="00E27200" w:rsidRDefault="0090131E" w:rsidP="00560C1E">
      <w:pPr>
        <w:ind w:right="-472"/>
        <w:rPr>
          <w:lang w:val="en-AU"/>
        </w:rPr>
      </w:pPr>
    </w:p>
    <w:p w14:paraId="1CA760D5" w14:textId="45382591" w:rsidR="0090131E" w:rsidRPr="00A90CD5" w:rsidRDefault="0090131E" w:rsidP="00C16F04">
      <w:pPr>
        <w:ind w:right="-46"/>
        <w:rPr>
          <w:lang w:val="en-AU"/>
        </w:rPr>
      </w:pPr>
      <w:r w:rsidRPr="00E27200">
        <w:rPr>
          <w:lang w:val="en-AU"/>
        </w:rPr>
        <w:lastRenderedPageBreak/>
        <w:t xml:space="preserve">Most HFs and medical stores lack adequate storage space to house all the medicines, especially bulky IV fluids. There </w:t>
      </w:r>
      <w:r w:rsidR="00A44EB3">
        <w:rPr>
          <w:lang w:val="en-AU"/>
        </w:rPr>
        <w:t>are</w:t>
      </w:r>
      <w:r w:rsidRPr="00E27200">
        <w:rPr>
          <w:lang w:val="en-AU"/>
        </w:rPr>
        <w:t xml:space="preserve"> also inconsistent recommendations within the EML to store certain items in ‘cool storage” (</w:t>
      </w:r>
      <w:r w:rsidR="005C4C94" w:rsidRPr="00E27200">
        <w:rPr>
          <w:lang w:val="en-AU"/>
        </w:rPr>
        <w:t>e.g.</w:t>
      </w:r>
      <w:r w:rsidRPr="00E27200">
        <w:rPr>
          <w:lang w:val="en-AU"/>
        </w:rPr>
        <w:t xml:space="preserve"> amoxicillin/chloramphenicol capsules, antibiotic eye ointment, atropine injection) while most </w:t>
      </w:r>
      <w:r w:rsidR="00724DC2">
        <w:rPr>
          <w:lang w:val="en-AU"/>
        </w:rPr>
        <w:t>medicine</w:t>
      </w:r>
      <w:r w:rsidRPr="00E27200">
        <w:rPr>
          <w:lang w:val="en-AU"/>
        </w:rPr>
        <w:t xml:space="preserve">s would </w:t>
      </w:r>
      <w:r w:rsidRPr="00A90CD5">
        <w:rPr>
          <w:lang w:val="en-AU"/>
        </w:rPr>
        <w:t>need to be stored in ‘cool’ conditions. Note that only 57% of HFs had adequate active methods for cooling (</w:t>
      </w:r>
      <w:r w:rsidR="005C4C94" w:rsidRPr="00A90CD5">
        <w:rPr>
          <w:lang w:val="en-AU"/>
        </w:rPr>
        <w:t>e.g.</w:t>
      </w:r>
      <w:r w:rsidRPr="00A90CD5">
        <w:rPr>
          <w:lang w:val="en-AU"/>
        </w:rPr>
        <w:t xml:space="preserve"> fans)</w:t>
      </w:r>
      <w:r w:rsidR="00A44EB3" w:rsidRPr="00A90CD5">
        <w:rPr>
          <w:lang w:val="en-AU"/>
        </w:rPr>
        <w:t>.</w:t>
      </w:r>
    </w:p>
    <w:p w14:paraId="5C3A99FA" w14:textId="77777777" w:rsidR="0090131E" w:rsidRPr="00A90CD5" w:rsidRDefault="0090131E" w:rsidP="00560C1E">
      <w:pPr>
        <w:ind w:right="-472"/>
        <w:rPr>
          <w:lang w:val="en-AU"/>
        </w:rPr>
      </w:pPr>
    </w:p>
    <w:p w14:paraId="4F31FA6A" w14:textId="77777777" w:rsidR="00AA463A" w:rsidRPr="00A90CD5" w:rsidRDefault="00A86257" w:rsidP="00C16F04">
      <w:pPr>
        <w:ind w:right="95"/>
        <w:rPr>
          <w:lang w:val="en-AU"/>
        </w:rPr>
      </w:pPr>
      <w:r w:rsidRPr="00A90CD5">
        <w:rPr>
          <w:lang w:val="en-AU"/>
        </w:rPr>
        <w:t>One example of the impact of inadequate storage infrastructure is seen i</w:t>
      </w:r>
      <w:r w:rsidR="0090131E" w:rsidRPr="00A90CD5">
        <w:rPr>
          <w:lang w:val="en-AU"/>
        </w:rPr>
        <w:t xml:space="preserve">n </w:t>
      </w:r>
      <w:proofErr w:type="spellStart"/>
      <w:r w:rsidR="0090131E" w:rsidRPr="00A90CD5">
        <w:rPr>
          <w:lang w:val="en-AU"/>
        </w:rPr>
        <w:t>Garuhi</w:t>
      </w:r>
      <w:proofErr w:type="spellEnd"/>
      <w:r w:rsidR="0090131E" w:rsidRPr="00A90CD5">
        <w:rPr>
          <w:lang w:val="en-AU"/>
        </w:rPr>
        <w:t xml:space="preserve"> HC (Milne Bay)</w:t>
      </w:r>
      <w:r w:rsidR="00A44EB3" w:rsidRPr="00A90CD5">
        <w:rPr>
          <w:lang w:val="en-AU"/>
        </w:rPr>
        <w:t xml:space="preserve">, where staff </w:t>
      </w:r>
      <w:r w:rsidR="0090131E" w:rsidRPr="00A90CD5">
        <w:rPr>
          <w:lang w:val="en-AU"/>
        </w:rPr>
        <w:t xml:space="preserve">had been using a large building to house </w:t>
      </w:r>
      <w:r w:rsidR="00A44EB3" w:rsidRPr="00A90CD5">
        <w:rPr>
          <w:lang w:val="en-AU"/>
        </w:rPr>
        <w:t>100%</w:t>
      </w:r>
      <w:r w:rsidR="0090131E" w:rsidRPr="00A90CD5">
        <w:rPr>
          <w:lang w:val="en-AU"/>
        </w:rPr>
        <w:t xml:space="preserve"> kit medicines until </w:t>
      </w:r>
      <w:r w:rsidR="00A44EB3" w:rsidRPr="00A90CD5">
        <w:rPr>
          <w:lang w:val="en-AU"/>
        </w:rPr>
        <w:t>a</w:t>
      </w:r>
      <w:r w:rsidR="0090131E" w:rsidRPr="00A90CD5">
        <w:rPr>
          <w:lang w:val="en-AU"/>
        </w:rPr>
        <w:t xml:space="preserve"> new HC was opened. Unfortunately </w:t>
      </w:r>
      <w:r w:rsidR="00A44EB3" w:rsidRPr="00A90CD5">
        <w:rPr>
          <w:lang w:val="en-AU"/>
        </w:rPr>
        <w:t>staff reported there</w:t>
      </w:r>
      <w:r w:rsidR="0090131E" w:rsidRPr="00A90CD5">
        <w:rPr>
          <w:lang w:val="en-AU"/>
        </w:rPr>
        <w:t xml:space="preserve"> will not be enough space in the new HC </w:t>
      </w:r>
      <w:r w:rsidR="00A44EB3" w:rsidRPr="00A90CD5">
        <w:rPr>
          <w:lang w:val="en-AU"/>
        </w:rPr>
        <w:t xml:space="preserve">for storage, implying that </w:t>
      </w:r>
      <w:r w:rsidR="0090131E" w:rsidRPr="00A90CD5">
        <w:rPr>
          <w:lang w:val="en-AU"/>
        </w:rPr>
        <w:t xml:space="preserve">during the design of this new HC, little consultation was done with </w:t>
      </w:r>
      <w:r w:rsidR="00A44EB3" w:rsidRPr="00A90CD5">
        <w:rPr>
          <w:lang w:val="en-AU"/>
        </w:rPr>
        <w:t>medicines</w:t>
      </w:r>
      <w:r w:rsidR="0090131E" w:rsidRPr="00A90CD5">
        <w:rPr>
          <w:lang w:val="en-AU"/>
        </w:rPr>
        <w:t xml:space="preserve"> supply</w:t>
      </w:r>
      <w:r w:rsidR="00A44EB3" w:rsidRPr="00A90CD5">
        <w:rPr>
          <w:lang w:val="en-AU"/>
        </w:rPr>
        <w:t xml:space="preserve"> or</w:t>
      </w:r>
      <w:r w:rsidR="0090131E" w:rsidRPr="00A90CD5">
        <w:rPr>
          <w:lang w:val="en-AU"/>
        </w:rPr>
        <w:t xml:space="preserve"> storage in mind. </w:t>
      </w:r>
      <w:r w:rsidR="00AA463A" w:rsidRPr="00A90CD5">
        <w:rPr>
          <w:lang w:val="en-AU"/>
        </w:rPr>
        <w:t xml:space="preserve"> </w:t>
      </w:r>
    </w:p>
    <w:p w14:paraId="4B60923E" w14:textId="77777777" w:rsidR="00AA463A" w:rsidRPr="00A90CD5" w:rsidRDefault="00AA463A" w:rsidP="00C16F04">
      <w:pPr>
        <w:ind w:right="95"/>
        <w:rPr>
          <w:lang w:val="en-AU"/>
        </w:rPr>
      </w:pPr>
    </w:p>
    <w:p w14:paraId="25708812" w14:textId="389D1A56" w:rsidR="0090131E" w:rsidRPr="00A90CD5" w:rsidRDefault="00AA463A" w:rsidP="00851881">
      <w:pPr>
        <w:ind w:right="95"/>
        <w:rPr>
          <w:lang w:val="en-AU"/>
        </w:rPr>
      </w:pPr>
      <w:r w:rsidRPr="00A90CD5">
        <w:rPr>
          <w:lang w:val="en-AU"/>
        </w:rPr>
        <w:t xml:space="preserve">Additional detail is available in Annex </w:t>
      </w:r>
      <w:r w:rsidR="00F00D3A" w:rsidRPr="00A90CD5">
        <w:rPr>
          <w:lang w:val="en-AU"/>
        </w:rPr>
        <w:t>1</w:t>
      </w:r>
      <w:r w:rsidR="004C0CAF" w:rsidRPr="00A90CD5">
        <w:rPr>
          <w:lang w:val="en-AU"/>
        </w:rPr>
        <w:t>1</w:t>
      </w:r>
      <w:r w:rsidRPr="00A90CD5">
        <w:rPr>
          <w:lang w:val="en-AU"/>
        </w:rPr>
        <w:t>.2</w:t>
      </w:r>
    </w:p>
    <w:p w14:paraId="6920D5E1" w14:textId="77777777" w:rsidR="009D4227" w:rsidRPr="00A90CD5" w:rsidRDefault="009D4227" w:rsidP="007D6333">
      <w:pPr>
        <w:ind w:right="-472"/>
        <w:rPr>
          <w:lang w:val="en-AU"/>
        </w:rPr>
      </w:pPr>
    </w:p>
    <w:p w14:paraId="2BBA138C" w14:textId="77777777" w:rsidR="0090131E" w:rsidRPr="00A90CD5" w:rsidRDefault="0090131E" w:rsidP="00A44EB3">
      <w:pPr>
        <w:pStyle w:val="Heading2"/>
      </w:pPr>
      <w:bookmarkStart w:id="104" w:name="_Toc245621431"/>
      <w:bookmarkStart w:id="105" w:name="_Toc245810758"/>
      <w:r w:rsidRPr="00A90CD5">
        <w:t>Disposal of expired or unwanted medicine</w:t>
      </w:r>
      <w:r w:rsidR="00A44EB3" w:rsidRPr="00A90CD5">
        <w:t>s</w:t>
      </w:r>
      <w:bookmarkEnd w:id="104"/>
      <w:bookmarkEnd w:id="105"/>
    </w:p>
    <w:p w14:paraId="1C8CB089" w14:textId="77777777" w:rsidR="0090131E" w:rsidRPr="00A90CD5" w:rsidRDefault="0090131E" w:rsidP="00A44EB3">
      <w:pPr>
        <w:ind w:right="-46"/>
        <w:rPr>
          <w:lang w:val="en-AU"/>
        </w:rPr>
      </w:pPr>
      <w:r w:rsidRPr="00A90CD5">
        <w:rPr>
          <w:lang w:val="en-AU"/>
        </w:rPr>
        <w:t>The current draft o</w:t>
      </w:r>
      <w:r w:rsidR="00A44EB3" w:rsidRPr="00A90CD5">
        <w:rPr>
          <w:lang w:val="en-AU"/>
        </w:rPr>
        <w:t>f the National Medicines Policy, in regard</w:t>
      </w:r>
      <w:r w:rsidRPr="00A90CD5">
        <w:rPr>
          <w:lang w:val="en-AU"/>
        </w:rPr>
        <w:t xml:space="preserve"> disposal of expired and unwanted medicines states “expired and unwanted medicines shall be disposed of safely to minimize hazard to the community and environment” and “the Department of Health will establish incinerators for Area Medical Stores and major provincial hospitals for safe disposal of medicines and medical supplies”. This is yet to eventuate and most health staff voiced concerns with inadequate methods to dispose of medical supplies. </w:t>
      </w:r>
    </w:p>
    <w:p w14:paraId="5C5D46F8" w14:textId="77777777" w:rsidR="00A44EB3" w:rsidRPr="00A90CD5" w:rsidRDefault="00A44EB3" w:rsidP="00A44EB3">
      <w:pPr>
        <w:ind w:right="-46"/>
        <w:rPr>
          <w:lang w:val="en-AU"/>
        </w:rPr>
      </w:pPr>
    </w:p>
    <w:p w14:paraId="017871B6" w14:textId="31F9773A" w:rsidR="009D4227" w:rsidRDefault="0090131E" w:rsidP="00F47C7D">
      <w:pPr>
        <w:rPr>
          <w:lang w:val="en-AU"/>
        </w:rPr>
      </w:pPr>
      <w:r w:rsidRPr="00A90CD5">
        <w:rPr>
          <w:lang w:val="en-AU"/>
        </w:rPr>
        <w:t xml:space="preserve">Expired </w:t>
      </w:r>
      <w:proofErr w:type="gramStart"/>
      <w:r w:rsidRPr="00A90CD5">
        <w:rPr>
          <w:lang w:val="en-AU"/>
        </w:rPr>
        <w:t>stock were</w:t>
      </w:r>
      <w:proofErr w:type="gramEnd"/>
      <w:r w:rsidRPr="00A90CD5">
        <w:rPr>
          <w:lang w:val="en-AU"/>
        </w:rPr>
        <w:t xml:space="preserve"> generally seen at HFs </w:t>
      </w:r>
      <w:r w:rsidR="00A44EB3" w:rsidRPr="00A90CD5">
        <w:rPr>
          <w:lang w:val="en-AU"/>
        </w:rPr>
        <w:t xml:space="preserve">(as recorded in this survey) </w:t>
      </w:r>
      <w:r w:rsidR="00CD7C51" w:rsidRPr="00A90CD5">
        <w:rPr>
          <w:lang w:val="en-AU"/>
        </w:rPr>
        <w:t xml:space="preserve">and </w:t>
      </w:r>
      <w:r w:rsidR="00A44EB3" w:rsidRPr="00A90CD5">
        <w:rPr>
          <w:lang w:val="en-AU"/>
        </w:rPr>
        <w:t xml:space="preserve">were seen to be left to one side for </w:t>
      </w:r>
      <w:r w:rsidRPr="00A90CD5">
        <w:rPr>
          <w:lang w:val="en-AU"/>
        </w:rPr>
        <w:t>disposal</w:t>
      </w:r>
      <w:r w:rsidR="00A44EB3" w:rsidRPr="00A90CD5">
        <w:rPr>
          <w:lang w:val="en-AU"/>
        </w:rPr>
        <w:t>, with some stocks accumulating to a significant degree</w:t>
      </w:r>
      <w:r w:rsidRPr="00A90CD5">
        <w:rPr>
          <w:lang w:val="en-AU"/>
        </w:rPr>
        <w:t>.</w:t>
      </w:r>
      <w:r w:rsidRPr="00E27200">
        <w:rPr>
          <w:lang w:val="en-AU"/>
        </w:rPr>
        <w:t xml:space="preserve"> </w:t>
      </w:r>
      <w:r w:rsidR="009D4227">
        <w:rPr>
          <w:lang w:val="en-AU"/>
        </w:rPr>
        <w:t xml:space="preserve"> </w:t>
      </w:r>
    </w:p>
    <w:p w14:paraId="04AF0FE3" w14:textId="77777777" w:rsidR="009D4227" w:rsidRDefault="009D4227" w:rsidP="00F47C7D">
      <w:pPr>
        <w:rPr>
          <w:lang w:val="en-AU"/>
        </w:rPr>
      </w:pPr>
    </w:p>
    <w:p w14:paraId="4B0136DB" w14:textId="5CC71432" w:rsidR="00F47C7D" w:rsidRDefault="00F47C7D" w:rsidP="00F47C7D">
      <w:pPr>
        <w:rPr>
          <w:lang w:val="en-AU"/>
        </w:rPr>
      </w:pPr>
      <w:r w:rsidRPr="00E27200">
        <w:rPr>
          <w:lang w:val="en-AU"/>
        </w:rPr>
        <w:t xml:space="preserve">Health managers reported (full analysis in Annex </w:t>
      </w:r>
      <w:r w:rsidR="00F00D3A">
        <w:rPr>
          <w:lang w:val="en-AU"/>
        </w:rPr>
        <w:t>1</w:t>
      </w:r>
      <w:r w:rsidR="00851881">
        <w:rPr>
          <w:lang w:val="en-AU"/>
        </w:rPr>
        <w:t>1</w:t>
      </w:r>
      <w:r w:rsidRPr="00E27200">
        <w:rPr>
          <w:lang w:val="en-AU"/>
        </w:rPr>
        <w:t>.4.) that the disposal of medicines was a problem</w:t>
      </w:r>
      <w:r w:rsidR="002E739C">
        <w:rPr>
          <w:lang w:val="en-AU"/>
        </w:rPr>
        <w:t xml:space="preserve">, especially where </w:t>
      </w:r>
      <w:r w:rsidRPr="00E27200">
        <w:rPr>
          <w:lang w:val="en-AU"/>
        </w:rPr>
        <w:t xml:space="preserve">there were no incinerators available to dispose of expired medicines safely. Health care workers were </w:t>
      </w:r>
      <w:r w:rsidR="00603CED">
        <w:rPr>
          <w:lang w:val="en-AU"/>
        </w:rPr>
        <w:t xml:space="preserve">often </w:t>
      </w:r>
      <w:r w:rsidRPr="00E27200">
        <w:rPr>
          <w:lang w:val="en-AU"/>
        </w:rPr>
        <w:t xml:space="preserve">disposing of medicines by digging a pit in the ground or by burning the waste. Furthermore, medicines were </w:t>
      </w:r>
      <w:r w:rsidR="00851881">
        <w:rPr>
          <w:lang w:val="en-AU"/>
        </w:rPr>
        <w:t>sometimes reported as being</w:t>
      </w:r>
      <w:r w:rsidR="00851881" w:rsidRPr="00E27200">
        <w:rPr>
          <w:lang w:val="en-AU"/>
        </w:rPr>
        <w:t xml:space="preserve"> </w:t>
      </w:r>
      <w:r w:rsidRPr="00E27200">
        <w:rPr>
          <w:lang w:val="en-AU"/>
        </w:rPr>
        <w:t xml:space="preserve">left outside the health facility, as there was not enough space to store the supplies properly, </w:t>
      </w:r>
      <w:r w:rsidR="00471F43">
        <w:t>subject</w:t>
      </w:r>
      <w:r w:rsidR="00BD41D8">
        <w:t>ing them</w:t>
      </w:r>
      <w:r w:rsidR="00471F43">
        <w:t xml:space="preserve"> to</w:t>
      </w:r>
      <w:r w:rsidR="00BD41D8">
        <w:t xml:space="preserve"> the risk of</w:t>
      </w:r>
      <w:r w:rsidR="00471F43">
        <w:t xml:space="preserve"> </w:t>
      </w:r>
      <w:r w:rsidR="002E739C">
        <w:t xml:space="preserve">damage or </w:t>
      </w:r>
      <w:r w:rsidR="00471F43">
        <w:t>theft</w:t>
      </w:r>
      <w:r w:rsidRPr="00E27200">
        <w:rPr>
          <w:lang w:val="en-AU"/>
        </w:rPr>
        <w:t>.</w:t>
      </w:r>
    </w:p>
    <w:p w14:paraId="08A24829" w14:textId="77777777" w:rsidR="00A44EB3" w:rsidRDefault="00A44EB3" w:rsidP="00F47C7D">
      <w:pPr>
        <w:rPr>
          <w:lang w:val="en-AU"/>
        </w:rPr>
      </w:pPr>
    </w:p>
    <w:p w14:paraId="54B703E4" w14:textId="77777777" w:rsidR="00827EC3" w:rsidRPr="00E27200" w:rsidRDefault="00A44EB3" w:rsidP="00C24F01">
      <w:pPr>
        <w:rPr>
          <w:lang w:val="en-AU"/>
        </w:rPr>
      </w:pPr>
      <w:r>
        <w:rPr>
          <w:lang w:val="en-AU"/>
        </w:rPr>
        <w:t xml:space="preserve">The issue of disposal is driven as well, by the contributors to over-supply, as noted in earlier sections of this report, including errors in quantification, provision of items that are unable to be used at certain levels (either through absence of authority or training), and the </w:t>
      </w:r>
      <w:r w:rsidR="009D4227">
        <w:rPr>
          <w:lang w:val="en-AU"/>
        </w:rPr>
        <w:t>‘push’ distribution procedure that means consignments cannot be split prior to delivery.</w:t>
      </w:r>
    </w:p>
    <w:p w14:paraId="74714595" w14:textId="77777777" w:rsidR="0090131E" w:rsidRPr="00E27200" w:rsidRDefault="0090131E" w:rsidP="00E16C77">
      <w:pPr>
        <w:rPr>
          <w:rFonts w:cs="Times New Roman"/>
          <w:b/>
          <w:bCs/>
          <w:spacing w:val="-10"/>
          <w:kern w:val="28"/>
          <w:sz w:val="36"/>
          <w:szCs w:val="36"/>
          <w:lang w:val="en-AU" w:eastAsia="en-AU"/>
        </w:rPr>
      </w:pPr>
      <w:r w:rsidRPr="00E27200">
        <w:rPr>
          <w:lang w:val="en-AU"/>
        </w:rPr>
        <w:br w:type="page"/>
      </w:r>
    </w:p>
    <w:p w14:paraId="388758AB" w14:textId="44D17A19" w:rsidR="002C48C2" w:rsidRDefault="00607C00" w:rsidP="00E16C77">
      <w:pPr>
        <w:pStyle w:val="Heading1"/>
      </w:pPr>
      <w:bookmarkStart w:id="106" w:name="_Toc245810759"/>
      <w:r w:rsidRPr="00E27200">
        <w:lastRenderedPageBreak/>
        <w:t>Findings: c</w:t>
      </w:r>
      <w:r w:rsidR="002C48C2" w:rsidRPr="00E27200">
        <w:t>ommunity engagement</w:t>
      </w:r>
      <w:bookmarkEnd w:id="106"/>
    </w:p>
    <w:p w14:paraId="3B61758F" w14:textId="57446790" w:rsidR="0069282E" w:rsidRDefault="0069282E" w:rsidP="003C0DA8">
      <w:pPr>
        <w:ind w:left="360"/>
      </w:pPr>
      <w:r w:rsidRPr="00E27200">
        <w:rPr>
          <w:b/>
          <w:i/>
          <w:lang w:val="en-AU"/>
        </w:rPr>
        <w:t xml:space="preserve">Key finding: </w:t>
      </w:r>
      <w:r w:rsidR="003C0DA8">
        <w:rPr>
          <w:i/>
          <w:lang w:val="en-AU"/>
        </w:rPr>
        <w:t xml:space="preserve">There is evidence that </w:t>
      </w:r>
      <w:r w:rsidR="002B7C19">
        <w:rPr>
          <w:i/>
          <w:lang w:val="en-AU"/>
        </w:rPr>
        <w:t xml:space="preserve">some </w:t>
      </w:r>
      <w:r w:rsidR="003C0DA8">
        <w:rPr>
          <w:i/>
          <w:lang w:val="en-AU"/>
        </w:rPr>
        <w:t>community members find medicines more accessible</w:t>
      </w:r>
      <w:r w:rsidR="002B7C19">
        <w:rPr>
          <w:i/>
          <w:lang w:val="en-AU"/>
        </w:rPr>
        <w:t>, that more consistent supply has increased community trust, and that kit distributions help reduce community costs,</w:t>
      </w:r>
      <w:r w:rsidR="003C0DA8">
        <w:rPr>
          <w:i/>
          <w:lang w:val="en-AU"/>
        </w:rPr>
        <w:t xml:space="preserve"> </w:t>
      </w:r>
      <w:r w:rsidR="002B7C19">
        <w:rPr>
          <w:i/>
          <w:lang w:val="en-AU"/>
        </w:rPr>
        <w:t xml:space="preserve">with </w:t>
      </w:r>
      <w:r w:rsidR="003C0DA8">
        <w:rPr>
          <w:i/>
          <w:lang w:val="en-AU"/>
        </w:rPr>
        <w:t xml:space="preserve">benchmarks </w:t>
      </w:r>
      <w:r w:rsidR="002B7C19">
        <w:rPr>
          <w:i/>
          <w:lang w:val="en-AU"/>
        </w:rPr>
        <w:t>now</w:t>
      </w:r>
      <w:r w:rsidR="003C0DA8">
        <w:rPr>
          <w:i/>
          <w:lang w:val="en-AU"/>
        </w:rPr>
        <w:t xml:space="preserve"> measured for use in assessing future progress.</w:t>
      </w:r>
    </w:p>
    <w:p w14:paraId="24E7B5D5" w14:textId="77777777" w:rsidR="0069282E" w:rsidRPr="0069282E" w:rsidRDefault="0069282E" w:rsidP="0069282E"/>
    <w:p w14:paraId="68377FC6" w14:textId="77777777" w:rsidR="00495F37" w:rsidRPr="00E27200" w:rsidRDefault="00495F37" w:rsidP="00495F37">
      <w:pPr>
        <w:pStyle w:val="Heading2"/>
      </w:pPr>
      <w:bookmarkStart w:id="107" w:name="_Toc245621433"/>
      <w:bookmarkStart w:id="108" w:name="_Toc245810760"/>
      <w:r w:rsidRPr="00E27200">
        <w:t>Community perspectives on medicines availability</w:t>
      </w:r>
      <w:bookmarkEnd w:id="107"/>
      <w:bookmarkEnd w:id="108"/>
    </w:p>
    <w:p w14:paraId="342DAF23" w14:textId="67132437" w:rsidR="003B1702" w:rsidRDefault="003B1702" w:rsidP="003B1702">
      <w:pPr>
        <w:ind w:right="95"/>
        <w:rPr>
          <w:lang w:val="en-AU"/>
        </w:rPr>
      </w:pPr>
      <w:r>
        <w:rPr>
          <w:lang w:val="en-AU"/>
        </w:rPr>
        <w:t>Qualitative findings from</w:t>
      </w:r>
      <w:r w:rsidR="00100BC9">
        <w:rPr>
          <w:lang w:val="en-AU"/>
        </w:rPr>
        <w:t xml:space="preserve"> interviews with</w:t>
      </w:r>
      <w:r>
        <w:rPr>
          <w:lang w:val="en-AU"/>
        </w:rPr>
        <w:t xml:space="preserve"> HF staff, especially from more remote facilities, suggested that community members were aware of the boost to medical supplies represented </w:t>
      </w:r>
      <w:r w:rsidR="00100BC9">
        <w:rPr>
          <w:lang w:val="en-AU"/>
        </w:rPr>
        <w:t>by delivery of kits in the ‘push’ system, and the evaluation team observed some instances of this in favourable interactions with community groups such as local management committees of APs. Some HF staff reported that the ‘GoPNG’ badging on medicines was recognised, and some staff also reported that some patients perceived the consistently labelled 100% kit medicines as being of higher quality.</w:t>
      </w:r>
      <w:r w:rsidR="00693B89">
        <w:rPr>
          <w:lang w:val="en-AU"/>
        </w:rPr>
        <w:t xml:space="preserve"> A number of HF</w:t>
      </w:r>
      <w:r w:rsidR="00BD41D8">
        <w:rPr>
          <w:lang w:val="en-AU"/>
        </w:rPr>
        <w:t xml:space="preserve"> staff</w:t>
      </w:r>
      <w:r w:rsidR="00693B89">
        <w:rPr>
          <w:lang w:val="en-AU"/>
        </w:rPr>
        <w:t xml:space="preserve"> provide</w:t>
      </w:r>
      <w:r w:rsidR="00BD41D8">
        <w:rPr>
          <w:lang w:val="en-AU"/>
        </w:rPr>
        <w:t>d</w:t>
      </w:r>
      <w:r w:rsidR="00693B89">
        <w:rPr>
          <w:lang w:val="en-AU"/>
        </w:rPr>
        <w:t xml:space="preserve"> observations suggesting increased community trust in facilities as a result of greater availability of </w:t>
      </w:r>
      <w:r w:rsidR="008A1CBD">
        <w:rPr>
          <w:lang w:val="en-AU"/>
        </w:rPr>
        <w:t>treatment</w:t>
      </w:r>
      <w:r w:rsidR="00693B89">
        <w:rPr>
          <w:lang w:val="en-AU"/>
        </w:rPr>
        <w:t xml:space="preserve">, resulting from </w:t>
      </w:r>
      <w:r w:rsidR="008A1CBD">
        <w:rPr>
          <w:lang w:val="en-AU"/>
        </w:rPr>
        <w:t xml:space="preserve">improved medicines supply. </w:t>
      </w:r>
    </w:p>
    <w:p w14:paraId="57A4B43F" w14:textId="77777777" w:rsidR="00100BC9" w:rsidRDefault="00100BC9" w:rsidP="003B1702">
      <w:pPr>
        <w:ind w:right="95"/>
        <w:rPr>
          <w:lang w:val="en-AU"/>
        </w:rPr>
      </w:pPr>
    </w:p>
    <w:p w14:paraId="64A3A941" w14:textId="77777777" w:rsidR="0090131E" w:rsidRPr="00E27200" w:rsidRDefault="00B27872" w:rsidP="003B1702">
      <w:pPr>
        <w:ind w:right="95"/>
        <w:rPr>
          <w:lang w:val="en-AU"/>
        </w:rPr>
      </w:pPr>
      <w:r>
        <w:rPr>
          <w:lang w:val="en-AU"/>
        </w:rPr>
        <w:t xml:space="preserve">The HF survey attempted to assess patient perspectives during interviews with 487 outpatient clients, while assessing prescriptions. This question asked the patient’s perception of the recent (only over the past three months) trend in ease of accessing medical supplies. Overall, </w:t>
      </w:r>
      <w:r w:rsidR="0090131E" w:rsidRPr="00E27200">
        <w:rPr>
          <w:lang w:val="en-AU"/>
        </w:rPr>
        <w:t>39% of patients reported the</w:t>
      </w:r>
      <w:r w:rsidR="003B1702">
        <w:rPr>
          <w:lang w:val="en-AU"/>
        </w:rPr>
        <w:t>ir perspective that</w:t>
      </w:r>
      <w:r w:rsidR="0090131E" w:rsidRPr="00E27200">
        <w:rPr>
          <w:lang w:val="en-AU"/>
        </w:rPr>
        <w:t xml:space="preserve"> access to medicines in the last 3 months had been better.  </w:t>
      </w:r>
      <w:r>
        <w:rPr>
          <w:lang w:val="en-AU"/>
        </w:rPr>
        <w:t>Potential bias in these responses should be noted, both that due to a possible desire to please the interviewer, and that these questions were asked of community members who had already successfully accessed a HF and received treatment.</w:t>
      </w:r>
    </w:p>
    <w:p w14:paraId="75A110AE" w14:textId="77777777" w:rsidR="0090131E" w:rsidRDefault="0090131E" w:rsidP="003B1702">
      <w:pPr>
        <w:ind w:right="-472"/>
        <w:rPr>
          <w:b/>
          <w:lang w:val="en-AU"/>
        </w:rPr>
      </w:pPr>
    </w:p>
    <w:p w14:paraId="3F09DCE5" w14:textId="733AC139" w:rsidR="003B1702" w:rsidRPr="003B1702" w:rsidRDefault="003B1702" w:rsidP="003B1702">
      <w:pPr>
        <w:ind w:right="-472"/>
        <w:rPr>
          <w:b/>
          <w:lang w:val="en-AU"/>
        </w:rPr>
      </w:pPr>
      <w:r w:rsidRPr="00A90CD5">
        <w:rPr>
          <w:b/>
          <w:lang w:val="en-AU"/>
        </w:rPr>
        <w:t>Table 1</w:t>
      </w:r>
      <w:r w:rsidR="004A1CA0" w:rsidRPr="00A90CD5">
        <w:rPr>
          <w:b/>
          <w:lang w:val="en-AU"/>
        </w:rPr>
        <w:t>4</w:t>
      </w:r>
      <w:r w:rsidRPr="00A90CD5">
        <w:rPr>
          <w:b/>
          <w:lang w:val="en-AU"/>
        </w:rPr>
        <w:t xml:space="preserve">: </w:t>
      </w:r>
      <w:r w:rsidR="00B27872" w:rsidRPr="00A90CD5">
        <w:rPr>
          <w:b/>
          <w:lang w:val="en-AU"/>
        </w:rPr>
        <w:t xml:space="preserve">Community </w:t>
      </w:r>
      <w:r w:rsidR="00851881" w:rsidRPr="00A90CD5">
        <w:rPr>
          <w:b/>
          <w:lang w:val="en-AU"/>
        </w:rPr>
        <w:t xml:space="preserve">opinions </w:t>
      </w:r>
      <w:r w:rsidR="00B27872" w:rsidRPr="00A90CD5">
        <w:rPr>
          <w:b/>
          <w:lang w:val="en-AU"/>
        </w:rPr>
        <w:t>on trends in access to medicines</w:t>
      </w:r>
    </w:p>
    <w:tbl>
      <w:tblPr>
        <w:tblStyle w:val="TableGrid"/>
        <w:tblW w:w="3402" w:type="dxa"/>
        <w:tblInd w:w="108" w:type="dxa"/>
        <w:tblLook w:val="04A0" w:firstRow="1" w:lastRow="0" w:firstColumn="1" w:lastColumn="0" w:noHBand="0" w:noVBand="1"/>
      </w:tblPr>
      <w:tblGrid>
        <w:gridCol w:w="986"/>
        <w:gridCol w:w="551"/>
        <w:gridCol w:w="1865"/>
      </w:tblGrid>
      <w:tr w:rsidR="0090131E" w:rsidRPr="00E27200" w14:paraId="63832CE0" w14:textId="77777777">
        <w:trPr>
          <w:trHeight w:val="645"/>
        </w:trPr>
        <w:tc>
          <w:tcPr>
            <w:tcW w:w="986" w:type="dxa"/>
            <w:vAlign w:val="center"/>
          </w:tcPr>
          <w:p w14:paraId="786C166E" w14:textId="77777777" w:rsidR="0090131E" w:rsidRPr="00E27200" w:rsidRDefault="0090131E" w:rsidP="003B1702">
            <w:pPr>
              <w:rPr>
                <w:lang w:val="en-AU"/>
              </w:rPr>
            </w:pPr>
          </w:p>
        </w:tc>
        <w:tc>
          <w:tcPr>
            <w:tcW w:w="551" w:type="dxa"/>
            <w:vAlign w:val="center"/>
          </w:tcPr>
          <w:p w14:paraId="65A5609C" w14:textId="77777777" w:rsidR="0090131E" w:rsidRPr="00E27200" w:rsidRDefault="0090131E" w:rsidP="003B1702">
            <w:pPr>
              <w:rPr>
                <w:lang w:val="en-AU"/>
              </w:rPr>
            </w:pPr>
            <w:r w:rsidRPr="00E27200">
              <w:rPr>
                <w:lang w:val="en-AU"/>
              </w:rPr>
              <w:t>N</w:t>
            </w:r>
          </w:p>
        </w:tc>
        <w:tc>
          <w:tcPr>
            <w:tcW w:w="1865" w:type="dxa"/>
            <w:vAlign w:val="center"/>
          </w:tcPr>
          <w:p w14:paraId="14783B2F" w14:textId="77777777" w:rsidR="0090131E" w:rsidRPr="00E27200" w:rsidRDefault="0090131E" w:rsidP="003B1702">
            <w:pPr>
              <w:rPr>
                <w:lang w:val="en-AU"/>
              </w:rPr>
            </w:pPr>
            <w:r w:rsidRPr="00E27200">
              <w:rPr>
                <w:lang w:val="en-AU"/>
              </w:rPr>
              <w:t>Access to medicine in last 3</w:t>
            </w:r>
            <w:r w:rsidR="003B1702">
              <w:rPr>
                <w:lang w:val="en-AU"/>
              </w:rPr>
              <w:t xml:space="preserve"> </w:t>
            </w:r>
            <w:proofErr w:type="spellStart"/>
            <w:r w:rsidRPr="00E27200">
              <w:rPr>
                <w:lang w:val="en-AU"/>
              </w:rPr>
              <w:t>mth</w:t>
            </w:r>
            <w:proofErr w:type="spellEnd"/>
            <w:r w:rsidRPr="00E27200">
              <w:rPr>
                <w:lang w:val="en-AU"/>
              </w:rPr>
              <w:t xml:space="preserve"> </w:t>
            </w:r>
            <w:r w:rsidR="003B1702">
              <w:rPr>
                <w:lang w:val="en-AU"/>
              </w:rPr>
              <w:t xml:space="preserve">is </w:t>
            </w:r>
            <w:r w:rsidRPr="00E27200">
              <w:rPr>
                <w:lang w:val="en-AU"/>
              </w:rPr>
              <w:t>(%)</w:t>
            </w:r>
          </w:p>
        </w:tc>
      </w:tr>
      <w:tr w:rsidR="0090131E" w:rsidRPr="00E27200" w14:paraId="2B2B49A0" w14:textId="77777777">
        <w:tc>
          <w:tcPr>
            <w:tcW w:w="986" w:type="dxa"/>
            <w:vAlign w:val="center"/>
          </w:tcPr>
          <w:p w14:paraId="3A5D6D0F" w14:textId="77777777" w:rsidR="0090131E" w:rsidRPr="00E27200" w:rsidRDefault="0090131E" w:rsidP="003B1702">
            <w:pPr>
              <w:rPr>
                <w:lang w:val="en-AU"/>
              </w:rPr>
            </w:pPr>
            <w:r w:rsidRPr="00E27200">
              <w:rPr>
                <w:lang w:val="en-AU"/>
              </w:rPr>
              <w:t>Hospital</w:t>
            </w:r>
          </w:p>
        </w:tc>
        <w:tc>
          <w:tcPr>
            <w:tcW w:w="551" w:type="dxa"/>
            <w:vAlign w:val="center"/>
          </w:tcPr>
          <w:p w14:paraId="2D2DB091" w14:textId="77777777" w:rsidR="0090131E" w:rsidRPr="00E27200" w:rsidRDefault="0090131E" w:rsidP="003B1702">
            <w:pPr>
              <w:rPr>
                <w:lang w:val="en-AU"/>
              </w:rPr>
            </w:pPr>
            <w:r w:rsidRPr="00E27200">
              <w:rPr>
                <w:lang w:val="en-AU"/>
              </w:rPr>
              <w:t>87</w:t>
            </w:r>
          </w:p>
        </w:tc>
        <w:tc>
          <w:tcPr>
            <w:tcW w:w="1865" w:type="dxa"/>
            <w:vAlign w:val="center"/>
          </w:tcPr>
          <w:p w14:paraId="4CDB7587" w14:textId="77777777" w:rsidR="0090131E" w:rsidRPr="00E27200" w:rsidRDefault="0090131E" w:rsidP="003B1702">
            <w:pPr>
              <w:rPr>
                <w:lang w:val="en-AU"/>
              </w:rPr>
            </w:pPr>
            <w:r w:rsidRPr="00E27200">
              <w:rPr>
                <w:lang w:val="en-AU"/>
              </w:rPr>
              <w:t>better: 41%</w:t>
            </w:r>
          </w:p>
          <w:p w14:paraId="1A38A77E" w14:textId="77777777" w:rsidR="0090131E" w:rsidRPr="00E27200" w:rsidRDefault="0090131E" w:rsidP="003B1702">
            <w:pPr>
              <w:rPr>
                <w:lang w:val="en-AU"/>
              </w:rPr>
            </w:pPr>
            <w:r w:rsidRPr="00E27200">
              <w:rPr>
                <w:lang w:val="en-AU"/>
              </w:rPr>
              <w:t>worse: 13%</w:t>
            </w:r>
          </w:p>
          <w:p w14:paraId="0A7E5263" w14:textId="77777777" w:rsidR="0090131E" w:rsidRPr="00E27200" w:rsidRDefault="0090131E" w:rsidP="003B1702">
            <w:pPr>
              <w:rPr>
                <w:lang w:val="en-AU"/>
              </w:rPr>
            </w:pPr>
            <w:r w:rsidRPr="00E27200">
              <w:rPr>
                <w:lang w:val="en-AU"/>
              </w:rPr>
              <w:t>same: 46%</w:t>
            </w:r>
          </w:p>
        </w:tc>
      </w:tr>
      <w:tr w:rsidR="0090131E" w:rsidRPr="00E27200" w14:paraId="00F0AA0D" w14:textId="77777777">
        <w:tc>
          <w:tcPr>
            <w:tcW w:w="986" w:type="dxa"/>
            <w:vAlign w:val="center"/>
          </w:tcPr>
          <w:p w14:paraId="36B458AA" w14:textId="77777777" w:rsidR="0090131E" w:rsidRPr="00E27200" w:rsidRDefault="0090131E" w:rsidP="003B1702">
            <w:pPr>
              <w:rPr>
                <w:lang w:val="en-AU"/>
              </w:rPr>
            </w:pPr>
            <w:r w:rsidRPr="00E27200">
              <w:rPr>
                <w:lang w:val="en-AU"/>
              </w:rPr>
              <w:t>HC/SC</w:t>
            </w:r>
          </w:p>
        </w:tc>
        <w:tc>
          <w:tcPr>
            <w:tcW w:w="551" w:type="dxa"/>
            <w:vAlign w:val="center"/>
          </w:tcPr>
          <w:p w14:paraId="3FBA4DEC" w14:textId="77777777" w:rsidR="0090131E" w:rsidRPr="00E27200" w:rsidRDefault="0090131E" w:rsidP="003B1702">
            <w:pPr>
              <w:rPr>
                <w:lang w:val="en-AU"/>
              </w:rPr>
            </w:pPr>
            <w:r w:rsidRPr="00E27200">
              <w:rPr>
                <w:lang w:val="en-AU"/>
              </w:rPr>
              <w:t>297</w:t>
            </w:r>
          </w:p>
        </w:tc>
        <w:tc>
          <w:tcPr>
            <w:tcW w:w="1865" w:type="dxa"/>
            <w:vAlign w:val="center"/>
          </w:tcPr>
          <w:p w14:paraId="694C1A3E" w14:textId="77777777" w:rsidR="0090131E" w:rsidRPr="00E27200" w:rsidRDefault="0090131E" w:rsidP="003B1702">
            <w:pPr>
              <w:rPr>
                <w:lang w:val="en-AU"/>
              </w:rPr>
            </w:pPr>
            <w:r w:rsidRPr="00E27200">
              <w:rPr>
                <w:lang w:val="en-AU"/>
              </w:rPr>
              <w:t>better: 40%</w:t>
            </w:r>
          </w:p>
          <w:p w14:paraId="2797AF9D" w14:textId="77777777" w:rsidR="0090131E" w:rsidRPr="00E27200" w:rsidRDefault="0090131E" w:rsidP="003B1702">
            <w:pPr>
              <w:rPr>
                <w:lang w:val="en-AU"/>
              </w:rPr>
            </w:pPr>
            <w:r w:rsidRPr="00E27200">
              <w:rPr>
                <w:lang w:val="en-AU"/>
              </w:rPr>
              <w:t>worse: 9%</w:t>
            </w:r>
          </w:p>
          <w:p w14:paraId="0138F3E1" w14:textId="77777777" w:rsidR="0090131E" w:rsidRPr="00E27200" w:rsidRDefault="0090131E" w:rsidP="003B1702">
            <w:pPr>
              <w:rPr>
                <w:lang w:val="en-AU"/>
              </w:rPr>
            </w:pPr>
            <w:r w:rsidRPr="00E27200">
              <w:rPr>
                <w:lang w:val="en-AU"/>
              </w:rPr>
              <w:t>same: 50%</w:t>
            </w:r>
          </w:p>
        </w:tc>
      </w:tr>
      <w:tr w:rsidR="0090131E" w:rsidRPr="00E27200" w14:paraId="24A80EBB" w14:textId="77777777">
        <w:tc>
          <w:tcPr>
            <w:tcW w:w="986" w:type="dxa"/>
            <w:vAlign w:val="center"/>
          </w:tcPr>
          <w:p w14:paraId="2BB867C0" w14:textId="77777777" w:rsidR="0090131E" w:rsidRPr="00E27200" w:rsidRDefault="0090131E" w:rsidP="003B1702">
            <w:pPr>
              <w:rPr>
                <w:lang w:val="en-AU"/>
              </w:rPr>
            </w:pPr>
            <w:r w:rsidRPr="00E27200">
              <w:rPr>
                <w:lang w:val="en-AU"/>
              </w:rPr>
              <w:t>AP</w:t>
            </w:r>
          </w:p>
        </w:tc>
        <w:tc>
          <w:tcPr>
            <w:tcW w:w="551" w:type="dxa"/>
            <w:vAlign w:val="center"/>
          </w:tcPr>
          <w:p w14:paraId="5C710A79" w14:textId="77777777" w:rsidR="0090131E" w:rsidRPr="00E27200" w:rsidRDefault="0090131E" w:rsidP="003B1702">
            <w:pPr>
              <w:rPr>
                <w:lang w:val="en-AU"/>
              </w:rPr>
            </w:pPr>
            <w:r w:rsidRPr="00E27200">
              <w:rPr>
                <w:lang w:val="en-AU"/>
              </w:rPr>
              <w:t>103</w:t>
            </w:r>
          </w:p>
        </w:tc>
        <w:tc>
          <w:tcPr>
            <w:tcW w:w="1865" w:type="dxa"/>
            <w:vAlign w:val="center"/>
          </w:tcPr>
          <w:p w14:paraId="77ABADB7" w14:textId="77777777" w:rsidR="0090131E" w:rsidRPr="00E27200" w:rsidRDefault="0090131E" w:rsidP="003B1702">
            <w:pPr>
              <w:rPr>
                <w:lang w:val="en-AU"/>
              </w:rPr>
            </w:pPr>
            <w:r w:rsidRPr="00E27200">
              <w:rPr>
                <w:lang w:val="en-AU"/>
              </w:rPr>
              <w:t>better: 35%</w:t>
            </w:r>
          </w:p>
          <w:p w14:paraId="10344144" w14:textId="77777777" w:rsidR="0090131E" w:rsidRPr="00E27200" w:rsidRDefault="0090131E" w:rsidP="003B1702">
            <w:pPr>
              <w:rPr>
                <w:lang w:val="en-AU"/>
              </w:rPr>
            </w:pPr>
            <w:r w:rsidRPr="00E27200">
              <w:rPr>
                <w:lang w:val="en-AU"/>
              </w:rPr>
              <w:t>worse: 18%</w:t>
            </w:r>
          </w:p>
          <w:p w14:paraId="3FB883E0" w14:textId="77777777" w:rsidR="0090131E" w:rsidRPr="00E27200" w:rsidRDefault="0090131E" w:rsidP="003B1702">
            <w:pPr>
              <w:rPr>
                <w:lang w:val="en-AU"/>
              </w:rPr>
            </w:pPr>
            <w:r w:rsidRPr="00E27200">
              <w:rPr>
                <w:lang w:val="en-AU"/>
              </w:rPr>
              <w:t>same: 48%</w:t>
            </w:r>
          </w:p>
        </w:tc>
      </w:tr>
      <w:tr w:rsidR="0090131E" w:rsidRPr="00E27200" w14:paraId="0724496A" w14:textId="77777777">
        <w:tc>
          <w:tcPr>
            <w:tcW w:w="986" w:type="dxa"/>
            <w:vAlign w:val="center"/>
          </w:tcPr>
          <w:p w14:paraId="5E49D40E" w14:textId="77777777" w:rsidR="0090131E" w:rsidRPr="00E27200" w:rsidRDefault="0090131E" w:rsidP="003B1702">
            <w:pPr>
              <w:rPr>
                <w:b/>
                <w:lang w:val="en-AU"/>
              </w:rPr>
            </w:pPr>
            <w:r w:rsidRPr="00E27200">
              <w:rPr>
                <w:b/>
                <w:lang w:val="en-AU"/>
              </w:rPr>
              <w:t>TOTAL</w:t>
            </w:r>
          </w:p>
        </w:tc>
        <w:tc>
          <w:tcPr>
            <w:tcW w:w="551" w:type="dxa"/>
            <w:vAlign w:val="center"/>
          </w:tcPr>
          <w:p w14:paraId="5158F8CC" w14:textId="77777777" w:rsidR="0090131E" w:rsidRPr="00E27200" w:rsidRDefault="0090131E" w:rsidP="003B1702">
            <w:pPr>
              <w:rPr>
                <w:b/>
                <w:lang w:val="en-AU"/>
              </w:rPr>
            </w:pPr>
            <w:r w:rsidRPr="00E27200">
              <w:rPr>
                <w:b/>
                <w:lang w:val="en-AU"/>
              </w:rPr>
              <w:t>487</w:t>
            </w:r>
          </w:p>
        </w:tc>
        <w:tc>
          <w:tcPr>
            <w:tcW w:w="1865" w:type="dxa"/>
            <w:vAlign w:val="center"/>
          </w:tcPr>
          <w:p w14:paraId="5D4D9089" w14:textId="77777777" w:rsidR="0090131E" w:rsidRPr="00E27200" w:rsidRDefault="0090131E" w:rsidP="003B1702">
            <w:pPr>
              <w:rPr>
                <w:b/>
                <w:lang w:val="en-AU"/>
              </w:rPr>
            </w:pPr>
            <w:r w:rsidRPr="00E27200">
              <w:rPr>
                <w:b/>
                <w:lang w:val="en-AU"/>
              </w:rPr>
              <w:t>better: 39%</w:t>
            </w:r>
          </w:p>
          <w:p w14:paraId="03AEBD3A" w14:textId="77777777" w:rsidR="0090131E" w:rsidRPr="00E27200" w:rsidRDefault="0090131E" w:rsidP="003B1702">
            <w:pPr>
              <w:rPr>
                <w:b/>
                <w:lang w:val="en-AU"/>
              </w:rPr>
            </w:pPr>
            <w:r w:rsidRPr="00E27200">
              <w:rPr>
                <w:b/>
                <w:lang w:val="en-AU"/>
              </w:rPr>
              <w:t>worse: 12%</w:t>
            </w:r>
          </w:p>
          <w:p w14:paraId="619E0B4C" w14:textId="77777777" w:rsidR="0090131E" w:rsidRPr="00E27200" w:rsidRDefault="0090131E" w:rsidP="003B1702">
            <w:pPr>
              <w:rPr>
                <w:b/>
                <w:lang w:val="en-AU"/>
              </w:rPr>
            </w:pPr>
            <w:r w:rsidRPr="00E27200">
              <w:rPr>
                <w:b/>
                <w:lang w:val="en-AU"/>
              </w:rPr>
              <w:t>same: 49%</w:t>
            </w:r>
          </w:p>
        </w:tc>
      </w:tr>
    </w:tbl>
    <w:p w14:paraId="16212314" w14:textId="77777777" w:rsidR="0090131E" w:rsidRPr="00E27200" w:rsidRDefault="0090131E" w:rsidP="003B1702">
      <w:pPr>
        <w:rPr>
          <w:lang w:val="en-AU"/>
        </w:rPr>
      </w:pPr>
    </w:p>
    <w:p w14:paraId="104B7941" w14:textId="4AF06AB0" w:rsidR="0090131E" w:rsidRDefault="00B27872" w:rsidP="00E16C77">
      <w:pPr>
        <w:rPr>
          <w:lang w:val="en-AU"/>
        </w:rPr>
      </w:pPr>
      <w:r>
        <w:rPr>
          <w:lang w:val="en-AU"/>
        </w:rPr>
        <w:t>Future analysis would benefit from triangulation of these results with other community-based surveys, including hous</w:t>
      </w:r>
      <w:r w:rsidR="00E25C4B">
        <w:rPr>
          <w:lang w:val="en-AU"/>
        </w:rPr>
        <w:t>ehold surveys, conducted in PNG.</w:t>
      </w:r>
      <w:r w:rsidR="00851881">
        <w:rPr>
          <w:lang w:val="en-AU"/>
        </w:rPr>
        <w:t xml:space="preserve"> </w:t>
      </w:r>
      <w:r w:rsidR="006F2F68">
        <w:rPr>
          <w:lang w:val="en-AU"/>
        </w:rPr>
        <w:t xml:space="preserve">The </w:t>
      </w:r>
      <w:r w:rsidR="00864903">
        <w:rPr>
          <w:lang w:val="en-AU"/>
        </w:rPr>
        <w:t>2009-10 Household Income and Expenditure Survey</w:t>
      </w:r>
      <w:r w:rsidR="00864903">
        <w:rPr>
          <w:lang w:val="en-AU"/>
        </w:rPr>
        <w:fldChar w:fldCharType="begin"/>
      </w:r>
      <w:r w:rsidR="00864903">
        <w:rPr>
          <w:lang w:val="en-AU"/>
        </w:rPr>
        <w:instrText xml:space="preserve"> ADDIN EN.CITE &lt;EndNote&gt;&lt;Cite&gt;&lt;Author&gt;National Statistical Office&lt;/Author&gt;&lt;Year&gt;2011&lt;/Year&gt;&lt;RecNum&gt;47&lt;/RecNum&gt;&lt;DisplayText&gt;[9]&lt;/DisplayText&gt;&lt;record&gt;&lt;rec-number&gt;47&lt;/rec-number&gt;&lt;foreign-keys&gt;&lt;key app="EN" db-id="ex5s0vddkzxdfhese5yvf5vke2ree5azrt5t"&gt;47&lt;/key&gt;&lt;/foreign-keys&gt;&lt;ref-type name="Report"&gt;27&lt;/ref-type&gt;&lt;contributors&gt;&lt;authors&gt;&lt;author&gt;National Statistical Office,&lt;/author&gt;&lt;/authors&gt;&lt;tertiary-authors&gt;&lt;author&gt;Government of Papua New Guinea&lt;/author&gt;&lt;/tertiary-authors&gt;&lt;/contributors&gt;&lt;titles&gt;&lt;title&gt;Papua New Guinea Household Income and Expenditure Survey 2009-2010&lt;/title&gt;&lt;/titles&gt;&lt;dates&gt;&lt;year&gt;2011&lt;/year&gt;&lt;/dates&gt;&lt;pub-location&gt;Papua New Guinea&lt;/pub-location&gt;&lt;publisher&gt;Government of Papua New Guinea&lt;/publisher&gt;&lt;urls&gt;&lt;/urls&gt;&lt;/record&gt;&lt;/Cite&gt;&lt;/EndNote&gt;</w:instrText>
      </w:r>
      <w:r w:rsidR="00864903">
        <w:rPr>
          <w:lang w:val="en-AU"/>
        </w:rPr>
        <w:fldChar w:fldCharType="separate"/>
      </w:r>
      <w:r w:rsidR="00864903">
        <w:rPr>
          <w:noProof/>
          <w:lang w:val="en-AU"/>
        </w:rPr>
        <w:t>[</w:t>
      </w:r>
      <w:hyperlink w:anchor="_ENREF_9" w:tooltip="National Statistical Office, 2011 #47" w:history="1">
        <w:r w:rsidR="00E62392">
          <w:rPr>
            <w:noProof/>
            <w:lang w:val="en-AU"/>
          </w:rPr>
          <w:t>9</w:t>
        </w:r>
      </w:hyperlink>
      <w:r w:rsidR="00864903">
        <w:rPr>
          <w:noProof/>
          <w:lang w:val="en-AU"/>
        </w:rPr>
        <w:t>]</w:t>
      </w:r>
      <w:r w:rsidR="00864903">
        <w:rPr>
          <w:lang w:val="en-AU"/>
        </w:rPr>
        <w:fldChar w:fldCharType="end"/>
      </w:r>
      <w:r w:rsidR="00864903">
        <w:rPr>
          <w:lang w:val="en-AU"/>
        </w:rPr>
        <w:t xml:space="preserve"> confirmed the importance of service availability to local communities, noting that 15.4% of the population had visited a HF in the month before the</w:t>
      </w:r>
      <w:r w:rsidR="00347E58">
        <w:rPr>
          <w:lang w:val="en-AU"/>
        </w:rPr>
        <w:t xml:space="preserve"> survey, although service availability may not have been meeting demand, given that the same survey measured 30% of the population having experienced illness in the previous month, with only 55% seeking care. For those who did not seek care, treatment at home was the most common reason given, along with concerns about the distance, cost and availability (in commodities and staff) of services.</w:t>
      </w:r>
    </w:p>
    <w:p w14:paraId="49C02B4F" w14:textId="77777777" w:rsidR="006F2F68" w:rsidRDefault="006F2F68" w:rsidP="00E16C77">
      <w:pPr>
        <w:rPr>
          <w:lang w:val="en-AU"/>
        </w:rPr>
      </w:pPr>
    </w:p>
    <w:p w14:paraId="6C4A42A6" w14:textId="20A6D1A9" w:rsidR="006F2F68" w:rsidRDefault="006F2F68" w:rsidP="00E16C77">
      <w:r>
        <w:t xml:space="preserve">A number of HF staff noted a positive impact on improved community trust and confidence in health services from the ‘push’ system; “Biggest change is filling the gap when medicines run out due to </w:t>
      </w:r>
      <w:r>
        <w:lastRenderedPageBreak/>
        <w:t xml:space="preserve">delays and difficulties in getting supplies from Hagen. Community trust noticeable since started.” (AP, Highlands). This was related to increased patient usage of services, with HF staff hypothesizing this as due to both increased availability </w:t>
      </w:r>
      <w:r w:rsidR="00481EF3">
        <w:t xml:space="preserve">and </w:t>
      </w:r>
      <w:r>
        <w:t xml:space="preserve">perceived better quality of medicines: </w:t>
      </w:r>
      <w:r w:rsidRPr="0048267C">
        <w:rPr>
          <w:i/>
        </w:rPr>
        <w:t xml:space="preserve">“Since kits started tally sheets are showing more patients because they hear more powerful medicines are here.” </w:t>
      </w:r>
      <w:r>
        <w:t xml:space="preserve">(AP, Highlands). Other staff at HC and hospital levels, as well as at APs suggested that expanded services meant fewer referrals, with savings in community time and cost. </w:t>
      </w:r>
    </w:p>
    <w:p w14:paraId="67490217" w14:textId="77777777" w:rsidR="00864903" w:rsidRPr="006F2F68" w:rsidRDefault="00864903" w:rsidP="00E16C77"/>
    <w:p w14:paraId="13CD786C" w14:textId="77777777" w:rsidR="00495F37" w:rsidRPr="00E27200" w:rsidRDefault="00495F37" w:rsidP="00495F37">
      <w:pPr>
        <w:pStyle w:val="Heading2"/>
      </w:pPr>
      <w:bookmarkStart w:id="109" w:name="_Toc245621434"/>
      <w:bookmarkStart w:id="110" w:name="_Toc245810761"/>
      <w:r w:rsidRPr="00E27200">
        <w:t>Co</w:t>
      </w:r>
      <w:r w:rsidR="00B27872">
        <w:t>mmunity co</w:t>
      </w:r>
      <w:r w:rsidRPr="00E27200">
        <w:t>sts and accessibility</w:t>
      </w:r>
      <w:bookmarkEnd w:id="109"/>
      <w:bookmarkEnd w:id="110"/>
    </w:p>
    <w:p w14:paraId="7CA87B88" w14:textId="3AC60F5F" w:rsidR="00F322D2" w:rsidRPr="00E27200" w:rsidRDefault="00E25C4B" w:rsidP="00495F37">
      <w:pPr>
        <w:rPr>
          <w:lang w:val="en-AU"/>
        </w:rPr>
      </w:pPr>
      <w:r>
        <w:rPr>
          <w:lang w:val="en-AU"/>
        </w:rPr>
        <w:t>Some of the standardised indicators in the WHO methodology assess the costs of accessing medicines, and the time and distance from facilities.  These were measured in this survey to enable</w:t>
      </w:r>
      <w:r w:rsidR="00470883">
        <w:rPr>
          <w:lang w:val="en-AU"/>
        </w:rPr>
        <w:t xml:space="preserve"> tracking of future progress in this area. PNG has recently revised costing expectations, re-emphasising national policy that essential primary health care (which includes the bulk of medicines and conditions assessed in this evaluation) should be provided free of charge.  Interpretation of cost-recovery policies varies significantly across PNG</w:t>
      </w:r>
      <w:r w:rsidR="00097F8A">
        <w:rPr>
          <w:lang w:val="en-AU"/>
        </w:rPr>
        <w:t xml:space="preserve"> as, until recent policy changes,</w:t>
      </w:r>
      <w:r w:rsidR="006B216E">
        <w:rPr>
          <w:lang w:val="en-AU"/>
        </w:rPr>
        <w:t xml:space="preserve"> non-government run facilities generally </w:t>
      </w:r>
      <w:r w:rsidR="00097F8A">
        <w:rPr>
          <w:lang w:val="en-AU"/>
        </w:rPr>
        <w:t xml:space="preserve">had </w:t>
      </w:r>
      <w:r w:rsidR="006B216E">
        <w:rPr>
          <w:lang w:val="en-AU"/>
        </w:rPr>
        <w:t>greater freedom to charge fees.</w:t>
      </w:r>
      <w:r w:rsidR="0089687C">
        <w:rPr>
          <w:lang w:val="en-AU"/>
        </w:rPr>
        <w:t xml:space="preserve"> </w:t>
      </w:r>
      <w:r w:rsidR="00F34B78">
        <w:rPr>
          <w:lang w:val="en-AU"/>
        </w:rPr>
        <w:t>In our HF survey, c</w:t>
      </w:r>
      <w:r w:rsidR="00F322D2" w:rsidRPr="00E27200">
        <w:rPr>
          <w:lang w:val="en-AU"/>
        </w:rPr>
        <w:t xml:space="preserve">ost of treatment was approximately 3 </w:t>
      </w:r>
      <w:r w:rsidR="00F34B78">
        <w:rPr>
          <w:lang w:val="en-AU"/>
        </w:rPr>
        <w:t>PGK</w:t>
      </w:r>
      <w:r w:rsidR="00F322D2" w:rsidRPr="00E27200">
        <w:rPr>
          <w:lang w:val="en-AU"/>
        </w:rPr>
        <w:t xml:space="preserve"> (4 </w:t>
      </w:r>
      <w:r w:rsidR="00F34B78">
        <w:rPr>
          <w:lang w:val="en-AU"/>
        </w:rPr>
        <w:t>PGK</w:t>
      </w:r>
      <w:r w:rsidR="00F322D2" w:rsidRPr="00E27200">
        <w:rPr>
          <w:lang w:val="en-AU"/>
        </w:rPr>
        <w:t xml:space="preserve"> including transport)</w:t>
      </w:r>
      <w:r w:rsidR="00F34B78">
        <w:rPr>
          <w:lang w:val="en-AU"/>
        </w:rPr>
        <w:t xml:space="preserve"> overall</w:t>
      </w:r>
      <w:r w:rsidR="00F322D2" w:rsidRPr="00E27200">
        <w:rPr>
          <w:lang w:val="en-AU"/>
        </w:rPr>
        <w:t xml:space="preserve">, </w:t>
      </w:r>
      <w:r w:rsidR="00F34B78">
        <w:rPr>
          <w:lang w:val="en-AU"/>
        </w:rPr>
        <w:t xml:space="preserve">and </w:t>
      </w:r>
      <w:r w:rsidR="00F322D2" w:rsidRPr="00E27200">
        <w:rPr>
          <w:lang w:val="en-AU"/>
        </w:rPr>
        <w:t xml:space="preserve">higher at hospitals (8 </w:t>
      </w:r>
      <w:r w:rsidR="00F34B78">
        <w:rPr>
          <w:lang w:val="en-AU"/>
        </w:rPr>
        <w:t>PGK</w:t>
      </w:r>
      <w:r w:rsidR="00F322D2" w:rsidRPr="00E27200">
        <w:rPr>
          <w:lang w:val="en-AU"/>
        </w:rPr>
        <w:t xml:space="preserve"> including transport). </w:t>
      </w:r>
    </w:p>
    <w:p w14:paraId="66981BC5" w14:textId="77777777" w:rsidR="00B27872" w:rsidRDefault="00B27872" w:rsidP="00B27872">
      <w:pPr>
        <w:rPr>
          <w:lang w:val="en-AU"/>
        </w:rPr>
      </w:pPr>
    </w:p>
    <w:p w14:paraId="46DC6511" w14:textId="060D9C15" w:rsidR="00F322D2" w:rsidRPr="00521969" w:rsidRDefault="00F322D2" w:rsidP="00521969">
      <w:pPr>
        <w:rPr>
          <w:b/>
          <w:lang w:val="en-AU"/>
        </w:rPr>
      </w:pPr>
      <w:r w:rsidRPr="007B3850">
        <w:rPr>
          <w:b/>
          <w:lang w:val="en-AU"/>
        </w:rPr>
        <w:t>Table</w:t>
      </w:r>
      <w:r w:rsidR="007B3850">
        <w:rPr>
          <w:b/>
          <w:lang w:val="en-AU"/>
        </w:rPr>
        <w:t xml:space="preserve"> </w:t>
      </w:r>
      <w:r w:rsidR="007B3850" w:rsidRPr="007B3850">
        <w:rPr>
          <w:b/>
          <w:lang w:val="en-AU"/>
        </w:rPr>
        <w:t>1</w:t>
      </w:r>
      <w:r w:rsidR="004A1CA0">
        <w:rPr>
          <w:b/>
          <w:lang w:val="en-AU"/>
        </w:rPr>
        <w:t>5</w:t>
      </w:r>
      <w:r w:rsidRPr="007B3850">
        <w:rPr>
          <w:b/>
          <w:lang w:val="en-AU"/>
        </w:rPr>
        <w:t>: Cost for treatment and transport</w:t>
      </w:r>
    </w:p>
    <w:tbl>
      <w:tblPr>
        <w:tblStyle w:val="TableGrid"/>
        <w:tblW w:w="6946" w:type="dxa"/>
        <w:tblInd w:w="108" w:type="dxa"/>
        <w:tblLook w:val="04A0" w:firstRow="1" w:lastRow="0" w:firstColumn="1" w:lastColumn="0" w:noHBand="0" w:noVBand="1"/>
      </w:tblPr>
      <w:tblGrid>
        <w:gridCol w:w="986"/>
        <w:gridCol w:w="551"/>
        <w:gridCol w:w="2997"/>
        <w:gridCol w:w="2412"/>
      </w:tblGrid>
      <w:tr w:rsidR="00F322D2" w:rsidRPr="00E27200" w14:paraId="5052E432" w14:textId="77777777">
        <w:tc>
          <w:tcPr>
            <w:tcW w:w="986" w:type="dxa"/>
            <w:vAlign w:val="center"/>
          </w:tcPr>
          <w:p w14:paraId="101E1D03" w14:textId="77777777" w:rsidR="00F322D2" w:rsidRPr="00E27200" w:rsidRDefault="00F322D2" w:rsidP="00E16C77">
            <w:pPr>
              <w:rPr>
                <w:lang w:val="en-AU"/>
              </w:rPr>
            </w:pPr>
          </w:p>
        </w:tc>
        <w:tc>
          <w:tcPr>
            <w:tcW w:w="551" w:type="dxa"/>
            <w:vAlign w:val="center"/>
          </w:tcPr>
          <w:p w14:paraId="6E4BBBC7" w14:textId="77777777" w:rsidR="00F322D2" w:rsidRPr="00E27200" w:rsidRDefault="00F322D2" w:rsidP="00E16C77">
            <w:pPr>
              <w:rPr>
                <w:lang w:val="en-AU"/>
              </w:rPr>
            </w:pPr>
            <w:r w:rsidRPr="00E27200">
              <w:rPr>
                <w:lang w:val="en-AU"/>
              </w:rPr>
              <w:t>N</w:t>
            </w:r>
          </w:p>
        </w:tc>
        <w:tc>
          <w:tcPr>
            <w:tcW w:w="2997" w:type="dxa"/>
            <w:vAlign w:val="center"/>
          </w:tcPr>
          <w:p w14:paraId="6A6FAA44" w14:textId="77777777" w:rsidR="00F322D2" w:rsidRPr="00E27200" w:rsidRDefault="00F322D2" w:rsidP="00E16C77">
            <w:pPr>
              <w:rPr>
                <w:lang w:val="en-AU"/>
              </w:rPr>
            </w:pPr>
            <w:r w:rsidRPr="00E27200">
              <w:rPr>
                <w:lang w:val="en-AU"/>
              </w:rPr>
              <w:t>Total cost for treatment- Kina</w:t>
            </w:r>
          </w:p>
          <w:p w14:paraId="58E3DEF9" w14:textId="77777777" w:rsidR="00F322D2" w:rsidRPr="00E27200" w:rsidRDefault="00F322D2" w:rsidP="00E16C77">
            <w:pPr>
              <w:rPr>
                <w:lang w:val="en-AU"/>
              </w:rPr>
            </w:pPr>
            <w:r w:rsidRPr="00E27200">
              <w:rPr>
                <w:lang w:val="en-AU"/>
              </w:rPr>
              <w:t>(average, range)</w:t>
            </w:r>
          </w:p>
        </w:tc>
        <w:tc>
          <w:tcPr>
            <w:tcW w:w="2412" w:type="dxa"/>
            <w:vAlign w:val="center"/>
          </w:tcPr>
          <w:p w14:paraId="38EDE25B" w14:textId="77777777" w:rsidR="00F322D2" w:rsidRPr="00E27200" w:rsidRDefault="00F322D2" w:rsidP="00E16C77">
            <w:pPr>
              <w:rPr>
                <w:lang w:val="en-AU"/>
              </w:rPr>
            </w:pPr>
            <w:r w:rsidRPr="00E27200">
              <w:rPr>
                <w:lang w:val="en-AU"/>
              </w:rPr>
              <w:t>Cost to travel</w:t>
            </w:r>
          </w:p>
          <w:p w14:paraId="1911861E" w14:textId="77777777" w:rsidR="00F322D2" w:rsidRPr="00E27200" w:rsidRDefault="00F322D2" w:rsidP="00E16C77">
            <w:pPr>
              <w:rPr>
                <w:lang w:val="en-AU"/>
              </w:rPr>
            </w:pPr>
            <w:r w:rsidRPr="00E27200">
              <w:rPr>
                <w:lang w:val="en-AU"/>
              </w:rPr>
              <w:t>(average, range) - Kina</w:t>
            </w:r>
          </w:p>
        </w:tc>
      </w:tr>
      <w:tr w:rsidR="00F322D2" w:rsidRPr="00E27200" w14:paraId="647B821B" w14:textId="77777777">
        <w:tc>
          <w:tcPr>
            <w:tcW w:w="986" w:type="dxa"/>
            <w:vAlign w:val="center"/>
          </w:tcPr>
          <w:p w14:paraId="17092DF4" w14:textId="77777777" w:rsidR="00F322D2" w:rsidRPr="00E27200" w:rsidRDefault="00F322D2" w:rsidP="00E16C77">
            <w:pPr>
              <w:rPr>
                <w:lang w:val="en-AU"/>
              </w:rPr>
            </w:pPr>
            <w:r w:rsidRPr="00E27200">
              <w:rPr>
                <w:lang w:val="en-AU"/>
              </w:rPr>
              <w:t>Hospital</w:t>
            </w:r>
          </w:p>
        </w:tc>
        <w:tc>
          <w:tcPr>
            <w:tcW w:w="551" w:type="dxa"/>
            <w:vAlign w:val="center"/>
          </w:tcPr>
          <w:p w14:paraId="5634B0AC" w14:textId="77777777" w:rsidR="00F322D2" w:rsidRPr="00E27200" w:rsidRDefault="00F322D2" w:rsidP="00E16C77">
            <w:pPr>
              <w:rPr>
                <w:lang w:val="en-AU"/>
              </w:rPr>
            </w:pPr>
            <w:r w:rsidRPr="00E27200">
              <w:rPr>
                <w:lang w:val="en-AU"/>
              </w:rPr>
              <w:t>87</w:t>
            </w:r>
          </w:p>
        </w:tc>
        <w:tc>
          <w:tcPr>
            <w:tcW w:w="2997" w:type="dxa"/>
            <w:vAlign w:val="center"/>
          </w:tcPr>
          <w:p w14:paraId="3E6A97D1" w14:textId="77777777" w:rsidR="00F322D2" w:rsidRPr="00E27200" w:rsidRDefault="00F322D2" w:rsidP="00E16C77">
            <w:pPr>
              <w:rPr>
                <w:lang w:val="en-AU"/>
              </w:rPr>
            </w:pPr>
            <w:r w:rsidRPr="00E27200">
              <w:rPr>
                <w:lang w:val="en-AU"/>
              </w:rPr>
              <w:t>4.9 (0-60)</w:t>
            </w:r>
          </w:p>
        </w:tc>
        <w:tc>
          <w:tcPr>
            <w:tcW w:w="2412" w:type="dxa"/>
            <w:vAlign w:val="center"/>
          </w:tcPr>
          <w:p w14:paraId="1A4F04E5" w14:textId="77777777" w:rsidR="00F322D2" w:rsidRPr="00E27200" w:rsidRDefault="00F322D2" w:rsidP="00E16C77">
            <w:pPr>
              <w:rPr>
                <w:lang w:val="en-AU"/>
              </w:rPr>
            </w:pPr>
            <w:r w:rsidRPr="00E27200">
              <w:rPr>
                <w:lang w:val="en-AU"/>
              </w:rPr>
              <w:t>3.2 (0-90)</w:t>
            </w:r>
          </w:p>
        </w:tc>
      </w:tr>
      <w:tr w:rsidR="00F322D2" w:rsidRPr="00E27200" w14:paraId="101D976B" w14:textId="77777777">
        <w:tc>
          <w:tcPr>
            <w:tcW w:w="986" w:type="dxa"/>
            <w:vAlign w:val="center"/>
          </w:tcPr>
          <w:p w14:paraId="713B397F" w14:textId="77777777" w:rsidR="00F322D2" w:rsidRPr="00E27200" w:rsidRDefault="00F322D2" w:rsidP="00E16C77">
            <w:pPr>
              <w:rPr>
                <w:lang w:val="en-AU"/>
              </w:rPr>
            </w:pPr>
            <w:r w:rsidRPr="00E27200">
              <w:rPr>
                <w:lang w:val="en-AU"/>
              </w:rPr>
              <w:t>HC/SC</w:t>
            </w:r>
          </w:p>
        </w:tc>
        <w:tc>
          <w:tcPr>
            <w:tcW w:w="551" w:type="dxa"/>
            <w:vAlign w:val="center"/>
          </w:tcPr>
          <w:p w14:paraId="0819A85D" w14:textId="77777777" w:rsidR="00F322D2" w:rsidRPr="00E27200" w:rsidRDefault="00F322D2" w:rsidP="00E16C77">
            <w:pPr>
              <w:rPr>
                <w:lang w:val="en-AU"/>
              </w:rPr>
            </w:pPr>
            <w:r w:rsidRPr="00E27200">
              <w:rPr>
                <w:lang w:val="en-AU"/>
              </w:rPr>
              <w:t>297</w:t>
            </w:r>
          </w:p>
        </w:tc>
        <w:tc>
          <w:tcPr>
            <w:tcW w:w="2997" w:type="dxa"/>
            <w:vAlign w:val="center"/>
          </w:tcPr>
          <w:p w14:paraId="5B5CA890" w14:textId="77777777" w:rsidR="00F322D2" w:rsidRPr="00E27200" w:rsidRDefault="00F322D2" w:rsidP="00E16C77">
            <w:pPr>
              <w:rPr>
                <w:lang w:val="en-AU"/>
              </w:rPr>
            </w:pPr>
            <w:r w:rsidRPr="00E27200">
              <w:rPr>
                <w:lang w:val="en-AU"/>
              </w:rPr>
              <w:t>2.5 (0-35)</w:t>
            </w:r>
          </w:p>
        </w:tc>
        <w:tc>
          <w:tcPr>
            <w:tcW w:w="2412" w:type="dxa"/>
            <w:vAlign w:val="center"/>
          </w:tcPr>
          <w:p w14:paraId="0CBB7FAC" w14:textId="77777777" w:rsidR="00F322D2" w:rsidRPr="00E27200" w:rsidRDefault="00F322D2" w:rsidP="00E16C77">
            <w:pPr>
              <w:rPr>
                <w:lang w:val="en-AU"/>
              </w:rPr>
            </w:pPr>
            <w:r w:rsidRPr="00E27200">
              <w:rPr>
                <w:lang w:val="en-AU"/>
              </w:rPr>
              <w:t>0.8 (0-24)</w:t>
            </w:r>
          </w:p>
        </w:tc>
      </w:tr>
      <w:tr w:rsidR="00F322D2" w:rsidRPr="00E27200" w14:paraId="3FAF95AC" w14:textId="77777777">
        <w:tc>
          <w:tcPr>
            <w:tcW w:w="986" w:type="dxa"/>
            <w:vAlign w:val="center"/>
          </w:tcPr>
          <w:p w14:paraId="5A46A49C" w14:textId="77777777" w:rsidR="00F322D2" w:rsidRPr="00E27200" w:rsidRDefault="00F322D2" w:rsidP="00E16C77">
            <w:pPr>
              <w:rPr>
                <w:lang w:val="en-AU"/>
              </w:rPr>
            </w:pPr>
            <w:r w:rsidRPr="00E27200">
              <w:rPr>
                <w:lang w:val="en-AU"/>
              </w:rPr>
              <w:t>AP</w:t>
            </w:r>
          </w:p>
        </w:tc>
        <w:tc>
          <w:tcPr>
            <w:tcW w:w="551" w:type="dxa"/>
            <w:vAlign w:val="center"/>
          </w:tcPr>
          <w:p w14:paraId="6325CC1D" w14:textId="77777777" w:rsidR="00F322D2" w:rsidRPr="00E27200" w:rsidRDefault="00F322D2" w:rsidP="00E16C77">
            <w:pPr>
              <w:rPr>
                <w:lang w:val="en-AU"/>
              </w:rPr>
            </w:pPr>
            <w:r w:rsidRPr="00E27200">
              <w:rPr>
                <w:lang w:val="en-AU"/>
              </w:rPr>
              <w:t>103</w:t>
            </w:r>
          </w:p>
        </w:tc>
        <w:tc>
          <w:tcPr>
            <w:tcW w:w="2997" w:type="dxa"/>
            <w:vAlign w:val="center"/>
          </w:tcPr>
          <w:p w14:paraId="3C144D67" w14:textId="77777777" w:rsidR="00F322D2" w:rsidRPr="00E27200" w:rsidRDefault="00F322D2" w:rsidP="00E16C77">
            <w:pPr>
              <w:rPr>
                <w:lang w:val="en-AU"/>
              </w:rPr>
            </w:pPr>
            <w:r w:rsidRPr="00E27200">
              <w:rPr>
                <w:lang w:val="en-AU"/>
              </w:rPr>
              <w:t>2.0 (0-9)</w:t>
            </w:r>
          </w:p>
        </w:tc>
        <w:tc>
          <w:tcPr>
            <w:tcW w:w="2412" w:type="dxa"/>
            <w:vAlign w:val="center"/>
          </w:tcPr>
          <w:p w14:paraId="71EA2C3A" w14:textId="77777777" w:rsidR="00F322D2" w:rsidRPr="00E27200" w:rsidRDefault="00F322D2" w:rsidP="00E16C77">
            <w:pPr>
              <w:rPr>
                <w:lang w:val="en-AU"/>
              </w:rPr>
            </w:pPr>
            <w:r w:rsidRPr="00E27200">
              <w:rPr>
                <w:lang w:val="en-AU"/>
              </w:rPr>
              <w:t>0.1 (0-4)</w:t>
            </w:r>
          </w:p>
        </w:tc>
      </w:tr>
      <w:tr w:rsidR="00F322D2" w:rsidRPr="00E27200" w14:paraId="4C015327" w14:textId="77777777">
        <w:tc>
          <w:tcPr>
            <w:tcW w:w="986" w:type="dxa"/>
            <w:vAlign w:val="center"/>
          </w:tcPr>
          <w:p w14:paraId="4E0DB0D7" w14:textId="77777777" w:rsidR="00F322D2" w:rsidRPr="00E27200" w:rsidRDefault="00F322D2" w:rsidP="00E16C77">
            <w:pPr>
              <w:rPr>
                <w:b/>
                <w:lang w:val="en-AU"/>
              </w:rPr>
            </w:pPr>
            <w:r w:rsidRPr="00E27200">
              <w:rPr>
                <w:b/>
                <w:lang w:val="en-AU"/>
              </w:rPr>
              <w:t>TOTAL</w:t>
            </w:r>
          </w:p>
        </w:tc>
        <w:tc>
          <w:tcPr>
            <w:tcW w:w="551" w:type="dxa"/>
            <w:vAlign w:val="center"/>
          </w:tcPr>
          <w:p w14:paraId="7E45FB46" w14:textId="77777777" w:rsidR="00F322D2" w:rsidRPr="00E27200" w:rsidRDefault="00F322D2" w:rsidP="00E16C77">
            <w:pPr>
              <w:rPr>
                <w:b/>
                <w:lang w:val="en-AU"/>
              </w:rPr>
            </w:pPr>
            <w:r w:rsidRPr="00E27200">
              <w:rPr>
                <w:b/>
                <w:lang w:val="en-AU"/>
              </w:rPr>
              <w:t>487</w:t>
            </w:r>
          </w:p>
        </w:tc>
        <w:tc>
          <w:tcPr>
            <w:tcW w:w="2997" w:type="dxa"/>
            <w:vAlign w:val="center"/>
          </w:tcPr>
          <w:p w14:paraId="5DC59E18" w14:textId="77777777" w:rsidR="00F322D2" w:rsidRPr="00E27200" w:rsidRDefault="00F322D2" w:rsidP="00E16C77">
            <w:pPr>
              <w:rPr>
                <w:b/>
                <w:lang w:val="en-AU"/>
              </w:rPr>
            </w:pPr>
            <w:r w:rsidRPr="00E27200">
              <w:rPr>
                <w:b/>
                <w:lang w:val="en-AU"/>
              </w:rPr>
              <w:t>2.6</w:t>
            </w:r>
          </w:p>
        </w:tc>
        <w:tc>
          <w:tcPr>
            <w:tcW w:w="2412" w:type="dxa"/>
            <w:vAlign w:val="center"/>
          </w:tcPr>
          <w:p w14:paraId="014EEDB1" w14:textId="77777777" w:rsidR="00F322D2" w:rsidRPr="00E27200" w:rsidRDefault="00F322D2" w:rsidP="00E16C77">
            <w:pPr>
              <w:rPr>
                <w:b/>
                <w:lang w:val="en-AU"/>
              </w:rPr>
            </w:pPr>
            <w:r w:rsidRPr="00E27200">
              <w:rPr>
                <w:b/>
                <w:lang w:val="en-AU"/>
              </w:rPr>
              <w:t>1.1</w:t>
            </w:r>
          </w:p>
        </w:tc>
      </w:tr>
    </w:tbl>
    <w:p w14:paraId="69DFCD51" w14:textId="77777777" w:rsidR="00F322D2" w:rsidRPr="00E27200" w:rsidRDefault="00F322D2" w:rsidP="00E16C77">
      <w:pPr>
        <w:rPr>
          <w:lang w:val="en-AU"/>
        </w:rPr>
      </w:pPr>
    </w:p>
    <w:p w14:paraId="49D49309" w14:textId="09A504C2" w:rsidR="0089687C" w:rsidRPr="00E27200" w:rsidRDefault="007B3850" w:rsidP="0089687C">
      <w:pPr>
        <w:rPr>
          <w:lang w:val="en-AU"/>
        </w:rPr>
      </w:pPr>
      <w:r>
        <w:rPr>
          <w:lang w:val="en-AU"/>
        </w:rPr>
        <w:t xml:space="preserve">Our estimates suggest that 10 PGK is a reasonable benchmark of </w:t>
      </w:r>
      <w:proofErr w:type="gramStart"/>
      <w:r>
        <w:rPr>
          <w:lang w:val="en-AU"/>
        </w:rPr>
        <w:t>affordability,</w:t>
      </w:r>
      <w:proofErr w:type="gramEnd"/>
      <w:r>
        <w:rPr>
          <w:lang w:val="en-AU"/>
        </w:rPr>
        <w:t xml:space="preserve"> using WHO norms (see Annex </w:t>
      </w:r>
      <w:r w:rsidR="00B337B2">
        <w:rPr>
          <w:lang w:val="en-AU"/>
        </w:rPr>
        <w:t>11</w:t>
      </w:r>
      <w:r>
        <w:rPr>
          <w:lang w:val="en-AU"/>
        </w:rPr>
        <w:t>.2)</w:t>
      </w:r>
      <w:r w:rsidRPr="00E27200">
        <w:rPr>
          <w:lang w:val="en-AU"/>
        </w:rPr>
        <w:t xml:space="preserve">. </w:t>
      </w:r>
      <w:r>
        <w:rPr>
          <w:lang w:val="en-AU"/>
        </w:rPr>
        <w:t xml:space="preserve">This seems largely in line with GoPNG aspirations and with international norms, at least for outpatient medicines at HC or AP. However the cost of </w:t>
      </w:r>
      <w:r w:rsidRPr="00E27200">
        <w:rPr>
          <w:lang w:val="en-AU"/>
        </w:rPr>
        <w:t xml:space="preserve">treatment at </w:t>
      </w:r>
      <w:r>
        <w:rPr>
          <w:lang w:val="en-AU"/>
        </w:rPr>
        <w:t>a</w:t>
      </w:r>
      <w:r w:rsidRPr="00E27200">
        <w:rPr>
          <w:lang w:val="en-AU"/>
        </w:rPr>
        <w:t xml:space="preserve"> hospital </w:t>
      </w:r>
      <w:r>
        <w:rPr>
          <w:lang w:val="en-AU"/>
        </w:rPr>
        <w:t>may be reaching the limits of affordability,</w:t>
      </w:r>
      <w:r w:rsidRPr="00E27200">
        <w:rPr>
          <w:lang w:val="en-AU"/>
        </w:rPr>
        <w:t xml:space="preserve"> especially as the costs of laboratory </w:t>
      </w:r>
      <w:r>
        <w:rPr>
          <w:lang w:val="en-AU"/>
        </w:rPr>
        <w:t>and other ancillary services</w:t>
      </w:r>
      <w:r w:rsidRPr="00E27200">
        <w:rPr>
          <w:lang w:val="en-AU"/>
        </w:rPr>
        <w:t xml:space="preserve"> has not been included. </w:t>
      </w:r>
      <w:r w:rsidR="0089687C">
        <w:rPr>
          <w:lang w:val="en-AU"/>
        </w:rPr>
        <w:t>Some non-government facilities charged additional service fees – for example i</w:t>
      </w:r>
      <w:r w:rsidR="0089687C" w:rsidRPr="00E27200">
        <w:rPr>
          <w:lang w:val="en-AU"/>
        </w:rPr>
        <w:t xml:space="preserve">n </w:t>
      </w:r>
      <w:proofErr w:type="spellStart"/>
      <w:r w:rsidR="0089687C" w:rsidRPr="00E27200">
        <w:rPr>
          <w:lang w:val="en-AU"/>
        </w:rPr>
        <w:t>Enga</w:t>
      </w:r>
      <w:proofErr w:type="spellEnd"/>
      <w:r w:rsidR="0089687C" w:rsidRPr="00E27200">
        <w:rPr>
          <w:lang w:val="en-AU"/>
        </w:rPr>
        <w:t>, some facilitie</w:t>
      </w:r>
      <w:r w:rsidR="0089687C">
        <w:rPr>
          <w:lang w:val="en-AU"/>
        </w:rPr>
        <w:t>s charged an annual service fee</w:t>
      </w:r>
      <w:r w:rsidR="0089687C" w:rsidRPr="00E27200">
        <w:rPr>
          <w:lang w:val="en-AU"/>
        </w:rPr>
        <w:t xml:space="preserve"> of between 30-60 </w:t>
      </w:r>
      <w:r w:rsidR="0089687C">
        <w:rPr>
          <w:lang w:val="en-AU"/>
        </w:rPr>
        <w:t>PGK</w:t>
      </w:r>
      <w:r w:rsidR="0089687C" w:rsidRPr="00E27200">
        <w:rPr>
          <w:lang w:val="en-AU"/>
        </w:rPr>
        <w:t xml:space="preserve"> rather than an individual cost per </w:t>
      </w:r>
      <w:r w:rsidR="001E54B9">
        <w:rPr>
          <w:lang w:val="en-AU"/>
        </w:rPr>
        <w:t>medicine</w:t>
      </w:r>
      <w:r w:rsidR="0089687C" w:rsidRPr="00E27200">
        <w:rPr>
          <w:lang w:val="en-AU"/>
        </w:rPr>
        <w:t xml:space="preserve">. </w:t>
      </w:r>
      <w:r w:rsidR="0089687C">
        <w:rPr>
          <w:lang w:val="en-AU"/>
        </w:rPr>
        <w:t>Hospital charges for inpatient stays were not assessed in our survey.</w:t>
      </w:r>
    </w:p>
    <w:p w14:paraId="7B19AEB6" w14:textId="77777777" w:rsidR="007B3850" w:rsidRDefault="007B3850" w:rsidP="007B3850">
      <w:pPr>
        <w:rPr>
          <w:lang w:val="en-AU"/>
        </w:rPr>
      </w:pPr>
    </w:p>
    <w:p w14:paraId="23507248" w14:textId="77777777" w:rsidR="00491FF9" w:rsidRPr="0089687C" w:rsidRDefault="007B3850" w:rsidP="0089687C">
      <w:pPr>
        <w:rPr>
          <w:lang w:val="en-AU"/>
        </w:rPr>
      </w:pPr>
      <w:r w:rsidRPr="00A90CD5">
        <w:rPr>
          <w:lang w:val="en-AU"/>
        </w:rPr>
        <w:t>In terms of payment for individual medicines, overall 43% of items were supplied free of charge.</w:t>
      </w:r>
      <w:r>
        <w:rPr>
          <w:lang w:val="en-AU"/>
        </w:rPr>
        <w:t xml:space="preserve"> </w:t>
      </w:r>
      <w:r w:rsidRPr="00E27200">
        <w:rPr>
          <w:lang w:val="en-AU"/>
        </w:rPr>
        <w:t>APs</w:t>
      </w:r>
      <w:r w:rsidR="0089687C">
        <w:rPr>
          <w:lang w:val="en-AU"/>
        </w:rPr>
        <w:t xml:space="preserve"> were</w:t>
      </w:r>
      <w:r w:rsidRPr="00E27200">
        <w:rPr>
          <w:lang w:val="en-AU"/>
        </w:rPr>
        <w:t xml:space="preserve"> more </w:t>
      </w:r>
      <w:r w:rsidR="0089687C">
        <w:rPr>
          <w:lang w:val="en-AU"/>
        </w:rPr>
        <w:t xml:space="preserve">likely to charge for medicines: noting that of medicines provided, </w:t>
      </w:r>
      <w:r w:rsidRPr="00E27200">
        <w:rPr>
          <w:lang w:val="en-AU"/>
        </w:rPr>
        <w:t>49%</w:t>
      </w:r>
      <w:r w:rsidR="0089687C">
        <w:rPr>
          <w:lang w:val="en-AU"/>
        </w:rPr>
        <w:t xml:space="preserve"> were</w:t>
      </w:r>
      <w:r w:rsidRPr="00E27200">
        <w:rPr>
          <w:lang w:val="en-AU"/>
        </w:rPr>
        <w:t xml:space="preserve"> free at HC/SC, 42% at hospitals and 29% </w:t>
      </w:r>
      <w:r w:rsidR="0089687C">
        <w:rPr>
          <w:lang w:val="en-AU"/>
        </w:rPr>
        <w:t>at APs</w:t>
      </w:r>
      <w:r w:rsidRPr="00E27200">
        <w:rPr>
          <w:lang w:val="en-AU"/>
        </w:rPr>
        <w:t xml:space="preserve">. </w:t>
      </w:r>
    </w:p>
    <w:p w14:paraId="603CF8DD" w14:textId="77777777" w:rsidR="00216F9A" w:rsidRDefault="00216F9A" w:rsidP="00E25C4B">
      <w:pPr>
        <w:rPr>
          <w:lang w:val="en-AU"/>
        </w:rPr>
      </w:pPr>
    </w:p>
    <w:p w14:paraId="1E2425C8" w14:textId="052B9013" w:rsidR="00E25C4B" w:rsidRPr="00B27872" w:rsidRDefault="00E25C4B" w:rsidP="00E25C4B">
      <w:pPr>
        <w:rPr>
          <w:lang w:val="en-AU"/>
        </w:rPr>
      </w:pPr>
      <w:r>
        <w:rPr>
          <w:lang w:val="en-AU"/>
        </w:rPr>
        <w:t>Future analysis would benefit from triangulation of these results with other community-based surveys, including hous</w:t>
      </w:r>
      <w:r w:rsidR="00216F9A">
        <w:rPr>
          <w:lang w:val="en-AU"/>
        </w:rPr>
        <w:t xml:space="preserve">ehold surveys, conducted in PNG; noting that a survey of public and private expenditure is currently being completed, which included some </w:t>
      </w:r>
      <w:r w:rsidR="002B7C19">
        <w:rPr>
          <w:lang w:val="en-AU"/>
        </w:rPr>
        <w:t xml:space="preserve">indicators </w:t>
      </w:r>
      <w:r w:rsidR="00216F9A">
        <w:rPr>
          <w:lang w:val="en-AU"/>
        </w:rPr>
        <w:t>that can be contrasted with these measures.</w:t>
      </w:r>
      <w:r w:rsidR="00AC5453">
        <w:rPr>
          <w:lang w:val="en-AU"/>
        </w:rPr>
        <w:t xml:space="preserve"> The 2009-10 Household Income and Expenditure Survey</w:t>
      </w:r>
      <w:r w:rsidR="00AC5453">
        <w:rPr>
          <w:lang w:val="en-AU"/>
        </w:rPr>
        <w:fldChar w:fldCharType="begin"/>
      </w:r>
      <w:r w:rsidR="00AC5453">
        <w:rPr>
          <w:lang w:val="en-AU"/>
        </w:rPr>
        <w:instrText xml:space="preserve"> ADDIN EN.CITE &lt;EndNote&gt;&lt;Cite&gt;&lt;Author&gt;National Statistical Office&lt;/Author&gt;&lt;Year&gt;2011&lt;/Year&gt;&lt;RecNum&gt;47&lt;/RecNum&gt;&lt;DisplayText&gt;[9]&lt;/DisplayText&gt;&lt;record&gt;&lt;rec-number&gt;47&lt;/rec-number&gt;&lt;foreign-keys&gt;&lt;key app="EN" db-id="ex5s0vddkzxdfhese5yvf5vke2ree5azrt5t"&gt;47&lt;/key&gt;&lt;/foreign-keys&gt;&lt;ref-type name="Report"&gt;27&lt;/ref-type&gt;&lt;contributors&gt;&lt;authors&gt;&lt;author&gt;National Statistical Office,&lt;/author&gt;&lt;/authors&gt;&lt;tertiary-authors&gt;&lt;author&gt;Government of Papua New Guinea&lt;/author&gt;&lt;/tertiary-authors&gt;&lt;/contributors&gt;&lt;titles&gt;&lt;title&gt;Papua New Guinea Household Income and Expenditure Survey 2009-2010&lt;/title&gt;&lt;/titles&gt;&lt;dates&gt;&lt;year&gt;2011&lt;/year&gt;&lt;/dates&gt;&lt;pub-location&gt;Papua New Guinea&lt;/pub-location&gt;&lt;publisher&gt;Government of Papua New Guinea&lt;/publisher&gt;&lt;urls&gt;&lt;/urls&gt;&lt;/record&gt;&lt;/Cite&gt;&lt;/EndNote&gt;</w:instrText>
      </w:r>
      <w:r w:rsidR="00AC5453">
        <w:rPr>
          <w:lang w:val="en-AU"/>
        </w:rPr>
        <w:fldChar w:fldCharType="separate"/>
      </w:r>
      <w:r w:rsidR="00AC5453">
        <w:rPr>
          <w:noProof/>
          <w:lang w:val="en-AU"/>
        </w:rPr>
        <w:t>[</w:t>
      </w:r>
      <w:hyperlink w:anchor="_ENREF_9" w:tooltip="National Statistical Office, 2011 #47" w:history="1">
        <w:r w:rsidR="00E62392">
          <w:rPr>
            <w:noProof/>
            <w:lang w:val="en-AU"/>
          </w:rPr>
          <w:t>9</w:t>
        </w:r>
      </w:hyperlink>
      <w:r w:rsidR="00AC5453">
        <w:rPr>
          <w:noProof/>
          <w:lang w:val="en-AU"/>
        </w:rPr>
        <w:t>]</w:t>
      </w:r>
      <w:r w:rsidR="00AC5453">
        <w:rPr>
          <w:lang w:val="en-AU"/>
        </w:rPr>
        <w:fldChar w:fldCharType="end"/>
      </w:r>
      <w:r w:rsidR="00AC5453">
        <w:rPr>
          <w:lang w:val="en-AU"/>
        </w:rPr>
        <w:t xml:space="preserve"> found that 7.2% of the population had purchased medicines without prescription in the previous month, spending an average of PGK15.6 per person. As noted below, increased medicines availability through the ‘push’ system, supplied free by HFs, is likely to reduce this need for non-prescription spending by community members.</w:t>
      </w:r>
    </w:p>
    <w:p w14:paraId="6BCA27EB" w14:textId="77777777" w:rsidR="00E25C4B" w:rsidRDefault="00E25C4B" w:rsidP="00E25C4B"/>
    <w:p w14:paraId="5B3F3C75" w14:textId="77777777" w:rsidR="00AC5453" w:rsidRPr="00E25C4B" w:rsidRDefault="00AC5453" w:rsidP="00AC5453">
      <w:r>
        <w:t xml:space="preserve">The qualitative data from HF staff interviews confirmed cost savings for HFs, which often translated to reduced cost to the local community. As noted above, private purchase of medicines was a common practice in HFs at times of stock-out. A reduction in stock-outs, supplementing the medicines received in the pull system, helped reduce this need: </w:t>
      </w:r>
      <w:r w:rsidRPr="00C34E16">
        <w:rPr>
          <w:i/>
        </w:rPr>
        <w:t xml:space="preserve">“helps improve and cure lots of </w:t>
      </w:r>
      <w:r w:rsidRPr="00C34E16">
        <w:rPr>
          <w:i/>
        </w:rPr>
        <w:lastRenderedPageBreak/>
        <w:t>diseases. Reduce cost of buying medicines.” (AP, Southern), “…before the arrival of the kits they usually experience drug shortages so they have to buy at local markets. However, since the introduction of the kits it saves them money and provides the required treatment” (SC, Islands).</w:t>
      </w:r>
      <w:r>
        <w:t xml:space="preserve"> Other comments also noted that reduced need to privately purchase medicines during stock-outs also meant reduced cost to community members, because private purchase costs were generally passed onto the patient. </w:t>
      </w:r>
      <w:r w:rsidRPr="006F2F68">
        <w:t xml:space="preserve">Reducing need for referral was also reported as having a community cost savings benefit, as in: </w:t>
      </w:r>
      <w:r w:rsidRPr="00C34E16">
        <w:rPr>
          <w:i/>
        </w:rPr>
        <w:t xml:space="preserve">“Very helpful and supportive. Reduced the patient cost to refer them to the HC in </w:t>
      </w:r>
      <w:proofErr w:type="spellStart"/>
      <w:r w:rsidRPr="00C34E16">
        <w:rPr>
          <w:i/>
        </w:rPr>
        <w:t>Arawa</w:t>
      </w:r>
      <w:proofErr w:type="spellEnd"/>
      <w:r w:rsidRPr="00C34E16">
        <w:rPr>
          <w:i/>
        </w:rPr>
        <w:t>” (AP, Islands</w:t>
      </w:r>
      <w:r w:rsidRPr="006F2F68">
        <w:rPr>
          <w:i/>
        </w:rPr>
        <w:t>)</w:t>
      </w:r>
    </w:p>
    <w:p w14:paraId="0E2C7989" w14:textId="77777777" w:rsidR="00AC5453" w:rsidRDefault="00AC5453" w:rsidP="00E25C4B"/>
    <w:p w14:paraId="5C786B45" w14:textId="3C7EE6A1" w:rsidR="00864903" w:rsidRDefault="00864903" w:rsidP="00AC5453">
      <w:pPr>
        <w:rPr>
          <w:rFonts w:cs="Times New Roman"/>
          <w:b/>
          <w:bCs/>
          <w:spacing w:val="-10"/>
          <w:kern w:val="28"/>
          <w:sz w:val="36"/>
          <w:szCs w:val="36"/>
          <w:lang w:val="en-AU" w:eastAsia="en-AU"/>
        </w:rPr>
      </w:pPr>
      <w:r>
        <w:br w:type="page"/>
      </w:r>
    </w:p>
    <w:p w14:paraId="2D3D9E9A" w14:textId="76E2237D" w:rsidR="000A5CDA" w:rsidRPr="003374B0" w:rsidRDefault="003F0CA4" w:rsidP="003374B0">
      <w:pPr>
        <w:pStyle w:val="Heading1"/>
      </w:pPr>
      <w:bookmarkStart w:id="111" w:name="_Toc245810762"/>
      <w:r>
        <w:lastRenderedPageBreak/>
        <w:t xml:space="preserve">Findings: </w:t>
      </w:r>
      <w:r w:rsidR="00E051C3">
        <w:t>equity</w:t>
      </w:r>
      <w:r w:rsidR="00A56BB5">
        <w:t>, health services</w:t>
      </w:r>
      <w:r w:rsidR="00E051C3">
        <w:t xml:space="preserve"> and </w:t>
      </w:r>
      <w:r>
        <w:t>population health impact</w:t>
      </w:r>
      <w:bookmarkEnd w:id="111"/>
      <w:r>
        <w:t xml:space="preserve"> </w:t>
      </w:r>
    </w:p>
    <w:p w14:paraId="633E8B00" w14:textId="77777777" w:rsidR="007557E4" w:rsidRPr="007557E4" w:rsidRDefault="007557E4" w:rsidP="00851881"/>
    <w:p w14:paraId="6ACFD4C9" w14:textId="4E445078" w:rsidR="002C21FB" w:rsidRDefault="00E051C3" w:rsidP="00851881">
      <w:pPr>
        <w:pStyle w:val="Heading2"/>
      </w:pPr>
      <w:bookmarkStart w:id="112" w:name="_Toc245810763"/>
      <w:r>
        <w:t xml:space="preserve">Equity </w:t>
      </w:r>
      <w:r w:rsidR="00A56BB5">
        <w:t>and health services impact</w:t>
      </w:r>
      <w:bookmarkEnd w:id="112"/>
      <w:r w:rsidR="00A56BB5">
        <w:t xml:space="preserve"> </w:t>
      </w:r>
    </w:p>
    <w:p w14:paraId="7ACD8E43" w14:textId="360D2849" w:rsidR="00F930D1" w:rsidRPr="000A35AA" w:rsidRDefault="00F930D1" w:rsidP="003374B0">
      <w:pPr>
        <w:ind w:left="720"/>
        <w:rPr>
          <w:i/>
          <w:iCs/>
          <w:spacing w:val="-2"/>
          <w:szCs w:val="22"/>
        </w:rPr>
      </w:pPr>
      <w:r w:rsidRPr="000A35AA">
        <w:rPr>
          <w:b/>
          <w:i/>
          <w:iCs/>
          <w:spacing w:val="-2"/>
          <w:szCs w:val="22"/>
          <w:lang w:val="en-AU"/>
        </w:rPr>
        <w:t xml:space="preserve">Key finding: </w:t>
      </w:r>
      <w:r w:rsidRPr="000A35AA">
        <w:rPr>
          <w:i/>
          <w:iCs/>
          <w:spacing w:val="-2"/>
          <w:szCs w:val="22"/>
          <w:lang w:val="en-AU"/>
        </w:rPr>
        <w:t>Overall the ‘push’ distributions have contributed to improved equity in medicines availability. We measured equal availability of relevant tracer medicines in high poverty districts and good penetration to HFs designated as ‘remote’</w:t>
      </w:r>
      <w:r w:rsidR="000A35AA" w:rsidRPr="000A35AA">
        <w:rPr>
          <w:i/>
          <w:iCs/>
          <w:spacing w:val="-2"/>
          <w:szCs w:val="22"/>
          <w:lang w:val="en-AU"/>
        </w:rPr>
        <w:t>, apart from some difficult pockets</w:t>
      </w:r>
      <w:r w:rsidRPr="000A35AA">
        <w:rPr>
          <w:i/>
          <w:iCs/>
          <w:spacing w:val="-2"/>
          <w:szCs w:val="22"/>
          <w:lang w:val="en-AU"/>
        </w:rPr>
        <w:t xml:space="preserve">. Our findings suggest that the kits (‘push’) system is likely to have contributed more, relative to the ‘pull’ system, to medicines availability in disadvantaged areas. Most qualitative data from interviews back up this finding, with many HF staff reporting that a kit delivery has meant a new level of medicines availability in their facility; as well as a range of specific </w:t>
      </w:r>
      <w:r w:rsidR="007920B3" w:rsidRPr="000A35AA">
        <w:rPr>
          <w:i/>
          <w:iCs/>
          <w:spacing w:val="-2"/>
          <w:szCs w:val="22"/>
          <w:lang w:val="en-AU"/>
        </w:rPr>
        <w:t>effects</w:t>
      </w:r>
      <w:r w:rsidRPr="000A35AA">
        <w:rPr>
          <w:i/>
          <w:iCs/>
          <w:spacing w:val="-2"/>
          <w:szCs w:val="22"/>
          <w:lang w:val="en-AU"/>
        </w:rPr>
        <w:t>.</w:t>
      </w:r>
    </w:p>
    <w:p w14:paraId="799C0FD4" w14:textId="77777777" w:rsidR="00F930D1" w:rsidRPr="003374B0" w:rsidRDefault="00F930D1" w:rsidP="003374B0"/>
    <w:p w14:paraId="0B8A9518" w14:textId="0CF6446D" w:rsidR="009D531C" w:rsidRPr="009D531C" w:rsidRDefault="009D531C" w:rsidP="008D11AA">
      <w:pPr>
        <w:pStyle w:val="Heading3"/>
      </w:pPr>
      <w:r>
        <w:t>Poverty</w:t>
      </w:r>
      <w:r w:rsidR="005274CF">
        <w:t xml:space="preserve"> and medicines availability</w:t>
      </w:r>
    </w:p>
    <w:p w14:paraId="355AB3EA" w14:textId="76362C05" w:rsidR="00305B9C" w:rsidRDefault="002C21FB" w:rsidP="002C21FB">
      <w:pPr>
        <w:rPr>
          <w:lang w:val="en-AU"/>
        </w:rPr>
      </w:pPr>
      <w:r>
        <w:rPr>
          <w:lang w:val="en-AU"/>
        </w:rPr>
        <w:t>The ‘push’ system for 40% and 100% HC and AP kits was intended to reach remote and disadvantaged areas of PNG; in line with the aims for equitable access to health embedded in PNG</w:t>
      </w:r>
      <w:r w:rsidR="000A35AA">
        <w:rPr>
          <w:lang w:val="en-AU"/>
        </w:rPr>
        <w:t xml:space="preserve"> health planning</w:t>
      </w:r>
      <w:r>
        <w:rPr>
          <w:lang w:val="en-AU"/>
        </w:rPr>
        <w:t>.</w:t>
      </w:r>
      <w:r w:rsidR="00851881">
        <w:rPr>
          <w:lang w:val="en-AU"/>
        </w:rPr>
        <w:t xml:space="preserve"> </w:t>
      </w:r>
      <w:r w:rsidR="00A86AA4">
        <w:rPr>
          <w:lang w:val="en-AU"/>
        </w:rPr>
        <w:t xml:space="preserve"> Our HF survey sample purposefully included </w:t>
      </w:r>
      <w:r w:rsidR="00C66D37">
        <w:rPr>
          <w:lang w:val="en-AU"/>
        </w:rPr>
        <w:t>some of the 20 most disadvantaged</w:t>
      </w:r>
      <w:r w:rsidR="00A86AA4">
        <w:rPr>
          <w:lang w:val="en-AU"/>
        </w:rPr>
        <w:t xml:space="preserve"> districts that had been classified as </w:t>
      </w:r>
      <w:r w:rsidR="00BF2409">
        <w:rPr>
          <w:lang w:val="en-AU"/>
        </w:rPr>
        <w:t xml:space="preserve">‘high-poverty’ </w:t>
      </w:r>
      <w:r w:rsidR="005274CF">
        <w:rPr>
          <w:lang w:val="en-AU"/>
        </w:rPr>
        <w:t>from</w:t>
      </w:r>
      <w:r w:rsidR="00BF2409">
        <w:rPr>
          <w:lang w:val="en-AU"/>
        </w:rPr>
        <w:t xml:space="preserve"> a World Bank ranking</w:t>
      </w:r>
      <w:r w:rsidR="00BF2409">
        <w:rPr>
          <w:lang w:val="en-AU"/>
        </w:rPr>
        <w:fldChar w:fldCharType="begin"/>
      </w:r>
      <w:r w:rsidR="00864903">
        <w:rPr>
          <w:lang w:val="en-AU"/>
        </w:rPr>
        <w:instrText xml:space="preserve"> ADDIN EN.CITE &lt;EndNote&gt;&lt;Cite&gt;&lt;Author&gt;Datt G&lt;/Author&gt;&lt;Year&gt;2004&lt;/Year&gt;&lt;RecNum&gt;59&lt;/RecNum&gt;&lt;DisplayText&gt;[10]&lt;/DisplayText&gt;&lt;record&gt;&lt;rec-number&gt;59&lt;/rec-number&gt;&lt;foreign-keys&gt;&lt;key app="EN" db-id="ex5s0vddkzxdfhese5yvf5vke2ree5azrt5t"&gt;59&lt;/key&gt;&lt;/foreign-keys&gt;&lt;ref-type name="Report"&gt;27&lt;/ref-type&gt;&lt;contributors&gt;&lt;authors&gt;&lt;author&gt;Datt G, Filmer D, Parajuli D, Hwang V, Cumpa M, Ackland R, Walker T&lt;/author&gt;&lt;/authors&gt;&lt;/contributors&gt;&lt;titles&gt;&lt;title&gt;Poverty Assessment of PNG&lt;/title&gt;&lt;/titles&gt;&lt;dates&gt;&lt;year&gt;2004&lt;/year&gt;&lt;/dates&gt;&lt;pub-location&gt;Port Moresby&lt;/pub-location&gt;&lt;publisher&gt;World Bank Country Office&lt;/publisher&gt;&lt;urls&gt;&lt;/urls&gt;&lt;/record&gt;&lt;/Cite&gt;&lt;/EndNote&gt;</w:instrText>
      </w:r>
      <w:r w:rsidR="00BF2409">
        <w:rPr>
          <w:lang w:val="en-AU"/>
        </w:rPr>
        <w:fldChar w:fldCharType="separate"/>
      </w:r>
      <w:r w:rsidR="00864903">
        <w:rPr>
          <w:noProof/>
          <w:lang w:val="en-AU"/>
        </w:rPr>
        <w:t>[</w:t>
      </w:r>
      <w:hyperlink w:anchor="_ENREF_10" w:tooltip="Datt G, 2004 #59" w:history="1">
        <w:r w:rsidR="00E62392">
          <w:rPr>
            <w:noProof/>
            <w:lang w:val="en-AU"/>
          </w:rPr>
          <w:t>10</w:t>
        </w:r>
      </w:hyperlink>
      <w:r w:rsidR="00864903">
        <w:rPr>
          <w:noProof/>
          <w:lang w:val="en-AU"/>
        </w:rPr>
        <w:t>]</w:t>
      </w:r>
      <w:r w:rsidR="00BF2409">
        <w:rPr>
          <w:lang w:val="en-AU"/>
        </w:rPr>
        <w:fldChar w:fldCharType="end"/>
      </w:r>
      <w:r w:rsidR="00BF2409">
        <w:rPr>
          <w:lang w:val="en-AU"/>
        </w:rPr>
        <w:t xml:space="preserve"> that is still being used in PNG. The table below disaggregates surveyed HFs</w:t>
      </w:r>
      <w:r w:rsidR="00256398">
        <w:rPr>
          <w:lang w:val="en-AU"/>
        </w:rPr>
        <w:t xml:space="preserve"> in our sample</w:t>
      </w:r>
      <w:r w:rsidR="00BF2409">
        <w:rPr>
          <w:lang w:val="en-AU"/>
        </w:rPr>
        <w:t xml:space="preserve"> by whether or not they were in a ‘high-poverty’ district. </w:t>
      </w:r>
    </w:p>
    <w:p w14:paraId="7C8CE795" w14:textId="77777777" w:rsidR="00305B9C" w:rsidRDefault="00305B9C" w:rsidP="002C21FB">
      <w:pPr>
        <w:rPr>
          <w:lang w:val="en-AU"/>
        </w:rPr>
      </w:pPr>
    </w:p>
    <w:p w14:paraId="5F59F436" w14:textId="3EB38AD0" w:rsidR="00305B9C" w:rsidRPr="003374B0" w:rsidRDefault="004A1CA0" w:rsidP="002C21FB">
      <w:pPr>
        <w:rPr>
          <w:b/>
          <w:lang w:val="en-AU"/>
        </w:rPr>
      </w:pPr>
      <w:r>
        <w:rPr>
          <w:b/>
          <w:lang w:val="en-AU"/>
        </w:rPr>
        <w:t>Table 16</w:t>
      </w:r>
      <w:r w:rsidR="00861D19">
        <w:rPr>
          <w:b/>
          <w:lang w:val="en-AU"/>
        </w:rPr>
        <w:t>: Surveyed health facilities in ‘high-poverty’ and ‘non-high-poverty’ districts</w:t>
      </w:r>
    </w:p>
    <w:tbl>
      <w:tblPr>
        <w:tblStyle w:val="TableGrid"/>
        <w:tblW w:w="0" w:type="auto"/>
        <w:tblInd w:w="108" w:type="dxa"/>
        <w:tblLayout w:type="fixed"/>
        <w:tblLook w:val="04A0" w:firstRow="1" w:lastRow="0" w:firstColumn="1" w:lastColumn="0" w:noHBand="0" w:noVBand="1"/>
      </w:tblPr>
      <w:tblGrid>
        <w:gridCol w:w="2552"/>
        <w:gridCol w:w="1047"/>
        <w:gridCol w:w="1331"/>
        <w:gridCol w:w="1331"/>
        <w:gridCol w:w="1332"/>
      </w:tblGrid>
      <w:tr w:rsidR="00256398" w:rsidRPr="00256398" w14:paraId="0D14AD6E" w14:textId="77777777" w:rsidTr="003374B0">
        <w:trPr>
          <w:trHeight w:val="938"/>
        </w:trPr>
        <w:tc>
          <w:tcPr>
            <w:tcW w:w="2552" w:type="dxa"/>
            <w:vAlign w:val="bottom"/>
          </w:tcPr>
          <w:p w14:paraId="487E13E4" w14:textId="77777777" w:rsidR="00E94328" w:rsidRPr="003374B0" w:rsidRDefault="00E94328" w:rsidP="003374B0">
            <w:pPr>
              <w:jc w:val="right"/>
              <w:rPr>
                <w:sz w:val="22"/>
                <w:szCs w:val="22"/>
                <w:lang w:val="en-AU"/>
              </w:rPr>
            </w:pPr>
          </w:p>
          <w:p w14:paraId="39638368" w14:textId="354A4AFC" w:rsidR="00E94328" w:rsidRPr="0048267C" w:rsidRDefault="00E94328" w:rsidP="003374B0">
            <w:pPr>
              <w:jc w:val="right"/>
              <w:rPr>
                <w:b/>
                <w:sz w:val="22"/>
                <w:szCs w:val="22"/>
                <w:lang w:val="en-AU"/>
              </w:rPr>
            </w:pPr>
            <w:r w:rsidRPr="0048267C">
              <w:rPr>
                <w:b/>
                <w:szCs w:val="22"/>
                <w:lang w:val="en-AU"/>
              </w:rPr>
              <w:t>In ‘high-poverty district’</w:t>
            </w:r>
            <w:r w:rsidR="00256398" w:rsidRPr="0048267C">
              <w:rPr>
                <w:b/>
                <w:szCs w:val="22"/>
                <w:lang w:val="en-AU"/>
              </w:rPr>
              <w:t>?</w:t>
            </w:r>
          </w:p>
        </w:tc>
        <w:tc>
          <w:tcPr>
            <w:tcW w:w="1047" w:type="dxa"/>
            <w:vAlign w:val="center"/>
          </w:tcPr>
          <w:p w14:paraId="39B4F58A" w14:textId="6B21017C" w:rsidR="00E94328" w:rsidRPr="003374B0" w:rsidRDefault="00E94328" w:rsidP="003374B0">
            <w:pPr>
              <w:jc w:val="center"/>
              <w:rPr>
                <w:sz w:val="22"/>
                <w:szCs w:val="22"/>
                <w:lang w:val="en-AU"/>
              </w:rPr>
            </w:pPr>
            <w:r w:rsidRPr="003374B0">
              <w:rPr>
                <w:szCs w:val="22"/>
                <w:lang w:val="en-AU"/>
              </w:rPr>
              <w:t>Hospital</w:t>
            </w:r>
          </w:p>
        </w:tc>
        <w:tc>
          <w:tcPr>
            <w:tcW w:w="1331" w:type="dxa"/>
            <w:vAlign w:val="center"/>
          </w:tcPr>
          <w:p w14:paraId="6E3C70EB" w14:textId="6C42CFA1" w:rsidR="00E94328" w:rsidRPr="003374B0" w:rsidRDefault="00E94328" w:rsidP="003374B0">
            <w:pPr>
              <w:jc w:val="center"/>
              <w:rPr>
                <w:sz w:val="22"/>
                <w:szCs w:val="22"/>
                <w:lang w:val="en-AU"/>
              </w:rPr>
            </w:pPr>
            <w:r w:rsidRPr="003374B0">
              <w:rPr>
                <w:szCs w:val="22"/>
                <w:lang w:val="en-AU"/>
              </w:rPr>
              <w:t>HC</w:t>
            </w:r>
          </w:p>
        </w:tc>
        <w:tc>
          <w:tcPr>
            <w:tcW w:w="1331" w:type="dxa"/>
            <w:vAlign w:val="center"/>
          </w:tcPr>
          <w:p w14:paraId="1FC4D3A5" w14:textId="5A244EBE" w:rsidR="00E94328" w:rsidRPr="003374B0" w:rsidRDefault="00E94328" w:rsidP="003374B0">
            <w:pPr>
              <w:jc w:val="center"/>
              <w:rPr>
                <w:sz w:val="22"/>
                <w:szCs w:val="22"/>
                <w:lang w:val="en-AU"/>
              </w:rPr>
            </w:pPr>
            <w:r w:rsidRPr="003374B0">
              <w:rPr>
                <w:szCs w:val="22"/>
                <w:lang w:val="en-AU"/>
              </w:rPr>
              <w:t>AP</w:t>
            </w:r>
          </w:p>
        </w:tc>
        <w:tc>
          <w:tcPr>
            <w:tcW w:w="1332" w:type="dxa"/>
            <w:vAlign w:val="center"/>
          </w:tcPr>
          <w:p w14:paraId="5CF8268C" w14:textId="3DEDC795" w:rsidR="00E94328" w:rsidRPr="003374B0" w:rsidRDefault="00E94328" w:rsidP="003374B0">
            <w:pPr>
              <w:jc w:val="center"/>
              <w:rPr>
                <w:b/>
                <w:sz w:val="22"/>
                <w:szCs w:val="22"/>
                <w:lang w:val="en-AU"/>
              </w:rPr>
            </w:pPr>
            <w:r w:rsidRPr="003374B0">
              <w:rPr>
                <w:b/>
                <w:szCs w:val="22"/>
                <w:lang w:val="en-AU"/>
              </w:rPr>
              <w:t>Total</w:t>
            </w:r>
          </w:p>
        </w:tc>
      </w:tr>
      <w:tr w:rsidR="00256398" w:rsidRPr="00256398" w14:paraId="4FA0F757" w14:textId="77777777" w:rsidTr="003374B0">
        <w:tc>
          <w:tcPr>
            <w:tcW w:w="2552" w:type="dxa"/>
          </w:tcPr>
          <w:p w14:paraId="6D4E0AC2" w14:textId="3C26F91D" w:rsidR="00E94328" w:rsidRPr="003374B0" w:rsidRDefault="00256398" w:rsidP="003374B0">
            <w:pPr>
              <w:jc w:val="right"/>
              <w:rPr>
                <w:sz w:val="22"/>
                <w:szCs w:val="22"/>
                <w:lang w:val="en-AU"/>
              </w:rPr>
            </w:pPr>
            <w:r>
              <w:rPr>
                <w:sz w:val="22"/>
                <w:szCs w:val="22"/>
                <w:lang w:val="en-AU"/>
              </w:rPr>
              <w:t>No</w:t>
            </w:r>
          </w:p>
        </w:tc>
        <w:tc>
          <w:tcPr>
            <w:tcW w:w="1047" w:type="dxa"/>
            <w:vAlign w:val="center"/>
          </w:tcPr>
          <w:p w14:paraId="65FF9E59" w14:textId="11B17B82" w:rsidR="00E94328" w:rsidRPr="003374B0" w:rsidRDefault="00256398" w:rsidP="003374B0">
            <w:pPr>
              <w:jc w:val="center"/>
              <w:rPr>
                <w:sz w:val="22"/>
                <w:szCs w:val="22"/>
                <w:lang w:val="en-AU"/>
              </w:rPr>
            </w:pPr>
            <w:r>
              <w:rPr>
                <w:sz w:val="22"/>
                <w:szCs w:val="22"/>
                <w:lang w:val="en-AU"/>
              </w:rPr>
              <w:t>11</w:t>
            </w:r>
          </w:p>
        </w:tc>
        <w:tc>
          <w:tcPr>
            <w:tcW w:w="1331" w:type="dxa"/>
            <w:vAlign w:val="center"/>
          </w:tcPr>
          <w:p w14:paraId="1A6AAF80" w14:textId="60DBE0FF" w:rsidR="00E94328" w:rsidRPr="003374B0" w:rsidRDefault="00256398" w:rsidP="003374B0">
            <w:pPr>
              <w:jc w:val="center"/>
              <w:rPr>
                <w:sz w:val="22"/>
                <w:szCs w:val="22"/>
                <w:lang w:val="en-AU"/>
              </w:rPr>
            </w:pPr>
            <w:r>
              <w:rPr>
                <w:sz w:val="22"/>
                <w:szCs w:val="22"/>
                <w:lang w:val="en-AU"/>
              </w:rPr>
              <w:t>28</w:t>
            </w:r>
          </w:p>
        </w:tc>
        <w:tc>
          <w:tcPr>
            <w:tcW w:w="1331" w:type="dxa"/>
            <w:vAlign w:val="center"/>
          </w:tcPr>
          <w:p w14:paraId="09DB7BF3" w14:textId="6E538E5F" w:rsidR="00E94328" w:rsidRPr="003374B0" w:rsidRDefault="00256398" w:rsidP="003374B0">
            <w:pPr>
              <w:jc w:val="center"/>
              <w:rPr>
                <w:sz w:val="22"/>
                <w:szCs w:val="22"/>
                <w:lang w:val="en-AU"/>
              </w:rPr>
            </w:pPr>
            <w:r>
              <w:rPr>
                <w:sz w:val="22"/>
                <w:szCs w:val="22"/>
                <w:lang w:val="en-AU"/>
              </w:rPr>
              <w:t>37</w:t>
            </w:r>
          </w:p>
        </w:tc>
        <w:tc>
          <w:tcPr>
            <w:tcW w:w="1332" w:type="dxa"/>
            <w:vAlign w:val="center"/>
          </w:tcPr>
          <w:p w14:paraId="442EC077" w14:textId="0074DA21" w:rsidR="00E94328" w:rsidRPr="003374B0" w:rsidRDefault="00256398" w:rsidP="003374B0">
            <w:pPr>
              <w:jc w:val="center"/>
              <w:rPr>
                <w:b/>
                <w:sz w:val="22"/>
                <w:szCs w:val="22"/>
                <w:lang w:val="en-AU"/>
              </w:rPr>
            </w:pPr>
            <w:r w:rsidRPr="003374B0">
              <w:rPr>
                <w:b/>
                <w:szCs w:val="22"/>
                <w:lang w:val="en-AU"/>
              </w:rPr>
              <w:t>76</w:t>
            </w:r>
          </w:p>
        </w:tc>
      </w:tr>
      <w:tr w:rsidR="00256398" w:rsidRPr="00256398" w14:paraId="29B41085" w14:textId="77777777" w:rsidTr="003374B0">
        <w:tc>
          <w:tcPr>
            <w:tcW w:w="2552" w:type="dxa"/>
          </w:tcPr>
          <w:p w14:paraId="6D3DA21D" w14:textId="0ECF45D3" w:rsidR="00E94328" w:rsidRPr="003374B0" w:rsidRDefault="00256398" w:rsidP="003374B0">
            <w:pPr>
              <w:jc w:val="right"/>
              <w:rPr>
                <w:sz w:val="22"/>
                <w:szCs w:val="22"/>
                <w:lang w:val="en-AU"/>
              </w:rPr>
            </w:pPr>
            <w:r>
              <w:rPr>
                <w:szCs w:val="22"/>
                <w:lang w:val="en-AU"/>
              </w:rPr>
              <w:t>Yes</w:t>
            </w:r>
          </w:p>
        </w:tc>
        <w:tc>
          <w:tcPr>
            <w:tcW w:w="1047" w:type="dxa"/>
            <w:vAlign w:val="center"/>
          </w:tcPr>
          <w:p w14:paraId="708126BF" w14:textId="3352D4A4" w:rsidR="00E94328" w:rsidRPr="003374B0" w:rsidRDefault="00256398" w:rsidP="003374B0">
            <w:pPr>
              <w:jc w:val="center"/>
              <w:rPr>
                <w:sz w:val="22"/>
                <w:szCs w:val="22"/>
                <w:lang w:val="en-AU"/>
              </w:rPr>
            </w:pPr>
            <w:r>
              <w:rPr>
                <w:sz w:val="22"/>
                <w:szCs w:val="22"/>
                <w:lang w:val="en-AU"/>
              </w:rPr>
              <w:t>2</w:t>
            </w:r>
          </w:p>
        </w:tc>
        <w:tc>
          <w:tcPr>
            <w:tcW w:w="1331" w:type="dxa"/>
            <w:vAlign w:val="center"/>
          </w:tcPr>
          <w:p w14:paraId="25B8631A" w14:textId="0BB45AA4" w:rsidR="00E94328" w:rsidRPr="003374B0" w:rsidRDefault="00256398" w:rsidP="003374B0">
            <w:pPr>
              <w:jc w:val="center"/>
              <w:rPr>
                <w:sz w:val="22"/>
                <w:szCs w:val="22"/>
                <w:lang w:val="en-AU"/>
              </w:rPr>
            </w:pPr>
            <w:r>
              <w:rPr>
                <w:sz w:val="22"/>
                <w:szCs w:val="22"/>
                <w:lang w:val="en-AU"/>
              </w:rPr>
              <w:t>12</w:t>
            </w:r>
          </w:p>
        </w:tc>
        <w:tc>
          <w:tcPr>
            <w:tcW w:w="1331" w:type="dxa"/>
            <w:vAlign w:val="center"/>
          </w:tcPr>
          <w:p w14:paraId="2DBE9DB6" w14:textId="21060EDC" w:rsidR="00E94328" w:rsidRPr="003374B0" w:rsidRDefault="00256398" w:rsidP="003374B0">
            <w:pPr>
              <w:jc w:val="center"/>
              <w:rPr>
                <w:sz w:val="22"/>
                <w:szCs w:val="22"/>
                <w:lang w:val="en-AU"/>
              </w:rPr>
            </w:pPr>
            <w:r>
              <w:rPr>
                <w:sz w:val="22"/>
                <w:szCs w:val="22"/>
                <w:lang w:val="en-AU"/>
              </w:rPr>
              <w:t>13</w:t>
            </w:r>
          </w:p>
        </w:tc>
        <w:tc>
          <w:tcPr>
            <w:tcW w:w="1332" w:type="dxa"/>
            <w:vAlign w:val="center"/>
          </w:tcPr>
          <w:p w14:paraId="04B50A9D" w14:textId="1DE0CD0D" w:rsidR="00E94328" w:rsidRPr="003374B0" w:rsidRDefault="00256398" w:rsidP="003374B0">
            <w:pPr>
              <w:jc w:val="center"/>
              <w:rPr>
                <w:b/>
                <w:sz w:val="22"/>
                <w:szCs w:val="22"/>
                <w:lang w:val="en-AU"/>
              </w:rPr>
            </w:pPr>
            <w:r w:rsidRPr="003374B0">
              <w:rPr>
                <w:b/>
                <w:szCs w:val="22"/>
                <w:lang w:val="en-AU"/>
              </w:rPr>
              <w:t>27</w:t>
            </w:r>
          </w:p>
        </w:tc>
      </w:tr>
      <w:tr w:rsidR="00256398" w:rsidRPr="00256398" w14:paraId="67FF4EC7" w14:textId="77777777" w:rsidTr="003374B0">
        <w:tc>
          <w:tcPr>
            <w:tcW w:w="2552" w:type="dxa"/>
          </w:tcPr>
          <w:p w14:paraId="7BEA8E43" w14:textId="7EFE2101" w:rsidR="00E94328" w:rsidRPr="0048267C" w:rsidRDefault="00256398" w:rsidP="003374B0">
            <w:pPr>
              <w:jc w:val="right"/>
              <w:rPr>
                <w:b/>
                <w:sz w:val="22"/>
                <w:szCs w:val="22"/>
                <w:lang w:val="en-AU"/>
              </w:rPr>
            </w:pPr>
            <w:r w:rsidRPr="0048267C">
              <w:rPr>
                <w:b/>
                <w:szCs w:val="22"/>
                <w:lang w:val="en-AU"/>
              </w:rPr>
              <w:t>Total</w:t>
            </w:r>
          </w:p>
        </w:tc>
        <w:tc>
          <w:tcPr>
            <w:tcW w:w="1047" w:type="dxa"/>
            <w:vAlign w:val="center"/>
          </w:tcPr>
          <w:p w14:paraId="70609946" w14:textId="4A29EE81" w:rsidR="00E94328" w:rsidRPr="003374B0" w:rsidRDefault="002A65A5" w:rsidP="003374B0">
            <w:pPr>
              <w:jc w:val="center"/>
              <w:rPr>
                <w:sz w:val="22"/>
                <w:szCs w:val="22"/>
                <w:lang w:val="en-AU"/>
              </w:rPr>
            </w:pPr>
            <w:r>
              <w:rPr>
                <w:sz w:val="22"/>
                <w:szCs w:val="22"/>
                <w:lang w:val="en-AU"/>
              </w:rPr>
              <w:t>13</w:t>
            </w:r>
          </w:p>
        </w:tc>
        <w:tc>
          <w:tcPr>
            <w:tcW w:w="1331" w:type="dxa"/>
            <w:vAlign w:val="center"/>
          </w:tcPr>
          <w:p w14:paraId="44E4F2DD" w14:textId="45AFB9D5" w:rsidR="00E94328" w:rsidRPr="003374B0" w:rsidRDefault="002A65A5" w:rsidP="003374B0">
            <w:pPr>
              <w:jc w:val="center"/>
              <w:rPr>
                <w:sz w:val="22"/>
                <w:szCs w:val="22"/>
                <w:lang w:val="en-AU"/>
              </w:rPr>
            </w:pPr>
            <w:r>
              <w:rPr>
                <w:sz w:val="22"/>
                <w:szCs w:val="22"/>
                <w:lang w:val="en-AU"/>
              </w:rPr>
              <w:t>40</w:t>
            </w:r>
          </w:p>
        </w:tc>
        <w:tc>
          <w:tcPr>
            <w:tcW w:w="1331" w:type="dxa"/>
            <w:vAlign w:val="center"/>
          </w:tcPr>
          <w:p w14:paraId="1E45D96F" w14:textId="0178FA99" w:rsidR="00E94328" w:rsidRPr="003374B0" w:rsidRDefault="002A65A5" w:rsidP="003374B0">
            <w:pPr>
              <w:jc w:val="center"/>
              <w:rPr>
                <w:sz w:val="22"/>
                <w:szCs w:val="22"/>
                <w:lang w:val="en-AU"/>
              </w:rPr>
            </w:pPr>
            <w:r>
              <w:rPr>
                <w:sz w:val="22"/>
                <w:szCs w:val="22"/>
                <w:lang w:val="en-AU"/>
              </w:rPr>
              <w:t>103</w:t>
            </w:r>
          </w:p>
        </w:tc>
        <w:tc>
          <w:tcPr>
            <w:tcW w:w="1332" w:type="dxa"/>
            <w:vAlign w:val="center"/>
          </w:tcPr>
          <w:p w14:paraId="78B3464C" w14:textId="542733E1" w:rsidR="00E94328" w:rsidRPr="003374B0" w:rsidRDefault="00256398" w:rsidP="003374B0">
            <w:pPr>
              <w:jc w:val="center"/>
              <w:rPr>
                <w:b/>
                <w:sz w:val="22"/>
                <w:szCs w:val="22"/>
                <w:lang w:val="en-AU"/>
              </w:rPr>
            </w:pPr>
            <w:r w:rsidRPr="003374B0">
              <w:rPr>
                <w:b/>
                <w:szCs w:val="22"/>
                <w:lang w:val="en-AU"/>
              </w:rPr>
              <w:t>103</w:t>
            </w:r>
          </w:p>
        </w:tc>
      </w:tr>
    </w:tbl>
    <w:p w14:paraId="5CE9BB90" w14:textId="77777777" w:rsidR="002C4AF3" w:rsidRDefault="002C4AF3" w:rsidP="002C21FB">
      <w:pPr>
        <w:rPr>
          <w:lang w:val="en-AU"/>
        </w:rPr>
      </w:pPr>
    </w:p>
    <w:p w14:paraId="25DBC45D" w14:textId="3F50E194" w:rsidR="002C21FB" w:rsidRDefault="002A65A5" w:rsidP="002C21FB">
      <w:pPr>
        <w:rPr>
          <w:lang w:val="en-AU"/>
        </w:rPr>
      </w:pPr>
      <w:r>
        <w:rPr>
          <w:lang w:val="en-AU"/>
        </w:rPr>
        <w:t xml:space="preserve">HFs </w:t>
      </w:r>
      <w:r w:rsidR="005274CF">
        <w:rPr>
          <w:lang w:val="en-AU"/>
        </w:rPr>
        <w:t xml:space="preserve">from our sample </w:t>
      </w:r>
      <w:r>
        <w:rPr>
          <w:lang w:val="en-AU"/>
        </w:rPr>
        <w:t xml:space="preserve">designated as ‘high-poverty’ were fairly evenly distributed across ecological regions, although there were relatively more in </w:t>
      </w:r>
      <w:proofErr w:type="spellStart"/>
      <w:r>
        <w:rPr>
          <w:lang w:val="en-AU"/>
        </w:rPr>
        <w:t>Momase</w:t>
      </w:r>
      <w:proofErr w:type="spellEnd"/>
      <w:r>
        <w:rPr>
          <w:lang w:val="en-AU"/>
        </w:rPr>
        <w:t xml:space="preserve"> (10) and fewer (4) in the Highlands. </w:t>
      </w:r>
      <w:r w:rsidR="00BF2409">
        <w:rPr>
          <w:lang w:val="en-AU"/>
        </w:rPr>
        <w:t xml:space="preserve">We </w:t>
      </w:r>
      <w:r w:rsidR="00CE32F7">
        <w:rPr>
          <w:lang w:val="en-AU"/>
        </w:rPr>
        <w:t>contrasted</w:t>
      </w:r>
      <w:r w:rsidR="00BF2409">
        <w:rPr>
          <w:lang w:val="en-AU"/>
        </w:rPr>
        <w:t xml:space="preserve"> overall </w:t>
      </w:r>
      <w:r>
        <w:rPr>
          <w:lang w:val="en-AU"/>
        </w:rPr>
        <w:t xml:space="preserve">tracer </w:t>
      </w:r>
      <w:r w:rsidR="00BF2409">
        <w:rPr>
          <w:lang w:val="en-AU"/>
        </w:rPr>
        <w:t>medicines</w:t>
      </w:r>
      <w:r>
        <w:rPr>
          <w:lang w:val="en-AU"/>
        </w:rPr>
        <w:t xml:space="preserve"> availability measures</w:t>
      </w:r>
      <w:r w:rsidR="00B364D5">
        <w:rPr>
          <w:lang w:val="en-AU"/>
        </w:rPr>
        <w:t xml:space="preserve"> (as described in Section 5)</w:t>
      </w:r>
      <w:r w:rsidR="00CE32F7">
        <w:rPr>
          <w:lang w:val="en-AU"/>
        </w:rPr>
        <w:t xml:space="preserve"> for HFs in ‘high-poverty’ compared with ‘non-high-poverty’ districts </w:t>
      </w:r>
      <w:r>
        <w:rPr>
          <w:lang w:val="en-AU"/>
        </w:rPr>
        <w:t>(available for 91 HFs after</w:t>
      </w:r>
      <w:r w:rsidR="005274CF">
        <w:rPr>
          <w:lang w:val="en-AU"/>
        </w:rPr>
        <w:t xml:space="preserve"> excluding</w:t>
      </w:r>
      <w:r>
        <w:rPr>
          <w:lang w:val="en-AU"/>
        </w:rPr>
        <w:t xml:space="preserve"> APs that were not visited).</w:t>
      </w:r>
      <w:r w:rsidR="00CE32F7">
        <w:rPr>
          <w:lang w:val="en-AU"/>
        </w:rPr>
        <w:t xml:space="preserve">  We also disaggregated this by the three levels in the health system. These results are presented in the table below</w:t>
      </w:r>
      <w:r w:rsidR="00722746">
        <w:rPr>
          <w:lang w:val="en-AU"/>
        </w:rPr>
        <w:t xml:space="preserve"> and demonstrate equal availability of essential tracer medicines in high poverty districts. The pattern of </w:t>
      </w:r>
      <w:r w:rsidR="00235036">
        <w:rPr>
          <w:lang w:val="en-AU"/>
        </w:rPr>
        <w:t xml:space="preserve">overall </w:t>
      </w:r>
      <w:r w:rsidR="00722746">
        <w:rPr>
          <w:lang w:val="en-AU"/>
        </w:rPr>
        <w:t>lower availability at the AP level is seen, a</w:t>
      </w:r>
      <w:r w:rsidR="00235036">
        <w:rPr>
          <w:lang w:val="en-AU"/>
        </w:rPr>
        <w:t>s in Section 5, but even at the AP</w:t>
      </w:r>
      <w:r w:rsidR="00722746">
        <w:rPr>
          <w:lang w:val="en-AU"/>
        </w:rPr>
        <w:t xml:space="preserve"> level, there is no difference between ‘high-poverty’ and ‘non-high-poverty’ districts. </w:t>
      </w:r>
    </w:p>
    <w:p w14:paraId="7D41243D" w14:textId="77777777" w:rsidR="0031496F" w:rsidRDefault="0031496F" w:rsidP="002C21FB">
      <w:pPr>
        <w:rPr>
          <w:lang w:val="en-AU"/>
        </w:rPr>
      </w:pPr>
    </w:p>
    <w:p w14:paraId="7E07BE7B" w14:textId="41BCC010" w:rsidR="00B364D5" w:rsidRPr="003374B0" w:rsidRDefault="004A1CA0" w:rsidP="002C21FB">
      <w:pPr>
        <w:rPr>
          <w:b/>
          <w:lang w:val="en-AU"/>
        </w:rPr>
      </w:pPr>
      <w:r>
        <w:rPr>
          <w:b/>
          <w:lang w:val="en-AU"/>
        </w:rPr>
        <w:t>Table 17</w:t>
      </w:r>
      <w:r w:rsidR="00B364D5">
        <w:rPr>
          <w:b/>
          <w:lang w:val="en-AU"/>
        </w:rPr>
        <w:t xml:space="preserve">: Medicines </w:t>
      </w:r>
      <w:r w:rsidR="00A2674E">
        <w:rPr>
          <w:b/>
          <w:lang w:val="en-AU"/>
        </w:rPr>
        <w:t>availability by ‘high-poverty’ districts</w:t>
      </w:r>
    </w:p>
    <w:tbl>
      <w:tblPr>
        <w:tblStyle w:val="TableGrid"/>
        <w:tblW w:w="0" w:type="auto"/>
        <w:tblLook w:val="04A0" w:firstRow="1" w:lastRow="0" w:firstColumn="1" w:lastColumn="0" w:noHBand="0" w:noVBand="1"/>
      </w:tblPr>
      <w:tblGrid>
        <w:gridCol w:w="1368"/>
        <w:gridCol w:w="2709"/>
        <w:gridCol w:w="1560"/>
        <w:gridCol w:w="1352"/>
        <w:gridCol w:w="1559"/>
      </w:tblGrid>
      <w:tr w:rsidR="001C06E1" w:rsidRPr="00A2674E" w14:paraId="2ED88933" w14:textId="77777777" w:rsidTr="003374B0">
        <w:tc>
          <w:tcPr>
            <w:tcW w:w="1368" w:type="dxa"/>
            <w:vMerge w:val="restart"/>
            <w:vAlign w:val="bottom"/>
          </w:tcPr>
          <w:p w14:paraId="085A0175" w14:textId="77777777" w:rsidR="001C06E1" w:rsidRPr="003374B0" w:rsidRDefault="001C06E1" w:rsidP="003374B0">
            <w:pPr>
              <w:jc w:val="right"/>
              <w:rPr>
                <w:lang w:val="en-AU"/>
              </w:rPr>
            </w:pPr>
          </w:p>
          <w:p w14:paraId="7FF69A06" w14:textId="77777777" w:rsidR="001C06E1" w:rsidRPr="003374B0" w:rsidRDefault="001C06E1" w:rsidP="003374B0">
            <w:pPr>
              <w:jc w:val="right"/>
              <w:rPr>
                <w:lang w:val="en-AU"/>
              </w:rPr>
            </w:pPr>
          </w:p>
          <w:p w14:paraId="327FE50C" w14:textId="77777777" w:rsidR="001C06E1" w:rsidRPr="003374B0" w:rsidRDefault="001C06E1" w:rsidP="003374B0">
            <w:pPr>
              <w:jc w:val="right"/>
              <w:rPr>
                <w:lang w:val="en-AU"/>
              </w:rPr>
            </w:pPr>
          </w:p>
          <w:p w14:paraId="2C59EC34" w14:textId="51DFF7EE" w:rsidR="001C06E1" w:rsidRPr="003374B0" w:rsidRDefault="001C06E1" w:rsidP="003374B0">
            <w:pPr>
              <w:jc w:val="right"/>
              <w:rPr>
                <w:lang w:val="en-AU"/>
              </w:rPr>
            </w:pPr>
            <w:r w:rsidRPr="003374B0">
              <w:rPr>
                <w:lang w:val="en-AU"/>
              </w:rPr>
              <w:t>‘High-poverty district’?</w:t>
            </w:r>
          </w:p>
        </w:tc>
        <w:tc>
          <w:tcPr>
            <w:tcW w:w="2709" w:type="dxa"/>
            <w:vMerge w:val="restart"/>
            <w:vAlign w:val="center"/>
          </w:tcPr>
          <w:p w14:paraId="1897FF7D" w14:textId="183751CF" w:rsidR="001C06E1" w:rsidRPr="003374B0" w:rsidRDefault="001C06E1" w:rsidP="003374B0">
            <w:pPr>
              <w:jc w:val="center"/>
              <w:rPr>
                <w:lang w:val="en-AU"/>
              </w:rPr>
            </w:pPr>
            <w:r w:rsidRPr="00A2674E">
              <w:rPr>
                <w:lang w:val="en-AU"/>
              </w:rPr>
              <w:t>Overall availability</w:t>
            </w:r>
          </w:p>
          <w:p w14:paraId="6F44D222" w14:textId="77777777" w:rsidR="001C06E1" w:rsidRPr="00C34E16" w:rsidRDefault="001C06E1" w:rsidP="00051E4B">
            <w:pPr>
              <w:jc w:val="center"/>
              <w:rPr>
                <w:i/>
                <w:lang w:val="en-AU"/>
              </w:rPr>
            </w:pPr>
            <w:r w:rsidRPr="00C34E16">
              <w:rPr>
                <w:i/>
                <w:lang w:val="en-AU"/>
              </w:rPr>
              <w:t>% of relevant tracer medicines</w:t>
            </w:r>
          </w:p>
          <w:p w14:paraId="10C7411D" w14:textId="3E3E4B07" w:rsidR="001C06E1" w:rsidRPr="003374B0" w:rsidRDefault="001C06E1" w:rsidP="003374B0">
            <w:pPr>
              <w:jc w:val="center"/>
              <w:rPr>
                <w:i/>
                <w:lang w:val="en-AU"/>
              </w:rPr>
            </w:pPr>
            <w:r w:rsidRPr="00C34E16">
              <w:rPr>
                <w:i/>
                <w:lang w:val="en-AU"/>
              </w:rPr>
              <w:t>(95% CI)</w:t>
            </w:r>
          </w:p>
        </w:tc>
        <w:tc>
          <w:tcPr>
            <w:tcW w:w="4471" w:type="dxa"/>
            <w:gridSpan w:val="3"/>
            <w:vAlign w:val="center"/>
          </w:tcPr>
          <w:p w14:paraId="458E1850" w14:textId="26614760" w:rsidR="001C06E1" w:rsidRDefault="001C06E1" w:rsidP="003374B0">
            <w:pPr>
              <w:jc w:val="center"/>
              <w:rPr>
                <w:sz w:val="22"/>
                <w:lang w:val="en-AU"/>
              </w:rPr>
            </w:pPr>
            <w:r w:rsidRPr="00A2674E">
              <w:rPr>
                <w:lang w:val="en-AU"/>
              </w:rPr>
              <w:t xml:space="preserve">Availability </w:t>
            </w:r>
            <w:r>
              <w:rPr>
                <w:lang w:val="en-AU"/>
              </w:rPr>
              <w:t>by</w:t>
            </w:r>
            <w:r w:rsidRPr="00A2674E">
              <w:rPr>
                <w:lang w:val="en-AU"/>
              </w:rPr>
              <w:t xml:space="preserve"> health system level</w:t>
            </w:r>
          </w:p>
          <w:p w14:paraId="7747804A" w14:textId="77777777" w:rsidR="001C06E1" w:rsidRPr="00C34E16" w:rsidRDefault="001C06E1" w:rsidP="00051E4B">
            <w:pPr>
              <w:jc w:val="center"/>
              <w:rPr>
                <w:i/>
                <w:lang w:val="en-AU"/>
              </w:rPr>
            </w:pPr>
            <w:r w:rsidRPr="00C34E16">
              <w:rPr>
                <w:i/>
                <w:lang w:val="en-AU"/>
              </w:rPr>
              <w:t>% of relevant tracer medicines</w:t>
            </w:r>
          </w:p>
          <w:p w14:paraId="7BF901AF" w14:textId="0D117ED0" w:rsidR="001C06E1" w:rsidRPr="003374B0" w:rsidRDefault="001C06E1" w:rsidP="003374B0">
            <w:pPr>
              <w:jc w:val="center"/>
              <w:rPr>
                <w:lang w:val="en-AU"/>
              </w:rPr>
            </w:pPr>
            <w:r w:rsidRPr="00C34E16">
              <w:rPr>
                <w:i/>
                <w:lang w:val="en-AU"/>
              </w:rPr>
              <w:t>(95% CI)</w:t>
            </w:r>
          </w:p>
        </w:tc>
      </w:tr>
      <w:tr w:rsidR="001C06E1" w:rsidRPr="00A2674E" w14:paraId="6673BC42" w14:textId="77777777" w:rsidTr="003374B0">
        <w:tc>
          <w:tcPr>
            <w:tcW w:w="1368" w:type="dxa"/>
            <w:vMerge/>
          </w:tcPr>
          <w:p w14:paraId="44142E16" w14:textId="28371CDB" w:rsidR="001C06E1" w:rsidRPr="008D11AA" w:rsidRDefault="001C06E1" w:rsidP="008D11AA">
            <w:pPr>
              <w:jc w:val="right"/>
              <w:rPr>
                <w:lang w:val="en-AU"/>
              </w:rPr>
            </w:pPr>
          </w:p>
        </w:tc>
        <w:tc>
          <w:tcPr>
            <w:tcW w:w="2709" w:type="dxa"/>
            <w:vMerge/>
          </w:tcPr>
          <w:p w14:paraId="5538E38C" w14:textId="77777777" w:rsidR="001C06E1" w:rsidRPr="008D11AA" w:rsidRDefault="001C06E1" w:rsidP="002C21FB">
            <w:pPr>
              <w:rPr>
                <w:lang w:val="en-AU"/>
              </w:rPr>
            </w:pPr>
          </w:p>
        </w:tc>
        <w:tc>
          <w:tcPr>
            <w:tcW w:w="1560" w:type="dxa"/>
            <w:vAlign w:val="center"/>
          </w:tcPr>
          <w:p w14:paraId="027E5EBC" w14:textId="1D4A3EB4" w:rsidR="001C06E1" w:rsidRPr="003374B0" w:rsidRDefault="001C06E1" w:rsidP="003374B0">
            <w:pPr>
              <w:jc w:val="center"/>
              <w:rPr>
                <w:lang w:val="en-AU"/>
              </w:rPr>
            </w:pPr>
            <w:r>
              <w:rPr>
                <w:lang w:val="en-AU"/>
              </w:rPr>
              <w:t>Hospital</w:t>
            </w:r>
          </w:p>
        </w:tc>
        <w:tc>
          <w:tcPr>
            <w:tcW w:w="1352" w:type="dxa"/>
            <w:vAlign w:val="center"/>
          </w:tcPr>
          <w:p w14:paraId="450502DA" w14:textId="44544453" w:rsidR="001C06E1" w:rsidRPr="003374B0" w:rsidRDefault="001C06E1" w:rsidP="003374B0">
            <w:pPr>
              <w:jc w:val="center"/>
              <w:rPr>
                <w:lang w:val="en-AU"/>
              </w:rPr>
            </w:pPr>
            <w:r>
              <w:rPr>
                <w:lang w:val="en-AU"/>
              </w:rPr>
              <w:t>HC</w:t>
            </w:r>
          </w:p>
        </w:tc>
        <w:tc>
          <w:tcPr>
            <w:tcW w:w="1559" w:type="dxa"/>
            <w:vAlign w:val="center"/>
          </w:tcPr>
          <w:p w14:paraId="6C4B33A5" w14:textId="6FCE022F" w:rsidR="001C06E1" w:rsidRPr="003374B0" w:rsidRDefault="001C06E1" w:rsidP="003374B0">
            <w:pPr>
              <w:jc w:val="center"/>
              <w:rPr>
                <w:lang w:val="en-AU"/>
              </w:rPr>
            </w:pPr>
            <w:r>
              <w:rPr>
                <w:lang w:val="en-AU"/>
              </w:rPr>
              <w:t>AP</w:t>
            </w:r>
          </w:p>
        </w:tc>
      </w:tr>
      <w:tr w:rsidR="001C06E1" w:rsidRPr="00A2674E" w14:paraId="789DB1FB" w14:textId="77777777" w:rsidTr="003374B0">
        <w:tc>
          <w:tcPr>
            <w:tcW w:w="1368" w:type="dxa"/>
            <w:vAlign w:val="center"/>
          </w:tcPr>
          <w:p w14:paraId="010A1C1A" w14:textId="66E612B3" w:rsidR="001C06E1" w:rsidRPr="003374B0" w:rsidRDefault="001C06E1" w:rsidP="003374B0">
            <w:pPr>
              <w:jc w:val="right"/>
              <w:rPr>
                <w:lang w:val="en-AU"/>
              </w:rPr>
            </w:pPr>
            <w:r w:rsidRPr="00A2674E">
              <w:rPr>
                <w:lang w:val="en-AU"/>
              </w:rPr>
              <w:t>No</w:t>
            </w:r>
          </w:p>
        </w:tc>
        <w:tc>
          <w:tcPr>
            <w:tcW w:w="2709" w:type="dxa"/>
            <w:vAlign w:val="center"/>
          </w:tcPr>
          <w:p w14:paraId="7E76DC87" w14:textId="77777777" w:rsidR="001C06E1" w:rsidRDefault="001C06E1" w:rsidP="003374B0">
            <w:pPr>
              <w:jc w:val="center"/>
              <w:rPr>
                <w:sz w:val="22"/>
                <w:lang w:val="en-AU"/>
              </w:rPr>
            </w:pPr>
            <w:r>
              <w:rPr>
                <w:lang w:val="en-AU"/>
              </w:rPr>
              <w:t>62%</w:t>
            </w:r>
          </w:p>
          <w:p w14:paraId="7BE4C90A" w14:textId="28DCD438" w:rsidR="001C06E1" w:rsidRPr="003374B0" w:rsidRDefault="001C06E1" w:rsidP="003374B0">
            <w:pPr>
              <w:jc w:val="center"/>
              <w:rPr>
                <w:i/>
                <w:sz w:val="18"/>
                <w:szCs w:val="18"/>
                <w:lang w:val="en-AU"/>
              </w:rPr>
            </w:pPr>
            <w:r w:rsidRPr="003374B0">
              <w:rPr>
                <w:i/>
                <w:sz w:val="18"/>
                <w:szCs w:val="18"/>
                <w:lang w:val="en-AU"/>
              </w:rPr>
              <w:t>(56.5 – 67.3)</w:t>
            </w:r>
          </w:p>
        </w:tc>
        <w:tc>
          <w:tcPr>
            <w:tcW w:w="1560" w:type="dxa"/>
            <w:vAlign w:val="center"/>
          </w:tcPr>
          <w:p w14:paraId="733058E4" w14:textId="77777777" w:rsidR="001C06E1" w:rsidRDefault="001C06E1" w:rsidP="003374B0">
            <w:pPr>
              <w:jc w:val="center"/>
              <w:rPr>
                <w:sz w:val="22"/>
                <w:lang w:val="en-AU"/>
              </w:rPr>
            </w:pPr>
            <w:r>
              <w:rPr>
                <w:lang w:val="en-AU"/>
              </w:rPr>
              <w:t>90%</w:t>
            </w:r>
          </w:p>
          <w:p w14:paraId="13017C4C" w14:textId="4603F5B4" w:rsidR="001C06E1" w:rsidRPr="003374B0" w:rsidRDefault="001C06E1" w:rsidP="003374B0">
            <w:pPr>
              <w:jc w:val="center"/>
              <w:rPr>
                <w:i/>
                <w:sz w:val="18"/>
                <w:szCs w:val="18"/>
                <w:lang w:val="en-AU"/>
              </w:rPr>
            </w:pPr>
            <w:r w:rsidRPr="003374B0">
              <w:rPr>
                <w:i/>
                <w:sz w:val="18"/>
                <w:szCs w:val="18"/>
                <w:lang w:val="en-AU"/>
              </w:rPr>
              <w:t>(82.7-99.1)</w:t>
            </w:r>
          </w:p>
        </w:tc>
        <w:tc>
          <w:tcPr>
            <w:tcW w:w="1352" w:type="dxa"/>
            <w:vAlign w:val="center"/>
          </w:tcPr>
          <w:p w14:paraId="23AF0BE1" w14:textId="77777777" w:rsidR="001C06E1" w:rsidRDefault="001C06E1" w:rsidP="003374B0">
            <w:pPr>
              <w:jc w:val="center"/>
              <w:rPr>
                <w:sz w:val="22"/>
                <w:lang w:val="en-AU"/>
              </w:rPr>
            </w:pPr>
            <w:r>
              <w:rPr>
                <w:lang w:val="en-AU"/>
              </w:rPr>
              <w:t>74%</w:t>
            </w:r>
          </w:p>
          <w:p w14:paraId="3B0A31C6" w14:textId="2BEDC44B" w:rsidR="001C06E1" w:rsidRPr="003374B0" w:rsidRDefault="001C06E1" w:rsidP="003374B0">
            <w:pPr>
              <w:jc w:val="center"/>
              <w:rPr>
                <w:sz w:val="18"/>
                <w:szCs w:val="18"/>
                <w:lang w:val="en-AU"/>
              </w:rPr>
            </w:pPr>
            <w:r>
              <w:rPr>
                <w:sz w:val="18"/>
                <w:szCs w:val="18"/>
                <w:lang w:val="en-AU"/>
              </w:rPr>
              <w:t>(</w:t>
            </w:r>
            <w:r w:rsidRPr="000F61B4">
              <w:rPr>
                <w:sz w:val="18"/>
                <w:szCs w:val="18"/>
                <w:lang w:val="en-AU"/>
              </w:rPr>
              <w:t>65</w:t>
            </w:r>
            <w:r>
              <w:rPr>
                <w:sz w:val="18"/>
                <w:szCs w:val="18"/>
                <w:lang w:val="en-AU"/>
              </w:rPr>
              <w:t>.5-</w:t>
            </w:r>
            <w:r w:rsidRPr="000F61B4">
              <w:rPr>
                <w:sz w:val="18"/>
                <w:szCs w:val="18"/>
                <w:lang w:val="en-AU"/>
              </w:rPr>
              <w:t>82</w:t>
            </w:r>
            <w:r>
              <w:rPr>
                <w:sz w:val="18"/>
                <w:szCs w:val="18"/>
                <w:lang w:val="en-AU"/>
              </w:rPr>
              <w:t>.3)</w:t>
            </w:r>
          </w:p>
        </w:tc>
        <w:tc>
          <w:tcPr>
            <w:tcW w:w="1559" w:type="dxa"/>
            <w:vAlign w:val="center"/>
          </w:tcPr>
          <w:p w14:paraId="51FCE0E8" w14:textId="77777777" w:rsidR="001C06E1" w:rsidRDefault="001C06E1" w:rsidP="003374B0">
            <w:pPr>
              <w:jc w:val="center"/>
              <w:rPr>
                <w:sz w:val="22"/>
                <w:lang w:val="en-AU"/>
              </w:rPr>
            </w:pPr>
            <w:r>
              <w:rPr>
                <w:lang w:val="en-AU"/>
              </w:rPr>
              <w:t>49%</w:t>
            </w:r>
          </w:p>
          <w:p w14:paraId="11243B52" w14:textId="24C168B7" w:rsidR="001C06E1" w:rsidRPr="003374B0" w:rsidRDefault="001C06E1" w:rsidP="003374B0">
            <w:pPr>
              <w:jc w:val="center"/>
              <w:rPr>
                <w:sz w:val="18"/>
                <w:szCs w:val="18"/>
                <w:lang w:val="en-AU"/>
              </w:rPr>
            </w:pPr>
            <w:r>
              <w:rPr>
                <w:sz w:val="18"/>
                <w:szCs w:val="18"/>
                <w:lang w:val="en-AU"/>
              </w:rPr>
              <w:t>(43.6-</w:t>
            </w:r>
            <w:r w:rsidRPr="00722746">
              <w:rPr>
                <w:sz w:val="18"/>
                <w:szCs w:val="18"/>
                <w:lang w:val="en-AU"/>
              </w:rPr>
              <w:t>53</w:t>
            </w:r>
            <w:r>
              <w:rPr>
                <w:sz w:val="18"/>
                <w:szCs w:val="18"/>
                <w:lang w:val="en-AU"/>
              </w:rPr>
              <w:t>.8)</w:t>
            </w:r>
          </w:p>
        </w:tc>
      </w:tr>
      <w:tr w:rsidR="001C06E1" w:rsidRPr="00A2674E" w14:paraId="5CEFECD3" w14:textId="77777777" w:rsidTr="003374B0">
        <w:tc>
          <w:tcPr>
            <w:tcW w:w="1368" w:type="dxa"/>
            <w:vAlign w:val="center"/>
          </w:tcPr>
          <w:p w14:paraId="54C1D209" w14:textId="20CF267B" w:rsidR="001C06E1" w:rsidRPr="003374B0" w:rsidRDefault="001C06E1" w:rsidP="003374B0">
            <w:pPr>
              <w:jc w:val="right"/>
              <w:rPr>
                <w:lang w:val="en-AU"/>
              </w:rPr>
            </w:pPr>
            <w:r w:rsidRPr="00A2674E">
              <w:rPr>
                <w:lang w:val="en-AU"/>
              </w:rPr>
              <w:t>Yes</w:t>
            </w:r>
          </w:p>
        </w:tc>
        <w:tc>
          <w:tcPr>
            <w:tcW w:w="2709" w:type="dxa"/>
            <w:vAlign w:val="center"/>
          </w:tcPr>
          <w:p w14:paraId="3AC62BB4" w14:textId="77777777" w:rsidR="001C06E1" w:rsidRDefault="001C06E1" w:rsidP="003374B0">
            <w:pPr>
              <w:jc w:val="center"/>
              <w:rPr>
                <w:sz w:val="22"/>
                <w:lang w:val="en-AU"/>
              </w:rPr>
            </w:pPr>
            <w:r>
              <w:rPr>
                <w:lang w:val="en-AU"/>
              </w:rPr>
              <w:t>70%</w:t>
            </w:r>
          </w:p>
          <w:p w14:paraId="2AA373D2" w14:textId="530EA081" w:rsidR="001C06E1" w:rsidRPr="003374B0" w:rsidRDefault="001C06E1" w:rsidP="003374B0">
            <w:pPr>
              <w:jc w:val="center"/>
              <w:rPr>
                <w:i/>
                <w:sz w:val="18"/>
                <w:szCs w:val="18"/>
                <w:lang w:val="en-AU"/>
              </w:rPr>
            </w:pPr>
            <w:r w:rsidRPr="003374B0">
              <w:rPr>
                <w:i/>
                <w:sz w:val="18"/>
                <w:szCs w:val="18"/>
                <w:lang w:val="en-AU"/>
              </w:rPr>
              <w:t>(59.9 – 80.5)</w:t>
            </w:r>
          </w:p>
        </w:tc>
        <w:tc>
          <w:tcPr>
            <w:tcW w:w="1560" w:type="dxa"/>
            <w:vAlign w:val="center"/>
          </w:tcPr>
          <w:p w14:paraId="20F5DD00" w14:textId="77777777" w:rsidR="001C06E1" w:rsidRDefault="001C06E1" w:rsidP="003374B0">
            <w:pPr>
              <w:jc w:val="center"/>
              <w:rPr>
                <w:sz w:val="22"/>
                <w:lang w:val="en-AU"/>
              </w:rPr>
            </w:pPr>
            <w:r>
              <w:rPr>
                <w:lang w:val="en-AU"/>
              </w:rPr>
              <w:t>100%</w:t>
            </w:r>
          </w:p>
          <w:p w14:paraId="5B9EFCE1" w14:textId="19BB2369" w:rsidR="001C06E1" w:rsidRPr="003374B0" w:rsidRDefault="001C06E1" w:rsidP="003374B0">
            <w:pPr>
              <w:jc w:val="center"/>
              <w:rPr>
                <w:i/>
                <w:sz w:val="18"/>
                <w:szCs w:val="18"/>
                <w:lang w:val="en-AU"/>
              </w:rPr>
            </w:pPr>
            <w:r>
              <w:rPr>
                <w:i/>
                <w:sz w:val="18"/>
                <w:szCs w:val="18"/>
                <w:lang w:val="en-AU"/>
              </w:rPr>
              <w:t>(NA)</w:t>
            </w:r>
          </w:p>
        </w:tc>
        <w:tc>
          <w:tcPr>
            <w:tcW w:w="1352" w:type="dxa"/>
            <w:vAlign w:val="center"/>
          </w:tcPr>
          <w:p w14:paraId="5B904DEE" w14:textId="350758F5" w:rsidR="001C06E1" w:rsidRDefault="001C06E1" w:rsidP="003374B0">
            <w:pPr>
              <w:jc w:val="center"/>
              <w:rPr>
                <w:sz w:val="22"/>
                <w:lang w:val="en-AU"/>
              </w:rPr>
            </w:pPr>
            <w:r>
              <w:rPr>
                <w:lang w:val="en-AU"/>
              </w:rPr>
              <w:t>79%</w:t>
            </w:r>
          </w:p>
          <w:p w14:paraId="7D58296A" w14:textId="3A26F3DF" w:rsidR="001C06E1" w:rsidRPr="003374B0" w:rsidRDefault="001C06E1" w:rsidP="003374B0">
            <w:pPr>
              <w:jc w:val="center"/>
              <w:rPr>
                <w:sz w:val="18"/>
                <w:szCs w:val="18"/>
                <w:lang w:val="en-AU"/>
              </w:rPr>
            </w:pPr>
            <w:r>
              <w:rPr>
                <w:sz w:val="18"/>
                <w:szCs w:val="18"/>
                <w:lang w:val="en-AU"/>
              </w:rPr>
              <w:t>(67.6-</w:t>
            </w:r>
            <w:r w:rsidRPr="005E02FA">
              <w:rPr>
                <w:sz w:val="18"/>
                <w:szCs w:val="18"/>
                <w:lang w:val="en-AU"/>
              </w:rPr>
              <w:t>89</w:t>
            </w:r>
            <w:r>
              <w:rPr>
                <w:sz w:val="18"/>
                <w:szCs w:val="18"/>
                <w:lang w:val="en-AU"/>
              </w:rPr>
              <w:t>.</w:t>
            </w:r>
            <w:r w:rsidRPr="005E02FA">
              <w:rPr>
                <w:sz w:val="18"/>
                <w:szCs w:val="18"/>
                <w:lang w:val="en-AU"/>
              </w:rPr>
              <w:t>7</w:t>
            </w:r>
            <w:r>
              <w:rPr>
                <w:sz w:val="18"/>
                <w:szCs w:val="18"/>
                <w:lang w:val="en-AU"/>
              </w:rPr>
              <w:t>)</w:t>
            </w:r>
          </w:p>
        </w:tc>
        <w:tc>
          <w:tcPr>
            <w:tcW w:w="1559" w:type="dxa"/>
            <w:vAlign w:val="center"/>
          </w:tcPr>
          <w:p w14:paraId="2ADAFFA3" w14:textId="77777777" w:rsidR="001C06E1" w:rsidRDefault="001C06E1" w:rsidP="003374B0">
            <w:pPr>
              <w:jc w:val="center"/>
              <w:rPr>
                <w:sz w:val="22"/>
                <w:lang w:val="en-AU"/>
              </w:rPr>
            </w:pPr>
            <w:r>
              <w:rPr>
                <w:lang w:val="en-AU"/>
              </w:rPr>
              <w:t>46%</w:t>
            </w:r>
          </w:p>
          <w:p w14:paraId="3A39B401" w14:textId="2F8B4E82" w:rsidR="001C06E1" w:rsidRPr="003374B0" w:rsidRDefault="001C06E1" w:rsidP="003374B0">
            <w:pPr>
              <w:jc w:val="center"/>
              <w:rPr>
                <w:sz w:val="18"/>
                <w:szCs w:val="18"/>
                <w:lang w:val="en-AU"/>
              </w:rPr>
            </w:pPr>
            <w:r>
              <w:rPr>
                <w:sz w:val="18"/>
                <w:szCs w:val="18"/>
                <w:lang w:val="en-AU"/>
              </w:rPr>
              <w:t>(</w:t>
            </w:r>
            <w:r w:rsidRPr="00722746">
              <w:rPr>
                <w:sz w:val="18"/>
                <w:szCs w:val="18"/>
                <w:lang w:val="en-AU"/>
              </w:rPr>
              <w:t>41</w:t>
            </w:r>
            <w:r>
              <w:rPr>
                <w:sz w:val="18"/>
                <w:szCs w:val="18"/>
                <w:lang w:val="en-AU"/>
              </w:rPr>
              <w:t>.3-</w:t>
            </w:r>
            <w:r w:rsidRPr="00722746">
              <w:rPr>
                <w:sz w:val="18"/>
                <w:szCs w:val="18"/>
                <w:lang w:val="en-AU"/>
              </w:rPr>
              <w:t>51</w:t>
            </w:r>
            <w:r>
              <w:rPr>
                <w:sz w:val="18"/>
                <w:szCs w:val="18"/>
                <w:lang w:val="en-AU"/>
              </w:rPr>
              <w:t>.2)</w:t>
            </w:r>
          </w:p>
        </w:tc>
      </w:tr>
    </w:tbl>
    <w:p w14:paraId="1ACA74BF" w14:textId="70F763E7" w:rsidR="001C06E1" w:rsidRDefault="00051E4B" w:rsidP="002C21FB">
      <w:pPr>
        <w:rPr>
          <w:sz w:val="20"/>
          <w:lang w:val="en-AU"/>
        </w:rPr>
      </w:pPr>
      <w:r w:rsidRPr="003374B0">
        <w:rPr>
          <w:sz w:val="20"/>
          <w:lang w:val="en-AU"/>
        </w:rPr>
        <w:t>Note: Confidence intervals (95%) are displayed, not for statistical testing (given the purposeful sampling) but to show the spread of standard error in these samples.</w:t>
      </w:r>
    </w:p>
    <w:p w14:paraId="63ED84B9" w14:textId="71121956" w:rsidR="001C06E1" w:rsidRDefault="001C06E1" w:rsidP="002C21FB">
      <w:pPr>
        <w:rPr>
          <w:lang w:val="en-AU"/>
        </w:rPr>
      </w:pPr>
      <w:r>
        <w:rPr>
          <w:szCs w:val="22"/>
          <w:lang w:val="en-AU"/>
        </w:rPr>
        <w:lastRenderedPageBreak/>
        <w:t>The table</w:t>
      </w:r>
      <w:r w:rsidR="000A35AA">
        <w:rPr>
          <w:szCs w:val="22"/>
          <w:lang w:val="en-AU"/>
        </w:rPr>
        <w:t xml:space="preserve"> below</w:t>
      </w:r>
      <w:r>
        <w:rPr>
          <w:szCs w:val="22"/>
          <w:lang w:val="en-AU"/>
        </w:rPr>
        <w:t xml:space="preserve"> provides a similar analysis, </w:t>
      </w:r>
      <w:r>
        <w:rPr>
          <w:lang w:val="en-AU"/>
        </w:rPr>
        <w:t>disaggregated for medicines that were distributed only in the ‘push’ system, compared to those distributed by ‘push’ system supplementing ‘pull’ systems</w:t>
      </w:r>
      <w:r w:rsidR="005274CF">
        <w:rPr>
          <w:lang w:val="en-AU"/>
        </w:rPr>
        <w:t>.</w:t>
      </w:r>
    </w:p>
    <w:p w14:paraId="3316C7D9" w14:textId="77777777" w:rsidR="001C06E1" w:rsidRDefault="001C06E1" w:rsidP="002C21FB">
      <w:pPr>
        <w:rPr>
          <w:lang w:val="en-AU"/>
        </w:rPr>
      </w:pPr>
    </w:p>
    <w:p w14:paraId="0BFDA3D5" w14:textId="69F99B78" w:rsidR="001C06E1" w:rsidRPr="003374B0" w:rsidRDefault="004A1CA0" w:rsidP="002C21FB">
      <w:pPr>
        <w:rPr>
          <w:b/>
          <w:lang w:val="en-AU"/>
        </w:rPr>
      </w:pPr>
      <w:r>
        <w:rPr>
          <w:b/>
          <w:lang w:val="en-AU"/>
        </w:rPr>
        <w:t>Table 18</w:t>
      </w:r>
      <w:r w:rsidR="00235036">
        <w:rPr>
          <w:b/>
          <w:lang w:val="en-AU"/>
        </w:rPr>
        <w:t>: Medicines availability by ‘high-poverty’ districts and distribution method</w:t>
      </w:r>
    </w:p>
    <w:tbl>
      <w:tblPr>
        <w:tblStyle w:val="TableGrid"/>
        <w:tblW w:w="0" w:type="auto"/>
        <w:tblLook w:val="04A0" w:firstRow="1" w:lastRow="0" w:firstColumn="1" w:lastColumn="0" w:noHBand="0" w:noVBand="1"/>
      </w:tblPr>
      <w:tblGrid>
        <w:gridCol w:w="1210"/>
        <w:gridCol w:w="1254"/>
        <w:gridCol w:w="1432"/>
        <w:gridCol w:w="1254"/>
        <w:gridCol w:w="1432"/>
        <w:gridCol w:w="1228"/>
        <w:gridCol w:w="1432"/>
      </w:tblGrid>
      <w:tr w:rsidR="007920B3" w14:paraId="46534D03" w14:textId="77777777" w:rsidTr="003374B0">
        <w:tc>
          <w:tcPr>
            <w:tcW w:w="1210" w:type="dxa"/>
            <w:vMerge w:val="restart"/>
            <w:vAlign w:val="bottom"/>
          </w:tcPr>
          <w:p w14:paraId="5CAEDBAD" w14:textId="17D99354" w:rsidR="007920B3" w:rsidRDefault="007920B3" w:rsidP="003374B0">
            <w:pPr>
              <w:jc w:val="right"/>
              <w:rPr>
                <w:sz w:val="22"/>
                <w:lang w:val="en-AU"/>
              </w:rPr>
            </w:pPr>
            <w:r w:rsidRPr="00C34E16">
              <w:rPr>
                <w:lang w:val="en-AU"/>
              </w:rPr>
              <w:t>‘High-poverty district’?</w:t>
            </w:r>
          </w:p>
        </w:tc>
        <w:tc>
          <w:tcPr>
            <w:tcW w:w="2686" w:type="dxa"/>
            <w:gridSpan w:val="2"/>
          </w:tcPr>
          <w:p w14:paraId="763FDA5A" w14:textId="08DCA226" w:rsidR="007920B3" w:rsidRDefault="007920B3">
            <w:pPr>
              <w:jc w:val="center"/>
              <w:rPr>
                <w:sz w:val="22"/>
                <w:lang w:val="en-AU"/>
              </w:rPr>
            </w:pPr>
            <w:r w:rsidRPr="00C34E16">
              <w:rPr>
                <w:lang w:val="en-AU"/>
              </w:rPr>
              <w:t xml:space="preserve">Availability </w:t>
            </w:r>
            <w:r>
              <w:rPr>
                <w:lang w:val="en-AU"/>
              </w:rPr>
              <w:t>by</w:t>
            </w:r>
            <w:r w:rsidRPr="00C34E16">
              <w:rPr>
                <w:lang w:val="en-AU"/>
              </w:rPr>
              <w:t xml:space="preserve"> distribution</w:t>
            </w:r>
          </w:p>
          <w:p w14:paraId="0AA89DD1" w14:textId="77777777" w:rsidR="007920B3" w:rsidRPr="00C34E16" w:rsidRDefault="007920B3">
            <w:pPr>
              <w:jc w:val="center"/>
              <w:rPr>
                <w:i/>
                <w:sz w:val="22"/>
                <w:lang w:val="en-AU"/>
              </w:rPr>
            </w:pPr>
            <w:r w:rsidRPr="00C34E16">
              <w:rPr>
                <w:i/>
                <w:lang w:val="en-AU"/>
              </w:rPr>
              <w:t>% of relevant tracer medicines</w:t>
            </w:r>
          </w:p>
          <w:p w14:paraId="7ED5ED5C" w14:textId="01BB1CCB" w:rsidR="007920B3" w:rsidRDefault="007920B3" w:rsidP="003374B0">
            <w:pPr>
              <w:jc w:val="center"/>
              <w:rPr>
                <w:sz w:val="22"/>
                <w:lang w:val="en-AU"/>
              </w:rPr>
            </w:pPr>
            <w:r w:rsidRPr="00C34E16">
              <w:rPr>
                <w:i/>
                <w:lang w:val="en-AU"/>
              </w:rPr>
              <w:t>(95% CI)</w:t>
            </w:r>
          </w:p>
        </w:tc>
        <w:tc>
          <w:tcPr>
            <w:tcW w:w="5346" w:type="dxa"/>
            <w:gridSpan w:val="4"/>
          </w:tcPr>
          <w:p w14:paraId="4B5C283C" w14:textId="77777777" w:rsidR="007920B3" w:rsidRDefault="007920B3">
            <w:pPr>
              <w:jc w:val="center"/>
              <w:rPr>
                <w:sz w:val="22"/>
                <w:lang w:val="en-AU"/>
              </w:rPr>
            </w:pPr>
            <w:r w:rsidRPr="00C34E16">
              <w:rPr>
                <w:lang w:val="en-AU"/>
              </w:rPr>
              <w:t xml:space="preserve">Availability </w:t>
            </w:r>
            <w:r>
              <w:rPr>
                <w:lang w:val="en-AU"/>
              </w:rPr>
              <w:t>by</w:t>
            </w:r>
            <w:r w:rsidRPr="00C34E16">
              <w:rPr>
                <w:lang w:val="en-AU"/>
              </w:rPr>
              <w:t xml:space="preserve"> health system level</w:t>
            </w:r>
            <w:r>
              <w:rPr>
                <w:lang w:val="en-AU"/>
              </w:rPr>
              <w:t xml:space="preserve"> and distribution method</w:t>
            </w:r>
          </w:p>
          <w:p w14:paraId="2980736B" w14:textId="77777777" w:rsidR="007920B3" w:rsidRPr="00C34E16" w:rsidRDefault="007920B3">
            <w:pPr>
              <w:jc w:val="center"/>
              <w:rPr>
                <w:i/>
                <w:sz w:val="22"/>
                <w:lang w:val="en-AU"/>
              </w:rPr>
            </w:pPr>
            <w:r w:rsidRPr="00C34E16">
              <w:rPr>
                <w:i/>
                <w:lang w:val="en-AU"/>
              </w:rPr>
              <w:t>% of relevant tracer medicines</w:t>
            </w:r>
          </w:p>
          <w:p w14:paraId="7D2317C1" w14:textId="3FD89FBF" w:rsidR="007920B3" w:rsidRDefault="007920B3" w:rsidP="003374B0">
            <w:pPr>
              <w:jc w:val="center"/>
              <w:rPr>
                <w:sz w:val="22"/>
                <w:lang w:val="en-AU"/>
              </w:rPr>
            </w:pPr>
            <w:r w:rsidRPr="00C34E16">
              <w:rPr>
                <w:i/>
                <w:lang w:val="en-AU"/>
              </w:rPr>
              <w:t>(95% CI)</w:t>
            </w:r>
          </w:p>
        </w:tc>
      </w:tr>
      <w:tr w:rsidR="007920B3" w14:paraId="0D63DBED" w14:textId="77777777" w:rsidTr="003374B0">
        <w:tc>
          <w:tcPr>
            <w:tcW w:w="1210" w:type="dxa"/>
            <w:vMerge/>
          </w:tcPr>
          <w:p w14:paraId="04BE3659" w14:textId="6086362F" w:rsidR="007920B3" w:rsidRDefault="007920B3" w:rsidP="002C21FB">
            <w:pPr>
              <w:rPr>
                <w:lang w:val="en-AU"/>
              </w:rPr>
            </w:pPr>
          </w:p>
        </w:tc>
        <w:tc>
          <w:tcPr>
            <w:tcW w:w="1254" w:type="dxa"/>
            <w:vMerge w:val="restart"/>
            <w:vAlign w:val="center"/>
          </w:tcPr>
          <w:p w14:paraId="1037A809" w14:textId="5118E17F" w:rsidR="007920B3" w:rsidRDefault="00227172" w:rsidP="003374B0">
            <w:pPr>
              <w:jc w:val="center"/>
              <w:rPr>
                <w:sz w:val="22"/>
                <w:lang w:val="en-AU"/>
              </w:rPr>
            </w:pPr>
            <w:r>
              <w:rPr>
                <w:lang w:val="en-AU"/>
              </w:rPr>
              <w:t>‘</w:t>
            </w:r>
            <w:r w:rsidR="007920B3">
              <w:rPr>
                <w:lang w:val="en-AU"/>
              </w:rPr>
              <w:t>Pull’ only</w:t>
            </w:r>
          </w:p>
        </w:tc>
        <w:tc>
          <w:tcPr>
            <w:tcW w:w="1432" w:type="dxa"/>
            <w:vMerge w:val="restart"/>
            <w:vAlign w:val="center"/>
          </w:tcPr>
          <w:p w14:paraId="4236217C" w14:textId="4F9046E9" w:rsidR="007920B3" w:rsidRDefault="00227172" w:rsidP="003374B0">
            <w:pPr>
              <w:jc w:val="center"/>
              <w:rPr>
                <w:sz w:val="22"/>
                <w:lang w:val="en-AU"/>
              </w:rPr>
            </w:pPr>
            <w:r>
              <w:rPr>
                <w:lang w:val="en-AU"/>
              </w:rPr>
              <w:t>‘Push’ supplementing ‘pull’</w:t>
            </w:r>
          </w:p>
        </w:tc>
        <w:tc>
          <w:tcPr>
            <w:tcW w:w="1254" w:type="dxa"/>
            <w:vAlign w:val="center"/>
          </w:tcPr>
          <w:p w14:paraId="31AF5F13" w14:textId="74752DFD" w:rsidR="007920B3" w:rsidRDefault="007920B3" w:rsidP="003374B0">
            <w:pPr>
              <w:jc w:val="center"/>
              <w:rPr>
                <w:sz w:val="22"/>
                <w:lang w:val="en-AU"/>
              </w:rPr>
            </w:pPr>
            <w:r>
              <w:rPr>
                <w:lang w:val="en-AU"/>
              </w:rPr>
              <w:t>HC</w:t>
            </w:r>
          </w:p>
        </w:tc>
        <w:tc>
          <w:tcPr>
            <w:tcW w:w="1432" w:type="dxa"/>
            <w:vAlign w:val="center"/>
          </w:tcPr>
          <w:p w14:paraId="2FDF2B41" w14:textId="77777777" w:rsidR="007920B3" w:rsidRDefault="007920B3" w:rsidP="003374B0">
            <w:pPr>
              <w:jc w:val="center"/>
              <w:rPr>
                <w:sz w:val="22"/>
                <w:lang w:val="en-AU"/>
              </w:rPr>
            </w:pPr>
          </w:p>
        </w:tc>
        <w:tc>
          <w:tcPr>
            <w:tcW w:w="1228" w:type="dxa"/>
            <w:vAlign w:val="center"/>
          </w:tcPr>
          <w:p w14:paraId="1F8B1DCE" w14:textId="4E722750" w:rsidR="007920B3" w:rsidRDefault="007920B3" w:rsidP="003374B0">
            <w:pPr>
              <w:jc w:val="center"/>
              <w:rPr>
                <w:sz w:val="22"/>
                <w:lang w:val="en-AU"/>
              </w:rPr>
            </w:pPr>
            <w:r>
              <w:rPr>
                <w:lang w:val="en-AU"/>
              </w:rPr>
              <w:t>AP</w:t>
            </w:r>
          </w:p>
        </w:tc>
        <w:tc>
          <w:tcPr>
            <w:tcW w:w="1432" w:type="dxa"/>
            <w:vAlign w:val="center"/>
          </w:tcPr>
          <w:p w14:paraId="37031C5D" w14:textId="77777777" w:rsidR="007920B3" w:rsidRDefault="007920B3" w:rsidP="003374B0">
            <w:pPr>
              <w:jc w:val="center"/>
              <w:rPr>
                <w:sz w:val="22"/>
                <w:lang w:val="en-AU"/>
              </w:rPr>
            </w:pPr>
          </w:p>
        </w:tc>
      </w:tr>
      <w:tr w:rsidR="007920B3" w14:paraId="514F5965" w14:textId="77777777" w:rsidTr="003374B0">
        <w:tc>
          <w:tcPr>
            <w:tcW w:w="1210" w:type="dxa"/>
            <w:vMerge/>
          </w:tcPr>
          <w:p w14:paraId="4AF8D928" w14:textId="5256ECFD" w:rsidR="007920B3" w:rsidRDefault="007920B3" w:rsidP="002C21FB">
            <w:pPr>
              <w:rPr>
                <w:lang w:val="en-AU"/>
              </w:rPr>
            </w:pPr>
          </w:p>
        </w:tc>
        <w:tc>
          <w:tcPr>
            <w:tcW w:w="1254" w:type="dxa"/>
            <w:vMerge/>
            <w:vAlign w:val="center"/>
          </w:tcPr>
          <w:p w14:paraId="47AFA700" w14:textId="77777777" w:rsidR="007920B3" w:rsidRDefault="007920B3" w:rsidP="008D11AA">
            <w:pPr>
              <w:jc w:val="center"/>
              <w:rPr>
                <w:sz w:val="22"/>
                <w:lang w:val="en-AU"/>
              </w:rPr>
            </w:pPr>
          </w:p>
        </w:tc>
        <w:tc>
          <w:tcPr>
            <w:tcW w:w="1432" w:type="dxa"/>
            <w:vMerge/>
            <w:vAlign w:val="center"/>
          </w:tcPr>
          <w:p w14:paraId="38A6922D" w14:textId="77777777" w:rsidR="007920B3" w:rsidRDefault="007920B3" w:rsidP="008D11AA">
            <w:pPr>
              <w:jc w:val="center"/>
              <w:rPr>
                <w:sz w:val="22"/>
                <w:lang w:val="en-AU"/>
              </w:rPr>
            </w:pPr>
          </w:p>
        </w:tc>
        <w:tc>
          <w:tcPr>
            <w:tcW w:w="1254" w:type="dxa"/>
            <w:vAlign w:val="center"/>
          </w:tcPr>
          <w:p w14:paraId="6942A6C1" w14:textId="35236C82" w:rsidR="007920B3" w:rsidRDefault="00227172" w:rsidP="008D11AA">
            <w:pPr>
              <w:jc w:val="center"/>
              <w:rPr>
                <w:sz w:val="22"/>
                <w:lang w:val="en-AU"/>
              </w:rPr>
            </w:pPr>
            <w:r>
              <w:rPr>
                <w:lang w:val="en-AU"/>
              </w:rPr>
              <w:t>‘Pull’ only</w:t>
            </w:r>
          </w:p>
        </w:tc>
        <w:tc>
          <w:tcPr>
            <w:tcW w:w="1432" w:type="dxa"/>
            <w:vAlign w:val="center"/>
          </w:tcPr>
          <w:p w14:paraId="3D043539" w14:textId="06082FAD" w:rsidR="007920B3" w:rsidRDefault="00227172" w:rsidP="008D11AA">
            <w:pPr>
              <w:jc w:val="center"/>
              <w:rPr>
                <w:sz w:val="22"/>
                <w:lang w:val="en-AU"/>
              </w:rPr>
            </w:pPr>
            <w:r>
              <w:rPr>
                <w:lang w:val="en-AU"/>
              </w:rPr>
              <w:t>‘Push’ supplementing ‘pull’</w:t>
            </w:r>
          </w:p>
        </w:tc>
        <w:tc>
          <w:tcPr>
            <w:tcW w:w="1228" w:type="dxa"/>
            <w:vAlign w:val="center"/>
          </w:tcPr>
          <w:p w14:paraId="657A8FE4" w14:textId="3490BB04" w:rsidR="007920B3" w:rsidRDefault="00227172" w:rsidP="008D11AA">
            <w:pPr>
              <w:jc w:val="center"/>
              <w:rPr>
                <w:sz w:val="22"/>
                <w:lang w:val="en-AU"/>
              </w:rPr>
            </w:pPr>
            <w:r>
              <w:rPr>
                <w:lang w:val="en-AU"/>
              </w:rPr>
              <w:t>‘Pull’ only</w:t>
            </w:r>
          </w:p>
        </w:tc>
        <w:tc>
          <w:tcPr>
            <w:tcW w:w="1432" w:type="dxa"/>
            <w:vAlign w:val="center"/>
          </w:tcPr>
          <w:p w14:paraId="29EF02E8" w14:textId="0E658D48" w:rsidR="007920B3" w:rsidRDefault="00227172" w:rsidP="008D11AA">
            <w:pPr>
              <w:jc w:val="center"/>
              <w:rPr>
                <w:sz w:val="22"/>
                <w:lang w:val="en-AU"/>
              </w:rPr>
            </w:pPr>
            <w:r>
              <w:rPr>
                <w:lang w:val="en-AU"/>
              </w:rPr>
              <w:t>‘Push’ supplementing ‘pull’</w:t>
            </w:r>
          </w:p>
        </w:tc>
      </w:tr>
      <w:tr w:rsidR="001C06E1" w14:paraId="1CAAF7AB" w14:textId="77777777" w:rsidTr="003374B0">
        <w:tc>
          <w:tcPr>
            <w:tcW w:w="1210" w:type="dxa"/>
            <w:vAlign w:val="center"/>
          </w:tcPr>
          <w:p w14:paraId="6C254CBC" w14:textId="4CBF20F6" w:rsidR="001C06E1" w:rsidRDefault="001C06E1" w:rsidP="003374B0">
            <w:pPr>
              <w:jc w:val="right"/>
              <w:rPr>
                <w:sz w:val="22"/>
                <w:lang w:val="en-AU"/>
              </w:rPr>
            </w:pPr>
            <w:r>
              <w:rPr>
                <w:lang w:val="en-AU"/>
              </w:rPr>
              <w:t>No</w:t>
            </w:r>
          </w:p>
        </w:tc>
        <w:tc>
          <w:tcPr>
            <w:tcW w:w="1254" w:type="dxa"/>
            <w:vAlign w:val="center"/>
          </w:tcPr>
          <w:p w14:paraId="4CA6E666" w14:textId="34ED5F5A" w:rsidR="00723854" w:rsidRDefault="00F9183D" w:rsidP="003374B0">
            <w:pPr>
              <w:jc w:val="center"/>
              <w:rPr>
                <w:sz w:val="22"/>
                <w:lang w:val="en-AU"/>
              </w:rPr>
            </w:pPr>
            <w:r>
              <w:rPr>
                <w:lang w:val="en-AU"/>
              </w:rPr>
              <w:t>44%</w:t>
            </w:r>
          </w:p>
          <w:p w14:paraId="6DFDA85A" w14:textId="39E1C3DA" w:rsidR="001C06E1" w:rsidRDefault="00F9183D" w:rsidP="003374B0">
            <w:pPr>
              <w:jc w:val="center"/>
              <w:rPr>
                <w:sz w:val="22"/>
                <w:lang w:val="en-AU"/>
              </w:rPr>
            </w:pPr>
            <w:r w:rsidRPr="003374B0">
              <w:rPr>
                <w:sz w:val="18"/>
                <w:szCs w:val="18"/>
                <w:lang w:val="en-AU"/>
              </w:rPr>
              <w:t>(</w:t>
            </w:r>
            <w:r w:rsidR="00152A38" w:rsidRPr="003374B0">
              <w:rPr>
                <w:sz w:val="18"/>
                <w:szCs w:val="18"/>
                <w:lang w:val="en-AU"/>
              </w:rPr>
              <w:t>35</w:t>
            </w:r>
            <w:r w:rsidRPr="003374B0">
              <w:rPr>
                <w:sz w:val="18"/>
                <w:szCs w:val="18"/>
                <w:lang w:val="en-AU"/>
              </w:rPr>
              <w:t>.3-</w:t>
            </w:r>
            <w:r w:rsidR="00152A38" w:rsidRPr="003374B0">
              <w:rPr>
                <w:sz w:val="18"/>
                <w:szCs w:val="18"/>
                <w:lang w:val="en-AU"/>
              </w:rPr>
              <w:t>51</w:t>
            </w:r>
            <w:r w:rsidRPr="003374B0">
              <w:rPr>
                <w:sz w:val="18"/>
                <w:szCs w:val="18"/>
                <w:lang w:val="en-AU"/>
              </w:rPr>
              <w:t>.8)</w:t>
            </w:r>
          </w:p>
        </w:tc>
        <w:tc>
          <w:tcPr>
            <w:tcW w:w="1432" w:type="dxa"/>
            <w:vAlign w:val="center"/>
          </w:tcPr>
          <w:p w14:paraId="104BCC7A" w14:textId="0C25FB06" w:rsidR="00F9183D" w:rsidRDefault="00F9183D" w:rsidP="003374B0">
            <w:pPr>
              <w:jc w:val="center"/>
              <w:rPr>
                <w:sz w:val="22"/>
                <w:lang w:val="en-AU"/>
              </w:rPr>
            </w:pPr>
            <w:r w:rsidRPr="00F9183D">
              <w:rPr>
                <w:lang w:val="en-AU"/>
              </w:rPr>
              <w:t>66</w:t>
            </w:r>
            <w:r>
              <w:rPr>
                <w:lang w:val="en-AU"/>
              </w:rPr>
              <w:t>.8%</w:t>
            </w:r>
          </w:p>
          <w:p w14:paraId="37307FCE" w14:textId="6338D793" w:rsidR="001C06E1" w:rsidRPr="003374B0" w:rsidRDefault="00F9183D" w:rsidP="003374B0">
            <w:pPr>
              <w:jc w:val="center"/>
              <w:rPr>
                <w:sz w:val="18"/>
                <w:szCs w:val="18"/>
                <w:lang w:val="en-AU"/>
              </w:rPr>
            </w:pPr>
            <w:r w:rsidRPr="003374B0">
              <w:rPr>
                <w:sz w:val="18"/>
                <w:szCs w:val="18"/>
                <w:lang w:val="en-AU"/>
              </w:rPr>
              <w:t>(61.0-72</w:t>
            </w:r>
            <w:r w:rsidR="00832A3F" w:rsidRPr="003374B0">
              <w:rPr>
                <w:sz w:val="18"/>
                <w:szCs w:val="18"/>
                <w:lang w:val="en-AU"/>
              </w:rPr>
              <w:t>.</w:t>
            </w:r>
            <w:r w:rsidRPr="003374B0">
              <w:rPr>
                <w:sz w:val="18"/>
                <w:szCs w:val="18"/>
                <w:lang w:val="en-AU"/>
              </w:rPr>
              <w:t>5</w:t>
            </w:r>
            <w:r w:rsidR="00832A3F" w:rsidRPr="003374B0">
              <w:rPr>
                <w:sz w:val="18"/>
                <w:szCs w:val="18"/>
                <w:lang w:val="en-AU"/>
              </w:rPr>
              <w:t>)</w:t>
            </w:r>
          </w:p>
        </w:tc>
        <w:tc>
          <w:tcPr>
            <w:tcW w:w="1254" w:type="dxa"/>
            <w:vAlign w:val="center"/>
          </w:tcPr>
          <w:p w14:paraId="613BE172" w14:textId="77777777" w:rsidR="00832A3F" w:rsidRDefault="00152A38" w:rsidP="003374B0">
            <w:pPr>
              <w:jc w:val="center"/>
              <w:rPr>
                <w:sz w:val="22"/>
                <w:lang w:val="en-AU"/>
              </w:rPr>
            </w:pPr>
            <w:r w:rsidRPr="00152A38">
              <w:rPr>
                <w:lang w:val="en-AU"/>
              </w:rPr>
              <w:t>51</w:t>
            </w:r>
            <w:r w:rsidR="00832A3F">
              <w:rPr>
                <w:lang w:val="en-AU"/>
              </w:rPr>
              <w:t>%</w:t>
            </w:r>
          </w:p>
          <w:p w14:paraId="5AA3C618" w14:textId="255C7EF2" w:rsidR="001C06E1" w:rsidRPr="003374B0" w:rsidRDefault="00832A3F" w:rsidP="003374B0">
            <w:pPr>
              <w:jc w:val="center"/>
              <w:rPr>
                <w:sz w:val="18"/>
                <w:szCs w:val="18"/>
                <w:lang w:val="en-AU"/>
              </w:rPr>
            </w:pPr>
            <w:r w:rsidRPr="003374B0">
              <w:rPr>
                <w:sz w:val="18"/>
                <w:szCs w:val="18"/>
                <w:lang w:val="en-AU"/>
              </w:rPr>
              <w:t>(</w:t>
            </w:r>
            <w:r w:rsidR="00152A38" w:rsidRPr="003374B0">
              <w:rPr>
                <w:sz w:val="18"/>
                <w:szCs w:val="18"/>
                <w:lang w:val="en-AU"/>
              </w:rPr>
              <w:t>38</w:t>
            </w:r>
            <w:r w:rsidRPr="003374B0">
              <w:rPr>
                <w:sz w:val="18"/>
                <w:szCs w:val="18"/>
                <w:lang w:val="en-AU"/>
              </w:rPr>
              <w:t>.7-</w:t>
            </w:r>
            <w:r w:rsidR="00152A38" w:rsidRPr="003374B0">
              <w:rPr>
                <w:sz w:val="18"/>
                <w:szCs w:val="18"/>
                <w:lang w:val="en-AU"/>
              </w:rPr>
              <w:t>63</w:t>
            </w:r>
            <w:r w:rsidRPr="003374B0">
              <w:rPr>
                <w:sz w:val="18"/>
                <w:szCs w:val="18"/>
                <w:lang w:val="en-AU"/>
              </w:rPr>
              <w:t>.7)</w:t>
            </w:r>
          </w:p>
        </w:tc>
        <w:tc>
          <w:tcPr>
            <w:tcW w:w="1432" w:type="dxa"/>
            <w:vAlign w:val="center"/>
          </w:tcPr>
          <w:p w14:paraId="765158F8" w14:textId="77777777" w:rsidR="00723854" w:rsidRDefault="00723854" w:rsidP="003374B0">
            <w:pPr>
              <w:jc w:val="center"/>
              <w:rPr>
                <w:sz w:val="22"/>
                <w:lang w:val="en-AU"/>
              </w:rPr>
            </w:pPr>
            <w:r w:rsidRPr="00723854">
              <w:rPr>
                <w:lang w:val="en-AU"/>
              </w:rPr>
              <w:t>79</w:t>
            </w:r>
            <w:r>
              <w:rPr>
                <w:lang w:val="en-AU"/>
              </w:rPr>
              <w:t>%</w:t>
            </w:r>
          </w:p>
          <w:p w14:paraId="57F372C4" w14:textId="27964141" w:rsidR="001C06E1" w:rsidRPr="003374B0" w:rsidRDefault="00723854" w:rsidP="003374B0">
            <w:pPr>
              <w:jc w:val="center"/>
              <w:rPr>
                <w:sz w:val="18"/>
                <w:szCs w:val="18"/>
                <w:lang w:val="en-AU"/>
              </w:rPr>
            </w:pPr>
            <w:r w:rsidRPr="003374B0">
              <w:rPr>
                <w:sz w:val="18"/>
                <w:szCs w:val="18"/>
                <w:lang w:val="en-AU"/>
              </w:rPr>
              <w:t>(70.6-87.7)</w:t>
            </w:r>
          </w:p>
        </w:tc>
        <w:tc>
          <w:tcPr>
            <w:tcW w:w="1228" w:type="dxa"/>
            <w:vAlign w:val="center"/>
          </w:tcPr>
          <w:p w14:paraId="22A0444E" w14:textId="77777777" w:rsidR="00832A3F" w:rsidRDefault="00832A3F" w:rsidP="003374B0">
            <w:pPr>
              <w:jc w:val="center"/>
              <w:rPr>
                <w:sz w:val="22"/>
                <w:lang w:val="en-AU"/>
              </w:rPr>
            </w:pPr>
            <w:r w:rsidRPr="00832A3F">
              <w:rPr>
                <w:lang w:val="en-AU"/>
              </w:rPr>
              <w:t>27</w:t>
            </w:r>
            <w:r>
              <w:rPr>
                <w:lang w:val="en-AU"/>
              </w:rPr>
              <w:t>%</w:t>
            </w:r>
          </w:p>
          <w:p w14:paraId="3186A032" w14:textId="7720A41C" w:rsidR="001C06E1" w:rsidRPr="003374B0" w:rsidRDefault="00832A3F" w:rsidP="003374B0">
            <w:pPr>
              <w:jc w:val="center"/>
              <w:rPr>
                <w:sz w:val="18"/>
                <w:szCs w:val="18"/>
                <w:lang w:val="en-AU"/>
              </w:rPr>
            </w:pPr>
            <w:r w:rsidRPr="003374B0">
              <w:rPr>
                <w:sz w:val="18"/>
                <w:szCs w:val="18"/>
                <w:lang w:val="en-AU"/>
              </w:rPr>
              <w:t>(17.5-37.0)</w:t>
            </w:r>
          </w:p>
        </w:tc>
        <w:tc>
          <w:tcPr>
            <w:tcW w:w="1432" w:type="dxa"/>
            <w:vAlign w:val="center"/>
          </w:tcPr>
          <w:p w14:paraId="51ECBF3A" w14:textId="77777777" w:rsidR="00723854" w:rsidRDefault="00723854" w:rsidP="003374B0">
            <w:pPr>
              <w:jc w:val="center"/>
              <w:rPr>
                <w:sz w:val="22"/>
                <w:lang w:val="en-AU"/>
              </w:rPr>
            </w:pPr>
            <w:r w:rsidRPr="00723854">
              <w:rPr>
                <w:lang w:val="en-AU"/>
              </w:rPr>
              <w:t>53</w:t>
            </w:r>
            <w:r>
              <w:rPr>
                <w:lang w:val="en-AU"/>
              </w:rPr>
              <w:t>%</w:t>
            </w:r>
          </w:p>
          <w:p w14:paraId="14BC7396" w14:textId="28B90614" w:rsidR="001C06E1" w:rsidRPr="003374B0" w:rsidRDefault="00723854" w:rsidP="003374B0">
            <w:pPr>
              <w:jc w:val="center"/>
              <w:rPr>
                <w:sz w:val="18"/>
                <w:szCs w:val="18"/>
                <w:lang w:val="en-AU"/>
              </w:rPr>
            </w:pPr>
            <w:r w:rsidRPr="003374B0">
              <w:rPr>
                <w:sz w:val="18"/>
                <w:szCs w:val="18"/>
                <w:lang w:val="en-AU"/>
              </w:rPr>
              <w:t>(48.0-58.5)</w:t>
            </w:r>
          </w:p>
        </w:tc>
      </w:tr>
      <w:tr w:rsidR="001C06E1" w14:paraId="27772530" w14:textId="77777777" w:rsidTr="003374B0">
        <w:tc>
          <w:tcPr>
            <w:tcW w:w="1210" w:type="dxa"/>
            <w:vAlign w:val="center"/>
          </w:tcPr>
          <w:p w14:paraId="2F447C50" w14:textId="5B605C86" w:rsidR="001C06E1" w:rsidRDefault="001C06E1" w:rsidP="003374B0">
            <w:pPr>
              <w:jc w:val="right"/>
              <w:rPr>
                <w:sz w:val="22"/>
                <w:lang w:val="en-AU"/>
              </w:rPr>
            </w:pPr>
            <w:r>
              <w:rPr>
                <w:lang w:val="en-AU"/>
              </w:rPr>
              <w:t>Yes</w:t>
            </w:r>
          </w:p>
        </w:tc>
        <w:tc>
          <w:tcPr>
            <w:tcW w:w="1254" w:type="dxa"/>
            <w:vAlign w:val="center"/>
          </w:tcPr>
          <w:p w14:paraId="1C2C565C" w14:textId="6F7F928C" w:rsidR="00F9183D" w:rsidRDefault="00152A38" w:rsidP="003374B0">
            <w:pPr>
              <w:jc w:val="center"/>
              <w:rPr>
                <w:sz w:val="22"/>
                <w:lang w:val="en-AU"/>
              </w:rPr>
            </w:pPr>
            <w:r w:rsidRPr="00152A38">
              <w:rPr>
                <w:lang w:val="en-AU"/>
              </w:rPr>
              <w:t>56</w:t>
            </w:r>
            <w:r w:rsidR="00F9183D">
              <w:rPr>
                <w:lang w:val="en-AU"/>
              </w:rPr>
              <w:t>%</w:t>
            </w:r>
          </w:p>
          <w:p w14:paraId="7161C5FA" w14:textId="7CC1A82B" w:rsidR="001C06E1" w:rsidRDefault="00F9183D" w:rsidP="003374B0">
            <w:pPr>
              <w:jc w:val="center"/>
              <w:rPr>
                <w:sz w:val="22"/>
                <w:lang w:val="en-AU"/>
              </w:rPr>
            </w:pPr>
            <w:r>
              <w:rPr>
                <w:lang w:val="en-AU"/>
              </w:rPr>
              <w:t>(</w:t>
            </w:r>
            <w:r w:rsidR="00152A38" w:rsidRPr="003374B0">
              <w:rPr>
                <w:sz w:val="18"/>
                <w:szCs w:val="18"/>
                <w:lang w:val="en-AU"/>
              </w:rPr>
              <w:t>39</w:t>
            </w:r>
            <w:r w:rsidRPr="003374B0">
              <w:rPr>
                <w:sz w:val="18"/>
                <w:szCs w:val="18"/>
                <w:lang w:val="en-AU"/>
              </w:rPr>
              <w:t>.</w:t>
            </w:r>
            <w:r w:rsidR="00152A38" w:rsidRPr="003374B0">
              <w:rPr>
                <w:sz w:val="18"/>
                <w:szCs w:val="18"/>
                <w:lang w:val="en-AU"/>
              </w:rPr>
              <w:t>3</w:t>
            </w:r>
            <w:r w:rsidRPr="003374B0">
              <w:rPr>
                <w:sz w:val="18"/>
                <w:szCs w:val="18"/>
                <w:lang w:val="en-AU"/>
              </w:rPr>
              <w:t>-73.0)</w:t>
            </w:r>
          </w:p>
        </w:tc>
        <w:tc>
          <w:tcPr>
            <w:tcW w:w="1432" w:type="dxa"/>
            <w:vAlign w:val="center"/>
          </w:tcPr>
          <w:p w14:paraId="6DCB2DF1" w14:textId="77777777" w:rsidR="00832A3F" w:rsidRDefault="00F9183D" w:rsidP="003374B0">
            <w:pPr>
              <w:jc w:val="center"/>
              <w:rPr>
                <w:sz w:val="22"/>
                <w:lang w:val="en-AU"/>
              </w:rPr>
            </w:pPr>
            <w:r w:rsidRPr="00F9183D">
              <w:rPr>
                <w:lang w:val="en-AU"/>
              </w:rPr>
              <w:t>76</w:t>
            </w:r>
            <w:r w:rsidR="00832A3F">
              <w:rPr>
                <w:lang w:val="en-AU"/>
              </w:rPr>
              <w:t>%</w:t>
            </w:r>
          </w:p>
          <w:p w14:paraId="4EF4FB82" w14:textId="13095C80" w:rsidR="001C06E1" w:rsidRPr="003374B0" w:rsidRDefault="00832A3F" w:rsidP="003374B0">
            <w:pPr>
              <w:jc w:val="center"/>
              <w:rPr>
                <w:sz w:val="18"/>
                <w:szCs w:val="18"/>
                <w:lang w:val="en-AU"/>
              </w:rPr>
            </w:pPr>
            <w:r w:rsidRPr="003374B0">
              <w:rPr>
                <w:sz w:val="18"/>
                <w:szCs w:val="18"/>
                <w:lang w:val="en-AU"/>
              </w:rPr>
              <w:t>(</w:t>
            </w:r>
            <w:r w:rsidR="00F9183D" w:rsidRPr="003374B0">
              <w:rPr>
                <w:sz w:val="18"/>
                <w:szCs w:val="18"/>
                <w:lang w:val="en-AU"/>
              </w:rPr>
              <w:t>66</w:t>
            </w:r>
            <w:r w:rsidRPr="003374B0">
              <w:rPr>
                <w:sz w:val="18"/>
                <w:szCs w:val="18"/>
                <w:lang w:val="en-AU"/>
              </w:rPr>
              <w:t>.6-</w:t>
            </w:r>
            <w:r w:rsidR="00F9183D" w:rsidRPr="003374B0">
              <w:rPr>
                <w:sz w:val="18"/>
                <w:szCs w:val="18"/>
                <w:lang w:val="en-AU"/>
              </w:rPr>
              <w:t>86</w:t>
            </w:r>
            <w:r w:rsidRPr="003374B0">
              <w:rPr>
                <w:sz w:val="18"/>
                <w:szCs w:val="18"/>
                <w:lang w:val="en-AU"/>
              </w:rPr>
              <w:t>.1)</w:t>
            </w:r>
          </w:p>
        </w:tc>
        <w:tc>
          <w:tcPr>
            <w:tcW w:w="1254" w:type="dxa"/>
            <w:vAlign w:val="center"/>
          </w:tcPr>
          <w:p w14:paraId="76E5BBD7" w14:textId="77777777" w:rsidR="00832A3F" w:rsidRDefault="00152A38" w:rsidP="003374B0">
            <w:pPr>
              <w:jc w:val="center"/>
              <w:rPr>
                <w:sz w:val="22"/>
                <w:lang w:val="en-AU"/>
              </w:rPr>
            </w:pPr>
            <w:r w:rsidRPr="00152A38">
              <w:rPr>
                <w:lang w:val="en-AU"/>
              </w:rPr>
              <w:t>69</w:t>
            </w:r>
            <w:r w:rsidR="00832A3F">
              <w:rPr>
                <w:lang w:val="en-AU"/>
              </w:rPr>
              <w:t>%</w:t>
            </w:r>
          </w:p>
          <w:p w14:paraId="27619573" w14:textId="1C1AD190" w:rsidR="001C06E1" w:rsidRPr="003374B0" w:rsidRDefault="00832A3F" w:rsidP="003374B0">
            <w:pPr>
              <w:jc w:val="center"/>
              <w:rPr>
                <w:sz w:val="18"/>
                <w:szCs w:val="18"/>
                <w:lang w:val="en-AU"/>
              </w:rPr>
            </w:pPr>
            <w:r w:rsidRPr="003374B0">
              <w:rPr>
                <w:sz w:val="18"/>
                <w:szCs w:val="18"/>
                <w:lang w:val="en-AU"/>
              </w:rPr>
              <w:t>(</w:t>
            </w:r>
            <w:r w:rsidR="00152A38" w:rsidRPr="003374B0">
              <w:rPr>
                <w:sz w:val="18"/>
                <w:szCs w:val="18"/>
                <w:lang w:val="en-AU"/>
              </w:rPr>
              <w:t>56</w:t>
            </w:r>
            <w:r w:rsidRPr="003374B0">
              <w:rPr>
                <w:sz w:val="18"/>
                <w:szCs w:val="18"/>
                <w:lang w:val="en-AU"/>
              </w:rPr>
              <w:t>.7-</w:t>
            </w:r>
            <w:r w:rsidR="00152A38" w:rsidRPr="003374B0">
              <w:rPr>
                <w:sz w:val="18"/>
                <w:szCs w:val="18"/>
                <w:lang w:val="en-AU"/>
              </w:rPr>
              <w:t>82</w:t>
            </w:r>
            <w:r w:rsidRPr="003374B0">
              <w:rPr>
                <w:sz w:val="18"/>
                <w:szCs w:val="18"/>
                <w:lang w:val="en-AU"/>
              </w:rPr>
              <w:t>.3)</w:t>
            </w:r>
          </w:p>
        </w:tc>
        <w:tc>
          <w:tcPr>
            <w:tcW w:w="1432" w:type="dxa"/>
            <w:vAlign w:val="center"/>
          </w:tcPr>
          <w:p w14:paraId="5A0A6512" w14:textId="77777777" w:rsidR="00723854" w:rsidRDefault="00723854" w:rsidP="003374B0">
            <w:pPr>
              <w:jc w:val="center"/>
              <w:rPr>
                <w:sz w:val="22"/>
                <w:lang w:val="en-AU"/>
              </w:rPr>
            </w:pPr>
            <w:r w:rsidRPr="00723854">
              <w:rPr>
                <w:lang w:val="en-AU"/>
              </w:rPr>
              <w:t>81</w:t>
            </w:r>
            <w:r>
              <w:rPr>
                <w:lang w:val="en-AU"/>
              </w:rPr>
              <w:t>%</w:t>
            </w:r>
          </w:p>
          <w:p w14:paraId="65AF33D8" w14:textId="3E167E86" w:rsidR="001C06E1" w:rsidRPr="003374B0" w:rsidRDefault="00723854" w:rsidP="003374B0">
            <w:pPr>
              <w:jc w:val="center"/>
              <w:rPr>
                <w:sz w:val="18"/>
                <w:szCs w:val="18"/>
                <w:lang w:val="en-AU"/>
              </w:rPr>
            </w:pPr>
            <w:r w:rsidRPr="003374B0">
              <w:rPr>
                <w:sz w:val="18"/>
                <w:szCs w:val="18"/>
                <w:lang w:val="en-AU"/>
              </w:rPr>
              <w:t>(68.0-94.5)</w:t>
            </w:r>
          </w:p>
        </w:tc>
        <w:tc>
          <w:tcPr>
            <w:tcW w:w="1228" w:type="dxa"/>
            <w:vAlign w:val="center"/>
          </w:tcPr>
          <w:p w14:paraId="794A9BC3" w14:textId="77777777" w:rsidR="00832A3F" w:rsidRDefault="00832A3F" w:rsidP="003374B0">
            <w:pPr>
              <w:jc w:val="center"/>
              <w:rPr>
                <w:sz w:val="22"/>
                <w:lang w:val="en-AU"/>
              </w:rPr>
            </w:pPr>
            <w:r>
              <w:rPr>
                <w:lang w:val="en-AU"/>
              </w:rPr>
              <w:t>6%</w:t>
            </w:r>
          </w:p>
          <w:p w14:paraId="0D64C1DC" w14:textId="4B58F128" w:rsidR="001C06E1" w:rsidRPr="003374B0" w:rsidRDefault="00832A3F" w:rsidP="003374B0">
            <w:pPr>
              <w:jc w:val="center"/>
              <w:rPr>
                <w:sz w:val="18"/>
                <w:szCs w:val="18"/>
                <w:lang w:val="en-AU"/>
              </w:rPr>
            </w:pPr>
            <w:r w:rsidRPr="003374B0">
              <w:rPr>
                <w:sz w:val="18"/>
                <w:szCs w:val="18"/>
                <w:lang w:val="en-AU"/>
              </w:rPr>
              <w:t>(0</w:t>
            </w:r>
            <w:r w:rsidR="00152A38" w:rsidRPr="003374B0">
              <w:rPr>
                <w:sz w:val="18"/>
                <w:szCs w:val="18"/>
                <w:lang w:val="en-AU"/>
              </w:rPr>
              <w:t>.0</w:t>
            </w:r>
            <w:r w:rsidRPr="003374B0">
              <w:rPr>
                <w:sz w:val="18"/>
                <w:szCs w:val="18"/>
                <w:lang w:val="en-AU"/>
              </w:rPr>
              <w:t>-</w:t>
            </w:r>
            <w:r w:rsidR="00152A38" w:rsidRPr="003374B0">
              <w:rPr>
                <w:sz w:val="18"/>
                <w:szCs w:val="18"/>
                <w:lang w:val="en-AU"/>
              </w:rPr>
              <w:t>19</w:t>
            </w:r>
            <w:r w:rsidRPr="003374B0">
              <w:rPr>
                <w:sz w:val="18"/>
                <w:szCs w:val="18"/>
                <w:lang w:val="en-AU"/>
              </w:rPr>
              <w:t>.</w:t>
            </w:r>
            <w:r w:rsidR="00152A38" w:rsidRPr="003374B0">
              <w:rPr>
                <w:sz w:val="18"/>
                <w:szCs w:val="18"/>
                <w:lang w:val="en-AU"/>
              </w:rPr>
              <w:t>9</w:t>
            </w:r>
            <w:r w:rsidRPr="003374B0">
              <w:rPr>
                <w:sz w:val="18"/>
                <w:szCs w:val="18"/>
                <w:lang w:val="en-AU"/>
              </w:rPr>
              <w:t>)</w:t>
            </w:r>
          </w:p>
        </w:tc>
        <w:tc>
          <w:tcPr>
            <w:tcW w:w="1432" w:type="dxa"/>
            <w:vAlign w:val="center"/>
          </w:tcPr>
          <w:p w14:paraId="33A1E8FA" w14:textId="77777777" w:rsidR="00723854" w:rsidRDefault="00723854" w:rsidP="003374B0">
            <w:pPr>
              <w:jc w:val="center"/>
              <w:rPr>
                <w:sz w:val="22"/>
                <w:lang w:val="en-AU"/>
              </w:rPr>
            </w:pPr>
            <w:r w:rsidRPr="00723854">
              <w:rPr>
                <w:lang w:val="en-AU"/>
              </w:rPr>
              <w:t>6</w:t>
            </w:r>
            <w:r>
              <w:rPr>
                <w:lang w:val="en-AU"/>
              </w:rPr>
              <w:t>0.0</w:t>
            </w:r>
          </w:p>
          <w:p w14:paraId="6D6DC6F9" w14:textId="154329CA" w:rsidR="001C06E1" w:rsidRPr="003374B0" w:rsidRDefault="00723854" w:rsidP="003374B0">
            <w:pPr>
              <w:jc w:val="center"/>
              <w:rPr>
                <w:sz w:val="18"/>
                <w:szCs w:val="18"/>
                <w:lang w:val="en-AU"/>
              </w:rPr>
            </w:pPr>
            <w:r w:rsidRPr="003374B0">
              <w:rPr>
                <w:sz w:val="18"/>
                <w:szCs w:val="18"/>
                <w:lang w:val="en-AU"/>
              </w:rPr>
              <w:t>(53.8-66)</w:t>
            </w:r>
          </w:p>
        </w:tc>
      </w:tr>
    </w:tbl>
    <w:p w14:paraId="4A531BCE" w14:textId="5D6D85A6" w:rsidR="00CE32F7" w:rsidRDefault="00DF1F24" w:rsidP="002C21FB">
      <w:pPr>
        <w:rPr>
          <w:sz w:val="20"/>
          <w:lang w:val="en-AU"/>
        </w:rPr>
      </w:pPr>
      <w:r w:rsidRPr="003374B0">
        <w:rPr>
          <w:sz w:val="20"/>
          <w:lang w:val="en-AU"/>
        </w:rPr>
        <w:t>Note: Confidence intervals (95%) are displayed, not for statistical testing (given the purposeful sampling) but to show the spread of standard error in these samples.</w:t>
      </w:r>
    </w:p>
    <w:p w14:paraId="4DAD26B8" w14:textId="77777777" w:rsidR="00DF1F24" w:rsidRDefault="00DF1F24" w:rsidP="002C21FB">
      <w:pPr>
        <w:rPr>
          <w:lang w:val="en-AU"/>
        </w:rPr>
      </w:pPr>
    </w:p>
    <w:p w14:paraId="221B3845" w14:textId="0CC8945A" w:rsidR="00722746" w:rsidRDefault="002917AF" w:rsidP="002C21FB">
      <w:pPr>
        <w:rPr>
          <w:lang w:val="en-AU"/>
        </w:rPr>
      </w:pPr>
      <w:r>
        <w:rPr>
          <w:lang w:val="en-AU"/>
        </w:rPr>
        <w:t xml:space="preserve">The overall lower availability of medicines only distributed by ‘pull’ system is seen again (as in Section 5). It is only at the AP level, however, that there is a difference between ‘high-poverty’ and ‘non-high-poverty’ districts, with the medicines supplemented by the ‘push’ system showing an equitable distribution, while those distributed only by the </w:t>
      </w:r>
      <w:r w:rsidR="00227172">
        <w:rPr>
          <w:lang w:val="en-AU"/>
        </w:rPr>
        <w:t>‘pull’ system appearing</w:t>
      </w:r>
      <w:r>
        <w:rPr>
          <w:lang w:val="en-AU"/>
        </w:rPr>
        <w:t xml:space="preserve"> less equitable.</w:t>
      </w:r>
    </w:p>
    <w:p w14:paraId="51B3398F" w14:textId="77777777" w:rsidR="002917AF" w:rsidRDefault="002917AF" w:rsidP="002C21FB">
      <w:pPr>
        <w:rPr>
          <w:lang w:val="en-AU"/>
        </w:rPr>
      </w:pPr>
    </w:p>
    <w:p w14:paraId="6F62A9BB" w14:textId="245A9194" w:rsidR="002C21FB" w:rsidRDefault="002C21FB" w:rsidP="002C21FB">
      <w:pPr>
        <w:rPr>
          <w:lang w:val="en-AU"/>
        </w:rPr>
      </w:pPr>
      <w:r>
        <w:rPr>
          <w:lang w:val="en-AU"/>
        </w:rPr>
        <w:t xml:space="preserve">Our findings suggest that the kits (‘push’) system is likely to have contributed more, relative to the ‘pull’ system, to medicines availability in disadvantaged areas. Most qualitative data from </w:t>
      </w:r>
      <w:r w:rsidR="00335ABA">
        <w:rPr>
          <w:lang w:val="en-AU"/>
        </w:rPr>
        <w:t xml:space="preserve">HF </w:t>
      </w:r>
      <w:r>
        <w:rPr>
          <w:lang w:val="en-AU"/>
        </w:rPr>
        <w:t xml:space="preserve">interviews back up this finding, with many HF staff reporting that a kit delivery has meant a new level of medicines availability in their facility.  </w:t>
      </w:r>
    </w:p>
    <w:p w14:paraId="37166524" w14:textId="77777777" w:rsidR="002C21FB" w:rsidRDefault="002C21FB" w:rsidP="002C21FB">
      <w:pPr>
        <w:rPr>
          <w:lang w:val="en-AU"/>
        </w:rPr>
      </w:pPr>
    </w:p>
    <w:p w14:paraId="0C8847FE" w14:textId="6C2C3D77" w:rsidR="007557E4" w:rsidRDefault="00C66D37" w:rsidP="003374B0">
      <w:r>
        <w:rPr>
          <w:lang w:val="en-AU"/>
        </w:rPr>
        <w:t>To cross-check</w:t>
      </w:r>
      <w:r w:rsidR="003C6053">
        <w:rPr>
          <w:lang w:val="en-AU"/>
        </w:rPr>
        <w:t>, we</w:t>
      </w:r>
      <w:r>
        <w:rPr>
          <w:lang w:val="en-AU"/>
        </w:rPr>
        <w:t xml:space="preserve"> also performed the same analysis using a different definition of ‘high-poverty’ districts</w:t>
      </w:r>
      <w:r w:rsidR="003C6053">
        <w:rPr>
          <w:lang w:val="en-AU"/>
        </w:rPr>
        <w:t>, based on the 20 districts with the lowest Human Development Index rating</w:t>
      </w:r>
      <w:r w:rsidR="00335ABA">
        <w:rPr>
          <w:lang w:val="en-AU"/>
        </w:rPr>
        <w:t xml:space="preserve">, adapted to PNG districts </w:t>
      </w:r>
      <w:r w:rsidR="003C6053">
        <w:rPr>
          <w:lang w:val="en-AU"/>
        </w:rPr>
        <w:t>by</w:t>
      </w:r>
      <w:r>
        <w:rPr>
          <w:lang w:val="en-AU"/>
        </w:rPr>
        <w:t xml:space="preserve"> McGillivray</w:t>
      </w:r>
      <w:r w:rsidR="003C6053">
        <w:rPr>
          <w:lang w:val="en-AU"/>
        </w:rPr>
        <w:t xml:space="preserve"> </w:t>
      </w:r>
      <w:r w:rsidR="00335ABA">
        <w:rPr>
          <w:lang w:val="en-AU"/>
        </w:rPr>
        <w:t xml:space="preserve">and presented </w:t>
      </w:r>
      <w:r w:rsidR="003C6053">
        <w:rPr>
          <w:lang w:val="en-AU"/>
        </w:rPr>
        <w:t>at a conference at Deakin University in April 201</w:t>
      </w:r>
      <w:r w:rsidR="00E16E6B">
        <w:rPr>
          <w:lang w:val="en-AU"/>
        </w:rPr>
        <w:t>2</w:t>
      </w:r>
      <w:r w:rsidR="003C6053">
        <w:rPr>
          <w:lang w:val="en-AU"/>
        </w:rPr>
        <w:t xml:space="preserve">.  On this scale 35 of surveyed HFs were in ‘high-poverty’ districts. </w:t>
      </w:r>
      <w:r w:rsidR="003B6417">
        <w:rPr>
          <w:lang w:val="en-AU"/>
        </w:rPr>
        <w:t xml:space="preserve">As with the analysis above, availability was similar in both ‘high-poverty’ </w:t>
      </w:r>
      <w:r w:rsidR="009572B4">
        <w:rPr>
          <w:lang w:val="en-AU"/>
        </w:rPr>
        <w:t>(66%</w:t>
      </w:r>
      <w:r w:rsidR="003374B0">
        <w:rPr>
          <w:lang w:val="en-AU"/>
        </w:rPr>
        <w:t xml:space="preserve"> of tracer medicines across all HFs</w:t>
      </w:r>
      <w:r w:rsidR="009572B4">
        <w:rPr>
          <w:lang w:val="en-AU"/>
        </w:rPr>
        <w:t xml:space="preserve">) </w:t>
      </w:r>
      <w:r w:rsidR="003B6417">
        <w:rPr>
          <w:lang w:val="en-AU"/>
        </w:rPr>
        <w:t>and ‘non-high-poverty’</w:t>
      </w:r>
      <w:r w:rsidR="009572B4">
        <w:rPr>
          <w:lang w:val="en-AU"/>
        </w:rPr>
        <w:t xml:space="preserve"> (62%)</w:t>
      </w:r>
      <w:r w:rsidR="003B6417">
        <w:rPr>
          <w:lang w:val="en-AU"/>
        </w:rPr>
        <w:t xml:space="preserve"> districts</w:t>
      </w:r>
      <w:r w:rsidR="009572B4">
        <w:rPr>
          <w:lang w:val="en-AU"/>
        </w:rPr>
        <w:t xml:space="preserve"> across all levels in the health system.</w:t>
      </w:r>
      <w:r w:rsidR="00F9183D">
        <w:rPr>
          <w:lang w:val="en-AU"/>
        </w:rPr>
        <w:t xml:space="preserve"> With the McGillivray ranking, however, the distinction between ‘pull’-only and ‘push’-supplemented medicines is not seen.</w:t>
      </w:r>
    </w:p>
    <w:p w14:paraId="29B14224" w14:textId="77777777" w:rsidR="003374B0" w:rsidRDefault="003374B0" w:rsidP="003374B0"/>
    <w:p w14:paraId="21387D15" w14:textId="256648A5" w:rsidR="009D531C" w:rsidRPr="009D531C" w:rsidRDefault="009D531C" w:rsidP="00196E7E">
      <w:pPr>
        <w:pStyle w:val="Heading3"/>
      </w:pPr>
      <w:r>
        <w:t>Remoteness</w:t>
      </w:r>
      <w:r w:rsidR="006F6127">
        <w:t xml:space="preserve"> and access</w:t>
      </w:r>
    </w:p>
    <w:p w14:paraId="6861768A" w14:textId="4872B307" w:rsidR="009D531C" w:rsidRDefault="0029594D" w:rsidP="003374B0">
      <w:pPr>
        <w:rPr>
          <w:rFonts w:cs="Times New Roman"/>
          <w:color w:val="000000"/>
        </w:rPr>
      </w:pPr>
      <w:r>
        <w:rPr>
          <w:rFonts w:cs="Times New Roman"/>
          <w:color w:val="000000"/>
        </w:rPr>
        <w:t>For use by t</w:t>
      </w:r>
      <w:r w:rsidR="009D531C">
        <w:rPr>
          <w:rFonts w:cs="Times New Roman"/>
          <w:color w:val="000000"/>
        </w:rPr>
        <w:t>he management contractor CKP</w:t>
      </w:r>
      <w:r w:rsidR="006F6127">
        <w:rPr>
          <w:rFonts w:cs="Times New Roman"/>
          <w:color w:val="000000"/>
        </w:rPr>
        <w:t>,</w:t>
      </w:r>
      <w:r w:rsidR="009D531C">
        <w:rPr>
          <w:rFonts w:cs="Times New Roman"/>
          <w:color w:val="000000"/>
        </w:rPr>
        <w:t xml:space="preserve"> certain HFs </w:t>
      </w:r>
      <w:r>
        <w:rPr>
          <w:rFonts w:cs="Times New Roman"/>
          <w:color w:val="000000"/>
        </w:rPr>
        <w:t xml:space="preserve">were coded </w:t>
      </w:r>
      <w:r w:rsidR="009D531C">
        <w:rPr>
          <w:rFonts w:cs="Times New Roman"/>
          <w:color w:val="000000"/>
        </w:rPr>
        <w:t xml:space="preserve">as </w:t>
      </w:r>
      <w:r w:rsidR="006F6127">
        <w:rPr>
          <w:rFonts w:cs="Times New Roman"/>
          <w:color w:val="000000"/>
        </w:rPr>
        <w:t>‘remote’</w:t>
      </w:r>
      <w:r w:rsidR="009D531C">
        <w:rPr>
          <w:rFonts w:cs="Times New Roman"/>
          <w:color w:val="000000"/>
        </w:rPr>
        <w:t xml:space="preserve"> and contract conditions with transporters aimed to ensure that remote HFs did not get left behind in either timing or completeness of deliveries.  </w:t>
      </w:r>
      <w:r w:rsidR="00605C23">
        <w:rPr>
          <w:rFonts w:cs="Times New Roman"/>
          <w:color w:val="000000"/>
        </w:rPr>
        <w:t>Those coded as remote comprise:</w:t>
      </w:r>
      <w:r w:rsidR="00FF589D">
        <w:rPr>
          <w:rFonts w:cs="Times New Roman"/>
          <w:color w:val="000000"/>
        </w:rPr>
        <w:t xml:space="preserve"> 107 HCs,</w:t>
      </w:r>
      <w:r w:rsidR="00605C23">
        <w:rPr>
          <w:rFonts w:cs="Times New Roman"/>
          <w:color w:val="000000"/>
        </w:rPr>
        <w:t xml:space="preserve"> by region: 34 Southern, 17 Highlands, 33 </w:t>
      </w:r>
      <w:proofErr w:type="spellStart"/>
      <w:r w:rsidR="00605C23">
        <w:rPr>
          <w:rFonts w:cs="Times New Roman"/>
          <w:color w:val="000000"/>
        </w:rPr>
        <w:t>Momase</w:t>
      </w:r>
      <w:proofErr w:type="spellEnd"/>
      <w:r w:rsidR="00605C23">
        <w:rPr>
          <w:rFonts w:cs="Times New Roman"/>
          <w:color w:val="000000"/>
        </w:rPr>
        <w:t xml:space="preserve"> and 23 Islands; and 321 APs, by region 56 Southern, 67 Highlands, 138 </w:t>
      </w:r>
      <w:proofErr w:type="spellStart"/>
      <w:r w:rsidR="00605C23">
        <w:rPr>
          <w:rFonts w:cs="Times New Roman"/>
          <w:color w:val="000000"/>
        </w:rPr>
        <w:t>Momase</w:t>
      </w:r>
      <w:proofErr w:type="spellEnd"/>
      <w:r w:rsidR="00605C23">
        <w:rPr>
          <w:rFonts w:cs="Times New Roman"/>
          <w:color w:val="000000"/>
        </w:rPr>
        <w:t xml:space="preserve">, and 60 Islands. </w:t>
      </w:r>
      <w:r w:rsidR="009D531C">
        <w:rPr>
          <w:rFonts w:cs="Times New Roman"/>
          <w:color w:val="000000"/>
        </w:rPr>
        <w:t xml:space="preserve">We examined </w:t>
      </w:r>
      <w:r w:rsidR="00605C23">
        <w:rPr>
          <w:rFonts w:cs="Times New Roman"/>
          <w:color w:val="000000"/>
        </w:rPr>
        <w:t>contractor records and the availability data in our HF survey</w:t>
      </w:r>
      <w:r w:rsidR="009D531C">
        <w:rPr>
          <w:rFonts w:cs="Times New Roman"/>
          <w:color w:val="000000"/>
        </w:rPr>
        <w:t xml:space="preserve"> to assess whether ‘push’ system 100% kits were reaching remote facilities.</w:t>
      </w:r>
    </w:p>
    <w:p w14:paraId="67F03ADF" w14:textId="77777777" w:rsidR="009D531C" w:rsidRDefault="009D531C" w:rsidP="003374B0">
      <w:pPr>
        <w:rPr>
          <w:rFonts w:cs="Times New Roman"/>
          <w:color w:val="000000"/>
        </w:rPr>
      </w:pPr>
    </w:p>
    <w:p w14:paraId="06B7BBBB" w14:textId="20EA3E2D" w:rsidR="00204550" w:rsidRPr="006F6127" w:rsidRDefault="0029594D" w:rsidP="003374B0">
      <w:pPr>
        <w:rPr>
          <w:rFonts w:cs="Times New Roman"/>
          <w:color w:val="000000"/>
        </w:rPr>
      </w:pPr>
      <w:r>
        <w:rPr>
          <w:rFonts w:cs="Times New Roman"/>
          <w:color w:val="000000"/>
        </w:rPr>
        <w:t>We analyz</w:t>
      </w:r>
      <w:r w:rsidR="00FD2EC8">
        <w:rPr>
          <w:rFonts w:cs="Times New Roman"/>
          <w:color w:val="000000"/>
        </w:rPr>
        <w:t xml:space="preserve">ed </w:t>
      </w:r>
      <w:r w:rsidR="009D531C">
        <w:rPr>
          <w:rFonts w:cs="Times New Roman"/>
          <w:color w:val="000000"/>
        </w:rPr>
        <w:t>CKP</w:t>
      </w:r>
      <w:r w:rsidR="0004327F">
        <w:rPr>
          <w:rFonts w:cs="Times New Roman"/>
          <w:color w:val="000000"/>
        </w:rPr>
        <w:t>’s own</w:t>
      </w:r>
      <w:r w:rsidR="003374B0" w:rsidRPr="000E282C">
        <w:rPr>
          <w:rFonts w:cs="Times New Roman"/>
          <w:color w:val="000000"/>
        </w:rPr>
        <w:t xml:space="preserve"> </w:t>
      </w:r>
      <w:r w:rsidR="00FD2EC8">
        <w:rPr>
          <w:rFonts w:cs="Times New Roman"/>
          <w:color w:val="000000"/>
        </w:rPr>
        <w:t>report of the first round of deliveries to HCs and to APs</w:t>
      </w:r>
      <w:r w:rsidR="006310DC">
        <w:rPr>
          <w:rFonts w:cs="Times New Roman"/>
          <w:color w:val="000000"/>
        </w:rPr>
        <w:t xml:space="preserve"> looking at the rate of completion of deliveries in the round</w:t>
      </w:r>
      <w:r>
        <w:rPr>
          <w:rFonts w:cs="Times New Roman"/>
          <w:color w:val="000000"/>
        </w:rPr>
        <w:t xml:space="preserve">, as at end of May 2013, </w:t>
      </w:r>
      <w:r w:rsidR="00204550">
        <w:rPr>
          <w:rFonts w:cs="Times New Roman"/>
          <w:color w:val="000000"/>
        </w:rPr>
        <w:t xml:space="preserve">weighted by the number of HFs in each </w:t>
      </w:r>
      <w:r w:rsidR="00E23F8A">
        <w:rPr>
          <w:rFonts w:cs="Times New Roman"/>
          <w:color w:val="000000"/>
        </w:rPr>
        <w:t>province</w:t>
      </w:r>
      <w:r w:rsidR="006310DC">
        <w:rPr>
          <w:rFonts w:cs="Times New Roman"/>
          <w:color w:val="000000"/>
        </w:rPr>
        <w:t>.</w:t>
      </w:r>
      <w:r>
        <w:rPr>
          <w:rFonts w:cs="Times New Roman"/>
          <w:color w:val="000000"/>
        </w:rPr>
        <w:t xml:space="preserve"> This is presented in the table below</w:t>
      </w:r>
      <w:r w:rsidR="00E23F8A">
        <w:rPr>
          <w:rFonts w:cs="Times New Roman"/>
          <w:color w:val="000000"/>
        </w:rPr>
        <w:t>, consolidated by region because that was the basis for transport company contracting</w:t>
      </w:r>
      <w:r>
        <w:rPr>
          <w:rFonts w:cs="Times New Roman"/>
          <w:color w:val="000000"/>
        </w:rPr>
        <w:t>.</w:t>
      </w:r>
    </w:p>
    <w:p w14:paraId="51A9A124" w14:textId="77777777" w:rsidR="00204550" w:rsidRDefault="00204550" w:rsidP="003374B0">
      <w:pPr>
        <w:rPr>
          <w:rFonts w:cs="Times New Roman"/>
          <w:b/>
          <w:color w:val="000000"/>
        </w:rPr>
      </w:pPr>
    </w:p>
    <w:p w14:paraId="7397C25C" w14:textId="77777777" w:rsidR="00204550" w:rsidRDefault="00204550" w:rsidP="003374B0">
      <w:pPr>
        <w:rPr>
          <w:rFonts w:cs="Times New Roman"/>
          <w:b/>
          <w:color w:val="000000"/>
        </w:rPr>
      </w:pPr>
    </w:p>
    <w:p w14:paraId="34C6CA1A" w14:textId="2AE56D20" w:rsidR="00204550" w:rsidRDefault="004A1CA0" w:rsidP="003374B0">
      <w:pPr>
        <w:rPr>
          <w:rFonts w:cs="Times New Roman"/>
          <w:b/>
          <w:color w:val="000000"/>
        </w:rPr>
      </w:pPr>
      <w:r>
        <w:rPr>
          <w:rFonts w:cs="Times New Roman"/>
          <w:b/>
          <w:color w:val="000000"/>
        </w:rPr>
        <w:t>Table 19</w:t>
      </w:r>
      <w:r w:rsidR="00204550">
        <w:rPr>
          <w:rFonts w:cs="Times New Roman"/>
          <w:b/>
          <w:color w:val="000000"/>
        </w:rPr>
        <w:t xml:space="preserve">: Completion (%) of round one </w:t>
      </w:r>
      <w:proofErr w:type="gramStart"/>
      <w:r w:rsidR="00204550">
        <w:rPr>
          <w:rFonts w:cs="Times New Roman"/>
          <w:b/>
          <w:color w:val="000000"/>
        </w:rPr>
        <w:t>deliveries</w:t>
      </w:r>
      <w:proofErr w:type="gramEnd"/>
      <w:r w:rsidR="00204550">
        <w:rPr>
          <w:rFonts w:cs="Times New Roman"/>
          <w:b/>
          <w:color w:val="000000"/>
        </w:rPr>
        <w:t>, by remoteness and region</w:t>
      </w:r>
    </w:p>
    <w:tbl>
      <w:tblPr>
        <w:tblStyle w:val="TableGrid"/>
        <w:tblW w:w="0" w:type="auto"/>
        <w:tblLook w:val="04A0" w:firstRow="1" w:lastRow="0" w:firstColumn="1" w:lastColumn="0" w:noHBand="0" w:noVBand="1"/>
      </w:tblPr>
      <w:tblGrid>
        <w:gridCol w:w="1025"/>
        <w:gridCol w:w="1027"/>
        <w:gridCol w:w="1026"/>
        <w:gridCol w:w="1036"/>
        <w:gridCol w:w="1025"/>
        <w:gridCol w:w="1027"/>
        <w:gridCol w:w="1025"/>
        <w:gridCol w:w="1026"/>
        <w:gridCol w:w="1025"/>
      </w:tblGrid>
      <w:tr w:rsidR="007F7419" w:rsidRPr="00FF589D" w14:paraId="0D662EFB" w14:textId="77777777" w:rsidTr="00FF589D">
        <w:tc>
          <w:tcPr>
            <w:tcW w:w="1025" w:type="dxa"/>
            <w:vMerge w:val="restart"/>
          </w:tcPr>
          <w:p w14:paraId="3B55A841" w14:textId="77777777" w:rsidR="007F7419" w:rsidRPr="00FF589D" w:rsidRDefault="007F7419" w:rsidP="003374B0">
            <w:pPr>
              <w:rPr>
                <w:rFonts w:cs="Times New Roman"/>
                <w:color w:val="000000"/>
              </w:rPr>
            </w:pPr>
          </w:p>
        </w:tc>
        <w:tc>
          <w:tcPr>
            <w:tcW w:w="2053" w:type="dxa"/>
            <w:gridSpan w:val="2"/>
            <w:vAlign w:val="center"/>
          </w:tcPr>
          <w:p w14:paraId="74FAF9DB" w14:textId="4714F472" w:rsidR="007F7419" w:rsidRPr="00FF589D" w:rsidRDefault="007F7419" w:rsidP="00204550">
            <w:pPr>
              <w:jc w:val="center"/>
              <w:rPr>
                <w:rFonts w:cs="Times New Roman"/>
                <w:color w:val="000000"/>
              </w:rPr>
            </w:pPr>
            <w:r w:rsidRPr="00FF589D">
              <w:rPr>
                <w:rFonts w:cs="Times New Roman"/>
                <w:color w:val="000000"/>
              </w:rPr>
              <w:t>Southern</w:t>
            </w:r>
          </w:p>
        </w:tc>
        <w:tc>
          <w:tcPr>
            <w:tcW w:w="2061" w:type="dxa"/>
            <w:gridSpan w:val="2"/>
            <w:vAlign w:val="center"/>
          </w:tcPr>
          <w:p w14:paraId="324A1211" w14:textId="7C7C1EEF" w:rsidR="007F7419" w:rsidRPr="00FF589D" w:rsidRDefault="007F7419" w:rsidP="00204550">
            <w:pPr>
              <w:jc w:val="center"/>
              <w:rPr>
                <w:rFonts w:cs="Times New Roman"/>
                <w:color w:val="000000"/>
              </w:rPr>
            </w:pPr>
            <w:r w:rsidRPr="00FF589D">
              <w:rPr>
                <w:rFonts w:cs="Times New Roman"/>
                <w:color w:val="000000"/>
              </w:rPr>
              <w:t>Highlands</w:t>
            </w:r>
          </w:p>
        </w:tc>
        <w:tc>
          <w:tcPr>
            <w:tcW w:w="2052" w:type="dxa"/>
            <w:gridSpan w:val="2"/>
            <w:vAlign w:val="center"/>
          </w:tcPr>
          <w:p w14:paraId="5180C388" w14:textId="463DF9C6" w:rsidR="007F7419" w:rsidRPr="00FF589D" w:rsidRDefault="007F7419" w:rsidP="00204550">
            <w:pPr>
              <w:jc w:val="center"/>
              <w:rPr>
                <w:rFonts w:cs="Times New Roman"/>
                <w:color w:val="000000"/>
              </w:rPr>
            </w:pPr>
            <w:proofErr w:type="spellStart"/>
            <w:r w:rsidRPr="00FF589D">
              <w:rPr>
                <w:rFonts w:cs="Times New Roman"/>
                <w:color w:val="000000"/>
              </w:rPr>
              <w:t>Momase</w:t>
            </w:r>
            <w:proofErr w:type="spellEnd"/>
          </w:p>
        </w:tc>
        <w:tc>
          <w:tcPr>
            <w:tcW w:w="2051" w:type="dxa"/>
            <w:gridSpan w:val="2"/>
            <w:vAlign w:val="center"/>
          </w:tcPr>
          <w:p w14:paraId="6FCFAE7F" w14:textId="06A2FF4A" w:rsidR="007F7419" w:rsidRPr="00FF589D" w:rsidRDefault="007F7419" w:rsidP="00204550">
            <w:pPr>
              <w:jc w:val="center"/>
              <w:rPr>
                <w:rFonts w:cs="Times New Roman"/>
                <w:color w:val="000000"/>
              </w:rPr>
            </w:pPr>
            <w:r w:rsidRPr="00FF589D">
              <w:rPr>
                <w:rFonts w:cs="Times New Roman"/>
                <w:color w:val="000000"/>
              </w:rPr>
              <w:t>Islands</w:t>
            </w:r>
          </w:p>
        </w:tc>
      </w:tr>
      <w:tr w:rsidR="007F7419" w:rsidRPr="00FF589D" w14:paraId="00DF6E9D" w14:textId="77777777" w:rsidTr="00204550">
        <w:tc>
          <w:tcPr>
            <w:tcW w:w="1025" w:type="dxa"/>
            <w:vMerge/>
          </w:tcPr>
          <w:p w14:paraId="1BED924C" w14:textId="77777777" w:rsidR="007F7419" w:rsidRPr="00FF589D" w:rsidRDefault="007F7419" w:rsidP="003374B0">
            <w:pPr>
              <w:rPr>
                <w:rFonts w:cs="Times New Roman"/>
                <w:color w:val="000000"/>
              </w:rPr>
            </w:pPr>
          </w:p>
        </w:tc>
        <w:tc>
          <w:tcPr>
            <w:tcW w:w="1027" w:type="dxa"/>
            <w:vAlign w:val="center"/>
          </w:tcPr>
          <w:p w14:paraId="04123791" w14:textId="16A32B0B" w:rsidR="007F7419" w:rsidRPr="00FF589D" w:rsidRDefault="007F7419" w:rsidP="00204550">
            <w:pPr>
              <w:jc w:val="center"/>
              <w:rPr>
                <w:rFonts w:cs="Times New Roman"/>
                <w:color w:val="000000"/>
              </w:rPr>
            </w:pPr>
            <w:r w:rsidRPr="00FF589D">
              <w:rPr>
                <w:rFonts w:cs="Times New Roman"/>
                <w:color w:val="000000"/>
              </w:rPr>
              <w:t>HC</w:t>
            </w:r>
          </w:p>
        </w:tc>
        <w:tc>
          <w:tcPr>
            <w:tcW w:w="1026" w:type="dxa"/>
            <w:vAlign w:val="center"/>
          </w:tcPr>
          <w:p w14:paraId="49EA73DE" w14:textId="0CB70CB5" w:rsidR="007F7419" w:rsidRPr="00FF589D" w:rsidRDefault="007F7419" w:rsidP="00204550">
            <w:pPr>
              <w:jc w:val="center"/>
              <w:rPr>
                <w:rFonts w:cs="Times New Roman"/>
                <w:color w:val="000000"/>
              </w:rPr>
            </w:pPr>
            <w:r w:rsidRPr="00FF589D">
              <w:rPr>
                <w:rFonts w:cs="Times New Roman"/>
                <w:color w:val="000000"/>
              </w:rPr>
              <w:t>AP</w:t>
            </w:r>
          </w:p>
        </w:tc>
        <w:tc>
          <w:tcPr>
            <w:tcW w:w="1036" w:type="dxa"/>
            <w:vAlign w:val="center"/>
          </w:tcPr>
          <w:p w14:paraId="426BDC59" w14:textId="3198F2A5" w:rsidR="007F7419" w:rsidRPr="00FF589D" w:rsidRDefault="007F7419" w:rsidP="00204550">
            <w:pPr>
              <w:jc w:val="center"/>
              <w:rPr>
                <w:rFonts w:cs="Times New Roman"/>
                <w:color w:val="000000"/>
              </w:rPr>
            </w:pPr>
            <w:r w:rsidRPr="00FF589D">
              <w:rPr>
                <w:rFonts w:cs="Times New Roman"/>
                <w:color w:val="000000"/>
              </w:rPr>
              <w:t>HC</w:t>
            </w:r>
          </w:p>
        </w:tc>
        <w:tc>
          <w:tcPr>
            <w:tcW w:w="1025" w:type="dxa"/>
            <w:vAlign w:val="center"/>
          </w:tcPr>
          <w:p w14:paraId="3EF10DDC" w14:textId="53A16F2B" w:rsidR="007F7419" w:rsidRPr="00FF589D" w:rsidRDefault="007F7419" w:rsidP="00204550">
            <w:pPr>
              <w:jc w:val="center"/>
              <w:rPr>
                <w:rFonts w:cs="Times New Roman"/>
                <w:color w:val="000000"/>
              </w:rPr>
            </w:pPr>
            <w:r w:rsidRPr="00FF589D">
              <w:rPr>
                <w:rFonts w:cs="Times New Roman"/>
                <w:color w:val="000000"/>
              </w:rPr>
              <w:t>AP</w:t>
            </w:r>
          </w:p>
        </w:tc>
        <w:tc>
          <w:tcPr>
            <w:tcW w:w="1027" w:type="dxa"/>
            <w:vAlign w:val="center"/>
          </w:tcPr>
          <w:p w14:paraId="40AD8E5C" w14:textId="5ED7040E" w:rsidR="007F7419" w:rsidRPr="00FF589D" w:rsidRDefault="007F7419" w:rsidP="00204550">
            <w:pPr>
              <w:jc w:val="center"/>
              <w:rPr>
                <w:rFonts w:cs="Times New Roman"/>
                <w:color w:val="000000"/>
              </w:rPr>
            </w:pPr>
            <w:r w:rsidRPr="00FF589D">
              <w:rPr>
                <w:rFonts w:cs="Times New Roman"/>
                <w:color w:val="000000"/>
              </w:rPr>
              <w:t>HC</w:t>
            </w:r>
          </w:p>
        </w:tc>
        <w:tc>
          <w:tcPr>
            <w:tcW w:w="1025" w:type="dxa"/>
            <w:vAlign w:val="center"/>
          </w:tcPr>
          <w:p w14:paraId="5D3B264D" w14:textId="79C37CF3" w:rsidR="007F7419" w:rsidRPr="00FF589D" w:rsidRDefault="007F7419" w:rsidP="00204550">
            <w:pPr>
              <w:jc w:val="center"/>
              <w:rPr>
                <w:rFonts w:cs="Times New Roman"/>
                <w:color w:val="000000"/>
              </w:rPr>
            </w:pPr>
            <w:r w:rsidRPr="00FF589D">
              <w:rPr>
                <w:rFonts w:cs="Times New Roman"/>
                <w:color w:val="000000"/>
              </w:rPr>
              <w:t>AP</w:t>
            </w:r>
          </w:p>
        </w:tc>
        <w:tc>
          <w:tcPr>
            <w:tcW w:w="1026" w:type="dxa"/>
            <w:vAlign w:val="center"/>
          </w:tcPr>
          <w:p w14:paraId="413951BB" w14:textId="5E5F20E8" w:rsidR="007F7419" w:rsidRPr="00FF589D" w:rsidRDefault="007F7419" w:rsidP="00204550">
            <w:pPr>
              <w:jc w:val="center"/>
              <w:rPr>
                <w:rFonts w:cs="Times New Roman"/>
                <w:color w:val="000000"/>
              </w:rPr>
            </w:pPr>
            <w:r w:rsidRPr="00FF589D">
              <w:rPr>
                <w:rFonts w:cs="Times New Roman"/>
                <w:color w:val="000000"/>
              </w:rPr>
              <w:t>HC</w:t>
            </w:r>
          </w:p>
        </w:tc>
        <w:tc>
          <w:tcPr>
            <w:tcW w:w="1025" w:type="dxa"/>
            <w:vAlign w:val="center"/>
          </w:tcPr>
          <w:p w14:paraId="4F015324" w14:textId="027E52CE" w:rsidR="007F7419" w:rsidRPr="00FF589D" w:rsidRDefault="007F7419" w:rsidP="00204550">
            <w:pPr>
              <w:jc w:val="center"/>
              <w:rPr>
                <w:rFonts w:cs="Times New Roman"/>
                <w:color w:val="000000"/>
              </w:rPr>
            </w:pPr>
            <w:r w:rsidRPr="00FF589D">
              <w:rPr>
                <w:rFonts w:cs="Times New Roman"/>
                <w:color w:val="000000"/>
              </w:rPr>
              <w:t>AP</w:t>
            </w:r>
          </w:p>
        </w:tc>
      </w:tr>
      <w:tr w:rsidR="00204550" w:rsidRPr="00FF589D" w14:paraId="0100C437" w14:textId="77777777" w:rsidTr="00FF589D">
        <w:tc>
          <w:tcPr>
            <w:tcW w:w="1025" w:type="dxa"/>
            <w:vAlign w:val="center"/>
          </w:tcPr>
          <w:p w14:paraId="24251BF1" w14:textId="0D424BCE" w:rsidR="00204550" w:rsidRPr="00FF589D" w:rsidRDefault="00204550" w:rsidP="00FF589D">
            <w:pPr>
              <w:jc w:val="center"/>
              <w:rPr>
                <w:rFonts w:cs="Times New Roman"/>
                <w:color w:val="000000"/>
              </w:rPr>
            </w:pPr>
            <w:r w:rsidRPr="00FF589D">
              <w:rPr>
                <w:rFonts w:cs="Times New Roman"/>
                <w:color w:val="000000"/>
              </w:rPr>
              <w:t>Not remote</w:t>
            </w:r>
          </w:p>
        </w:tc>
        <w:tc>
          <w:tcPr>
            <w:tcW w:w="1027" w:type="dxa"/>
            <w:vAlign w:val="center"/>
          </w:tcPr>
          <w:p w14:paraId="3EADAE57" w14:textId="36287F31" w:rsidR="00204550" w:rsidRPr="00FF589D" w:rsidRDefault="00FF589D" w:rsidP="00204550">
            <w:pPr>
              <w:jc w:val="center"/>
              <w:rPr>
                <w:rFonts w:cs="Times New Roman"/>
                <w:color w:val="000000"/>
              </w:rPr>
            </w:pPr>
            <w:r w:rsidRPr="00FF589D">
              <w:rPr>
                <w:rFonts w:cs="Times New Roman"/>
                <w:color w:val="000000"/>
              </w:rPr>
              <w:t>97%</w:t>
            </w:r>
          </w:p>
        </w:tc>
        <w:tc>
          <w:tcPr>
            <w:tcW w:w="1026" w:type="dxa"/>
            <w:vAlign w:val="center"/>
          </w:tcPr>
          <w:p w14:paraId="28060584" w14:textId="7339763F" w:rsidR="00204550" w:rsidRPr="00FF589D" w:rsidRDefault="00383A9D" w:rsidP="00204550">
            <w:pPr>
              <w:jc w:val="center"/>
              <w:rPr>
                <w:rFonts w:cs="Times New Roman"/>
                <w:color w:val="000000"/>
              </w:rPr>
            </w:pPr>
            <w:r>
              <w:rPr>
                <w:rFonts w:cs="Times New Roman"/>
                <w:color w:val="000000"/>
              </w:rPr>
              <w:t>84%</w:t>
            </w:r>
          </w:p>
        </w:tc>
        <w:tc>
          <w:tcPr>
            <w:tcW w:w="1036" w:type="dxa"/>
            <w:vAlign w:val="center"/>
          </w:tcPr>
          <w:p w14:paraId="0A0E5E7D" w14:textId="7E2DCEA7" w:rsidR="00204550" w:rsidRPr="00FF589D" w:rsidRDefault="00FF589D" w:rsidP="00204550">
            <w:pPr>
              <w:jc w:val="center"/>
              <w:rPr>
                <w:rFonts w:cs="Times New Roman"/>
                <w:color w:val="000000"/>
              </w:rPr>
            </w:pPr>
            <w:r>
              <w:rPr>
                <w:rFonts w:cs="Times New Roman"/>
                <w:color w:val="000000"/>
              </w:rPr>
              <w:t>100%</w:t>
            </w:r>
          </w:p>
        </w:tc>
        <w:tc>
          <w:tcPr>
            <w:tcW w:w="1025" w:type="dxa"/>
            <w:vAlign w:val="center"/>
          </w:tcPr>
          <w:p w14:paraId="644BAA77" w14:textId="13094A74" w:rsidR="00204550" w:rsidRPr="00FF589D" w:rsidRDefault="00383A9D" w:rsidP="00204550">
            <w:pPr>
              <w:jc w:val="center"/>
              <w:rPr>
                <w:rFonts w:cs="Times New Roman"/>
                <w:color w:val="000000"/>
              </w:rPr>
            </w:pPr>
            <w:r>
              <w:rPr>
                <w:rFonts w:cs="Times New Roman"/>
                <w:color w:val="000000"/>
              </w:rPr>
              <w:t>100%</w:t>
            </w:r>
          </w:p>
        </w:tc>
        <w:tc>
          <w:tcPr>
            <w:tcW w:w="1027" w:type="dxa"/>
            <w:vAlign w:val="center"/>
          </w:tcPr>
          <w:p w14:paraId="45D774E4" w14:textId="30B2F6FC" w:rsidR="00204550" w:rsidRPr="00FF589D" w:rsidRDefault="00FF589D" w:rsidP="00204550">
            <w:pPr>
              <w:jc w:val="center"/>
              <w:rPr>
                <w:rFonts w:cs="Times New Roman"/>
                <w:color w:val="000000"/>
              </w:rPr>
            </w:pPr>
            <w:r>
              <w:rPr>
                <w:rFonts w:cs="Times New Roman"/>
                <w:color w:val="000000"/>
              </w:rPr>
              <w:t>91%</w:t>
            </w:r>
          </w:p>
        </w:tc>
        <w:tc>
          <w:tcPr>
            <w:tcW w:w="1025" w:type="dxa"/>
            <w:vAlign w:val="center"/>
          </w:tcPr>
          <w:p w14:paraId="75AC2A9D" w14:textId="30CF4A01" w:rsidR="00204550" w:rsidRPr="00FF589D" w:rsidRDefault="00383A9D" w:rsidP="00204550">
            <w:pPr>
              <w:jc w:val="center"/>
              <w:rPr>
                <w:rFonts w:cs="Times New Roman"/>
                <w:color w:val="000000"/>
              </w:rPr>
            </w:pPr>
            <w:r>
              <w:rPr>
                <w:rFonts w:cs="Times New Roman"/>
                <w:color w:val="000000"/>
              </w:rPr>
              <w:t>71%</w:t>
            </w:r>
          </w:p>
        </w:tc>
        <w:tc>
          <w:tcPr>
            <w:tcW w:w="1026" w:type="dxa"/>
            <w:vAlign w:val="center"/>
          </w:tcPr>
          <w:p w14:paraId="68EBB66E" w14:textId="65D9B78A" w:rsidR="00204550" w:rsidRPr="00FF589D" w:rsidRDefault="00FF589D" w:rsidP="00204550">
            <w:pPr>
              <w:jc w:val="center"/>
              <w:rPr>
                <w:rFonts w:cs="Times New Roman"/>
                <w:color w:val="000000"/>
              </w:rPr>
            </w:pPr>
            <w:r>
              <w:rPr>
                <w:rFonts w:cs="Times New Roman"/>
                <w:color w:val="000000"/>
              </w:rPr>
              <w:t>96%</w:t>
            </w:r>
          </w:p>
        </w:tc>
        <w:tc>
          <w:tcPr>
            <w:tcW w:w="1025" w:type="dxa"/>
            <w:vAlign w:val="center"/>
          </w:tcPr>
          <w:p w14:paraId="35C27B4B" w14:textId="6CB85303" w:rsidR="00204550" w:rsidRPr="00FF589D" w:rsidRDefault="00383A9D" w:rsidP="00204550">
            <w:pPr>
              <w:jc w:val="center"/>
              <w:rPr>
                <w:rFonts w:cs="Times New Roman"/>
                <w:color w:val="000000"/>
              </w:rPr>
            </w:pPr>
            <w:r>
              <w:rPr>
                <w:rFonts w:cs="Times New Roman"/>
                <w:color w:val="000000"/>
              </w:rPr>
              <w:t>95%</w:t>
            </w:r>
          </w:p>
        </w:tc>
      </w:tr>
      <w:tr w:rsidR="00204550" w:rsidRPr="00A90CD5" w14:paraId="71C1E339" w14:textId="77777777" w:rsidTr="00FF589D">
        <w:trPr>
          <w:trHeight w:val="530"/>
        </w:trPr>
        <w:tc>
          <w:tcPr>
            <w:tcW w:w="1025" w:type="dxa"/>
            <w:vAlign w:val="center"/>
          </w:tcPr>
          <w:p w14:paraId="15742EE6" w14:textId="4362DF19" w:rsidR="00204550" w:rsidRPr="00A90CD5" w:rsidRDefault="00204550" w:rsidP="00FF589D">
            <w:pPr>
              <w:jc w:val="center"/>
              <w:rPr>
                <w:rFonts w:cs="Times New Roman"/>
                <w:color w:val="000000"/>
              </w:rPr>
            </w:pPr>
            <w:r w:rsidRPr="00A90CD5">
              <w:rPr>
                <w:rFonts w:cs="Times New Roman"/>
                <w:color w:val="000000"/>
              </w:rPr>
              <w:t>Remote</w:t>
            </w:r>
          </w:p>
        </w:tc>
        <w:tc>
          <w:tcPr>
            <w:tcW w:w="1027" w:type="dxa"/>
            <w:vAlign w:val="center"/>
          </w:tcPr>
          <w:p w14:paraId="2537FAE2" w14:textId="1D69C817" w:rsidR="00204550" w:rsidRPr="00A90CD5" w:rsidRDefault="00FF589D" w:rsidP="00204550">
            <w:pPr>
              <w:jc w:val="center"/>
              <w:rPr>
                <w:rFonts w:cs="Times New Roman"/>
                <w:color w:val="000000"/>
              </w:rPr>
            </w:pPr>
            <w:r w:rsidRPr="00A90CD5">
              <w:rPr>
                <w:rFonts w:cs="Times New Roman"/>
                <w:color w:val="000000"/>
              </w:rPr>
              <w:t>85%</w:t>
            </w:r>
          </w:p>
        </w:tc>
        <w:tc>
          <w:tcPr>
            <w:tcW w:w="1026" w:type="dxa"/>
            <w:vAlign w:val="center"/>
          </w:tcPr>
          <w:p w14:paraId="6FA08076" w14:textId="7E7A31A4" w:rsidR="00204550" w:rsidRPr="00A90CD5" w:rsidRDefault="00383A9D" w:rsidP="00204550">
            <w:pPr>
              <w:jc w:val="center"/>
              <w:rPr>
                <w:rFonts w:cs="Times New Roman"/>
                <w:color w:val="000000"/>
              </w:rPr>
            </w:pPr>
            <w:r w:rsidRPr="00A90CD5">
              <w:rPr>
                <w:rFonts w:cs="Times New Roman"/>
                <w:color w:val="000000"/>
              </w:rPr>
              <w:t>63%</w:t>
            </w:r>
          </w:p>
        </w:tc>
        <w:tc>
          <w:tcPr>
            <w:tcW w:w="1036" w:type="dxa"/>
            <w:vAlign w:val="center"/>
          </w:tcPr>
          <w:p w14:paraId="7B6D1494" w14:textId="3E5DD4A1" w:rsidR="00204550" w:rsidRPr="00A90CD5" w:rsidRDefault="00FF589D" w:rsidP="00204550">
            <w:pPr>
              <w:jc w:val="center"/>
              <w:rPr>
                <w:rFonts w:cs="Times New Roman"/>
                <w:color w:val="000000"/>
              </w:rPr>
            </w:pPr>
            <w:r w:rsidRPr="00A90CD5">
              <w:rPr>
                <w:rFonts w:cs="Times New Roman"/>
                <w:color w:val="000000"/>
              </w:rPr>
              <w:t>100%</w:t>
            </w:r>
          </w:p>
        </w:tc>
        <w:tc>
          <w:tcPr>
            <w:tcW w:w="1025" w:type="dxa"/>
            <w:vAlign w:val="center"/>
          </w:tcPr>
          <w:p w14:paraId="22BB74F8" w14:textId="667A0C5F" w:rsidR="00204550" w:rsidRPr="00A90CD5" w:rsidRDefault="00383A9D" w:rsidP="00204550">
            <w:pPr>
              <w:jc w:val="center"/>
              <w:rPr>
                <w:rFonts w:cs="Times New Roman"/>
                <w:color w:val="000000"/>
              </w:rPr>
            </w:pPr>
            <w:r w:rsidRPr="00A90CD5">
              <w:rPr>
                <w:rFonts w:cs="Times New Roman"/>
                <w:color w:val="000000"/>
              </w:rPr>
              <w:t>100%</w:t>
            </w:r>
          </w:p>
        </w:tc>
        <w:tc>
          <w:tcPr>
            <w:tcW w:w="1027" w:type="dxa"/>
            <w:vAlign w:val="center"/>
          </w:tcPr>
          <w:p w14:paraId="0C8303AC" w14:textId="5CB9FADC" w:rsidR="00204550" w:rsidRPr="00A90CD5" w:rsidRDefault="00FF589D" w:rsidP="00204550">
            <w:pPr>
              <w:jc w:val="center"/>
              <w:rPr>
                <w:rFonts w:cs="Times New Roman"/>
                <w:color w:val="000000"/>
              </w:rPr>
            </w:pPr>
            <w:r w:rsidRPr="00A90CD5">
              <w:rPr>
                <w:rFonts w:cs="Times New Roman"/>
                <w:color w:val="000000"/>
              </w:rPr>
              <w:t>33%</w:t>
            </w:r>
          </w:p>
        </w:tc>
        <w:tc>
          <w:tcPr>
            <w:tcW w:w="1025" w:type="dxa"/>
            <w:vAlign w:val="center"/>
          </w:tcPr>
          <w:p w14:paraId="19308C18" w14:textId="1B56D1B8" w:rsidR="00204550" w:rsidRPr="00A90CD5" w:rsidRDefault="00383A9D" w:rsidP="00204550">
            <w:pPr>
              <w:jc w:val="center"/>
              <w:rPr>
                <w:rFonts w:cs="Times New Roman"/>
                <w:color w:val="000000"/>
              </w:rPr>
            </w:pPr>
            <w:r w:rsidRPr="00A90CD5">
              <w:rPr>
                <w:rFonts w:cs="Times New Roman"/>
                <w:color w:val="000000"/>
              </w:rPr>
              <w:t>30%</w:t>
            </w:r>
          </w:p>
        </w:tc>
        <w:tc>
          <w:tcPr>
            <w:tcW w:w="1026" w:type="dxa"/>
            <w:vAlign w:val="center"/>
          </w:tcPr>
          <w:p w14:paraId="767B2771" w14:textId="5427B9A1" w:rsidR="00204550" w:rsidRPr="00A90CD5" w:rsidRDefault="00383A9D" w:rsidP="00204550">
            <w:pPr>
              <w:jc w:val="center"/>
              <w:rPr>
                <w:rFonts w:cs="Times New Roman"/>
                <w:color w:val="000000"/>
              </w:rPr>
            </w:pPr>
            <w:r w:rsidRPr="00A90CD5">
              <w:rPr>
                <w:rFonts w:cs="Times New Roman"/>
                <w:color w:val="000000"/>
              </w:rPr>
              <w:t>78%</w:t>
            </w:r>
          </w:p>
        </w:tc>
        <w:tc>
          <w:tcPr>
            <w:tcW w:w="1025" w:type="dxa"/>
            <w:vAlign w:val="center"/>
          </w:tcPr>
          <w:p w14:paraId="6DA51920" w14:textId="76558BC1" w:rsidR="00204550" w:rsidRPr="00A90CD5" w:rsidRDefault="00383A9D" w:rsidP="00204550">
            <w:pPr>
              <w:jc w:val="center"/>
              <w:rPr>
                <w:rFonts w:cs="Times New Roman"/>
                <w:color w:val="000000"/>
              </w:rPr>
            </w:pPr>
            <w:r w:rsidRPr="00A90CD5">
              <w:rPr>
                <w:rFonts w:cs="Times New Roman"/>
                <w:color w:val="000000"/>
              </w:rPr>
              <w:t>62%</w:t>
            </w:r>
          </w:p>
        </w:tc>
      </w:tr>
    </w:tbl>
    <w:p w14:paraId="20082CEC" w14:textId="494A65D7" w:rsidR="00204550" w:rsidRPr="00A90CD5" w:rsidRDefault="007F7419" w:rsidP="003374B0">
      <w:pPr>
        <w:rPr>
          <w:rFonts w:cs="Times New Roman"/>
          <w:color w:val="000000"/>
          <w:sz w:val="20"/>
        </w:rPr>
      </w:pPr>
      <w:r w:rsidRPr="00A90CD5">
        <w:rPr>
          <w:rFonts w:cs="Times New Roman"/>
          <w:color w:val="000000"/>
          <w:sz w:val="20"/>
        </w:rPr>
        <w:t>Note: Contractor-supplied d</w:t>
      </w:r>
      <w:r w:rsidR="00FF589D" w:rsidRPr="00A90CD5">
        <w:rPr>
          <w:rFonts w:cs="Times New Roman"/>
          <w:color w:val="000000"/>
          <w:sz w:val="20"/>
        </w:rPr>
        <w:t>ata supplied as at 28/5/2013</w:t>
      </w:r>
    </w:p>
    <w:p w14:paraId="667772AF" w14:textId="77777777" w:rsidR="006310DC" w:rsidRPr="00A90CD5" w:rsidRDefault="006310DC" w:rsidP="003374B0">
      <w:pPr>
        <w:rPr>
          <w:rFonts w:cs="Times New Roman"/>
          <w:color w:val="000000"/>
        </w:rPr>
      </w:pPr>
    </w:p>
    <w:p w14:paraId="638D9F30" w14:textId="521B8497" w:rsidR="006310DC" w:rsidRDefault="00E23F8A" w:rsidP="003374B0">
      <w:pPr>
        <w:rPr>
          <w:rFonts w:cs="Times New Roman"/>
          <w:color w:val="000000"/>
        </w:rPr>
      </w:pPr>
      <w:r w:rsidRPr="00A90CD5">
        <w:rPr>
          <w:rFonts w:cs="Times New Roman"/>
          <w:color w:val="000000"/>
        </w:rPr>
        <w:t>When comparing remote HFs with non-remote, a</w:t>
      </w:r>
      <w:r w:rsidR="00383A9D" w:rsidRPr="00A90CD5">
        <w:rPr>
          <w:rFonts w:cs="Times New Roman"/>
          <w:color w:val="000000"/>
        </w:rPr>
        <w:t xml:space="preserve">t the HC level there is good coverage of remote HFs in Southern and Highlands, and reasonable </w:t>
      </w:r>
      <w:r w:rsidRPr="00A90CD5">
        <w:rPr>
          <w:rFonts w:cs="Times New Roman"/>
          <w:color w:val="000000"/>
        </w:rPr>
        <w:t>coverage</w:t>
      </w:r>
      <w:r w:rsidR="00383A9D" w:rsidRPr="00A90CD5">
        <w:rPr>
          <w:rFonts w:cs="Times New Roman"/>
          <w:color w:val="000000"/>
        </w:rPr>
        <w:t xml:space="preserve"> in Islands.  At AP level there is good coverage only in the Highlands region, with fair coverage in Southern and Island</w:t>
      </w:r>
      <w:r w:rsidRPr="00A90CD5">
        <w:rPr>
          <w:rFonts w:cs="Times New Roman"/>
          <w:color w:val="000000"/>
        </w:rPr>
        <w:t xml:space="preserve">s region.  In </w:t>
      </w:r>
      <w:proofErr w:type="spellStart"/>
      <w:r w:rsidRPr="00A90CD5">
        <w:rPr>
          <w:rFonts w:cs="Times New Roman"/>
          <w:color w:val="000000"/>
        </w:rPr>
        <w:t>Momase</w:t>
      </w:r>
      <w:proofErr w:type="spellEnd"/>
      <w:r w:rsidRPr="00A90CD5">
        <w:rPr>
          <w:rFonts w:cs="Times New Roman"/>
          <w:color w:val="000000"/>
        </w:rPr>
        <w:t xml:space="preserve">, there is </w:t>
      </w:r>
      <w:r w:rsidR="00383A9D" w:rsidRPr="00A90CD5">
        <w:rPr>
          <w:rFonts w:cs="Times New Roman"/>
          <w:color w:val="000000"/>
        </w:rPr>
        <w:t>clear difficulty in the ‘push’ contractors reaching HFs designated as remote, whether HC or AP.</w:t>
      </w:r>
    </w:p>
    <w:p w14:paraId="77DF087C" w14:textId="77777777" w:rsidR="006310DC" w:rsidRDefault="007B7495" w:rsidP="003374B0">
      <w:pPr>
        <w:rPr>
          <w:rFonts w:cs="Times New Roman"/>
          <w:color w:val="000000"/>
        </w:rPr>
      </w:pPr>
      <w:r>
        <w:rPr>
          <w:rFonts w:cs="Times New Roman"/>
          <w:color w:val="000000"/>
        </w:rPr>
        <w:t xml:space="preserve"> </w:t>
      </w:r>
    </w:p>
    <w:p w14:paraId="0AEA2E6C" w14:textId="7F29F4DA" w:rsidR="003374B0" w:rsidRPr="00947A98" w:rsidRDefault="00E23F8A" w:rsidP="003374B0">
      <w:pPr>
        <w:rPr>
          <w:rFonts w:asciiTheme="majorHAnsi" w:hAnsiTheme="majorHAnsi"/>
          <w:b/>
          <w:sz w:val="20"/>
        </w:rPr>
      </w:pPr>
      <w:r>
        <w:rPr>
          <w:rFonts w:cs="Times New Roman"/>
          <w:color w:val="000000"/>
        </w:rPr>
        <w:t>We also analyz</w:t>
      </w:r>
      <w:r w:rsidR="00207EBB">
        <w:rPr>
          <w:rFonts w:cs="Times New Roman"/>
          <w:color w:val="000000"/>
        </w:rPr>
        <w:t>ed our HF survey data comparing medicines availability in HFs coded as remote or no</w:t>
      </w:r>
      <w:r w:rsidR="00715A64">
        <w:rPr>
          <w:rFonts w:cs="Times New Roman"/>
          <w:color w:val="000000"/>
        </w:rPr>
        <w:t xml:space="preserve">t coded as remote. The table below shows the </w:t>
      </w:r>
      <w:r w:rsidR="00207EBB">
        <w:rPr>
          <w:rFonts w:cs="Times New Roman"/>
          <w:color w:val="000000"/>
        </w:rPr>
        <w:t>proportion of tracer medicines available across all facilities, disaggregated by remoteness coding</w:t>
      </w:r>
      <w:r w:rsidR="00715A64">
        <w:rPr>
          <w:rFonts w:cs="Times New Roman"/>
          <w:color w:val="000000"/>
        </w:rPr>
        <w:t>, for the whole database, and then disaggregated further</w:t>
      </w:r>
      <w:r w:rsidR="007F7419">
        <w:rPr>
          <w:rFonts w:cs="Times New Roman"/>
          <w:color w:val="000000"/>
        </w:rPr>
        <w:t>, by distribution method</w:t>
      </w:r>
      <w:r w:rsidR="00DF1F24">
        <w:rPr>
          <w:rFonts w:cs="Times New Roman"/>
          <w:color w:val="000000"/>
        </w:rPr>
        <w:t xml:space="preserve"> in HCs and APs</w:t>
      </w:r>
      <w:r w:rsidR="007F7419">
        <w:rPr>
          <w:rFonts w:cs="Times New Roman"/>
          <w:color w:val="000000"/>
        </w:rPr>
        <w:t>,</w:t>
      </w:r>
      <w:r w:rsidR="00715A64">
        <w:rPr>
          <w:rFonts w:cs="Times New Roman"/>
          <w:color w:val="000000"/>
        </w:rPr>
        <w:t xml:space="preserve"> in Southern and </w:t>
      </w:r>
      <w:proofErr w:type="spellStart"/>
      <w:r w:rsidR="00715A64">
        <w:rPr>
          <w:rFonts w:cs="Times New Roman"/>
          <w:color w:val="000000"/>
        </w:rPr>
        <w:t>Momase</w:t>
      </w:r>
      <w:proofErr w:type="spellEnd"/>
      <w:r w:rsidR="00715A64">
        <w:rPr>
          <w:rFonts w:cs="Times New Roman"/>
          <w:color w:val="000000"/>
        </w:rPr>
        <w:t xml:space="preserve"> regions</w:t>
      </w:r>
      <w:r w:rsidR="00715A64">
        <w:rPr>
          <w:rStyle w:val="FootnoteReference"/>
          <w:color w:val="000000"/>
        </w:rPr>
        <w:footnoteReference w:id="34"/>
      </w:r>
      <w:r w:rsidR="00715A64">
        <w:rPr>
          <w:rFonts w:cs="Times New Roman"/>
          <w:color w:val="000000"/>
        </w:rPr>
        <w:t>.</w:t>
      </w:r>
    </w:p>
    <w:p w14:paraId="10433A45" w14:textId="77777777" w:rsidR="003374B0" w:rsidRDefault="003374B0" w:rsidP="003374B0"/>
    <w:p w14:paraId="751CC630" w14:textId="6ED84CF9" w:rsidR="004E6FCA" w:rsidRPr="004E6FCA" w:rsidRDefault="004A1CA0" w:rsidP="003374B0">
      <w:pPr>
        <w:rPr>
          <w:b/>
        </w:rPr>
      </w:pPr>
      <w:r>
        <w:rPr>
          <w:b/>
        </w:rPr>
        <w:t>Table 20</w:t>
      </w:r>
      <w:r w:rsidR="004E6FCA">
        <w:rPr>
          <w:b/>
        </w:rPr>
        <w:t xml:space="preserve">: </w:t>
      </w:r>
      <w:r w:rsidR="004E6FCA">
        <w:rPr>
          <w:b/>
          <w:lang w:val="en-AU"/>
        </w:rPr>
        <w:t>Medicines availability by remoteness</w:t>
      </w:r>
      <w:r w:rsidR="007F7419">
        <w:rPr>
          <w:b/>
          <w:lang w:val="en-AU"/>
        </w:rPr>
        <w:t>, health system level</w:t>
      </w:r>
      <w:r w:rsidR="004E6FCA">
        <w:rPr>
          <w:b/>
          <w:lang w:val="en-AU"/>
        </w:rPr>
        <w:t xml:space="preserve"> and distribution method</w:t>
      </w:r>
    </w:p>
    <w:tbl>
      <w:tblPr>
        <w:tblStyle w:val="TableGrid"/>
        <w:tblW w:w="0" w:type="auto"/>
        <w:tblInd w:w="-176" w:type="dxa"/>
        <w:tblLayout w:type="fixed"/>
        <w:tblLook w:val="04A0" w:firstRow="1" w:lastRow="0" w:firstColumn="1" w:lastColumn="0" w:noHBand="0" w:noVBand="1"/>
      </w:tblPr>
      <w:tblGrid>
        <w:gridCol w:w="960"/>
        <w:gridCol w:w="1167"/>
        <w:gridCol w:w="851"/>
        <w:gridCol w:w="851"/>
        <w:gridCol w:w="991"/>
        <w:gridCol w:w="872"/>
        <w:gridCol w:w="971"/>
        <w:gridCol w:w="892"/>
        <w:gridCol w:w="951"/>
        <w:gridCol w:w="912"/>
      </w:tblGrid>
      <w:tr w:rsidR="005933E2" w14:paraId="71A949F1" w14:textId="77777777" w:rsidTr="005933E2">
        <w:tc>
          <w:tcPr>
            <w:tcW w:w="960" w:type="dxa"/>
            <w:vMerge w:val="restart"/>
          </w:tcPr>
          <w:p w14:paraId="26D7D9F0" w14:textId="77777777" w:rsidR="005933E2" w:rsidRDefault="005933E2" w:rsidP="003374B0"/>
        </w:tc>
        <w:tc>
          <w:tcPr>
            <w:tcW w:w="1167" w:type="dxa"/>
            <w:vMerge w:val="restart"/>
            <w:vAlign w:val="center"/>
          </w:tcPr>
          <w:p w14:paraId="0ED467B4" w14:textId="70CEA7F5" w:rsidR="005933E2" w:rsidRDefault="005933E2" w:rsidP="005933E2">
            <w:pPr>
              <w:jc w:val="center"/>
              <w:rPr>
                <w:sz w:val="22"/>
                <w:lang w:val="en-AU"/>
              </w:rPr>
            </w:pPr>
            <w:r w:rsidRPr="00C34E16">
              <w:rPr>
                <w:lang w:val="en-AU"/>
              </w:rPr>
              <w:t xml:space="preserve">Availability </w:t>
            </w:r>
            <w:r>
              <w:rPr>
                <w:lang w:val="en-AU"/>
              </w:rPr>
              <w:t>overall</w:t>
            </w:r>
          </w:p>
          <w:p w14:paraId="059B1626" w14:textId="77777777" w:rsidR="005933E2" w:rsidRPr="00C34E16" w:rsidRDefault="005933E2" w:rsidP="005933E2">
            <w:pPr>
              <w:jc w:val="center"/>
              <w:rPr>
                <w:i/>
                <w:sz w:val="22"/>
                <w:lang w:val="en-AU"/>
              </w:rPr>
            </w:pPr>
            <w:r w:rsidRPr="00C34E16">
              <w:rPr>
                <w:i/>
                <w:lang w:val="en-AU"/>
              </w:rPr>
              <w:t>% of relevant tracer medicines</w:t>
            </w:r>
          </w:p>
          <w:p w14:paraId="41D0867B" w14:textId="29AD544C" w:rsidR="005933E2" w:rsidRDefault="005933E2" w:rsidP="005933E2">
            <w:pPr>
              <w:jc w:val="center"/>
            </w:pPr>
            <w:r w:rsidRPr="00C34E16">
              <w:rPr>
                <w:i/>
                <w:lang w:val="en-AU"/>
              </w:rPr>
              <w:t>(95% CI)</w:t>
            </w:r>
          </w:p>
        </w:tc>
        <w:tc>
          <w:tcPr>
            <w:tcW w:w="7291" w:type="dxa"/>
            <w:gridSpan w:val="8"/>
            <w:vAlign w:val="center"/>
          </w:tcPr>
          <w:p w14:paraId="2A1288EF" w14:textId="77777777" w:rsidR="005933E2" w:rsidRDefault="005933E2" w:rsidP="005933E2">
            <w:pPr>
              <w:jc w:val="center"/>
              <w:rPr>
                <w:sz w:val="22"/>
                <w:lang w:val="en-AU"/>
              </w:rPr>
            </w:pPr>
            <w:r w:rsidRPr="00C34E16">
              <w:rPr>
                <w:lang w:val="en-AU"/>
              </w:rPr>
              <w:t xml:space="preserve">Availability </w:t>
            </w:r>
            <w:r>
              <w:rPr>
                <w:lang w:val="en-AU"/>
              </w:rPr>
              <w:t>by</w:t>
            </w:r>
            <w:r w:rsidRPr="00C34E16">
              <w:rPr>
                <w:lang w:val="en-AU"/>
              </w:rPr>
              <w:t xml:space="preserve"> health system level</w:t>
            </w:r>
            <w:r>
              <w:rPr>
                <w:lang w:val="en-AU"/>
              </w:rPr>
              <w:t xml:space="preserve"> and distribution method</w:t>
            </w:r>
          </w:p>
          <w:p w14:paraId="241C0B3F" w14:textId="77777777" w:rsidR="005933E2" w:rsidRPr="00C34E16" w:rsidRDefault="005933E2" w:rsidP="005933E2">
            <w:pPr>
              <w:jc w:val="center"/>
              <w:rPr>
                <w:i/>
                <w:sz w:val="22"/>
                <w:lang w:val="en-AU"/>
              </w:rPr>
            </w:pPr>
            <w:r w:rsidRPr="00C34E16">
              <w:rPr>
                <w:i/>
                <w:lang w:val="en-AU"/>
              </w:rPr>
              <w:t>% of relevant tracer medicines</w:t>
            </w:r>
          </w:p>
          <w:p w14:paraId="5F022DF0" w14:textId="62E8423B" w:rsidR="005933E2" w:rsidRDefault="005933E2" w:rsidP="005933E2">
            <w:pPr>
              <w:jc w:val="center"/>
            </w:pPr>
            <w:r w:rsidRPr="00C34E16">
              <w:rPr>
                <w:i/>
                <w:lang w:val="en-AU"/>
              </w:rPr>
              <w:t>(95% CI)</w:t>
            </w:r>
          </w:p>
        </w:tc>
      </w:tr>
      <w:tr w:rsidR="005933E2" w14:paraId="24635C4D" w14:textId="77777777" w:rsidTr="005933E2">
        <w:tc>
          <w:tcPr>
            <w:tcW w:w="960" w:type="dxa"/>
            <w:vMerge/>
          </w:tcPr>
          <w:p w14:paraId="7F1C5981" w14:textId="77777777" w:rsidR="005933E2" w:rsidRDefault="005933E2" w:rsidP="003374B0"/>
        </w:tc>
        <w:tc>
          <w:tcPr>
            <w:tcW w:w="1167" w:type="dxa"/>
            <w:vMerge/>
            <w:vAlign w:val="center"/>
          </w:tcPr>
          <w:p w14:paraId="7DA29DD9" w14:textId="77777777" w:rsidR="005933E2" w:rsidRDefault="005933E2" w:rsidP="005933E2">
            <w:pPr>
              <w:jc w:val="center"/>
            </w:pPr>
          </w:p>
        </w:tc>
        <w:tc>
          <w:tcPr>
            <w:tcW w:w="3565" w:type="dxa"/>
            <w:gridSpan w:val="4"/>
            <w:vAlign w:val="center"/>
          </w:tcPr>
          <w:p w14:paraId="3D0B4652" w14:textId="500D8231" w:rsidR="005933E2" w:rsidRDefault="005933E2" w:rsidP="005933E2">
            <w:pPr>
              <w:jc w:val="center"/>
            </w:pPr>
            <w:r>
              <w:t>HC</w:t>
            </w:r>
          </w:p>
        </w:tc>
        <w:tc>
          <w:tcPr>
            <w:tcW w:w="3726" w:type="dxa"/>
            <w:gridSpan w:val="4"/>
            <w:vAlign w:val="center"/>
          </w:tcPr>
          <w:p w14:paraId="57B06018" w14:textId="4CD9CA9E" w:rsidR="005933E2" w:rsidRDefault="005933E2" w:rsidP="005933E2">
            <w:pPr>
              <w:jc w:val="center"/>
            </w:pPr>
            <w:r>
              <w:t>AP</w:t>
            </w:r>
          </w:p>
        </w:tc>
      </w:tr>
      <w:tr w:rsidR="005933E2" w14:paraId="6FEB90DB" w14:textId="77777777" w:rsidTr="005933E2">
        <w:tc>
          <w:tcPr>
            <w:tcW w:w="960" w:type="dxa"/>
            <w:vMerge/>
          </w:tcPr>
          <w:p w14:paraId="75BF5143" w14:textId="77777777" w:rsidR="005933E2" w:rsidRDefault="005933E2" w:rsidP="003374B0"/>
        </w:tc>
        <w:tc>
          <w:tcPr>
            <w:tcW w:w="1167" w:type="dxa"/>
            <w:vMerge/>
            <w:vAlign w:val="center"/>
          </w:tcPr>
          <w:p w14:paraId="479D804F" w14:textId="77777777" w:rsidR="005933E2" w:rsidRDefault="005933E2" w:rsidP="005933E2">
            <w:pPr>
              <w:jc w:val="center"/>
            </w:pPr>
          </w:p>
        </w:tc>
        <w:tc>
          <w:tcPr>
            <w:tcW w:w="1702" w:type="dxa"/>
            <w:gridSpan w:val="2"/>
            <w:vAlign w:val="center"/>
          </w:tcPr>
          <w:p w14:paraId="1F9C6D38" w14:textId="0E2C22F9" w:rsidR="005933E2" w:rsidRDefault="005933E2" w:rsidP="005933E2">
            <w:pPr>
              <w:jc w:val="center"/>
            </w:pPr>
            <w:r>
              <w:t>Southern</w:t>
            </w:r>
          </w:p>
        </w:tc>
        <w:tc>
          <w:tcPr>
            <w:tcW w:w="1863" w:type="dxa"/>
            <w:gridSpan w:val="2"/>
            <w:vAlign w:val="center"/>
          </w:tcPr>
          <w:p w14:paraId="395E50BD" w14:textId="46736AD4" w:rsidR="005933E2" w:rsidRDefault="005933E2" w:rsidP="005933E2">
            <w:pPr>
              <w:jc w:val="center"/>
            </w:pPr>
            <w:proofErr w:type="spellStart"/>
            <w:r>
              <w:t>Momase</w:t>
            </w:r>
            <w:proofErr w:type="spellEnd"/>
          </w:p>
        </w:tc>
        <w:tc>
          <w:tcPr>
            <w:tcW w:w="1863" w:type="dxa"/>
            <w:gridSpan w:val="2"/>
            <w:vAlign w:val="center"/>
          </w:tcPr>
          <w:p w14:paraId="6FD6E1E5" w14:textId="08F791C9" w:rsidR="005933E2" w:rsidRDefault="005933E2" w:rsidP="005933E2">
            <w:pPr>
              <w:jc w:val="center"/>
            </w:pPr>
            <w:r>
              <w:t>Southern</w:t>
            </w:r>
          </w:p>
        </w:tc>
        <w:tc>
          <w:tcPr>
            <w:tcW w:w="1863" w:type="dxa"/>
            <w:gridSpan w:val="2"/>
            <w:vAlign w:val="center"/>
          </w:tcPr>
          <w:p w14:paraId="545F87DA" w14:textId="1CA074EF" w:rsidR="005933E2" w:rsidRDefault="005933E2" w:rsidP="005933E2">
            <w:pPr>
              <w:jc w:val="center"/>
            </w:pPr>
            <w:proofErr w:type="spellStart"/>
            <w:r>
              <w:t>Momase</w:t>
            </w:r>
            <w:proofErr w:type="spellEnd"/>
          </w:p>
        </w:tc>
      </w:tr>
      <w:tr w:rsidR="005933E2" w14:paraId="09301612" w14:textId="77777777" w:rsidTr="005933E2">
        <w:tc>
          <w:tcPr>
            <w:tcW w:w="960" w:type="dxa"/>
            <w:vMerge/>
          </w:tcPr>
          <w:p w14:paraId="0686A920" w14:textId="77777777" w:rsidR="005933E2" w:rsidRDefault="005933E2" w:rsidP="003374B0"/>
        </w:tc>
        <w:tc>
          <w:tcPr>
            <w:tcW w:w="1167" w:type="dxa"/>
            <w:vMerge/>
            <w:vAlign w:val="center"/>
          </w:tcPr>
          <w:p w14:paraId="7712ECCA" w14:textId="77777777" w:rsidR="005933E2" w:rsidRDefault="005933E2" w:rsidP="005933E2">
            <w:pPr>
              <w:jc w:val="center"/>
            </w:pPr>
          </w:p>
        </w:tc>
        <w:tc>
          <w:tcPr>
            <w:tcW w:w="851" w:type="dxa"/>
            <w:vAlign w:val="center"/>
          </w:tcPr>
          <w:p w14:paraId="2C12FC1E" w14:textId="254DB13C" w:rsidR="005933E2" w:rsidRDefault="005933E2" w:rsidP="005933E2">
            <w:pPr>
              <w:jc w:val="center"/>
            </w:pPr>
            <w:r>
              <w:rPr>
                <w:lang w:val="en-AU"/>
              </w:rPr>
              <w:t>‘Pull’ only</w:t>
            </w:r>
          </w:p>
        </w:tc>
        <w:tc>
          <w:tcPr>
            <w:tcW w:w="851" w:type="dxa"/>
            <w:vAlign w:val="center"/>
          </w:tcPr>
          <w:p w14:paraId="6F5ED2C1" w14:textId="158D1C21" w:rsidR="005933E2" w:rsidRDefault="005933E2" w:rsidP="005933E2">
            <w:pPr>
              <w:jc w:val="center"/>
            </w:pPr>
            <w:r>
              <w:rPr>
                <w:lang w:val="en-AU"/>
              </w:rPr>
              <w:t>‘Push’ and ‘Pull’*</w:t>
            </w:r>
          </w:p>
        </w:tc>
        <w:tc>
          <w:tcPr>
            <w:tcW w:w="991" w:type="dxa"/>
            <w:vAlign w:val="center"/>
          </w:tcPr>
          <w:p w14:paraId="23C8175F" w14:textId="5FDFEA1B" w:rsidR="005933E2" w:rsidRDefault="005933E2" w:rsidP="005933E2">
            <w:pPr>
              <w:jc w:val="center"/>
            </w:pPr>
            <w:r>
              <w:rPr>
                <w:lang w:val="en-AU"/>
              </w:rPr>
              <w:t>‘Pull’ only</w:t>
            </w:r>
          </w:p>
        </w:tc>
        <w:tc>
          <w:tcPr>
            <w:tcW w:w="872" w:type="dxa"/>
            <w:vAlign w:val="center"/>
          </w:tcPr>
          <w:p w14:paraId="4E3568A9" w14:textId="59C66555" w:rsidR="005933E2" w:rsidRDefault="00481EF3" w:rsidP="005933E2">
            <w:pPr>
              <w:jc w:val="center"/>
            </w:pPr>
            <w:r>
              <w:rPr>
                <w:lang w:val="en-AU"/>
              </w:rPr>
              <w:t>‘</w:t>
            </w:r>
            <w:r w:rsidR="005933E2">
              <w:rPr>
                <w:lang w:val="en-AU"/>
              </w:rPr>
              <w:t>Push’ and ‘Pull’*</w:t>
            </w:r>
          </w:p>
        </w:tc>
        <w:tc>
          <w:tcPr>
            <w:tcW w:w="971" w:type="dxa"/>
            <w:vAlign w:val="center"/>
          </w:tcPr>
          <w:p w14:paraId="71FCEA5E" w14:textId="05D91044" w:rsidR="005933E2" w:rsidRDefault="005933E2" w:rsidP="005933E2">
            <w:pPr>
              <w:jc w:val="center"/>
            </w:pPr>
            <w:r>
              <w:rPr>
                <w:lang w:val="en-AU"/>
              </w:rPr>
              <w:t>‘Pull’ only</w:t>
            </w:r>
          </w:p>
        </w:tc>
        <w:tc>
          <w:tcPr>
            <w:tcW w:w="892" w:type="dxa"/>
            <w:vAlign w:val="center"/>
          </w:tcPr>
          <w:p w14:paraId="0EB80339" w14:textId="04941F4D" w:rsidR="005933E2" w:rsidRDefault="00481EF3" w:rsidP="005933E2">
            <w:pPr>
              <w:jc w:val="center"/>
            </w:pPr>
            <w:r>
              <w:rPr>
                <w:lang w:val="en-AU"/>
              </w:rPr>
              <w:t>‘</w:t>
            </w:r>
            <w:r w:rsidR="005933E2">
              <w:rPr>
                <w:lang w:val="en-AU"/>
              </w:rPr>
              <w:t>Push’ and ‘Pull’*</w:t>
            </w:r>
          </w:p>
        </w:tc>
        <w:tc>
          <w:tcPr>
            <w:tcW w:w="951" w:type="dxa"/>
            <w:vAlign w:val="center"/>
          </w:tcPr>
          <w:p w14:paraId="44606AE9" w14:textId="1E15D5EE" w:rsidR="005933E2" w:rsidRDefault="005933E2" w:rsidP="005933E2">
            <w:pPr>
              <w:jc w:val="center"/>
            </w:pPr>
            <w:r>
              <w:rPr>
                <w:lang w:val="en-AU"/>
              </w:rPr>
              <w:t>‘Pull’ only</w:t>
            </w:r>
          </w:p>
        </w:tc>
        <w:tc>
          <w:tcPr>
            <w:tcW w:w="912" w:type="dxa"/>
            <w:vAlign w:val="center"/>
          </w:tcPr>
          <w:p w14:paraId="41F2583E" w14:textId="5BCF27CD" w:rsidR="005933E2" w:rsidRDefault="00481EF3" w:rsidP="005933E2">
            <w:pPr>
              <w:jc w:val="center"/>
            </w:pPr>
            <w:r>
              <w:rPr>
                <w:lang w:val="en-AU"/>
              </w:rPr>
              <w:t>‘</w:t>
            </w:r>
            <w:r w:rsidR="005933E2">
              <w:rPr>
                <w:lang w:val="en-AU"/>
              </w:rPr>
              <w:t>Push’ and ‘Pull’*</w:t>
            </w:r>
          </w:p>
        </w:tc>
      </w:tr>
      <w:tr w:rsidR="009C51EB" w14:paraId="31C014E2" w14:textId="77777777" w:rsidTr="005F50A1">
        <w:trPr>
          <w:trHeight w:val="1272"/>
        </w:trPr>
        <w:tc>
          <w:tcPr>
            <w:tcW w:w="960" w:type="dxa"/>
            <w:vAlign w:val="center"/>
          </w:tcPr>
          <w:p w14:paraId="14CB7853" w14:textId="22544057" w:rsidR="009C51EB" w:rsidRDefault="009C51EB" w:rsidP="005933E2">
            <w:pPr>
              <w:jc w:val="center"/>
            </w:pPr>
            <w:r w:rsidRPr="00FF589D">
              <w:rPr>
                <w:rFonts w:cs="Times New Roman"/>
                <w:color w:val="000000"/>
              </w:rPr>
              <w:t>Not remote</w:t>
            </w:r>
          </w:p>
        </w:tc>
        <w:tc>
          <w:tcPr>
            <w:tcW w:w="1167" w:type="dxa"/>
            <w:vAlign w:val="center"/>
          </w:tcPr>
          <w:p w14:paraId="703A0F97" w14:textId="77777777" w:rsidR="009C51EB" w:rsidRDefault="005933E2" w:rsidP="005933E2">
            <w:pPr>
              <w:jc w:val="center"/>
            </w:pPr>
            <w:r>
              <w:t>63%</w:t>
            </w:r>
          </w:p>
          <w:p w14:paraId="1520E821" w14:textId="77777777" w:rsidR="00574A95" w:rsidRDefault="00574A95" w:rsidP="005933E2">
            <w:pPr>
              <w:jc w:val="center"/>
            </w:pPr>
          </w:p>
          <w:p w14:paraId="5CD3BC14" w14:textId="7E750777" w:rsidR="005933E2" w:rsidRDefault="005933E2" w:rsidP="005933E2">
            <w:pPr>
              <w:jc w:val="center"/>
            </w:pPr>
            <w:r>
              <w:t>(57.4-68.5)</w:t>
            </w:r>
          </w:p>
        </w:tc>
        <w:tc>
          <w:tcPr>
            <w:tcW w:w="851" w:type="dxa"/>
            <w:vAlign w:val="center"/>
          </w:tcPr>
          <w:p w14:paraId="1588CD6C" w14:textId="77777777" w:rsidR="00574A95" w:rsidRDefault="00147805" w:rsidP="00574A95">
            <w:pPr>
              <w:jc w:val="center"/>
            </w:pPr>
            <w:r w:rsidRPr="00147805">
              <w:t>6</w:t>
            </w:r>
            <w:r w:rsidR="00574A95">
              <w:t>7%</w:t>
            </w:r>
          </w:p>
          <w:p w14:paraId="41E32062" w14:textId="4C55DD8A" w:rsidR="009C51EB" w:rsidRDefault="00574A95" w:rsidP="00574A95">
            <w:pPr>
              <w:jc w:val="center"/>
            </w:pPr>
            <w:r>
              <w:t xml:space="preserve">      (</w:t>
            </w:r>
            <w:r w:rsidR="00147805" w:rsidRPr="00147805">
              <w:t>42</w:t>
            </w:r>
            <w:r>
              <w:t>.5-</w:t>
            </w:r>
            <w:r w:rsidR="00147805" w:rsidRPr="00147805">
              <w:t>90</w:t>
            </w:r>
            <w:r>
              <w:t>.</w:t>
            </w:r>
            <w:r w:rsidR="00147805" w:rsidRPr="00147805">
              <w:t>8</w:t>
            </w:r>
            <w:r>
              <w:t>)</w:t>
            </w:r>
          </w:p>
        </w:tc>
        <w:tc>
          <w:tcPr>
            <w:tcW w:w="851" w:type="dxa"/>
            <w:vAlign w:val="center"/>
          </w:tcPr>
          <w:p w14:paraId="0D8AA995" w14:textId="77777777" w:rsidR="00574A95" w:rsidRDefault="00574A95" w:rsidP="00574A95">
            <w:pPr>
              <w:jc w:val="center"/>
            </w:pPr>
            <w:r w:rsidRPr="00574A95">
              <w:t>84</w:t>
            </w:r>
            <w:r>
              <w:t>%</w:t>
            </w:r>
          </w:p>
          <w:p w14:paraId="415E36A1" w14:textId="56A4DC1A" w:rsidR="009C51EB" w:rsidRDefault="00574A95" w:rsidP="00574A95">
            <w:pPr>
              <w:jc w:val="center"/>
            </w:pPr>
            <w:r>
              <w:t xml:space="preserve">      (</w:t>
            </w:r>
            <w:r w:rsidRPr="00574A95">
              <w:t>65</w:t>
            </w:r>
            <w:r>
              <w:t>.9-100.0)</w:t>
            </w:r>
          </w:p>
        </w:tc>
        <w:tc>
          <w:tcPr>
            <w:tcW w:w="991" w:type="dxa"/>
            <w:vAlign w:val="center"/>
          </w:tcPr>
          <w:p w14:paraId="06FFA30D" w14:textId="77777777" w:rsidR="00085B12" w:rsidRDefault="00147805" w:rsidP="00085B12">
            <w:pPr>
              <w:jc w:val="center"/>
            </w:pPr>
            <w:r w:rsidRPr="00147805">
              <w:t>54</w:t>
            </w:r>
            <w:r w:rsidR="00085B12">
              <w:t>%</w:t>
            </w:r>
          </w:p>
          <w:p w14:paraId="5EE698CB" w14:textId="77777777" w:rsidR="00085B12" w:rsidRDefault="00085B12" w:rsidP="00085B12">
            <w:pPr>
              <w:jc w:val="center"/>
            </w:pPr>
          </w:p>
          <w:p w14:paraId="56628EF6" w14:textId="5ED650CC" w:rsidR="009C51EB" w:rsidRDefault="00085B12" w:rsidP="00085B12">
            <w:pPr>
              <w:jc w:val="center"/>
            </w:pPr>
            <w:r>
              <w:t>(</w:t>
            </w:r>
            <w:r w:rsidR="00147805" w:rsidRPr="00147805">
              <w:t>26</w:t>
            </w:r>
            <w:r>
              <w:t>.4-82.0)</w:t>
            </w:r>
          </w:p>
        </w:tc>
        <w:tc>
          <w:tcPr>
            <w:tcW w:w="872" w:type="dxa"/>
            <w:vAlign w:val="center"/>
          </w:tcPr>
          <w:p w14:paraId="00583544" w14:textId="77777777" w:rsidR="00085B12" w:rsidRDefault="00574A95" w:rsidP="005933E2">
            <w:pPr>
              <w:jc w:val="center"/>
            </w:pPr>
            <w:r w:rsidRPr="00574A95">
              <w:t>83</w:t>
            </w:r>
            <w:r w:rsidR="00085B12">
              <w:t>%</w:t>
            </w:r>
          </w:p>
          <w:p w14:paraId="47F84360" w14:textId="77777777" w:rsidR="00085B12" w:rsidRDefault="00085B12" w:rsidP="005933E2">
            <w:pPr>
              <w:jc w:val="center"/>
            </w:pPr>
          </w:p>
          <w:p w14:paraId="1E13505B" w14:textId="43E4B5F7" w:rsidR="009C51EB" w:rsidRDefault="00085B12" w:rsidP="00085B12">
            <w:pPr>
              <w:jc w:val="center"/>
            </w:pPr>
            <w:r>
              <w:t>(</w:t>
            </w:r>
            <w:r w:rsidR="00574A95" w:rsidRPr="00574A95">
              <w:t>71</w:t>
            </w:r>
            <w:r>
              <w:t>.</w:t>
            </w:r>
            <w:r w:rsidR="00574A95" w:rsidRPr="00574A95">
              <w:t>2</w:t>
            </w:r>
            <w:r>
              <w:t>-</w:t>
            </w:r>
            <w:r w:rsidR="00574A95" w:rsidRPr="00574A95">
              <w:t>95</w:t>
            </w:r>
            <w:r>
              <w:t>.5)</w:t>
            </w:r>
          </w:p>
        </w:tc>
        <w:tc>
          <w:tcPr>
            <w:tcW w:w="971" w:type="dxa"/>
            <w:vAlign w:val="center"/>
          </w:tcPr>
          <w:p w14:paraId="6E557C4A" w14:textId="77777777" w:rsidR="00085B12" w:rsidRDefault="00147805" w:rsidP="00085B12">
            <w:pPr>
              <w:jc w:val="center"/>
            </w:pPr>
            <w:r w:rsidRPr="00147805">
              <w:t>29</w:t>
            </w:r>
            <w:r w:rsidR="00085B12">
              <w:t>%</w:t>
            </w:r>
          </w:p>
          <w:p w14:paraId="432D8B0E" w14:textId="77777777" w:rsidR="00085B12" w:rsidRDefault="00085B12" w:rsidP="00085B12">
            <w:pPr>
              <w:jc w:val="center"/>
            </w:pPr>
          </w:p>
          <w:p w14:paraId="65FE767E" w14:textId="136C1749" w:rsidR="009C51EB" w:rsidRDefault="00085B12" w:rsidP="00085B12">
            <w:pPr>
              <w:jc w:val="center"/>
            </w:pPr>
            <w:r>
              <w:t>(</w:t>
            </w:r>
            <w:r w:rsidR="00147805" w:rsidRPr="00147805">
              <w:t>9</w:t>
            </w:r>
            <w:r>
              <w:t>.</w:t>
            </w:r>
            <w:r w:rsidR="00147805" w:rsidRPr="00147805">
              <w:t>6</w:t>
            </w:r>
            <w:r>
              <w:t>-</w:t>
            </w:r>
            <w:r w:rsidR="00147805" w:rsidRPr="00147805">
              <w:t>48</w:t>
            </w:r>
            <w:r>
              <w:t>.</w:t>
            </w:r>
            <w:r w:rsidR="00147805" w:rsidRPr="00147805">
              <w:t>7</w:t>
            </w:r>
            <w:r>
              <w:t>)</w:t>
            </w:r>
          </w:p>
        </w:tc>
        <w:tc>
          <w:tcPr>
            <w:tcW w:w="892" w:type="dxa"/>
            <w:vAlign w:val="center"/>
          </w:tcPr>
          <w:p w14:paraId="00084B7A" w14:textId="77777777" w:rsidR="005F50A1" w:rsidRDefault="00574A95" w:rsidP="005933E2">
            <w:pPr>
              <w:jc w:val="center"/>
            </w:pPr>
            <w:r w:rsidRPr="00574A95">
              <w:t>52</w:t>
            </w:r>
            <w:r w:rsidR="00085B12">
              <w:t>%</w:t>
            </w:r>
          </w:p>
          <w:p w14:paraId="206DD19A" w14:textId="77777777" w:rsidR="005F50A1" w:rsidRDefault="005F50A1" w:rsidP="005933E2">
            <w:pPr>
              <w:jc w:val="center"/>
            </w:pPr>
          </w:p>
          <w:p w14:paraId="6E14ABE4" w14:textId="52752FE2" w:rsidR="009C51EB" w:rsidRDefault="005F50A1" w:rsidP="005F50A1">
            <w:pPr>
              <w:jc w:val="center"/>
            </w:pPr>
            <w:r>
              <w:t>(</w:t>
            </w:r>
            <w:r w:rsidR="00574A95" w:rsidRPr="00574A95">
              <w:t>40</w:t>
            </w:r>
            <w:r>
              <w:t>.5-</w:t>
            </w:r>
            <w:r w:rsidR="00574A95" w:rsidRPr="00574A95">
              <w:t>63</w:t>
            </w:r>
            <w:r>
              <w:t>.7)</w:t>
            </w:r>
          </w:p>
        </w:tc>
        <w:tc>
          <w:tcPr>
            <w:tcW w:w="951" w:type="dxa"/>
            <w:vAlign w:val="center"/>
          </w:tcPr>
          <w:p w14:paraId="0ED61518" w14:textId="77777777" w:rsidR="005F50A1" w:rsidRDefault="005F50A1" w:rsidP="005F50A1">
            <w:pPr>
              <w:jc w:val="center"/>
            </w:pPr>
            <w:r>
              <w:t>5%</w:t>
            </w:r>
          </w:p>
          <w:p w14:paraId="5C602C22" w14:textId="77777777" w:rsidR="005F50A1" w:rsidRDefault="005F50A1" w:rsidP="005F50A1">
            <w:pPr>
              <w:jc w:val="center"/>
            </w:pPr>
          </w:p>
          <w:p w14:paraId="2A134E27" w14:textId="338EF21F" w:rsidR="009C51EB" w:rsidRDefault="005F50A1" w:rsidP="005F50A1">
            <w:pPr>
              <w:jc w:val="center"/>
            </w:pPr>
            <w:r>
              <w:t>(0.0-</w:t>
            </w:r>
            <w:r w:rsidR="00147805" w:rsidRPr="00147805">
              <w:t>14</w:t>
            </w:r>
            <w:r>
              <w:t>.</w:t>
            </w:r>
            <w:r w:rsidR="00147805" w:rsidRPr="00147805">
              <w:t>2</w:t>
            </w:r>
            <w:r>
              <w:t>)</w:t>
            </w:r>
          </w:p>
        </w:tc>
        <w:tc>
          <w:tcPr>
            <w:tcW w:w="912" w:type="dxa"/>
            <w:vAlign w:val="center"/>
          </w:tcPr>
          <w:p w14:paraId="117054C0" w14:textId="77777777" w:rsidR="005F50A1" w:rsidRDefault="00574A95" w:rsidP="005F50A1">
            <w:pPr>
              <w:jc w:val="center"/>
            </w:pPr>
            <w:r w:rsidRPr="00574A95">
              <w:t>51</w:t>
            </w:r>
            <w:r w:rsidR="005F50A1">
              <w:t>%</w:t>
            </w:r>
          </w:p>
          <w:p w14:paraId="41A9FF9E" w14:textId="0CBBF43B" w:rsidR="009C51EB" w:rsidRDefault="005F50A1" w:rsidP="005F50A1">
            <w:pPr>
              <w:jc w:val="center"/>
            </w:pPr>
            <w:r>
              <w:t xml:space="preserve">      (</w:t>
            </w:r>
            <w:r w:rsidR="00574A95" w:rsidRPr="00574A95">
              <w:t>40</w:t>
            </w:r>
            <w:r>
              <w:t>.1-</w:t>
            </w:r>
            <w:r w:rsidR="00574A95" w:rsidRPr="00574A95">
              <w:t>62</w:t>
            </w:r>
            <w:r>
              <w:t>.3)</w:t>
            </w:r>
          </w:p>
        </w:tc>
      </w:tr>
      <w:tr w:rsidR="005933E2" w14:paraId="091FD978" w14:textId="77777777" w:rsidTr="005F50A1">
        <w:trPr>
          <w:trHeight w:val="1271"/>
        </w:trPr>
        <w:tc>
          <w:tcPr>
            <w:tcW w:w="960" w:type="dxa"/>
            <w:vAlign w:val="center"/>
          </w:tcPr>
          <w:p w14:paraId="30A85E0E" w14:textId="53002780" w:rsidR="009C51EB" w:rsidRDefault="009C51EB" w:rsidP="005933E2">
            <w:pPr>
              <w:jc w:val="center"/>
            </w:pPr>
            <w:r w:rsidRPr="00FF589D">
              <w:rPr>
                <w:rFonts w:cs="Times New Roman"/>
                <w:color w:val="000000"/>
              </w:rPr>
              <w:t>Remote</w:t>
            </w:r>
          </w:p>
        </w:tc>
        <w:tc>
          <w:tcPr>
            <w:tcW w:w="1167" w:type="dxa"/>
            <w:vAlign w:val="center"/>
          </w:tcPr>
          <w:p w14:paraId="5105B306" w14:textId="77777777" w:rsidR="009C51EB" w:rsidRDefault="005933E2" w:rsidP="005933E2">
            <w:pPr>
              <w:jc w:val="center"/>
            </w:pPr>
            <w:r>
              <w:t>57%</w:t>
            </w:r>
          </w:p>
          <w:p w14:paraId="2A75EA2B" w14:textId="77777777" w:rsidR="00574A95" w:rsidRDefault="00574A95" w:rsidP="005933E2">
            <w:pPr>
              <w:jc w:val="center"/>
            </w:pPr>
          </w:p>
          <w:p w14:paraId="462D1734" w14:textId="62B1D002" w:rsidR="005933E2" w:rsidRDefault="005933E2" w:rsidP="005933E2">
            <w:pPr>
              <w:jc w:val="center"/>
            </w:pPr>
            <w:r>
              <w:t>(45.5-68.2)</w:t>
            </w:r>
          </w:p>
        </w:tc>
        <w:tc>
          <w:tcPr>
            <w:tcW w:w="851" w:type="dxa"/>
            <w:vAlign w:val="center"/>
          </w:tcPr>
          <w:p w14:paraId="476BA71E" w14:textId="77777777" w:rsidR="00574A95" w:rsidRDefault="00147805" w:rsidP="005933E2">
            <w:pPr>
              <w:jc w:val="center"/>
            </w:pPr>
            <w:r w:rsidRPr="00147805">
              <w:t>33</w:t>
            </w:r>
            <w:r w:rsidR="00574A95">
              <w:t>%</w:t>
            </w:r>
          </w:p>
          <w:p w14:paraId="2BE1099E" w14:textId="77777777" w:rsidR="00574A95" w:rsidRDefault="00574A95" w:rsidP="005933E2">
            <w:pPr>
              <w:jc w:val="center"/>
            </w:pPr>
          </w:p>
          <w:p w14:paraId="6A0929C8" w14:textId="77777777" w:rsidR="00085B12" w:rsidRDefault="00085B12" w:rsidP="005933E2">
            <w:pPr>
              <w:jc w:val="center"/>
            </w:pPr>
          </w:p>
          <w:p w14:paraId="4ADFF0BE" w14:textId="2D89E212" w:rsidR="009C51EB" w:rsidRDefault="00574A95" w:rsidP="00574A95">
            <w:pPr>
              <w:jc w:val="center"/>
            </w:pPr>
            <w:r>
              <w:t>(NA)</w:t>
            </w:r>
          </w:p>
        </w:tc>
        <w:tc>
          <w:tcPr>
            <w:tcW w:w="851" w:type="dxa"/>
            <w:vAlign w:val="center"/>
          </w:tcPr>
          <w:p w14:paraId="4DA069FC" w14:textId="77777777" w:rsidR="00574A95" w:rsidRDefault="00574A95" w:rsidP="005933E2">
            <w:pPr>
              <w:jc w:val="center"/>
            </w:pPr>
            <w:r w:rsidRPr="00574A95">
              <w:t>80</w:t>
            </w:r>
            <w:r>
              <w:t>%</w:t>
            </w:r>
          </w:p>
          <w:p w14:paraId="42B507DF" w14:textId="77777777" w:rsidR="00574A95" w:rsidRDefault="00574A95" w:rsidP="005933E2">
            <w:pPr>
              <w:jc w:val="center"/>
            </w:pPr>
          </w:p>
          <w:p w14:paraId="0C239479" w14:textId="2130325D" w:rsidR="009C51EB" w:rsidRDefault="00574A95" w:rsidP="00574A95">
            <w:pPr>
              <w:jc w:val="center"/>
            </w:pPr>
            <w:r>
              <w:t>(</w:t>
            </w:r>
            <w:r w:rsidRPr="00574A95">
              <w:t>60</w:t>
            </w:r>
            <w:r>
              <w:t>.7-100.0)</w:t>
            </w:r>
          </w:p>
        </w:tc>
        <w:tc>
          <w:tcPr>
            <w:tcW w:w="991" w:type="dxa"/>
            <w:vAlign w:val="center"/>
          </w:tcPr>
          <w:p w14:paraId="0E222A27" w14:textId="77777777" w:rsidR="00085B12" w:rsidRDefault="00147805" w:rsidP="00085B12">
            <w:pPr>
              <w:jc w:val="center"/>
            </w:pPr>
            <w:r w:rsidRPr="00147805">
              <w:t>55</w:t>
            </w:r>
            <w:r w:rsidR="00085B12">
              <w:t>%</w:t>
            </w:r>
          </w:p>
          <w:p w14:paraId="587E8E71" w14:textId="77777777" w:rsidR="00085B12" w:rsidRDefault="00085B12" w:rsidP="00085B12">
            <w:pPr>
              <w:jc w:val="center"/>
            </w:pPr>
          </w:p>
          <w:p w14:paraId="4C03AB91" w14:textId="7884C0D4" w:rsidR="009C51EB" w:rsidRDefault="00085B12" w:rsidP="00085B12">
            <w:pPr>
              <w:jc w:val="center"/>
            </w:pPr>
            <w:r>
              <w:t>(</w:t>
            </w:r>
            <w:r w:rsidR="00147805" w:rsidRPr="00147805">
              <w:t>33</w:t>
            </w:r>
            <w:r>
              <w:t>.5-</w:t>
            </w:r>
            <w:r w:rsidR="00147805" w:rsidRPr="00147805">
              <w:t>77</w:t>
            </w:r>
            <w:r>
              <w:t>.</w:t>
            </w:r>
            <w:r w:rsidR="00147805" w:rsidRPr="00147805">
              <w:t>6</w:t>
            </w:r>
            <w:r>
              <w:t>)</w:t>
            </w:r>
          </w:p>
        </w:tc>
        <w:tc>
          <w:tcPr>
            <w:tcW w:w="872" w:type="dxa"/>
            <w:vAlign w:val="center"/>
          </w:tcPr>
          <w:p w14:paraId="049C7E28" w14:textId="77777777" w:rsidR="00085B12" w:rsidRPr="00A90CD5" w:rsidRDefault="00085B12" w:rsidP="00085B12">
            <w:pPr>
              <w:jc w:val="center"/>
            </w:pPr>
            <w:r w:rsidRPr="00A90CD5">
              <w:t>56%</w:t>
            </w:r>
          </w:p>
          <w:p w14:paraId="18540324" w14:textId="77777777" w:rsidR="00085B12" w:rsidRPr="00C45826" w:rsidRDefault="00085B12" w:rsidP="00085B12">
            <w:pPr>
              <w:jc w:val="center"/>
            </w:pPr>
          </w:p>
          <w:p w14:paraId="43D9A9B3" w14:textId="28CB3F9C" w:rsidR="009C51EB" w:rsidRPr="00C45826" w:rsidRDefault="00085B12" w:rsidP="00085B12">
            <w:pPr>
              <w:jc w:val="center"/>
            </w:pPr>
            <w:r w:rsidRPr="00A90CD5">
              <w:t xml:space="preserve">  (</w:t>
            </w:r>
            <w:r w:rsidR="00574A95" w:rsidRPr="00A90CD5">
              <w:t>26</w:t>
            </w:r>
            <w:r w:rsidRPr="00A90CD5">
              <w:t>.4-</w:t>
            </w:r>
            <w:r w:rsidR="00574A95" w:rsidRPr="00A90CD5">
              <w:t>84</w:t>
            </w:r>
            <w:r w:rsidRPr="00A90CD5">
              <w:t>.8)</w:t>
            </w:r>
          </w:p>
        </w:tc>
        <w:tc>
          <w:tcPr>
            <w:tcW w:w="971" w:type="dxa"/>
            <w:vAlign w:val="center"/>
          </w:tcPr>
          <w:p w14:paraId="1F64C3AF" w14:textId="77777777" w:rsidR="00085B12" w:rsidRPr="00C45826" w:rsidRDefault="00147805" w:rsidP="005933E2">
            <w:pPr>
              <w:jc w:val="center"/>
            </w:pPr>
            <w:r w:rsidRPr="00A90CD5">
              <w:t>6</w:t>
            </w:r>
            <w:r w:rsidR="00085B12" w:rsidRPr="00A90CD5">
              <w:t>7%</w:t>
            </w:r>
          </w:p>
          <w:p w14:paraId="462A3BC2" w14:textId="77777777" w:rsidR="00085B12" w:rsidRPr="00C45826" w:rsidRDefault="00085B12" w:rsidP="005933E2">
            <w:pPr>
              <w:jc w:val="center"/>
            </w:pPr>
          </w:p>
          <w:p w14:paraId="10501192" w14:textId="28E60210" w:rsidR="009C51EB" w:rsidRPr="00C45826" w:rsidRDefault="00085B12" w:rsidP="00085B12">
            <w:pPr>
              <w:jc w:val="center"/>
            </w:pPr>
            <w:r w:rsidRPr="00A90CD5">
              <w:t>(</w:t>
            </w:r>
            <w:r w:rsidR="00147805" w:rsidRPr="00A90CD5">
              <w:t>0</w:t>
            </w:r>
            <w:r w:rsidRPr="00A90CD5">
              <w:t>.</w:t>
            </w:r>
            <w:r w:rsidR="00147805" w:rsidRPr="00A90CD5">
              <w:t>4</w:t>
            </w:r>
            <w:r w:rsidRPr="00A90CD5">
              <w:t>-100.0)</w:t>
            </w:r>
          </w:p>
        </w:tc>
        <w:tc>
          <w:tcPr>
            <w:tcW w:w="892" w:type="dxa"/>
            <w:vAlign w:val="center"/>
          </w:tcPr>
          <w:p w14:paraId="47E56CD0" w14:textId="77777777" w:rsidR="005F50A1" w:rsidRPr="00A90CD5" w:rsidRDefault="00574A95" w:rsidP="005F50A1">
            <w:pPr>
              <w:jc w:val="center"/>
            </w:pPr>
            <w:r w:rsidRPr="00A90CD5">
              <w:t>55</w:t>
            </w:r>
            <w:r w:rsidR="005F50A1" w:rsidRPr="00A90CD5">
              <w:t>%</w:t>
            </w:r>
          </w:p>
          <w:p w14:paraId="6ABEC3D6" w14:textId="122A0028" w:rsidR="009C51EB" w:rsidRPr="00C45826" w:rsidRDefault="005F50A1" w:rsidP="005F50A1">
            <w:pPr>
              <w:jc w:val="center"/>
            </w:pPr>
            <w:r w:rsidRPr="00A90CD5">
              <w:t xml:space="preserve">      (</w:t>
            </w:r>
            <w:r w:rsidR="00574A95" w:rsidRPr="00A90CD5">
              <w:t>26</w:t>
            </w:r>
            <w:r w:rsidRPr="00A90CD5">
              <w:t>.4-</w:t>
            </w:r>
            <w:r w:rsidR="00574A95" w:rsidRPr="00A90CD5">
              <w:t>84</w:t>
            </w:r>
            <w:r w:rsidRPr="00A90CD5">
              <w:t>.8)</w:t>
            </w:r>
          </w:p>
        </w:tc>
        <w:tc>
          <w:tcPr>
            <w:tcW w:w="951" w:type="dxa"/>
            <w:vAlign w:val="center"/>
          </w:tcPr>
          <w:p w14:paraId="2B6C3D97" w14:textId="1190BDF8" w:rsidR="005F50A1" w:rsidRDefault="00147805" w:rsidP="005F50A1">
            <w:pPr>
              <w:jc w:val="center"/>
            </w:pPr>
            <w:r w:rsidRPr="00147805">
              <w:t>1</w:t>
            </w:r>
            <w:r w:rsidR="005F50A1">
              <w:t>7%</w:t>
            </w:r>
          </w:p>
          <w:p w14:paraId="3B829F7F" w14:textId="77777777" w:rsidR="005F50A1" w:rsidRDefault="005F50A1" w:rsidP="005F50A1">
            <w:pPr>
              <w:jc w:val="center"/>
            </w:pPr>
          </w:p>
          <w:p w14:paraId="336BD29E" w14:textId="5034055E" w:rsidR="009C51EB" w:rsidRDefault="005F50A1" w:rsidP="005F50A1">
            <w:pPr>
              <w:jc w:val="center"/>
            </w:pPr>
            <w:r>
              <w:t>(0.0-</w:t>
            </w:r>
            <w:r w:rsidR="00147805" w:rsidRPr="00147805">
              <w:t xml:space="preserve"> </w:t>
            </w:r>
            <w:r>
              <w:t>49.8)</w:t>
            </w:r>
            <w:r w:rsidR="00147805" w:rsidRPr="00147805">
              <w:t xml:space="preserve"> </w:t>
            </w:r>
          </w:p>
        </w:tc>
        <w:tc>
          <w:tcPr>
            <w:tcW w:w="912" w:type="dxa"/>
            <w:vAlign w:val="center"/>
          </w:tcPr>
          <w:p w14:paraId="71FC2069" w14:textId="77777777" w:rsidR="005F50A1" w:rsidRDefault="00574A95" w:rsidP="005933E2">
            <w:pPr>
              <w:jc w:val="center"/>
            </w:pPr>
            <w:r w:rsidRPr="00574A95">
              <w:t>5</w:t>
            </w:r>
            <w:r w:rsidR="005F50A1">
              <w:t>0%</w:t>
            </w:r>
          </w:p>
          <w:p w14:paraId="3AFF860E" w14:textId="77777777" w:rsidR="005F50A1" w:rsidRDefault="005F50A1" w:rsidP="005F50A1">
            <w:pPr>
              <w:jc w:val="center"/>
            </w:pPr>
          </w:p>
          <w:p w14:paraId="6823A6C6" w14:textId="77777777" w:rsidR="009C51EB" w:rsidRDefault="00574A95" w:rsidP="005F50A1">
            <w:pPr>
              <w:jc w:val="center"/>
            </w:pPr>
            <w:r w:rsidRPr="00574A95">
              <w:t xml:space="preserve">          </w:t>
            </w:r>
          </w:p>
          <w:p w14:paraId="4A7BC420" w14:textId="3AC1E1C8" w:rsidR="005F50A1" w:rsidRDefault="005F50A1" w:rsidP="005F50A1">
            <w:pPr>
              <w:jc w:val="center"/>
            </w:pPr>
            <w:r>
              <w:t>(NA)</w:t>
            </w:r>
          </w:p>
        </w:tc>
      </w:tr>
    </w:tbl>
    <w:p w14:paraId="6BEC1E24" w14:textId="707450BB" w:rsidR="004E6FCA" w:rsidRDefault="00DF1F24" w:rsidP="003374B0">
      <w:r w:rsidRPr="003374B0">
        <w:rPr>
          <w:sz w:val="20"/>
          <w:lang w:val="en-AU"/>
        </w:rPr>
        <w:t>Note: Confidence intervals (95%) are displayed, not for statistical testing (given the purposeful sampling) but to show the spread of standard error in these samples.</w:t>
      </w:r>
      <w:r w:rsidR="005933E2">
        <w:rPr>
          <w:sz w:val="20"/>
          <w:lang w:val="en-AU"/>
        </w:rPr>
        <w:t xml:space="preserve"> * Medicines distributed by the ‘push’ system supplementing the ‘pull’ system.</w:t>
      </w:r>
    </w:p>
    <w:p w14:paraId="2779C670" w14:textId="77777777" w:rsidR="00DF1F24" w:rsidRDefault="00DF1F24" w:rsidP="003374B0"/>
    <w:p w14:paraId="4422C7DC" w14:textId="7070F8F1" w:rsidR="005F50A1" w:rsidRDefault="00596CE9" w:rsidP="003374B0">
      <w:r>
        <w:t xml:space="preserve">The spread of </w:t>
      </w:r>
      <w:r w:rsidR="00E23F8A">
        <w:t>confidence intervals</w:t>
      </w:r>
      <w:r>
        <w:t xml:space="preserve"> in these measures, espec</w:t>
      </w:r>
      <w:r w:rsidR="00A41D87">
        <w:t>ially for the ‘pull’ only AP measures</w:t>
      </w:r>
      <w:r>
        <w:t>, suggests they should be interpreted with caution, however the trends here do match those seen in the contractor data (above) and the qualitative data (below). The previous trend to higher availability</w:t>
      </w:r>
      <w:r w:rsidR="00A41D87">
        <w:t xml:space="preserve"> when the ‘push’ system supplements the ‘pull’ system continues in these data, and at the AP level there is equivalent availability in both remote and non-remote sites. </w:t>
      </w:r>
      <w:r>
        <w:t xml:space="preserve">Also seen is the difficulty for the ‘push’ system in reaching HCs in </w:t>
      </w:r>
      <w:proofErr w:type="spellStart"/>
      <w:r>
        <w:t>Momase</w:t>
      </w:r>
      <w:proofErr w:type="spellEnd"/>
      <w:r>
        <w:t xml:space="preserve"> region – as was also demonstrated in the contractor’</w:t>
      </w:r>
      <w:r w:rsidR="00A41D87">
        <w:t>s data, and difficulty for the ‘pull-only’ system to reach remote HCs in Southern region.</w:t>
      </w:r>
    </w:p>
    <w:p w14:paraId="05BE90AE" w14:textId="77777777" w:rsidR="00DF1F24" w:rsidRDefault="00DF1F24" w:rsidP="003374B0"/>
    <w:p w14:paraId="62F0E21C" w14:textId="77777777" w:rsidR="00196E7E" w:rsidRDefault="00A21676" w:rsidP="00A21676">
      <w:pPr>
        <w:rPr>
          <w:lang w:val="en-AU"/>
        </w:rPr>
      </w:pPr>
      <w:r>
        <w:rPr>
          <w:lang w:val="en-AU"/>
        </w:rPr>
        <w:t xml:space="preserve">Overall, these analyses suggest that the ‘push’ systems of distribution are likely to have contributed to equitable availability of medicines, findings confirmed by the disaggregated analysis of qualitative </w:t>
      </w:r>
      <w:r>
        <w:rPr>
          <w:lang w:val="en-AU"/>
        </w:rPr>
        <w:lastRenderedPageBreak/>
        <w:t xml:space="preserve">data (details in Annex 11.4.2), which showed HFs in high-poverty districts, and those coded as remote, reporting </w:t>
      </w:r>
      <w:r w:rsidR="006333D3">
        <w:rPr>
          <w:lang w:val="en-AU"/>
        </w:rPr>
        <w:t xml:space="preserve">a </w:t>
      </w:r>
      <w:r>
        <w:rPr>
          <w:lang w:val="en-AU"/>
        </w:rPr>
        <w:t>similar weight of positive opinion regarding kit</w:t>
      </w:r>
      <w:r w:rsidR="006333D3">
        <w:rPr>
          <w:lang w:val="en-AU"/>
        </w:rPr>
        <w:t xml:space="preserve"> supplementation as non-disadvantaged HFs.</w:t>
      </w:r>
      <w:r w:rsidR="00196E7E">
        <w:rPr>
          <w:lang w:val="en-AU"/>
        </w:rPr>
        <w:t xml:space="preserve">  </w:t>
      </w:r>
    </w:p>
    <w:p w14:paraId="1F1B6F12" w14:textId="77777777" w:rsidR="00196E7E" w:rsidRDefault="00196E7E" w:rsidP="00A21676">
      <w:pPr>
        <w:rPr>
          <w:lang w:val="en-AU"/>
        </w:rPr>
      </w:pPr>
    </w:p>
    <w:p w14:paraId="13C3B58D" w14:textId="5B487438" w:rsidR="007912FE" w:rsidRDefault="007912FE" w:rsidP="00A21676">
      <w:pPr>
        <w:rPr>
          <w:lang w:val="en-AU"/>
        </w:rPr>
      </w:pPr>
      <w:r>
        <w:rPr>
          <w:lang w:val="en-AU"/>
        </w:rPr>
        <w:t>U</w:t>
      </w:r>
      <w:r w:rsidR="00196E7E">
        <w:rPr>
          <w:lang w:val="en-AU"/>
        </w:rPr>
        <w:t xml:space="preserve">seful indices of both remoteness and poverty remain pressing needs for public sector analysis and planning in PNG.  The database being collected by the ‘push’ system distribution of medical supply kits can continue to play a part in these discussions, especially given the increasing accuracy of geographical information being collected as deliveries proceed.  Within our </w:t>
      </w:r>
      <w:r>
        <w:rPr>
          <w:lang w:val="en-AU"/>
        </w:rPr>
        <w:t xml:space="preserve">HF </w:t>
      </w:r>
      <w:r w:rsidR="00196E7E">
        <w:rPr>
          <w:lang w:val="en-AU"/>
        </w:rPr>
        <w:t xml:space="preserve">survey were included </w:t>
      </w:r>
      <w:r w:rsidR="00196E7E">
        <w:t xml:space="preserve">WHO indicators </w:t>
      </w:r>
      <w:r>
        <w:t xml:space="preserve">to measure </w:t>
      </w:r>
      <w:r w:rsidR="00196E7E">
        <w:t>distance</w:t>
      </w:r>
      <w:r>
        <w:t xml:space="preserve"> travelled</w:t>
      </w:r>
      <w:r w:rsidR="00196E7E">
        <w:t xml:space="preserve"> to facilities</w:t>
      </w:r>
      <w:r>
        <w:t xml:space="preserve"> by patients that we interviewed (see also information in Section 7)</w:t>
      </w:r>
      <w:r w:rsidR="00196E7E">
        <w:t xml:space="preserve">.  Among the 487 patients we interviewed, </w:t>
      </w:r>
      <w:r w:rsidR="00D10C10">
        <w:t>ten</w:t>
      </w:r>
      <w:r w:rsidR="00D10C10" w:rsidRPr="0089687C">
        <w:t xml:space="preserve"> </w:t>
      </w:r>
      <w:r w:rsidR="00196E7E" w:rsidRPr="0089687C">
        <w:t xml:space="preserve">patients (2%) </w:t>
      </w:r>
      <w:r w:rsidR="00196E7E">
        <w:t xml:space="preserve">were outliers, reporting having </w:t>
      </w:r>
      <w:r w:rsidR="00196E7E" w:rsidRPr="0089687C">
        <w:t>travelled more than 24 hours to get a HF (</w:t>
      </w:r>
      <w:r>
        <w:t>seven taking two</w:t>
      </w:r>
      <w:r w:rsidR="00196E7E" w:rsidRPr="0089687C">
        <w:t xml:space="preserve"> days). </w:t>
      </w:r>
      <w:r w:rsidR="00196E7E">
        <w:t>After e</w:t>
      </w:r>
      <w:r w:rsidR="00196E7E" w:rsidRPr="0089687C">
        <w:t>xcluding them from the analysis it took on average 57 minutes (median 30 min</w:t>
      </w:r>
      <w:r>
        <w:t>ute</w:t>
      </w:r>
      <w:r w:rsidR="00196E7E" w:rsidRPr="0089687C">
        <w:t>s) for patients to reach a HF – slightly longer to reach a HC/SC (68 min</w:t>
      </w:r>
      <w:r>
        <w:t>ute</w:t>
      </w:r>
      <w:r w:rsidR="00196E7E" w:rsidRPr="0089687C">
        <w:t>s) and less to a</w:t>
      </w:r>
      <w:r>
        <w:t>n</w:t>
      </w:r>
      <w:r w:rsidR="00196E7E" w:rsidRPr="0089687C">
        <w:t xml:space="preserve"> AP (28 min</w:t>
      </w:r>
      <w:r>
        <w:t>ute</w:t>
      </w:r>
      <w:r w:rsidR="00196E7E" w:rsidRPr="0089687C">
        <w:t xml:space="preserve">s).  Accessibility is defined by </w:t>
      </w:r>
      <w:proofErr w:type="gramStart"/>
      <w:r w:rsidR="00196E7E" w:rsidRPr="0089687C">
        <w:t>WHO</w:t>
      </w:r>
      <w:proofErr w:type="gramEnd"/>
      <w:r w:rsidR="00196E7E" w:rsidRPr="0089687C">
        <w:t xml:space="preserve"> as being able to reach a HF within one hour of walking</w:t>
      </w:r>
      <w:r>
        <w:t>.</w:t>
      </w:r>
      <w:r w:rsidR="00196E7E" w:rsidRPr="0089687C">
        <w:t xml:space="preserve"> </w:t>
      </w:r>
      <w:r>
        <w:t xml:space="preserve">This suggests that, of the patients we interviewed, there were a small proportion </w:t>
      </w:r>
      <w:proofErr w:type="gramStart"/>
      <w:r>
        <w:t>who</w:t>
      </w:r>
      <w:proofErr w:type="gramEnd"/>
      <w:r>
        <w:t xml:space="preserve"> travelled extreme distances, but the majority had acceptable access. It is </w:t>
      </w:r>
      <w:r>
        <w:rPr>
          <w:lang w:val="en-AU"/>
        </w:rPr>
        <w:t>essential, though, to note</w:t>
      </w:r>
      <w:r w:rsidRPr="007912FE">
        <w:t xml:space="preserve"> </w:t>
      </w:r>
      <w:r>
        <w:t>the bias in our sample – in that we surveyed patients who had already successfully reach</w:t>
      </w:r>
      <w:r w:rsidR="00D10C10">
        <w:t>ed</w:t>
      </w:r>
      <w:r>
        <w:t xml:space="preserve"> a health facility.</w:t>
      </w:r>
    </w:p>
    <w:p w14:paraId="0C24B84F" w14:textId="77777777" w:rsidR="007912FE" w:rsidRDefault="007912FE" w:rsidP="00A21676">
      <w:pPr>
        <w:rPr>
          <w:lang w:val="en-AU"/>
        </w:rPr>
      </w:pPr>
    </w:p>
    <w:p w14:paraId="11A16223" w14:textId="34B028EB" w:rsidR="00196E7E" w:rsidRDefault="00196E7E" w:rsidP="00A21676">
      <w:pPr>
        <w:rPr>
          <w:lang w:val="en-AU"/>
        </w:rPr>
      </w:pPr>
      <w:r>
        <w:rPr>
          <w:lang w:val="en-AU"/>
        </w:rPr>
        <w:t>The 2009-10</w:t>
      </w:r>
      <w:r>
        <w:t xml:space="preserve"> </w:t>
      </w:r>
      <w:r>
        <w:rPr>
          <w:lang w:val="en-AU"/>
        </w:rPr>
        <w:t>Household Income and Expenditure Survey</w:t>
      </w:r>
      <w:r>
        <w:rPr>
          <w:lang w:val="en-AU"/>
        </w:rPr>
        <w:fldChar w:fldCharType="begin"/>
      </w:r>
      <w:r>
        <w:rPr>
          <w:lang w:val="en-AU"/>
        </w:rPr>
        <w:instrText xml:space="preserve"> ADDIN EN.CITE &lt;EndNote&gt;&lt;Cite&gt;&lt;Author&gt;National Statistical Office&lt;/Author&gt;&lt;Year&gt;2011&lt;/Year&gt;&lt;RecNum&gt;47&lt;/RecNum&gt;&lt;DisplayText&gt;[9]&lt;/DisplayText&gt;&lt;record&gt;&lt;rec-number&gt;47&lt;/rec-number&gt;&lt;foreign-keys&gt;&lt;key app="EN" db-id="ex5s0vddkzxdfhese5yvf5vke2ree5azrt5t"&gt;47&lt;/key&gt;&lt;/foreign-keys&gt;&lt;ref-type name="Report"&gt;27&lt;/ref-type&gt;&lt;contributors&gt;&lt;authors&gt;&lt;author&gt;National Statistical Office,&lt;/author&gt;&lt;/authors&gt;&lt;tertiary-authors&gt;&lt;author&gt;Government of Papua New Guinea&lt;/author&gt;&lt;/tertiary-authors&gt;&lt;/contributors&gt;&lt;titles&gt;&lt;title&gt;Papua New Guinea Household Income and Expenditure Survey 2009-2010&lt;/title&gt;&lt;/titles&gt;&lt;dates&gt;&lt;year&gt;2011&lt;/year&gt;&lt;/dates&gt;&lt;pub-location&gt;Papua New Guinea&lt;/pub-location&gt;&lt;publisher&gt;Government of Papua New Guinea&lt;/publisher&gt;&lt;urls&gt;&lt;/urls&gt;&lt;/record&gt;&lt;/Cite&gt;&lt;/EndNote&gt;</w:instrText>
      </w:r>
      <w:r>
        <w:rPr>
          <w:lang w:val="en-AU"/>
        </w:rPr>
        <w:fldChar w:fldCharType="separate"/>
      </w:r>
      <w:r>
        <w:rPr>
          <w:noProof/>
          <w:lang w:val="en-AU"/>
        </w:rPr>
        <w:t>[</w:t>
      </w:r>
      <w:hyperlink w:anchor="_ENREF_9" w:tooltip="National Statistical Office, 2011 #47" w:history="1">
        <w:r w:rsidR="00E62392">
          <w:rPr>
            <w:noProof/>
            <w:lang w:val="en-AU"/>
          </w:rPr>
          <w:t>9</w:t>
        </w:r>
      </w:hyperlink>
      <w:r>
        <w:rPr>
          <w:noProof/>
          <w:lang w:val="en-AU"/>
        </w:rPr>
        <w:t>]</w:t>
      </w:r>
      <w:r>
        <w:rPr>
          <w:lang w:val="en-AU"/>
        </w:rPr>
        <w:fldChar w:fldCharType="end"/>
      </w:r>
      <w:r>
        <w:rPr>
          <w:lang w:val="en-AU"/>
        </w:rPr>
        <w:t xml:space="preserve"> reported that in rural areas 74% of visits to a HF required walking (22% car, 2% boat), making accurate estimates of distance an importan</w:t>
      </w:r>
      <w:r w:rsidR="007912FE">
        <w:rPr>
          <w:lang w:val="en-AU"/>
        </w:rPr>
        <w:t>t element of future field work, including correlation of this evaluation’s information with future community-based population surveys.</w:t>
      </w:r>
    </w:p>
    <w:p w14:paraId="0BB02BF1" w14:textId="77777777" w:rsidR="00A21676" w:rsidRDefault="00A21676" w:rsidP="003374B0"/>
    <w:p w14:paraId="7E1F1EB6" w14:textId="577DAE0A" w:rsidR="003374B0" w:rsidRPr="00715A64" w:rsidRDefault="009D531C" w:rsidP="006F6127">
      <w:pPr>
        <w:pStyle w:val="Heading3"/>
      </w:pPr>
      <w:r>
        <w:t>Impact on health services</w:t>
      </w:r>
    </w:p>
    <w:p w14:paraId="363D85F1" w14:textId="5DFE5D7A" w:rsidR="00A41D87" w:rsidRDefault="00A41D87" w:rsidP="003374B0">
      <w:pPr>
        <w:rPr>
          <w:lang w:val="en-AU"/>
        </w:rPr>
      </w:pPr>
      <w:r>
        <w:rPr>
          <w:lang w:val="en-AU"/>
        </w:rPr>
        <w:t xml:space="preserve">The findings above and in Section 5 demonstrate a </w:t>
      </w:r>
      <w:r w:rsidR="000A7DED">
        <w:rPr>
          <w:lang w:val="en-AU"/>
        </w:rPr>
        <w:t>plausible</w:t>
      </w:r>
      <w:r>
        <w:rPr>
          <w:lang w:val="en-AU"/>
        </w:rPr>
        <w:t xml:space="preserve"> increase in availability of certain essential medicines, with </w:t>
      </w:r>
      <w:r w:rsidR="00A21676">
        <w:rPr>
          <w:lang w:val="en-AU"/>
        </w:rPr>
        <w:t>availability maintained in areas of disadvantage, most likely through the impact of the ‘push’ system of kits distribution acting as a supplement to the routine ‘pull’ system.  The qualitative data from HF survey interviews, and to a lesser extent from health managers, sugges</w:t>
      </w:r>
      <w:r w:rsidR="006333D3">
        <w:rPr>
          <w:lang w:val="en-AU"/>
        </w:rPr>
        <w:t xml:space="preserve">ts that increased availability translates to increased capacity to provide health services. </w:t>
      </w:r>
    </w:p>
    <w:p w14:paraId="707F829A" w14:textId="77777777" w:rsidR="006333D3" w:rsidRDefault="006333D3" w:rsidP="003374B0">
      <w:pPr>
        <w:rPr>
          <w:lang w:val="en-AU"/>
        </w:rPr>
      </w:pPr>
    </w:p>
    <w:p w14:paraId="04874A8D" w14:textId="63DF67A4" w:rsidR="006333D3" w:rsidRPr="006333D3" w:rsidRDefault="006333D3" w:rsidP="006333D3">
      <w:pPr>
        <w:rPr>
          <w:lang w:val="en-AU"/>
        </w:rPr>
      </w:pPr>
      <w:r>
        <w:rPr>
          <w:lang w:val="en-AU"/>
        </w:rPr>
        <w:t xml:space="preserve">Most interviewees felt the ‘push’ system </w:t>
      </w:r>
      <w:r w:rsidRPr="006333D3">
        <w:rPr>
          <w:lang w:val="en-AU"/>
        </w:rPr>
        <w:t>of delivery of the 100% kits (and in some cases the earlier 40% kits) straight to the health facility represented a sign</w:t>
      </w:r>
      <w:r>
        <w:rPr>
          <w:lang w:val="en-AU"/>
        </w:rPr>
        <w:t xml:space="preserve">ificant </w:t>
      </w:r>
      <w:r w:rsidR="009640F6">
        <w:rPr>
          <w:lang w:val="en-AU"/>
        </w:rPr>
        <w:t>expansion of</w:t>
      </w:r>
      <w:r>
        <w:rPr>
          <w:lang w:val="en-AU"/>
        </w:rPr>
        <w:t xml:space="preserve"> their capacity. This was especially</w:t>
      </w:r>
      <w:r w:rsidRPr="006333D3">
        <w:rPr>
          <w:lang w:val="en-AU"/>
        </w:rPr>
        <w:t xml:space="preserve"> noted from AP staff</w:t>
      </w:r>
      <w:r>
        <w:rPr>
          <w:lang w:val="en-AU"/>
        </w:rPr>
        <w:t xml:space="preserve">, the most peripheral level and the level where the greatest boost has been needed to achieve equitable access to health care.  </w:t>
      </w:r>
      <w:r w:rsidRPr="006333D3">
        <w:rPr>
          <w:rFonts w:asciiTheme="minorHAnsi" w:hAnsiTheme="minorHAnsi"/>
          <w:szCs w:val="22"/>
        </w:rPr>
        <w:t xml:space="preserve">AP staff experienced this as a new level of support, with many noting they had not experienced this level of supply stocks previously. Many, from both HC and AP levels, linked this to </w:t>
      </w:r>
      <w:r w:rsidR="009640F6">
        <w:rPr>
          <w:rFonts w:asciiTheme="minorHAnsi" w:hAnsiTheme="minorHAnsi"/>
          <w:szCs w:val="22"/>
        </w:rPr>
        <w:t>a greater</w:t>
      </w:r>
      <w:r w:rsidRPr="006333D3">
        <w:rPr>
          <w:rFonts w:asciiTheme="minorHAnsi" w:hAnsiTheme="minorHAnsi"/>
          <w:szCs w:val="22"/>
        </w:rPr>
        <w:t xml:space="preserve"> </w:t>
      </w:r>
      <w:r w:rsidR="009640F6">
        <w:rPr>
          <w:rFonts w:asciiTheme="minorHAnsi" w:hAnsiTheme="minorHAnsi"/>
          <w:szCs w:val="22"/>
        </w:rPr>
        <w:t>ability</w:t>
      </w:r>
      <w:r w:rsidRPr="006333D3">
        <w:rPr>
          <w:rFonts w:asciiTheme="minorHAnsi" w:hAnsiTheme="minorHAnsi"/>
          <w:szCs w:val="22"/>
        </w:rPr>
        <w:t xml:space="preserve"> to</w:t>
      </w:r>
      <w:r w:rsidR="009640F6">
        <w:rPr>
          <w:rFonts w:asciiTheme="minorHAnsi" w:hAnsiTheme="minorHAnsi"/>
          <w:szCs w:val="22"/>
        </w:rPr>
        <w:t xml:space="preserve"> improve</w:t>
      </w:r>
      <w:r w:rsidRPr="006333D3">
        <w:rPr>
          <w:rFonts w:asciiTheme="minorHAnsi" w:hAnsiTheme="minorHAnsi"/>
          <w:szCs w:val="22"/>
        </w:rPr>
        <w:t xml:space="preserve"> provision of services, especially in rural or difficult areas.  This is discussed further in the equity-oriented review of the qualitative data below.</w:t>
      </w:r>
    </w:p>
    <w:p w14:paraId="3EC6B396" w14:textId="77777777" w:rsidR="006333D3" w:rsidRPr="006333D3" w:rsidRDefault="006333D3" w:rsidP="006333D3">
      <w:pPr>
        <w:rPr>
          <w:rFonts w:asciiTheme="minorHAnsi" w:hAnsiTheme="minorHAnsi"/>
          <w:szCs w:val="22"/>
        </w:rPr>
      </w:pPr>
    </w:p>
    <w:p w14:paraId="074337CE" w14:textId="702191DB" w:rsidR="006333D3" w:rsidRPr="006333D3" w:rsidRDefault="006333D3" w:rsidP="008D11AA">
      <w:pPr>
        <w:rPr>
          <w:rFonts w:asciiTheme="minorHAnsi" w:hAnsiTheme="minorHAnsi"/>
          <w:i/>
        </w:rPr>
      </w:pPr>
      <w:r w:rsidRPr="006333D3">
        <w:rPr>
          <w:rFonts w:asciiTheme="minorHAnsi" w:hAnsiTheme="minorHAnsi"/>
          <w:szCs w:val="22"/>
        </w:rPr>
        <w:t>Many comments</w:t>
      </w:r>
      <w:r w:rsidR="000731BC">
        <w:rPr>
          <w:rFonts w:asciiTheme="minorHAnsi" w:hAnsiTheme="minorHAnsi"/>
          <w:szCs w:val="22"/>
        </w:rPr>
        <w:t xml:space="preserve"> from all levels detailed</w:t>
      </w:r>
      <w:r w:rsidRPr="006333D3">
        <w:rPr>
          <w:rFonts w:asciiTheme="minorHAnsi" w:hAnsiTheme="minorHAnsi"/>
          <w:szCs w:val="22"/>
        </w:rPr>
        <w:t xml:space="preserve"> the impact of the ‘push’ system on HF </w:t>
      </w:r>
      <w:r w:rsidR="000731BC">
        <w:rPr>
          <w:rFonts w:asciiTheme="minorHAnsi" w:hAnsiTheme="minorHAnsi"/>
          <w:szCs w:val="22"/>
        </w:rPr>
        <w:t xml:space="preserve">service delivery </w:t>
      </w:r>
      <w:r w:rsidRPr="006333D3">
        <w:rPr>
          <w:rFonts w:asciiTheme="minorHAnsi" w:hAnsiTheme="minorHAnsi"/>
          <w:szCs w:val="22"/>
        </w:rPr>
        <w:t xml:space="preserve">capacity, reporting </w:t>
      </w:r>
      <w:r w:rsidR="000731BC">
        <w:rPr>
          <w:rFonts w:asciiTheme="minorHAnsi" w:hAnsiTheme="minorHAnsi"/>
          <w:szCs w:val="22"/>
        </w:rPr>
        <w:t>that ‘push’ system kits addressed</w:t>
      </w:r>
      <w:r w:rsidRPr="006333D3">
        <w:rPr>
          <w:rFonts w:asciiTheme="minorHAnsi" w:hAnsiTheme="minorHAnsi"/>
          <w:szCs w:val="22"/>
        </w:rPr>
        <w:t xml:space="preserve"> some deficiencies in </w:t>
      </w:r>
      <w:r w:rsidR="000731BC">
        <w:rPr>
          <w:rFonts w:asciiTheme="minorHAnsi" w:hAnsiTheme="minorHAnsi"/>
          <w:szCs w:val="22"/>
        </w:rPr>
        <w:t>the routine</w:t>
      </w:r>
      <w:r w:rsidRPr="006333D3">
        <w:rPr>
          <w:rFonts w:asciiTheme="minorHAnsi" w:hAnsiTheme="minorHAnsi"/>
          <w:szCs w:val="22"/>
        </w:rPr>
        <w:t xml:space="preserve"> system so as to ensure they had a more complete set of medical supplies to address their catchment area’s health needs. </w:t>
      </w:r>
    </w:p>
    <w:p w14:paraId="38C08A04" w14:textId="77777777" w:rsidR="006333D3" w:rsidRPr="006333D3" w:rsidRDefault="006333D3" w:rsidP="006333D3">
      <w:pPr>
        <w:rPr>
          <w:rFonts w:asciiTheme="minorHAnsi" w:hAnsiTheme="minorHAnsi"/>
          <w:i/>
        </w:rPr>
      </w:pPr>
    </w:p>
    <w:p w14:paraId="17ED5D80" w14:textId="2DDA9846" w:rsidR="006333D3" w:rsidRPr="006333D3" w:rsidRDefault="006333D3" w:rsidP="006333D3">
      <w:pPr>
        <w:rPr>
          <w:rFonts w:asciiTheme="minorHAnsi" w:hAnsiTheme="minorHAnsi"/>
        </w:rPr>
      </w:pPr>
      <w:r w:rsidRPr="006333D3">
        <w:rPr>
          <w:rFonts w:asciiTheme="minorHAnsi" w:hAnsiTheme="minorHAnsi"/>
        </w:rPr>
        <w:t xml:space="preserve">As noted in the district hospital comment above, many HF staff noted the impact in enhanced ability to treat patients, especially at the </w:t>
      </w:r>
      <w:r w:rsidR="007E7088">
        <w:rPr>
          <w:rFonts w:asciiTheme="minorHAnsi" w:hAnsiTheme="minorHAnsi"/>
        </w:rPr>
        <w:t>AP</w:t>
      </w:r>
      <w:r w:rsidRPr="006333D3">
        <w:rPr>
          <w:rFonts w:asciiTheme="minorHAnsi" w:hAnsiTheme="minorHAnsi"/>
        </w:rPr>
        <w:t xml:space="preserve"> level; </w:t>
      </w:r>
      <w:r w:rsidRPr="006333D3">
        <w:rPr>
          <w:rFonts w:asciiTheme="minorHAnsi" w:hAnsiTheme="minorHAnsi"/>
          <w:i/>
        </w:rPr>
        <w:t xml:space="preserve">“Since the start of this program, more patients are admitted at the aid post, instead of the health </w:t>
      </w:r>
      <w:proofErr w:type="spellStart"/>
      <w:r w:rsidRPr="006333D3">
        <w:rPr>
          <w:rFonts w:asciiTheme="minorHAnsi" w:hAnsiTheme="minorHAnsi"/>
          <w:i/>
        </w:rPr>
        <w:t>centre</w:t>
      </w:r>
      <w:proofErr w:type="spellEnd"/>
      <w:r w:rsidRPr="006333D3">
        <w:rPr>
          <w:rFonts w:asciiTheme="minorHAnsi" w:hAnsiTheme="minorHAnsi"/>
          <w:i/>
        </w:rPr>
        <w:t xml:space="preserve"> at </w:t>
      </w:r>
      <w:proofErr w:type="spellStart"/>
      <w:r w:rsidRPr="006333D3">
        <w:rPr>
          <w:rFonts w:asciiTheme="minorHAnsi" w:hAnsiTheme="minorHAnsi"/>
          <w:i/>
        </w:rPr>
        <w:t>Yampu</w:t>
      </w:r>
      <w:proofErr w:type="spellEnd"/>
      <w:r w:rsidRPr="006333D3">
        <w:rPr>
          <w:rFonts w:asciiTheme="minorHAnsi" w:hAnsiTheme="minorHAnsi"/>
          <w:i/>
        </w:rPr>
        <w:t xml:space="preserve"> or the hospital.” (AP, Highlands). </w:t>
      </w:r>
      <w:r w:rsidRPr="006333D3">
        <w:rPr>
          <w:rFonts w:asciiTheme="minorHAnsi" w:hAnsiTheme="minorHAnsi"/>
        </w:rPr>
        <w:t xml:space="preserve">In some cases, additional medicines were noted to increase staff capacity to provide new services: </w:t>
      </w:r>
      <w:r w:rsidRPr="006333D3">
        <w:rPr>
          <w:rFonts w:asciiTheme="minorHAnsi" w:hAnsiTheme="minorHAnsi"/>
          <w:i/>
        </w:rPr>
        <w:t>“Officer lea</w:t>
      </w:r>
      <w:r w:rsidR="009640F6">
        <w:rPr>
          <w:rFonts w:asciiTheme="minorHAnsi" w:hAnsiTheme="minorHAnsi"/>
          <w:i/>
        </w:rPr>
        <w:t>r</w:t>
      </w:r>
      <w:r w:rsidRPr="006333D3">
        <w:rPr>
          <w:rFonts w:asciiTheme="minorHAnsi" w:hAnsiTheme="minorHAnsi"/>
          <w:i/>
        </w:rPr>
        <w:t>nt new knowledge of unfamiliar drugs from catalogue” (AP, Southern),</w:t>
      </w:r>
      <w:r w:rsidRPr="006333D3">
        <w:rPr>
          <w:rFonts w:asciiTheme="minorHAnsi" w:hAnsiTheme="minorHAnsi"/>
        </w:rPr>
        <w:t xml:space="preserve"> </w:t>
      </w:r>
      <w:r w:rsidRPr="006333D3">
        <w:rPr>
          <w:rFonts w:asciiTheme="minorHAnsi" w:hAnsiTheme="minorHAnsi"/>
          <w:i/>
        </w:rPr>
        <w:t xml:space="preserve">“Good to see usage of zinc for </w:t>
      </w:r>
      <w:proofErr w:type="spellStart"/>
      <w:r w:rsidRPr="006333D3">
        <w:rPr>
          <w:rFonts w:asciiTheme="minorHAnsi" w:hAnsiTheme="minorHAnsi"/>
          <w:i/>
        </w:rPr>
        <w:t>diarrhoea</w:t>
      </w:r>
      <w:proofErr w:type="spellEnd"/>
      <w:r w:rsidRPr="006333D3">
        <w:rPr>
          <w:rFonts w:asciiTheme="minorHAnsi" w:hAnsiTheme="minorHAnsi"/>
          <w:i/>
        </w:rPr>
        <w:t xml:space="preserve"> [at peripheral levels]” (Hospital, Highlands). “…IDA supplements the supply from AMS. Gave workers exposure to new drugs.” </w:t>
      </w:r>
      <w:proofErr w:type="gramStart"/>
      <w:r w:rsidRPr="006333D3">
        <w:rPr>
          <w:rFonts w:asciiTheme="minorHAnsi" w:hAnsiTheme="minorHAnsi"/>
          <w:i/>
        </w:rPr>
        <w:t>(AP, Southern).</w:t>
      </w:r>
      <w:proofErr w:type="gramEnd"/>
    </w:p>
    <w:p w14:paraId="0828B53F" w14:textId="77777777" w:rsidR="006333D3" w:rsidRPr="006333D3" w:rsidRDefault="006333D3" w:rsidP="006333D3">
      <w:pPr>
        <w:rPr>
          <w:rFonts w:asciiTheme="minorHAnsi" w:hAnsiTheme="minorHAnsi"/>
        </w:rPr>
      </w:pPr>
    </w:p>
    <w:p w14:paraId="7AE45D49" w14:textId="059F77D7" w:rsidR="002C21FB" w:rsidRDefault="006333D3" w:rsidP="00494FBB">
      <w:pPr>
        <w:rPr>
          <w:highlight w:val="yellow"/>
        </w:rPr>
      </w:pPr>
      <w:r w:rsidRPr="006333D3">
        <w:rPr>
          <w:rFonts w:asciiTheme="minorHAnsi" w:hAnsiTheme="minorHAnsi"/>
        </w:rPr>
        <w:t xml:space="preserve">Other specific service impacts were occasionally noted, for example: </w:t>
      </w:r>
      <w:r w:rsidRPr="006333D3">
        <w:rPr>
          <w:rFonts w:asciiTheme="minorHAnsi" w:hAnsiTheme="minorHAnsi"/>
          <w:i/>
        </w:rPr>
        <w:t xml:space="preserve">“Treatment of malaria has improved” (AP, </w:t>
      </w:r>
      <w:proofErr w:type="spellStart"/>
      <w:r w:rsidRPr="006333D3">
        <w:rPr>
          <w:rFonts w:asciiTheme="minorHAnsi" w:hAnsiTheme="minorHAnsi"/>
          <w:i/>
        </w:rPr>
        <w:t>Momase</w:t>
      </w:r>
      <w:proofErr w:type="spellEnd"/>
      <w:r w:rsidRPr="006333D3">
        <w:rPr>
          <w:rFonts w:asciiTheme="minorHAnsi" w:hAnsiTheme="minorHAnsi"/>
          <w:i/>
        </w:rPr>
        <w:t>, referencing the vertical program), “Supplies of codeine helped in pain where previou</w:t>
      </w:r>
      <w:r w:rsidR="002B64DD">
        <w:rPr>
          <w:rFonts w:asciiTheme="minorHAnsi" w:hAnsiTheme="minorHAnsi"/>
          <w:i/>
        </w:rPr>
        <w:t>s</w:t>
      </w:r>
      <w:r w:rsidRPr="006333D3">
        <w:rPr>
          <w:rFonts w:asciiTheme="minorHAnsi" w:hAnsiTheme="minorHAnsi"/>
          <w:i/>
        </w:rPr>
        <w:t>ly there was none in stock.” (District hospital, Southern), “Helps improve the health of the community, for example some fungal infections are not often seen as before” (AP, Islands).</w:t>
      </w:r>
      <w:r w:rsidRPr="006333D3">
        <w:rPr>
          <w:rFonts w:asciiTheme="minorHAnsi" w:hAnsiTheme="minorHAnsi"/>
        </w:rPr>
        <w:t xml:space="preserve"> </w:t>
      </w:r>
      <w:r w:rsidR="00494FBB">
        <w:rPr>
          <w:rFonts w:asciiTheme="minorHAnsi" w:hAnsiTheme="minorHAnsi"/>
        </w:rPr>
        <w:t xml:space="preserve">Other specific impacts included </w:t>
      </w:r>
      <w:r w:rsidR="007920B3">
        <w:rPr>
          <w:lang w:val="en-AU"/>
        </w:rPr>
        <w:t xml:space="preserve">reports from managers and staff working in conflict-affected districts stating that the presence of kits and a ‘push’ system option made it easier to re-open closed rural facilities with more rapid re-commencement of services.  </w:t>
      </w:r>
    </w:p>
    <w:p w14:paraId="248CB38D" w14:textId="77777777" w:rsidR="00A56BB5" w:rsidRDefault="00A56BB5" w:rsidP="003374B0"/>
    <w:p w14:paraId="35A2AAF7" w14:textId="77777777" w:rsidR="000A7DED" w:rsidRPr="00C34E16" w:rsidRDefault="000A7DED" w:rsidP="000A7DED">
      <w:r w:rsidRPr="00C34E16">
        <w:t>The HF survey also examined service capacity in EMONC, discussed below.</w:t>
      </w:r>
    </w:p>
    <w:p w14:paraId="46D6B320" w14:textId="77777777" w:rsidR="000A7DED" w:rsidRPr="00E051C3" w:rsidRDefault="000A7DED" w:rsidP="003374B0"/>
    <w:p w14:paraId="0D2F6D6D" w14:textId="7F37EAF6" w:rsidR="00E051C3" w:rsidRPr="00E051C3" w:rsidRDefault="00E051C3">
      <w:pPr>
        <w:pStyle w:val="Heading2"/>
      </w:pPr>
      <w:bookmarkStart w:id="113" w:name="_Toc245810764"/>
      <w:r>
        <w:t>Linking medicines availability to improved survival</w:t>
      </w:r>
      <w:bookmarkEnd w:id="113"/>
    </w:p>
    <w:p w14:paraId="26144541" w14:textId="5F9811A2" w:rsidR="00A56BB5" w:rsidRDefault="00F930D1" w:rsidP="00715A64">
      <w:pPr>
        <w:ind w:left="720"/>
        <w:rPr>
          <w:i/>
          <w:lang w:val="en-AU"/>
        </w:rPr>
      </w:pPr>
      <w:r>
        <w:rPr>
          <w:b/>
          <w:i/>
          <w:lang w:val="en-AU"/>
        </w:rPr>
        <w:t xml:space="preserve">Key finding: </w:t>
      </w:r>
      <w:r w:rsidRPr="00C34E16">
        <w:rPr>
          <w:i/>
          <w:lang w:val="en-AU"/>
        </w:rPr>
        <w:t>The medicines usage data indicate that much of the supplementary kit contents have been a good fit for the disease profile in PNG, noting that most reports of non-usage of kit medicines related to issues of staff training or authorization, and that most medical supplies are being used to manage conditions of population health importance. While program impact on morbidity and mortality cannot be directly measured at present, the increase in medicines availability combined with our usage data may be used to model likely increases in case management coverage and subsequent improved survival. As demonstration of part of the potential impact of increased medicines availability, we modelled a possible coverage increase just in childhood pneumonia management as averting an extra 416 child</w:t>
      </w:r>
      <w:r w:rsidR="001B5273">
        <w:rPr>
          <w:i/>
          <w:lang w:val="en-AU"/>
        </w:rPr>
        <w:t xml:space="preserve"> deaths</w:t>
      </w:r>
      <w:r w:rsidRPr="00C34E16">
        <w:rPr>
          <w:i/>
          <w:lang w:val="en-AU"/>
        </w:rPr>
        <w:t xml:space="preserve"> by 2013 compared to 2010, using the Lives Saved Tool.</w:t>
      </w:r>
    </w:p>
    <w:p w14:paraId="12F26624" w14:textId="77777777" w:rsidR="00F930D1" w:rsidRDefault="00F930D1" w:rsidP="00E051C3">
      <w:pPr>
        <w:rPr>
          <w:lang w:val="en-AU"/>
        </w:rPr>
      </w:pPr>
    </w:p>
    <w:p w14:paraId="3CC3F8D2" w14:textId="4F04BD18" w:rsidR="00DB1490" w:rsidRDefault="00DB1490" w:rsidP="00DB1490">
      <w:pPr>
        <w:pStyle w:val="Heading3"/>
      </w:pPr>
      <w:r>
        <w:t>Evaluation plans for examining mortality impact</w:t>
      </w:r>
      <w:r w:rsidR="00C37D18">
        <w:t>, and use of CFR</w:t>
      </w:r>
    </w:p>
    <w:p w14:paraId="1A44026C" w14:textId="2223AA9D" w:rsidR="00DB1490" w:rsidRDefault="00196E7E" w:rsidP="00E051C3">
      <w:pPr>
        <w:rPr>
          <w:lang w:val="en-AU"/>
        </w:rPr>
      </w:pPr>
      <w:r>
        <w:rPr>
          <w:lang w:val="en-AU"/>
        </w:rPr>
        <w:t>As noted in the evaluation plan (see Annex) part of the overall aims of this multi-year evaluation</w:t>
      </w:r>
      <w:r w:rsidR="006F6127">
        <w:rPr>
          <w:lang w:val="en-AU"/>
        </w:rPr>
        <w:t xml:space="preserve"> were to link changes in medical supplies to changes in population health, especially examining survival gains for women and children. Critical data in the chain of contribution are the degree to which increased medical supplies lead to increased coverage with life-saving interventions (both preventive and curative services).  Also required are data on the burden of disease in PNG and the relative efficacy of interventions that rely on medical supplies.  All these data sources are in short supply in PNG at pres</w:t>
      </w:r>
      <w:r w:rsidR="00CA7EDC">
        <w:rPr>
          <w:lang w:val="en-AU"/>
        </w:rPr>
        <w:t xml:space="preserve">ent. </w:t>
      </w:r>
      <w:r w:rsidR="00DB1490">
        <w:rPr>
          <w:lang w:val="en-AU"/>
        </w:rPr>
        <w:t xml:space="preserve">In particular there are no population-based surveys of </w:t>
      </w:r>
      <w:r w:rsidR="009A4B24">
        <w:rPr>
          <w:lang w:val="en-AU"/>
        </w:rPr>
        <w:t xml:space="preserve">intervention coverage (including interventions such as pneumonia management employing antibiotics), </w:t>
      </w:r>
      <w:r w:rsidR="00DB1490">
        <w:rPr>
          <w:lang w:val="en-AU"/>
        </w:rPr>
        <w:t>morbidity or mortality</w:t>
      </w:r>
      <w:r w:rsidR="001B5273">
        <w:rPr>
          <w:lang w:val="en-AU"/>
        </w:rPr>
        <w:t>,</w:t>
      </w:r>
      <w:r w:rsidR="00DB1490">
        <w:rPr>
          <w:lang w:val="en-AU"/>
        </w:rPr>
        <w:t xml:space="preserve"> </w:t>
      </w:r>
      <w:r w:rsidR="001B5273">
        <w:rPr>
          <w:lang w:val="en-AU"/>
        </w:rPr>
        <w:t>which</w:t>
      </w:r>
      <w:r w:rsidR="00DB1490">
        <w:rPr>
          <w:lang w:val="en-AU"/>
        </w:rPr>
        <w:t xml:space="preserve"> post-date the introduction of the recent ‘push’ programs</w:t>
      </w:r>
      <w:r w:rsidR="001B5273">
        <w:rPr>
          <w:lang w:val="en-AU"/>
        </w:rPr>
        <w:t>. C</w:t>
      </w:r>
      <w:r w:rsidR="004157DE">
        <w:rPr>
          <w:lang w:val="en-AU"/>
        </w:rPr>
        <w:t>onduct of such a large enterprise was not deemed cost-effective if solely for the purpose of this impact evaluation.</w:t>
      </w:r>
      <w:r w:rsidR="00CA7EDC">
        <w:rPr>
          <w:lang w:val="en-AU"/>
        </w:rPr>
        <w:t xml:space="preserve"> </w:t>
      </w:r>
    </w:p>
    <w:p w14:paraId="14DF18A9" w14:textId="77777777" w:rsidR="00196E7E" w:rsidRDefault="00196E7E" w:rsidP="00E051C3">
      <w:pPr>
        <w:rPr>
          <w:lang w:val="en-AU"/>
        </w:rPr>
      </w:pPr>
    </w:p>
    <w:p w14:paraId="64B438B0" w14:textId="04E8202D" w:rsidR="00417776" w:rsidRDefault="00DE6BE8" w:rsidP="00E051C3">
      <w:pPr>
        <w:rPr>
          <w:lang w:val="en-AU"/>
        </w:rPr>
      </w:pPr>
      <w:r w:rsidRPr="00DE6BE8">
        <w:rPr>
          <w:lang w:val="en-AU"/>
        </w:rPr>
        <w:t>T</w:t>
      </w:r>
      <w:r w:rsidR="00CA7EDC">
        <w:rPr>
          <w:lang w:val="en-AU"/>
        </w:rPr>
        <w:t>o provide some immediate proxies by which to estimate the survival impact of increased medicines availability, t</w:t>
      </w:r>
      <w:r w:rsidRPr="00DE6BE8">
        <w:rPr>
          <w:lang w:val="en-AU"/>
        </w:rPr>
        <w:t>his evaluation attempted to measure pneumonia case fatality rates (CFR) and emergency obstetric care trends in HFs</w:t>
      </w:r>
      <w:r w:rsidR="00CA7EDC">
        <w:rPr>
          <w:lang w:val="en-AU"/>
        </w:rPr>
        <w:t xml:space="preserve">. Two reasons for choosing pneumonia CFR </w:t>
      </w:r>
      <w:r w:rsidR="00417776">
        <w:rPr>
          <w:lang w:val="en-AU"/>
        </w:rPr>
        <w:t>were</w:t>
      </w:r>
      <w:r w:rsidR="00CA7EDC">
        <w:rPr>
          <w:lang w:val="en-AU"/>
        </w:rPr>
        <w:t xml:space="preserve"> that it is the only relevant health outcome measure routinely collected in the NHIS</w:t>
      </w:r>
      <w:r w:rsidR="00DB1490">
        <w:rPr>
          <w:lang w:val="en-AU"/>
        </w:rPr>
        <w:t xml:space="preserve">, and that the first-line medicine prescribed by child health STGs is amoxicillin, a product included in the 40% and 100% kits. </w:t>
      </w:r>
      <w:r w:rsidR="00CA7EDC">
        <w:rPr>
          <w:lang w:val="en-AU"/>
        </w:rPr>
        <w:t xml:space="preserve">The </w:t>
      </w:r>
      <w:r w:rsidR="00DB1490">
        <w:rPr>
          <w:lang w:val="en-AU"/>
        </w:rPr>
        <w:t xml:space="preserve">survey </w:t>
      </w:r>
      <w:r w:rsidR="00CA7EDC">
        <w:rPr>
          <w:lang w:val="en-AU"/>
        </w:rPr>
        <w:t>sampling purposefully sought HFs in districts where CFRs were</w:t>
      </w:r>
      <w:r w:rsidR="00DB1490">
        <w:rPr>
          <w:lang w:val="en-AU"/>
        </w:rPr>
        <w:t xml:space="preserve"> known to be high.</w:t>
      </w:r>
      <w:r w:rsidR="00CA7EDC">
        <w:rPr>
          <w:lang w:val="en-AU"/>
        </w:rPr>
        <w:t xml:space="preserve"> The intention was to undertake </w:t>
      </w:r>
      <w:r w:rsidRPr="00DE6BE8">
        <w:rPr>
          <w:lang w:val="en-AU"/>
        </w:rPr>
        <w:t>internal comparison</w:t>
      </w:r>
      <w:r w:rsidR="00CA7EDC">
        <w:rPr>
          <w:lang w:val="en-AU"/>
        </w:rPr>
        <w:t xml:space="preserve">s between varying levels of medicines availability and CFR and emergency obstetric care coverage; to try to detect an effect size of </w:t>
      </w:r>
      <w:r w:rsidR="00DB1490">
        <w:rPr>
          <w:lang w:val="en-AU"/>
        </w:rPr>
        <w:t>any measured change in availability.</w:t>
      </w:r>
      <w:r w:rsidR="00417776">
        <w:rPr>
          <w:lang w:val="en-AU"/>
        </w:rPr>
        <w:t xml:space="preserve"> A secondary aim was to collect HF measures of CFR </w:t>
      </w:r>
      <w:r w:rsidR="00E051C3">
        <w:rPr>
          <w:lang w:val="en-AU"/>
        </w:rPr>
        <w:t>to</w:t>
      </w:r>
      <w:r w:rsidR="00417776">
        <w:rPr>
          <w:lang w:val="en-AU"/>
        </w:rPr>
        <w:t xml:space="preserve"> compare with and help</w:t>
      </w:r>
      <w:r w:rsidR="00E051C3">
        <w:rPr>
          <w:lang w:val="en-AU"/>
        </w:rPr>
        <w:t xml:space="preserve"> validate the NHIS indicator.</w:t>
      </w:r>
      <w:r w:rsidR="00204CC3">
        <w:rPr>
          <w:lang w:val="en-AU"/>
        </w:rPr>
        <w:t xml:space="preserve"> </w:t>
      </w:r>
    </w:p>
    <w:p w14:paraId="346D11CC" w14:textId="77777777" w:rsidR="00417776" w:rsidRDefault="00417776" w:rsidP="00E051C3">
      <w:pPr>
        <w:rPr>
          <w:lang w:val="en-AU"/>
        </w:rPr>
      </w:pPr>
    </w:p>
    <w:p w14:paraId="66782523" w14:textId="385ED8CB" w:rsidR="00E051C3" w:rsidRDefault="00417776" w:rsidP="00E051C3">
      <w:pPr>
        <w:rPr>
          <w:lang w:val="en-AU"/>
        </w:rPr>
      </w:pPr>
      <w:r>
        <w:rPr>
          <w:lang w:val="en-AU"/>
        </w:rPr>
        <w:t>The intention of using CFR to provide an immediate comparator for impact assessment provided impossible due to limitations found in record-keeping at HFs during the survey. Measuring t</w:t>
      </w:r>
      <w:r w:rsidR="00E051C3">
        <w:rPr>
          <w:lang w:val="en-AU"/>
        </w:rPr>
        <w:t xml:space="preserve">his required questions about pneumonia admissions (only inpatient pneumonia is included in the NHIS indicator) and deaths. </w:t>
      </w:r>
      <w:r>
        <w:rPr>
          <w:lang w:val="en-AU"/>
        </w:rPr>
        <w:t xml:space="preserve">Unfortunately, very few HFs had reliable historical records of admissions and </w:t>
      </w:r>
      <w:r>
        <w:rPr>
          <w:lang w:val="en-AU"/>
        </w:rPr>
        <w:lastRenderedPageBreak/>
        <w:t>deaths, and those that did tended to be hospitals, rather than the HCs or APs, which were the main focus of the ‘push’ programs.</w:t>
      </w:r>
      <w:r w:rsidR="00E051C3">
        <w:rPr>
          <w:lang w:val="en-AU"/>
        </w:rPr>
        <w:t xml:space="preserve"> </w:t>
      </w:r>
      <w:r w:rsidR="004157DE">
        <w:rPr>
          <w:lang w:val="en-AU"/>
        </w:rPr>
        <w:t>We did find some data on pneumonia admissions and related</w:t>
      </w:r>
      <w:r w:rsidR="00E051C3">
        <w:rPr>
          <w:lang w:val="en-AU"/>
        </w:rPr>
        <w:t xml:space="preserve"> </w:t>
      </w:r>
      <w:r w:rsidR="004157DE">
        <w:rPr>
          <w:lang w:val="en-AU"/>
        </w:rPr>
        <w:t xml:space="preserve">deaths in about </w:t>
      </w:r>
      <w:r w:rsidR="00E051C3">
        <w:rPr>
          <w:lang w:val="en-AU"/>
        </w:rPr>
        <w:t xml:space="preserve">half of the facilities we visited </w:t>
      </w:r>
      <w:r w:rsidR="004157DE">
        <w:rPr>
          <w:lang w:val="en-AU"/>
        </w:rPr>
        <w:t>but many of the data were verbal reports reliant on staff memory. From this, we have calculated rates in 52 HFs that</w:t>
      </w:r>
      <w:r w:rsidR="00E051C3">
        <w:rPr>
          <w:lang w:val="en-AU"/>
        </w:rPr>
        <w:t xml:space="preserve"> reported admitting children </w:t>
      </w:r>
      <w:proofErr w:type="gramStart"/>
      <w:r w:rsidR="00E051C3">
        <w:rPr>
          <w:lang w:val="en-AU"/>
        </w:rPr>
        <w:t>under</w:t>
      </w:r>
      <w:proofErr w:type="gramEnd"/>
      <w:r w:rsidR="00E051C3">
        <w:rPr>
          <w:lang w:val="en-AU"/>
        </w:rPr>
        <w:t xml:space="preserve"> five years of age for treatment of pneumonia.  Examining </w:t>
      </w:r>
      <w:r w:rsidR="00E051C3" w:rsidRPr="00407BAC">
        <w:rPr>
          <w:lang w:val="en-AU"/>
        </w:rPr>
        <w:t>the children admitted with pneumonia (range 0-494; median 2, mean 18)</w:t>
      </w:r>
      <w:r w:rsidR="00E051C3">
        <w:rPr>
          <w:lang w:val="en-AU"/>
        </w:rPr>
        <w:t>,</w:t>
      </w:r>
      <w:r w:rsidR="00E051C3" w:rsidRPr="00407BAC">
        <w:rPr>
          <w:lang w:val="en-AU"/>
        </w:rPr>
        <w:t xml:space="preserve"> </w:t>
      </w:r>
      <w:r w:rsidR="00E051C3">
        <w:rPr>
          <w:lang w:val="en-AU"/>
        </w:rPr>
        <w:t xml:space="preserve">and </w:t>
      </w:r>
      <w:r w:rsidR="00E051C3" w:rsidRPr="00407BAC">
        <w:rPr>
          <w:lang w:val="en-AU"/>
        </w:rPr>
        <w:t>the numb</w:t>
      </w:r>
      <w:r w:rsidR="00E051C3">
        <w:rPr>
          <w:lang w:val="en-AU"/>
        </w:rPr>
        <w:t>er that died (range 0-12) gives:</w:t>
      </w:r>
    </w:p>
    <w:p w14:paraId="2A359731" w14:textId="77777777" w:rsidR="00E051C3" w:rsidRDefault="00E051C3" w:rsidP="00AD3F80">
      <w:pPr>
        <w:pStyle w:val="ListParagraph"/>
        <w:numPr>
          <w:ilvl w:val="0"/>
          <w:numId w:val="30"/>
        </w:numPr>
        <w:rPr>
          <w:lang w:val="en-AU"/>
        </w:rPr>
      </w:pPr>
      <w:proofErr w:type="gramStart"/>
      <w:r w:rsidRPr="00407BAC">
        <w:rPr>
          <w:lang w:val="en-AU"/>
        </w:rPr>
        <w:t>an</w:t>
      </w:r>
      <w:proofErr w:type="gramEnd"/>
      <w:r w:rsidRPr="00407BAC">
        <w:rPr>
          <w:lang w:val="en-AU"/>
        </w:rPr>
        <w:t xml:space="preserve"> overall average CFR of 4.0% across all facilities, but with a wide range</w:t>
      </w:r>
      <w:r>
        <w:rPr>
          <w:lang w:val="en-AU"/>
        </w:rPr>
        <w:t xml:space="preserve"> (0-50%);</w:t>
      </w:r>
    </w:p>
    <w:p w14:paraId="64F606B8" w14:textId="77777777" w:rsidR="00E051C3" w:rsidRDefault="00E051C3" w:rsidP="00AD3F80">
      <w:pPr>
        <w:pStyle w:val="ListParagraph"/>
        <w:numPr>
          <w:ilvl w:val="0"/>
          <w:numId w:val="30"/>
        </w:numPr>
        <w:rPr>
          <w:lang w:val="en-AU"/>
        </w:rPr>
      </w:pPr>
      <w:proofErr w:type="gramStart"/>
      <w:r>
        <w:rPr>
          <w:lang w:val="en-AU"/>
        </w:rPr>
        <w:t>at</w:t>
      </w:r>
      <w:proofErr w:type="gramEnd"/>
      <w:r>
        <w:rPr>
          <w:lang w:val="en-AU"/>
        </w:rPr>
        <w:t xml:space="preserve"> </w:t>
      </w:r>
      <w:r w:rsidRPr="00407BAC">
        <w:rPr>
          <w:lang w:val="en-AU"/>
        </w:rPr>
        <w:t xml:space="preserve">five hospitals, </w:t>
      </w:r>
      <w:r>
        <w:rPr>
          <w:lang w:val="en-AU"/>
        </w:rPr>
        <w:t xml:space="preserve">an </w:t>
      </w:r>
      <w:r w:rsidRPr="00407BAC">
        <w:rPr>
          <w:lang w:val="en-AU"/>
        </w:rPr>
        <w:t xml:space="preserve">average case fatality rate (CFR) </w:t>
      </w:r>
      <w:r>
        <w:rPr>
          <w:lang w:val="en-AU"/>
        </w:rPr>
        <w:t>of</w:t>
      </w:r>
      <w:r w:rsidRPr="00407BAC">
        <w:rPr>
          <w:lang w:val="en-AU"/>
        </w:rPr>
        <w:t xml:space="preserve"> 1</w:t>
      </w:r>
      <w:r>
        <w:rPr>
          <w:lang w:val="en-AU"/>
        </w:rPr>
        <w:t xml:space="preserve">5.4% (range 0-50%; median 2.3%); </w:t>
      </w:r>
    </w:p>
    <w:p w14:paraId="4D6CAB77" w14:textId="77777777" w:rsidR="00E051C3" w:rsidRDefault="00E051C3" w:rsidP="00AD3F80">
      <w:pPr>
        <w:pStyle w:val="ListParagraph"/>
        <w:numPr>
          <w:ilvl w:val="0"/>
          <w:numId w:val="30"/>
        </w:numPr>
        <w:rPr>
          <w:lang w:val="en-AU"/>
        </w:rPr>
      </w:pPr>
      <w:r>
        <w:rPr>
          <w:lang w:val="en-AU"/>
        </w:rPr>
        <w:t>at HC/SC</w:t>
      </w:r>
      <w:r w:rsidRPr="00407BAC">
        <w:rPr>
          <w:lang w:val="en-AU"/>
        </w:rPr>
        <w:t xml:space="preserve"> </w:t>
      </w:r>
      <w:r>
        <w:rPr>
          <w:lang w:val="en-AU"/>
        </w:rPr>
        <w:t xml:space="preserve">an </w:t>
      </w:r>
      <w:r w:rsidRPr="00407BAC">
        <w:rPr>
          <w:lang w:val="en-AU"/>
        </w:rPr>
        <w:t xml:space="preserve"> average CFR </w:t>
      </w:r>
      <w:r>
        <w:rPr>
          <w:lang w:val="en-AU"/>
        </w:rPr>
        <w:t xml:space="preserve">of </w:t>
      </w:r>
      <w:r w:rsidRPr="00407BAC">
        <w:rPr>
          <w:lang w:val="en-AU"/>
        </w:rPr>
        <w:t xml:space="preserve"> 2.3% (range 0-37.5%; median 0%)</w:t>
      </w:r>
      <w:r>
        <w:rPr>
          <w:lang w:val="en-AU"/>
        </w:rPr>
        <w:t>;</w:t>
      </w:r>
      <w:r w:rsidRPr="00407BAC">
        <w:rPr>
          <w:lang w:val="en-AU"/>
        </w:rPr>
        <w:t xml:space="preserve"> and </w:t>
      </w:r>
    </w:p>
    <w:p w14:paraId="1F7ADAC9" w14:textId="25978D4D" w:rsidR="00E051C3" w:rsidRPr="004157DE" w:rsidRDefault="00E051C3" w:rsidP="00AD3F80">
      <w:pPr>
        <w:pStyle w:val="ListParagraph"/>
        <w:numPr>
          <w:ilvl w:val="0"/>
          <w:numId w:val="30"/>
        </w:numPr>
        <w:rPr>
          <w:lang w:val="en-AU"/>
        </w:rPr>
      </w:pPr>
      <w:proofErr w:type="gramStart"/>
      <w:r>
        <w:rPr>
          <w:lang w:val="en-AU"/>
        </w:rPr>
        <w:t>at</w:t>
      </w:r>
      <w:proofErr w:type="gramEnd"/>
      <w:r>
        <w:rPr>
          <w:lang w:val="en-AU"/>
        </w:rPr>
        <w:t xml:space="preserve"> </w:t>
      </w:r>
      <w:r w:rsidRPr="00407BAC">
        <w:rPr>
          <w:lang w:val="en-AU"/>
        </w:rPr>
        <w:t xml:space="preserve">APs </w:t>
      </w:r>
      <w:r>
        <w:rPr>
          <w:lang w:val="en-AU"/>
        </w:rPr>
        <w:t>an average CFR of</w:t>
      </w:r>
      <w:r w:rsidRPr="00407BAC">
        <w:rPr>
          <w:lang w:val="en-AU"/>
        </w:rPr>
        <w:t xml:space="preserve"> 3.3% (range 0-50%; median 0%). </w:t>
      </w:r>
    </w:p>
    <w:p w14:paraId="47282670" w14:textId="03DBA238" w:rsidR="00E051C3" w:rsidRDefault="00E051C3" w:rsidP="00E051C3">
      <w:pPr>
        <w:rPr>
          <w:lang w:val="en-AU"/>
        </w:rPr>
      </w:pPr>
      <w:r>
        <w:rPr>
          <w:lang w:val="en-AU"/>
        </w:rPr>
        <w:t>The</w:t>
      </w:r>
      <w:r w:rsidR="006D6E1F">
        <w:rPr>
          <w:lang w:val="en-AU"/>
        </w:rPr>
        <w:t>se</w:t>
      </w:r>
      <w:r>
        <w:rPr>
          <w:lang w:val="en-AU"/>
        </w:rPr>
        <w:t xml:space="preserve"> hospital </w:t>
      </w:r>
      <w:r w:rsidR="00066A2A">
        <w:rPr>
          <w:lang w:val="en-AU"/>
        </w:rPr>
        <w:t xml:space="preserve">rates </w:t>
      </w:r>
      <w:r w:rsidR="006D6E1F">
        <w:rPr>
          <w:lang w:val="en-AU"/>
        </w:rPr>
        <w:t xml:space="preserve">are </w:t>
      </w:r>
      <w:r>
        <w:rPr>
          <w:lang w:val="en-AU"/>
        </w:rPr>
        <w:t xml:space="preserve">significantly higher than that </w:t>
      </w:r>
      <w:r w:rsidRPr="00314BA0">
        <w:rPr>
          <w:lang w:val="en-AU"/>
        </w:rPr>
        <w:t>reported</w:t>
      </w:r>
      <w:r>
        <w:rPr>
          <w:lang w:val="en-AU"/>
        </w:rPr>
        <w:t xml:space="preserve"> for hospitals</w:t>
      </w:r>
      <w:r w:rsidRPr="00314BA0">
        <w:rPr>
          <w:lang w:val="en-AU"/>
        </w:rPr>
        <w:t xml:space="preserve"> in the 2011 NDOH Child Mortality and Morbidity Report</w:t>
      </w:r>
      <w:r>
        <w:rPr>
          <w:lang w:val="en-AU"/>
        </w:rPr>
        <w:fldChar w:fldCharType="begin"/>
      </w:r>
      <w:r w:rsidR="00864903">
        <w:rPr>
          <w:lang w:val="en-AU"/>
        </w:rPr>
        <w:instrText xml:space="preserve"> ADDIN EN.CITE &lt;EndNote&gt;&lt;Cite&gt;&lt;Author&gt;National Department of Health&lt;/Author&gt;&lt;Year&gt;2012&lt;/Year&gt;&lt;RecNum&gt;58&lt;/RecNum&gt;&lt;DisplayText&gt;[11]&lt;/DisplayText&gt;&lt;record&gt;&lt;rec-number&gt;58&lt;/rec-number&gt;&lt;foreign-keys&gt;&lt;key app="EN" db-id="ex5s0vddkzxdfhese5yvf5vke2ree5azrt5t"&gt;58&lt;/key&gt;&lt;/foreign-keys&gt;&lt;ref-type name="Government Document"&gt;46&lt;/ref-type&gt;&lt;contributors&gt;&lt;authors&gt;&lt;author&gt;National Department of Health,&lt;/author&gt;&lt;/authors&gt;&lt;/contributors&gt;&lt;titles&gt;&lt;title&gt;Annual Report on Child Morbidity and Mortality 2011&lt;/title&gt;&lt;/titles&gt;&lt;dates&gt;&lt;year&gt;2012&lt;/year&gt;&lt;/dates&gt;&lt;pub-location&gt;Papua New Guinea&lt;/pub-location&gt;&lt;publisher&gt;NDOH&lt;/publisher&gt;&lt;urls&gt;&lt;/urls&gt;&lt;/record&gt;&lt;/Cite&gt;&lt;/EndNote&gt;</w:instrText>
      </w:r>
      <w:r>
        <w:rPr>
          <w:lang w:val="en-AU"/>
        </w:rPr>
        <w:fldChar w:fldCharType="separate"/>
      </w:r>
      <w:r w:rsidR="00864903">
        <w:rPr>
          <w:noProof/>
          <w:lang w:val="en-AU"/>
        </w:rPr>
        <w:t>[</w:t>
      </w:r>
      <w:hyperlink w:anchor="_ENREF_11" w:tooltip="National Department of Health, 2012 #58" w:history="1">
        <w:r w:rsidR="00E62392">
          <w:rPr>
            <w:noProof/>
            <w:lang w:val="en-AU"/>
          </w:rPr>
          <w:t>11</w:t>
        </w:r>
      </w:hyperlink>
      <w:r w:rsidR="00864903">
        <w:rPr>
          <w:noProof/>
          <w:lang w:val="en-AU"/>
        </w:rPr>
        <w:t>]</w:t>
      </w:r>
      <w:r>
        <w:rPr>
          <w:lang w:val="en-AU"/>
        </w:rPr>
        <w:fldChar w:fldCharType="end"/>
      </w:r>
      <w:r>
        <w:rPr>
          <w:lang w:val="en-AU"/>
        </w:rPr>
        <w:t xml:space="preserve"> </w:t>
      </w:r>
      <w:r w:rsidRPr="00314BA0">
        <w:rPr>
          <w:lang w:val="en-AU"/>
        </w:rPr>
        <w:t>of 5.6% for 2010 and 6.1% for 2011</w:t>
      </w:r>
      <w:r>
        <w:rPr>
          <w:lang w:val="en-AU"/>
        </w:rPr>
        <w:t>.  This is most likely due to problems in our estimates: being based on interviews, having small sample sizes</w:t>
      </w:r>
      <w:r w:rsidR="00C32F4E">
        <w:rPr>
          <w:lang w:val="en-AU"/>
        </w:rPr>
        <w:t>,</w:t>
      </w:r>
      <w:r>
        <w:rPr>
          <w:lang w:val="en-AU"/>
        </w:rPr>
        <w:t xml:space="preserve"> and </w:t>
      </w:r>
      <w:r w:rsidRPr="00314BA0">
        <w:rPr>
          <w:lang w:val="en-AU"/>
        </w:rPr>
        <w:t xml:space="preserve">low denominators which </w:t>
      </w:r>
      <w:r w:rsidR="009D6740">
        <w:rPr>
          <w:lang w:val="en-AU"/>
        </w:rPr>
        <w:t>could easily</w:t>
      </w:r>
      <w:r w:rsidRPr="00314BA0">
        <w:rPr>
          <w:lang w:val="en-AU"/>
        </w:rPr>
        <w:t xml:space="preserve"> result in overestimations in rates.</w:t>
      </w:r>
    </w:p>
    <w:p w14:paraId="748F3EB0" w14:textId="77777777" w:rsidR="00204CC3" w:rsidRDefault="00204CC3" w:rsidP="00204CC3">
      <w:pPr>
        <w:rPr>
          <w:lang w:val="en-AU"/>
        </w:rPr>
      </w:pPr>
    </w:p>
    <w:p w14:paraId="78D0BE9C" w14:textId="6F49C73C" w:rsidR="00C37D18" w:rsidRDefault="00C37D18" w:rsidP="00C37D18">
      <w:pPr>
        <w:rPr>
          <w:lang w:val="en-AU"/>
        </w:rPr>
      </w:pPr>
      <w:r>
        <w:rPr>
          <w:lang w:val="en-AU"/>
        </w:rPr>
        <w:t xml:space="preserve">Discussion with the Monitoring and Research Branch of NDOH suggest there are plans to increase data availability. </w:t>
      </w:r>
      <w:r w:rsidR="004157DE">
        <w:rPr>
          <w:lang w:val="en-AU"/>
        </w:rPr>
        <w:t xml:space="preserve">Given </w:t>
      </w:r>
      <w:r>
        <w:rPr>
          <w:lang w:val="en-AU"/>
        </w:rPr>
        <w:t>that we have been able to generate some trend measures (in Section 5) from a detailed reanalysis of NHIS raw data, similar gains may be possible from future analysis of CFRs in the national database. O</w:t>
      </w:r>
      <w:r w:rsidR="004157DE">
        <w:rPr>
          <w:lang w:val="en-AU"/>
        </w:rPr>
        <w:t>ther options include integrating analysis of medicines availability data from this evaluation with future population-based surveys</w:t>
      </w:r>
      <w:r w:rsidR="0088448A">
        <w:rPr>
          <w:lang w:val="en-AU"/>
        </w:rPr>
        <w:t>, such as a demographic and health survey, that may be comparable with recent benchmarks established in the national census of 2010.</w:t>
      </w:r>
    </w:p>
    <w:p w14:paraId="3C6B19E9" w14:textId="77777777" w:rsidR="004157DE" w:rsidRDefault="004157DE" w:rsidP="00C37D18">
      <w:pPr>
        <w:rPr>
          <w:lang w:val="en-AU"/>
        </w:rPr>
      </w:pPr>
    </w:p>
    <w:p w14:paraId="73CDE4CB" w14:textId="4566C999" w:rsidR="004157DE" w:rsidRDefault="004157DE" w:rsidP="00C37D18">
      <w:r>
        <w:rPr>
          <w:lang w:val="en-AU"/>
        </w:rPr>
        <w:t>It is also planned that this year one measurement of medicines availability will be repeated in several years</w:t>
      </w:r>
      <w:r w:rsidR="0088448A">
        <w:rPr>
          <w:lang w:val="en-AU"/>
        </w:rPr>
        <w:t>, which will give a reliable measure of any change in availability. This change can be used in conjunction with other population-based surveys</w:t>
      </w:r>
      <w:r w:rsidR="00436966">
        <w:rPr>
          <w:lang w:val="en-AU"/>
        </w:rPr>
        <w:t xml:space="preserve"> that provide information on intervention coverage and mortality rates</w:t>
      </w:r>
      <w:r w:rsidR="0088448A">
        <w:rPr>
          <w:lang w:val="en-AU"/>
        </w:rPr>
        <w:t xml:space="preserve">, as above, or in future modelling exercises, as discussed below, to provide more information on </w:t>
      </w:r>
      <w:r w:rsidR="00C32F4E">
        <w:rPr>
          <w:lang w:val="en-AU"/>
        </w:rPr>
        <w:t>the impact of increased medical supplies on mortality.</w:t>
      </w:r>
    </w:p>
    <w:p w14:paraId="49E6AE13" w14:textId="77777777" w:rsidR="00C37D18" w:rsidRDefault="00C37D18" w:rsidP="00C37D18">
      <w:pPr>
        <w:rPr>
          <w:lang w:val="en-AU"/>
        </w:rPr>
      </w:pPr>
    </w:p>
    <w:p w14:paraId="5FE7E6F5" w14:textId="3A42065D" w:rsidR="00204CC3" w:rsidRDefault="00C37D18" w:rsidP="009D6740">
      <w:pPr>
        <w:pStyle w:val="Heading3"/>
      </w:pPr>
      <w:r>
        <w:t>Modelling impact on survival</w:t>
      </w:r>
      <w:r w:rsidR="00983621">
        <w:t>,</w:t>
      </w:r>
      <w:r w:rsidR="0088448A">
        <w:t xml:space="preserve"> of changes in medicines availability</w:t>
      </w:r>
      <w:r>
        <w:t xml:space="preserve"> </w:t>
      </w:r>
    </w:p>
    <w:p w14:paraId="38BE5129" w14:textId="77777777" w:rsidR="009D6740" w:rsidRDefault="009D6740" w:rsidP="002C21FB">
      <w:pPr>
        <w:rPr>
          <w:spacing w:val="-2"/>
          <w:szCs w:val="22"/>
          <w:lang w:val="en-AU"/>
        </w:rPr>
      </w:pPr>
      <w:r>
        <w:rPr>
          <w:lang w:val="en-AU"/>
        </w:rPr>
        <w:t xml:space="preserve">As noted, the contribution to improved survival rests on increased medicines availability being used to provide life-saving interventions. </w:t>
      </w:r>
      <w:r w:rsidR="002C21FB" w:rsidRPr="00C34E16">
        <w:rPr>
          <w:spacing w:val="-2"/>
          <w:szCs w:val="22"/>
        </w:rPr>
        <w:t xml:space="preserve">The medicines usage data </w:t>
      </w:r>
      <w:r>
        <w:rPr>
          <w:spacing w:val="-2"/>
          <w:szCs w:val="22"/>
        </w:rPr>
        <w:t xml:space="preserve">in our survey </w:t>
      </w:r>
      <w:r w:rsidR="002C21FB" w:rsidRPr="00C34E16">
        <w:rPr>
          <w:spacing w:val="-2"/>
          <w:szCs w:val="22"/>
        </w:rPr>
        <w:t>indicate that</w:t>
      </w:r>
      <w:r w:rsidR="002C21FB">
        <w:rPr>
          <w:spacing w:val="-2"/>
          <w:szCs w:val="22"/>
        </w:rPr>
        <w:t xml:space="preserve"> much of</w:t>
      </w:r>
      <w:r w:rsidR="002C21FB" w:rsidRPr="00C34E16">
        <w:rPr>
          <w:spacing w:val="-2"/>
          <w:szCs w:val="22"/>
        </w:rPr>
        <w:t xml:space="preserve"> the supplementary kit contents have been a good fit for the disease profile in PNG, noting that most reports of non-usage of kit medicines related to issues of staff training or authorization, and </w:t>
      </w:r>
      <w:r w:rsidR="002C21FB" w:rsidRPr="00C34E16">
        <w:rPr>
          <w:spacing w:val="-2"/>
          <w:szCs w:val="22"/>
          <w:lang w:val="en-AU"/>
        </w:rPr>
        <w:t xml:space="preserve">that most medical supplies are being used to manage conditions of population health importance. </w:t>
      </w:r>
    </w:p>
    <w:p w14:paraId="3D4667C7" w14:textId="77777777" w:rsidR="009D6740" w:rsidRDefault="009D6740" w:rsidP="002C21FB">
      <w:pPr>
        <w:rPr>
          <w:spacing w:val="-2"/>
          <w:szCs w:val="22"/>
          <w:lang w:val="en-AU"/>
        </w:rPr>
      </w:pPr>
    </w:p>
    <w:p w14:paraId="2CB7C406" w14:textId="1B0A237C" w:rsidR="001922EE" w:rsidRDefault="009D6740" w:rsidP="002C21FB">
      <w:pPr>
        <w:rPr>
          <w:spacing w:val="-2"/>
          <w:szCs w:val="22"/>
          <w:lang w:val="en-AU"/>
        </w:rPr>
      </w:pPr>
      <w:r>
        <w:rPr>
          <w:spacing w:val="-2"/>
          <w:szCs w:val="22"/>
          <w:lang w:val="en-AU"/>
        </w:rPr>
        <w:t>We have also demonstrated a plausible increase in availability of essential medicines supported by the supplementary ‘push’ programs, such as amoxicillin (see Section 5.1)</w:t>
      </w:r>
      <w:r w:rsidR="001922EE">
        <w:rPr>
          <w:spacing w:val="-2"/>
          <w:szCs w:val="22"/>
          <w:lang w:val="en-AU"/>
        </w:rPr>
        <w:t>.</w:t>
      </w:r>
      <w:r>
        <w:rPr>
          <w:spacing w:val="-2"/>
          <w:szCs w:val="22"/>
          <w:lang w:val="en-AU"/>
        </w:rPr>
        <w:t xml:space="preserve"> </w:t>
      </w:r>
      <w:r w:rsidR="001922EE">
        <w:rPr>
          <w:spacing w:val="-2"/>
          <w:szCs w:val="22"/>
          <w:lang w:val="en-AU"/>
        </w:rPr>
        <w:t xml:space="preserve">When combining this </w:t>
      </w:r>
      <w:r w:rsidR="002C21FB" w:rsidRPr="00C34E16">
        <w:rPr>
          <w:spacing w:val="-2"/>
          <w:szCs w:val="22"/>
          <w:lang w:val="en-AU"/>
        </w:rPr>
        <w:t>increase in availability with our usage data</w:t>
      </w:r>
      <w:r w:rsidR="001922EE">
        <w:rPr>
          <w:spacing w:val="-2"/>
          <w:szCs w:val="22"/>
          <w:lang w:val="en-AU"/>
        </w:rPr>
        <w:t>, it is reasonable to assume that</w:t>
      </w:r>
      <w:r w:rsidR="002C21FB" w:rsidRPr="00C34E16">
        <w:rPr>
          <w:spacing w:val="-2"/>
          <w:szCs w:val="22"/>
          <w:lang w:val="en-AU"/>
        </w:rPr>
        <w:t xml:space="preserve"> </w:t>
      </w:r>
      <w:r w:rsidR="001922EE">
        <w:rPr>
          <w:spacing w:val="-2"/>
          <w:szCs w:val="22"/>
          <w:lang w:val="en-AU"/>
        </w:rPr>
        <w:t xml:space="preserve">this enables an increase in coverage with interventions that make use of these medicines. This is especially the case </w:t>
      </w:r>
      <w:r w:rsidR="009A4B24">
        <w:rPr>
          <w:spacing w:val="-2"/>
          <w:szCs w:val="22"/>
          <w:lang w:val="en-AU"/>
        </w:rPr>
        <w:t>in a</w:t>
      </w:r>
      <w:r w:rsidR="001922EE">
        <w:rPr>
          <w:spacing w:val="-2"/>
          <w:szCs w:val="22"/>
          <w:lang w:val="en-AU"/>
        </w:rPr>
        <w:t xml:space="preserve"> setting where frequent stock-outs had compromised services in the recent past, as demonstrated in our qualitative findings.</w:t>
      </w:r>
      <w:r w:rsidR="009A4B24">
        <w:rPr>
          <w:spacing w:val="-2"/>
          <w:szCs w:val="22"/>
          <w:lang w:val="en-AU"/>
        </w:rPr>
        <w:t xml:space="preserve"> Hypothetical increases in intervention coverage can</w:t>
      </w:r>
      <w:r w:rsidR="00E05CBF">
        <w:rPr>
          <w:spacing w:val="-2"/>
          <w:szCs w:val="22"/>
          <w:lang w:val="en-AU"/>
        </w:rPr>
        <w:t xml:space="preserve"> be used in WHO-approved standard modelling tools to estimate the impact on mortality; in this case the Spectrum software incorporating the Lives Saved Tool (</w:t>
      </w:r>
      <w:proofErr w:type="spellStart"/>
      <w:r w:rsidR="00E05CBF">
        <w:rPr>
          <w:spacing w:val="-2"/>
          <w:szCs w:val="22"/>
          <w:lang w:val="en-AU"/>
        </w:rPr>
        <w:t>LiST</w:t>
      </w:r>
      <w:proofErr w:type="spellEnd"/>
      <w:r w:rsidR="00E05CBF">
        <w:rPr>
          <w:rStyle w:val="FootnoteReference"/>
          <w:spacing w:val="-2"/>
          <w:szCs w:val="22"/>
          <w:lang w:val="en-AU"/>
        </w:rPr>
        <w:footnoteReference w:id="35"/>
      </w:r>
      <w:r w:rsidR="00E05CBF">
        <w:rPr>
          <w:spacing w:val="-2"/>
          <w:szCs w:val="22"/>
          <w:lang w:val="en-AU"/>
        </w:rPr>
        <w:t xml:space="preserve">).  </w:t>
      </w:r>
      <w:proofErr w:type="spellStart"/>
      <w:r w:rsidR="00E05CBF">
        <w:rPr>
          <w:spacing w:val="-2"/>
          <w:szCs w:val="22"/>
          <w:lang w:val="en-AU"/>
        </w:rPr>
        <w:t>LiST</w:t>
      </w:r>
      <w:proofErr w:type="spellEnd"/>
      <w:r w:rsidR="00E05CBF">
        <w:rPr>
          <w:spacing w:val="-2"/>
          <w:szCs w:val="22"/>
          <w:lang w:val="en-AU"/>
        </w:rPr>
        <w:t xml:space="preserve"> draws on international multi-country analyses of disease burden and efficacy of interventions</w:t>
      </w:r>
      <w:r w:rsidR="00E05CBF">
        <w:rPr>
          <w:spacing w:val="-2"/>
          <w:szCs w:val="22"/>
          <w:lang w:val="en-AU"/>
        </w:rPr>
        <w:fldChar w:fldCharType="begin"/>
      </w:r>
      <w:r w:rsidR="00E05CBF">
        <w:rPr>
          <w:spacing w:val="-2"/>
          <w:szCs w:val="22"/>
          <w:lang w:val="en-AU"/>
        </w:rPr>
        <w:instrText xml:space="preserve"> ADDIN EN.CITE &lt;EndNote&gt;&lt;Cite&gt;&lt;Author&gt;Boschi-Pinto C&lt;/Author&gt;&lt;Year&gt;2010&lt;/Year&gt;&lt;RecNum&gt;60&lt;/RecNum&gt;&lt;DisplayText&gt;[12, 13]&lt;/DisplayText&gt;&lt;record&gt;&lt;rec-number&gt;60&lt;/rec-number&gt;&lt;foreign-keys&gt;&lt;key app="EN" db-id="ex5s0vddkzxdfhese5yvf5vke2ree5azrt5t"&gt;60&lt;/key&gt;&lt;/foreign-keys&gt;&lt;ref-type name="Journal Article"&gt;17&lt;/ref-type&gt;&lt;contributors&gt;&lt;authors&gt;&lt;author&gt;Boschi-Pinto C, Young M, Black RE&lt;/author&gt;&lt;/authors&gt;&lt;/contributors&gt;&lt;titles&gt;&lt;title&gt;The Child Health Epidemiology Reference Group reviews of the effectiveness of interventions to reduce maternal, neonatal and child mortality.&lt;/title&gt;&lt;secondary-title&gt;International Journal of Epidemiology&lt;/secondary-title&gt;&lt;/titles&gt;&lt;periodical&gt;&lt;full-title&gt;International Journal of Epidemiology&lt;/full-title&gt;&lt;/periodical&gt;&lt;pages&gt;i3-6&lt;/pages&gt;&lt;volume&gt;39(Suppl 1)&lt;/volume&gt;&lt;dates&gt;&lt;year&gt;2010&lt;/year&gt;&lt;/dates&gt;&lt;urls&gt;&lt;/urls&gt;&lt;/record&gt;&lt;/Cite&gt;&lt;Cite&gt;&lt;Author&gt;Walker N&lt;/Author&gt;&lt;Year&gt;2010&lt;/Year&gt;&lt;RecNum&gt;61&lt;/RecNum&gt;&lt;record&gt;&lt;rec-number&gt;61&lt;/rec-number&gt;&lt;foreign-keys&gt;&lt;key app="EN" db-id="ex5s0vddkzxdfhese5yvf5vke2ree5azrt5t"&gt;61&lt;/key&gt;&lt;/foreign-keys&gt;&lt;ref-type name="Journal Article"&gt;17&lt;/ref-type&gt;&lt;contributors&gt;&lt;authors&gt;&lt;author&gt;Walker N, F.-W. C, Bryce J, Bahl R, Cousens S&lt;/author&gt;&lt;/authors&gt;&lt;/contributors&gt;&lt;titles&gt;&lt;title&gt;Standards for CHERG Reviews of Intervention Effects on Child Survival.&lt;/title&gt;&lt;secondary-title&gt;International Journal of Epidemiology &lt;/secondary-title&gt;&lt;/titles&gt;&lt;periodical&gt;&lt;full-title&gt;International Journal of Epidemiology&lt;/full-title&gt;&lt;/periodical&gt;&lt;pages&gt;i21-31&lt;/pages&gt;&lt;number&gt;39(suppl 1)&lt;/number&gt;&lt;dates&gt;&lt;year&gt;2010&lt;/year&gt;&lt;/dates&gt;&lt;urls&gt;&lt;/urls&gt;&lt;/record&gt;&lt;/Cite&gt;&lt;/EndNote&gt;</w:instrText>
      </w:r>
      <w:r w:rsidR="00E05CBF">
        <w:rPr>
          <w:spacing w:val="-2"/>
          <w:szCs w:val="22"/>
          <w:lang w:val="en-AU"/>
        </w:rPr>
        <w:fldChar w:fldCharType="separate"/>
      </w:r>
      <w:r w:rsidR="00E05CBF">
        <w:rPr>
          <w:noProof/>
          <w:spacing w:val="-2"/>
          <w:szCs w:val="22"/>
          <w:lang w:val="en-AU"/>
        </w:rPr>
        <w:t>[</w:t>
      </w:r>
      <w:hyperlink w:anchor="_ENREF_12" w:tooltip="Boschi-Pinto C, 2010 #60" w:history="1">
        <w:r w:rsidR="00E62392">
          <w:rPr>
            <w:noProof/>
            <w:spacing w:val="-2"/>
            <w:szCs w:val="22"/>
            <w:lang w:val="en-AU"/>
          </w:rPr>
          <w:t>12</w:t>
        </w:r>
      </w:hyperlink>
      <w:r w:rsidR="00E05CBF">
        <w:rPr>
          <w:noProof/>
          <w:spacing w:val="-2"/>
          <w:szCs w:val="22"/>
          <w:lang w:val="en-AU"/>
        </w:rPr>
        <w:t xml:space="preserve">, </w:t>
      </w:r>
      <w:hyperlink w:anchor="_ENREF_13" w:tooltip="Walker N, 2010 #61" w:history="1">
        <w:r w:rsidR="00E62392">
          <w:rPr>
            <w:noProof/>
            <w:spacing w:val="-2"/>
            <w:szCs w:val="22"/>
            <w:lang w:val="en-AU"/>
          </w:rPr>
          <w:t>13</w:t>
        </w:r>
      </w:hyperlink>
      <w:r w:rsidR="00E05CBF">
        <w:rPr>
          <w:noProof/>
          <w:spacing w:val="-2"/>
          <w:szCs w:val="22"/>
          <w:lang w:val="en-AU"/>
        </w:rPr>
        <w:t>]</w:t>
      </w:r>
      <w:r w:rsidR="00E05CBF">
        <w:rPr>
          <w:spacing w:val="-2"/>
          <w:szCs w:val="22"/>
          <w:lang w:val="en-AU"/>
        </w:rPr>
        <w:fldChar w:fldCharType="end"/>
      </w:r>
      <w:r w:rsidR="00E05CBF">
        <w:rPr>
          <w:spacing w:val="-2"/>
          <w:szCs w:val="22"/>
          <w:lang w:val="en-AU"/>
        </w:rPr>
        <w:t>, tailored to individual countries, including PNG, to enable such modelling.</w:t>
      </w:r>
    </w:p>
    <w:p w14:paraId="7BC02A0C" w14:textId="77777777" w:rsidR="001922EE" w:rsidRDefault="001922EE" w:rsidP="002C21FB">
      <w:pPr>
        <w:rPr>
          <w:spacing w:val="-2"/>
          <w:szCs w:val="22"/>
          <w:lang w:val="en-AU"/>
        </w:rPr>
      </w:pPr>
    </w:p>
    <w:p w14:paraId="3ED1C5ED" w14:textId="51C5315F" w:rsidR="00E05CBF" w:rsidRDefault="001922EE" w:rsidP="002C21FB">
      <w:pPr>
        <w:rPr>
          <w:spacing w:val="-2"/>
          <w:szCs w:val="22"/>
          <w:lang w:val="en-AU"/>
        </w:rPr>
      </w:pPr>
      <w:r>
        <w:rPr>
          <w:spacing w:val="-2"/>
          <w:szCs w:val="22"/>
          <w:lang w:val="en-AU"/>
        </w:rPr>
        <w:t>To illustrate this modelling we examined just one use of amoxicillin, for case management of childhood pneumonia.  Our data in Section 5 suggest a halving of stock-outs in amoxicill</w:t>
      </w:r>
      <w:r w:rsidR="00E05CBF">
        <w:rPr>
          <w:spacing w:val="-2"/>
          <w:szCs w:val="22"/>
          <w:lang w:val="en-AU"/>
        </w:rPr>
        <w:t xml:space="preserve">in over the past three </w:t>
      </w:r>
      <w:r w:rsidR="00E05CBF">
        <w:rPr>
          <w:spacing w:val="-2"/>
          <w:szCs w:val="22"/>
          <w:lang w:val="en-AU"/>
        </w:rPr>
        <w:lastRenderedPageBreak/>
        <w:t>years.  As tabled below, i</w:t>
      </w:r>
      <w:r>
        <w:rPr>
          <w:spacing w:val="-2"/>
          <w:szCs w:val="22"/>
          <w:lang w:val="en-AU"/>
        </w:rPr>
        <w:t xml:space="preserve">f we postulate that this </w:t>
      </w:r>
      <w:r w:rsidR="00436966">
        <w:rPr>
          <w:spacing w:val="-2"/>
          <w:szCs w:val="22"/>
          <w:lang w:val="en-AU"/>
        </w:rPr>
        <w:t xml:space="preserve">corresponds with a 20% increase in coverage with case management for pneumonia over the period from 2010 </w:t>
      </w:r>
      <w:r w:rsidR="00E05CBF">
        <w:rPr>
          <w:spacing w:val="-2"/>
          <w:szCs w:val="22"/>
          <w:lang w:val="en-AU"/>
        </w:rPr>
        <w:t>to 2013, then this equates to an additional 416 child (under-</w:t>
      </w:r>
      <w:r w:rsidR="002B64DD">
        <w:rPr>
          <w:spacing w:val="-2"/>
          <w:szCs w:val="22"/>
          <w:lang w:val="en-AU"/>
        </w:rPr>
        <w:t>five</w:t>
      </w:r>
      <w:r w:rsidR="00E05CBF">
        <w:rPr>
          <w:spacing w:val="-2"/>
          <w:szCs w:val="22"/>
          <w:lang w:val="en-AU"/>
        </w:rPr>
        <w:t xml:space="preserve"> years) deaths averted, compared to the base case with no increase in coverage of pneumonia case management.</w:t>
      </w:r>
      <w:r w:rsidR="005D1121">
        <w:rPr>
          <w:spacing w:val="-2"/>
          <w:szCs w:val="22"/>
          <w:lang w:val="en-AU"/>
        </w:rPr>
        <w:t xml:space="preserve">  It is important to note the various assumptions: that increased availability does translate to increased case management, and that the </w:t>
      </w:r>
      <w:proofErr w:type="spellStart"/>
      <w:r w:rsidR="005D1121">
        <w:rPr>
          <w:spacing w:val="-2"/>
          <w:szCs w:val="22"/>
          <w:lang w:val="en-AU"/>
        </w:rPr>
        <w:t>LiST</w:t>
      </w:r>
      <w:proofErr w:type="spellEnd"/>
      <w:r w:rsidR="005D1121">
        <w:rPr>
          <w:spacing w:val="-2"/>
          <w:szCs w:val="22"/>
          <w:lang w:val="en-AU"/>
        </w:rPr>
        <w:t xml:space="preserve"> estimates of disease burden and intervention efficacy are accurate for PNG.</w:t>
      </w:r>
    </w:p>
    <w:p w14:paraId="55F66F99" w14:textId="77777777" w:rsidR="005D1121" w:rsidRDefault="005D1121" w:rsidP="002C21FB">
      <w:pPr>
        <w:rPr>
          <w:spacing w:val="-2"/>
          <w:szCs w:val="22"/>
          <w:lang w:val="en-AU"/>
        </w:rPr>
      </w:pPr>
    </w:p>
    <w:p w14:paraId="5702AFDB" w14:textId="1547A624" w:rsidR="00E05CBF" w:rsidRPr="00AB034F" w:rsidRDefault="000C5E19" w:rsidP="002C21FB">
      <w:pPr>
        <w:rPr>
          <w:b/>
          <w:spacing w:val="-2"/>
          <w:szCs w:val="22"/>
          <w:lang w:val="en-AU"/>
        </w:rPr>
      </w:pPr>
      <w:r>
        <w:rPr>
          <w:b/>
          <w:spacing w:val="-2"/>
          <w:szCs w:val="22"/>
          <w:lang w:val="en-AU"/>
        </w:rPr>
        <w:t>Table 21</w:t>
      </w:r>
      <w:r w:rsidR="0076139E">
        <w:rPr>
          <w:b/>
          <w:spacing w:val="-2"/>
          <w:szCs w:val="22"/>
          <w:lang w:val="en-AU"/>
        </w:rPr>
        <w:t xml:space="preserve">: </w:t>
      </w:r>
      <w:proofErr w:type="spellStart"/>
      <w:r w:rsidR="0076139E">
        <w:rPr>
          <w:b/>
          <w:spacing w:val="-2"/>
          <w:szCs w:val="22"/>
          <w:lang w:val="en-AU"/>
        </w:rPr>
        <w:t>LiST</w:t>
      </w:r>
      <w:proofErr w:type="spellEnd"/>
      <w:r w:rsidR="0076139E">
        <w:rPr>
          <w:b/>
          <w:spacing w:val="-2"/>
          <w:szCs w:val="22"/>
          <w:lang w:val="en-AU"/>
        </w:rPr>
        <w:t xml:space="preserve"> modelling </w:t>
      </w:r>
      <w:r w:rsidR="00AB034F">
        <w:rPr>
          <w:b/>
          <w:spacing w:val="-2"/>
          <w:szCs w:val="22"/>
          <w:lang w:val="en-AU"/>
        </w:rPr>
        <w:t xml:space="preserve">of child deaths averted through increased coverage with pneumonia </w:t>
      </w:r>
      <w:r w:rsidR="00E31BB9">
        <w:rPr>
          <w:b/>
          <w:spacing w:val="-2"/>
          <w:szCs w:val="22"/>
          <w:lang w:val="en-AU"/>
        </w:rPr>
        <w:t xml:space="preserve">case </w:t>
      </w:r>
      <w:r w:rsidR="00AB034F">
        <w:rPr>
          <w:b/>
          <w:spacing w:val="-2"/>
          <w:szCs w:val="22"/>
          <w:lang w:val="en-AU"/>
        </w:rPr>
        <w:t>management</w:t>
      </w:r>
    </w:p>
    <w:tbl>
      <w:tblPr>
        <w:tblStyle w:val="TableGrid"/>
        <w:tblW w:w="0" w:type="auto"/>
        <w:tblLook w:val="04A0" w:firstRow="1" w:lastRow="0" w:firstColumn="1" w:lastColumn="0" w:noHBand="0" w:noVBand="1"/>
      </w:tblPr>
      <w:tblGrid>
        <w:gridCol w:w="1526"/>
        <w:gridCol w:w="2170"/>
        <w:gridCol w:w="1848"/>
        <w:gridCol w:w="1849"/>
        <w:gridCol w:w="1849"/>
      </w:tblGrid>
      <w:tr w:rsidR="00AB034F" w:rsidRPr="008D11AA" w14:paraId="1A9F7A4C" w14:textId="77777777" w:rsidTr="00E31BB9">
        <w:trPr>
          <w:trHeight w:val="429"/>
        </w:trPr>
        <w:tc>
          <w:tcPr>
            <w:tcW w:w="1526" w:type="dxa"/>
            <w:vMerge w:val="restart"/>
            <w:vAlign w:val="center"/>
          </w:tcPr>
          <w:p w14:paraId="2B3111AF" w14:textId="77777777" w:rsidR="00AB034F" w:rsidRPr="00AB034F" w:rsidRDefault="00AB034F" w:rsidP="00AB034F">
            <w:pPr>
              <w:jc w:val="center"/>
              <w:rPr>
                <w:spacing w:val="-2"/>
                <w:sz w:val="22"/>
                <w:szCs w:val="22"/>
                <w:lang w:val="en-AU"/>
              </w:rPr>
            </w:pPr>
          </w:p>
        </w:tc>
        <w:tc>
          <w:tcPr>
            <w:tcW w:w="7716" w:type="dxa"/>
            <w:gridSpan w:val="4"/>
            <w:vAlign w:val="center"/>
          </w:tcPr>
          <w:p w14:paraId="39E829FC" w14:textId="49C5EDDB" w:rsidR="00AB034F" w:rsidRPr="00AB034F" w:rsidRDefault="00AB034F" w:rsidP="00AB034F">
            <w:pPr>
              <w:jc w:val="center"/>
              <w:rPr>
                <w:spacing w:val="-2"/>
                <w:sz w:val="22"/>
                <w:szCs w:val="22"/>
                <w:lang w:val="en-AU"/>
              </w:rPr>
            </w:pPr>
            <w:r w:rsidRPr="00AB034F">
              <w:rPr>
                <w:spacing w:val="-2"/>
                <w:sz w:val="22"/>
                <w:szCs w:val="22"/>
                <w:lang w:val="en-AU"/>
              </w:rPr>
              <w:t>Additional child (under 5) deaths averted, relative to the baseline year (cumulative)</w:t>
            </w:r>
          </w:p>
        </w:tc>
      </w:tr>
      <w:tr w:rsidR="00AB034F" w:rsidRPr="008D11AA" w14:paraId="17517370" w14:textId="77777777" w:rsidTr="00E31BB9">
        <w:tc>
          <w:tcPr>
            <w:tcW w:w="1526" w:type="dxa"/>
            <w:vMerge/>
            <w:vAlign w:val="center"/>
          </w:tcPr>
          <w:p w14:paraId="73236F9A" w14:textId="77777777" w:rsidR="00AB034F" w:rsidRPr="00AB034F" w:rsidRDefault="00AB034F" w:rsidP="00AB034F">
            <w:pPr>
              <w:jc w:val="center"/>
              <w:rPr>
                <w:spacing w:val="-2"/>
                <w:sz w:val="22"/>
                <w:szCs w:val="22"/>
                <w:lang w:val="en-AU"/>
              </w:rPr>
            </w:pPr>
          </w:p>
        </w:tc>
        <w:tc>
          <w:tcPr>
            <w:tcW w:w="4018" w:type="dxa"/>
            <w:gridSpan w:val="2"/>
            <w:vAlign w:val="center"/>
          </w:tcPr>
          <w:p w14:paraId="308F49B6" w14:textId="2DFA3472" w:rsidR="00AB034F" w:rsidRPr="00AB034F" w:rsidRDefault="00AB034F" w:rsidP="00AB034F">
            <w:pPr>
              <w:jc w:val="center"/>
              <w:rPr>
                <w:spacing w:val="-2"/>
                <w:sz w:val="22"/>
                <w:szCs w:val="22"/>
                <w:lang w:val="en-AU"/>
              </w:rPr>
            </w:pPr>
            <w:r w:rsidRPr="00AB034F">
              <w:rPr>
                <w:spacing w:val="-2"/>
                <w:sz w:val="22"/>
                <w:szCs w:val="22"/>
                <w:lang w:val="en-AU"/>
              </w:rPr>
              <w:t>Medicines availability leads to 20% increase in case management coverage</w:t>
            </w:r>
          </w:p>
        </w:tc>
        <w:tc>
          <w:tcPr>
            <w:tcW w:w="3698" w:type="dxa"/>
            <w:gridSpan w:val="2"/>
            <w:vAlign w:val="center"/>
          </w:tcPr>
          <w:p w14:paraId="4C348EA7" w14:textId="4562351E" w:rsidR="00AB034F" w:rsidRPr="00AB034F" w:rsidRDefault="00AB034F" w:rsidP="00AB034F">
            <w:pPr>
              <w:jc w:val="center"/>
              <w:rPr>
                <w:spacing w:val="-2"/>
                <w:sz w:val="22"/>
                <w:szCs w:val="22"/>
                <w:lang w:val="en-AU"/>
              </w:rPr>
            </w:pPr>
            <w:r w:rsidRPr="00AB034F">
              <w:rPr>
                <w:spacing w:val="-2"/>
                <w:sz w:val="22"/>
                <w:szCs w:val="22"/>
                <w:lang w:val="en-AU"/>
              </w:rPr>
              <w:t>Base case: no change in medicines availability</w:t>
            </w:r>
          </w:p>
        </w:tc>
      </w:tr>
      <w:tr w:rsidR="007B27CA" w:rsidRPr="008D11AA" w14:paraId="1648749C" w14:textId="77777777" w:rsidTr="00E31BB9">
        <w:tc>
          <w:tcPr>
            <w:tcW w:w="1526" w:type="dxa"/>
            <w:vAlign w:val="center"/>
          </w:tcPr>
          <w:p w14:paraId="2AC65034" w14:textId="27AD83C8" w:rsidR="007B27CA" w:rsidRPr="00AB034F" w:rsidRDefault="00AB034F" w:rsidP="00AB034F">
            <w:pPr>
              <w:jc w:val="center"/>
              <w:rPr>
                <w:spacing w:val="-2"/>
                <w:sz w:val="22"/>
                <w:szCs w:val="22"/>
                <w:lang w:val="en-AU"/>
              </w:rPr>
            </w:pPr>
            <w:r w:rsidRPr="00AB034F">
              <w:rPr>
                <w:spacing w:val="-2"/>
                <w:sz w:val="22"/>
                <w:szCs w:val="22"/>
                <w:lang w:val="en-AU"/>
              </w:rPr>
              <w:t>Year</w:t>
            </w:r>
          </w:p>
        </w:tc>
        <w:tc>
          <w:tcPr>
            <w:tcW w:w="2170" w:type="dxa"/>
            <w:vAlign w:val="center"/>
          </w:tcPr>
          <w:p w14:paraId="14FF9D6E" w14:textId="5900EBD5" w:rsidR="007B27CA" w:rsidRPr="00AB034F" w:rsidRDefault="00AB034F" w:rsidP="00AB034F">
            <w:pPr>
              <w:jc w:val="center"/>
              <w:rPr>
                <w:spacing w:val="-2"/>
                <w:sz w:val="22"/>
                <w:szCs w:val="22"/>
                <w:lang w:val="en-AU"/>
              </w:rPr>
            </w:pPr>
            <w:r w:rsidRPr="00AB034F">
              <w:rPr>
                <w:spacing w:val="-2"/>
                <w:sz w:val="22"/>
                <w:szCs w:val="22"/>
                <w:lang w:val="en-AU"/>
              </w:rPr>
              <w:t>All child deaths averted</w:t>
            </w:r>
          </w:p>
        </w:tc>
        <w:tc>
          <w:tcPr>
            <w:tcW w:w="1848" w:type="dxa"/>
            <w:vAlign w:val="center"/>
          </w:tcPr>
          <w:p w14:paraId="2D4743D4" w14:textId="4CDCDA9D" w:rsidR="007B27CA" w:rsidRPr="00AB034F" w:rsidRDefault="00AB034F" w:rsidP="00AB034F">
            <w:pPr>
              <w:jc w:val="center"/>
              <w:rPr>
                <w:spacing w:val="-2"/>
                <w:sz w:val="22"/>
                <w:szCs w:val="22"/>
                <w:lang w:val="en-AU"/>
              </w:rPr>
            </w:pPr>
            <w:r w:rsidRPr="00AB034F">
              <w:rPr>
                <w:spacing w:val="-2"/>
                <w:sz w:val="22"/>
                <w:szCs w:val="22"/>
                <w:lang w:val="en-AU"/>
              </w:rPr>
              <w:t>Newborn deaths averted</w:t>
            </w:r>
          </w:p>
        </w:tc>
        <w:tc>
          <w:tcPr>
            <w:tcW w:w="1849" w:type="dxa"/>
            <w:vAlign w:val="center"/>
          </w:tcPr>
          <w:p w14:paraId="2201DEB4" w14:textId="05E21218" w:rsidR="007B27CA" w:rsidRPr="00AB034F" w:rsidRDefault="00AB034F" w:rsidP="00AB034F">
            <w:pPr>
              <w:jc w:val="center"/>
              <w:rPr>
                <w:spacing w:val="-2"/>
                <w:sz w:val="22"/>
                <w:szCs w:val="22"/>
                <w:lang w:val="en-AU"/>
              </w:rPr>
            </w:pPr>
            <w:r w:rsidRPr="00AB034F">
              <w:rPr>
                <w:spacing w:val="-2"/>
                <w:sz w:val="22"/>
                <w:szCs w:val="22"/>
                <w:lang w:val="en-AU"/>
              </w:rPr>
              <w:t>All child deaths averted</w:t>
            </w:r>
          </w:p>
        </w:tc>
        <w:tc>
          <w:tcPr>
            <w:tcW w:w="1849" w:type="dxa"/>
            <w:vAlign w:val="center"/>
          </w:tcPr>
          <w:p w14:paraId="3CC96C31" w14:textId="4FBBA634" w:rsidR="007B27CA" w:rsidRPr="00AB034F" w:rsidRDefault="00AB034F" w:rsidP="00AB034F">
            <w:pPr>
              <w:jc w:val="center"/>
              <w:rPr>
                <w:spacing w:val="-2"/>
                <w:sz w:val="22"/>
                <w:szCs w:val="22"/>
                <w:lang w:val="en-AU"/>
              </w:rPr>
            </w:pPr>
            <w:r w:rsidRPr="00AB034F">
              <w:rPr>
                <w:spacing w:val="-2"/>
                <w:sz w:val="22"/>
                <w:szCs w:val="22"/>
                <w:lang w:val="en-AU"/>
              </w:rPr>
              <w:t>Newborn deaths averted</w:t>
            </w:r>
          </w:p>
        </w:tc>
      </w:tr>
      <w:tr w:rsidR="007B27CA" w:rsidRPr="008D11AA" w14:paraId="15516C09" w14:textId="77777777" w:rsidTr="00E31BB9">
        <w:tc>
          <w:tcPr>
            <w:tcW w:w="1526" w:type="dxa"/>
            <w:vAlign w:val="center"/>
          </w:tcPr>
          <w:p w14:paraId="74AE5238" w14:textId="6CE40BAE" w:rsidR="007B27CA" w:rsidRPr="00AB034F" w:rsidRDefault="00AB034F" w:rsidP="00AB034F">
            <w:pPr>
              <w:jc w:val="center"/>
              <w:rPr>
                <w:spacing w:val="-2"/>
                <w:sz w:val="22"/>
                <w:szCs w:val="22"/>
                <w:lang w:val="en-AU"/>
              </w:rPr>
            </w:pPr>
            <w:r w:rsidRPr="00AB034F">
              <w:rPr>
                <w:spacing w:val="-2"/>
                <w:sz w:val="22"/>
                <w:szCs w:val="22"/>
                <w:lang w:val="en-AU"/>
              </w:rPr>
              <w:t>2010</w:t>
            </w:r>
          </w:p>
        </w:tc>
        <w:tc>
          <w:tcPr>
            <w:tcW w:w="2170" w:type="dxa"/>
            <w:vAlign w:val="center"/>
          </w:tcPr>
          <w:p w14:paraId="5E952E78" w14:textId="07754623" w:rsidR="007B27CA" w:rsidRPr="00AB034F" w:rsidRDefault="00AB034F" w:rsidP="00AB034F">
            <w:pPr>
              <w:jc w:val="center"/>
              <w:rPr>
                <w:spacing w:val="-2"/>
                <w:sz w:val="22"/>
                <w:szCs w:val="22"/>
                <w:lang w:val="en-AU"/>
              </w:rPr>
            </w:pPr>
            <w:r w:rsidRPr="00AB034F">
              <w:rPr>
                <w:spacing w:val="-2"/>
                <w:sz w:val="22"/>
                <w:szCs w:val="22"/>
                <w:lang w:val="en-AU"/>
              </w:rPr>
              <w:t>0</w:t>
            </w:r>
          </w:p>
        </w:tc>
        <w:tc>
          <w:tcPr>
            <w:tcW w:w="1848" w:type="dxa"/>
            <w:vAlign w:val="center"/>
          </w:tcPr>
          <w:p w14:paraId="1C24A2D0" w14:textId="3910582D" w:rsidR="007B27CA" w:rsidRPr="00AB034F" w:rsidRDefault="00AB034F" w:rsidP="00AB034F">
            <w:pPr>
              <w:jc w:val="center"/>
              <w:rPr>
                <w:spacing w:val="-2"/>
                <w:sz w:val="22"/>
                <w:szCs w:val="22"/>
                <w:lang w:val="en-AU"/>
              </w:rPr>
            </w:pPr>
            <w:r w:rsidRPr="00AB034F">
              <w:rPr>
                <w:spacing w:val="-2"/>
                <w:sz w:val="22"/>
                <w:szCs w:val="22"/>
                <w:lang w:val="en-AU"/>
              </w:rPr>
              <w:t>0</w:t>
            </w:r>
          </w:p>
        </w:tc>
        <w:tc>
          <w:tcPr>
            <w:tcW w:w="1849" w:type="dxa"/>
            <w:vAlign w:val="center"/>
          </w:tcPr>
          <w:p w14:paraId="4486CAA5" w14:textId="43137750" w:rsidR="007B27CA" w:rsidRPr="00AB034F" w:rsidRDefault="00AB034F" w:rsidP="00AB034F">
            <w:pPr>
              <w:jc w:val="center"/>
              <w:rPr>
                <w:spacing w:val="-2"/>
                <w:sz w:val="22"/>
                <w:szCs w:val="22"/>
                <w:lang w:val="en-AU"/>
              </w:rPr>
            </w:pPr>
            <w:r w:rsidRPr="00AB034F">
              <w:rPr>
                <w:spacing w:val="-2"/>
                <w:sz w:val="22"/>
                <w:szCs w:val="22"/>
                <w:lang w:val="en-AU"/>
              </w:rPr>
              <w:t>0</w:t>
            </w:r>
          </w:p>
        </w:tc>
        <w:tc>
          <w:tcPr>
            <w:tcW w:w="1849" w:type="dxa"/>
            <w:vAlign w:val="center"/>
          </w:tcPr>
          <w:p w14:paraId="021907EB" w14:textId="5CD4FE0B" w:rsidR="007B27CA" w:rsidRPr="00AB034F" w:rsidRDefault="00AB034F" w:rsidP="00AB034F">
            <w:pPr>
              <w:jc w:val="center"/>
              <w:rPr>
                <w:spacing w:val="-2"/>
                <w:sz w:val="22"/>
                <w:szCs w:val="22"/>
                <w:lang w:val="en-AU"/>
              </w:rPr>
            </w:pPr>
            <w:r w:rsidRPr="00AB034F">
              <w:rPr>
                <w:spacing w:val="-2"/>
                <w:sz w:val="22"/>
                <w:szCs w:val="22"/>
                <w:lang w:val="en-AU"/>
              </w:rPr>
              <w:t>0</w:t>
            </w:r>
          </w:p>
        </w:tc>
      </w:tr>
      <w:tr w:rsidR="00AB034F" w:rsidRPr="008D11AA" w14:paraId="7F1B8693" w14:textId="77777777" w:rsidTr="00E31BB9">
        <w:tc>
          <w:tcPr>
            <w:tcW w:w="1526" w:type="dxa"/>
            <w:vAlign w:val="center"/>
          </w:tcPr>
          <w:p w14:paraId="6FAA4872" w14:textId="03A0F68B" w:rsidR="00AB034F" w:rsidRPr="00AB034F" w:rsidRDefault="00AB034F" w:rsidP="00AB034F">
            <w:pPr>
              <w:jc w:val="center"/>
              <w:rPr>
                <w:spacing w:val="-2"/>
                <w:sz w:val="22"/>
                <w:szCs w:val="22"/>
                <w:lang w:val="en-AU"/>
              </w:rPr>
            </w:pPr>
            <w:r w:rsidRPr="00AB034F">
              <w:rPr>
                <w:spacing w:val="-2"/>
                <w:sz w:val="22"/>
                <w:szCs w:val="22"/>
                <w:lang w:val="en-AU"/>
              </w:rPr>
              <w:t>2011</w:t>
            </w:r>
          </w:p>
        </w:tc>
        <w:tc>
          <w:tcPr>
            <w:tcW w:w="2170" w:type="dxa"/>
            <w:vAlign w:val="center"/>
          </w:tcPr>
          <w:p w14:paraId="72AA3093" w14:textId="56E5302C" w:rsidR="00AB034F" w:rsidRPr="00AB034F" w:rsidRDefault="00AB034F" w:rsidP="00AB034F">
            <w:pPr>
              <w:jc w:val="center"/>
              <w:rPr>
                <w:spacing w:val="-2"/>
                <w:sz w:val="22"/>
                <w:szCs w:val="22"/>
                <w:lang w:val="en-AU"/>
              </w:rPr>
            </w:pPr>
            <w:r w:rsidRPr="00AB034F">
              <w:rPr>
                <w:color w:val="000000"/>
                <w:sz w:val="22"/>
                <w:szCs w:val="22"/>
              </w:rPr>
              <w:t>225</w:t>
            </w:r>
          </w:p>
        </w:tc>
        <w:tc>
          <w:tcPr>
            <w:tcW w:w="1848" w:type="dxa"/>
            <w:vAlign w:val="center"/>
          </w:tcPr>
          <w:p w14:paraId="06167EA7" w14:textId="3175EEB6" w:rsidR="00AB034F" w:rsidRPr="00AB034F" w:rsidRDefault="00AB034F" w:rsidP="00AB034F">
            <w:pPr>
              <w:jc w:val="center"/>
              <w:rPr>
                <w:spacing w:val="-2"/>
                <w:sz w:val="22"/>
                <w:szCs w:val="22"/>
                <w:lang w:val="en-AU"/>
              </w:rPr>
            </w:pPr>
            <w:r w:rsidRPr="00AB034F">
              <w:rPr>
                <w:color w:val="000000"/>
                <w:sz w:val="22"/>
                <w:szCs w:val="22"/>
              </w:rPr>
              <w:t>0</w:t>
            </w:r>
          </w:p>
        </w:tc>
        <w:tc>
          <w:tcPr>
            <w:tcW w:w="1849" w:type="dxa"/>
            <w:vAlign w:val="center"/>
          </w:tcPr>
          <w:p w14:paraId="28057AE7" w14:textId="14539715" w:rsidR="00AB034F" w:rsidRPr="00AB034F" w:rsidRDefault="00AB034F" w:rsidP="00AB034F">
            <w:pPr>
              <w:jc w:val="center"/>
              <w:rPr>
                <w:spacing w:val="-2"/>
                <w:sz w:val="22"/>
                <w:szCs w:val="22"/>
                <w:lang w:val="en-AU"/>
              </w:rPr>
            </w:pPr>
            <w:r w:rsidRPr="00AB034F">
              <w:rPr>
                <w:color w:val="000000"/>
                <w:sz w:val="22"/>
                <w:szCs w:val="22"/>
              </w:rPr>
              <w:t>88</w:t>
            </w:r>
          </w:p>
        </w:tc>
        <w:tc>
          <w:tcPr>
            <w:tcW w:w="1849" w:type="dxa"/>
            <w:vAlign w:val="center"/>
          </w:tcPr>
          <w:p w14:paraId="7548A62A" w14:textId="65D7C7BC" w:rsidR="00AB034F" w:rsidRPr="00AB034F" w:rsidRDefault="00AB034F" w:rsidP="00AB034F">
            <w:pPr>
              <w:jc w:val="center"/>
              <w:rPr>
                <w:spacing w:val="-2"/>
                <w:sz w:val="22"/>
                <w:szCs w:val="22"/>
                <w:lang w:val="en-AU"/>
              </w:rPr>
            </w:pPr>
            <w:r w:rsidRPr="00AB034F">
              <w:rPr>
                <w:color w:val="000000"/>
                <w:sz w:val="22"/>
                <w:szCs w:val="22"/>
              </w:rPr>
              <w:t>0</w:t>
            </w:r>
          </w:p>
        </w:tc>
      </w:tr>
      <w:tr w:rsidR="00AB034F" w:rsidRPr="008D11AA" w14:paraId="6B1CD81E" w14:textId="77777777" w:rsidTr="00E31BB9">
        <w:tc>
          <w:tcPr>
            <w:tcW w:w="1526" w:type="dxa"/>
            <w:vAlign w:val="center"/>
          </w:tcPr>
          <w:p w14:paraId="5E06B634" w14:textId="511EEE5D" w:rsidR="00AB034F" w:rsidRPr="00AB034F" w:rsidRDefault="00AB034F" w:rsidP="00AB034F">
            <w:pPr>
              <w:jc w:val="center"/>
              <w:rPr>
                <w:spacing w:val="-2"/>
                <w:sz w:val="22"/>
                <w:szCs w:val="22"/>
                <w:lang w:val="en-AU"/>
              </w:rPr>
            </w:pPr>
            <w:r w:rsidRPr="00AB034F">
              <w:rPr>
                <w:spacing w:val="-2"/>
                <w:sz w:val="22"/>
                <w:szCs w:val="22"/>
                <w:lang w:val="en-AU"/>
              </w:rPr>
              <w:t>2012</w:t>
            </w:r>
          </w:p>
        </w:tc>
        <w:tc>
          <w:tcPr>
            <w:tcW w:w="2170" w:type="dxa"/>
            <w:vAlign w:val="center"/>
          </w:tcPr>
          <w:p w14:paraId="4288CC05" w14:textId="22165F99" w:rsidR="00AB034F" w:rsidRPr="00AB034F" w:rsidRDefault="00AB034F" w:rsidP="00AB034F">
            <w:pPr>
              <w:jc w:val="center"/>
              <w:rPr>
                <w:spacing w:val="-2"/>
                <w:sz w:val="22"/>
                <w:szCs w:val="22"/>
                <w:lang w:val="en-AU"/>
              </w:rPr>
            </w:pPr>
            <w:r w:rsidRPr="00AB034F">
              <w:rPr>
                <w:color w:val="000000"/>
                <w:sz w:val="22"/>
                <w:szCs w:val="22"/>
              </w:rPr>
              <w:t>462</w:t>
            </w:r>
          </w:p>
        </w:tc>
        <w:tc>
          <w:tcPr>
            <w:tcW w:w="1848" w:type="dxa"/>
            <w:vAlign w:val="center"/>
          </w:tcPr>
          <w:p w14:paraId="1507C192" w14:textId="4F5E446D" w:rsidR="00AB034F" w:rsidRPr="00AB034F" w:rsidRDefault="00AB034F" w:rsidP="00AB034F">
            <w:pPr>
              <w:jc w:val="center"/>
              <w:rPr>
                <w:spacing w:val="-2"/>
                <w:sz w:val="22"/>
                <w:szCs w:val="22"/>
                <w:lang w:val="en-AU"/>
              </w:rPr>
            </w:pPr>
            <w:r w:rsidRPr="00AB034F">
              <w:rPr>
                <w:color w:val="000000"/>
                <w:sz w:val="22"/>
                <w:szCs w:val="22"/>
              </w:rPr>
              <w:t>46</w:t>
            </w:r>
          </w:p>
        </w:tc>
        <w:tc>
          <w:tcPr>
            <w:tcW w:w="1849" w:type="dxa"/>
            <w:vAlign w:val="center"/>
          </w:tcPr>
          <w:p w14:paraId="6599CB23" w14:textId="6E73ED40" w:rsidR="00AB034F" w:rsidRPr="00AB034F" w:rsidRDefault="00AB034F" w:rsidP="00AB034F">
            <w:pPr>
              <w:jc w:val="center"/>
              <w:rPr>
                <w:spacing w:val="-2"/>
                <w:sz w:val="22"/>
                <w:szCs w:val="22"/>
                <w:lang w:val="en-AU"/>
              </w:rPr>
            </w:pPr>
            <w:r w:rsidRPr="00AB034F">
              <w:rPr>
                <w:color w:val="000000"/>
                <w:sz w:val="22"/>
                <w:szCs w:val="22"/>
              </w:rPr>
              <w:t>188</w:t>
            </w:r>
          </w:p>
        </w:tc>
        <w:tc>
          <w:tcPr>
            <w:tcW w:w="1849" w:type="dxa"/>
            <w:vAlign w:val="center"/>
          </w:tcPr>
          <w:p w14:paraId="5812FA65" w14:textId="7061A06A" w:rsidR="00AB034F" w:rsidRPr="00AB034F" w:rsidRDefault="00AB034F" w:rsidP="00AB034F">
            <w:pPr>
              <w:jc w:val="center"/>
              <w:rPr>
                <w:spacing w:val="-2"/>
                <w:sz w:val="22"/>
                <w:szCs w:val="22"/>
                <w:lang w:val="en-AU"/>
              </w:rPr>
            </w:pPr>
            <w:r w:rsidRPr="00AB034F">
              <w:rPr>
                <w:color w:val="000000"/>
                <w:sz w:val="22"/>
                <w:szCs w:val="22"/>
              </w:rPr>
              <w:t>48</w:t>
            </w:r>
          </w:p>
        </w:tc>
      </w:tr>
      <w:tr w:rsidR="00AB034F" w:rsidRPr="008D11AA" w14:paraId="4DBB7609" w14:textId="77777777" w:rsidTr="00E31BB9">
        <w:tc>
          <w:tcPr>
            <w:tcW w:w="1526" w:type="dxa"/>
            <w:vAlign w:val="center"/>
          </w:tcPr>
          <w:p w14:paraId="4C9BF886" w14:textId="2AAB44A5" w:rsidR="00AB034F" w:rsidRPr="00AB034F" w:rsidRDefault="00AB034F" w:rsidP="00AB034F">
            <w:pPr>
              <w:jc w:val="center"/>
              <w:rPr>
                <w:spacing w:val="-2"/>
                <w:sz w:val="22"/>
                <w:szCs w:val="22"/>
                <w:lang w:val="en-AU"/>
              </w:rPr>
            </w:pPr>
            <w:r w:rsidRPr="00AB034F">
              <w:rPr>
                <w:spacing w:val="-2"/>
                <w:sz w:val="22"/>
                <w:szCs w:val="22"/>
                <w:lang w:val="en-AU"/>
              </w:rPr>
              <w:t>2013</w:t>
            </w:r>
          </w:p>
        </w:tc>
        <w:tc>
          <w:tcPr>
            <w:tcW w:w="2170" w:type="dxa"/>
            <w:vAlign w:val="center"/>
          </w:tcPr>
          <w:p w14:paraId="169A0FD0" w14:textId="6C53FF90" w:rsidR="00AB034F" w:rsidRPr="00AB034F" w:rsidRDefault="00AB034F" w:rsidP="00AB034F">
            <w:pPr>
              <w:jc w:val="center"/>
              <w:rPr>
                <w:spacing w:val="-2"/>
                <w:sz w:val="22"/>
                <w:szCs w:val="22"/>
                <w:lang w:val="en-AU"/>
              </w:rPr>
            </w:pPr>
            <w:r w:rsidRPr="00AB034F">
              <w:rPr>
                <w:color w:val="000000"/>
                <w:sz w:val="22"/>
                <w:szCs w:val="22"/>
              </w:rPr>
              <w:t>616</w:t>
            </w:r>
          </w:p>
        </w:tc>
        <w:tc>
          <w:tcPr>
            <w:tcW w:w="1848" w:type="dxa"/>
            <w:vAlign w:val="center"/>
          </w:tcPr>
          <w:p w14:paraId="2F5D5DF4" w14:textId="6D80174B" w:rsidR="00AB034F" w:rsidRPr="00AB034F" w:rsidRDefault="00AB034F" w:rsidP="00AB034F">
            <w:pPr>
              <w:jc w:val="center"/>
              <w:rPr>
                <w:spacing w:val="-2"/>
                <w:sz w:val="22"/>
                <w:szCs w:val="22"/>
                <w:lang w:val="en-AU"/>
              </w:rPr>
            </w:pPr>
            <w:r w:rsidRPr="00AB034F">
              <w:rPr>
                <w:color w:val="000000"/>
                <w:sz w:val="22"/>
                <w:szCs w:val="22"/>
              </w:rPr>
              <w:t>46</w:t>
            </w:r>
          </w:p>
        </w:tc>
        <w:tc>
          <w:tcPr>
            <w:tcW w:w="1849" w:type="dxa"/>
            <w:vAlign w:val="center"/>
          </w:tcPr>
          <w:p w14:paraId="2BEA26BE" w14:textId="660A8C4F" w:rsidR="00AB034F" w:rsidRPr="00AB034F" w:rsidRDefault="00AB034F" w:rsidP="00AB034F">
            <w:pPr>
              <w:jc w:val="center"/>
              <w:rPr>
                <w:spacing w:val="-2"/>
                <w:sz w:val="22"/>
                <w:szCs w:val="22"/>
                <w:lang w:val="en-AU"/>
              </w:rPr>
            </w:pPr>
            <w:r w:rsidRPr="00AB034F">
              <w:rPr>
                <w:color w:val="000000"/>
                <w:sz w:val="22"/>
                <w:szCs w:val="22"/>
              </w:rPr>
              <w:t>200</w:t>
            </w:r>
          </w:p>
        </w:tc>
        <w:tc>
          <w:tcPr>
            <w:tcW w:w="1849" w:type="dxa"/>
            <w:vAlign w:val="center"/>
          </w:tcPr>
          <w:p w14:paraId="50DD1D57" w14:textId="3DB59A7A" w:rsidR="00AB034F" w:rsidRPr="00AB034F" w:rsidRDefault="00AB034F" w:rsidP="00AB034F">
            <w:pPr>
              <w:jc w:val="center"/>
              <w:rPr>
                <w:spacing w:val="-2"/>
                <w:sz w:val="22"/>
                <w:szCs w:val="22"/>
                <w:lang w:val="en-AU"/>
              </w:rPr>
            </w:pPr>
            <w:r w:rsidRPr="00AB034F">
              <w:rPr>
                <w:color w:val="000000"/>
                <w:sz w:val="22"/>
                <w:szCs w:val="22"/>
              </w:rPr>
              <w:t>47</w:t>
            </w:r>
          </w:p>
        </w:tc>
      </w:tr>
    </w:tbl>
    <w:p w14:paraId="399AC17A" w14:textId="7AF403BF" w:rsidR="00436966" w:rsidRDefault="00436966" w:rsidP="002C21FB">
      <w:pPr>
        <w:rPr>
          <w:spacing w:val="-2"/>
          <w:szCs w:val="22"/>
          <w:lang w:val="en-AU"/>
        </w:rPr>
      </w:pPr>
    </w:p>
    <w:p w14:paraId="585999FB" w14:textId="42787AD7" w:rsidR="001922EE" w:rsidRDefault="00F55B42" w:rsidP="002C21FB">
      <w:pPr>
        <w:rPr>
          <w:spacing w:val="-2"/>
          <w:szCs w:val="22"/>
          <w:lang w:val="en-AU"/>
        </w:rPr>
      </w:pPr>
      <w:r>
        <w:rPr>
          <w:spacing w:val="-2"/>
          <w:szCs w:val="22"/>
          <w:lang w:val="en-AU"/>
        </w:rPr>
        <w:t xml:space="preserve">The </w:t>
      </w:r>
      <w:proofErr w:type="spellStart"/>
      <w:r>
        <w:rPr>
          <w:spacing w:val="-2"/>
          <w:szCs w:val="22"/>
          <w:lang w:val="en-AU"/>
        </w:rPr>
        <w:t>LiST</w:t>
      </w:r>
      <w:proofErr w:type="spellEnd"/>
      <w:r>
        <w:rPr>
          <w:spacing w:val="-2"/>
          <w:szCs w:val="22"/>
          <w:lang w:val="en-AU"/>
        </w:rPr>
        <w:t xml:space="preserve"> </w:t>
      </w:r>
      <w:proofErr w:type="gramStart"/>
      <w:r>
        <w:rPr>
          <w:spacing w:val="-2"/>
          <w:szCs w:val="22"/>
          <w:lang w:val="en-AU"/>
        </w:rPr>
        <w:t>tool</w:t>
      </w:r>
      <w:r w:rsidR="00F10301">
        <w:rPr>
          <w:spacing w:val="-2"/>
          <w:szCs w:val="22"/>
          <w:lang w:val="en-AU"/>
        </w:rPr>
        <w:t>, and other modules within the Spectrum software such as for family planning,</w:t>
      </w:r>
      <w:r>
        <w:rPr>
          <w:spacing w:val="-2"/>
          <w:szCs w:val="22"/>
          <w:lang w:val="en-AU"/>
        </w:rPr>
        <w:t xml:space="preserve"> </w:t>
      </w:r>
      <w:r w:rsidR="00F10301">
        <w:rPr>
          <w:spacing w:val="-2"/>
          <w:szCs w:val="22"/>
          <w:lang w:val="en-AU"/>
        </w:rPr>
        <w:t>are</w:t>
      </w:r>
      <w:proofErr w:type="gramEnd"/>
      <w:r>
        <w:rPr>
          <w:spacing w:val="-2"/>
          <w:szCs w:val="22"/>
          <w:lang w:val="en-AU"/>
        </w:rPr>
        <w:t xml:space="preserve"> modifiable, allowing </w:t>
      </w:r>
      <w:r w:rsidR="00F10301">
        <w:rPr>
          <w:spacing w:val="-2"/>
          <w:szCs w:val="22"/>
          <w:lang w:val="en-AU"/>
        </w:rPr>
        <w:t xml:space="preserve">tailoring to more accurate PNG data when available. They can </w:t>
      </w:r>
      <w:r w:rsidR="00983621">
        <w:rPr>
          <w:spacing w:val="-2"/>
          <w:szCs w:val="22"/>
          <w:lang w:val="en-AU"/>
        </w:rPr>
        <w:t>also give combined estimates of</w:t>
      </w:r>
      <w:r w:rsidR="00F10301">
        <w:rPr>
          <w:spacing w:val="-2"/>
          <w:szCs w:val="22"/>
          <w:lang w:val="en-AU"/>
        </w:rPr>
        <w:t xml:space="preserve"> the impact of a large range of interventions</w:t>
      </w:r>
      <w:r w:rsidR="00983621">
        <w:rPr>
          <w:spacing w:val="-2"/>
          <w:szCs w:val="22"/>
          <w:lang w:val="en-AU"/>
        </w:rPr>
        <w:t>. F</w:t>
      </w:r>
      <w:r w:rsidR="00F10301">
        <w:rPr>
          <w:spacing w:val="-2"/>
          <w:szCs w:val="22"/>
          <w:lang w:val="en-AU"/>
        </w:rPr>
        <w:t>or example</w:t>
      </w:r>
      <w:r w:rsidR="00983621">
        <w:rPr>
          <w:spacing w:val="-2"/>
          <w:szCs w:val="22"/>
          <w:lang w:val="en-AU"/>
        </w:rPr>
        <w:t>,</w:t>
      </w:r>
      <w:r w:rsidR="00F10301">
        <w:rPr>
          <w:spacing w:val="-2"/>
          <w:szCs w:val="22"/>
          <w:lang w:val="en-AU"/>
        </w:rPr>
        <w:t xml:space="preserve"> interventions during pregnancy can be adjusted to account for proportion of births taking place in HFs, and proportion with access to varying levels of emergency obstetric care.</w:t>
      </w:r>
    </w:p>
    <w:p w14:paraId="6C97D9E6" w14:textId="77777777" w:rsidR="00F10301" w:rsidRDefault="00F10301" w:rsidP="002C21FB">
      <w:pPr>
        <w:rPr>
          <w:spacing w:val="-2"/>
          <w:szCs w:val="22"/>
          <w:lang w:val="en-AU"/>
        </w:rPr>
      </w:pPr>
    </w:p>
    <w:p w14:paraId="2D1D32B8" w14:textId="6E6E4D7E" w:rsidR="00880294" w:rsidRPr="000620C0" w:rsidRDefault="00880294" w:rsidP="002C21FB">
      <w:pPr>
        <w:rPr>
          <w:spacing w:val="-4"/>
          <w:szCs w:val="22"/>
          <w:lang w:val="en-AU"/>
        </w:rPr>
      </w:pPr>
      <w:proofErr w:type="spellStart"/>
      <w:r w:rsidRPr="000620C0">
        <w:rPr>
          <w:spacing w:val="-4"/>
          <w:szCs w:val="22"/>
          <w:lang w:val="en-AU"/>
        </w:rPr>
        <w:t>LiST</w:t>
      </w:r>
      <w:proofErr w:type="spellEnd"/>
      <w:r w:rsidRPr="000620C0">
        <w:rPr>
          <w:spacing w:val="-4"/>
          <w:szCs w:val="22"/>
          <w:lang w:val="en-AU"/>
        </w:rPr>
        <w:t xml:space="preserve"> and related</w:t>
      </w:r>
      <w:r w:rsidR="00F10301" w:rsidRPr="000620C0">
        <w:rPr>
          <w:spacing w:val="-4"/>
          <w:szCs w:val="22"/>
          <w:lang w:val="en-AU"/>
        </w:rPr>
        <w:t xml:space="preserve"> tools are often combined with modelling of health-system bottlenecks to provide more comprehensive and accurate pictures of mortality impact. Bottle-neck modelling</w:t>
      </w:r>
      <w:r w:rsidR="00983621">
        <w:rPr>
          <w:spacing w:val="-4"/>
          <w:szCs w:val="22"/>
          <w:lang w:val="en-AU"/>
        </w:rPr>
        <w:t xml:space="preserve"> </w:t>
      </w:r>
      <w:r w:rsidR="00F10301" w:rsidRPr="000620C0">
        <w:rPr>
          <w:spacing w:val="-4"/>
          <w:szCs w:val="22"/>
          <w:lang w:val="en-AU"/>
        </w:rPr>
        <w:t xml:space="preserve">allows planners to estimate what proportion of low coverage with pneumonia case management is due to non-availability of medicines, what proportion is due to lack of trained staff, what proportion is due to inaccessible facilities, and what proportion due to low utilization by the community.  </w:t>
      </w:r>
      <w:r w:rsidR="00843003" w:rsidRPr="000620C0">
        <w:rPr>
          <w:spacing w:val="-4"/>
          <w:szCs w:val="22"/>
          <w:lang w:val="en-AU"/>
        </w:rPr>
        <w:t xml:space="preserve">Established methods </w:t>
      </w:r>
      <w:r w:rsidRPr="000620C0">
        <w:rPr>
          <w:spacing w:val="-4"/>
          <w:szCs w:val="22"/>
          <w:lang w:val="en-AU"/>
        </w:rPr>
        <w:t>for this are well described and have been used in many countries</w:t>
      </w:r>
      <w:r w:rsidR="00E55D05">
        <w:rPr>
          <w:spacing w:val="-4"/>
          <w:szCs w:val="22"/>
          <w:lang w:val="en-AU"/>
        </w:rPr>
        <w:fldChar w:fldCharType="begin"/>
      </w:r>
      <w:r w:rsidR="00E55D05">
        <w:rPr>
          <w:spacing w:val="-4"/>
          <w:szCs w:val="22"/>
          <w:lang w:val="en-AU"/>
        </w:rPr>
        <w:instrText xml:space="preserve"> ADDIN EN.CITE &lt;EndNote&gt;&lt;Cite&gt;&lt;Author&gt;Rudan I&lt;/Author&gt;&lt;Year&gt;2010&lt;/Year&gt;&lt;RecNum&gt;62&lt;/RecNum&gt;&lt;DisplayText&gt;[14]&lt;/DisplayText&gt;&lt;record&gt;&lt;rec-number&gt;62&lt;/rec-number&gt;&lt;foreign-keys&gt;&lt;key app="EN" db-id="ex5s0vddkzxdfhese5yvf5vke2ree5azrt5t"&gt;62&lt;/key&gt;&lt;/foreign-keys&gt;&lt;ref-type name="Journal Article"&gt;17&lt;/ref-type&gt;&lt;contributors&gt;&lt;authors&gt;&lt;author&gt;Rudan I, Kapiriri L, Tomlinson M, Balliet M, Cohen B, et al.&lt;/author&gt;&lt;/authors&gt;&lt;/contributors&gt;&lt;titles&gt;&lt;title&gt;Evidence-Based Priority Setting for Health Care and Research: Tools to Support Policy in Maternal, Neonatal, and Child Health in Africa.&lt;/title&gt;&lt;secondary-title&gt;PLoS Med.&lt;/secondary-title&gt;&lt;/titles&gt;&lt;periodical&gt;&lt;full-title&gt;PLoS Med.&lt;/full-title&gt;&lt;/periodical&gt;&lt;pages&gt;e1000308&lt;/pages&gt;&lt;number&gt;7(7)&lt;/number&gt;&lt;dates&gt;&lt;year&gt;2010&lt;/year&gt;&lt;/dates&gt;&lt;urls&gt;&lt;/urls&gt;&lt;electronic-resource-num&gt;doi:10.1371/journal.pmed.1000308&lt;/electronic-resource-num&gt;&lt;/record&gt;&lt;/Cite&gt;&lt;/EndNote&gt;</w:instrText>
      </w:r>
      <w:r w:rsidR="00E55D05">
        <w:rPr>
          <w:spacing w:val="-4"/>
          <w:szCs w:val="22"/>
          <w:lang w:val="en-AU"/>
        </w:rPr>
        <w:fldChar w:fldCharType="separate"/>
      </w:r>
      <w:r w:rsidR="00E55D05">
        <w:rPr>
          <w:noProof/>
          <w:spacing w:val="-4"/>
          <w:szCs w:val="22"/>
          <w:lang w:val="en-AU"/>
        </w:rPr>
        <w:t>[</w:t>
      </w:r>
      <w:hyperlink w:anchor="_ENREF_14" w:tooltip="Rudan I, 2010 #62" w:history="1">
        <w:r w:rsidR="00E62392">
          <w:rPr>
            <w:noProof/>
            <w:spacing w:val="-4"/>
            <w:szCs w:val="22"/>
            <w:lang w:val="en-AU"/>
          </w:rPr>
          <w:t>14</w:t>
        </w:r>
      </w:hyperlink>
      <w:r w:rsidR="00E55D05">
        <w:rPr>
          <w:noProof/>
          <w:spacing w:val="-4"/>
          <w:szCs w:val="22"/>
          <w:lang w:val="en-AU"/>
        </w:rPr>
        <w:t>]</w:t>
      </w:r>
      <w:r w:rsidR="00E55D05">
        <w:rPr>
          <w:spacing w:val="-4"/>
          <w:szCs w:val="22"/>
          <w:lang w:val="en-AU"/>
        </w:rPr>
        <w:fldChar w:fldCharType="end"/>
      </w:r>
      <w:r w:rsidRPr="000620C0">
        <w:rPr>
          <w:spacing w:val="-4"/>
          <w:szCs w:val="22"/>
          <w:lang w:val="en-AU"/>
        </w:rPr>
        <w:t xml:space="preserve">, but not yet in PNG.  </w:t>
      </w:r>
    </w:p>
    <w:p w14:paraId="3F5B98C4" w14:textId="77777777" w:rsidR="00880294" w:rsidRDefault="00880294" w:rsidP="002C21FB">
      <w:pPr>
        <w:rPr>
          <w:spacing w:val="-2"/>
          <w:szCs w:val="22"/>
          <w:lang w:val="en-AU"/>
        </w:rPr>
      </w:pPr>
    </w:p>
    <w:p w14:paraId="36B0F502" w14:textId="783EF823" w:rsidR="002C21FB" w:rsidRPr="000C5E19" w:rsidRDefault="00880294" w:rsidP="000A7DED">
      <w:pPr>
        <w:rPr>
          <w:szCs w:val="22"/>
          <w:lang w:val="en-AU"/>
        </w:rPr>
      </w:pPr>
      <w:r w:rsidRPr="000C5E19">
        <w:rPr>
          <w:szCs w:val="22"/>
          <w:lang w:val="en-AU"/>
        </w:rPr>
        <w:t xml:space="preserve">The evaluation team strongly recommends making use of the availability data in this report, and that which might be obtained through additional analysis of 2013 NHIS data next year, to characterise the impact on mortality that could be achieved through gains in medical supplies availability. The team are reluctant, however, to undertake this without close partnership and detailed consultation with national government and technical partner stakeholders. This consultation especially needs to focus on the assumptions around the relative importance of different health system bottlenecks and </w:t>
      </w:r>
      <w:r w:rsidR="000620C0" w:rsidRPr="000C5E19">
        <w:rPr>
          <w:szCs w:val="22"/>
          <w:lang w:val="en-AU"/>
        </w:rPr>
        <w:t>the trustworthiness of data being used in the software. This</w:t>
      </w:r>
      <w:r w:rsidRPr="000C5E19">
        <w:rPr>
          <w:szCs w:val="22"/>
          <w:lang w:val="en-AU"/>
        </w:rPr>
        <w:t xml:space="preserve"> is an integral part of the modelling proc</w:t>
      </w:r>
      <w:r w:rsidR="000620C0" w:rsidRPr="000C5E19">
        <w:rPr>
          <w:szCs w:val="22"/>
          <w:lang w:val="en-AU"/>
        </w:rPr>
        <w:t>ess and</w:t>
      </w:r>
      <w:r w:rsidR="00E62392" w:rsidRPr="000C5E19">
        <w:rPr>
          <w:szCs w:val="22"/>
          <w:lang w:val="en-AU"/>
        </w:rPr>
        <w:t xml:space="preserve"> experience elsewhere, conducted with </w:t>
      </w:r>
      <w:r w:rsidR="007439AA">
        <w:rPr>
          <w:szCs w:val="22"/>
          <w:lang w:val="en-AU"/>
        </w:rPr>
        <w:t xml:space="preserve">the </w:t>
      </w:r>
      <w:r w:rsidR="00E62392" w:rsidRPr="000C5E19">
        <w:rPr>
          <w:szCs w:val="22"/>
          <w:lang w:val="en-AU"/>
        </w:rPr>
        <w:t xml:space="preserve">Australian </w:t>
      </w:r>
      <w:r w:rsidR="007439AA">
        <w:rPr>
          <w:szCs w:val="22"/>
          <w:lang w:val="en-AU"/>
        </w:rPr>
        <w:t>Government</w:t>
      </w:r>
      <w:r w:rsidR="007439AA" w:rsidRPr="000C5E19">
        <w:rPr>
          <w:szCs w:val="22"/>
          <w:lang w:val="en-AU"/>
        </w:rPr>
        <w:t xml:space="preserve"> </w:t>
      </w:r>
      <w:r w:rsidR="00E62392" w:rsidRPr="000C5E19">
        <w:rPr>
          <w:szCs w:val="22"/>
          <w:lang w:val="en-AU"/>
        </w:rPr>
        <w:t>and UNICEF support</w:t>
      </w:r>
      <w:r w:rsidR="00E62392" w:rsidRPr="000C5E19">
        <w:rPr>
          <w:szCs w:val="22"/>
          <w:lang w:val="en-AU"/>
        </w:rPr>
        <w:fldChar w:fldCharType="begin"/>
      </w:r>
      <w:r w:rsidR="00E62392" w:rsidRPr="000C5E19">
        <w:rPr>
          <w:szCs w:val="22"/>
          <w:lang w:val="en-AU"/>
        </w:rPr>
        <w:instrText xml:space="preserve"> ADDIN EN.CITE &lt;EndNote&gt;&lt;Cite&gt;&lt;Author&gt;Jimenez Soto E&lt;/Author&gt;&lt;Year&gt;2012&lt;/Year&gt;&lt;RecNum&gt;63&lt;/RecNum&gt;&lt;DisplayText&gt;[15]&lt;/DisplayText&gt;&lt;record&gt;&lt;rec-number&gt;63&lt;/rec-number&gt;&lt;foreign-keys&gt;&lt;key app="EN" db-id="ex5s0vddkzxdfhese5yvf5vke2ree5azrt5t"&gt;63&lt;/key&gt;&lt;/foreign-keys&gt;&lt;ref-type name="Journal Article"&gt;17&lt;/ref-type&gt;&lt;contributors&gt;&lt;authors&gt;&lt;author&gt;Jimenez Soto E, La Vincente S, Clark A, Firth S, Morgan A, et al. &lt;/author&gt;&lt;/authors&gt;&lt;/contributors&gt;&lt;titles&gt;&lt;title&gt;Developing and Costing Local Strategies to Improve Maternal and Child Health: The Investment Case Framework.&lt;/title&gt;&lt;secondary-title&gt;PLoS Med .&lt;/secondary-title&gt;&lt;/titles&gt;&lt;periodical&gt;&lt;full-title&gt;PLoS Med .&lt;/full-title&gt;&lt;/periodical&gt;&lt;pages&gt;e1001282&lt;/pages&gt;&lt;number&gt;9(8)&lt;/number&gt;&lt;dates&gt;&lt;year&gt;2012&lt;/year&gt;&lt;/dates&gt;&lt;urls&gt;&lt;/urls&gt;&lt;electronic-resource-num&gt;doi:10.1371/journal.pmed.1001282 &lt;/electronic-resource-num&gt;&lt;/record&gt;&lt;/Cite&gt;&lt;/EndNote&gt;</w:instrText>
      </w:r>
      <w:r w:rsidR="00E62392" w:rsidRPr="000C5E19">
        <w:rPr>
          <w:szCs w:val="22"/>
          <w:lang w:val="en-AU"/>
        </w:rPr>
        <w:fldChar w:fldCharType="separate"/>
      </w:r>
      <w:r w:rsidR="00E62392" w:rsidRPr="000C5E19">
        <w:rPr>
          <w:noProof/>
          <w:szCs w:val="22"/>
          <w:lang w:val="en-AU"/>
        </w:rPr>
        <w:t>[</w:t>
      </w:r>
      <w:hyperlink w:anchor="_ENREF_15" w:tooltip="Jimenez Soto E, 2012 #63" w:history="1">
        <w:r w:rsidR="00E62392" w:rsidRPr="000C5E19">
          <w:rPr>
            <w:noProof/>
            <w:szCs w:val="22"/>
            <w:lang w:val="en-AU"/>
          </w:rPr>
          <w:t>15</w:t>
        </w:r>
      </w:hyperlink>
      <w:r w:rsidR="00E62392" w:rsidRPr="000C5E19">
        <w:rPr>
          <w:noProof/>
          <w:szCs w:val="22"/>
          <w:lang w:val="en-AU"/>
        </w:rPr>
        <w:t>]</w:t>
      </w:r>
      <w:r w:rsidR="00E62392" w:rsidRPr="000C5E19">
        <w:rPr>
          <w:szCs w:val="22"/>
          <w:lang w:val="en-AU"/>
        </w:rPr>
        <w:fldChar w:fldCharType="end"/>
      </w:r>
      <w:r w:rsidR="00E62392" w:rsidRPr="000C5E19">
        <w:rPr>
          <w:szCs w:val="22"/>
          <w:lang w:val="en-AU"/>
        </w:rPr>
        <w:t>, show it is</w:t>
      </w:r>
      <w:r w:rsidR="000620C0" w:rsidRPr="000C5E19">
        <w:rPr>
          <w:szCs w:val="22"/>
          <w:lang w:val="en-AU"/>
        </w:rPr>
        <w:t xml:space="preserve"> critical to its success.</w:t>
      </w:r>
    </w:p>
    <w:p w14:paraId="6B4562B0" w14:textId="77777777" w:rsidR="00204CC3" w:rsidRPr="00204CC3" w:rsidRDefault="00204CC3" w:rsidP="000A7DED"/>
    <w:p w14:paraId="4DDB3A34" w14:textId="0D5A9421" w:rsidR="00F322D2" w:rsidRDefault="00F322D2" w:rsidP="00495F37">
      <w:pPr>
        <w:pStyle w:val="Heading2"/>
      </w:pPr>
      <w:bookmarkStart w:id="114" w:name="_Toc245810765"/>
      <w:r w:rsidRPr="00E27200">
        <w:t xml:space="preserve">Health services </w:t>
      </w:r>
      <w:r w:rsidR="0089687C">
        <w:t xml:space="preserve">readiness </w:t>
      </w:r>
      <w:r w:rsidR="00216F9A">
        <w:t xml:space="preserve">for EMONC </w:t>
      </w:r>
      <w:r w:rsidR="0089687C">
        <w:t>and potential health impact</w:t>
      </w:r>
      <w:bookmarkEnd w:id="114"/>
    </w:p>
    <w:p w14:paraId="256BD059" w14:textId="3424C019" w:rsidR="00F930D1" w:rsidRDefault="00F930D1" w:rsidP="00F930D1">
      <w:pPr>
        <w:ind w:left="360"/>
      </w:pPr>
      <w:r>
        <w:rPr>
          <w:b/>
          <w:i/>
          <w:lang w:val="en-AU"/>
        </w:rPr>
        <w:t xml:space="preserve">Key finding: </w:t>
      </w:r>
      <w:r>
        <w:rPr>
          <w:i/>
          <w:lang w:val="en-AU"/>
        </w:rPr>
        <w:t>Review of HF EMONC readiness, and of the spectrum of treatments made available through 100% kits, also establishes benchmarks for measurement of future progress in the health system’s capacity to manage important diseases.</w:t>
      </w:r>
    </w:p>
    <w:p w14:paraId="0BA3C93D" w14:textId="77777777" w:rsidR="00F930D1" w:rsidRPr="003374B0" w:rsidRDefault="00F930D1" w:rsidP="000A7DED"/>
    <w:p w14:paraId="3C85A57D" w14:textId="22C244F0" w:rsidR="000A7DED" w:rsidRDefault="00216F9A" w:rsidP="0089687C">
      <w:pPr>
        <w:rPr>
          <w:lang w:val="en-AU"/>
        </w:rPr>
      </w:pPr>
      <w:r>
        <w:rPr>
          <w:lang w:val="en-AU"/>
        </w:rPr>
        <w:t xml:space="preserve">This </w:t>
      </w:r>
      <w:r w:rsidR="00797D81">
        <w:rPr>
          <w:lang w:val="en-AU"/>
        </w:rPr>
        <w:t xml:space="preserve">aspect </w:t>
      </w:r>
      <w:r>
        <w:rPr>
          <w:lang w:val="en-AU"/>
        </w:rPr>
        <w:t xml:space="preserve">of the evaluation was conducted in partnership with a UNFPA/NDOH team also assessing readiness for </w:t>
      </w:r>
      <w:r w:rsidRPr="00613629">
        <w:rPr>
          <w:b/>
          <w:lang w:val="en-AU"/>
        </w:rPr>
        <w:t>emergency obstetric and newborn care</w:t>
      </w:r>
      <w:r>
        <w:rPr>
          <w:lang w:val="en-AU"/>
        </w:rPr>
        <w:t>. That team took responsibility for assessment at provincial hospitals, using a</w:t>
      </w:r>
      <w:r w:rsidR="005229A4">
        <w:rPr>
          <w:lang w:val="en-AU"/>
        </w:rPr>
        <w:t>n</w:t>
      </w:r>
      <w:r>
        <w:rPr>
          <w:lang w:val="en-AU"/>
        </w:rPr>
        <w:t xml:space="preserve"> adapted assessment tool from the WHO Collaborating Program, </w:t>
      </w:r>
      <w:r>
        <w:rPr>
          <w:lang w:val="en-AU"/>
        </w:rPr>
        <w:lastRenderedPageBreak/>
        <w:t xml:space="preserve">Averting Maternal Death and Disability.  </w:t>
      </w:r>
      <w:r w:rsidR="00797D81">
        <w:rPr>
          <w:lang w:val="en-AU"/>
        </w:rPr>
        <w:t xml:space="preserve">Our evaluation </w:t>
      </w:r>
      <w:r w:rsidR="0038539F">
        <w:rPr>
          <w:lang w:val="en-AU"/>
        </w:rPr>
        <w:t>further adapted t</w:t>
      </w:r>
      <w:r>
        <w:rPr>
          <w:lang w:val="en-AU"/>
        </w:rPr>
        <w:t xml:space="preserve">his tool (see Annex </w:t>
      </w:r>
      <w:r w:rsidR="00F00D3A">
        <w:rPr>
          <w:lang w:val="en-AU"/>
        </w:rPr>
        <w:t>1</w:t>
      </w:r>
      <w:r w:rsidR="006A2245">
        <w:rPr>
          <w:lang w:val="en-AU"/>
        </w:rPr>
        <w:t>1</w:t>
      </w:r>
      <w:r>
        <w:rPr>
          <w:lang w:val="en-AU"/>
        </w:rPr>
        <w:t xml:space="preserve">.1) </w:t>
      </w:r>
      <w:r w:rsidR="0038539F">
        <w:rPr>
          <w:lang w:val="en-AU"/>
        </w:rPr>
        <w:t>so we could</w:t>
      </w:r>
      <w:r>
        <w:rPr>
          <w:lang w:val="en-AU"/>
        </w:rPr>
        <w:t xml:space="preserve"> feasibly </w:t>
      </w:r>
      <w:r w:rsidR="0038539F">
        <w:rPr>
          <w:lang w:val="en-AU"/>
        </w:rPr>
        <w:t>apply harmonised measurements at the</w:t>
      </w:r>
      <w:r w:rsidR="00EC5B1A">
        <w:rPr>
          <w:lang w:val="en-AU"/>
        </w:rPr>
        <w:t xml:space="preserve"> HC/AP level</w:t>
      </w:r>
      <w:r w:rsidR="0038539F">
        <w:rPr>
          <w:lang w:val="en-AU"/>
        </w:rPr>
        <w:t xml:space="preserve">.  Our </w:t>
      </w:r>
      <w:r w:rsidR="00EC5B1A">
        <w:rPr>
          <w:lang w:val="en-AU"/>
        </w:rPr>
        <w:t>results will be combined with those obtained by the UNFPA/NDOH team.</w:t>
      </w:r>
      <w:r w:rsidR="009E2E44">
        <w:rPr>
          <w:lang w:val="en-AU"/>
        </w:rPr>
        <w:t xml:space="preserve"> </w:t>
      </w:r>
      <w:r w:rsidR="000A7DED">
        <w:rPr>
          <w:lang w:val="en-AU"/>
        </w:rPr>
        <w:t xml:space="preserve">There is qualitative evidence, observed during survey visits, of the provision of </w:t>
      </w:r>
      <w:r w:rsidR="007439AA">
        <w:rPr>
          <w:lang w:val="en-AU"/>
        </w:rPr>
        <w:t xml:space="preserve">the </w:t>
      </w:r>
      <w:r w:rsidR="000A7DED">
        <w:rPr>
          <w:lang w:val="en-AU"/>
        </w:rPr>
        <w:t xml:space="preserve">Australian </w:t>
      </w:r>
      <w:r w:rsidR="007439AA">
        <w:rPr>
          <w:lang w:val="en-AU"/>
        </w:rPr>
        <w:t xml:space="preserve">Government </w:t>
      </w:r>
      <w:r w:rsidR="000A7DED">
        <w:rPr>
          <w:lang w:val="en-AU"/>
        </w:rPr>
        <w:t>supported EMONC kits to hospitals and HCs, but absence of prior availability data meant we could not quantify this in the same way as for medicines. Thus the main focus of this part of the evaluation was to establish baselines useful to NDOH and development partners.</w:t>
      </w:r>
    </w:p>
    <w:p w14:paraId="71364DDE" w14:textId="77777777" w:rsidR="000A7DED" w:rsidRDefault="000A7DED" w:rsidP="0089687C">
      <w:pPr>
        <w:rPr>
          <w:lang w:val="en-AU"/>
        </w:rPr>
      </w:pPr>
    </w:p>
    <w:p w14:paraId="6DD3458B" w14:textId="0937E546" w:rsidR="0089687C" w:rsidRDefault="00EC5B1A" w:rsidP="0089687C">
      <w:pPr>
        <w:rPr>
          <w:lang w:val="en-AU"/>
        </w:rPr>
      </w:pPr>
      <w:r>
        <w:rPr>
          <w:lang w:val="en-AU"/>
        </w:rPr>
        <w:t>We assess</w:t>
      </w:r>
      <w:r w:rsidR="000A7DED">
        <w:rPr>
          <w:lang w:val="en-AU"/>
        </w:rPr>
        <w:t>ed</w:t>
      </w:r>
      <w:r>
        <w:rPr>
          <w:lang w:val="en-AU"/>
        </w:rPr>
        <w:t xml:space="preserve"> the level of service coverage provided at these facilities. </w:t>
      </w:r>
      <w:r w:rsidR="0089687C" w:rsidRPr="0089687C">
        <w:rPr>
          <w:lang w:val="en-AU"/>
        </w:rPr>
        <w:t xml:space="preserve"> </w:t>
      </w:r>
      <w:r>
        <w:rPr>
          <w:lang w:val="en-AU"/>
        </w:rPr>
        <w:t>A</w:t>
      </w:r>
      <w:r w:rsidR="0089687C" w:rsidRPr="0089687C">
        <w:rPr>
          <w:lang w:val="en-AU"/>
        </w:rPr>
        <w:t xml:space="preserve">mong 71 </w:t>
      </w:r>
      <w:r>
        <w:rPr>
          <w:lang w:val="en-AU"/>
        </w:rPr>
        <w:t xml:space="preserve">sites (38 HC/SCs and 33 APs): </w:t>
      </w:r>
      <w:r w:rsidR="0089687C" w:rsidRPr="0089687C">
        <w:rPr>
          <w:lang w:val="en-AU"/>
        </w:rPr>
        <w:t xml:space="preserve">48% of HC/SC reported </w:t>
      </w:r>
      <w:r>
        <w:rPr>
          <w:lang w:val="en-AU"/>
        </w:rPr>
        <w:t>carrying out some childbirths</w:t>
      </w:r>
      <w:r w:rsidR="0089687C" w:rsidRPr="0089687C">
        <w:rPr>
          <w:lang w:val="en-AU"/>
        </w:rPr>
        <w:t xml:space="preserve"> in the last </w:t>
      </w:r>
      <w:r w:rsidR="00613629">
        <w:rPr>
          <w:lang w:val="en-AU"/>
        </w:rPr>
        <w:t xml:space="preserve">three months, with </w:t>
      </w:r>
      <w:r>
        <w:rPr>
          <w:lang w:val="en-AU"/>
        </w:rPr>
        <w:t xml:space="preserve">half, 24% of total, reporting more than </w:t>
      </w:r>
      <w:r w:rsidR="00613629">
        <w:rPr>
          <w:lang w:val="en-AU"/>
        </w:rPr>
        <w:t>31 childbirths</w:t>
      </w:r>
      <w:r w:rsidR="0089687C" w:rsidRPr="0089687C">
        <w:rPr>
          <w:lang w:val="en-AU"/>
        </w:rPr>
        <w:t xml:space="preserve">. Among APs, 48% </w:t>
      </w:r>
      <w:r w:rsidR="00431156">
        <w:rPr>
          <w:lang w:val="en-AU"/>
        </w:rPr>
        <w:t xml:space="preserve">reported having </w:t>
      </w:r>
      <w:r w:rsidR="0089687C" w:rsidRPr="0089687C">
        <w:rPr>
          <w:lang w:val="en-AU"/>
        </w:rPr>
        <w:t xml:space="preserve">delivered </w:t>
      </w:r>
      <w:r>
        <w:rPr>
          <w:lang w:val="en-AU"/>
        </w:rPr>
        <w:t>some</w:t>
      </w:r>
      <w:r w:rsidR="0089687C" w:rsidRPr="0089687C">
        <w:rPr>
          <w:lang w:val="en-AU"/>
        </w:rPr>
        <w:t xml:space="preserve"> </w:t>
      </w:r>
      <w:proofErr w:type="gramStart"/>
      <w:r w:rsidR="0089687C" w:rsidRPr="0089687C">
        <w:rPr>
          <w:lang w:val="en-AU"/>
        </w:rPr>
        <w:t>childbirths</w:t>
      </w:r>
      <w:proofErr w:type="gramEnd"/>
      <w:r w:rsidR="0089687C" w:rsidRPr="0089687C">
        <w:rPr>
          <w:lang w:val="en-AU"/>
        </w:rPr>
        <w:t xml:space="preserve"> in the last three </w:t>
      </w:r>
      <w:r>
        <w:rPr>
          <w:lang w:val="en-AU"/>
        </w:rPr>
        <w:t>months, of which</w:t>
      </w:r>
      <w:r w:rsidR="0089687C" w:rsidRPr="0089687C">
        <w:rPr>
          <w:lang w:val="en-AU"/>
        </w:rPr>
        <w:t xml:space="preserve"> 3% de</w:t>
      </w:r>
      <w:r w:rsidR="00613629">
        <w:rPr>
          <w:lang w:val="en-AU"/>
        </w:rPr>
        <w:t xml:space="preserve">livered more than </w:t>
      </w:r>
      <w:r w:rsidR="0089687C" w:rsidRPr="0089687C">
        <w:rPr>
          <w:lang w:val="en-AU"/>
        </w:rPr>
        <w:t>31 childbirths.</w:t>
      </w:r>
      <w:r w:rsidR="00613629">
        <w:rPr>
          <w:lang w:val="en-AU"/>
        </w:rPr>
        <w:t xml:space="preserve">  This suggested a relatively low level of activity in supervised delivery at the APs </w:t>
      </w:r>
      <w:r w:rsidR="00431156">
        <w:rPr>
          <w:lang w:val="en-AU"/>
        </w:rPr>
        <w:t xml:space="preserve">that </w:t>
      </w:r>
      <w:r w:rsidR="00613629">
        <w:rPr>
          <w:lang w:val="en-AU"/>
        </w:rPr>
        <w:t>we surveyed.</w:t>
      </w:r>
      <w:r w:rsidR="0089687C" w:rsidRPr="0089687C">
        <w:rPr>
          <w:lang w:val="en-AU"/>
        </w:rPr>
        <w:t xml:space="preserve"> </w:t>
      </w:r>
    </w:p>
    <w:p w14:paraId="5D1FD9EF" w14:textId="77777777" w:rsidR="00216F9A" w:rsidRPr="0089687C" w:rsidRDefault="00216F9A" w:rsidP="0089687C">
      <w:pPr>
        <w:rPr>
          <w:lang w:val="en-AU"/>
        </w:rPr>
      </w:pPr>
    </w:p>
    <w:p w14:paraId="29F88A28" w14:textId="064480AD" w:rsidR="00314BA0" w:rsidRDefault="00613629" w:rsidP="0089687C">
      <w:pPr>
        <w:rPr>
          <w:lang w:val="en-AU"/>
        </w:rPr>
      </w:pPr>
      <w:r>
        <w:rPr>
          <w:lang w:val="en-AU"/>
        </w:rPr>
        <w:t xml:space="preserve">Our survey </w:t>
      </w:r>
      <w:r w:rsidR="000A7DED">
        <w:rPr>
          <w:lang w:val="en-AU"/>
        </w:rPr>
        <w:t xml:space="preserve">aimed </w:t>
      </w:r>
      <w:r>
        <w:rPr>
          <w:lang w:val="en-AU"/>
        </w:rPr>
        <w:t xml:space="preserve">to assess levels of equipment, whether they had been used, and whether staff at the facilities had EMONC skills, regardless of equipment levels. Detailed tables of results for individual items of equipment and individual skills are provided in Annex </w:t>
      </w:r>
      <w:r w:rsidR="00F00D3A">
        <w:rPr>
          <w:lang w:val="en-AU"/>
        </w:rPr>
        <w:t>1</w:t>
      </w:r>
      <w:r w:rsidR="00C94517">
        <w:rPr>
          <w:lang w:val="en-AU"/>
        </w:rPr>
        <w:t>1</w:t>
      </w:r>
      <w:r>
        <w:rPr>
          <w:lang w:val="en-AU"/>
        </w:rPr>
        <w:t>.2.  At A</w:t>
      </w:r>
      <w:r w:rsidR="00C94517">
        <w:rPr>
          <w:lang w:val="en-AU"/>
        </w:rPr>
        <w:t>Ps</w:t>
      </w:r>
      <w:r>
        <w:rPr>
          <w:lang w:val="en-AU"/>
        </w:rPr>
        <w:t>, o</w:t>
      </w:r>
      <w:r w:rsidR="0089687C" w:rsidRPr="0089687C">
        <w:rPr>
          <w:lang w:val="en-AU"/>
        </w:rPr>
        <w:t xml:space="preserve">verall only 6% had the necessary equipment and 42% reported having </w:t>
      </w:r>
      <w:r>
        <w:rPr>
          <w:lang w:val="en-AU"/>
        </w:rPr>
        <w:t xml:space="preserve">some </w:t>
      </w:r>
      <w:r w:rsidR="0089687C" w:rsidRPr="0089687C">
        <w:rPr>
          <w:lang w:val="en-AU"/>
        </w:rPr>
        <w:t>skills</w:t>
      </w:r>
      <w:r>
        <w:rPr>
          <w:lang w:val="en-AU"/>
        </w:rPr>
        <w:t xml:space="preserve"> (but not all skills that comprise basic EMONC)</w:t>
      </w:r>
      <w:r w:rsidR="0089687C" w:rsidRPr="0089687C">
        <w:rPr>
          <w:lang w:val="en-AU"/>
        </w:rPr>
        <w:t xml:space="preserve"> to perform EMONC. Rates were higher in HC/SC where 58% of HC/SC had </w:t>
      </w:r>
      <w:r>
        <w:rPr>
          <w:lang w:val="en-AU"/>
        </w:rPr>
        <w:t>EMONC equipment</w:t>
      </w:r>
      <w:r w:rsidR="0089687C" w:rsidRPr="0089687C">
        <w:rPr>
          <w:lang w:val="en-AU"/>
        </w:rPr>
        <w:t xml:space="preserve"> available and 67% reported having the skills to practice EMONC. </w:t>
      </w:r>
      <w:r w:rsidR="00C94517">
        <w:rPr>
          <w:lang w:val="en-AU"/>
        </w:rPr>
        <w:t xml:space="preserve"> In examining the difference in equipment levels at the HC level, compared with APs, it is worth noting that equipment ‘push’ systems so far have only extended to the HC level.</w:t>
      </w:r>
    </w:p>
    <w:p w14:paraId="3ED8DC53" w14:textId="77777777" w:rsidR="00314BA0" w:rsidRDefault="00314BA0" w:rsidP="0089687C">
      <w:pPr>
        <w:rPr>
          <w:lang w:val="en-AU"/>
        </w:rPr>
      </w:pPr>
    </w:p>
    <w:p w14:paraId="2089340C" w14:textId="77777777" w:rsidR="00314BA0" w:rsidRDefault="0089687C" w:rsidP="0089687C">
      <w:pPr>
        <w:rPr>
          <w:lang w:val="en-AU"/>
        </w:rPr>
      </w:pPr>
      <w:r w:rsidRPr="0089687C">
        <w:rPr>
          <w:lang w:val="en-AU"/>
        </w:rPr>
        <w:t xml:space="preserve">Among HC/SCs the equipment most </w:t>
      </w:r>
      <w:r w:rsidR="00314BA0">
        <w:rPr>
          <w:lang w:val="en-AU"/>
        </w:rPr>
        <w:t xml:space="preserve">often found to be </w:t>
      </w:r>
      <w:r w:rsidRPr="0089687C">
        <w:rPr>
          <w:lang w:val="en-AU"/>
        </w:rPr>
        <w:t>lacking were</w:t>
      </w:r>
      <w:r w:rsidR="00314BA0">
        <w:rPr>
          <w:lang w:val="en-AU"/>
        </w:rPr>
        <w:t xml:space="preserve"> those for:</w:t>
      </w:r>
    </w:p>
    <w:p w14:paraId="4A9E664F" w14:textId="2DF7C9A5" w:rsidR="00314BA0" w:rsidRDefault="0089687C" w:rsidP="00AD3F80">
      <w:pPr>
        <w:pStyle w:val="ListParagraph"/>
        <w:numPr>
          <w:ilvl w:val="0"/>
          <w:numId w:val="28"/>
        </w:numPr>
        <w:rPr>
          <w:lang w:val="en-AU"/>
        </w:rPr>
      </w:pPr>
      <w:r w:rsidRPr="00314BA0">
        <w:rPr>
          <w:lang w:val="en-AU"/>
        </w:rPr>
        <w:t xml:space="preserve">blood </w:t>
      </w:r>
      <w:r w:rsidR="00D30090">
        <w:rPr>
          <w:lang w:val="en-AU"/>
        </w:rPr>
        <w:t>transfusion (79% not available);</w:t>
      </w:r>
    </w:p>
    <w:p w14:paraId="39C7B626" w14:textId="15FF8F31" w:rsidR="00314BA0" w:rsidRDefault="00314BA0" w:rsidP="00AD3F80">
      <w:pPr>
        <w:pStyle w:val="ListParagraph"/>
        <w:numPr>
          <w:ilvl w:val="0"/>
          <w:numId w:val="28"/>
        </w:numPr>
        <w:rPr>
          <w:lang w:val="en-AU"/>
        </w:rPr>
      </w:pPr>
      <w:r>
        <w:rPr>
          <w:lang w:val="en-AU"/>
        </w:rPr>
        <w:t>steroids for use in premature labour (46%)</w:t>
      </w:r>
      <w:r w:rsidR="00D30090">
        <w:rPr>
          <w:lang w:val="en-AU"/>
        </w:rPr>
        <w:t>; and</w:t>
      </w:r>
    </w:p>
    <w:p w14:paraId="3DA3944A" w14:textId="77777777" w:rsidR="009F3013" w:rsidRDefault="0089687C" w:rsidP="00AD3F80">
      <w:pPr>
        <w:pStyle w:val="ListParagraph"/>
        <w:numPr>
          <w:ilvl w:val="0"/>
          <w:numId w:val="28"/>
        </w:numPr>
        <w:rPr>
          <w:lang w:val="en-AU"/>
        </w:rPr>
      </w:pPr>
      <w:proofErr w:type="gramStart"/>
      <w:r w:rsidRPr="00314BA0">
        <w:rPr>
          <w:lang w:val="en-AU"/>
        </w:rPr>
        <w:t>general</w:t>
      </w:r>
      <w:proofErr w:type="gramEnd"/>
      <w:r w:rsidRPr="00314BA0">
        <w:rPr>
          <w:lang w:val="en-AU"/>
        </w:rPr>
        <w:t xml:space="preserve"> anaesthetic </w:t>
      </w:r>
      <w:r w:rsidR="00314BA0">
        <w:rPr>
          <w:lang w:val="en-AU"/>
        </w:rPr>
        <w:t>medicines (</w:t>
      </w:r>
      <w:r w:rsidR="009F3013">
        <w:rPr>
          <w:lang w:val="en-AU"/>
        </w:rPr>
        <w:t>41%)</w:t>
      </w:r>
      <w:r w:rsidRPr="00314BA0">
        <w:rPr>
          <w:lang w:val="en-AU"/>
        </w:rPr>
        <w:t xml:space="preserve">. </w:t>
      </w:r>
    </w:p>
    <w:p w14:paraId="1BBAC393" w14:textId="77777777" w:rsidR="00494FBB" w:rsidRDefault="00494FBB" w:rsidP="009F3013">
      <w:pPr>
        <w:rPr>
          <w:lang w:val="en-AU"/>
        </w:rPr>
      </w:pPr>
    </w:p>
    <w:p w14:paraId="477CB579" w14:textId="77777777" w:rsidR="0089687C" w:rsidRPr="009F3013" w:rsidRDefault="0089687C" w:rsidP="009F3013">
      <w:pPr>
        <w:rPr>
          <w:lang w:val="en-AU"/>
        </w:rPr>
      </w:pPr>
      <w:r w:rsidRPr="009F3013">
        <w:rPr>
          <w:lang w:val="en-AU"/>
        </w:rPr>
        <w:t xml:space="preserve">Note that under current classifications in the EML, ketamine can only be ordered by doctors/HEO and anaesthetic technical officers (ATO) and halothane by doctors/ATOs only. Extending the use of ketamine to HC/SC </w:t>
      </w:r>
      <w:r w:rsidR="009F3013">
        <w:rPr>
          <w:lang w:val="en-AU"/>
        </w:rPr>
        <w:t>may be</w:t>
      </w:r>
      <w:r w:rsidRPr="009F3013">
        <w:rPr>
          <w:lang w:val="en-AU"/>
        </w:rPr>
        <w:t xml:space="preserve"> feasible given 70% of HEO in the survey were at HC/SCs.</w:t>
      </w:r>
    </w:p>
    <w:p w14:paraId="164AAD97" w14:textId="77777777" w:rsidR="00F322D2" w:rsidRPr="00E27200" w:rsidRDefault="00F322D2" w:rsidP="0089687C">
      <w:pPr>
        <w:rPr>
          <w:lang w:val="en-AU"/>
        </w:rPr>
      </w:pPr>
      <w:r w:rsidRPr="00E27200">
        <w:rPr>
          <w:lang w:val="en-AU"/>
        </w:rPr>
        <w:t xml:space="preserve"> </w:t>
      </w:r>
    </w:p>
    <w:p w14:paraId="49F22A09" w14:textId="77777777" w:rsidR="009F3013" w:rsidRDefault="00F322D2" w:rsidP="0089687C">
      <w:pPr>
        <w:rPr>
          <w:lang w:val="en-AU"/>
        </w:rPr>
      </w:pPr>
      <w:r w:rsidRPr="00E27200">
        <w:rPr>
          <w:lang w:val="en-AU"/>
        </w:rPr>
        <w:t xml:space="preserve">Skills </w:t>
      </w:r>
      <w:r w:rsidR="009F3013">
        <w:rPr>
          <w:lang w:val="en-AU"/>
        </w:rPr>
        <w:t xml:space="preserve">most often </w:t>
      </w:r>
      <w:r w:rsidRPr="00E27200">
        <w:rPr>
          <w:lang w:val="en-AU"/>
        </w:rPr>
        <w:t xml:space="preserve">reported as lacking among </w:t>
      </w:r>
      <w:r w:rsidR="00206B06">
        <w:rPr>
          <w:lang w:val="en-AU"/>
        </w:rPr>
        <w:t>HC/SCs related to</w:t>
      </w:r>
      <w:r w:rsidR="009F3013">
        <w:rPr>
          <w:lang w:val="en-AU"/>
        </w:rPr>
        <w:t>:</w:t>
      </w:r>
    </w:p>
    <w:p w14:paraId="6A436D3D" w14:textId="13C7B416" w:rsidR="009F3013" w:rsidRDefault="00206B06" w:rsidP="00AD3F80">
      <w:pPr>
        <w:pStyle w:val="ListParagraph"/>
        <w:numPr>
          <w:ilvl w:val="0"/>
          <w:numId w:val="29"/>
        </w:numPr>
        <w:rPr>
          <w:lang w:val="en-AU"/>
        </w:rPr>
      </w:pPr>
      <w:r w:rsidRPr="009F3013">
        <w:rPr>
          <w:lang w:val="en-AU"/>
        </w:rPr>
        <w:t>caesare</w:t>
      </w:r>
      <w:r w:rsidR="00F322D2" w:rsidRPr="009F3013">
        <w:rPr>
          <w:lang w:val="en-AU"/>
        </w:rPr>
        <w:t xml:space="preserve">an section (18% </w:t>
      </w:r>
      <w:r w:rsidR="00D30090">
        <w:rPr>
          <w:lang w:val="en-AU"/>
        </w:rPr>
        <w:t>reported</w:t>
      </w:r>
      <w:r w:rsidR="00F322D2" w:rsidRPr="009F3013">
        <w:rPr>
          <w:lang w:val="en-AU"/>
        </w:rPr>
        <w:t xml:space="preserve"> this</w:t>
      </w:r>
      <w:r w:rsidR="00D30090">
        <w:rPr>
          <w:lang w:val="en-AU"/>
        </w:rPr>
        <w:t xml:space="preserve"> skill);</w:t>
      </w:r>
      <w:r w:rsidR="00F322D2" w:rsidRPr="009F3013">
        <w:rPr>
          <w:lang w:val="en-AU"/>
        </w:rPr>
        <w:t xml:space="preserve"> </w:t>
      </w:r>
    </w:p>
    <w:p w14:paraId="37C2B26C" w14:textId="6F54718D" w:rsidR="009F3013" w:rsidRDefault="00F322D2" w:rsidP="00AD3F80">
      <w:pPr>
        <w:pStyle w:val="ListParagraph"/>
        <w:numPr>
          <w:ilvl w:val="0"/>
          <w:numId w:val="29"/>
        </w:numPr>
        <w:rPr>
          <w:lang w:val="en-AU"/>
        </w:rPr>
      </w:pPr>
      <w:r w:rsidRPr="009F3013">
        <w:rPr>
          <w:lang w:val="en-AU"/>
        </w:rPr>
        <w:t xml:space="preserve">blood transfusion (36% </w:t>
      </w:r>
      <w:r w:rsidR="00D30090">
        <w:rPr>
          <w:lang w:val="en-AU"/>
        </w:rPr>
        <w:t>reported</w:t>
      </w:r>
      <w:r w:rsidRPr="009F3013">
        <w:rPr>
          <w:lang w:val="en-AU"/>
        </w:rPr>
        <w:t xml:space="preserve"> this skill)</w:t>
      </w:r>
      <w:r w:rsidR="00D30090">
        <w:rPr>
          <w:lang w:val="en-AU"/>
        </w:rPr>
        <w:t>;</w:t>
      </w:r>
      <w:r w:rsidRPr="009F3013">
        <w:rPr>
          <w:lang w:val="en-AU"/>
        </w:rPr>
        <w:t xml:space="preserve"> and </w:t>
      </w:r>
    </w:p>
    <w:p w14:paraId="4343BD57" w14:textId="33736002" w:rsidR="009F3013" w:rsidRPr="009F3013" w:rsidRDefault="00F322D2" w:rsidP="00AD3F80">
      <w:pPr>
        <w:pStyle w:val="ListParagraph"/>
        <w:numPr>
          <w:ilvl w:val="0"/>
          <w:numId w:val="29"/>
        </w:numPr>
        <w:rPr>
          <w:lang w:val="en-AU"/>
        </w:rPr>
      </w:pPr>
      <w:proofErr w:type="gramStart"/>
      <w:r w:rsidRPr="009F3013">
        <w:rPr>
          <w:lang w:val="en-AU"/>
        </w:rPr>
        <w:t>giving</w:t>
      </w:r>
      <w:proofErr w:type="gramEnd"/>
      <w:r w:rsidRPr="009F3013">
        <w:rPr>
          <w:lang w:val="en-AU"/>
        </w:rPr>
        <w:t xml:space="preserve"> </w:t>
      </w:r>
      <w:r w:rsidR="009F3013">
        <w:rPr>
          <w:lang w:val="en-AU"/>
        </w:rPr>
        <w:t>medicines</w:t>
      </w:r>
      <w:r w:rsidRPr="009F3013">
        <w:rPr>
          <w:lang w:val="en-AU"/>
        </w:rPr>
        <w:t xml:space="preserve"> for HIV during delivery (48% </w:t>
      </w:r>
      <w:r w:rsidR="00D30090">
        <w:rPr>
          <w:lang w:val="en-AU"/>
        </w:rPr>
        <w:t>reported</w:t>
      </w:r>
      <w:r w:rsidRPr="009F3013">
        <w:rPr>
          <w:lang w:val="en-AU"/>
        </w:rPr>
        <w:t xml:space="preserve"> this skill). </w:t>
      </w:r>
    </w:p>
    <w:p w14:paraId="18C37FDC" w14:textId="16C401B1" w:rsidR="00F322D2" w:rsidRPr="00E27200" w:rsidRDefault="00F322D2" w:rsidP="0089687C">
      <w:pPr>
        <w:rPr>
          <w:lang w:val="en-AU"/>
        </w:rPr>
      </w:pPr>
      <w:r w:rsidRPr="00E27200">
        <w:rPr>
          <w:lang w:val="en-AU"/>
        </w:rPr>
        <w:t xml:space="preserve">Among APs, currently the </w:t>
      </w:r>
      <w:r w:rsidR="00431156">
        <w:rPr>
          <w:lang w:val="en-AU"/>
        </w:rPr>
        <w:t xml:space="preserve">most frequently reported </w:t>
      </w:r>
      <w:r w:rsidRPr="00E27200">
        <w:rPr>
          <w:lang w:val="en-AU"/>
        </w:rPr>
        <w:t>skills related to active management of third stage</w:t>
      </w:r>
      <w:r w:rsidR="00431156">
        <w:rPr>
          <w:lang w:val="en-AU"/>
        </w:rPr>
        <w:t xml:space="preserve"> of</w:t>
      </w:r>
      <w:r w:rsidRPr="00E27200">
        <w:rPr>
          <w:lang w:val="en-AU"/>
        </w:rPr>
        <w:t xml:space="preserve"> labour (72% </w:t>
      </w:r>
      <w:r w:rsidR="00431156">
        <w:rPr>
          <w:lang w:val="en-AU"/>
        </w:rPr>
        <w:t xml:space="preserve">reported </w:t>
      </w:r>
      <w:r w:rsidRPr="00E27200">
        <w:rPr>
          <w:lang w:val="en-AU"/>
        </w:rPr>
        <w:t xml:space="preserve">this skill) and removal of the placenta (67% </w:t>
      </w:r>
      <w:r w:rsidR="00431156">
        <w:rPr>
          <w:lang w:val="en-AU"/>
        </w:rPr>
        <w:t xml:space="preserve">reported </w:t>
      </w:r>
      <w:r w:rsidRPr="00E27200">
        <w:rPr>
          <w:lang w:val="en-AU"/>
        </w:rPr>
        <w:t xml:space="preserve">this skill). </w:t>
      </w:r>
    </w:p>
    <w:p w14:paraId="1F0CD8D1" w14:textId="77777777" w:rsidR="00F322D2" w:rsidRPr="00E27200" w:rsidRDefault="00F322D2" w:rsidP="0089687C">
      <w:pPr>
        <w:rPr>
          <w:lang w:val="en-AU"/>
        </w:rPr>
      </w:pPr>
    </w:p>
    <w:p w14:paraId="4E982ADC" w14:textId="70BE6DEC" w:rsidR="00936C3F" w:rsidRPr="00E27200" w:rsidRDefault="00936C3F" w:rsidP="00314BA0">
      <w:pPr>
        <w:rPr>
          <w:lang w:val="en-AU"/>
        </w:rPr>
      </w:pPr>
    </w:p>
    <w:p w14:paraId="10DE9E9C" w14:textId="77777777" w:rsidR="003F0CA4" w:rsidRDefault="003F0CA4">
      <w:pPr>
        <w:jc w:val="left"/>
        <w:rPr>
          <w:rFonts w:cs="Times New Roman"/>
          <w:b/>
          <w:bCs/>
          <w:spacing w:val="-10"/>
          <w:kern w:val="28"/>
          <w:sz w:val="36"/>
          <w:szCs w:val="36"/>
          <w:lang w:val="en-AU" w:eastAsia="en-AU"/>
        </w:rPr>
      </w:pPr>
      <w:r>
        <w:br w:type="page"/>
      </w:r>
    </w:p>
    <w:p w14:paraId="3EB114F6" w14:textId="0F8C351F" w:rsidR="00AC72B8" w:rsidRPr="00E27200" w:rsidRDefault="00AC72B8" w:rsidP="00E16C77">
      <w:pPr>
        <w:pStyle w:val="Heading1"/>
      </w:pPr>
      <w:bookmarkStart w:id="115" w:name="_Toc245810766"/>
      <w:r w:rsidRPr="00E27200">
        <w:lastRenderedPageBreak/>
        <w:t>Implications and Recommendations</w:t>
      </w:r>
      <w:bookmarkEnd w:id="115"/>
    </w:p>
    <w:p w14:paraId="2A7DEF72" w14:textId="77777777" w:rsidR="005B69CE" w:rsidRPr="00E27200" w:rsidRDefault="005B69CE" w:rsidP="00E16C77">
      <w:pPr>
        <w:pStyle w:val="Heading2"/>
      </w:pPr>
      <w:bookmarkStart w:id="116" w:name="_Toc239058963"/>
      <w:bookmarkStart w:id="117" w:name="_Toc245620952"/>
      <w:bookmarkStart w:id="118" w:name="_Toc245810767"/>
      <w:r w:rsidRPr="00E27200">
        <w:t>Current situation and cross-cutting observations</w:t>
      </w:r>
      <w:bookmarkEnd w:id="116"/>
      <w:bookmarkEnd w:id="117"/>
      <w:bookmarkEnd w:id="118"/>
    </w:p>
    <w:p w14:paraId="49CE9049" w14:textId="57585C2E" w:rsidR="002430AE" w:rsidRDefault="002430AE" w:rsidP="001F3CD8">
      <w:pPr>
        <w:pStyle w:val="Heading3"/>
      </w:pPr>
      <w:r>
        <w:t>Availability of medicines</w:t>
      </w:r>
      <w:r w:rsidR="008044DA">
        <w:t>, equity, access to care,</w:t>
      </w:r>
      <w:r>
        <w:t xml:space="preserve"> and impact of the kits</w:t>
      </w:r>
      <w:r w:rsidR="00906C80">
        <w:t xml:space="preserve"> </w:t>
      </w:r>
      <w:r>
        <w:t>program</w:t>
      </w:r>
      <w:r w:rsidR="00906C80">
        <w:t>s</w:t>
      </w:r>
    </w:p>
    <w:p w14:paraId="476C2832" w14:textId="5832BFBC" w:rsidR="00906C80" w:rsidRDefault="002430AE" w:rsidP="002430AE">
      <w:r>
        <w:t xml:space="preserve">The findings described above give a measurement of medicines availability </w:t>
      </w:r>
      <w:r w:rsidR="00B47411">
        <w:t xml:space="preserve">and usage </w:t>
      </w:r>
      <w:r>
        <w:t xml:space="preserve">in 2013 that compares well with measures in other comparable countries </w:t>
      </w:r>
      <w:r w:rsidR="00B47411">
        <w:t>in PNG’s region. They also provide</w:t>
      </w:r>
      <w:r>
        <w:t xml:space="preserve"> a reliable baseline </w:t>
      </w:r>
      <w:r w:rsidR="00B47411">
        <w:t>by</w:t>
      </w:r>
      <w:r>
        <w:t xml:space="preserve"> w</w:t>
      </w:r>
      <w:r w:rsidR="00B47411">
        <w:t>hich future measurements can quantify</w:t>
      </w:r>
      <w:r>
        <w:t xml:space="preserve"> </w:t>
      </w:r>
      <w:r w:rsidR="00B47411">
        <w:t xml:space="preserve">the impact of progress in governance, procurement, supply chain and other systems development. The limited </w:t>
      </w:r>
      <w:r w:rsidR="00C97BC9">
        <w:t xml:space="preserve">currently </w:t>
      </w:r>
      <w:r w:rsidR="00B47411">
        <w:t xml:space="preserve">available trend data discussed in this report suggest that overall </w:t>
      </w:r>
      <w:r w:rsidR="007D1206">
        <w:t xml:space="preserve">medicines </w:t>
      </w:r>
      <w:r w:rsidR="00B47411">
        <w:t>availability has not declined in the past four years and has increased</w:t>
      </w:r>
      <w:r w:rsidR="00CF1561">
        <w:t xml:space="preserve"> for some particular essential medicines of high public health importance, such as antibiotics for pneumonia, oral rehydration solution for </w:t>
      </w:r>
      <w:proofErr w:type="spellStart"/>
      <w:r w:rsidR="00CF1561">
        <w:t>diarrhoea</w:t>
      </w:r>
      <w:proofErr w:type="spellEnd"/>
      <w:r w:rsidR="00CF1561">
        <w:t xml:space="preserve">, and new </w:t>
      </w:r>
      <w:proofErr w:type="spellStart"/>
      <w:r w:rsidR="00CF1561">
        <w:t>antimalarials</w:t>
      </w:r>
      <w:proofErr w:type="spellEnd"/>
      <w:r w:rsidR="00CF1561">
        <w:t xml:space="preserve">.  </w:t>
      </w:r>
      <w:r w:rsidR="002A797F">
        <w:t xml:space="preserve">This report’s findings also suggest that </w:t>
      </w:r>
      <w:r w:rsidR="00906C80">
        <w:t xml:space="preserve">gains in availability are largely due to </w:t>
      </w:r>
      <w:r w:rsidR="002A797F">
        <w:t xml:space="preserve">the </w:t>
      </w:r>
      <w:r w:rsidR="009A3863">
        <w:t>‘push’</w:t>
      </w:r>
      <w:r w:rsidR="002A797F">
        <w:t xml:space="preserve"> program</w:t>
      </w:r>
      <w:r w:rsidR="009A3863">
        <w:t>s</w:t>
      </w:r>
      <w:r w:rsidR="002A797F">
        <w:t xml:space="preserve">, </w:t>
      </w:r>
      <w:r w:rsidR="009A3863">
        <w:t xml:space="preserve">including </w:t>
      </w:r>
      <w:r w:rsidR="00906C80">
        <w:t>‘</w:t>
      </w:r>
      <w:r w:rsidR="002A797F">
        <w:t>40%</w:t>
      </w:r>
      <w:r w:rsidR="00906C80">
        <w:t>’</w:t>
      </w:r>
      <w:r w:rsidR="002A797F">
        <w:t xml:space="preserve"> and </w:t>
      </w:r>
      <w:r w:rsidR="00906C80">
        <w:t>‘</w:t>
      </w:r>
      <w:r w:rsidR="002A797F">
        <w:t>100%</w:t>
      </w:r>
      <w:r w:rsidR="00906C80">
        <w:t xml:space="preserve">’ distributions. </w:t>
      </w:r>
      <w:r w:rsidR="000F4616">
        <w:t xml:space="preserve">The contribution of the </w:t>
      </w:r>
      <w:r w:rsidR="00C6395F">
        <w:t>100% kits</w:t>
      </w:r>
      <w:r w:rsidR="000F4616">
        <w:t xml:space="preserve"> is especially important at the most peripheral Aid Post level. Qualitative and quantitative data show that the ‘push’ distribution has been highly valued in all facilities, but especially so in more remote facilities, contributing to </w:t>
      </w:r>
      <w:r w:rsidR="002E11A2">
        <w:t xml:space="preserve">greater </w:t>
      </w:r>
      <w:r w:rsidR="000F4616">
        <w:t>availability of medicines at this level tha</w:t>
      </w:r>
      <w:r w:rsidR="002E11A2">
        <w:t xml:space="preserve">n </w:t>
      </w:r>
      <w:r w:rsidR="000F4616">
        <w:t>has been experienced in the past.</w:t>
      </w:r>
    </w:p>
    <w:p w14:paraId="40EE69F4" w14:textId="77777777" w:rsidR="002430AE" w:rsidRPr="002430AE" w:rsidRDefault="002430AE" w:rsidP="002430AE"/>
    <w:p w14:paraId="19C65BCE" w14:textId="306BC5FA" w:rsidR="00937322" w:rsidRDefault="00660E31" w:rsidP="00DE4D39">
      <w:pPr>
        <w:rPr>
          <w:lang w:val="en-AU"/>
        </w:rPr>
      </w:pPr>
      <w:r>
        <w:rPr>
          <w:lang w:val="en-AU"/>
        </w:rPr>
        <w:t xml:space="preserve">Overall the </w:t>
      </w:r>
      <w:r w:rsidR="00FF02DC">
        <w:rPr>
          <w:lang w:val="en-AU"/>
        </w:rPr>
        <w:t xml:space="preserve">100% </w:t>
      </w:r>
      <w:r>
        <w:rPr>
          <w:lang w:val="en-AU"/>
        </w:rPr>
        <w:t>kits</w:t>
      </w:r>
      <w:r w:rsidR="00FF02DC">
        <w:rPr>
          <w:lang w:val="en-AU"/>
        </w:rPr>
        <w:t xml:space="preserve"> and ‘push’</w:t>
      </w:r>
      <w:r>
        <w:rPr>
          <w:lang w:val="en-AU"/>
        </w:rPr>
        <w:t xml:space="preserve"> program has contributed to improved equity in medicines availability. </w:t>
      </w:r>
      <w:r w:rsidR="00DE4D39">
        <w:rPr>
          <w:lang w:val="en-AU"/>
        </w:rPr>
        <w:t xml:space="preserve">The HF survey in this evaluation was designed to </w:t>
      </w:r>
      <w:r w:rsidR="0085625C">
        <w:rPr>
          <w:lang w:val="en-AU"/>
        </w:rPr>
        <w:t xml:space="preserve">include </w:t>
      </w:r>
      <w:r w:rsidR="00DE4D39">
        <w:rPr>
          <w:lang w:val="en-AU"/>
        </w:rPr>
        <w:t>remote facilities</w:t>
      </w:r>
      <w:r w:rsidR="0085625C">
        <w:rPr>
          <w:lang w:val="en-AU"/>
        </w:rPr>
        <w:t xml:space="preserve"> and those from high-poverty districts</w:t>
      </w:r>
      <w:r w:rsidR="00395356">
        <w:rPr>
          <w:lang w:val="en-AU"/>
        </w:rPr>
        <w:t xml:space="preserve">, and </w:t>
      </w:r>
      <w:r w:rsidR="00DE4D39">
        <w:rPr>
          <w:lang w:val="en-AU"/>
        </w:rPr>
        <w:t>the measured availability</w:t>
      </w:r>
      <w:r w:rsidR="000238AB">
        <w:rPr>
          <w:lang w:val="en-AU"/>
        </w:rPr>
        <w:t xml:space="preserve"> of essential tracer medicines</w:t>
      </w:r>
      <w:r w:rsidR="00395356">
        <w:rPr>
          <w:lang w:val="en-AU"/>
        </w:rPr>
        <w:t xml:space="preserve"> wa</w:t>
      </w:r>
      <w:r w:rsidR="00DE4D39">
        <w:rPr>
          <w:lang w:val="en-AU"/>
        </w:rPr>
        <w:t>s</w:t>
      </w:r>
      <w:r w:rsidR="00E2311A">
        <w:rPr>
          <w:lang w:val="en-AU"/>
        </w:rPr>
        <w:t xml:space="preserve"> equal in both </w:t>
      </w:r>
      <w:r w:rsidR="00395356">
        <w:rPr>
          <w:lang w:val="en-AU"/>
        </w:rPr>
        <w:t xml:space="preserve">disadvantaged </w:t>
      </w:r>
      <w:r w:rsidR="00E2311A">
        <w:rPr>
          <w:lang w:val="en-AU"/>
        </w:rPr>
        <w:t xml:space="preserve">and other </w:t>
      </w:r>
      <w:r w:rsidR="00395356">
        <w:rPr>
          <w:lang w:val="en-AU"/>
        </w:rPr>
        <w:t>settings. This is a</w:t>
      </w:r>
      <w:r w:rsidR="00C97BC9">
        <w:rPr>
          <w:lang w:val="en-AU"/>
        </w:rPr>
        <w:t>n</w:t>
      </w:r>
      <w:r w:rsidR="00395356">
        <w:rPr>
          <w:lang w:val="en-AU"/>
        </w:rPr>
        <w:t xml:space="preserve"> indication of program </w:t>
      </w:r>
      <w:r w:rsidR="00DE4D39">
        <w:rPr>
          <w:lang w:val="en-AU"/>
        </w:rPr>
        <w:t xml:space="preserve">penetration to underserved populations with </w:t>
      </w:r>
      <w:r w:rsidR="00937322">
        <w:rPr>
          <w:lang w:val="en-AU"/>
        </w:rPr>
        <w:t>positive outcomes for equity of access to health care.</w:t>
      </w:r>
      <w:r w:rsidR="00395356">
        <w:rPr>
          <w:lang w:val="en-AU"/>
        </w:rPr>
        <w:t xml:space="preserve"> Our findings</w:t>
      </w:r>
      <w:r>
        <w:rPr>
          <w:lang w:val="en-AU"/>
        </w:rPr>
        <w:t xml:space="preserve"> (described above)</w:t>
      </w:r>
      <w:r w:rsidR="00395356">
        <w:rPr>
          <w:lang w:val="en-AU"/>
        </w:rPr>
        <w:t xml:space="preserve"> suggest that the </w:t>
      </w:r>
      <w:r w:rsidR="00906C80">
        <w:rPr>
          <w:lang w:val="en-AU"/>
        </w:rPr>
        <w:t>kits (</w:t>
      </w:r>
      <w:r w:rsidR="00395356">
        <w:rPr>
          <w:lang w:val="en-AU"/>
        </w:rPr>
        <w:t>‘push’</w:t>
      </w:r>
      <w:r w:rsidR="00906C80">
        <w:rPr>
          <w:lang w:val="en-AU"/>
        </w:rPr>
        <w:t>)</w:t>
      </w:r>
      <w:r w:rsidR="00395356">
        <w:rPr>
          <w:lang w:val="en-AU"/>
        </w:rPr>
        <w:t xml:space="preserve"> system is likely to have contributed more, relative to </w:t>
      </w:r>
      <w:r w:rsidR="00906C80">
        <w:rPr>
          <w:lang w:val="en-AU"/>
        </w:rPr>
        <w:t xml:space="preserve">the </w:t>
      </w:r>
      <w:r w:rsidR="00395356">
        <w:rPr>
          <w:lang w:val="en-AU"/>
        </w:rPr>
        <w:t xml:space="preserve">‘pull’ system, to medicines availability in high-poverty districts. </w:t>
      </w:r>
      <w:r w:rsidR="00937322">
        <w:rPr>
          <w:lang w:val="en-AU"/>
        </w:rPr>
        <w:t xml:space="preserve"> The</w:t>
      </w:r>
      <w:r w:rsidR="00395356">
        <w:rPr>
          <w:lang w:val="en-AU"/>
        </w:rPr>
        <w:t xml:space="preserve"> overall</w:t>
      </w:r>
      <w:r w:rsidR="00937322">
        <w:rPr>
          <w:lang w:val="en-AU"/>
        </w:rPr>
        <w:t xml:space="preserve"> lower availability at AP level does suggest that more needs to be done to preferentially target this level of care</w:t>
      </w:r>
      <w:r w:rsidR="00B93CE6">
        <w:rPr>
          <w:lang w:val="en-AU"/>
        </w:rPr>
        <w:t>. A</w:t>
      </w:r>
      <w:r w:rsidR="00395356">
        <w:rPr>
          <w:lang w:val="en-AU"/>
        </w:rPr>
        <w:t>gain</w:t>
      </w:r>
      <w:r w:rsidR="00B93CE6">
        <w:rPr>
          <w:lang w:val="en-AU"/>
        </w:rPr>
        <w:t>,</w:t>
      </w:r>
      <w:r w:rsidR="00395356">
        <w:rPr>
          <w:lang w:val="en-AU"/>
        </w:rPr>
        <w:t xml:space="preserve"> </w:t>
      </w:r>
      <w:r w:rsidR="00937322">
        <w:rPr>
          <w:lang w:val="en-AU"/>
        </w:rPr>
        <w:t xml:space="preserve">our data suggest that the </w:t>
      </w:r>
      <w:r w:rsidR="00C97BC9">
        <w:rPr>
          <w:lang w:val="en-AU"/>
        </w:rPr>
        <w:t xml:space="preserve">particular </w:t>
      </w:r>
      <w:r w:rsidR="00937322">
        <w:rPr>
          <w:lang w:val="en-AU"/>
        </w:rPr>
        <w:t xml:space="preserve">contribution of </w:t>
      </w:r>
      <w:r w:rsidR="00C97BC9">
        <w:rPr>
          <w:lang w:val="en-AU"/>
        </w:rPr>
        <w:t>‘push’ systems</w:t>
      </w:r>
      <w:r w:rsidR="00937322">
        <w:rPr>
          <w:lang w:val="en-AU"/>
        </w:rPr>
        <w:t xml:space="preserve"> </w:t>
      </w:r>
      <w:r w:rsidR="00C97BC9">
        <w:rPr>
          <w:lang w:val="en-AU"/>
        </w:rPr>
        <w:t>is</w:t>
      </w:r>
      <w:r w:rsidR="00B93CE6">
        <w:rPr>
          <w:lang w:val="en-AU"/>
        </w:rPr>
        <w:t xml:space="preserve"> especially important in poorer districts</w:t>
      </w:r>
      <w:r w:rsidR="00C97BC9">
        <w:rPr>
          <w:lang w:val="en-AU"/>
        </w:rPr>
        <w:t xml:space="preserve"> at the peripheral level</w:t>
      </w:r>
      <w:r w:rsidR="00937322">
        <w:rPr>
          <w:lang w:val="en-AU"/>
        </w:rPr>
        <w:t>.  Most qualitative data from interviews back up this finding.</w:t>
      </w:r>
      <w:r w:rsidR="00177B0D">
        <w:rPr>
          <w:lang w:val="en-AU"/>
        </w:rPr>
        <w:t xml:space="preserve">  </w:t>
      </w:r>
    </w:p>
    <w:p w14:paraId="3EC4389F" w14:textId="77777777" w:rsidR="00E44182" w:rsidRDefault="00E44182" w:rsidP="001206D1">
      <w:pPr>
        <w:rPr>
          <w:lang w:val="en-AU"/>
        </w:rPr>
      </w:pPr>
    </w:p>
    <w:p w14:paraId="69BCA308" w14:textId="7BE1BB94" w:rsidR="001F3CD8" w:rsidRDefault="00E44182" w:rsidP="001206D1">
      <w:pPr>
        <w:rPr>
          <w:lang w:val="en-AU"/>
        </w:rPr>
      </w:pPr>
      <w:r>
        <w:t>The medicines usage data suggest that the kit medicines content have been a good fit for the disease profile in PNG, noting that most reports of non-usage of kit medicines related to issues of staff</w:t>
      </w:r>
      <w:r w:rsidR="001A4C59">
        <w:t xml:space="preserve"> training or authoriz</w:t>
      </w:r>
      <w:r>
        <w:t xml:space="preserve">ation, rather than absence of the relevant disease. </w:t>
      </w:r>
      <w:r w:rsidR="008044DA">
        <w:t xml:space="preserve">Improvements are possible </w:t>
      </w:r>
      <w:r w:rsidR="00960461">
        <w:t>in</w:t>
      </w:r>
      <w:r w:rsidR="008044DA">
        <w:t xml:space="preserve"> more accurate quantification of needs</w:t>
      </w:r>
      <w:r w:rsidR="008500F3">
        <w:t xml:space="preserve"> and, to a lesser extent, in kit contents (noting that the evaluation team endorse the revised kit contents proposed for 2014)</w:t>
      </w:r>
      <w:r w:rsidR="00A902E5">
        <w:t xml:space="preserve">. </w:t>
      </w:r>
      <w:r>
        <w:t xml:space="preserve">Analysis of rational </w:t>
      </w:r>
      <w:r w:rsidR="008500F3">
        <w:t xml:space="preserve">medicines </w:t>
      </w:r>
      <w:r>
        <w:t>usage show</w:t>
      </w:r>
      <w:r w:rsidR="008500F3">
        <w:t>s</w:t>
      </w:r>
      <w:r>
        <w:t xml:space="preserve"> appropriate use of many medicines for life-threatening conditions such as pneumonia, malaria and complications of childbirth, although </w:t>
      </w:r>
      <w:r w:rsidR="008500F3">
        <w:t xml:space="preserve">some </w:t>
      </w:r>
      <w:r>
        <w:t xml:space="preserve">specific areas </w:t>
      </w:r>
      <w:r w:rsidR="008500F3">
        <w:t>for</w:t>
      </w:r>
      <w:r>
        <w:t xml:space="preserve"> improvement (for example: under-use of zinc for </w:t>
      </w:r>
      <w:proofErr w:type="spellStart"/>
      <w:r>
        <w:t>diarrhoea</w:t>
      </w:r>
      <w:proofErr w:type="spellEnd"/>
      <w:r>
        <w:t xml:space="preserve">) were noted. </w:t>
      </w:r>
      <w:r w:rsidR="008044DA">
        <w:rPr>
          <w:lang w:val="en-AU"/>
        </w:rPr>
        <w:t xml:space="preserve">This usage </w:t>
      </w:r>
      <w:r w:rsidR="001206D1">
        <w:rPr>
          <w:lang w:val="en-AU"/>
        </w:rPr>
        <w:t>assessment suggests that quality of care varies</w:t>
      </w:r>
      <w:r w:rsidR="008500F3">
        <w:rPr>
          <w:lang w:val="en-AU"/>
        </w:rPr>
        <w:t xml:space="preserve"> across the health system</w:t>
      </w:r>
      <w:r w:rsidR="001206D1">
        <w:rPr>
          <w:lang w:val="en-AU"/>
        </w:rPr>
        <w:t>, and is worse at the HC/SC and AP levels</w:t>
      </w:r>
      <w:r w:rsidR="000238AB">
        <w:rPr>
          <w:lang w:val="en-AU"/>
        </w:rPr>
        <w:t xml:space="preserve"> for some specific conditions and for</w:t>
      </w:r>
      <w:r w:rsidR="008500F3">
        <w:rPr>
          <w:lang w:val="en-AU"/>
        </w:rPr>
        <w:t xml:space="preserve"> general</w:t>
      </w:r>
      <w:r w:rsidR="000238AB">
        <w:rPr>
          <w:lang w:val="en-AU"/>
        </w:rPr>
        <w:t xml:space="preserve"> over-use of medicines</w:t>
      </w:r>
      <w:r w:rsidR="001206D1">
        <w:rPr>
          <w:lang w:val="en-AU"/>
        </w:rPr>
        <w:t>.  Some essential services assessed, particularly emergency obstetric and newborn care</w:t>
      </w:r>
      <w:r w:rsidR="000238AB">
        <w:rPr>
          <w:lang w:val="en-AU"/>
        </w:rPr>
        <w:t>,</w:t>
      </w:r>
      <w:r w:rsidR="001206D1">
        <w:rPr>
          <w:lang w:val="en-AU"/>
        </w:rPr>
        <w:t xml:space="preserve"> are not yet widely available to remote communities, a constraint that represents a major hindrance to universal access to health care in PNG.</w:t>
      </w:r>
    </w:p>
    <w:p w14:paraId="3F57354B" w14:textId="77777777" w:rsidR="00E44182" w:rsidRDefault="00E44182" w:rsidP="001206D1">
      <w:pPr>
        <w:rPr>
          <w:lang w:val="en-AU"/>
        </w:rPr>
      </w:pPr>
    </w:p>
    <w:p w14:paraId="04C768C4" w14:textId="6FB91AD3" w:rsidR="001206D1" w:rsidRDefault="00A902E5" w:rsidP="001206D1">
      <w:pPr>
        <w:rPr>
          <w:lang w:val="en-AU"/>
        </w:rPr>
      </w:pPr>
      <w:r>
        <w:rPr>
          <w:lang w:val="en-AU"/>
        </w:rPr>
        <w:t>Given that t</w:t>
      </w:r>
      <w:r w:rsidR="00E44182">
        <w:rPr>
          <w:lang w:val="en-AU"/>
        </w:rPr>
        <w:t>he medicines usage data suggest that all supplies, including the kits, are being used to manage some of the most important conditions of the rural majority and urban poor</w:t>
      </w:r>
      <w:r w:rsidR="009D6F46">
        <w:rPr>
          <w:lang w:val="en-AU"/>
        </w:rPr>
        <w:t>, such as pneumonia or malaria</w:t>
      </w:r>
      <w:r w:rsidR="00E44182">
        <w:rPr>
          <w:lang w:val="en-AU"/>
        </w:rPr>
        <w:t xml:space="preserve">, </w:t>
      </w:r>
      <w:r>
        <w:rPr>
          <w:lang w:val="en-AU"/>
        </w:rPr>
        <w:t xml:space="preserve">it can be concluded that the </w:t>
      </w:r>
      <w:r w:rsidR="00170281">
        <w:rPr>
          <w:lang w:val="en-AU"/>
        </w:rPr>
        <w:t>100% kits and ‘push’</w:t>
      </w:r>
      <w:r w:rsidR="002C70AC">
        <w:rPr>
          <w:lang w:val="en-AU"/>
        </w:rPr>
        <w:t xml:space="preserve"> </w:t>
      </w:r>
      <w:r>
        <w:rPr>
          <w:lang w:val="en-AU"/>
        </w:rPr>
        <w:t>program</w:t>
      </w:r>
      <w:r w:rsidR="00170281">
        <w:rPr>
          <w:lang w:val="en-AU"/>
        </w:rPr>
        <w:t>s are</w:t>
      </w:r>
      <w:r>
        <w:rPr>
          <w:lang w:val="en-AU"/>
        </w:rPr>
        <w:t xml:space="preserve"> addressing key threats to population health. While program impact on morbidity and mortality cannot be directly measured at present, </w:t>
      </w:r>
      <w:r w:rsidR="002C70AC">
        <w:rPr>
          <w:lang w:val="en-AU"/>
        </w:rPr>
        <w:t>the increase in medicines availability is plausibly contributing to better case management and increased survival for women, children and men in PNG. As demonstrated in the section above, the data measured in this year one evaluation can be modelled to quantify the estimated lives saved</w:t>
      </w:r>
      <w:r w:rsidR="00AE7CDD">
        <w:rPr>
          <w:lang w:val="en-AU"/>
        </w:rPr>
        <w:t xml:space="preserve"> in this way</w:t>
      </w:r>
      <w:r w:rsidR="002C70AC">
        <w:rPr>
          <w:lang w:val="en-AU"/>
        </w:rPr>
        <w:t xml:space="preserve"> – a process best done in collaboration with in-country stakeholders, as recommended </w:t>
      </w:r>
      <w:r w:rsidR="00AE7CDD">
        <w:rPr>
          <w:lang w:val="en-AU"/>
        </w:rPr>
        <w:t xml:space="preserve">in Section 9.3 </w:t>
      </w:r>
      <w:r w:rsidR="002C70AC">
        <w:rPr>
          <w:lang w:val="en-AU"/>
        </w:rPr>
        <w:t>below</w:t>
      </w:r>
      <w:r w:rsidR="00E44182">
        <w:rPr>
          <w:lang w:val="en-AU"/>
        </w:rPr>
        <w:t xml:space="preserve">. </w:t>
      </w:r>
    </w:p>
    <w:p w14:paraId="2C97319E" w14:textId="77777777" w:rsidR="00E44182" w:rsidRDefault="00E44182" w:rsidP="001206D1">
      <w:pPr>
        <w:rPr>
          <w:lang w:val="en-AU"/>
        </w:rPr>
      </w:pPr>
    </w:p>
    <w:p w14:paraId="35BB1961" w14:textId="7B35BF79" w:rsidR="00E44182" w:rsidRDefault="00E44182" w:rsidP="00E44182">
      <w:pPr>
        <w:rPr>
          <w:lang w:val="en-AU"/>
        </w:rPr>
      </w:pPr>
      <w:r>
        <w:rPr>
          <w:lang w:val="en-AU"/>
        </w:rPr>
        <w:t xml:space="preserve">These findings call for continued investment in both ‘push’ and ‘pull’ system development, and </w:t>
      </w:r>
      <w:r w:rsidR="009D6F46">
        <w:rPr>
          <w:lang w:val="en-AU"/>
        </w:rPr>
        <w:t>in future evaluation of progress and impact</w:t>
      </w:r>
      <w:r>
        <w:rPr>
          <w:lang w:val="en-AU"/>
        </w:rPr>
        <w:t xml:space="preserve">, as discussed below and in the evaluation plan annexed.  It is also important to </w:t>
      </w:r>
      <w:r w:rsidR="009D6F46">
        <w:rPr>
          <w:lang w:val="en-AU"/>
        </w:rPr>
        <w:t>include in both development and evaluation, assessments of</w:t>
      </w:r>
      <w:r>
        <w:rPr>
          <w:lang w:val="en-AU"/>
        </w:rPr>
        <w:t xml:space="preserve"> the way in which available medicines are used: a critical determinant of improved access to care.</w:t>
      </w:r>
    </w:p>
    <w:p w14:paraId="68EBB63C" w14:textId="77777777" w:rsidR="00E44182" w:rsidRPr="001206D1" w:rsidRDefault="00E44182" w:rsidP="001206D1">
      <w:pPr>
        <w:rPr>
          <w:lang w:val="en-AU"/>
        </w:rPr>
      </w:pPr>
    </w:p>
    <w:p w14:paraId="710AC82B" w14:textId="77777777" w:rsidR="005B69CE" w:rsidRPr="00E27200" w:rsidRDefault="005B69CE" w:rsidP="00E16C77">
      <w:pPr>
        <w:pStyle w:val="Heading3"/>
      </w:pPr>
      <w:r w:rsidRPr="00E27200">
        <w:t>Transparency and accountability</w:t>
      </w:r>
    </w:p>
    <w:p w14:paraId="45AE16D4" w14:textId="6A314260" w:rsidR="001206D1" w:rsidRDefault="001206D1" w:rsidP="001206D1">
      <w:pPr>
        <w:rPr>
          <w:lang w:val="en-AU"/>
        </w:rPr>
      </w:pPr>
      <w:r>
        <w:rPr>
          <w:lang w:val="en-AU"/>
        </w:rPr>
        <w:t>The difficult area of transparency and accountability</w:t>
      </w:r>
      <w:r w:rsidR="00471F43">
        <w:rPr>
          <w:lang w:val="en-AU"/>
        </w:rPr>
        <w:t xml:space="preserve"> </w:t>
      </w:r>
      <w:r>
        <w:rPr>
          <w:lang w:val="en-AU"/>
        </w:rPr>
        <w:t xml:space="preserve">was raised by interviewees at all levels: in health facilities and by district and provincial health managers, as well as by government and non-government staff in </w:t>
      </w:r>
      <w:r w:rsidR="00045714">
        <w:rPr>
          <w:lang w:val="en-AU"/>
        </w:rPr>
        <w:t xml:space="preserve">major centres. There was general acknowledgement that this had been a serious problem across the medical supplies system, accompanied by a sense that </w:t>
      </w:r>
      <w:r w:rsidR="000238AB">
        <w:rPr>
          <w:lang w:val="en-AU"/>
        </w:rPr>
        <w:t xml:space="preserve">many </w:t>
      </w:r>
      <w:r w:rsidR="00FE7DEB">
        <w:rPr>
          <w:lang w:val="en-AU"/>
        </w:rPr>
        <w:t xml:space="preserve">informants </w:t>
      </w:r>
      <w:r w:rsidR="000238AB">
        <w:rPr>
          <w:lang w:val="en-AU"/>
        </w:rPr>
        <w:t>perceived or hoped that im</w:t>
      </w:r>
      <w:r w:rsidR="00045714">
        <w:rPr>
          <w:lang w:val="en-AU"/>
        </w:rPr>
        <w:t>p</w:t>
      </w:r>
      <w:r w:rsidR="000238AB">
        <w:rPr>
          <w:lang w:val="en-AU"/>
        </w:rPr>
        <w:t>r</w:t>
      </w:r>
      <w:r w:rsidR="00045714">
        <w:rPr>
          <w:lang w:val="en-AU"/>
        </w:rPr>
        <w:t>ovements were being seen.  Some developments, such as international competitive tendering with aspirations for stringent quality criteria in the 2014 tender for medical kits</w:t>
      </w:r>
      <w:r w:rsidR="000238AB">
        <w:rPr>
          <w:lang w:val="en-AU"/>
        </w:rPr>
        <w:t>,</w:t>
      </w:r>
      <w:r w:rsidR="00045714">
        <w:rPr>
          <w:lang w:val="en-AU"/>
        </w:rPr>
        <w:t xml:space="preserve"> </w:t>
      </w:r>
      <w:r w:rsidR="00FE7DEB">
        <w:rPr>
          <w:lang w:val="en-AU"/>
        </w:rPr>
        <w:t>seem</w:t>
      </w:r>
      <w:r w:rsidR="00993E47">
        <w:rPr>
          <w:lang w:val="en-AU"/>
        </w:rPr>
        <w:t>ed</w:t>
      </w:r>
      <w:r w:rsidR="00FE7DEB">
        <w:rPr>
          <w:lang w:val="en-AU"/>
        </w:rPr>
        <w:t xml:space="preserve"> to </w:t>
      </w:r>
      <w:r w:rsidR="00045714">
        <w:rPr>
          <w:lang w:val="en-AU"/>
        </w:rPr>
        <w:t xml:space="preserve">present cause for optimism, however </w:t>
      </w:r>
      <w:r w:rsidR="00FE7DEB">
        <w:rPr>
          <w:lang w:val="en-AU"/>
        </w:rPr>
        <w:t xml:space="preserve">full </w:t>
      </w:r>
      <w:r w:rsidR="00045714">
        <w:rPr>
          <w:lang w:val="en-AU"/>
        </w:rPr>
        <w:t>implementation of this</w:t>
      </w:r>
      <w:r w:rsidR="00FE7DEB">
        <w:rPr>
          <w:lang w:val="en-AU"/>
        </w:rPr>
        <w:t xml:space="preserve"> </w:t>
      </w:r>
      <w:r w:rsidR="00993E47">
        <w:rPr>
          <w:lang w:val="en-AU"/>
        </w:rPr>
        <w:t xml:space="preserve">planned </w:t>
      </w:r>
      <w:r w:rsidR="00FE7DEB">
        <w:rPr>
          <w:lang w:val="en-AU"/>
        </w:rPr>
        <w:t>development</w:t>
      </w:r>
      <w:r w:rsidR="00045714">
        <w:rPr>
          <w:lang w:val="en-AU"/>
        </w:rPr>
        <w:t xml:space="preserve"> remains lacking.  For other systems at national level, our data gathering suggests there is a general desire for more transparent and accountable governance structures than in the past, but again implementation of this </w:t>
      </w:r>
      <w:r w:rsidR="000238AB">
        <w:rPr>
          <w:lang w:val="en-AU"/>
        </w:rPr>
        <w:t>appears</w:t>
      </w:r>
      <w:r w:rsidR="00045714">
        <w:rPr>
          <w:lang w:val="en-AU"/>
        </w:rPr>
        <w:t xml:space="preserve"> currently </w:t>
      </w:r>
      <w:r w:rsidR="00AD7B8D">
        <w:rPr>
          <w:lang w:val="en-AU"/>
        </w:rPr>
        <w:t>lacking in important areas</w:t>
      </w:r>
      <w:r w:rsidR="00FE7DEB">
        <w:rPr>
          <w:lang w:val="en-AU"/>
        </w:rPr>
        <w:t>, as described in sections three and four</w:t>
      </w:r>
      <w:r w:rsidR="00045714">
        <w:rPr>
          <w:lang w:val="en-AU"/>
        </w:rPr>
        <w:t>.</w:t>
      </w:r>
    </w:p>
    <w:p w14:paraId="42AE8A93" w14:textId="77777777" w:rsidR="00045714" w:rsidRDefault="00045714" w:rsidP="001206D1">
      <w:pPr>
        <w:rPr>
          <w:lang w:val="en-AU"/>
        </w:rPr>
      </w:pPr>
    </w:p>
    <w:p w14:paraId="3D06EEC9" w14:textId="1B88F730" w:rsidR="00045714" w:rsidRDefault="00045714" w:rsidP="001206D1">
      <w:pPr>
        <w:rPr>
          <w:lang w:val="en-AU"/>
        </w:rPr>
      </w:pPr>
      <w:r>
        <w:rPr>
          <w:lang w:val="en-AU"/>
        </w:rPr>
        <w:t xml:space="preserve">In peripheral levels, the strong focus of contract management </w:t>
      </w:r>
      <w:r w:rsidR="00177B0D">
        <w:rPr>
          <w:lang w:val="en-AU"/>
        </w:rPr>
        <w:t>that aims to ensure supply of intact consignments right to the health facility door seems likely to have contributed to the increasing medicines availability.</w:t>
      </w:r>
      <w:r w:rsidR="00E9731C">
        <w:rPr>
          <w:lang w:val="en-AU"/>
        </w:rPr>
        <w:t xml:space="preserve">  This emphasis, particularly the necessary consequence that intermediaries cannot examine and break-up kit consignments even in the interests of efficiency, has possibly missed some opportunities for fine-tuning by district and provincial health managers.  Greater involvement of this level</w:t>
      </w:r>
      <w:r w:rsidR="007A1718">
        <w:rPr>
          <w:lang w:val="en-AU"/>
        </w:rPr>
        <w:t>, based on our findings, is clearly essential to better functioning of future kit programs</w:t>
      </w:r>
      <w:r w:rsidR="00FE7DEB">
        <w:rPr>
          <w:lang w:val="en-AU"/>
        </w:rPr>
        <w:t xml:space="preserve">. </w:t>
      </w:r>
      <w:r w:rsidR="007A1718">
        <w:rPr>
          <w:lang w:val="en-AU"/>
        </w:rPr>
        <w:t xml:space="preserve"> </w:t>
      </w:r>
      <w:r w:rsidR="00FE7DEB">
        <w:rPr>
          <w:lang w:val="en-AU"/>
        </w:rPr>
        <w:t>G</w:t>
      </w:r>
      <w:r w:rsidR="007A1718">
        <w:rPr>
          <w:lang w:val="en-AU"/>
        </w:rPr>
        <w:t xml:space="preserve">reater </w:t>
      </w:r>
      <w:r w:rsidR="00FE7DEB">
        <w:rPr>
          <w:lang w:val="en-AU"/>
        </w:rPr>
        <w:t xml:space="preserve">involvement of </w:t>
      </w:r>
      <w:r w:rsidR="007A1718">
        <w:rPr>
          <w:lang w:val="en-AU"/>
        </w:rPr>
        <w:t xml:space="preserve">district </w:t>
      </w:r>
      <w:r w:rsidR="00FE7DEB">
        <w:rPr>
          <w:lang w:val="en-AU"/>
        </w:rPr>
        <w:t xml:space="preserve">managers in decisions as to where and when </w:t>
      </w:r>
      <w:r w:rsidR="007A1718">
        <w:rPr>
          <w:lang w:val="en-AU"/>
        </w:rPr>
        <w:t>‘push’ system deliveries</w:t>
      </w:r>
      <w:r w:rsidR="00FE7DEB">
        <w:rPr>
          <w:lang w:val="en-AU"/>
        </w:rPr>
        <w:t xml:space="preserve"> can best take place</w:t>
      </w:r>
      <w:r w:rsidR="007A1718">
        <w:rPr>
          <w:lang w:val="en-AU"/>
        </w:rPr>
        <w:t xml:space="preserve"> does not seem to pose unreasonable additional risks to security of supply.</w:t>
      </w:r>
    </w:p>
    <w:p w14:paraId="4E037680" w14:textId="77777777" w:rsidR="007A1718" w:rsidRDefault="007A1718" w:rsidP="001206D1">
      <w:pPr>
        <w:rPr>
          <w:lang w:val="en-AU"/>
        </w:rPr>
      </w:pPr>
    </w:p>
    <w:p w14:paraId="75E5F266" w14:textId="26DFDEA9" w:rsidR="003B027C" w:rsidRDefault="007A1718" w:rsidP="001206D1">
      <w:pPr>
        <w:rPr>
          <w:lang w:val="en-AU"/>
        </w:rPr>
      </w:pPr>
      <w:r>
        <w:rPr>
          <w:lang w:val="en-AU"/>
        </w:rPr>
        <w:t xml:space="preserve">However greater involvement of intermediaries will need to continue to balance these competing </w:t>
      </w:r>
      <w:r w:rsidRPr="00A90CD5">
        <w:rPr>
          <w:lang w:val="en-AU"/>
        </w:rPr>
        <w:t xml:space="preserve">priorities.  Manager consultations reveal stories of abuse in both ‘pull’ and ‘push’ systems, including anecdotes where 100% kits were delivered to incorrect sites, </w:t>
      </w:r>
      <w:r w:rsidR="00471F43" w:rsidRPr="00A90CD5">
        <w:t>subject</w:t>
      </w:r>
      <w:r w:rsidR="00AE7CDD" w:rsidRPr="00A90CD5">
        <w:t>ing the supplies</w:t>
      </w:r>
      <w:r w:rsidR="00471F43" w:rsidRPr="00A90CD5">
        <w:t xml:space="preserve"> to</w:t>
      </w:r>
      <w:r w:rsidR="00AE7CDD" w:rsidRPr="00A90CD5">
        <w:t xml:space="preserve"> potential</w:t>
      </w:r>
      <w:r w:rsidR="00471F43" w:rsidRPr="00A90CD5">
        <w:t xml:space="preserve"> theft </w:t>
      </w:r>
      <w:r w:rsidR="00AE7CDD" w:rsidRPr="00A90CD5">
        <w:t>or</w:t>
      </w:r>
      <w:r w:rsidR="00471F43" w:rsidRPr="00A90CD5">
        <w:t xml:space="preserve"> misuse</w:t>
      </w:r>
      <w:r w:rsidRPr="00A90CD5">
        <w:rPr>
          <w:lang w:val="en-AU"/>
        </w:rPr>
        <w:t xml:space="preserve">. </w:t>
      </w:r>
      <w:r w:rsidR="002B506F" w:rsidRPr="00A90CD5">
        <w:rPr>
          <w:lang w:val="en-AU"/>
        </w:rPr>
        <w:t>This is of note</w:t>
      </w:r>
      <w:r w:rsidR="00FE7DEB" w:rsidRPr="00A90CD5">
        <w:rPr>
          <w:lang w:val="en-AU"/>
        </w:rPr>
        <w:t xml:space="preserve"> even though the </w:t>
      </w:r>
      <w:r w:rsidR="009A3A84" w:rsidRPr="00A90CD5">
        <w:rPr>
          <w:lang w:val="en-AU"/>
        </w:rPr>
        <w:t xml:space="preserve">majority of qualitative data, especially from health facility staff, supports </w:t>
      </w:r>
      <w:r w:rsidR="001875F9" w:rsidRPr="00A90CD5">
        <w:rPr>
          <w:lang w:val="en-AU"/>
        </w:rPr>
        <w:t>contractor reports that only a very small proportion of kit deliveries experienced irregularities.</w:t>
      </w:r>
      <w:r w:rsidR="00AE7CDD" w:rsidRPr="00A90CD5">
        <w:rPr>
          <w:lang w:val="en-AU"/>
        </w:rPr>
        <w:t xml:space="preserve"> </w:t>
      </w:r>
      <w:r w:rsidR="002B506F" w:rsidRPr="00A90CD5">
        <w:rPr>
          <w:lang w:val="en-AU"/>
        </w:rPr>
        <w:t>Exceptionally, s</w:t>
      </w:r>
      <w:r w:rsidRPr="00A90CD5">
        <w:rPr>
          <w:lang w:val="en-AU"/>
        </w:rPr>
        <w:t xml:space="preserve">ome </w:t>
      </w:r>
      <w:r w:rsidR="002B506F" w:rsidRPr="00A90CD5">
        <w:rPr>
          <w:lang w:val="en-AU"/>
        </w:rPr>
        <w:t>managers</w:t>
      </w:r>
      <w:r w:rsidR="00CC405F" w:rsidRPr="00A90CD5">
        <w:rPr>
          <w:lang w:val="en-AU"/>
        </w:rPr>
        <w:t xml:space="preserve"> and </w:t>
      </w:r>
      <w:r w:rsidR="009A3863" w:rsidRPr="00A90CD5">
        <w:rPr>
          <w:lang w:val="en-AU"/>
        </w:rPr>
        <w:t>a few</w:t>
      </w:r>
      <w:r w:rsidR="00CC405F" w:rsidRPr="00A90CD5">
        <w:rPr>
          <w:lang w:val="en-AU"/>
        </w:rPr>
        <w:t xml:space="preserve"> HF staff interview</w:t>
      </w:r>
      <w:r w:rsidR="009A3863" w:rsidRPr="00A90CD5">
        <w:rPr>
          <w:lang w:val="en-AU"/>
        </w:rPr>
        <w:t>s</w:t>
      </w:r>
      <w:r w:rsidR="002B506F" w:rsidRPr="00A90CD5">
        <w:rPr>
          <w:lang w:val="en-AU"/>
        </w:rPr>
        <w:t xml:space="preserve"> </w:t>
      </w:r>
      <w:r w:rsidRPr="00A90CD5">
        <w:rPr>
          <w:lang w:val="en-AU"/>
        </w:rPr>
        <w:t>reported that even though the 100% kit medicines ha</w:t>
      </w:r>
      <w:r w:rsidR="00AD7B8D" w:rsidRPr="00A90CD5">
        <w:rPr>
          <w:lang w:val="en-AU"/>
        </w:rPr>
        <w:t>ve been branded ‘GoPNG-Not for R</w:t>
      </w:r>
      <w:r w:rsidRPr="00A90CD5">
        <w:rPr>
          <w:lang w:val="en-AU"/>
        </w:rPr>
        <w:t>esale,’ there have been</w:t>
      </w:r>
      <w:r w:rsidR="003B027C" w:rsidRPr="00A90CD5">
        <w:rPr>
          <w:lang w:val="en-AU"/>
        </w:rPr>
        <w:t xml:space="preserve"> credible</w:t>
      </w:r>
      <w:r w:rsidRPr="00A90CD5">
        <w:rPr>
          <w:lang w:val="en-AU"/>
        </w:rPr>
        <w:t xml:space="preserve"> reports of these medicines being sold on the streets and in unauthorized shops</w:t>
      </w:r>
      <w:r w:rsidR="002B506F" w:rsidRPr="00A90CD5">
        <w:rPr>
          <w:lang w:val="en-AU"/>
        </w:rPr>
        <w:t>, with investigation by local authorities underway</w:t>
      </w:r>
      <w:r w:rsidR="003B027C" w:rsidRPr="00A90CD5">
        <w:rPr>
          <w:lang w:val="en-AU"/>
        </w:rPr>
        <w:t xml:space="preserve"> (more</w:t>
      </w:r>
      <w:r w:rsidR="003B027C">
        <w:rPr>
          <w:lang w:val="en-AU"/>
        </w:rPr>
        <w:t xml:space="preserve"> detail in Annex 1</w:t>
      </w:r>
      <w:r w:rsidR="009A3863">
        <w:rPr>
          <w:lang w:val="en-AU"/>
        </w:rPr>
        <w:t>1</w:t>
      </w:r>
      <w:r w:rsidR="003B027C">
        <w:rPr>
          <w:lang w:val="en-AU"/>
        </w:rPr>
        <w:t>.4)</w:t>
      </w:r>
      <w:r w:rsidRPr="007A1718">
        <w:rPr>
          <w:lang w:val="en-AU"/>
        </w:rPr>
        <w:t>.</w:t>
      </w:r>
      <w:r w:rsidR="003B027C">
        <w:rPr>
          <w:lang w:val="en-AU"/>
        </w:rPr>
        <w:t xml:space="preserve"> This reinforces the need for continuance of the stringent monitoring of delivery that is currently a feature of 100% kits contracting.  </w:t>
      </w:r>
    </w:p>
    <w:p w14:paraId="11913476" w14:textId="77777777" w:rsidR="003B027C" w:rsidRDefault="003B027C" w:rsidP="001206D1">
      <w:pPr>
        <w:rPr>
          <w:lang w:val="en-AU"/>
        </w:rPr>
      </w:pPr>
    </w:p>
    <w:p w14:paraId="0A963AA8" w14:textId="756DCE36" w:rsidR="003B027C" w:rsidRDefault="003B027C" w:rsidP="001206D1">
      <w:pPr>
        <w:rPr>
          <w:lang w:val="en-AU"/>
        </w:rPr>
      </w:pPr>
      <w:r>
        <w:rPr>
          <w:lang w:val="en-AU"/>
        </w:rPr>
        <w:t>There was a strong desire expressed by many health manager</w:t>
      </w:r>
      <w:r w:rsidR="002B506F">
        <w:rPr>
          <w:lang w:val="en-AU"/>
        </w:rPr>
        <w:t>s</w:t>
      </w:r>
      <w:r>
        <w:rPr>
          <w:lang w:val="en-AU"/>
        </w:rPr>
        <w:t xml:space="preserve"> for greater accountability to be demanded of health staff at all levels, with many seeking greater penalties and more regular consequences to be applie</w:t>
      </w:r>
      <w:r w:rsidR="0061527B">
        <w:rPr>
          <w:lang w:val="en-AU"/>
        </w:rPr>
        <w:t>d</w:t>
      </w:r>
      <w:r>
        <w:rPr>
          <w:lang w:val="en-AU"/>
        </w:rPr>
        <w:t xml:space="preserve"> when wrongdoing is uncovered</w:t>
      </w:r>
      <w:r w:rsidR="009A3863">
        <w:rPr>
          <w:lang w:val="en-AU"/>
        </w:rPr>
        <w:t>.</w:t>
      </w:r>
      <w:r>
        <w:rPr>
          <w:lang w:val="en-AU"/>
        </w:rPr>
        <w:t xml:space="preserve"> </w:t>
      </w:r>
      <w:r w:rsidR="000238AB">
        <w:rPr>
          <w:lang w:val="en-AU"/>
        </w:rPr>
        <w:t xml:space="preserve"> </w:t>
      </w:r>
      <w:r>
        <w:rPr>
          <w:lang w:val="en-AU"/>
        </w:rPr>
        <w:t>This evaluation suggests that one key to greater accountability is achieving a greater flow of accurate information in the system.</w:t>
      </w:r>
      <w:r w:rsidR="000238AB">
        <w:rPr>
          <w:lang w:val="en-AU"/>
        </w:rPr>
        <w:t xml:space="preserve">  This may be through more stringent contract management in both ‘pull’ and ‘push’ systems, such as demanding </w:t>
      </w:r>
      <w:r w:rsidR="00AD7B8D">
        <w:rPr>
          <w:lang w:val="en-AU"/>
        </w:rPr>
        <w:t xml:space="preserve">data to verify </w:t>
      </w:r>
      <w:r w:rsidR="000238AB">
        <w:rPr>
          <w:lang w:val="en-AU"/>
        </w:rPr>
        <w:t>intact deliveries, but may also occur through improve</w:t>
      </w:r>
      <w:r w:rsidR="00AD7B8D">
        <w:rPr>
          <w:lang w:val="en-AU"/>
        </w:rPr>
        <w:t>d</w:t>
      </w:r>
      <w:r w:rsidR="000238AB">
        <w:rPr>
          <w:lang w:val="en-AU"/>
        </w:rPr>
        <w:t xml:space="preserve"> logistics information management, including wider deployment of a </w:t>
      </w:r>
      <w:proofErr w:type="spellStart"/>
      <w:r w:rsidR="000238AB">
        <w:rPr>
          <w:lang w:val="en-AU"/>
        </w:rPr>
        <w:t>eLMIS</w:t>
      </w:r>
      <w:proofErr w:type="spellEnd"/>
      <w:r w:rsidR="000238AB">
        <w:rPr>
          <w:lang w:val="en-AU"/>
        </w:rPr>
        <w:t>, that helps all stakeholders clearly see volumes and timing of supplies as they move through the system.</w:t>
      </w:r>
    </w:p>
    <w:p w14:paraId="405503D1" w14:textId="77777777" w:rsidR="00A61626" w:rsidRPr="00E27200" w:rsidRDefault="00A61626" w:rsidP="00491FF9">
      <w:pPr>
        <w:ind w:left="504"/>
        <w:rPr>
          <w:lang w:val="en-AU"/>
        </w:rPr>
      </w:pPr>
    </w:p>
    <w:p w14:paraId="375F7276" w14:textId="5A6808C9" w:rsidR="001810B3" w:rsidRPr="001810B3" w:rsidRDefault="005B69CE" w:rsidP="001810B3">
      <w:pPr>
        <w:pStyle w:val="Heading3"/>
      </w:pPr>
      <w:r w:rsidRPr="00E27200">
        <w:lastRenderedPageBreak/>
        <w:t>Capacity development and sustainability</w:t>
      </w:r>
    </w:p>
    <w:p w14:paraId="0A187BB1" w14:textId="77777777" w:rsidR="00B63407" w:rsidRDefault="00A968E9" w:rsidP="00AD7B8D">
      <w:pPr>
        <w:rPr>
          <w:lang w:val="en-AU"/>
        </w:rPr>
      </w:pPr>
      <w:r w:rsidRPr="00AD7B8D">
        <w:rPr>
          <w:lang w:val="en-AU"/>
        </w:rPr>
        <w:t xml:space="preserve">Throughout health manager surveys and FGDs, human resource issues were a commonly raised theme, even though there were no specific questions about it. The lack of skilled workforce in the health sector is a widely acknowledged systems issue in PNG. A variety of staffing and training issues were raised, with weaknesses at all levels of the health system acknowledged. The majority of comments highlighted the need for a larger number of qualified staff at the provincial, district and health facility level – especially pharmacists: </w:t>
      </w:r>
    </w:p>
    <w:p w14:paraId="684DE6FA" w14:textId="108CDF23" w:rsidR="00B63407" w:rsidRDefault="00A968E9" w:rsidP="00B63407">
      <w:pPr>
        <w:ind w:left="360" w:right="804"/>
        <w:rPr>
          <w:i/>
          <w:lang w:val="en-AU"/>
        </w:rPr>
      </w:pPr>
      <w:r w:rsidRPr="00AD7B8D">
        <w:rPr>
          <w:i/>
          <w:lang w:val="en-AU"/>
        </w:rPr>
        <w:t>“Pharmacist positions should be created in each province; with the aim of training health centre OICs and monitor medical supplies. These Pharmacists would also liai</w:t>
      </w:r>
      <w:r w:rsidR="00F47C7D" w:rsidRPr="00AD7B8D">
        <w:rPr>
          <w:i/>
          <w:lang w:val="en-AU"/>
        </w:rPr>
        <w:t>se with the PT</w:t>
      </w:r>
      <w:r w:rsidR="00211AA5">
        <w:rPr>
          <w:i/>
          <w:lang w:val="en-AU"/>
        </w:rPr>
        <w:t>S</w:t>
      </w:r>
      <w:r w:rsidR="00F47C7D" w:rsidRPr="00AD7B8D">
        <w:rPr>
          <w:i/>
          <w:lang w:val="en-AU"/>
        </w:rPr>
        <w:t>, AMS and PHO.”</w:t>
      </w:r>
      <w:r w:rsidRPr="00AD7B8D">
        <w:rPr>
          <w:i/>
          <w:lang w:val="en-AU"/>
        </w:rPr>
        <w:t xml:space="preserve"> </w:t>
      </w:r>
    </w:p>
    <w:p w14:paraId="0FA2EF12" w14:textId="77777777" w:rsidR="00FB6B5E" w:rsidRDefault="00FB6B5E" w:rsidP="00B63407">
      <w:pPr>
        <w:rPr>
          <w:lang w:val="en-AU"/>
        </w:rPr>
      </w:pPr>
    </w:p>
    <w:p w14:paraId="78BA4EBE" w14:textId="1503E12E" w:rsidR="00F974AD" w:rsidRDefault="00FB6B5E" w:rsidP="00B63407">
      <w:pPr>
        <w:rPr>
          <w:lang w:val="en-AU"/>
        </w:rPr>
      </w:pPr>
      <w:r>
        <w:rPr>
          <w:lang w:val="en-AU"/>
        </w:rPr>
        <w:t xml:space="preserve">One logical response could also include re-examination of pharmacy assistants as a useful cadre: most larger health facilities had recruited a number of staff to the equivalent of this position in fact. </w:t>
      </w:r>
      <w:r w:rsidR="00BF07D3">
        <w:rPr>
          <w:lang w:val="en-AU"/>
        </w:rPr>
        <w:t xml:space="preserve">Gaps in staffing </w:t>
      </w:r>
      <w:r w:rsidR="00A968E9" w:rsidRPr="00AD7B8D">
        <w:rPr>
          <w:lang w:val="en-AU"/>
        </w:rPr>
        <w:t xml:space="preserve">has led to a greater burden being placed on existing staff, leading to </w:t>
      </w:r>
      <w:proofErr w:type="spellStart"/>
      <w:r w:rsidR="00A968E9" w:rsidRPr="00AD7B8D">
        <w:rPr>
          <w:lang w:val="en-AU"/>
        </w:rPr>
        <w:t>mis</w:t>
      </w:r>
      <w:proofErr w:type="spellEnd"/>
      <w:r w:rsidR="00A968E9" w:rsidRPr="00AD7B8D">
        <w:rPr>
          <w:lang w:val="en-AU"/>
        </w:rPr>
        <w:t xml:space="preserve">-management of stock and a lack of supervision: </w:t>
      </w:r>
    </w:p>
    <w:p w14:paraId="1E6BBA9F" w14:textId="77777777" w:rsidR="00F974AD" w:rsidRDefault="00A968E9" w:rsidP="00F974AD">
      <w:pPr>
        <w:ind w:left="720" w:right="804"/>
        <w:rPr>
          <w:i/>
          <w:lang w:val="en-AU"/>
        </w:rPr>
      </w:pPr>
      <w:r w:rsidRPr="00AD7B8D">
        <w:rPr>
          <w:i/>
          <w:lang w:val="en-AU"/>
        </w:rPr>
        <w:t>“Often health workers are either too busy or not trained to do proper s</w:t>
      </w:r>
      <w:r w:rsidR="00F47C7D" w:rsidRPr="00AD7B8D">
        <w:rPr>
          <w:i/>
          <w:lang w:val="en-AU"/>
        </w:rPr>
        <w:t>tocktake and stock rotations.”</w:t>
      </w:r>
    </w:p>
    <w:p w14:paraId="25E3394F" w14:textId="593779C9" w:rsidR="00A968E9" w:rsidRPr="00FB6B5E" w:rsidRDefault="00A968E9" w:rsidP="00F974AD">
      <w:pPr>
        <w:rPr>
          <w:szCs w:val="22"/>
          <w:lang w:val="en-AU"/>
        </w:rPr>
      </w:pPr>
      <w:r w:rsidRPr="00AD7B8D">
        <w:rPr>
          <w:lang w:val="en-AU"/>
        </w:rPr>
        <w:t>Health facility staff agreed with this point</w:t>
      </w:r>
      <w:r w:rsidR="00FB6B5E">
        <w:rPr>
          <w:lang w:val="en-AU"/>
        </w:rPr>
        <w:t xml:space="preserve"> seeking pharmaceutical expert training in new medicines, new protocols and issues such as dealing with unfamiliar presentations (such as dispersible tables for liquid medicines or suppositories for seriously unwell patients) and generic labelling. </w:t>
      </w:r>
      <w:r w:rsidRPr="00FB6B5E">
        <w:rPr>
          <w:szCs w:val="22"/>
          <w:lang w:val="en-AU"/>
        </w:rPr>
        <w:t xml:space="preserve">Further information can be found in Annex </w:t>
      </w:r>
      <w:r w:rsidR="00170281">
        <w:rPr>
          <w:szCs w:val="22"/>
          <w:lang w:val="en-AU"/>
        </w:rPr>
        <w:t>11</w:t>
      </w:r>
      <w:r w:rsidRPr="00FB6B5E">
        <w:rPr>
          <w:szCs w:val="22"/>
          <w:lang w:val="en-AU"/>
        </w:rPr>
        <w:t>.4.</w:t>
      </w:r>
    </w:p>
    <w:p w14:paraId="191A537C" w14:textId="77777777" w:rsidR="00F47C7D" w:rsidRPr="00E27200" w:rsidRDefault="00F47C7D" w:rsidP="00F47C7D">
      <w:pPr>
        <w:rPr>
          <w:lang w:val="en-AU"/>
        </w:rPr>
      </w:pPr>
    </w:p>
    <w:p w14:paraId="22016FF9" w14:textId="77777777" w:rsidR="00F47C7D" w:rsidRPr="00F974AD" w:rsidRDefault="00FB6B5E" w:rsidP="00F974AD">
      <w:pPr>
        <w:rPr>
          <w:i/>
          <w:lang w:val="en-AU"/>
        </w:rPr>
      </w:pPr>
      <w:r>
        <w:rPr>
          <w:lang w:val="en-AU"/>
        </w:rPr>
        <w:t xml:space="preserve">Sustainable improvement in supplies management at the facility level also requires greater attention to the training in and implementation of SOPs for pharmaceutical management. This again was related to human resource deficiencies </w:t>
      </w:r>
      <w:r w:rsidR="00F974AD">
        <w:rPr>
          <w:lang w:val="en-AU"/>
        </w:rPr>
        <w:t>with supportive supervision to deliver this proving difficult for over-worked pharmacists to provide. Proposals for regular outreach to facilities, such as those raised by the pharmacist at Mt Hagen AMS are surely worthy of further examination.</w:t>
      </w:r>
    </w:p>
    <w:p w14:paraId="2C317894" w14:textId="77777777" w:rsidR="00A968E9" w:rsidRPr="00E27200" w:rsidRDefault="00A968E9" w:rsidP="00691F69">
      <w:pPr>
        <w:pStyle w:val="ListParagraph"/>
        <w:rPr>
          <w:i/>
          <w:lang w:val="en-AU"/>
        </w:rPr>
      </w:pPr>
    </w:p>
    <w:p w14:paraId="00EB866F" w14:textId="2E2D01AB" w:rsidR="00F974AD" w:rsidRDefault="00F974AD" w:rsidP="00691F69">
      <w:pPr>
        <w:rPr>
          <w:lang w:val="en-AU"/>
        </w:rPr>
      </w:pPr>
      <w:r>
        <w:rPr>
          <w:lang w:val="en-AU"/>
        </w:rPr>
        <w:t xml:space="preserve">This evaluation involved a taxing national survey that was designed and conducted in a very short time frame, with field-work travel to more than 100 rural sites by survey teams of two or three taking place over just 15 days. The successful, incident-free fulfilment of this task is testament to the logistic and security capabilities of the HHISP.  It is also true that this could not have taken place without the </w:t>
      </w:r>
      <w:r w:rsidR="00AF0045">
        <w:rPr>
          <w:lang w:val="en-AU"/>
        </w:rPr>
        <w:t>energetic</w:t>
      </w:r>
      <w:r>
        <w:rPr>
          <w:lang w:val="en-AU"/>
        </w:rPr>
        <w:t xml:space="preserve"> participation of the academic staff</w:t>
      </w:r>
      <w:r w:rsidR="00AF0045">
        <w:rPr>
          <w:lang w:val="en-AU"/>
        </w:rPr>
        <w:t xml:space="preserve"> and 61 students of the Department of Pharmacy at UPNG.  The evaluation team draw an important sustainability lesson from this experience: the active engagement with academic stakeholders makes such data gathering possible in a short time, </w:t>
      </w:r>
      <w:r w:rsidR="00A46F28">
        <w:rPr>
          <w:lang w:val="en-AU"/>
        </w:rPr>
        <w:t xml:space="preserve">and also, </w:t>
      </w:r>
      <w:r w:rsidR="00AF0045">
        <w:rPr>
          <w:lang w:val="en-AU"/>
        </w:rPr>
        <w:t>by treating the exercise as a joint research activity, creates a</w:t>
      </w:r>
      <w:r w:rsidR="00B937C4">
        <w:rPr>
          <w:lang w:val="en-AU"/>
        </w:rPr>
        <w:t>n</w:t>
      </w:r>
      <w:r w:rsidR="00AF0045">
        <w:rPr>
          <w:lang w:val="en-AU"/>
        </w:rPr>
        <w:t xml:space="preserve"> academic home for the findings and methods</w:t>
      </w:r>
      <w:r w:rsidR="00A46F28">
        <w:rPr>
          <w:lang w:val="en-AU"/>
        </w:rPr>
        <w:t xml:space="preserve">. This </w:t>
      </w:r>
      <w:r w:rsidR="00AF0045">
        <w:rPr>
          <w:lang w:val="en-AU"/>
        </w:rPr>
        <w:t>ownership is likely to sustain recognition and usage of evaluation findings into the future.  The challenge for later years of this evaluation is to also create links with PNG’s fledgling community of evaluation expertise to extend this even further.</w:t>
      </w:r>
    </w:p>
    <w:p w14:paraId="36C63D1C" w14:textId="77777777" w:rsidR="00EE331E" w:rsidRPr="001810B3" w:rsidRDefault="00EE331E" w:rsidP="001810B3"/>
    <w:p w14:paraId="6690FA6F" w14:textId="77777777" w:rsidR="005B69CE" w:rsidRPr="00E27200" w:rsidRDefault="005B69CE" w:rsidP="00E16C77">
      <w:pPr>
        <w:rPr>
          <w:lang w:val="en-AU"/>
        </w:rPr>
      </w:pPr>
    </w:p>
    <w:p w14:paraId="62E4514F" w14:textId="3D8ED5FF" w:rsidR="005B69CE" w:rsidRDefault="005B69CE" w:rsidP="00E16C77">
      <w:pPr>
        <w:pStyle w:val="Heading2"/>
      </w:pPr>
      <w:bookmarkStart w:id="119" w:name="_Toc239058964"/>
      <w:bookmarkStart w:id="120" w:name="_Toc245620953"/>
      <w:bookmarkStart w:id="121" w:name="_Toc245810768"/>
      <w:r w:rsidRPr="00E27200">
        <w:t>Program recommendations</w:t>
      </w:r>
      <w:bookmarkEnd w:id="119"/>
      <w:r w:rsidR="00683F98">
        <w:t xml:space="preserve"> from the evaluation team</w:t>
      </w:r>
      <w:bookmarkEnd w:id="120"/>
      <w:bookmarkEnd w:id="121"/>
    </w:p>
    <w:p w14:paraId="6C1038F6" w14:textId="1F1C9CF8" w:rsidR="00AF0045" w:rsidRDefault="00AF0045" w:rsidP="00AF0045">
      <w:r>
        <w:t>While the primary intention of this evaluation was to commence a multi-year assessment of progress</w:t>
      </w:r>
      <w:r w:rsidR="00001D3C">
        <w:t xml:space="preserve"> and impact</w:t>
      </w:r>
      <w:r>
        <w:t xml:space="preserve">, there are programmatic recommendations that emerge for the evaluation team.  These </w:t>
      </w:r>
      <w:r w:rsidR="00CD0BA8">
        <w:t xml:space="preserve">are </w:t>
      </w:r>
      <w:r>
        <w:t xml:space="preserve">listed below, </w:t>
      </w:r>
      <w:r w:rsidR="00CD0BA8">
        <w:t xml:space="preserve">firstly a </w:t>
      </w:r>
      <w:r w:rsidR="00BA4E9A">
        <w:t>short list</w:t>
      </w:r>
      <w:r w:rsidR="00CD0BA8">
        <w:t xml:space="preserve"> of the most important, and secondly a listing of more detailed recommendations that address va</w:t>
      </w:r>
      <w:r w:rsidR="00797302">
        <w:t>rious parts of the medical supp</w:t>
      </w:r>
      <w:r w:rsidR="00CD0BA8">
        <w:t>lies system. M</w:t>
      </w:r>
      <w:r>
        <w:t xml:space="preserve">any of </w:t>
      </w:r>
      <w:r w:rsidR="00CD0BA8">
        <w:t xml:space="preserve">these </w:t>
      </w:r>
      <w:r>
        <w:t>echo developments currentl</w:t>
      </w:r>
      <w:r w:rsidR="00683F98">
        <w:t>y underway.</w:t>
      </w:r>
    </w:p>
    <w:p w14:paraId="77A7F421" w14:textId="77777777" w:rsidR="00CC2246" w:rsidRDefault="00CC2246" w:rsidP="00AF0045"/>
    <w:p w14:paraId="771EE79A" w14:textId="199595A2" w:rsidR="00CC2246" w:rsidRDefault="00BA4E9A" w:rsidP="00CC2246">
      <w:pPr>
        <w:pStyle w:val="Heading3"/>
      </w:pPr>
      <w:r>
        <w:lastRenderedPageBreak/>
        <w:t>Key</w:t>
      </w:r>
      <w:r w:rsidR="00CC2246">
        <w:t xml:space="preserve"> recommendations for various stakeholders</w:t>
      </w:r>
    </w:p>
    <w:p w14:paraId="2A644656" w14:textId="77777777" w:rsidR="00AF2188" w:rsidRPr="00DD077E" w:rsidRDefault="00AF2188" w:rsidP="00AD3F80">
      <w:pPr>
        <w:pStyle w:val="ListParagraph"/>
        <w:numPr>
          <w:ilvl w:val="0"/>
          <w:numId w:val="46"/>
        </w:numPr>
        <w:rPr>
          <w:rFonts w:asciiTheme="minorHAnsi" w:hAnsiTheme="minorHAnsi"/>
          <w:szCs w:val="22"/>
        </w:rPr>
      </w:pPr>
      <w:r w:rsidRPr="00DD077E">
        <w:rPr>
          <w:rFonts w:asciiTheme="minorHAnsi" w:hAnsiTheme="minorHAnsi"/>
          <w:b/>
          <w:szCs w:val="22"/>
        </w:rPr>
        <w:t>From 2014,</w:t>
      </w:r>
      <w:r w:rsidRPr="00DD077E">
        <w:rPr>
          <w:rFonts w:asciiTheme="minorHAnsi" w:hAnsiTheme="minorHAnsi"/>
          <w:szCs w:val="22"/>
        </w:rPr>
        <w:t xml:space="preserve"> once GoPNG has reached a clear position on </w:t>
      </w:r>
      <w:r w:rsidRPr="00DD077E">
        <w:rPr>
          <w:rFonts w:asciiTheme="minorHAnsi" w:hAnsiTheme="minorHAnsi"/>
          <w:b/>
          <w:szCs w:val="22"/>
        </w:rPr>
        <w:t>governance structures</w:t>
      </w:r>
      <w:r w:rsidRPr="00DD077E">
        <w:rPr>
          <w:rFonts w:asciiTheme="minorHAnsi" w:hAnsiTheme="minorHAnsi"/>
          <w:szCs w:val="22"/>
        </w:rPr>
        <w:t>: all agencies should work to strengthen transparency, value-for-money and an emphasis on quality assurance for health procurement structures, governance and institutional arrangements; including the outsourcing of procurement and supply chain operations accompanied by more detailed and stringent contract and performance management in the ‘pull’ system (which may draw on some of the procedures developed under the recent kits distribution).</w:t>
      </w:r>
    </w:p>
    <w:p w14:paraId="63EB1247" w14:textId="187E48EB" w:rsidR="00AF2188" w:rsidRPr="00DD077E" w:rsidRDefault="00CE467C" w:rsidP="00AF2188">
      <w:pPr>
        <w:ind w:left="1980"/>
        <w:rPr>
          <w:rFonts w:asciiTheme="minorHAnsi" w:hAnsiTheme="minorHAnsi"/>
          <w:szCs w:val="22"/>
        </w:rPr>
      </w:pPr>
      <w:r w:rsidRPr="00CE467C">
        <w:rPr>
          <w:rFonts w:asciiTheme="minorHAnsi" w:hAnsiTheme="minorHAnsi"/>
          <w:i/>
          <w:szCs w:val="22"/>
        </w:rPr>
        <w:t>Applicable to GoPNG central agencies (including procurement authorities), NDOH, provincial health agencies, development partners</w:t>
      </w:r>
    </w:p>
    <w:p w14:paraId="4C29211B" w14:textId="77777777" w:rsidR="00AF2188" w:rsidRPr="00DD077E" w:rsidRDefault="00AF2188" w:rsidP="00AD3F80">
      <w:pPr>
        <w:pStyle w:val="ListParagraph"/>
        <w:numPr>
          <w:ilvl w:val="0"/>
          <w:numId w:val="46"/>
        </w:numPr>
        <w:rPr>
          <w:rFonts w:asciiTheme="minorHAnsi" w:hAnsiTheme="minorHAnsi"/>
          <w:szCs w:val="22"/>
        </w:rPr>
      </w:pPr>
      <w:r w:rsidRPr="00DD077E">
        <w:rPr>
          <w:rFonts w:asciiTheme="minorHAnsi" w:hAnsiTheme="minorHAnsi"/>
          <w:b/>
          <w:szCs w:val="22"/>
        </w:rPr>
        <w:t>From 2014 over next three to five years: continue the ‘push’ system</w:t>
      </w:r>
      <w:r w:rsidRPr="00DD077E">
        <w:rPr>
          <w:rFonts w:asciiTheme="minorHAnsi" w:hAnsiTheme="minorHAnsi"/>
          <w:szCs w:val="22"/>
        </w:rPr>
        <w:t xml:space="preserve"> of kit distribution, with out-sourced distribution directly to facilities (including APs), to promote equitable coverage until the ‘pull’ system reaches agreed benchmarks for accurate needs-based supply. </w:t>
      </w:r>
    </w:p>
    <w:p w14:paraId="60E7F78D" w14:textId="77777777" w:rsidR="00AF2188" w:rsidRPr="00DD077E" w:rsidRDefault="00AF2188" w:rsidP="00AF2188">
      <w:pPr>
        <w:ind w:left="1980"/>
        <w:rPr>
          <w:rFonts w:asciiTheme="minorHAnsi" w:hAnsiTheme="minorHAnsi"/>
          <w:szCs w:val="22"/>
        </w:rPr>
      </w:pPr>
      <w:r>
        <w:rPr>
          <w:rFonts w:asciiTheme="minorHAnsi" w:hAnsiTheme="minorHAnsi"/>
          <w:i/>
          <w:szCs w:val="22"/>
        </w:rPr>
        <w:t>Applicable to</w:t>
      </w:r>
      <w:r w:rsidRPr="00DD077E">
        <w:rPr>
          <w:rFonts w:asciiTheme="minorHAnsi" w:hAnsiTheme="minorHAnsi"/>
          <w:i/>
          <w:szCs w:val="22"/>
        </w:rPr>
        <w:t xml:space="preserve"> NDOH and Ministry of Health, development partners</w:t>
      </w:r>
    </w:p>
    <w:p w14:paraId="3E10C7E5" w14:textId="0B5F6B15" w:rsidR="00AF2188" w:rsidRPr="00DD077E" w:rsidRDefault="00AF2188" w:rsidP="00AD3F80">
      <w:pPr>
        <w:pStyle w:val="ListParagraph"/>
        <w:numPr>
          <w:ilvl w:val="0"/>
          <w:numId w:val="46"/>
        </w:numPr>
        <w:rPr>
          <w:rFonts w:asciiTheme="minorHAnsi" w:hAnsiTheme="minorHAnsi"/>
          <w:szCs w:val="22"/>
        </w:rPr>
      </w:pPr>
      <w:r w:rsidRPr="00DD077E">
        <w:rPr>
          <w:rFonts w:asciiTheme="minorHAnsi" w:hAnsiTheme="minorHAnsi"/>
          <w:b/>
          <w:szCs w:val="22"/>
        </w:rPr>
        <w:t>From 2014 over next two years: quantification</w:t>
      </w:r>
      <w:r w:rsidRPr="00DD077E">
        <w:rPr>
          <w:rFonts w:asciiTheme="minorHAnsi" w:hAnsiTheme="minorHAnsi"/>
          <w:szCs w:val="22"/>
        </w:rPr>
        <w:t xml:space="preserve"> for both ‘push’ system distribution kits and the NDOH multi-year procurement plan should be enhanced by i</w:t>
      </w:r>
      <w:r>
        <w:rPr>
          <w:rFonts w:asciiTheme="minorHAnsi" w:hAnsiTheme="minorHAnsi"/>
          <w:szCs w:val="22"/>
        </w:rPr>
        <w:t>ntegrated estimates that maximiz</w:t>
      </w:r>
      <w:r w:rsidRPr="00DD077E">
        <w:rPr>
          <w:rFonts w:asciiTheme="minorHAnsi" w:hAnsiTheme="minorHAnsi"/>
          <w:szCs w:val="22"/>
        </w:rPr>
        <w:t xml:space="preserve">e all available information: from vertical programs and AMS medicines usage records, the ‘pull’ system’s vital and essential medicines review, and new </w:t>
      </w:r>
      <w:proofErr w:type="spellStart"/>
      <w:r w:rsidRPr="00DD077E">
        <w:rPr>
          <w:rFonts w:asciiTheme="minorHAnsi" w:hAnsiTheme="minorHAnsi"/>
          <w:szCs w:val="22"/>
        </w:rPr>
        <w:t>eLMIS</w:t>
      </w:r>
      <w:proofErr w:type="spellEnd"/>
      <w:r w:rsidRPr="00DD077E">
        <w:rPr>
          <w:rFonts w:asciiTheme="minorHAnsi" w:hAnsiTheme="minorHAnsi"/>
          <w:szCs w:val="22"/>
        </w:rPr>
        <w:t xml:space="preserve"> data; </w:t>
      </w:r>
      <w:r w:rsidRPr="00DD077E">
        <w:rPr>
          <w:rFonts w:asciiTheme="minorHAnsi" w:hAnsiTheme="minorHAnsi"/>
          <w:i/>
          <w:szCs w:val="22"/>
        </w:rPr>
        <w:t>and</w:t>
      </w:r>
      <w:r w:rsidRPr="00DD077E">
        <w:rPr>
          <w:rFonts w:asciiTheme="minorHAnsi" w:hAnsiTheme="minorHAnsi"/>
          <w:szCs w:val="22"/>
        </w:rPr>
        <w:t xml:space="preserve"> also be informed by rapid operational research (by WHO or another technical partner) into the full range of medicines usage </w:t>
      </w:r>
      <w:r>
        <w:rPr>
          <w:rFonts w:asciiTheme="minorHAnsi" w:hAnsiTheme="minorHAnsi"/>
          <w:szCs w:val="22"/>
        </w:rPr>
        <w:t xml:space="preserve">and disease threats in </w:t>
      </w:r>
      <w:r w:rsidRPr="00DD077E">
        <w:rPr>
          <w:rFonts w:asciiTheme="minorHAnsi" w:hAnsiTheme="minorHAnsi"/>
          <w:szCs w:val="22"/>
        </w:rPr>
        <w:t>a representative sample of HCs, SCs, and APs. This may allow revision of the NDOH multi-year plan in two years</w:t>
      </w:r>
      <w:r w:rsidR="00B937C4">
        <w:rPr>
          <w:rFonts w:asciiTheme="minorHAnsi" w:hAnsiTheme="minorHAnsi"/>
          <w:szCs w:val="22"/>
        </w:rPr>
        <w:t>’</w:t>
      </w:r>
      <w:r w:rsidRPr="00DD077E">
        <w:rPr>
          <w:rFonts w:asciiTheme="minorHAnsi" w:hAnsiTheme="minorHAnsi"/>
          <w:szCs w:val="22"/>
        </w:rPr>
        <w:t xml:space="preserve"> time.</w:t>
      </w:r>
    </w:p>
    <w:p w14:paraId="24D176B5" w14:textId="77777777" w:rsidR="00AF2188" w:rsidRPr="00DD077E" w:rsidRDefault="00AF2188" w:rsidP="00AF2188">
      <w:pPr>
        <w:ind w:left="1980"/>
        <w:rPr>
          <w:rFonts w:asciiTheme="minorHAnsi" w:hAnsiTheme="minorHAnsi"/>
          <w:i/>
          <w:szCs w:val="22"/>
        </w:rPr>
      </w:pPr>
      <w:r>
        <w:rPr>
          <w:rFonts w:asciiTheme="minorHAnsi" w:hAnsiTheme="minorHAnsi"/>
          <w:i/>
          <w:szCs w:val="22"/>
        </w:rPr>
        <w:t>Applicable to</w:t>
      </w:r>
      <w:r w:rsidRPr="00DD077E">
        <w:rPr>
          <w:rFonts w:asciiTheme="minorHAnsi" w:hAnsiTheme="minorHAnsi"/>
          <w:i/>
          <w:szCs w:val="22"/>
        </w:rPr>
        <w:t xml:space="preserve"> NDOH, development partners</w:t>
      </w:r>
    </w:p>
    <w:p w14:paraId="12C3C16B" w14:textId="77777777" w:rsidR="00AF2188" w:rsidRPr="00DD077E" w:rsidRDefault="00AF2188" w:rsidP="00AD3F80">
      <w:pPr>
        <w:pStyle w:val="ListParagraph"/>
        <w:numPr>
          <w:ilvl w:val="0"/>
          <w:numId w:val="46"/>
        </w:numPr>
        <w:rPr>
          <w:rFonts w:asciiTheme="minorHAnsi" w:hAnsiTheme="minorHAnsi"/>
          <w:spacing w:val="-4"/>
          <w:szCs w:val="22"/>
        </w:rPr>
      </w:pPr>
      <w:r>
        <w:rPr>
          <w:rFonts w:asciiTheme="minorHAnsi" w:hAnsiTheme="minorHAnsi"/>
          <w:b/>
          <w:spacing w:val="-4"/>
          <w:szCs w:val="22"/>
        </w:rPr>
        <w:t>From 2014 over next three years</w:t>
      </w:r>
      <w:r w:rsidRPr="00DD077E">
        <w:rPr>
          <w:rFonts w:asciiTheme="minorHAnsi" w:hAnsiTheme="minorHAnsi"/>
          <w:b/>
          <w:spacing w:val="-4"/>
          <w:szCs w:val="22"/>
        </w:rPr>
        <w:t>:</w:t>
      </w:r>
      <w:r w:rsidRPr="00DD077E">
        <w:rPr>
          <w:rFonts w:asciiTheme="minorHAnsi" w:hAnsiTheme="minorHAnsi"/>
          <w:spacing w:val="-4"/>
          <w:szCs w:val="22"/>
        </w:rPr>
        <w:t xml:space="preserve"> </w:t>
      </w:r>
      <w:r>
        <w:rPr>
          <w:rFonts w:asciiTheme="minorHAnsi" w:hAnsiTheme="minorHAnsi"/>
          <w:b/>
          <w:spacing w:val="-4"/>
          <w:szCs w:val="22"/>
        </w:rPr>
        <w:t xml:space="preserve">intensify support to </w:t>
      </w:r>
      <w:r w:rsidRPr="00DD077E">
        <w:rPr>
          <w:rFonts w:asciiTheme="minorHAnsi" w:hAnsiTheme="minorHAnsi"/>
          <w:b/>
          <w:spacing w:val="-4"/>
          <w:szCs w:val="22"/>
        </w:rPr>
        <w:t>other current medical supplies management reforms,</w:t>
      </w:r>
      <w:r>
        <w:rPr>
          <w:rFonts w:asciiTheme="minorHAnsi" w:hAnsiTheme="minorHAnsi"/>
          <w:spacing w:val="-4"/>
          <w:szCs w:val="22"/>
        </w:rPr>
        <w:t xml:space="preserve"> as in the MSPD reform plan</w:t>
      </w:r>
      <w:r w:rsidRPr="00DD077E">
        <w:rPr>
          <w:rFonts w:asciiTheme="minorHAnsi" w:hAnsiTheme="minorHAnsi"/>
          <w:spacing w:val="-4"/>
          <w:szCs w:val="22"/>
        </w:rPr>
        <w:t>, particularly</w:t>
      </w:r>
      <w:r>
        <w:rPr>
          <w:rFonts w:asciiTheme="minorHAnsi" w:hAnsiTheme="minorHAnsi"/>
          <w:spacing w:val="-4"/>
          <w:szCs w:val="22"/>
        </w:rPr>
        <w:t>:</w:t>
      </w:r>
      <w:r w:rsidRPr="00DD077E">
        <w:rPr>
          <w:rFonts w:asciiTheme="minorHAnsi" w:hAnsiTheme="minorHAnsi"/>
          <w:spacing w:val="-4"/>
          <w:szCs w:val="22"/>
        </w:rPr>
        <w:t xml:space="preserve"> expanded introduction of </w:t>
      </w:r>
      <w:r>
        <w:rPr>
          <w:rFonts w:asciiTheme="minorHAnsi" w:hAnsiTheme="minorHAnsi"/>
          <w:spacing w:val="-4"/>
          <w:szCs w:val="22"/>
        </w:rPr>
        <w:t xml:space="preserve">the </w:t>
      </w:r>
      <w:proofErr w:type="spellStart"/>
      <w:r w:rsidRPr="00DD077E">
        <w:rPr>
          <w:rFonts w:asciiTheme="minorHAnsi" w:hAnsiTheme="minorHAnsi"/>
          <w:spacing w:val="-4"/>
          <w:szCs w:val="22"/>
        </w:rPr>
        <w:t>e</w:t>
      </w:r>
      <w:r>
        <w:rPr>
          <w:rFonts w:asciiTheme="minorHAnsi" w:hAnsiTheme="minorHAnsi"/>
          <w:spacing w:val="-4"/>
          <w:szCs w:val="22"/>
        </w:rPr>
        <w:t>LMIS</w:t>
      </w:r>
      <w:proofErr w:type="spellEnd"/>
      <w:r w:rsidRPr="00DD077E">
        <w:rPr>
          <w:rFonts w:asciiTheme="minorHAnsi" w:hAnsiTheme="minorHAnsi"/>
          <w:spacing w:val="-4"/>
          <w:szCs w:val="22"/>
        </w:rPr>
        <w:t xml:space="preserve"> (</w:t>
      </w:r>
      <w:proofErr w:type="spellStart"/>
      <w:r w:rsidRPr="00DD077E">
        <w:rPr>
          <w:rFonts w:asciiTheme="minorHAnsi" w:hAnsiTheme="minorHAnsi"/>
          <w:spacing w:val="-4"/>
          <w:szCs w:val="22"/>
        </w:rPr>
        <w:t>mSupply</w:t>
      </w:r>
      <w:proofErr w:type="spellEnd"/>
      <w:r w:rsidRPr="00DD077E">
        <w:rPr>
          <w:rFonts w:asciiTheme="minorHAnsi" w:hAnsiTheme="minorHAnsi"/>
          <w:spacing w:val="-4"/>
          <w:szCs w:val="22"/>
        </w:rPr>
        <w:t xml:space="preserve">) to </w:t>
      </w:r>
      <w:r>
        <w:rPr>
          <w:rFonts w:asciiTheme="minorHAnsi" w:hAnsiTheme="minorHAnsi"/>
          <w:spacing w:val="-4"/>
          <w:szCs w:val="22"/>
        </w:rPr>
        <w:t xml:space="preserve">regional </w:t>
      </w:r>
      <w:r w:rsidRPr="00DD077E">
        <w:rPr>
          <w:rFonts w:asciiTheme="minorHAnsi" w:hAnsiTheme="minorHAnsi"/>
          <w:spacing w:val="-4"/>
          <w:szCs w:val="22"/>
        </w:rPr>
        <w:t>AMS and pilot provincial locations</w:t>
      </w:r>
      <w:r>
        <w:rPr>
          <w:rFonts w:asciiTheme="minorHAnsi" w:hAnsiTheme="minorHAnsi"/>
          <w:spacing w:val="-4"/>
          <w:szCs w:val="22"/>
        </w:rPr>
        <w:t>;</w:t>
      </w:r>
      <w:r w:rsidRPr="00525D2E">
        <w:rPr>
          <w:rFonts w:asciiTheme="minorHAnsi" w:hAnsiTheme="minorHAnsi"/>
          <w:spacing w:val="-4"/>
          <w:szCs w:val="22"/>
        </w:rPr>
        <w:t xml:space="preserve"> integration of distribution resources and systems </w:t>
      </w:r>
      <w:r>
        <w:rPr>
          <w:rFonts w:asciiTheme="minorHAnsi" w:hAnsiTheme="minorHAnsi"/>
          <w:spacing w:val="-4"/>
          <w:szCs w:val="22"/>
        </w:rPr>
        <w:t>across</w:t>
      </w:r>
      <w:r w:rsidRPr="00525D2E">
        <w:rPr>
          <w:rFonts w:asciiTheme="minorHAnsi" w:hAnsiTheme="minorHAnsi"/>
          <w:spacing w:val="-4"/>
          <w:szCs w:val="22"/>
        </w:rPr>
        <w:t xml:space="preserve"> ‘pull’</w:t>
      </w:r>
      <w:r>
        <w:rPr>
          <w:rFonts w:asciiTheme="minorHAnsi" w:hAnsiTheme="minorHAnsi"/>
          <w:spacing w:val="-4"/>
          <w:szCs w:val="22"/>
        </w:rPr>
        <w:t>,</w:t>
      </w:r>
      <w:r w:rsidRPr="00525D2E">
        <w:rPr>
          <w:rFonts w:asciiTheme="minorHAnsi" w:hAnsiTheme="minorHAnsi"/>
          <w:spacing w:val="-4"/>
          <w:szCs w:val="22"/>
        </w:rPr>
        <w:t xml:space="preserve"> ‘push’ and vertical programs</w:t>
      </w:r>
      <w:r>
        <w:rPr>
          <w:rFonts w:asciiTheme="minorHAnsi" w:hAnsiTheme="minorHAnsi"/>
          <w:spacing w:val="-4"/>
          <w:szCs w:val="22"/>
        </w:rPr>
        <w:t>; and</w:t>
      </w:r>
      <w:r w:rsidRPr="00525D2E">
        <w:rPr>
          <w:rFonts w:asciiTheme="minorHAnsi" w:hAnsiTheme="minorHAnsi"/>
          <w:spacing w:val="-4"/>
          <w:szCs w:val="22"/>
        </w:rPr>
        <w:t xml:space="preserve"> </w:t>
      </w:r>
      <w:r w:rsidRPr="00DD077E">
        <w:rPr>
          <w:rFonts w:asciiTheme="minorHAnsi" w:hAnsiTheme="minorHAnsi"/>
          <w:spacing w:val="-4"/>
          <w:szCs w:val="22"/>
        </w:rPr>
        <w:t>expanded quality assurance staffing</w:t>
      </w:r>
      <w:r>
        <w:rPr>
          <w:rFonts w:asciiTheme="minorHAnsi" w:hAnsiTheme="minorHAnsi"/>
          <w:spacing w:val="-4"/>
          <w:szCs w:val="22"/>
        </w:rPr>
        <w:t>, equipment and</w:t>
      </w:r>
      <w:r w:rsidRPr="00DD077E">
        <w:rPr>
          <w:rFonts w:asciiTheme="minorHAnsi" w:hAnsiTheme="minorHAnsi"/>
          <w:spacing w:val="-4"/>
          <w:szCs w:val="22"/>
        </w:rPr>
        <w:t xml:space="preserve"> </w:t>
      </w:r>
      <w:r>
        <w:rPr>
          <w:rFonts w:asciiTheme="minorHAnsi" w:hAnsiTheme="minorHAnsi"/>
          <w:spacing w:val="-4"/>
          <w:szCs w:val="22"/>
        </w:rPr>
        <w:t>procedures for whole of system monitoring</w:t>
      </w:r>
      <w:r w:rsidRPr="00DD077E">
        <w:rPr>
          <w:rFonts w:asciiTheme="minorHAnsi" w:hAnsiTheme="minorHAnsi"/>
          <w:spacing w:val="-4"/>
          <w:szCs w:val="22"/>
        </w:rPr>
        <w:t xml:space="preserve">. </w:t>
      </w:r>
    </w:p>
    <w:p w14:paraId="7ADFDA2B" w14:textId="77777777" w:rsidR="00AF2188" w:rsidRPr="00DD077E" w:rsidRDefault="00AF2188" w:rsidP="00AF2188">
      <w:pPr>
        <w:ind w:left="1980"/>
        <w:rPr>
          <w:rFonts w:asciiTheme="minorHAnsi" w:hAnsiTheme="minorHAnsi"/>
          <w:szCs w:val="22"/>
        </w:rPr>
      </w:pPr>
      <w:r w:rsidRPr="00DD077E">
        <w:rPr>
          <w:rFonts w:asciiTheme="minorHAnsi" w:hAnsiTheme="minorHAnsi"/>
          <w:i/>
          <w:szCs w:val="22"/>
        </w:rPr>
        <w:t xml:space="preserve">Applicable to NDOH, development partners, provincial health agencies, government and non-government health facilities with existing </w:t>
      </w:r>
      <w:proofErr w:type="spellStart"/>
      <w:r w:rsidRPr="00DD077E">
        <w:rPr>
          <w:rFonts w:asciiTheme="minorHAnsi" w:hAnsiTheme="minorHAnsi"/>
          <w:i/>
          <w:szCs w:val="22"/>
        </w:rPr>
        <w:t>eLMIS</w:t>
      </w:r>
      <w:proofErr w:type="spellEnd"/>
    </w:p>
    <w:p w14:paraId="78C19B94" w14:textId="77777777" w:rsidR="00AF2188" w:rsidRPr="00DD077E" w:rsidRDefault="00AF2188" w:rsidP="00AD3F80">
      <w:pPr>
        <w:pStyle w:val="ListParagraph"/>
        <w:numPr>
          <w:ilvl w:val="0"/>
          <w:numId w:val="46"/>
        </w:numPr>
        <w:rPr>
          <w:rFonts w:asciiTheme="minorHAnsi" w:hAnsiTheme="minorHAnsi"/>
          <w:szCs w:val="22"/>
        </w:rPr>
      </w:pPr>
      <w:r w:rsidRPr="00DD077E">
        <w:rPr>
          <w:rFonts w:asciiTheme="minorHAnsi" w:hAnsiTheme="minorHAnsi"/>
          <w:b/>
          <w:szCs w:val="22"/>
        </w:rPr>
        <w:t>From 2014: Support provincial and district involvement</w:t>
      </w:r>
      <w:r w:rsidRPr="00DD077E">
        <w:rPr>
          <w:rFonts w:asciiTheme="minorHAnsi" w:hAnsiTheme="minorHAnsi"/>
          <w:szCs w:val="22"/>
        </w:rPr>
        <w:t xml:space="preserve"> in management and quality improvement for both ‘push’ system kits deliveries and the handling of medical supplies in rural facilities through planning meetings of contractors and provincial/district managers prior to kit deliveries; and support stronger integrated supervision of medicines management and rational usage within provinces by increasing pharmacist </w:t>
      </w:r>
      <w:r>
        <w:rPr>
          <w:rFonts w:asciiTheme="minorHAnsi" w:hAnsiTheme="minorHAnsi"/>
          <w:szCs w:val="22"/>
        </w:rPr>
        <w:t>and</w:t>
      </w:r>
      <w:r w:rsidRPr="00DD077E">
        <w:rPr>
          <w:rFonts w:asciiTheme="minorHAnsi" w:hAnsiTheme="minorHAnsi"/>
          <w:szCs w:val="22"/>
        </w:rPr>
        <w:t xml:space="preserve"> pharmacy technician positions and placements in provincial health agencies, including PTS, as well as supporting existing district/provincial managers and/or AMS staff in supervision visits at HFs.</w:t>
      </w:r>
    </w:p>
    <w:p w14:paraId="367A75A0" w14:textId="77777777" w:rsidR="00AF2188" w:rsidRPr="00DD077E" w:rsidRDefault="00AF2188" w:rsidP="00AF2188">
      <w:pPr>
        <w:ind w:left="1980"/>
        <w:rPr>
          <w:rFonts w:asciiTheme="minorHAnsi" w:hAnsiTheme="minorHAnsi"/>
          <w:szCs w:val="22"/>
        </w:rPr>
      </w:pPr>
      <w:r w:rsidRPr="00DD077E">
        <w:rPr>
          <w:rFonts w:asciiTheme="minorHAnsi" w:hAnsiTheme="minorHAnsi"/>
          <w:i/>
          <w:szCs w:val="22"/>
        </w:rPr>
        <w:t>Applicable to provincial health managers, NDOH, development partner activity planners, non-government health planners, local health NGOs</w:t>
      </w:r>
    </w:p>
    <w:p w14:paraId="12FF5484" w14:textId="21860725" w:rsidR="00AF2188" w:rsidRPr="00DD077E" w:rsidRDefault="00AF2188" w:rsidP="00AD3F80">
      <w:pPr>
        <w:pStyle w:val="ListParagraph"/>
        <w:numPr>
          <w:ilvl w:val="0"/>
          <w:numId w:val="46"/>
        </w:numPr>
        <w:rPr>
          <w:rFonts w:asciiTheme="minorHAnsi" w:hAnsiTheme="minorHAnsi"/>
          <w:spacing w:val="-4"/>
          <w:szCs w:val="22"/>
        </w:rPr>
      </w:pPr>
      <w:r w:rsidRPr="00DD077E">
        <w:rPr>
          <w:rFonts w:asciiTheme="minorHAnsi" w:hAnsiTheme="minorHAnsi"/>
          <w:b/>
          <w:szCs w:val="22"/>
        </w:rPr>
        <w:t xml:space="preserve">From 2014: continued commitment to evaluation, </w:t>
      </w:r>
      <w:r w:rsidRPr="00DD077E">
        <w:rPr>
          <w:rFonts w:asciiTheme="minorHAnsi" w:hAnsiTheme="minorHAnsi"/>
          <w:szCs w:val="22"/>
        </w:rPr>
        <w:t>tracking progress and impact</w:t>
      </w:r>
      <w:r w:rsidRPr="00DD077E">
        <w:rPr>
          <w:rFonts w:asciiTheme="minorHAnsi" w:hAnsiTheme="minorHAnsi"/>
          <w:b/>
          <w:szCs w:val="22"/>
        </w:rPr>
        <w:t xml:space="preserve"> </w:t>
      </w:r>
      <w:r w:rsidRPr="00DD077E">
        <w:rPr>
          <w:rFonts w:asciiTheme="minorHAnsi" w:hAnsiTheme="minorHAnsi"/>
          <w:szCs w:val="22"/>
        </w:rPr>
        <w:t>using the benchmarks in this first year’s work, maintaining the academic partnership with UPNG (noting their benefits in capacity development and sustainability)</w:t>
      </w:r>
      <w:r>
        <w:rPr>
          <w:rFonts w:asciiTheme="minorHAnsi" w:hAnsiTheme="minorHAnsi"/>
          <w:szCs w:val="22"/>
        </w:rPr>
        <w:t xml:space="preserve"> and other technical partners</w:t>
      </w:r>
      <w:r w:rsidRPr="00DD077E">
        <w:rPr>
          <w:rFonts w:asciiTheme="minorHAnsi" w:hAnsiTheme="minorHAnsi"/>
          <w:szCs w:val="22"/>
        </w:rPr>
        <w:t>, as well as review of findings in this report and the detailed recommendations below to inform program management.</w:t>
      </w:r>
      <w:r w:rsidR="00255508">
        <w:rPr>
          <w:rFonts w:asciiTheme="minorHAnsi" w:hAnsiTheme="minorHAnsi"/>
          <w:szCs w:val="22"/>
        </w:rPr>
        <w:t xml:space="preserve"> Consider review of the NHIS stock-out indicator.</w:t>
      </w:r>
    </w:p>
    <w:p w14:paraId="685A1A2D" w14:textId="77777777" w:rsidR="00AF2188" w:rsidRPr="001810B3" w:rsidRDefault="00AF2188" w:rsidP="00AF2188">
      <w:pPr>
        <w:ind w:left="1980"/>
        <w:rPr>
          <w:rFonts w:asciiTheme="minorHAnsi" w:hAnsiTheme="minorHAnsi"/>
          <w:i/>
          <w:spacing w:val="-4"/>
          <w:szCs w:val="22"/>
        </w:rPr>
      </w:pPr>
      <w:r w:rsidRPr="00DD077E">
        <w:rPr>
          <w:rFonts w:asciiTheme="minorHAnsi" w:hAnsiTheme="minorHAnsi"/>
          <w:i/>
          <w:spacing w:val="-4"/>
          <w:szCs w:val="22"/>
        </w:rPr>
        <w:t>Applicable to program managers at national and provincial levels, in government and development partner programs, NDOH, development partners</w:t>
      </w:r>
    </w:p>
    <w:p w14:paraId="04F3EB6F" w14:textId="6B466C72" w:rsidR="00CC2246" w:rsidRPr="00DD077E" w:rsidRDefault="00CC2246" w:rsidP="00AF0045">
      <w:pPr>
        <w:rPr>
          <w:rFonts w:asciiTheme="minorHAnsi" w:hAnsiTheme="minorHAnsi"/>
        </w:rPr>
      </w:pPr>
    </w:p>
    <w:p w14:paraId="78EC0434" w14:textId="07BB3AB1" w:rsidR="00807F00" w:rsidRDefault="00CC2246" w:rsidP="00807F00">
      <w:pPr>
        <w:pStyle w:val="Heading3"/>
      </w:pPr>
      <w:r>
        <w:t>Detailed recommendations f</w:t>
      </w:r>
      <w:r w:rsidR="00683F98">
        <w:t>or n</w:t>
      </w:r>
      <w:r w:rsidR="00807F00">
        <w:t>ational planning, financing and procurement</w:t>
      </w:r>
    </w:p>
    <w:p w14:paraId="116A4983" w14:textId="34C753B8" w:rsidR="00807F00" w:rsidRPr="001C5A5C" w:rsidRDefault="001008BC" w:rsidP="001C5A5C">
      <w:pPr>
        <w:pStyle w:val="TOC1"/>
        <w:rPr>
          <w:rFonts w:asciiTheme="minorHAnsi" w:eastAsiaTheme="minorEastAsia" w:hAnsiTheme="minorHAnsi" w:cstheme="minorBidi"/>
          <w:b w:val="0"/>
          <w:color w:val="000000" w:themeColor="text1"/>
          <w:sz w:val="24"/>
          <w:szCs w:val="24"/>
          <w:lang w:val="en-AU" w:eastAsia="ja-JP"/>
        </w:rPr>
      </w:pPr>
      <w:r>
        <w:rPr>
          <w:color w:val="000000" w:themeColor="text1"/>
        </w:rPr>
        <w:t>N</w:t>
      </w:r>
      <w:r w:rsidR="00EE20E8">
        <w:rPr>
          <w:color w:val="000000" w:themeColor="text1"/>
        </w:rPr>
        <w:t>ational planning and</w:t>
      </w:r>
      <w:r w:rsidR="00807F00">
        <w:rPr>
          <w:color w:val="000000" w:themeColor="text1"/>
        </w:rPr>
        <w:t xml:space="preserve"> budgeting </w:t>
      </w:r>
    </w:p>
    <w:p w14:paraId="3592DB91" w14:textId="297F6A6E" w:rsidR="00807F00" w:rsidRDefault="00D817F1" w:rsidP="004015A0">
      <w:pPr>
        <w:pStyle w:val="ListParagraph"/>
        <w:numPr>
          <w:ilvl w:val="0"/>
          <w:numId w:val="9"/>
        </w:numPr>
      </w:pPr>
      <w:r>
        <w:t>From 2014, r</w:t>
      </w:r>
      <w:r w:rsidR="00807F00">
        <w:t>e</w:t>
      </w:r>
      <w:r w:rsidR="00EE20E8">
        <w:t xml:space="preserve">consider </w:t>
      </w:r>
      <w:r w:rsidR="00807F00">
        <w:t>th</w:t>
      </w:r>
      <w:r w:rsidR="00683F98">
        <w:t>e length of the multi-</w:t>
      </w:r>
      <w:r w:rsidR="00EE20E8">
        <w:t xml:space="preserve">year </w:t>
      </w:r>
      <w:r w:rsidR="00866DC7">
        <w:t xml:space="preserve">procurement </w:t>
      </w:r>
      <w:r w:rsidR="00EE20E8">
        <w:t>plan</w:t>
      </w:r>
      <w:r w:rsidR="00BA4E9A">
        <w:t xml:space="preserve"> (proposing two years rather than three years)</w:t>
      </w:r>
      <w:r w:rsidR="00EE20E8">
        <w:t xml:space="preserve"> to allow for review and re</w:t>
      </w:r>
      <w:r w:rsidR="00683F98">
        <w:t>-</w:t>
      </w:r>
      <w:r w:rsidR="00EE20E8">
        <w:t>planning after two years</w:t>
      </w:r>
      <w:r w:rsidR="00866DC7">
        <w:t xml:space="preserve"> (</w:t>
      </w:r>
      <w:r w:rsidR="00EE20E8">
        <w:t>as new data come in</w:t>
      </w:r>
      <w:r w:rsidR="00866DC7">
        <w:t>), in an integrated quantification and planning process</w:t>
      </w:r>
      <w:r>
        <w:t xml:space="preserve"> including vertical programs </w:t>
      </w:r>
      <w:r>
        <w:lastRenderedPageBreak/>
        <w:t>and kit medicines (with reference to usage data in this evaluation)</w:t>
      </w:r>
      <w:r w:rsidR="00866DC7">
        <w:t>,</w:t>
      </w:r>
      <w:r w:rsidR="00EE20E8">
        <w:t xml:space="preserve"> </w:t>
      </w:r>
      <w:r w:rsidR="00683F98">
        <w:t xml:space="preserve">and </w:t>
      </w:r>
      <w:r w:rsidR="00EE20E8">
        <w:t>s</w:t>
      </w:r>
      <w:r w:rsidR="00683F98">
        <w:t>upport operationalization of this plan</w:t>
      </w:r>
      <w:r w:rsidR="00EE20E8">
        <w:t xml:space="preserve"> as soon as possible following the vital and essential medicine</w:t>
      </w:r>
      <w:r w:rsidR="00683F98">
        <w:t>s</w:t>
      </w:r>
      <w:r w:rsidR="00EE20E8">
        <w:t xml:space="preserve"> review.  </w:t>
      </w:r>
      <w:r w:rsidR="00807F00">
        <w:t xml:space="preserve"> </w:t>
      </w:r>
    </w:p>
    <w:p w14:paraId="666209FC" w14:textId="6D25885F" w:rsidR="00807F00" w:rsidRDefault="00D817F1" w:rsidP="00793187">
      <w:pPr>
        <w:pStyle w:val="ListParagraph"/>
        <w:numPr>
          <w:ilvl w:val="0"/>
          <w:numId w:val="9"/>
        </w:numPr>
      </w:pPr>
      <w:r>
        <w:rPr>
          <w:spacing w:val="-6"/>
          <w:szCs w:val="22"/>
        </w:rPr>
        <w:t>Immediate r</w:t>
      </w:r>
      <w:r w:rsidR="00793187">
        <w:rPr>
          <w:spacing w:val="-6"/>
          <w:szCs w:val="22"/>
        </w:rPr>
        <w:t>apid o</w:t>
      </w:r>
      <w:r w:rsidR="00683F98" w:rsidRPr="00683F98">
        <w:rPr>
          <w:spacing w:val="-2"/>
          <w:szCs w:val="22"/>
        </w:rPr>
        <w:t xml:space="preserve">perational research into </w:t>
      </w:r>
      <w:r w:rsidR="00793187">
        <w:rPr>
          <w:spacing w:val="-2"/>
          <w:szCs w:val="22"/>
        </w:rPr>
        <w:t>the full range of</w:t>
      </w:r>
      <w:r w:rsidR="00793187" w:rsidRPr="00683F98">
        <w:rPr>
          <w:spacing w:val="-2"/>
          <w:szCs w:val="22"/>
        </w:rPr>
        <w:t xml:space="preserve"> </w:t>
      </w:r>
      <w:r w:rsidR="00683F98" w:rsidRPr="00683F98">
        <w:rPr>
          <w:spacing w:val="-2"/>
          <w:szCs w:val="22"/>
        </w:rPr>
        <w:t>medicine usage patterns at representative health facilities</w:t>
      </w:r>
      <w:r w:rsidR="00793187">
        <w:rPr>
          <w:spacing w:val="-2"/>
          <w:szCs w:val="22"/>
        </w:rPr>
        <w:t xml:space="preserve"> (HC, SC and AP)</w:t>
      </w:r>
      <w:r w:rsidR="00683F98" w:rsidRPr="00683F98">
        <w:rPr>
          <w:spacing w:val="-2"/>
          <w:szCs w:val="22"/>
        </w:rPr>
        <w:t>, matched with local profiles of disease</w:t>
      </w:r>
      <w:r w:rsidR="00FB6899">
        <w:rPr>
          <w:rStyle w:val="FootnoteReference"/>
          <w:spacing w:val="-2"/>
          <w:szCs w:val="22"/>
        </w:rPr>
        <w:footnoteReference w:id="36"/>
      </w:r>
      <w:r w:rsidR="00683F98" w:rsidRPr="00683F98">
        <w:rPr>
          <w:spacing w:val="-2"/>
          <w:szCs w:val="22"/>
        </w:rPr>
        <w:t xml:space="preserve"> and the degree of rational medicines usage, </w:t>
      </w:r>
      <w:r w:rsidR="00793187">
        <w:rPr>
          <w:spacing w:val="-2"/>
          <w:szCs w:val="22"/>
        </w:rPr>
        <w:t xml:space="preserve">along with analysis of the detailed usage data in this evaluation’s survey, </w:t>
      </w:r>
      <w:r w:rsidR="00683F98" w:rsidRPr="00683F98">
        <w:rPr>
          <w:spacing w:val="-2"/>
          <w:szCs w:val="22"/>
        </w:rPr>
        <w:t xml:space="preserve">as an interim </w:t>
      </w:r>
      <w:r w:rsidR="00793187">
        <w:rPr>
          <w:spacing w:val="-2"/>
          <w:szCs w:val="22"/>
        </w:rPr>
        <w:t xml:space="preserve">quantification </w:t>
      </w:r>
      <w:r w:rsidR="00683F98" w:rsidRPr="00683F98">
        <w:rPr>
          <w:spacing w:val="-2"/>
          <w:szCs w:val="22"/>
        </w:rPr>
        <w:t>tool until more comprehensive and timely routine usage data become available</w:t>
      </w:r>
      <w:r w:rsidR="00F24E92">
        <w:rPr>
          <w:spacing w:val="-2"/>
          <w:szCs w:val="22"/>
        </w:rPr>
        <w:t xml:space="preserve"> from an </w:t>
      </w:r>
      <w:proofErr w:type="spellStart"/>
      <w:r w:rsidR="00F24E92">
        <w:rPr>
          <w:spacing w:val="-2"/>
          <w:szCs w:val="22"/>
        </w:rPr>
        <w:t>eLMIS</w:t>
      </w:r>
      <w:proofErr w:type="spellEnd"/>
      <w:r w:rsidR="00F24E92">
        <w:rPr>
          <w:spacing w:val="-2"/>
          <w:szCs w:val="22"/>
        </w:rPr>
        <w:t xml:space="preserve"> and other sources</w:t>
      </w:r>
      <w:r w:rsidR="00683F98" w:rsidRPr="00683F98">
        <w:rPr>
          <w:spacing w:val="-2"/>
          <w:szCs w:val="22"/>
        </w:rPr>
        <w:t>.</w:t>
      </w:r>
      <w:r w:rsidR="00094742">
        <w:rPr>
          <w:spacing w:val="-2"/>
          <w:szCs w:val="22"/>
        </w:rPr>
        <w:t xml:space="preserve"> </w:t>
      </w:r>
      <w:r w:rsidR="00094742">
        <w:t>Over the next three years, consider structured involvement of provincial and district managers in planning content lists for kits.</w:t>
      </w:r>
    </w:p>
    <w:p w14:paraId="5A2600F5" w14:textId="38300A8C" w:rsidR="003229ED" w:rsidRDefault="00D817F1" w:rsidP="004015A0">
      <w:pPr>
        <w:pStyle w:val="ListParagraph"/>
        <w:numPr>
          <w:ilvl w:val="0"/>
          <w:numId w:val="9"/>
        </w:numPr>
      </w:pPr>
      <w:r>
        <w:t>Over three to five years, p</w:t>
      </w:r>
      <w:r w:rsidR="003229ED">
        <w:t>lan for continuation of supplementary kit ‘push’ systems</w:t>
      </w:r>
      <w:r w:rsidR="00793187">
        <w:t>, until the</w:t>
      </w:r>
      <w:r w:rsidR="00255508">
        <w:t xml:space="preserve"> </w:t>
      </w:r>
      <w:r w:rsidR="007E5D9E">
        <w:t>‘</w:t>
      </w:r>
      <w:r w:rsidR="00793187">
        <w:t xml:space="preserve">push’ system </w:t>
      </w:r>
      <w:r w:rsidR="00793187" w:rsidRPr="00793187">
        <w:t>reaches agreed development benchmarks (perhaps until it can undertake accurate needs-based supply of the majority of health facility orders)</w:t>
      </w:r>
      <w:r w:rsidR="003229ED">
        <w:t>.</w:t>
      </w:r>
    </w:p>
    <w:p w14:paraId="28985DEF" w14:textId="355F6CA5" w:rsidR="00255508" w:rsidRDefault="00255508" w:rsidP="004015A0">
      <w:pPr>
        <w:pStyle w:val="ListParagraph"/>
        <w:numPr>
          <w:ilvl w:val="0"/>
          <w:numId w:val="9"/>
        </w:numPr>
      </w:pPr>
      <w:r>
        <w:t>This evaluation has demonstrated an alternative presentation of the data already collected within the NHIS, providing a stronger focus on specific vital and essential medicines.  This approach, and alignment with WHO measures, could be considered in review or expansion of the current Indicator 27, that consolidates stock-out measures.</w:t>
      </w:r>
    </w:p>
    <w:p w14:paraId="2CCC26FF" w14:textId="77777777" w:rsidR="00807F00" w:rsidRDefault="00807F00" w:rsidP="00CA0981">
      <w:pPr>
        <w:ind w:left="360"/>
      </w:pPr>
    </w:p>
    <w:p w14:paraId="2F00D257" w14:textId="77777777" w:rsidR="00807F00" w:rsidRPr="001008BC" w:rsidRDefault="00807F00" w:rsidP="00807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bCs/>
          <w:color w:val="000000"/>
          <w:szCs w:val="19"/>
        </w:rPr>
      </w:pPr>
      <w:r w:rsidRPr="001008BC">
        <w:rPr>
          <w:rFonts w:asciiTheme="minorHAnsi" w:hAnsiTheme="minorHAnsi" w:cs="Helvetica"/>
          <w:b/>
          <w:bCs/>
          <w:color w:val="000000"/>
          <w:szCs w:val="19"/>
        </w:rPr>
        <w:t xml:space="preserve">Procurement </w:t>
      </w:r>
      <w:r w:rsidR="001008BC" w:rsidRPr="001008BC">
        <w:rPr>
          <w:rFonts w:asciiTheme="minorHAnsi" w:hAnsiTheme="minorHAnsi" w:cs="Helvetica"/>
          <w:b/>
          <w:bCs/>
          <w:color w:val="000000"/>
          <w:szCs w:val="19"/>
        </w:rPr>
        <w:t>tendering and governance</w:t>
      </w:r>
    </w:p>
    <w:p w14:paraId="6F442322" w14:textId="52FCC67D" w:rsidR="001008BC" w:rsidRDefault="00AE50CC" w:rsidP="00AD3F80">
      <w:pPr>
        <w:pStyle w:val="ListParagraph"/>
        <w:numPr>
          <w:ilvl w:val="0"/>
          <w:numId w:val="31"/>
        </w:numPr>
      </w:pPr>
      <w:r>
        <w:t>Once</w:t>
      </w:r>
      <w:r w:rsidRPr="00AE50CC">
        <w:t xml:space="preserve"> </w:t>
      </w:r>
      <w:r>
        <w:t>GoPNG has reached a clear position on governance structures, al</w:t>
      </w:r>
      <w:r w:rsidR="0060379C">
        <w:t>l agencies</w:t>
      </w:r>
      <w:r w:rsidR="00225BFA">
        <w:t xml:space="preserve"> (government and development partner)</w:t>
      </w:r>
      <w:r w:rsidR="0060379C">
        <w:t xml:space="preserve"> should work to strengthen</w:t>
      </w:r>
      <w:r w:rsidR="001008BC">
        <w:t xml:space="preserve"> </w:t>
      </w:r>
      <w:r w:rsidR="0060379C">
        <w:t xml:space="preserve">transparency, </w:t>
      </w:r>
      <w:r w:rsidR="004E4365">
        <w:t>value-for-money</w:t>
      </w:r>
      <w:r w:rsidR="0060379C">
        <w:t xml:space="preserve"> and an emp</w:t>
      </w:r>
      <w:r w:rsidR="004E4365">
        <w:t>ha</w:t>
      </w:r>
      <w:r w:rsidR="0060379C">
        <w:t xml:space="preserve">sis on quality assurance for </w:t>
      </w:r>
      <w:r w:rsidR="001008BC">
        <w:t>health procurement structures, governance and institutional arrangements</w:t>
      </w:r>
      <w:r w:rsidR="0048042B">
        <w:t>,</w:t>
      </w:r>
      <w:r w:rsidR="0060379C">
        <w:t xml:space="preserve"> once; including the outsourcing</w:t>
      </w:r>
      <w:r w:rsidR="004E4365">
        <w:t xml:space="preserve"> of</w:t>
      </w:r>
      <w:r w:rsidR="0060379C">
        <w:t xml:space="preserve"> procurement and supply chain structures </w:t>
      </w:r>
      <w:r w:rsidR="001A05A7">
        <w:t>operations</w:t>
      </w:r>
      <w:r w:rsidR="0060379C">
        <w:t xml:space="preserve"> by more detailed and strin</w:t>
      </w:r>
      <w:r w:rsidR="00225BFA">
        <w:t xml:space="preserve">gent contract and performance management (which may draw on some of the procedures developed under the recent kits distribution). </w:t>
      </w:r>
    </w:p>
    <w:p w14:paraId="2404BCAD" w14:textId="0D98BC2C" w:rsidR="00807F00" w:rsidRDefault="00E90166" w:rsidP="00AD3F80">
      <w:pPr>
        <w:pStyle w:val="ListParagraph"/>
        <w:numPr>
          <w:ilvl w:val="0"/>
          <w:numId w:val="31"/>
        </w:numPr>
      </w:pPr>
      <w:r>
        <w:t xml:space="preserve">From 2014: </w:t>
      </w:r>
      <w:proofErr w:type="spellStart"/>
      <w:r>
        <w:t>i</w:t>
      </w:r>
      <w:r w:rsidR="00225BFA">
        <w:t>nstitutionalise</w:t>
      </w:r>
      <w:proofErr w:type="spellEnd"/>
      <w:r w:rsidR="00225BFA">
        <w:t xml:space="preserve"> </w:t>
      </w:r>
      <w:r w:rsidR="001008BC">
        <w:t>appropriate quality requirements for medicine suppliers (</w:t>
      </w:r>
      <w:r w:rsidR="00225BFA">
        <w:t xml:space="preserve">including, but </w:t>
      </w:r>
      <w:r w:rsidR="0094558B">
        <w:t xml:space="preserve">going beyond </w:t>
      </w:r>
      <w:r w:rsidR="001008BC">
        <w:t xml:space="preserve">ISO certification </w:t>
      </w:r>
      <w:r w:rsidR="0094558B">
        <w:t xml:space="preserve">for greater </w:t>
      </w:r>
      <w:r w:rsidR="001008BC">
        <w:t>guarantee</w:t>
      </w:r>
      <w:r w:rsidR="0094558B">
        <w:t>s of</w:t>
      </w:r>
      <w:r w:rsidR="001008BC">
        <w:t xml:space="preserve"> agent quality)</w:t>
      </w:r>
      <w:r w:rsidR="0094558B">
        <w:t xml:space="preserve">, perhaps with consideration of </w:t>
      </w:r>
      <w:r w:rsidR="001008BC">
        <w:t>the assessment tools developed by WHO Model Quality Assurance for Procurement Agents (MQAS) which were piloted last October 2012 in conjunction with Quality Medicines for All (QUAMED)</w:t>
      </w:r>
      <w:r>
        <w:t xml:space="preserve"> that </w:t>
      </w:r>
      <w:r w:rsidR="001008BC">
        <w:t xml:space="preserve">provides a harmonized assessment of procurement agencies.   </w:t>
      </w:r>
      <w:r>
        <w:t xml:space="preserve">Linked to this: continue to pursue </w:t>
      </w:r>
      <w:r w:rsidR="008378B4">
        <w:t>consistent branding</w:t>
      </w:r>
      <w:r>
        <w:t xml:space="preserve"> exemplified by th</w:t>
      </w:r>
      <w:r w:rsidR="00AB1E74">
        <w:t>e “GoPNG. Not for resale.” labe</w:t>
      </w:r>
      <w:r>
        <w:t>ling used in kit medicines.</w:t>
      </w:r>
    </w:p>
    <w:p w14:paraId="64C6ECEC" w14:textId="77777777" w:rsidR="00807F00" w:rsidRDefault="00807F00" w:rsidP="00807F0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19"/>
        </w:rPr>
      </w:pPr>
    </w:p>
    <w:p w14:paraId="3E7BFCCA" w14:textId="77777777" w:rsidR="001371F0" w:rsidRPr="00DC2571" w:rsidRDefault="001371F0" w:rsidP="000C5E19">
      <w:pPr>
        <w:pStyle w:val="TOC2"/>
      </w:pPr>
      <w:r w:rsidRPr="00DC2571">
        <w:t>Quality control and regulation</w:t>
      </w:r>
    </w:p>
    <w:p w14:paraId="359DB02B" w14:textId="4663A8EA" w:rsidR="00F52268" w:rsidRPr="0048267C" w:rsidRDefault="00E90166" w:rsidP="00AD3F80">
      <w:pPr>
        <w:pStyle w:val="ListParagraph"/>
        <w:numPr>
          <w:ilvl w:val="0"/>
          <w:numId w:val="32"/>
        </w:numPr>
      </w:pPr>
      <w:r w:rsidRPr="0048267C">
        <w:t>From 2014: r</w:t>
      </w:r>
      <w:r w:rsidR="00F52268" w:rsidRPr="0048267C">
        <w:t>eview an</w:t>
      </w:r>
      <w:r w:rsidR="003229ED" w:rsidRPr="0048267C">
        <w:t xml:space="preserve">d rationalize items on the EML, </w:t>
      </w:r>
      <w:r w:rsidR="00FD74B6" w:rsidRPr="0048267C">
        <w:t>prioritiz</w:t>
      </w:r>
      <w:r w:rsidR="00BA4E9A" w:rsidRPr="0048267C">
        <w:t xml:space="preserve">ing </w:t>
      </w:r>
      <w:r w:rsidR="003229ED" w:rsidRPr="0048267C">
        <w:t xml:space="preserve">current work on </w:t>
      </w:r>
      <w:r w:rsidR="0094558B" w:rsidRPr="0048267C">
        <w:t>vital and essential medicines</w:t>
      </w:r>
      <w:r w:rsidR="00BA4E9A" w:rsidRPr="0048267C">
        <w:t xml:space="preserve"> and including a review of the category of medicines, in relation to STGs, that should be available at different levels (including APs) in the health system</w:t>
      </w:r>
      <w:r w:rsidR="00F52268" w:rsidRPr="0048267C">
        <w:t>.</w:t>
      </w:r>
    </w:p>
    <w:p w14:paraId="0B762C41" w14:textId="07C8E6D1" w:rsidR="00094742" w:rsidRDefault="00E90166" w:rsidP="00AD3F80">
      <w:pPr>
        <w:pStyle w:val="ListParagraph"/>
        <w:numPr>
          <w:ilvl w:val="0"/>
          <w:numId w:val="32"/>
        </w:numPr>
      </w:pPr>
      <w:r>
        <w:t xml:space="preserve">From 2014: </w:t>
      </w:r>
      <w:r w:rsidR="00001D3C">
        <w:t xml:space="preserve">NDOH </w:t>
      </w:r>
      <w:r>
        <w:t>p</w:t>
      </w:r>
      <w:r w:rsidR="0094558B">
        <w:t>ursue implementation of the agreement</w:t>
      </w:r>
      <w:r w:rsidR="00383A80">
        <w:t>s</w:t>
      </w:r>
      <w:r w:rsidR="0094558B">
        <w:t xml:space="preserve"> </w:t>
      </w:r>
      <w:r w:rsidR="00F52268">
        <w:t xml:space="preserve">between NDOH and UPNG </w:t>
      </w:r>
      <w:r w:rsidR="0094558B">
        <w:t xml:space="preserve">for quality assurance testing and on the quality assurance position within </w:t>
      </w:r>
      <w:proofErr w:type="gramStart"/>
      <w:r w:rsidR="0094558B">
        <w:t>WHO</w:t>
      </w:r>
      <w:proofErr w:type="gramEnd"/>
      <w:r w:rsidR="00383A80">
        <w:t>; and renew options for testing medicine quality through international partners.</w:t>
      </w:r>
    </w:p>
    <w:p w14:paraId="20B75E6A" w14:textId="414B870A" w:rsidR="00F52268" w:rsidRDefault="00F52268" w:rsidP="008D11AA"/>
    <w:p w14:paraId="5F815265" w14:textId="2872018B" w:rsidR="00807F00" w:rsidRDefault="00CC2246" w:rsidP="00807F00">
      <w:pPr>
        <w:pStyle w:val="Heading3"/>
      </w:pPr>
      <w:r>
        <w:t>Detailed recommendations on s</w:t>
      </w:r>
      <w:r w:rsidR="001371F0">
        <w:t>upply chain systems</w:t>
      </w:r>
    </w:p>
    <w:p w14:paraId="7F42CA46" w14:textId="1E675693" w:rsidR="00807F00" w:rsidRPr="00F52268" w:rsidRDefault="001371F0" w:rsidP="00F522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bCs/>
          <w:color w:val="000000"/>
          <w:szCs w:val="19"/>
        </w:rPr>
      </w:pPr>
      <w:r w:rsidRPr="00F52268">
        <w:rPr>
          <w:rFonts w:asciiTheme="minorHAnsi" w:hAnsiTheme="minorHAnsi" w:cs="Helvetica"/>
          <w:b/>
          <w:bCs/>
          <w:color w:val="000000"/>
          <w:szCs w:val="19"/>
        </w:rPr>
        <w:t>National planning and governance of distribution</w:t>
      </w:r>
      <w:r w:rsidR="001503D1">
        <w:rPr>
          <w:rFonts w:asciiTheme="minorHAnsi" w:hAnsiTheme="minorHAnsi" w:cs="Helvetica"/>
          <w:b/>
          <w:bCs/>
          <w:color w:val="000000"/>
          <w:szCs w:val="19"/>
        </w:rPr>
        <w:t xml:space="preserve"> </w:t>
      </w:r>
    </w:p>
    <w:p w14:paraId="5F1D5C9D" w14:textId="33B6A181" w:rsidR="0073401D" w:rsidRPr="00F52268" w:rsidRDefault="0073401D" w:rsidP="00AD3F80">
      <w:pPr>
        <w:pStyle w:val="ListParagraph"/>
        <w:numPr>
          <w:ilvl w:val="0"/>
          <w:numId w:val="33"/>
        </w:numPr>
        <w:rPr>
          <w:rFonts w:asciiTheme="minorHAnsi" w:eastAsiaTheme="minorEastAsia" w:hAnsiTheme="minorHAnsi"/>
        </w:rPr>
      </w:pPr>
      <w:r>
        <w:rPr>
          <w:rFonts w:asciiTheme="minorHAnsi" w:eastAsiaTheme="minorEastAsia" w:hAnsiTheme="minorHAnsi"/>
        </w:rPr>
        <w:t>From 2014 over the next three years: NDOH undertake stepwise integration of both ‘pull’ and ‘push’ distribution systems, including contracting, quality and performance managemen</w:t>
      </w:r>
      <w:r w:rsidR="00525D2E">
        <w:rPr>
          <w:rFonts w:asciiTheme="minorHAnsi" w:eastAsiaTheme="minorEastAsia" w:hAnsiTheme="minorHAnsi"/>
        </w:rPr>
        <w:t>t, along with active engagement</w:t>
      </w:r>
      <w:r>
        <w:rPr>
          <w:rFonts w:asciiTheme="minorHAnsi" w:eastAsiaTheme="minorEastAsia" w:hAnsiTheme="minorHAnsi"/>
        </w:rPr>
        <w:t xml:space="preserve"> of</w:t>
      </w:r>
      <w:r w:rsidR="00525D2E">
        <w:rPr>
          <w:rFonts w:asciiTheme="minorHAnsi" w:eastAsiaTheme="minorEastAsia" w:hAnsiTheme="minorHAnsi"/>
        </w:rPr>
        <w:t xml:space="preserve"> resources and information </w:t>
      </w:r>
      <w:r w:rsidR="00A272D6">
        <w:rPr>
          <w:rFonts w:asciiTheme="minorHAnsi" w:eastAsiaTheme="minorEastAsia" w:hAnsiTheme="minorHAnsi"/>
        </w:rPr>
        <w:t>within vertical programs (includ</w:t>
      </w:r>
      <w:r w:rsidR="00525D2E">
        <w:rPr>
          <w:rFonts w:asciiTheme="minorHAnsi" w:eastAsiaTheme="minorEastAsia" w:hAnsiTheme="minorHAnsi"/>
        </w:rPr>
        <w:t>ing tuberculosis medicines) also needing to distribute supplies.</w:t>
      </w:r>
    </w:p>
    <w:p w14:paraId="5F0D8430" w14:textId="3391681C" w:rsidR="00F52268" w:rsidRPr="00F24E92" w:rsidRDefault="00F24E92" w:rsidP="00AD3F80">
      <w:pPr>
        <w:pStyle w:val="ListParagraph"/>
        <w:numPr>
          <w:ilvl w:val="0"/>
          <w:numId w:val="33"/>
        </w:numPr>
        <w:rPr>
          <w:rFonts w:asciiTheme="minorHAnsi" w:eastAsiaTheme="minorEastAsia" w:hAnsiTheme="minorHAnsi"/>
        </w:rPr>
      </w:pPr>
      <w:r>
        <w:rPr>
          <w:rFonts w:asciiTheme="minorHAnsi" w:eastAsiaTheme="minorEastAsia" w:hAnsiTheme="minorHAnsi"/>
        </w:rPr>
        <w:lastRenderedPageBreak/>
        <w:t>From 2014: a</w:t>
      </w:r>
      <w:r w:rsidR="00102A40">
        <w:rPr>
          <w:rFonts w:asciiTheme="minorHAnsi" w:eastAsiaTheme="minorEastAsia" w:hAnsiTheme="minorHAnsi"/>
        </w:rPr>
        <w:t xml:space="preserve">s noted above, increase the detail and stringency of </w:t>
      </w:r>
      <w:r w:rsidR="0073401D">
        <w:rPr>
          <w:rFonts w:asciiTheme="minorHAnsi" w:eastAsiaTheme="minorEastAsia" w:hAnsiTheme="minorHAnsi"/>
        </w:rPr>
        <w:t xml:space="preserve">‘pull’ system </w:t>
      </w:r>
      <w:r w:rsidR="00F52268" w:rsidRPr="00F52268">
        <w:rPr>
          <w:rFonts w:asciiTheme="minorHAnsi" w:eastAsiaTheme="minorEastAsia" w:hAnsiTheme="minorHAnsi"/>
        </w:rPr>
        <w:t>contrac</w:t>
      </w:r>
      <w:r w:rsidR="00102A40">
        <w:rPr>
          <w:rFonts w:asciiTheme="minorHAnsi" w:eastAsiaTheme="minorEastAsia" w:hAnsiTheme="minorHAnsi"/>
        </w:rPr>
        <w:t>t and performance monitoring (perhaps drawing on some ‘push’ system procedures</w:t>
      </w:r>
      <w:r w:rsidR="0073401D">
        <w:rPr>
          <w:rFonts w:asciiTheme="minorHAnsi" w:eastAsiaTheme="minorEastAsia" w:hAnsiTheme="minorHAnsi"/>
        </w:rPr>
        <w:t xml:space="preserve"> for validating deliveries</w:t>
      </w:r>
      <w:r w:rsidR="00FB6899">
        <w:rPr>
          <w:rFonts w:asciiTheme="minorHAnsi" w:eastAsiaTheme="minorEastAsia" w:hAnsiTheme="minorHAnsi"/>
        </w:rPr>
        <w:t xml:space="preserve"> and/or delivery confirmation by text message available in </w:t>
      </w:r>
      <w:proofErr w:type="spellStart"/>
      <w:r w:rsidR="00FB6899">
        <w:rPr>
          <w:rFonts w:asciiTheme="minorHAnsi" w:eastAsiaTheme="minorEastAsia" w:hAnsiTheme="minorHAnsi"/>
        </w:rPr>
        <w:t>mSupply</w:t>
      </w:r>
      <w:proofErr w:type="spellEnd"/>
      <w:r w:rsidR="00102A40">
        <w:rPr>
          <w:rFonts w:asciiTheme="minorHAnsi" w:eastAsiaTheme="minorEastAsia" w:hAnsiTheme="minorHAnsi"/>
        </w:rPr>
        <w:t>)</w:t>
      </w:r>
      <w:r>
        <w:rPr>
          <w:rFonts w:asciiTheme="minorHAnsi" w:eastAsiaTheme="minorEastAsia" w:hAnsiTheme="minorHAnsi"/>
        </w:rPr>
        <w:t xml:space="preserve"> </w:t>
      </w:r>
      <w:r w:rsidRPr="00F52268">
        <w:rPr>
          <w:rFonts w:asciiTheme="minorHAnsi" w:eastAsiaTheme="minorEastAsia" w:hAnsiTheme="minorHAnsi"/>
        </w:rPr>
        <w:t xml:space="preserve">with LD Logistics to make clear contract conditions, </w:t>
      </w:r>
      <w:r>
        <w:rPr>
          <w:rFonts w:asciiTheme="minorHAnsi" w:eastAsiaTheme="minorEastAsia" w:hAnsiTheme="minorHAnsi"/>
        </w:rPr>
        <w:t>charges and performance targets</w:t>
      </w:r>
      <w:r w:rsidR="00102A40">
        <w:rPr>
          <w:rFonts w:asciiTheme="minorHAnsi" w:eastAsiaTheme="minorEastAsia" w:hAnsiTheme="minorHAnsi"/>
        </w:rPr>
        <w:t xml:space="preserve">, </w:t>
      </w:r>
      <w:r>
        <w:rPr>
          <w:rFonts w:asciiTheme="minorHAnsi" w:eastAsiaTheme="minorEastAsia" w:hAnsiTheme="minorHAnsi"/>
        </w:rPr>
        <w:t>undertake formal review of distribution performance</w:t>
      </w:r>
      <w:r w:rsidR="00DD077E">
        <w:rPr>
          <w:rFonts w:asciiTheme="minorHAnsi" w:eastAsiaTheme="minorEastAsia" w:hAnsiTheme="minorHAnsi"/>
        </w:rPr>
        <w:t xml:space="preserve"> (</w:t>
      </w:r>
      <w:r>
        <w:rPr>
          <w:rFonts w:asciiTheme="minorHAnsi" w:eastAsiaTheme="minorEastAsia" w:hAnsiTheme="minorHAnsi"/>
        </w:rPr>
        <w:t>as</w:t>
      </w:r>
      <w:r w:rsidRPr="00F52268">
        <w:rPr>
          <w:rFonts w:asciiTheme="minorHAnsi" w:eastAsiaTheme="minorEastAsia" w:hAnsiTheme="minorHAnsi"/>
        </w:rPr>
        <w:t xml:space="preserve"> data </w:t>
      </w:r>
      <w:r>
        <w:rPr>
          <w:rFonts w:asciiTheme="minorHAnsi" w:eastAsiaTheme="minorEastAsia" w:hAnsiTheme="minorHAnsi"/>
        </w:rPr>
        <w:t>are likely to be</w:t>
      </w:r>
      <w:r w:rsidRPr="00F52268">
        <w:rPr>
          <w:rFonts w:asciiTheme="minorHAnsi" w:eastAsiaTheme="minorEastAsia" w:hAnsiTheme="minorHAnsi"/>
        </w:rPr>
        <w:t xml:space="preserve"> </w:t>
      </w:r>
      <w:r>
        <w:rPr>
          <w:rFonts w:asciiTheme="minorHAnsi" w:eastAsiaTheme="minorEastAsia" w:hAnsiTheme="minorHAnsi"/>
        </w:rPr>
        <w:t xml:space="preserve">now </w:t>
      </w:r>
      <w:r w:rsidRPr="00F52268">
        <w:rPr>
          <w:rFonts w:asciiTheme="minorHAnsi" w:eastAsiaTheme="minorEastAsia" w:hAnsiTheme="minorHAnsi"/>
        </w:rPr>
        <w:t>available</w:t>
      </w:r>
      <w:r w:rsidR="00DD077E">
        <w:rPr>
          <w:rFonts w:asciiTheme="minorHAnsi" w:eastAsiaTheme="minorEastAsia" w:hAnsiTheme="minorHAnsi"/>
        </w:rPr>
        <w:t>)</w:t>
      </w:r>
      <w:r>
        <w:rPr>
          <w:rFonts w:asciiTheme="minorHAnsi" w:eastAsiaTheme="minorEastAsia" w:hAnsiTheme="minorHAnsi"/>
        </w:rPr>
        <w:t xml:space="preserve"> </w:t>
      </w:r>
      <w:r w:rsidR="00102A40">
        <w:rPr>
          <w:rFonts w:asciiTheme="minorHAnsi" w:eastAsiaTheme="minorEastAsia" w:hAnsiTheme="minorHAnsi"/>
        </w:rPr>
        <w:t xml:space="preserve">as well as consideration of increasing the </w:t>
      </w:r>
      <w:r>
        <w:rPr>
          <w:rFonts w:asciiTheme="minorHAnsi" w:eastAsiaTheme="minorEastAsia" w:hAnsiTheme="minorHAnsi"/>
        </w:rPr>
        <w:t>variety</w:t>
      </w:r>
      <w:r w:rsidR="00102A40">
        <w:rPr>
          <w:rFonts w:asciiTheme="minorHAnsi" w:eastAsiaTheme="minorEastAsia" w:hAnsiTheme="minorHAnsi"/>
        </w:rPr>
        <w:t xml:space="preserve"> and flexibility of </w:t>
      </w:r>
      <w:r w:rsidR="00F52268" w:rsidRPr="00F52268">
        <w:rPr>
          <w:rFonts w:asciiTheme="minorHAnsi" w:eastAsiaTheme="minorEastAsia" w:hAnsiTheme="minorHAnsi"/>
        </w:rPr>
        <w:t xml:space="preserve">arrangements with transport providers to ensure best value for money and efficiencies are achieved by </w:t>
      </w:r>
      <w:r w:rsidR="00102A40">
        <w:rPr>
          <w:rFonts w:asciiTheme="minorHAnsi" w:eastAsiaTheme="minorEastAsia" w:hAnsiTheme="minorHAnsi"/>
        </w:rPr>
        <w:t xml:space="preserve">tailoring agreements to local conditions. </w:t>
      </w:r>
    </w:p>
    <w:p w14:paraId="5462B23B" w14:textId="779AE071" w:rsidR="00F52268" w:rsidRDefault="00DD077E" w:rsidP="00AD3F80">
      <w:pPr>
        <w:pStyle w:val="ListParagraph"/>
        <w:numPr>
          <w:ilvl w:val="0"/>
          <w:numId w:val="33"/>
        </w:numPr>
        <w:rPr>
          <w:rFonts w:asciiTheme="minorHAnsi" w:eastAsiaTheme="minorEastAsia" w:hAnsiTheme="minorHAnsi"/>
        </w:rPr>
      </w:pPr>
      <w:r>
        <w:rPr>
          <w:rFonts w:asciiTheme="minorHAnsi" w:eastAsiaTheme="minorEastAsia" w:hAnsiTheme="minorHAnsi"/>
        </w:rPr>
        <w:t>Over next three to five years: NDOH i</w:t>
      </w:r>
      <w:r w:rsidR="00F24E92">
        <w:rPr>
          <w:rFonts w:asciiTheme="minorHAnsi" w:eastAsiaTheme="minorEastAsia" w:hAnsiTheme="minorHAnsi"/>
        </w:rPr>
        <w:t>nclusion of performance monitoring indicators in the MSPD multi-year plan, possibly including c</w:t>
      </w:r>
      <w:r w:rsidR="009E33B8">
        <w:rPr>
          <w:rFonts w:asciiTheme="minorHAnsi" w:eastAsiaTheme="minorEastAsia" w:hAnsiTheme="minorHAnsi"/>
        </w:rPr>
        <w:t>lose follow-up of p</w:t>
      </w:r>
      <w:r w:rsidR="00F52268" w:rsidRPr="00F52268">
        <w:rPr>
          <w:rFonts w:asciiTheme="minorHAnsi" w:eastAsiaTheme="minorEastAsia" w:hAnsiTheme="minorHAnsi"/>
        </w:rPr>
        <w:t>urchase orders</w:t>
      </w:r>
      <w:r w:rsidR="00F24E92">
        <w:rPr>
          <w:rFonts w:asciiTheme="minorHAnsi" w:eastAsiaTheme="minorEastAsia" w:hAnsiTheme="minorHAnsi"/>
        </w:rPr>
        <w:t>,</w:t>
      </w:r>
      <w:r w:rsidR="00F52268" w:rsidRPr="00F52268">
        <w:rPr>
          <w:rFonts w:asciiTheme="minorHAnsi" w:eastAsiaTheme="minorEastAsia" w:hAnsiTheme="minorHAnsi"/>
        </w:rPr>
        <w:t xml:space="preserve"> </w:t>
      </w:r>
      <w:r w:rsidR="009E33B8">
        <w:rPr>
          <w:rFonts w:asciiTheme="minorHAnsi" w:eastAsiaTheme="minorEastAsia" w:hAnsiTheme="minorHAnsi"/>
        </w:rPr>
        <w:t>spot checks on supply</w:t>
      </w:r>
      <w:r w:rsidR="0073401D">
        <w:rPr>
          <w:rFonts w:asciiTheme="minorHAnsi" w:eastAsiaTheme="minorEastAsia" w:hAnsiTheme="minorHAnsi"/>
        </w:rPr>
        <w:t>, frequency of emergency orders, order-to-delivery times,</w:t>
      </w:r>
      <w:r w:rsidR="00F24E92">
        <w:rPr>
          <w:rFonts w:asciiTheme="minorHAnsi" w:eastAsiaTheme="minorEastAsia" w:hAnsiTheme="minorHAnsi"/>
        </w:rPr>
        <w:t xml:space="preserve"> and other </w:t>
      </w:r>
      <w:r w:rsidR="00F52268" w:rsidRPr="00F52268">
        <w:rPr>
          <w:rFonts w:asciiTheme="minorHAnsi" w:eastAsiaTheme="minorEastAsia" w:hAnsiTheme="minorHAnsi"/>
        </w:rPr>
        <w:t xml:space="preserve">indicators of supply chain </w:t>
      </w:r>
      <w:r w:rsidR="00F24E92">
        <w:rPr>
          <w:rFonts w:asciiTheme="minorHAnsi" w:eastAsiaTheme="minorEastAsia" w:hAnsiTheme="minorHAnsi"/>
        </w:rPr>
        <w:t xml:space="preserve">function </w:t>
      </w:r>
      <w:r w:rsidR="009E33B8">
        <w:rPr>
          <w:rFonts w:asciiTheme="minorHAnsi" w:eastAsiaTheme="minorEastAsia" w:hAnsiTheme="minorHAnsi"/>
        </w:rPr>
        <w:t xml:space="preserve">once an </w:t>
      </w:r>
      <w:proofErr w:type="spellStart"/>
      <w:r w:rsidR="009E33B8">
        <w:rPr>
          <w:rFonts w:asciiTheme="minorHAnsi" w:eastAsiaTheme="minorEastAsia" w:hAnsiTheme="minorHAnsi"/>
        </w:rPr>
        <w:t>eLMIS</w:t>
      </w:r>
      <w:proofErr w:type="spellEnd"/>
      <w:r w:rsidR="009E33B8">
        <w:rPr>
          <w:rFonts w:asciiTheme="minorHAnsi" w:eastAsiaTheme="minorEastAsia" w:hAnsiTheme="minorHAnsi"/>
        </w:rPr>
        <w:t xml:space="preserve"> is operational</w:t>
      </w:r>
      <w:r w:rsidR="00F52268" w:rsidRPr="00F52268">
        <w:rPr>
          <w:rFonts w:asciiTheme="minorHAnsi" w:eastAsiaTheme="minorEastAsia" w:hAnsiTheme="minorHAnsi"/>
        </w:rPr>
        <w:t>.</w:t>
      </w:r>
    </w:p>
    <w:p w14:paraId="695C733F" w14:textId="77777777" w:rsidR="00F52268" w:rsidRPr="00F52268" w:rsidRDefault="00F52268" w:rsidP="00807F00">
      <w:pPr>
        <w:rPr>
          <w:rFonts w:asciiTheme="minorHAnsi" w:eastAsiaTheme="minorEastAsia" w:hAnsiTheme="minorHAnsi"/>
        </w:rPr>
      </w:pPr>
    </w:p>
    <w:p w14:paraId="1ABE34B8" w14:textId="77777777" w:rsidR="00807F00" w:rsidRPr="00297B8B" w:rsidRDefault="00514848" w:rsidP="00297B8B">
      <w:pPr>
        <w:rPr>
          <w:b/>
        </w:rPr>
      </w:pPr>
      <w:r w:rsidRPr="00297B8B">
        <w:rPr>
          <w:b/>
        </w:rPr>
        <w:t>Warehousing and medical store stock management</w:t>
      </w:r>
    </w:p>
    <w:p w14:paraId="2E5FF4DB" w14:textId="52644DBE" w:rsidR="00F52268" w:rsidRDefault="00DD077E" w:rsidP="00AD3F80">
      <w:pPr>
        <w:pStyle w:val="ListParagraph"/>
        <w:numPr>
          <w:ilvl w:val="0"/>
          <w:numId w:val="34"/>
        </w:numPr>
        <w:ind w:right="95"/>
        <w:rPr>
          <w:rFonts w:asciiTheme="minorHAnsi" w:hAnsiTheme="minorHAnsi"/>
        </w:rPr>
      </w:pPr>
      <w:r>
        <w:rPr>
          <w:rFonts w:asciiTheme="minorHAnsi" w:hAnsiTheme="minorHAnsi" w:cs="Arial"/>
          <w:color w:val="000000"/>
          <w:szCs w:val="19"/>
        </w:rPr>
        <w:t>Immediate: NDOH and development partners c</w:t>
      </w:r>
      <w:r w:rsidR="00F52268" w:rsidRPr="00F52268">
        <w:rPr>
          <w:rFonts w:asciiTheme="minorHAnsi" w:hAnsiTheme="minorHAnsi"/>
        </w:rPr>
        <w:t>ontinue to roll out</w:t>
      </w:r>
      <w:r w:rsidR="00001D3C">
        <w:rPr>
          <w:rFonts w:asciiTheme="minorHAnsi" w:hAnsiTheme="minorHAnsi"/>
        </w:rPr>
        <w:t xml:space="preserve"> an </w:t>
      </w:r>
      <w:proofErr w:type="spellStart"/>
      <w:r w:rsidR="00001D3C">
        <w:rPr>
          <w:rFonts w:asciiTheme="minorHAnsi" w:hAnsiTheme="minorHAnsi"/>
        </w:rPr>
        <w:t>eLMIS</w:t>
      </w:r>
      <w:proofErr w:type="spellEnd"/>
      <w:r w:rsidR="00001D3C">
        <w:rPr>
          <w:rFonts w:asciiTheme="minorHAnsi" w:hAnsiTheme="minorHAnsi"/>
        </w:rPr>
        <w:t xml:space="preserve"> (</w:t>
      </w:r>
      <w:proofErr w:type="spellStart"/>
      <w:r w:rsidR="00F52268" w:rsidRPr="00F52268">
        <w:rPr>
          <w:rFonts w:asciiTheme="minorHAnsi" w:hAnsiTheme="minorHAnsi"/>
        </w:rPr>
        <w:t>mSupply</w:t>
      </w:r>
      <w:proofErr w:type="spellEnd"/>
      <w:r w:rsidR="00001D3C">
        <w:rPr>
          <w:rFonts w:asciiTheme="minorHAnsi" w:hAnsiTheme="minorHAnsi"/>
        </w:rPr>
        <w:t>)</w:t>
      </w:r>
      <w:r w:rsidR="00F52268" w:rsidRPr="00F52268">
        <w:rPr>
          <w:rFonts w:asciiTheme="minorHAnsi" w:hAnsiTheme="minorHAnsi"/>
        </w:rPr>
        <w:t xml:space="preserve"> including </w:t>
      </w:r>
      <w:r w:rsidR="009E33B8">
        <w:rPr>
          <w:rFonts w:asciiTheme="minorHAnsi" w:hAnsiTheme="minorHAnsi"/>
        </w:rPr>
        <w:t xml:space="preserve">additional pilots in </w:t>
      </w:r>
      <w:r w:rsidR="00F52268" w:rsidRPr="00F52268">
        <w:rPr>
          <w:rFonts w:asciiTheme="minorHAnsi" w:hAnsiTheme="minorHAnsi"/>
        </w:rPr>
        <w:t xml:space="preserve">AMSs outside </w:t>
      </w:r>
      <w:proofErr w:type="spellStart"/>
      <w:r w:rsidR="00F52268" w:rsidRPr="00F52268">
        <w:rPr>
          <w:rFonts w:asciiTheme="minorHAnsi" w:hAnsiTheme="minorHAnsi"/>
        </w:rPr>
        <w:t>Badili</w:t>
      </w:r>
      <w:proofErr w:type="spellEnd"/>
      <w:r w:rsidR="00F52268" w:rsidRPr="00F52268">
        <w:rPr>
          <w:rFonts w:asciiTheme="minorHAnsi" w:hAnsiTheme="minorHAnsi"/>
        </w:rPr>
        <w:t xml:space="preserve"> and</w:t>
      </w:r>
      <w:r w:rsidR="00044D6D">
        <w:rPr>
          <w:rFonts w:asciiTheme="minorHAnsi" w:hAnsiTheme="minorHAnsi"/>
        </w:rPr>
        <w:t xml:space="preserve"> some trial</w:t>
      </w:r>
      <w:r w:rsidR="00F52268" w:rsidRPr="00F52268">
        <w:rPr>
          <w:rFonts w:asciiTheme="minorHAnsi" w:hAnsiTheme="minorHAnsi"/>
        </w:rPr>
        <w:t xml:space="preserve"> hospitals with uptake capacity</w:t>
      </w:r>
      <w:r>
        <w:rPr>
          <w:rFonts w:asciiTheme="minorHAnsi" w:hAnsiTheme="minorHAnsi"/>
        </w:rPr>
        <w:t>, including government and non-government facilities that have already established</w:t>
      </w:r>
      <w:r w:rsidR="00F4008B">
        <w:rPr>
          <w:rFonts w:asciiTheme="minorHAnsi" w:hAnsiTheme="minorHAnsi"/>
        </w:rPr>
        <w:t xml:space="preserve"> </w:t>
      </w:r>
      <w:proofErr w:type="spellStart"/>
      <w:r w:rsidR="00F4008B">
        <w:rPr>
          <w:rFonts w:asciiTheme="minorHAnsi" w:hAnsiTheme="minorHAnsi"/>
        </w:rPr>
        <w:t>eLMIS</w:t>
      </w:r>
      <w:proofErr w:type="spellEnd"/>
      <w:r w:rsidR="00F4008B">
        <w:rPr>
          <w:rFonts w:asciiTheme="minorHAnsi" w:hAnsiTheme="minorHAnsi"/>
        </w:rPr>
        <w:t xml:space="preserve"> and can pilot data to improve health facility supplies ordering.</w:t>
      </w:r>
    </w:p>
    <w:p w14:paraId="0A4B7EE0" w14:textId="73609D08" w:rsidR="00C13D88" w:rsidRPr="008D11AA" w:rsidRDefault="00DD077E" w:rsidP="00AD3F80">
      <w:pPr>
        <w:pStyle w:val="ListParagraph"/>
        <w:numPr>
          <w:ilvl w:val="0"/>
          <w:numId w:val="34"/>
        </w:numPr>
        <w:ind w:right="95"/>
        <w:rPr>
          <w:rFonts w:eastAsiaTheme="minorEastAsia"/>
          <w:b/>
        </w:rPr>
      </w:pPr>
      <w:r>
        <w:rPr>
          <w:rFonts w:asciiTheme="minorHAnsi" w:hAnsiTheme="minorHAnsi" w:cs="Arial"/>
          <w:color w:val="000000"/>
          <w:szCs w:val="19"/>
        </w:rPr>
        <w:t>From 2014</w:t>
      </w:r>
      <w:r w:rsidR="00F4008B">
        <w:rPr>
          <w:rFonts w:asciiTheme="minorHAnsi" w:hAnsiTheme="minorHAnsi" w:cs="Arial"/>
          <w:color w:val="000000"/>
          <w:szCs w:val="19"/>
        </w:rPr>
        <w:t>:</w:t>
      </w:r>
      <w:r>
        <w:rPr>
          <w:rFonts w:asciiTheme="minorHAnsi" w:hAnsiTheme="minorHAnsi" w:cs="Arial"/>
          <w:color w:val="000000"/>
          <w:szCs w:val="19"/>
        </w:rPr>
        <w:t xml:space="preserve"> </w:t>
      </w:r>
      <w:r w:rsidR="00F4008B">
        <w:rPr>
          <w:rFonts w:asciiTheme="minorHAnsi" w:hAnsiTheme="minorHAnsi" w:cs="Arial"/>
          <w:color w:val="000000"/>
          <w:szCs w:val="19"/>
        </w:rPr>
        <w:t xml:space="preserve">NDOH work with development partners for a coordinated approach to AMS refurbishment, incorporating </w:t>
      </w:r>
      <w:r w:rsidR="00F52268" w:rsidRPr="00F52268">
        <w:rPr>
          <w:rFonts w:asciiTheme="minorHAnsi" w:hAnsiTheme="minorHAnsi" w:cs="Arial"/>
          <w:color w:val="000000"/>
          <w:szCs w:val="19"/>
        </w:rPr>
        <w:t>the</w:t>
      </w:r>
      <w:r w:rsidR="00F4008B">
        <w:rPr>
          <w:rFonts w:asciiTheme="minorHAnsi" w:hAnsiTheme="minorHAnsi" w:cs="Arial"/>
          <w:color w:val="000000"/>
          <w:szCs w:val="19"/>
        </w:rPr>
        <w:t xml:space="preserve"> 2013</w:t>
      </w:r>
      <w:r w:rsidR="00F52268" w:rsidRPr="00F52268">
        <w:rPr>
          <w:rFonts w:asciiTheme="minorHAnsi" w:hAnsiTheme="minorHAnsi" w:cs="Arial"/>
          <w:color w:val="000000"/>
          <w:szCs w:val="19"/>
        </w:rPr>
        <w:t xml:space="preserve"> </w:t>
      </w:r>
      <w:proofErr w:type="spellStart"/>
      <w:r w:rsidR="00F52268" w:rsidRPr="00F52268">
        <w:rPr>
          <w:rFonts w:asciiTheme="minorHAnsi" w:hAnsiTheme="minorHAnsi" w:cs="Arial"/>
          <w:color w:val="000000"/>
          <w:szCs w:val="19"/>
        </w:rPr>
        <w:t>Badili</w:t>
      </w:r>
      <w:proofErr w:type="spellEnd"/>
      <w:r w:rsidR="00F52268" w:rsidRPr="00F52268">
        <w:rPr>
          <w:rFonts w:asciiTheme="minorHAnsi" w:hAnsiTheme="minorHAnsi" w:cs="Arial"/>
          <w:color w:val="000000"/>
          <w:szCs w:val="19"/>
        </w:rPr>
        <w:t xml:space="preserve"> AMS needs assessment </w:t>
      </w:r>
      <w:r w:rsidR="00044D6D">
        <w:rPr>
          <w:rFonts w:asciiTheme="minorHAnsi" w:hAnsiTheme="minorHAnsi" w:cs="Arial"/>
          <w:color w:val="000000"/>
          <w:szCs w:val="19"/>
        </w:rPr>
        <w:t>and consider</w:t>
      </w:r>
      <w:r w:rsidR="00F4008B">
        <w:rPr>
          <w:rFonts w:asciiTheme="minorHAnsi" w:hAnsiTheme="minorHAnsi" w:cs="Arial"/>
          <w:color w:val="000000"/>
          <w:szCs w:val="19"/>
        </w:rPr>
        <w:t>ing</w:t>
      </w:r>
      <w:r w:rsidR="00044D6D">
        <w:rPr>
          <w:rFonts w:asciiTheme="minorHAnsi" w:hAnsiTheme="minorHAnsi" w:cs="Arial"/>
          <w:color w:val="000000"/>
          <w:szCs w:val="19"/>
        </w:rPr>
        <w:t xml:space="preserve"> how this assessment may help specify needs at </w:t>
      </w:r>
      <w:r w:rsidR="00F52268" w:rsidRPr="00F52268">
        <w:rPr>
          <w:rFonts w:asciiTheme="minorHAnsi" w:hAnsiTheme="minorHAnsi" w:cs="Arial"/>
          <w:color w:val="000000"/>
          <w:szCs w:val="19"/>
        </w:rPr>
        <w:t xml:space="preserve">Mt Hagen and </w:t>
      </w:r>
      <w:proofErr w:type="spellStart"/>
      <w:r w:rsidR="00F52268" w:rsidRPr="00F52268">
        <w:rPr>
          <w:rFonts w:asciiTheme="minorHAnsi" w:hAnsiTheme="minorHAnsi" w:cs="Arial"/>
          <w:color w:val="000000"/>
          <w:szCs w:val="19"/>
        </w:rPr>
        <w:t>Lae</w:t>
      </w:r>
      <w:proofErr w:type="spellEnd"/>
      <w:r w:rsidR="00F52268" w:rsidRPr="00F52268">
        <w:rPr>
          <w:rFonts w:asciiTheme="minorHAnsi" w:hAnsiTheme="minorHAnsi" w:cs="Arial"/>
          <w:color w:val="000000"/>
          <w:szCs w:val="19"/>
        </w:rPr>
        <w:t xml:space="preserve"> AMSs</w:t>
      </w:r>
      <w:r w:rsidR="00044D6D">
        <w:rPr>
          <w:rFonts w:asciiTheme="minorHAnsi" w:hAnsiTheme="minorHAnsi" w:cs="Arial"/>
          <w:color w:val="000000"/>
          <w:szCs w:val="19"/>
        </w:rPr>
        <w:t>, which also</w:t>
      </w:r>
      <w:r w:rsidR="00F52268" w:rsidRPr="00F52268">
        <w:rPr>
          <w:rFonts w:asciiTheme="minorHAnsi" w:hAnsiTheme="minorHAnsi" w:cs="Arial"/>
          <w:color w:val="000000"/>
          <w:szCs w:val="19"/>
        </w:rPr>
        <w:t xml:space="preserve"> need to be </w:t>
      </w:r>
      <w:r w:rsidR="00044D6D">
        <w:rPr>
          <w:rFonts w:asciiTheme="minorHAnsi" w:hAnsiTheme="minorHAnsi" w:cs="Arial"/>
          <w:color w:val="000000"/>
          <w:szCs w:val="19"/>
        </w:rPr>
        <w:t>refurbished</w:t>
      </w:r>
      <w:r w:rsidR="00F52268" w:rsidRPr="00F52268">
        <w:rPr>
          <w:rFonts w:asciiTheme="minorHAnsi" w:hAnsiTheme="minorHAnsi" w:cs="Arial"/>
          <w:color w:val="000000"/>
          <w:szCs w:val="19"/>
        </w:rPr>
        <w:t xml:space="preserve"> as </w:t>
      </w:r>
      <w:r w:rsidR="00044D6D">
        <w:rPr>
          <w:rFonts w:asciiTheme="minorHAnsi" w:hAnsiTheme="minorHAnsi" w:cs="Arial"/>
          <w:color w:val="000000"/>
          <w:szCs w:val="19"/>
        </w:rPr>
        <w:t>planned.</w:t>
      </w:r>
    </w:p>
    <w:p w14:paraId="3E877BFF" w14:textId="77777777" w:rsidR="00C13D88" w:rsidRDefault="00C13D88" w:rsidP="00C13D88">
      <w:pPr>
        <w:rPr>
          <w:rFonts w:eastAsiaTheme="minorEastAsia"/>
        </w:rPr>
      </w:pPr>
    </w:p>
    <w:p w14:paraId="6EACA865" w14:textId="25291F1D" w:rsidR="00044D6D" w:rsidRPr="00044D6D" w:rsidRDefault="00C56202" w:rsidP="00044D6D">
      <w:pPr>
        <w:rPr>
          <w:rFonts w:eastAsiaTheme="minorEastAsia"/>
          <w:b/>
        </w:rPr>
      </w:pPr>
      <w:r w:rsidRPr="00297B8B">
        <w:rPr>
          <w:rFonts w:eastAsiaTheme="minorEastAsia"/>
          <w:b/>
        </w:rPr>
        <w:t xml:space="preserve">Distribution practices </w:t>
      </w:r>
      <w:r w:rsidR="00BC04B0">
        <w:rPr>
          <w:rFonts w:eastAsiaTheme="minorEastAsia"/>
          <w:b/>
        </w:rPr>
        <w:t xml:space="preserve">for </w:t>
      </w:r>
      <w:r w:rsidRPr="00297B8B">
        <w:rPr>
          <w:rFonts w:eastAsiaTheme="minorEastAsia"/>
          <w:b/>
        </w:rPr>
        <w:t>‘push’ system for kits</w:t>
      </w:r>
    </w:p>
    <w:p w14:paraId="70C524D2" w14:textId="3BC1F68A" w:rsidR="00EC108E" w:rsidRPr="00C13D88" w:rsidRDefault="00FD00CE" w:rsidP="00AD3F80">
      <w:pPr>
        <w:pStyle w:val="ListParagraph"/>
        <w:widowControl w:val="0"/>
        <w:numPr>
          <w:ilvl w:val="0"/>
          <w:numId w:val="35"/>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Theme="minorHAnsi" w:hAnsiTheme="minorHAnsi" w:cs="Arial"/>
          <w:color w:val="000000"/>
          <w:szCs w:val="19"/>
        </w:rPr>
      </w:pPr>
      <w:r>
        <w:rPr>
          <w:rFonts w:asciiTheme="minorHAnsi" w:hAnsiTheme="minorHAnsi" w:cs="Arial"/>
          <w:color w:val="000000"/>
          <w:szCs w:val="19"/>
        </w:rPr>
        <w:t xml:space="preserve">From </w:t>
      </w:r>
      <w:r w:rsidR="00BC04B0">
        <w:rPr>
          <w:rFonts w:asciiTheme="minorHAnsi" w:hAnsiTheme="minorHAnsi" w:cs="Arial"/>
          <w:color w:val="000000"/>
          <w:szCs w:val="19"/>
        </w:rPr>
        <w:t xml:space="preserve">2014: </w:t>
      </w:r>
      <w:r>
        <w:rPr>
          <w:rFonts w:asciiTheme="minorHAnsi" w:hAnsiTheme="minorHAnsi" w:cs="Arial"/>
          <w:b/>
          <w:color w:val="000000"/>
          <w:szCs w:val="19"/>
        </w:rPr>
        <w:t>To e</w:t>
      </w:r>
      <w:r w:rsidR="00BC04B0">
        <w:rPr>
          <w:rFonts w:asciiTheme="minorHAnsi" w:hAnsiTheme="minorHAnsi" w:cs="Arial"/>
          <w:b/>
          <w:color w:val="000000"/>
          <w:szCs w:val="19"/>
        </w:rPr>
        <w:t xml:space="preserve">xpand consultation, </w:t>
      </w:r>
      <w:r w:rsidR="00BC04B0">
        <w:rPr>
          <w:rFonts w:asciiTheme="minorHAnsi" w:hAnsiTheme="minorHAnsi" w:cs="Arial"/>
          <w:color w:val="000000"/>
          <w:szCs w:val="19"/>
        </w:rPr>
        <w:t>‘push’ system program managers should s</w:t>
      </w:r>
      <w:r w:rsidR="00933DE7" w:rsidRPr="00933DE7">
        <w:rPr>
          <w:rFonts w:asciiTheme="minorHAnsi" w:hAnsiTheme="minorHAnsi" w:cs="Arial"/>
          <w:color w:val="000000"/>
          <w:szCs w:val="19"/>
        </w:rPr>
        <w:t>upport provincial and district involvement in management and quality improvement for both ‘push’ system kits deliveries and the handling of medical supplies in rural facilities through planning meetings of contractors and provincial/district managers prior to kit deliveries</w:t>
      </w:r>
      <w:r w:rsidR="00BC04B0">
        <w:rPr>
          <w:rFonts w:asciiTheme="minorHAnsi" w:hAnsiTheme="minorHAnsi" w:cs="Arial"/>
          <w:color w:val="000000"/>
          <w:szCs w:val="19"/>
        </w:rPr>
        <w:t>, that may</w:t>
      </w:r>
      <w:r w:rsidR="00EC108E" w:rsidRPr="00C13D88">
        <w:rPr>
          <w:rFonts w:asciiTheme="minorHAnsi" w:hAnsiTheme="minorHAnsi" w:cs="Arial"/>
          <w:color w:val="000000"/>
          <w:szCs w:val="19"/>
        </w:rPr>
        <w:t xml:space="preserve"> identify the functional facilities</w:t>
      </w:r>
      <w:r w:rsidR="00EC108E">
        <w:rPr>
          <w:rFonts w:asciiTheme="minorHAnsi" w:hAnsiTheme="minorHAnsi" w:cs="Arial"/>
          <w:color w:val="000000"/>
          <w:szCs w:val="19"/>
        </w:rPr>
        <w:t>, the optimum timing of deliveries,</w:t>
      </w:r>
      <w:r w:rsidR="00EC108E" w:rsidRPr="00C13D88">
        <w:rPr>
          <w:rFonts w:asciiTheme="minorHAnsi" w:hAnsiTheme="minorHAnsi" w:cs="Arial"/>
          <w:color w:val="000000"/>
          <w:szCs w:val="19"/>
        </w:rPr>
        <w:t xml:space="preserve"> and the number of kits each require.</w:t>
      </w:r>
      <w:r w:rsidR="00EC108E">
        <w:rPr>
          <w:rFonts w:asciiTheme="minorHAnsi" w:hAnsiTheme="minorHAnsi" w:cs="Arial"/>
          <w:color w:val="000000"/>
          <w:szCs w:val="19"/>
        </w:rPr>
        <w:t xml:space="preserve"> Expand expectations of </w:t>
      </w:r>
      <w:r w:rsidR="00BC04B0">
        <w:rPr>
          <w:rFonts w:asciiTheme="minorHAnsi" w:hAnsiTheme="minorHAnsi" w:cs="Arial"/>
          <w:color w:val="000000"/>
          <w:szCs w:val="19"/>
        </w:rPr>
        <w:t>any</w:t>
      </w:r>
      <w:r w:rsidR="00BC04B0" w:rsidRPr="00EC108E">
        <w:rPr>
          <w:rFonts w:asciiTheme="minorHAnsi" w:hAnsiTheme="minorHAnsi" w:cs="Arial"/>
          <w:color w:val="000000"/>
          <w:szCs w:val="19"/>
        </w:rPr>
        <w:t xml:space="preserve"> </w:t>
      </w:r>
      <w:r w:rsidR="00EC108E" w:rsidRPr="00EC108E">
        <w:rPr>
          <w:rFonts w:asciiTheme="minorHAnsi" w:hAnsiTheme="minorHAnsi" w:cs="Arial"/>
          <w:color w:val="000000"/>
          <w:szCs w:val="19"/>
        </w:rPr>
        <w:t xml:space="preserve">transport contractors </w:t>
      </w:r>
      <w:r w:rsidR="004818D2">
        <w:rPr>
          <w:rFonts w:asciiTheme="minorHAnsi" w:hAnsiTheme="minorHAnsi" w:cs="Arial"/>
          <w:color w:val="000000"/>
          <w:szCs w:val="19"/>
        </w:rPr>
        <w:t>to include a</w:t>
      </w:r>
      <w:r w:rsidR="00EC108E">
        <w:rPr>
          <w:rFonts w:asciiTheme="minorHAnsi" w:hAnsiTheme="minorHAnsi" w:cs="Arial"/>
          <w:color w:val="000000"/>
          <w:szCs w:val="19"/>
        </w:rPr>
        <w:t xml:space="preserve"> consultative partnership approach with local health authorities t</w:t>
      </w:r>
      <w:r w:rsidR="007E6C5D">
        <w:rPr>
          <w:rFonts w:asciiTheme="minorHAnsi" w:hAnsiTheme="minorHAnsi" w:cs="Arial"/>
          <w:color w:val="000000"/>
          <w:szCs w:val="19"/>
        </w:rPr>
        <w:t>hat includes</w:t>
      </w:r>
      <w:r w:rsidR="00EC108E">
        <w:rPr>
          <w:rFonts w:asciiTheme="minorHAnsi" w:hAnsiTheme="minorHAnsi" w:cs="Arial"/>
          <w:color w:val="000000"/>
          <w:szCs w:val="19"/>
        </w:rPr>
        <w:t xml:space="preserve"> adequate communication with local health managers, for example through including evidence of joint planning meetings as part of payment conditions. </w:t>
      </w:r>
      <w:r w:rsidR="004818D2">
        <w:rPr>
          <w:rFonts w:asciiTheme="minorHAnsi" w:hAnsiTheme="minorHAnsi" w:cs="Arial"/>
          <w:color w:val="000000"/>
          <w:szCs w:val="19"/>
        </w:rPr>
        <w:t>Boxes should be label</w:t>
      </w:r>
      <w:r w:rsidR="00043211">
        <w:rPr>
          <w:rFonts w:asciiTheme="minorHAnsi" w:hAnsiTheme="minorHAnsi" w:cs="Arial"/>
          <w:color w:val="000000"/>
          <w:szCs w:val="19"/>
        </w:rPr>
        <w:t>ed to indicate contents and support consultation for fine-tuning of delivery needs.</w:t>
      </w:r>
    </w:p>
    <w:p w14:paraId="043DAA9B" w14:textId="16A3D958" w:rsidR="00044D6D" w:rsidRPr="00EC108E" w:rsidRDefault="00FD00CE" w:rsidP="00AD3F80">
      <w:pPr>
        <w:pStyle w:val="ListParagraph"/>
        <w:widowControl w:val="0"/>
        <w:numPr>
          <w:ilvl w:val="0"/>
          <w:numId w:val="35"/>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Theme="minorHAnsi" w:hAnsiTheme="minorHAnsi" w:cs="Arial"/>
          <w:color w:val="000000"/>
          <w:szCs w:val="19"/>
        </w:rPr>
      </w:pPr>
      <w:r>
        <w:rPr>
          <w:rFonts w:asciiTheme="minorHAnsi" w:hAnsiTheme="minorHAnsi" w:cs="Arial"/>
          <w:color w:val="000000"/>
          <w:szCs w:val="19"/>
        </w:rPr>
        <w:t xml:space="preserve">From 2014: </w:t>
      </w:r>
      <w:r w:rsidR="00044D6D" w:rsidRPr="00A03A75">
        <w:rPr>
          <w:rFonts w:asciiTheme="minorHAnsi" w:hAnsiTheme="minorHAnsi" w:cs="Arial"/>
          <w:b/>
          <w:color w:val="000000"/>
          <w:szCs w:val="19"/>
        </w:rPr>
        <w:t>To ensure</w:t>
      </w:r>
      <w:r w:rsidRPr="00A03A75">
        <w:rPr>
          <w:rFonts w:asciiTheme="minorHAnsi" w:hAnsiTheme="minorHAnsi" w:cs="Arial"/>
          <w:b/>
          <w:color w:val="000000"/>
          <w:szCs w:val="19"/>
        </w:rPr>
        <w:t xml:space="preserve"> verification</w:t>
      </w:r>
      <w:r>
        <w:rPr>
          <w:rFonts w:asciiTheme="minorHAnsi" w:hAnsiTheme="minorHAnsi" w:cs="Arial"/>
          <w:b/>
          <w:color w:val="000000"/>
          <w:szCs w:val="19"/>
        </w:rPr>
        <w:t xml:space="preserve">, </w:t>
      </w:r>
      <w:r>
        <w:rPr>
          <w:rFonts w:asciiTheme="minorHAnsi" w:hAnsiTheme="minorHAnsi" w:cs="Arial"/>
          <w:color w:val="000000"/>
          <w:szCs w:val="19"/>
        </w:rPr>
        <w:t>‘push’ system program managers</w:t>
      </w:r>
      <w:r w:rsidR="00A03A75">
        <w:rPr>
          <w:rFonts w:asciiTheme="minorHAnsi" w:hAnsiTheme="minorHAnsi" w:cs="Arial"/>
          <w:color w:val="000000"/>
          <w:szCs w:val="19"/>
        </w:rPr>
        <w:t xml:space="preserve"> should continue existing contract and performance monitoring, considering enhancements such as:</w:t>
      </w:r>
      <w:r w:rsidR="00A03A75" w:rsidRPr="00A03A75">
        <w:rPr>
          <w:rFonts w:asciiTheme="minorHAnsi" w:hAnsiTheme="minorHAnsi" w:cs="Arial"/>
          <w:color w:val="000000"/>
          <w:szCs w:val="19"/>
        </w:rPr>
        <w:t xml:space="preserve"> </w:t>
      </w:r>
      <w:r w:rsidR="00A03A75">
        <w:rPr>
          <w:rFonts w:asciiTheme="minorHAnsi" w:hAnsiTheme="minorHAnsi" w:cs="Arial"/>
          <w:color w:val="000000"/>
          <w:szCs w:val="19"/>
        </w:rPr>
        <w:t>i</w:t>
      </w:r>
      <w:r w:rsidR="00A03A75" w:rsidRPr="00F0761F">
        <w:rPr>
          <w:rFonts w:asciiTheme="minorHAnsi" w:hAnsiTheme="minorHAnsi" w:cs="Arial"/>
          <w:color w:val="000000"/>
          <w:szCs w:val="19"/>
        </w:rPr>
        <w:t xml:space="preserve">dentifying a management agent </w:t>
      </w:r>
      <w:r w:rsidR="00335353">
        <w:rPr>
          <w:rFonts w:asciiTheme="minorHAnsi" w:hAnsiTheme="minorHAnsi" w:cs="Arial"/>
          <w:color w:val="000000"/>
          <w:szCs w:val="19"/>
        </w:rPr>
        <w:t xml:space="preserve">to supervise </w:t>
      </w:r>
      <w:r w:rsidR="00A03A75" w:rsidRPr="00F0761F">
        <w:rPr>
          <w:rFonts w:asciiTheme="minorHAnsi" w:hAnsiTheme="minorHAnsi" w:cs="Arial"/>
          <w:color w:val="000000"/>
          <w:szCs w:val="19"/>
        </w:rPr>
        <w:t>transport contractors</w:t>
      </w:r>
      <w:r w:rsidR="00335353">
        <w:rPr>
          <w:rFonts w:asciiTheme="minorHAnsi" w:hAnsiTheme="minorHAnsi" w:cs="Arial"/>
          <w:color w:val="000000"/>
          <w:szCs w:val="19"/>
        </w:rPr>
        <w:t xml:space="preserve"> and coordinate with the pharmaceutical supplier; continuing use of </w:t>
      </w:r>
      <w:r w:rsidR="00D86C22">
        <w:rPr>
          <w:rFonts w:asciiTheme="minorHAnsi" w:hAnsiTheme="minorHAnsi" w:cs="Arial"/>
          <w:color w:val="000000"/>
          <w:szCs w:val="19"/>
        </w:rPr>
        <w:t>‘</w:t>
      </w:r>
      <w:r w:rsidR="00335353">
        <w:rPr>
          <w:rFonts w:asciiTheme="minorHAnsi" w:hAnsiTheme="minorHAnsi" w:cs="Arial"/>
          <w:color w:val="000000"/>
          <w:szCs w:val="19"/>
        </w:rPr>
        <w:t>G</w:t>
      </w:r>
      <w:r w:rsidR="00044D6D" w:rsidRPr="008D11AA">
        <w:rPr>
          <w:rFonts w:asciiTheme="minorHAnsi" w:hAnsiTheme="minorHAnsi" w:cs="Arial"/>
          <w:color w:val="000000"/>
          <w:szCs w:val="19"/>
        </w:rPr>
        <w:t>eo</w:t>
      </w:r>
      <w:r w:rsidR="00B937C4">
        <w:rPr>
          <w:rFonts w:asciiTheme="minorHAnsi" w:hAnsiTheme="minorHAnsi" w:cs="Arial"/>
          <w:color w:val="000000"/>
          <w:szCs w:val="19"/>
        </w:rPr>
        <w:t>-</w:t>
      </w:r>
      <w:proofErr w:type="spellStart"/>
      <w:r w:rsidR="00044D6D" w:rsidRPr="008D11AA">
        <w:rPr>
          <w:rFonts w:asciiTheme="minorHAnsi" w:hAnsiTheme="minorHAnsi" w:cs="Arial"/>
          <w:color w:val="000000"/>
          <w:szCs w:val="19"/>
        </w:rPr>
        <w:t>pics</w:t>
      </w:r>
      <w:proofErr w:type="spellEnd"/>
      <w:r w:rsidR="00D86C22">
        <w:rPr>
          <w:rFonts w:asciiTheme="minorHAnsi" w:hAnsiTheme="minorHAnsi" w:cs="Arial"/>
          <w:color w:val="000000"/>
          <w:szCs w:val="19"/>
        </w:rPr>
        <w:t>’</w:t>
      </w:r>
      <w:r w:rsidR="00044D6D" w:rsidRPr="008D11AA">
        <w:rPr>
          <w:rFonts w:asciiTheme="minorHAnsi" w:hAnsiTheme="minorHAnsi" w:cs="Arial"/>
          <w:color w:val="000000"/>
          <w:szCs w:val="19"/>
        </w:rPr>
        <w:t xml:space="preserve"> as part of proof of delivery </w:t>
      </w:r>
      <w:r w:rsidR="00335353">
        <w:rPr>
          <w:rFonts w:asciiTheme="minorHAnsi" w:hAnsiTheme="minorHAnsi" w:cs="Arial"/>
          <w:color w:val="000000"/>
          <w:szCs w:val="19"/>
        </w:rPr>
        <w:t xml:space="preserve">with </w:t>
      </w:r>
      <w:r w:rsidR="00044D6D" w:rsidRPr="008D11AA">
        <w:rPr>
          <w:rFonts w:asciiTheme="minorHAnsi" w:hAnsiTheme="minorHAnsi" w:cs="Helvetica"/>
          <w:bCs/>
          <w:color w:val="000000"/>
          <w:szCs w:val="19"/>
        </w:rPr>
        <w:t>consistent camera equipment and training</w:t>
      </w:r>
      <w:r w:rsidR="00335353">
        <w:rPr>
          <w:rFonts w:asciiTheme="minorHAnsi" w:hAnsiTheme="minorHAnsi" w:cs="Helvetica"/>
          <w:bCs/>
          <w:color w:val="000000"/>
          <w:szCs w:val="19"/>
        </w:rPr>
        <w:t xml:space="preserve">; </w:t>
      </w:r>
      <w:r w:rsidR="00044D6D" w:rsidRPr="00C13D88">
        <w:rPr>
          <w:rFonts w:asciiTheme="minorHAnsi" w:hAnsiTheme="minorHAnsi" w:cs="Arial"/>
          <w:color w:val="000000"/>
          <w:szCs w:val="19"/>
        </w:rPr>
        <w:t xml:space="preserve">signed minutes of the meeting </w:t>
      </w:r>
      <w:r w:rsidR="00043211">
        <w:rPr>
          <w:rFonts w:asciiTheme="minorHAnsi" w:hAnsiTheme="minorHAnsi" w:cs="Arial"/>
          <w:color w:val="000000"/>
          <w:szCs w:val="19"/>
        </w:rPr>
        <w:t>with provincial/district health managers;</w:t>
      </w:r>
      <w:r w:rsidR="00044D6D" w:rsidRPr="00C13D88">
        <w:rPr>
          <w:rFonts w:asciiTheme="minorHAnsi" w:hAnsiTheme="minorHAnsi" w:cs="Arial"/>
          <w:color w:val="000000"/>
          <w:szCs w:val="19"/>
        </w:rPr>
        <w:t xml:space="preserve"> where relevant locations and delivery estimates were discussed. </w:t>
      </w:r>
    </w:p>
    <w:p w14:paraId="7A51DC05" w14:textId="77777777" w:rsidR="00DC2571" w:rsidRPr="00DC2571" w:rsidRDefault="00DC2571" w:rsidP="00DC2571">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rPr>
      </w:pPr>
    </w:p>
    <w:p w14:paraId="317299AA" w14:textId="3619BB21" w:rsidR="00807F00" w:rsidRDefault="00CC2246" w:rsidP="00CC2246">
      <w:pPr>
        <w:pStyle w:val="Heading3"/>
        <w:ind w:left="709" w:hanging="709"/>
      </w:pPr>
      <w:r>
        <w:t>Detailed recommendations on a</w:t>
      </w:r>
      <w:r w:rsidR="00807F00" w:rsidRPr="007E6C5D">
        <w:t>vailability</w:t>
      </w:r>
      <w:r>
        <w:t>, usage and handling</w:t>
      </w:r>
      <w:r w:rsidR="00807F00" w:rsidRPr="007E6C5D">
        <w:t xml:space="preserve"> of essential medicines in health facilities</w:t>
      </w:r>
    </w:p>
    <w:p w14:paraId="7B9E7802" w14:textId="64449D22" w:rsidR="00C80075" w:rsidRPr="008378B4" w:rsidRDefault="00094742" w:rsidP="00AD3F80">
      <w:pPr>
        <w:pStyle w:val="ListParagraph"/>
        <w:numPr>
          <w:ilvl w:val="0"/>
          <w:numId w:val="32"/>
        </w:numPr>
        <w:rPr>
          <w:rFonts w:asciiTheme="majorHAnsi" w:hAnsiTheme="majorHAnsi" w:cs="Arial"/>
          <w:color w:val="000000"/>
          <w:szCs w:val="19"/>
        </w:rPr>
      </w:pPr>
      <w:r w:rsidRPr="008378B4">
        <w:t xml:space="preserve">Over the next three years: </w:t>
      </w:r>
      <w:r w:rsidR="00FA6EA0">
        <w:t xml:space="preserve">NDOH, </w:t>
      </w:r>
      <w:r w:rsidR="00391E84">
        <w:t xml:space="preserve">provincial health managers and health workforce planners </w:t>
      </w:r>
      <w:r w:rsidRPr="008378B4">
        <w:t>support stronger integrated supervision of medicines management and rational usage within provinces by increasing pharmacist or pharmacy technician positions and placements in provincial health agencies, including Provincial Transit Stores</w:t>
      </w:r>
      <w:r w:rsidR="006A6031">
        <w:t xml:space="preserve"> as a key component of provincial systems, as well as supporting ex</w:t>
      </w:r>
      <w:r w:rsidRPr="008378B4">
        <w:t>i</w:t>
      </w:r>
      <w:r w:rsidR="006A6031">
        <w:t>s</w:t>
      </w:r>
      <w:r w:rsidRPr="008378B4">
        <w:t>ting district/provincial managers and/or AMS staff in supervision visits at HFs. This may require review of pharmaceutical workforce education and planning.</w:t>
      </w:r>
    </w:p>
    <w:p w14:paraId="147DCD53" w14:textId="50E2691E" w:rsidR="00C13D88" w:rsidRDefault="00391E84" w:rsidP="00AD3F80">
      <w:pPr>
        <w:pStyle w:val="ListParagraph"/>
        <w:numPr>
          <w:ilvl w:val="0"/>
          <w:numId w:val="36"/>
        </w:numPr>
        <w:ind w:right="95"/>
      </w:pPr>
      <w:r>
        <w:lastRenderedPageBreak/>
        <w:t>From 2014: NDOH and development partners engaged in health workers training to r</w:t>
      </w:r>
      <w:r w:rsidR="00C13D88">
        <w:t>eview survey findings</w:t>
      </w:r>
      <w:r>
        <w:t xml:space="preserve"> on errors in rational medicines usage and management of supplies and HF stores</w:t>
      </w:r>
      <w:r w:rsidR="00C13D88">
        <w:t xml:space="preserve"> to inform in</w:t>
      </w:r>
      <w:r w:rsidR="009D13DC">
        <w:t>-</w:t>
      </w:r>
      <w:r w:rsidR="00C13D88">
        <w:t>service training plans</w:t>
      </w:r>
      <w:r>
        <w:t xml:space="preserve">, including the Rural Health Facility Management Training program scheduled for 2014 </w:t>
      </w:r>
      <w:r w:rsidR="000949F9">
        <w:t>–</w:t>
      </w:r>
      <w:r>
        <w:t xml:space="preserve"> 2017</w:t>
      </w:r>
      <w:r w:rsidR="00B937C4">
        <w:t>.</w:t>
      </w:r>
    </w:p>
    <w:p w14:paraId="393AB654" w14:textId="614810CB" w:rsidR="00C13D88" w:rsidRDefault="000949F9" w:rsidP="00AD3F80">
      <w:pPr>
        <w:pStyle w:val="ListParagraph"/>
        <w:numPr>
          <w:ilvl w:val="0"/>
          <w:numId w:val="36"/>
        </w:numPr>
        <w:ind w:right="95"/>
      </w:pPr>
      <w:r>
        <w:t>Over next two to three years: NDOH and technical partners such as WHO r</w:t>
      </w:r>
      <w:r w:rsidR="00CC2246">
        <w:t>evise and update the current information provided with kits, and increase the variety of information distribution methods to p</w:t>
      </w:r>
      <w:r w:rsidR="00C13D88">
        <w:t xml:space="preserve">rovide rational </w:t>
      </w:r>
      <w:r w:rsidR="00CC2246">
        <w:t xml:space="preserve">medicines </w:t>
      </w:r>
      <w:r w:rsidR="004236FC">
        <w:t>use information, for example</w:t>
      </w:r>
      <w:r w:rsidR="00C13D88">
        <w:t xml:space="preserve"> simple </w:t>
      </w:r>
      <w:r w:rsidR="005B5BF3">
        <w:t xml:space="preserve">rational medicines use </w:t>
      </w:r>
      <w:r w:rsidR="007E6C5D">
        <w:t>bulletins sent with k</w:t>
      </w:r>
      <w:r w:rsidR="00C13D88">
        <w:t>its addressing pertinent topics</w:t>
      </w:r>
      <w:r w:rsidR="007E6C5D">
        <w:t>, updated terminology or labeling (e</w:t>
      </w:r>
      <w:r w:rsidR="00833869">
        <w:t>.</w:t>
      </w:r>
      <w:r w:rsidR="007E6C5D">
        <w:t>g</w:t>
      </w:r>
      <w:r w:rsidR="00833869">
        <w:t>.</w:t>
      </w:r>
      <w:r w:rsidR="007E6C5D">
        <w:t xml:space="preserve"> generics) and new medicine uses (e</w:t>
      </w:r>
      <w:r w:rsidR="00833869">
        <w:t>.</w:t>
      </w:r>
      <w:r w:rsidR="007E6C5D">
        <w:t>g</w:t>
      </w:r>
      <w:r w:rsidR="00833869">
        <w:t>.</w:t>
      </w:r>
      <w:r w:rsidR="007E6C5D">
        <w:t xml:space="preserve"> dispersible tablets), with a focus on good quality job aids suitable for display in HFs </w:t>
      </w:r>
      <w:r>
        <w:t>and development of simple up to date SOPs for medicines management.</w:t>
      </w:r>
    </w:p>
    <w:p w14:paraId="1CEA144F" w14:textId="77777777" w:rsidR="000949F9" w:rsidRDefault="000949F9" w:rsidP="00AD3F80">
      <w:pPr>
        <w:pStyle w:val="ListParagraph"/>
        <w:numPr>
          <w:ilvl w:val="0"/>
          <w:numId w:val="37"/>
        </w:numPr>
      </w:pPr>
      <w:r>
        <w:t>Over next two to three years: NDOH and technical partners such as WHO develop simple, user-friendly STGs oriented to CHWs needs and the treatment portfolio of Aid Posts.</w:t>
      </w:r>
    </w:p>
    <w:p w14:paraId="3B16D6F7" w14:textId="1700DA57" w:rsidR="00393618" w:rsidRDefault="000949F9" w:rsidP="00AD3F80">
      <w:pPr>
        <w:pStyle w:val="ListParagraph"/>
        <w:numPr>
          <w:ilvl w:val="0"/>
          <w:numId w:val="37"/>
        </w:numPr>
      </w:pPr>
      <w:r>
        <w:t>From 2014: NDOH MSPD and rural health sections r</w:t>
      </w:r>
      <w:r w:rsidR="00393618">
        <w:t xml:space="preserve">eview </w:t>
      </w:r>
      <w:r>
        <w:t xml:space="preserve">medical supplies </w:t>
      </w:r>
      <w:r w:rsidR="00393618">
        <w:t xml:space="preserve">storage needs at standard HC/SC and AP, and incorporation </w:t>
      </w:r>
      <w:r>
        <w:t xml:space="preserve">of these </w:t>
      </w:r>
      <w:r w:rsidR="00393618">
        <w:t>into plans for new facilities, including Community Health Posts</w:t>
      </w:r>
      <w:r>
        <w:t>.</w:t>
      </w:r>
    </w:p>
    <w:p w14:paraId="4D95663D" w14:textId="77777777" w:rsidR="00807F00" w:rsidRPr="004E5311" w:rsidRDefault="00807F00" w:rsidP="00807F00">
      <w:pPr>
        <w:rPr>
          <w:rFonts w:eastAsiaTheme="minorEastAsia"/>
        </w:rPr>
      </w:pPr>
    </w:p>
    <w:p w14:paraId="77800268" w14:textId="1C2BC945" w:rsidR="00807F00" w:rsidRPr="007E6C5D" w:rsidRDefault="00CC2246" w:rsidP="00691F69">
      <w:pPr>
        <w:pStyle w:val="Heading3"/>
        <w:rPr>
          <w:noProof/>
        </w:rPr>
      </w:pPr>
      <w:r>
        <w:rPr>
          <w:noProof/>
        </w:rPr>
        <w:t>Detailed recommendations on c</w:t>
      </w:r>
      <w:r w:rsidR="00807F00" w:rsidRPr="007E6C5D">
        <w:rPr>
          <w:noProof/>
        </w:rPr>
        <w:t>ommunity engagement</w:t>
      </w:r>
    </w:p>
    <w:p w14:paraId="04E93E3B" w14:textId="31DE7288" w:rsidR="00691F69" w:rsidRDefault="000949F9" w:rsidP="00AD3F80">
      <w:pPr>
        <w:pStyle w:val="ListParagraph"/>
        <w:numPr>
          <w:ilvl w:val="0"/>
          <w:numId w:val="38"/>
        </w:numPr>
      </w:pPr>
      <w:r>
        <w:t xml:space="preserve">From 2014: NDOH MSPD </w:t>
      </w:r>
      <w:r w:rsidR="00CC2246">
        <w:t>i</w:t>
      </w:r>
      <w:r w:rsidR="00691F69">
        <w:t>mplement community engagement strategies as expressed within the medical supply reform plan</w:t>
      </w:r>
      <w:r>
        <w:t xml:space="preserve">, with a focus on </w:t>
      </w:r>
      <w:r w:rsidR="00082518">
        <w:t xml:space="preserve">education to reduce pressure for over-use of medicines such as antibiotics, generation of community support for quality-assured supply and avoidance of </w:t>
      </w:r>
      <w:proofErr w:type="spellStart"/>
      <w:r w:rsidR="00082518">
        <w:t>unauthorised</w:t>
      </w:r>
      <w:proofErr w:type="spellEnd"/>
      <w:r w:rsidR="00082518">
        <w:t xml:space="preserve"> sale of medicines, and protection of supply chains, health staff and facilities during periods of civil unrest.</w:t>
      </w:r>
    </w:p>
    <w:p w14:paraId="72EB1D62" w14:textId="2D3A2A62" w:rsidR="00691F69" w:rsidRPr="00691F69" w:rsidRDefault="00082518" w:rsidP="00AD3F80">
      <w:pPr>
        <w:pStyle w:val="ListParagraph"/>
        <w:numPr>
          <w:ilvl w:val="0"/>
          <w:numId w:val="38"/>
        </w:numPr>
      </w:pPr>
      <w:r>
        <w:t xml:space="preserve">Over next two to three years: </w:t>
      </w:r>
      <w:r w:rsidR="00691F69" w:rsidRPr="00691F69">
        <w:t xml:space="preserve">Consideration for development of a ‘customer service’ </w:t>
      </w:r>
      <w:r>
        <w:t>hotline</w:t>
      </w:r>
      <w:r w:rsidRPr="00691F69">
        <w:t xml:space="preserve"> </w:t>
      </w:r>
      <w:r w:rsidR="00691F69" w:rsidRPr="00691F69">
        <w:t>in N</w:t>
      </w:r>
      <w:r w:rsidR="005B5BF3">
        <w:t>DO</w:t>
      </w:r>
      <w:r w:rsidR="00691F69" w:rsidRPr="00691F69">
        <w:t>H</w:t>
      </w:r>
      <w:r>
        <w:t xml:space="preserve"> MSPD to allow community members to register opinions on medicines access or report system abuses. </w:t>
      </w:r>
    </w:p>
    <w:p w14:paraId="40D33F40" w14:textId="77777777" w:rsidR="00807F00" w:rsidRDefault="00807F00" w:rsidP="00807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color w:val="000000"/>
          <w:szCs w:val="19"/>
        </w:rPr>
      </w:pPr>
    </w:p>
    <w:p w14:paraId="5E4B4AF9" w14:textId="77777777" w:rsidR="00082518" w:rsidRDefault="00082518">
      <w:pPr>
        <w:jc w:val="left"/>
        <w:rPr>
          <w:rFonts w:cs="Times New Roman"/>
          <w:b/>
          <w:kern w:val="28"/>
          <w:sz w:val="28"/>
          <w:szCs w:val="28"/>
          <w:lang w:val="en-AU" w:eastAsia="en-AU"/>
        </w:rPr>
      </w:pPr>
      <w:bookmarkStart w:id="122" w:name="_Toc239058965"/>
      <w:r>
        <w:br w:type="page"/>
      </w:r>
    </w:p>
    <w:p w14:paraId="032E5465" w14:textId="3DE6E77C" w:rsidR="00947DFA" w:rsidRPr="00E27200" w:rsidRDefault="00947DFA" w:rsidP="00E16C77">
      <w:pPr>
        <w:pStyle w:val="Heading2"/>
      </w:pPr>
      <w:bookmarkStart w:id="123" w:name="_Toc245620954"/>
      <w:bookmarkStart w:id="124" w:name="_Toc245810769"/>
      <w:r w:rsidRPr="00E27200">
        <w:lastRenderedPageBreak/>
        <w:t>Future monitoring and evaluation</w:t>
      </w:r>
      <w:bookmarkEnd w:id="122"/>
      <w:bookmarkEnd w:id="123"/>
      <w:bookmarkEnd w:id="124"/>
    </w:p>
    <w:p w14:paraId="23684783" w14:textId="77777777" w:rsidR="00F80CB7" w:rsidRDefault="00F80CB7" w:rsidP="00F80CB7">
      <w:pPr>
        <w:pStyle w:val="Heading3"/>
      </w:pPr>
      <w:r>
        <w:t>Background to a multi-year plan</w:t>
      </w:r>
    </w:p>
    <w:p w14:paraId="728C357F" w14:textId="40298431" w:rsidR="00006D94" w:rsidRPr="00800A6B" w:rsidRDefault="00006D94" w:rsidP="00E16C77">
      <w:pPr>
        <w:rPr>
          <w:spacing w:val="-4"/>
          <w:szCs w:val="22"/>
          <w:lang w:val="en-AU"/>
        </w:rPr>
      </w:pPr>
      <w:r w:rsidRPr="00800A6B">
        <w:rPr>
          <w:spacing w:val="-4"/>
          <w:szCs w:val="22"/>
          <w:lang w:val="en-AU"/>
        </w:rPr>
        <w:t xml:space="preserve">The original TORs for this evaluation foresaw a multi-year program of assessment to track progress in medical supplies reform until approximately 2016. A full multi-year plan, meeting international standards for evaluation rigour, </w:t>
      </w:r>
      <w:r w:rsidR="008C6F73" w:rsidRPr="00800A6B">
        <w:rPr>
          <w:spacing w:val="-4"/>
          <w:szCs w:val="22"/>
          <w:lang w:val="en-AU"/>
        </w:rPr>
        <w:t>has been developed</w:t>
      </w:r>
      <w:r w:rsidRPr="00800A6B">
        <w:rPr>
          <w:spacing w:val="-4"/>
          <w:szCs w:val="22"/>
          <w:lang w:val="en-AU"/>
        </w:rPr>
        <w:t xml:space="preserve"> with support from development partners, particularly </w:t>
      </w:r>
      <w:r w:rsidR="007439AA" w:rsidRPr="00800A6B">
        <w:rPr>
          <w:spacing w:val="-4"/>
          <w:szCs w:val="22"/>
          <w:lang w:val="en-AU"/>
        </w:rPr>
        <w:t xml:space="preserve">the </w:t>
      </w:r>
      <w:r w:rsidR="00D42F1E" w:rsidRPr="00800A6B">
        <w:rPr>
          <w:spacing w:val="-4"/>
          <w:szCs w:val="22"/>
          <w:lang w:val="en-AU"/>
        </w:rPr>
        <w:t xml:space="preserve">Australian </w:t>
      </w:r>
      <w:r w:rsidR="007439AA" w:rsidRPr="00800A6B">
        <w:rPr>
          <w:spacing w:val="-4"/>
          <w:szCs w:val="22"/>
          <w:lang w:val="en-AU"/>
        </w:rPr>
        <w:t>Government</w:t>
      </w:r>
      <w:r w:rsidR="00BC27E3">
        <w:rPr>
          <w:spacing w:val="-4"/>
          <w:szCs w:val="22"/>
          <w:lang w:val="en-AU"/>
        </w:rPr>
        <w:t xml:space="preserve">. The multi-year plan is </w:t>
      </w:r>
      <w:r w:rsidR="00800A6B" w:rsidRPr="00800A6B">
        <w:rPr>
          <w:spacing w:val="-4"/>
          <w:szCs w:val="22"/>
          <w:lang w:val="en-AU"/>
        </w:rPr>
        <w:t>available separately</w:t>
      </w:r>
      <w:r w:rsidRPr="00800A6B">
        <w:rPr>
          <w:spacing w:val="-4"/>
          <w:szCs w:val="22"/>
          <w:lang w:val="en-AU"/>
        </w:rPr>
        <w:t>.</w:t>
      </w:r>
      <w:r w:rsidR="00810623" w:rsidRPr="00800A6B">
        <w:rPr>
          <w:spacing w:val="-4"/>
          <w:szCs w:val="22"/>
          <w:lang w:val="en-AU"/>
        </w:rPr>
        <w:t xml:space="preserve"> Th</w:t>
      </w:r>
      <w:r w:rsidR="00BC27E3">
        <w:rPr>
          <w:spacing w:val="-4"/>
          <w:szCs w:val="22"/>
          <w:lang w:val="en-AU"/>
        </w:rPr>
        <w:t>e plan</w:t>
      </w:r>
      <w:r w:rsidR="00810623" w:rsidRPr="00800A6B">
        <w:rPr>
          <w:spacing w:val="-4"/>
          <w:szCs w:val="22"/>
          <w:lang w:val="en-AU"/>
        </w:rPr>
        <w:t xml:space="preserve"> recognises the importance of medical supplies to health system functioning</w:t>
      </w:r>
      <w:r w:rsidR="00BC27E3">
        <w:rPr>
          <w:spacing w:val="-4"/>
          <w:szCs w:val="22"/>
          <w:lang w:val="en-AU"/>
        </w:rPr>
        <w:t>,</w:t>
      </w:r>
      <w:r w:rsidR="00810623" w:rsidRPr="00800A6B">
        <w:rPr>
          <w:spacing w:val="-4"/>
          <w:szCs w:val="22"/>
          <w:lang w:val="en-AU"/>
        </w:rPr>
        <w:t xml:space="preserve"> the level of investment in kit programs as well as overall system development by the GoPNG, </w:t>
      </w:r>
      <w:r w:rsidR="00D42F1E" w:rsidRPr="00800A6B">
        <w:rPr>
          <w:spacing w:val="-4"/>
          <w:szCs w:val="22"/>
          <w:lang w:val="en-AU"/>
        </w:rPr>
        <w:t xml:space="preserve">the </w:t>
      </w:r>
      <w:r w:rsidR="007439AA" w:rsidRPr="00800A6B">
        <w:rPr>
          <w:spacing w:val="-4"/>
          <w:szCs w:val="22"/>
          <w:lang w:val="en-AU"/>
        </w:rPr>
        <w:t xml:space="preserve">Australian </w:t>
      </w:r>
      <w:r w:rsidR="00D42F1E" w:rsidRPr="00800A6B">
        <w:rPr>
          <w:spacing w:val="-4"/>
          <w:szCs w:val="22"/>
          <w:lang w:val="en-AU"/>
        </w:rPr>
        <w:t xml:space="preserve">Government </w:t>
      </w:r>
      <w:r w:rsidR="00810623" w:rsidRPr="00800A6B">
        <w:rPr>
          <w:spacing w:val="-4"/>
          <w:szCs w:val="22"/>
          <w:lang w:val="en-AU"/>
        </w:rPr>
        <w:t>and other development partners.</w:t>
      </w:r>
    </w:p>
    <w:p w14:paraId="07ED2FDE" w14:textId="77777777" w:rsidR="00006D94" w:rsidRDefault="00006D94" w:rsidP="00E16C77">
      <w:pPr>
        <w:rPr>
          <w:lang w:val="en-AU"/>
        </w:rPr>
      </w:pPr>
    </w:p>
    <w:p w14:paraId="31520C53" w14:textId="13C123FF" w:rsidR="00F80CB7" w:rsidRDefault="00006D94" w:rsidP="00E16C77">
      <w:pPr>
        <w:rPr>
          <w:lang w:val="en-AU"/>
        </w:rPr>
      </w:pPr>
      <w:r>
        <w:rPr>
          <w:lang w:val="en-AU"/>
        </w:rPr>
        <w:t>During consultations with health managers a range of opinions were expressed</w:t>
      </w:r>
      <w:r w:rsidR="00BC27E3">
        <w:rPr>
          <w:lang w:val="en-AU"/>
        </w:rPr>
        <w:t>,</w:t>
      </w:r>
      <w:r>
        <w:rPr>
          <w:lang w:val="en-AU"/>
        </w:rPr>
        <w:t xml:space="preserve"> </w:t>
      </w:r>
      <w:r w:rsidR="00800A6B">
        <w:rPr>
          <w:lang w:val="en-AU"/>
        </w:rPr>
        <w:t>supporting</w:t>
      </w:r>
      <w:r>
        <w:rPr>
          <w:lang w:val="en-AU"/>
        </w:rPr>
        <w:t xml:space="preserve"> the need for </w:t>
      </w:r>
      <w:r w:rsidR="00800A6B">
        <w:rPr>
          <w:lang w:val="en-AU"/>
        </w:rPr>
        <w:t>further</w:t>
      </w:r>
      <w:r>
        <w:rPr>
          <w:lang w:val="en-AU"/>
        </w:rPr>
        <w:t xml:space="preserve"> monitoring and evaluation. When commenting on</w:t>
      </w:r>
      <w:r w:rsidRPr="00006D94">
        <w:rPr>
          <w:lang w:val="en-AU"/>
        </w:rPr>
        <w:t xml:space="preserve"> the</w:t>
      </w:r>
      <w:r>
        <w:rPr>
          <w:lang w:val="en-AU"/>
        </w:rPr>
        <w:t xml:space="preserve"> type of</w:t>
      </w:r>
      <w:r w:rsidRPr="00006D94">
        <w:rPr>
          <w:lang w:val="en-AU"/>
        </w:rPr>
        <w:t xml:space="preserve"> indicators that</w:t>
      </w:r>
      <w:r>
        <w:rPr>
          <w:lang w:val="en-AU"/>
        </w:rPr>
        <w:t xml:space="preserve"> c</w:t>
      </w:r>
      <w:r w:rsidRPr="00006D94">
        <w:rPr>
          <w:lang w:val="en-AU"/>
        </w:rPr>
        <w:t>ould be measured to ensure the effectiveness of the medical supplies system</w:t>
      </w:r>
      <w:r>
        <w:rPr>
          <w:lang w:val="en-AU"/>
        </w:rPr>
        <w:t xml:space="preserve">, many noted that although most </w:t>
      </w:r>
      <w:r w:rsidRPr="00006D94">
        <w:rPr>
          <w:lang w:val="en-AU"/>
        </w:rPr>
        <w:t xml:space="preserve">health facilities completed the NHIS form, the data collected </w:t>
      </w:r>
      <w:r w:rsidR="00F4540D">
        <w:rPr>
          <w:lang w:val="en-AU"/>
        </w:rPr>
        <w:t>were</w:t>
      </w:r>
      <w:r w:rsidR="00F4540D" w:rsidRPr="00006D94">
        <w:rPr>
          <w:lang w:val="en-AU"/>
        </w:rPr>
        <w:t xml:space="preserve"> </w:t>
      </w:r>
      <w:r w:rsidRPr="00006D94">
        <w:rPr>
          <w:lang w:val="en-AU"/>
        </w:rPr>
        <w:t>not used to report back to</w:t>
      </w:r>
      <w:r w:rsidR="00BC27E3">
        <w:rPr>
          <w:lang w:val="en-AU"/>
        </w:rPr>
        <w:t xml:space="preserve"> the respective</w:t>
      </w:r>
      <w:r w:rsidRPr="00006D94">
        <w:rPr>
          <w:lang w:val="en-AU"/>
        </w:rPr>
        <w:t xml:space="preserve"> health facility, provincial or district staff; and health managers generally felt that the data w</w:t>
      </w:r>
      <w:r w:rsidR="00F4540D">
        <w:rPr>
          <w:lang w:val="en-AU"/>
        </w:rPr>
        <w:t>ere</w:t>
      </w:r>
      <w:r w:rsidRPr="00006D94">
        <w:rPr>
          <w:lang w:val="en-AU"/>
        </w:rPr>
        <w:t xml:space="preserve">n’t being used to inform broader procurement systems. </w:t>
      </w:r>
      <w:r w:rsidR="00F80CB7">
        <w:rPr>
          <w:lang w:val="en-AU"/>
        </w:rPr>
        <w:t xml:space="preserve">Our re-analysis of the NHIS </w:t>
      </w:r>
      <w:r w:rsidR="003934C4">
        <w:rPr>
          <w:lang w:val="en-AU"/>
        </w:rPr>
        <w:t xml:space="preserve">(Section 5) </w:t>
      </w:r>
      <w:r w:rsidR="00F80CB7">
        <w:rPr>
          <w:lang w:val="en-AU"/>
        </w:rPr>
        <w:t>demonstrates that a more</w:t>
      </w:r>
      <w:r w:rsidR="003934C4">
        <w:rPr>
          <w:lang w:val="en-AU"/>
        </w:rPr>
        <w:t xml:space="preserve"> nuanced analysis of the current dataset is possible, with potential for finer detail in display of progress. </w:t>
      </w:r>
      <w:r w:rsidR="00BC27E3">
        <w:rPr>
          <w:lang w:val="en-AU"/>
        </w:rPr>
        <w:t>An e</w:t>
      </w:r>
      <w:r w:rsidR="003934C4">
        <w:rPr>
          <w:lang w:val="en-AU"/>
        </w:rPr>
        <w:t>xtension of this analysis to other items currently reported in the NHIS system could play a role in informing managers at all levels.</w:t>
      </w:r>
    </w:p>
    <w:p w14:paraId="33AF9A3B" w14:textId="77777777" w:rsidR="00F80CB7" w:rsidRDefault="00F80CB7" w:rsidP="00E16C77">
      <w:pPr>
        <w:rPr>
          <w:lang w:val="en-AU"/>
        </w:rPr>
      </w:pPr>
    </w:p>
    <w:p w14:paraId="72BC873F" w14:textId="77777777" w:rsidR="003934C4" w:rsidRDefault="00006D94" w:rsidP="00E16C77">
      <w:pPr>
        <w:rPr>
          <w:lang w:val="en-AU"/>
        </w:rPr>
      </w:pPr>
      <w:r w:rsidRPr="00006D94">
        <w:rPr>
          <w:lang w:val="en-AU"/>
        </w:rPr>
        <w:t xml:space="preserve">Many </w:t>
      </w:r>
      <w:r w:rsidR="003934C4">
        <w:rPr>
          <w:lang w:val="en-AU"/>
        </w:rPr>
        <w:t xml:space="preserve">managers highlighted the role that monitoring data could play to improve </w:t>
      </w:r>
      <w:r w:rsidRPr="00006D94">
        <w:rPr>
          <w:lang w:val="en-AU"/>
        </w:rPr>
        <w:t>accountability within the medical supplies system,</w:t>
      </w:r>
      <w:r w:rsidR="003934C4">
        <w:rPr>
          <w:lang w:val="en-AU"/>
        </w:rPr>
        <w:t xml:space="preserve"> for example:</w:t>
      </w:r>
    </w:p>
    <w:p w14:paraId="459D7678" w14:textId="77777777" w:rsidR="003934C4" w:rsidRPr="003934C4" w:rsidRDefault="00006D94" w:rsidP="003934C4">
      <w:pPr>
        <w:ind w:left="720" w:right="804"/>
        <w:rPr>
          <w:i/>
          <w:lang w:val="en-AU"/>
        </w:rPr>
      </w:pPr>
      <w:r w:rsidRPr="003934C4">
        <w:rPr>
          <w:i/>
          <w:lang w:val="en-AU"/>
        </w:rPr>
        <w:t xml:space="preserve">“Agreeing on specific indicators to monitor systematically should be the starting point. In the interim, there should be someone to assist in ‘kick-starting’ the process. Systematic evaluation processes should be implemented.” </w:t>
      </w:r>
    </w:p>
    <w:p w14:paraId="385CEBA9" w14:textId="77777777" w:rsidR="00800A6B" w:rsidRDefault="00006D94" w:rsidP="00E16C77">
      <w:pPr>
        <w:rPr>
          <w:lang w:val="en-AU"/>
        </w:rPr>
      </w:pPr>
      <w:r w:rsidRPr="00006D94">
        <w:rPr>
          <w:lang w:val="en-AU"/>
        </w:rPr>
        <w:t>Comments delineate a strong need for an evidence based approach to the medical supply system, which would utilise data to inform gaps and highlight blockages within the system. More info</w:t>
      </w:r>
      <w:r w:rsidR="006449C6">
        <w:rPr>
          <w:lang w:val="en-AU"/>
        </w:rPr>
        <w:t>rmation can be found in Annex 11</w:t>
      </w:r>
      <w:r w:rsidRPr="00006D94">
        <w:rPr>
          <w:lang w:val="en-AU"/>
        </w:rPr>
        <w:t>.4</w:t>
      </w:r>
      <w:r w:rsidR="00800A6B">
        <w:rPr>
          <w:lang w:val="en-AU"/>
        </w:rPr>
        <w:t xml:space="preserve">.  </w:t>
      </w:r>
    </w:p>
    <w:p w14:paraId="53745BB1" w14:textId="77777777" w:rsidR="00800A6B" w:rsidRDefault="00800A6B" w:rsidP="00E16C77">
      <w:pPr>
        <w:rPr>
          <w:lang w:val="en-AU"/>
        </w:rPr>
      </w:pPr>
    </w:p>
    <w:p w14:paraId="1ECC20D8" w14:textId="4094150C" w:rsidR="003934C4" w:rsidRDefault="00800A6B" w:rsidP="00445D57">
      <w:pPr>
        <w:rPr>
          <w:lang w:val="en-AU"/>
        </w:rPr>
      </w:pPr>
      <w:r>
        <w:rPr>
          <w:lang w:val="en-AU"/>
        </w:rPr>
        <w:t>This consultation was continued through presentation of the draft Year One findings to a Technical Review Committee on 6</w:t>
      </w:r>
      <w:r w:rsidRPr="00800A6B">
        <w:rPr>
          <w:vertAlign w:val="superscript"/>
          <w:lang w:val="en-AU"/>
        </w:rPr>
        <w:t>th</w:t>
      </w:r>
      <w:r>
        <w:rPr>
          <w:lang w:val="en-AU"/>
        </w:rPr>
        <w:t xml:space="preserve"> December 2013, with agreement from both NDOH and other stakeholders on the areas of emphasis and types of indicators needed.  </w:t>
      </w:r>
      <w:r w:rsidR="00445D57">
        <w:rPr>
          <w:lang w:val="en-AU"/>
        </w:rPr>
        <w:t xml:space="preserve">This included work </w:t>
      </w:r>
      <w:r w:rsidR="0080179B">
        <w:rPr>
          <w:lang w:val="en-AU"/>
        </w:rPr>
        <w:t>to achieve</w:t>
      </w:r>
      <w:r w:rsidR="0080179B" w:rsidRPr="00445D57">
        <w:rPr>
          <w:lang w:val="en-AU"/>
        </w:rPr>
        <w:t xml:space="preserve"> </w:t>
      </w:r>
      <w:r w:rsidR="00445D57" w:rsidRPr="00445D57">
        <w:rPr>
          <w:lang w:val="en-AU"/>
        </w:rPr>
        <w:t>consensus on benchmarks and performance judg</w:t>
      </w:r>
      <w:r w:rsidR="00445D57">
        <w:rPr>
          <w:lang w:val="en-AU"/>
        </w:rPr>
        <w:t>ments for the impact evaluation</w:t>
      </w:r>
      <w:r w:rsidR="0080179B">
        <w:rPr>
          <w:lang w:val="en-AU"/>
        </w:rPr>
        <w:t>,</w:t>
      </w:r>
      <w:r w:rsidR="00445D57">
        <w:rPr>
          <w:lang w:val="en-AU"/>
        </w:rPr>
        <w:t xml:space="preserve"> and identification of </w:t>
      </w:r>
      <w:r w:rsidR="00445D57" w:rsidRPr="00445D57">
        <w:rPr>
          <w:lang w:val="en-AU"/>
        </w:rPr>
        <w:t>data availability and qu</w:t>
      </w:r>
      <w:r w:rsidR="00445D57">
        <w:rPr>
          <w:lang w:val="en-AU"/>
        </w:rPr>
        <w:t>ality for identified data needs.</w:t>
      </w:r>
      <w:r w:rsidR="00445D57" w:rsidRPr="00445D57">
        <w:rPr>
          <w:lang w:val="en-AU"/>
        </w:rPr>
        <w:t xml:space="preserve"> </w:t>
      </w:r>
      <w:r w:rsidR="00BD7CC2">
        <w:rPr>
          <w:lang w:val="en-AU"/>
        </w:rPr>
        <w:t>Presented</w:t>
      </w:r>
      <w:r w:rsidR="003934C4">
        <w:rPr>
          <w:lang w:val="en-AU"/>
        </w:rPr>
        <w:t xml:space="preserve"> below are </w:t>
      </w:r>
      <w:r>
        <w:rPr>
          <w:lang w:val="en-AU"/>
        </w:rPr>
        <w:t>proposals</w:t>
      </w:r>
      <w:r w:rsidR="003934C4">
        <w:rPr>
          <w:lang w:val="en-AU"/>
        </w:rPr>
        <w:t xml:space="preserve"> to extend the follow-up of this year’s evaluation work and respond to these local desires for strong monitoring and evaluation. </w:t>
      </w:r>
    </w:p>
    <w:p w14:paraId="1814C5E1" w14:textId="77777777" w:rsidR="003934C4" w:rsidRDefault="003934C4" w:rsidP="00E16C77">
      <w:pPr>
        <w:rPr>
          <w:lang w:val="en-AU"/>
        </w:rPr>
      </w:pPr>
    </w:p>
    <w:p w14:paraId="6FF8002F" w14:textId="77777777" w:rsidR="001737B2" w:rsidRDefault="00572656" w:rsidP="001737B2">
      <w:pPr>
        <w:pStyle w:val="Heading3"/>
      </w:pPr>
      <w:r>
        <w:t>Possible evaluation activities in Years 2 to 4</w:t>
      </w:r>
    </w:p>
    <w:p w14:paraId="695B1B56" w14:textId="12E3511C" w:rsidR="00572656" w:rsidRPr="00800A6B" w:rsidRDefault="0038539F" w:rsidP="00D65156">
      <w:pPr>
        <w:rPr>
          <w:lang w:val="en-AU"/>
        </w:rPr>
      </w:pPr>
      <w:r>
        <w:rPr>
          <w:lang w:val="en-AU"/>
        </w:rPr>
        <w:t>Below are</w:t>
      </w:r>
      <w:r w:rsidR="00572656">
        <w:rPr>
          <w:lang w:val="en-AU"/>
        </w:rPr>
        <w:t xml:space="preserve"> brief notes on </w:t>
      </w:r>
      <w:r w:rsidR="00BD7CC2">
        <w:rPr>
          <w:lang w:val="en-AU"/>
        </w:rPr>
        <w:t xml:space="preserve">proposed </w:t>
      </w:r>
      <w:r w:rsidR="00572656">
        <w:rPr>
          <w:lang w:val="en-AU"/>
        </w:rPr>
        <w:t xml:space="preserve">evaluation work that </w:t>
      </w:r>
      <w:r w:rsidR="00C53B77">
        <w:rPr>
          <w:lang w:val="en-AU"/>
        </w:rPr>
        <w:t>has been</w:t>
      </w:r>
      <w:r w:rsidR="00572656">
        <w:rPr>
          <w:lang w:val="en-AU"/>
        </w:rPr>
        <w:t xml:space="preserve"> discussed and refined through discussion with in-country stakeholders. As noted</w:t>
      </w:r>
      <w:r w:rsidR="00C53B77">
        <w:rPr>
          <w:lang w:val="en-AU"/>
        </w:rPr>
        <w:t>,</w:t>
      </w:r>
      <w:r w:rsidR="00572656">
        <w:rPr>
          <w:lang w:val="en-AU"/>
        </w:rPr>
        <w:t xml:space="preserve"> these </w:t>
      </w:r>
      <w:r w:rsidR="00C53B77">
        <w:rPr>
          <w:lang w:val="en-AU"/>
        </w:rPr>
        <w:t xml:space="preserve">are aligned with </w:t>
      </w:r>
      <w:r w:rsidR="00572656">
        <w:rPr>
          <w:lang w:val="en-AU"/>
        </w:rPr>
        <w:t xml:space="preserve">the </w:t>
      </w:r>
      <w:r w:rsidR="00445D57">
        <w:rPr>
          <w:lang w:val="en-AU"/>
        </w:rPr>
        <w:t>separate</w:t>
      </w:r>
      <w:r w:rsidR="00572656">
        <w:rPr>
          <w:lang w:val="en-AU"/>
        </w:rPr>
        <w:t xml:space="preserve"> multi-year evaluation plan. A guide to the evaluation directions in that plan can be found in the current Year One Evaluation Pla</w:t>
      </w:r>
      <w:r w:rsidR="00E03B31">
        <w:rPr>
          <w:lang w:val="en-AU"/>
        </w:rPr>
        <w:t>n (Annex 11</w:t>
      </w:r>
      <w:r w:rsidR="00572656">
        <w:rPr>
          <w:lang w:val="en-AU"/>
        </w:rPr>
        <w:t>.5).</w:t>
      </w:r>
    </w:p>
    <w:p w14:paraId="2055ABFF" w14:textId="77777777" w:rsidR="00E5317A" w:rsidRDefault="00E5317A" w:rsidP="00D65156">
      <w:pPr>
        <w:rPr>
          <w:b/>
          <w:sz w:val="18"/>
          <w:szCs w:val="18"/>
        </w:rPr>
      </w:pPr>
    </w:p>
    <w:p w14:paraId="67349B4A" w14:textId="77777777" w:rsidR="00BD7CC2" w:rsidRPr="00BD7CC2" w:rsidRDefault="00BD7CC2" w:rsidP="0038539F">
      <w:pPr>
        <w:rPr>
          <w:szCs w:val="22"/>
        </w:rPr>
      </w:pPr>
      <w:r w:rsidRPr="00BD7CC2">
        <w:rPr>
          <w:b/>
          <w:szCs w:val="22"/>
        </w:rPr>
        <w:t>On a yearly basis:</w:t>
      </w:r>
    </w:p>
    <w:p w14:paraId="6836590C" w14:textId="37DCDF5C" w:rsidR="00BD7CC2" w:rsidRPr="00BD7CC2" w:rsidRDefault="00BD7CC2" w:rsidP="00AD3F80">
      <w:pPr>
        <w:numPr>
          <w:ilvl w:val="0"/>
          <w:numId w:val="44"/>
        </w:numPr>
        <w:contextualSpacing/>
        <w:rPr>
          <w:szCs w:val="22"/>
        </w:rPr>
      </w:pPr>
      <w:r w:rsidRPr="00BD7CC2">
        <w:rPr>
          <w:szCs w:val="22"/>
        </w:rPr>
        <w:t>Desk review of rel</w:t>
      </w:r>
      <w:r w:rsidR="00445D57">
        <w:rPr>
          <w:szCs w:val="22"/>
        </w:rPr>
        <w:t xml:space="preserve">evant policies, procedures, </w:t>
      </w:r>
      <w:r w:rsidRPr="00BD7CC2">
        <w:rPr>
          <w:szCs w:val="22"/>
        </w:rPr>
        <w:t>SOPs, system reviews and evaluation reports</w:t>
      </w:r>
      <w:r w:rsidR="008E3C36">
        <w:rPr>
          <w:szCs w:val="22"/>
        </w:rPr>
        <w:t>;</w:t>
      </w:r>
    </w:p>
    <w:p w14:paraId="0803022C" w14:textId="2F48925A" w:rsidR="00BD7CC2" w:rsidRPr="00BD7CC2" w:rsidRDefault="00BD7CC2" w:rsidP="00AD3F80">
      <w:pPr>
        <w:numPr>
          <w:ilvl w:val="0"/>
          <w:numId w:val="43"/>
        </w:numPr>
        <w:contextualSpacing/>
        <w:rPr>
          <w:szCs w:val="22"/>
        </w:rPr>
      </w:pPr>
      <w:r w:rsidRPr="00BD7CC2">
        <w:rPr>
          <w:szCs w:val="22"/>
        </w:rPr>
        <w:t>Full description of the</w:t>
      </w:r>
      <w:r w:rsidR="0038539F">
        <w:rPr>
          <w:szCs w:val="22"/>
        </w:rPr>
        <w:t xml:space="preserve"> medical supply reform program</w:t>
      </w:r>
      <w:r w:rsidRPr="00BD7CC2">
        <w:rPr>
          <w:szCs w:val="22"/>
        </w:rPr>
        <w:t xml:space="preserve"> as it is being implemented including changes/adaptations in the planning documents and implementation guidance and descript</w:t>
      </w:r>
      <w:r w:rsidR="0038539F">
        <w:rPr>
          <w:szCs w:val="22"/>
        </w:rPr>
        <w:t>ions of other relevant program</w:t>
      </w:r>
      <w:r w:rsidRPr="00BD7CC2">
        <w:rPr>
          <w:szCs w:val="22"/>
        </w:rPr>
        <w:t>s working in conjunction with the</w:t>
      </w:r>
      <w:r w:rsidR="0038539F">
        <w:rPr>
          <w:szCs w:val="22"/>
        </w:rPr>
        <w:t xml:space="preserve"> medical supply reform program</w:t>
      </w:r>
      <w:r w:rsidR="008E3C36">
        <w:rPr>
          <w:szCs w:val="22"/>
        </w:rPr>
        <w:t>;</w:t>
      </w:r>
    </w:p>
    <w:p w14:paraId="3DBD4C73" w14:textId="0BF8336C" w:rsidR="0004503E" w:rsidRPr="00445D57" w:rsidRDefault="00BD7CC2" w:rsidP="00AD3F80">
      <w:pPr>
        <w:numPr>
          <w:ilvl w:val="0"/>
          <w:numId w:val="43"/>
        </w:numPr>
        <w:contextualSpacing/>
        <w:rPr>
          <w:szCs w:val="22"/>
        </w:rPr>
      </w:pPr>
      <w:r w:rsidRPr="00BD7CC2">
        <w:rPr>
          <w:szCs w:val="22"/>
        </w:rPr>
        <w:t>Review of key outputs and agreed benchmarks including data quality assessment</w:t>
      </w:r>
      <w:r w:rsidR="00445D57">
        <w:rPr>
          <w:szCs w:val="22"/>
        </w:rPr>
        <w:t>, including impact measures for Year 4.</w:t>
      </w:r>
    </w:p>
    <w:p w14:paraId="2F7198ED" w14:textId="14B143A3" w:rsidR="00445D57" w:rsidRPr="00445D57" w:rsidRDefault="000B327B" w:rsidP="00445D57">
      <w:pPr>
        <w:rPr>
          <w:b/>
          <w:szCs w:val="22"/>
        </w:rPr>
      </w:pPr>
      <w:r>
        <w:rPr>
          <w:b/>
          <w:szCs w:val="22"/>
        </w:rPr>
        <w:lastRenderedPageBreak/>
        <w:t>Year 2 (2014)</w:t>
      </w:r>
      <w:r w:rsidR="00800A6B">
        <w:rPr>
          <w:b/>
          <w:szCs w:val="22"/>
        </w:rPr>
        <w:t xml:space="preserve"> – </w:t>
      </w:r>
      <w:r w:rsidR="0080179B" w:rsidRPr="00476B34">
        <w:rPr>
          <w:szCs w:val="22"/>
        </w:rPr>
        <w:t>an</w:t>
      </w:r>
      <w:r w:rsidR="0080179B">
        <w:rPr>
          <w:b/>
          <w:szCs w:val="22"/>
        </w:rPr>
        <w:t xml:space="preserve"> </w:t>
      </w:r>
      <w:r w:rsidR="00800A6B" w:rsidRPr="00AE37E0">
        <w:rPr>
          <w:szCs w:val="22"/>
        </w:rPr>
        <w:t>emphasis on medicines</w:t>
      </w:r>
      <w:r w:rsidR="00800A6B">
        <w:rPr>
          <w:b/>
          <w:szCs w:val="22"/>
        </w:rPr>
        <w:t xml:space="preserve"> quality and regulation</w:t>
      </w:r>
      <w:r w:rsidR="00D65156" w:rsidRPr="00572656">
        <w:rPr>
          <w:b/>
          <w:szCs w:val="22"/>
        </w:rPr>
        <w:t>:</w:t>
      </w:r>
    </w:p>
    <w:p w14:paraId="5C17BE9E" w14:textId="4BD96357" w:rsidR="004015A0" w:rsidRPr="004015A0" w:rsidRDefault="00CB02A7" w:rsidP="00AD3F80">
      <w:pPr>
        <w:pStyle w:val="ListParagraph"/>
        <w:numPr>
          <w:ilvl w:val="0"/>
          <w:numId w:val="41"/>
        </w:numPr>
        <w:rPr>
          <w:lang w:val="en-AU"/>
        </w:rPr>
      </w:pPr>
      <w:r>
        <w:rPr>
          <w:lang w:val="en-AU"/>
        </w:rPr>
        <w:t xml:space="preserve">Support </w:t>
      </w:r>
      <w:r w:rsidR="00BD7CC2">
        <w:rPr>
          <w:lang w:val="en-AU"/>
        </w:rPr>
        <w:t>for</w:t>
      </w:r>
      <w:r>
        <w:rPr>
          <w:lang w:val="en-AU"/>
        </w:rPr>
        <w:t xml:space="preserve"> and linkage</w:t>
      </w:r>
      <w:r w:rsidR="00BD7CC2">
        <w:rPr>
          <w:lang w:val="en-AU"/>
        </w:rPr>
        <w:t>s</w:t>
      </w:r>
      <w:r>
        <w:rPr>
          <w:lang w:val="en-AU"/>
        </w:rPr>
        <w:t xml:space="preserve"> </w:t>
      </w:r>
      <w:r w:rsidR="00445D57">
        <w:rPr>
          <w:lang w:val="en-AU"/>
        </w:rPr>
        <w:t>to</w:t>
      </w:r>
      <w:r>
        <w:rPr>
          <w:lang w:val="en-AU"/>
        </w:rPr>
        <w:t xml:space="preserve"> </w:t>
      </w:r>
      <w:r w:rsidR="00AE37E0">
        <w:rPr>
          <w:lang w:val="en-AU"/>
        </w:rPr>
        <w:t xml:space="preserve">prospective </w:t>
      </w:r>
      <w:r>
        <w:rPr>
          <w:lang w:val="en-AU"/>
        </w:rPr>
        <w:t>o</w:t>
      </w:r>
      <w:r w:rsidR="004015A0" w:rsidRPr="004015A0">
        <w:rPr>
          <w:lang w:val="en-AU"/>
        </w:rPr>
        <w:t>perati</w:t>
      </w:r>
      <w:r w:rsidR="004015A0">
        <w:rPr>
          <w:lang w:val="en-AU"/>
        </w:rPr>
        <w:t>onal research into comprehensive</w:t>
      </w:r>
      <w:r>
        <w:rPr>
          <w:lang w:val="en-AU"/>
        </w:rPr>
        <w:t xml:space="preserve"> medicines</w:t>
      </w:r>
      <w:r w:rsidR="004015A0">
        <w:rPr>
          <w:lang w:val="en-AU"/>
        </w:rPr>
        <w:t xml:space="preserve"> usage at representative HFs, as proposed by WHO</w:t>
      </w:r>
      <w:r w:rsidR="00445D57">
        <w:rPr>
          <w:lang w:val="en-AU"/>
        </w:rPr>
        <w:t xml:space="preserve"> and the NDOH – to inform </w:t>
      </w:r>
      <w:r w:rsidR="0080179B">
        <w:rPr>
          <w:lang w:val="en-AU"/>
        </w:rPr>
        <w:t xml:space="preserve">the </w:t>
      </w:r>
      <w:r w:rsidR="00445D57">
        <w:rPr>
          <w:lang w:val="en-AU"/>
        </w:rPr>
        <w:t>quantification of national supplies</w:t>
      </w:r>
      <w:r w:rsidR="00866C26">
        <w:rPr>
          <w:lang w:val="en-AU"/>
        </w:rPr>
        <w:t>;</w:t>
      </w:r>
    </w:p>
    <w:p w14:paraId="37843E9E" w14:textId="6DC4E7C7" w:rsidR="00445D57" w:rsidRDefault="00445D57" w:rsidP="00AD3F80">
      <w:pPr>
        <w:pStyle w:val="ListParagraph"/>
        <w:numPr>
          <w:ilvl w:val="0"/>
          <w:numId w:val="41"/>
        </w:numPr>
        <w:rPr>
          <w:szCs w:val="22"/>
        </w:rPr>
      </w:pPr>
      <w:r>
        <w:rPr>
          <w:szCs w:val="22"/>
        </w:rPr>
        <w:t xml:space="preserve">Monitoring of </w:t>
      </w:r>
      <w:r w:rsidR="00AE37E0">
        <w:rPr>
          <w:szCs w:val="22"/>
        </w:rPr>
        <w:t>quality assurance systems, including support to data collation and analysis in relevant sections of NDOH (for example MSPD and Pharmaceutical Supplies and Standards)</w:t>
      </w:r>
      <w:r w:rsidR="006643A8">
        <w:rPr>
          <w:szCs w:val="22"/>
        </w:rPr>
        <w:t xml:space="preserve"> and tracking of the outcomes of quality testing undertaken in 2014</w:t>
      </w:r>
      <w:r w:rsidR="00866C26">
        <w:rPr>
          <w:szCs w:val="22"/>
        </w:rPr>
        <w:t>;</w:t>
      </w:r>
    </w:p>
    <w:p w14:paraId="15F8AC8F" w14:textId="5FA07CAC" w:rsidR="000B327B" w:rsidRDefault="000B327B" w:rsidP="00AD3F80">
      <w:pPr>
        <w:pStyle w:val="ListParagraph"/>
        <w:numPr>
          <w:ilvl w:val="0"/>
          <w:numId w:val="41"/>
        </w:numPr>
        <w:rPr>
          <w:szCs w:val="22"/>
        </w:rPr>
      </w:pPr>
      <w:r>
        <w:rPr>
          <w:szCs w:val="22"/>
        </w:rPr>
        <w:t xml:space="preserve">Triangulation of HF survey </w:t>
      </w:r>
      <w:r w:rsidR="00BD7CC2">
        <w:rPr>
          <w:szCs w:val="22"/>
        </w:rPr>
        <w:t xml:space="preserve">results </w:t>
      </w:r>
      <w:r>
        <w:rPr>
          <w:szCs w:val="22"/>
        </w:rPr>
        <w:t xml:space="preserve">from this report against other surveys </w:t>
      </w:r>
      <w:r w:rsidR="00BD7CC2">
        <w:rPr>
          <w:szCs w:val="22"/>
        </w:rPr>
        <w:t xml:space="preserve">conducted in PNG </w:t>
      </w:r>
      <w:r>
        <w:rPr>
          <w:szCs w:val="22"/>
        </w:rPr>
        <w:t xml:space="preserve">including the past </w:t>
      </w:r>
      <w:r w:rsidRPr="000B327B">
        <w:rPr>
          <w:szCs w:val="22"/>
        </w:rPr>
        <w:t>Household Income and Expenditure Survey (HIES) (conducted in 2009-2010 and likely repeated in 2015)</w:t>
      </w:r>
      <w:r>
        <w:rPr>
          <w:szCs w:val="22"/>
        </w:rPr>
        <w:t xml:space="preserve"> and the current Public and Private Expenditure Survey</w:t>
      </w:r>
      <w:r w:rsidR="00B937C4">
        <w:rPr>
          <w:szCs w:val="22"/>
        </w:rPr>
        <w:t>;</w:t>
      </w:r>
    </w:p>
    <w:p w14:paraId="0000B8C7" w14:textId="3CADDAEC" w:rsidR="000B327B" w:rsidRDefault="00BD7CC2" w:rsidP="00AD3F80">
      <w:pPr>
        <w:pStyle w:val="ListParagraph"/>
        <w:numPr>
          <w:ilvl w:val="0"/>
          <w:numId w:val="41"/>
        </w:numPr>
        <w:rPr>
          <w:szCs w:val="22"/>
        </w:rPr>
      </w:pPr>
      <w:r>
        <w:rPr>
          <w:szCs w:val="22"/>
        </w:rPr>
        <w:t>A</w:t>
      </w:r>
      <w:r w:rsidR="000B327B">
        <w:rPr>
          <w:szCs w:val="22"/>
        </w:rPr>
        <w:t xml:space="preserve">nalysis of </w:t>
      </w:r>
      <w:r>
        <w:rPr>
          <w:szCs w:val="22"/>
        </w:rPr>
        <w:t xml:space="preserve">relevant </w:t>
      </w:r>
      <w:r w:rsidR="000B327B">
        <w:rPr>
          <w:szCs w:val="22"/>
        </w:rPr>
        <w:t xml:space="preserve">NHIS </w:t>
      </w:r>
      <w:r>
        <w:rPr>
          <w:szCs w:val="22"/>
        </w:rPr>
        <w:t xml:space="preserve">data </w:t>
      </w:r>
      <w:r w:rsidR="000B327B">
        <w:rPr>
          <w:szCs w:val="22"/>
        </w:rPr>
        <w:t xml:space="preserve">to expand </w:t>
      </w:r>
      <w:r>
        <w:rPr>
          <w:szCs w:val="22"/>
        </w:rPr>
        <w:t xml:space="preserve">the </w:t>
      </w:r>
      <w:r w:rsidR="000B327B">
        <w:rPr>
          <w:szCs w:val="22"/>
        </w:rPr>
        <w:t xml:space="preserve">description of trends in medical supplies, </w:t>
      </w:r>
      <w:r w:rsidR="00AE37E0">
        <w:rPr>
          <w:szCs w:val="22"/>
        </w:rPr>
        <w:t xml:space="preserve">incorporate data from 2013 (updating the analysis begun in Section 5 of this report), </w:t>
      </w:r>
      <w:r w:rsidR="000B327B">
        <w:rPr>
          <w:szCs w:val="22"/>
        </w:rPr>
        <w:t xml:space="preserve">and </w:t>
      </w:r>
      <w:r w:rsidR="00AE37E0">
        <w:rPr>
          <w:szCs w:val="22"/>
        </w:rPr>
        <w:t xml:space="preserve">examine linkages between </w:t>
      </w:r>
      <w:r w:rsidR="000B327B">
        <w:rPr>
          <w:szCs w:val="22"/>
        </w:rPr>
        <w:t>medical suppl</w:t>
      </w:r>
      <w:r w:rsidR="00D87CFD">
        <w:rPr>
          <w:szCs w:val="22"/>
        </w:rPr>
        <w:t xml:space="preserve">y-related indicators </w:t>
      </w:r>
      <w:r w:rsidR="000B327B">
        <w:rPr>
          <w:szCs w:val="22"/>
        </w:rPr>
        <w:t xml:space="preserve">and </w:t>
      </w:r>
      <w:r w:rsidR="00D87CFD">
        <w:rPr>
          <w:szCs w:val="22"/>
        </w:rPr>
        <w:t>health-related</w:t>
      </w:r>
      <w:r w:rsidR="000B327B">
        <w:rPr>
          <w:szCs w:val="22"/>
        </w:rPr>
        <w:t xml:space="preserve"> indicators in the NHIS</w:t>
      </w:r>
      <w:r w:rsidR="00AE37E0">
        <w:rPr>
          <w:szCs w:val="22"/>
        </w:rPr>
        <w:t>. This may also inform revision of the reporting of medicines stock-outs in the annual sector performance review.</w:t>
      </w:r>
      <w:r w:rsidR="00A100A1">
        <w:rPr>
          <w:szCs w:val="22"/>
        </w:rPr>
        <w:t xml:space="preserve"> A linked activity should be to undertake </w:t>
      </w:r>
      <w:r w:rsidR="0080179B">
        <w:rPr>
          <w:szCs w:val="22"/>
        </w:rPr>
        <w:t xml:space="preserve">a </w:t>
      </w:r>
      <w:r w:rsidR="00A100A1">
        <w:rPr>
          <w:szCs w:val="22"/>
        </w:rPr>
        <w:t>more comprehensive modeling of lives saved (as in Section 8 of this report), along with government and partner health manager consultations on bottlenecks to service delivery, and consensus discussions on what constitutes good ‘value-for-money’ in this area</w:t>
      </w:r>
      <w:r w:rsidR="00866C26">
        <w:rPr>
          <w:szCs w:val="22"/>
        </w:rPr>
        <w:t>;</w:t>
      </w:r>
    </w:p>
    <w:p w14:paraId="5182F5F1" w14:textId="74B453EB" w:rsidR="00A100A1" w:rsidRDefault="00A100A1" w:rsidP="00AD3F80">
      <w:pPr>
        <w:pStyle w:val="ListParagraph"/>
        <w:numPr>
          <w:ilvl w:val="0"/>
          <w:numId w:val="41"/>
        </w:numPr>
        <w:rPr>
          <w:szCs w:val="22"/>
        </w:rPr>
      </w:pPr>
      <w:r>
        <w:rPr>
          <w:szCs w:val="22"/>
        </w:rPr>
        <w:t>Review all available distribution data (once contractor spreadsheets have been updated) in both ‘pull’ and ‘push’ systems to update the analysis of distribution begun in Section 4</w:t>
      </w:r>
      <w:r w:rsidR="00866C26">
        <w:rPr>
          <w:szCs w:val="22"/>
        </w:rPr>
        <w:t>;</w:t>
      </w:r>
    </w:p>
    <w:p w14:paraId="4DFD7D49" w14:textId="59D5FE9A" w:rsidR="00AE37E0" w:rsidRPr="00AE37E0" w:rsidRDefault="00AE37E0" w:rsidP="00AD3F80">
      <w:pPr>
        <w:pStyle w:val="ListParagraph"/>
        <w:numPr>
          <w:ilvl w:val="0"/>
          <w:numId w:val="41"/>
        </w:numPr>
        <w:rPr>
          <w:szCs w:val="22"/>
        </w:rPr>
      </w:pPr>
      <w:r>
        <w:rPr>
          <w:szCs w:val="22"/>
        </w:rPr>
        <w:t>Other evaluation tasks that could be considered include:</w:t>
      </w:r>
    </w:p>
    <w:p w14:paraId="36BD6111" w14:textId="2DBC0213" w:rsidR="004015A0" w:rsidRDefault="00D87CFD" w:rsidP="00AD3F80">
      <w:pPr>
        <w:pStyle w:val="ListParagraph"/>
        <w:numPr>
          <w:ilvl w:val="1"/>
          <w:numId w:val="41"/>
        </w:numPr>
        <w:rPr>
          <w:szCs w:val="22"/>
        </w:rPr>
      </w:pPr>
      <w:r>
        <w:rPr>
          <w:szCs w:val="22"/>
        </w:rPr>
        <w:t xml:space="preserve">Initiate </w:t>
      </w:r>
      <w:r w:rsidR="004015A0">
        <w:rPr>
          <w:szCs w:val="22"/>
        </w:rPr>
        <w:t>good practice case</w:t>
      </w:r>
      <w:r w:rsidR="00581967">
        <w:rPr>
          <w:szCs w:val="22"/>
        </w:rPr>
        <w:t xml:space="preserve"> stud</w:t>
      </w:r>
      <w:r>
        <w:rPr>
          <w:szCs w:val="22"/>
        </w:rPr>
        <w:t xml:space="preserve">ies such as the </w:t>
      </w:r>
      <w:r w:rsidR="004015A0">
        <w:rPr>
          <w:szCs w:val="22"/>
        </w:rPr>
        <w:t xml:space="preserve"> ‘push’ and ‘pull’ supply chain management to explore in depth determinants of a successful system</w:t>
      </w:r>
      <w:r w:rsidR="00B937C4">
        <w:rPr>
          <w:szCs w:val="22"/>
        </w:rPr>
        <w:t xml:space="preserve">; </w:t>
      </w:r>
    </w:p>
    <w:p w14:paraId="484119DD" w14:textId="37863C60" w:rsidR="00445D57" w:rsidRPr="00AE37E0" w:rsidRDefault="004015A0" w:rsidP="00AD3F80">
      <w:pPr>
        <w:pStyle w:val="ListParagraph"/>
        <w:numPr>
          <w:ilvl w:val="1"/>
          <w:numId w:val="41"/>
        </w:numPr>
        <w:rPr>
          <w:szCs w:val="22"/>
        </w:rPr>
      </w:pPr>
      <w:r>
        <w:rPr>
          <w:szCs w:val="22"/>
        </w:rPr>
        <w:t>T</w:t>
      </w:r>
      <w:r w:rsidR="00D65156" w:rsidRPr="004015A0">
        <w:rPr>
          <w:szCs w:val="22"/>
        </w:rPr>
        <w:t xml:space="preserve">argeted data </w:t>
      </w:r>
      <w:r>
        <w:rPr>
          <w:szCs w:val="22"/>
        </w:rPr>
        <w:t xml:space="preserve">reviews of progress in kits distribution and documentation of any measures against </w:t>
      </w:r>
      <w:r w:rsidR="007F272B">
        <w:rPr>
          <w:szCs w:val="22"/>
        </w:rPr>
        <w:t xml:space="preserve">the NDOH </w:t>
      </w:r>
      <w:r>
        <w:rPr>
          <w:szCs w:val="22"/>
        </w:rPr>
        <w:t>medical supplies reform plan indicators</w:t>
      </w:r>
      <w:r w:rsidR="00AE37E0">
        <w:rPr>
          <w:szCs w:val="22"/>
        </w:rPr>
        <w:t>.</w:t>
      </w:r>
    </w:p>
    <w:p w14:paraId="71AFA992" w14:textId="77777777" w:rsidR="00D65156" w:rsidRPr="00572656" w:rsidRDefault="00D65156" w:rsidP="00D65156">
      <w:pPr>
        <w:rPr>
          <w:szCs w:val="22"/>
        </w:rPr>
      </w:pPr>
    </w:p>
    <w:p w14:paraId="7B093FA5" w14:textId="1457CAEE" w:rsidR="00D65156" w:rsidRPr="00572656" w:rsidRDefault="00D65156" w:rsidP="00D65156">
      <w:pPr>
        <w:rPr>
          <w:b/>
          <w:szCs w:val="22"/>
        </w:rPr>
      </w:pPr>
      <w:r w:rsidRPr="00572656">
        <w:rPr>
          <w:b/>
          <w:szCs w:val="22"/>
        </w:rPr>
        <w:t>Year 3</w:t>
      </w:r>
      <w:r w:rsidR="004015A0">
        <w:rPr>
          <w:b/>
          <w:szCs w:val="22"/>
        </w:rPr>
        <w:t xml:space="preserve"> (2015):</w:t>
      </w:r>
      <w:r w:rsidR="00AE37E0">
        <w:rPr>
          <w:b/>
          <w:szCs w:val="22"/>
        </w:rPr>
        <w:t xml:space="preserve"> </w:t>
      </w:r>
      <w:r w:rsidR="0080179B" w:rsidRPr="00476B34">
        <w:rPr>
          <w:szCs w:val="22"/>
        </w:rPr>
        <w:t>an</w:t>
      </w:r>
      <w:r w:rsidR="0080179B">
        <w:rPr>
          <w:b/>
          <w:szCs w:val="22"/>
        </w:rPr>
        <w:t xml:space="preserve"> </w:t>
      </w:r>
      <w:r w:rsidR="00AE37E0" w:rsidRPr="00AE37E0">
        <w:rPr>
          <w:szCs w:val="22"/>
        </w:rPr>
        <w:t>emphasis on medicines</w:t>
      </w:r>
      <w:r w:rsidR="00AE37E0">
        <w:rPr>
          <w:b/>
          <w:szCs w:val="22"/>
        </w:rPr>
        <w:t xml:space="preserve"> distribution</w:t>
      </w:r>
      <w:r w:rsidR="0080179B">
        <w:rPr>
          <w:b/>
          <w:szCs w:val="22"/>
        </w:rPr>
        <w:t>:</w:t>
      </w:r>
    </w:p>
    <w:p w14:paraId="79D22C86" w14:textId="292FE565" w:rsidR="00A100A1" w:rsidRDefault="0004503E" w:rsidP="00AD3F80">
      <w:pPr>
        <w:pStyle w:val="ListParagraph"/>
        <w:numPr>
          <w:ilvl w:val="0"/>
          <w:numId w:val="41"/>
        </w:numPr>
        <w:rPr>
          <w:szCs w:val="22"/>
        </w:rPr>
      </w:pPr>
      <w:r>
        <w:rPr>
          <w:szCs w:val="22"/>
        </w:rPr>
        <w:t>Updated</w:t>
      </w:r>
      <w:r w:rsidR="004015A0">
        <w:rPr>
          <w:szCs w:val="22"/>
        </w:rPr>
        <w:t xml:space="preserve"> analysis of NHIS to expand </w:t>
      </w:r>
      <w:r w:rsidR="0080179B">
        <w:rPr>
          <w:szCs w:val="22"/>
        </w:rPr>
        <w:t xml:space="preserve">the </w:t>
      </w:r>
      <w:r w:rsidR="004015A0">
        <w:rPr>
          <w:szCs w:val="22"/>
        </w:rPr>
        <w:t>description of trends in medical supplies</w:t>
      </w:r>
      <w:r w:rsidR="00B937C4">
        <w:rPr>
          <w:szCs w:val="22"/>
        </w:rPr>
        <w:t xml:space="preserve">; </w:t>
      </w:r>
    </w:p>
    <w:p w14:paraId="2CDB95A7" w14:textId="669E9931" w:rsidR="004015A0" w:rsidRDefault="00A100A1" w:rsidP="00AD3F80">
      <w:pPr>
        <w:pStyle w:val="ListParagraph"/>
        <w:numPr>
          <w:ilvl w:val="0"/>
          <w:numId w:val="41"/>
        </w:numPr>
        <w:rPr>
          <w:szCs w:val="22"/>
        </w:rPr>
      </w:pPr>
      <w:r>
        <w:rPr>
          <w:szCs w:val="22"/>
        </w:rPr>
        <w:t xml:space="preserve">Continued analysis, including 2014 data, of enhanced monitoring data from NDOH and provincial agencies, and of contractor delivery records, for review of distribution efficiency in both ‘pull’ and ‘push’ systems; </w:t>
      </w:r>
      <w:r w:rsidR="00B937C4">
        <w:rPr>
          <w:szCs w:val="22"/>
        </w:rPr>
        <w:t>and</w:t>
      </w:r>
    </w:p>
    <w:p w14:paraId="7F08F31E" w14:textId="2CBA614D" w:rsidR="004015A0" w:rsidRPr="0004503E" w:rsidRDefault="004015A0" w:rsidP="00AD3F80">
      <w:pPr>
        <w:pStyle w:val="ListParagraph"/>
        <w:numPr>
          <w:ilvl w:val="0"/>
          <w:numId w:val="41"/>
        </w:numPr>
        <w:rPr>
          <w:szCs w:val="22"/>
        </w:rPr>
      </w:pPr>
      <w:r>
        <w:rPr>
          <w:szCs w:val="22"/>
        </w:rPr>
        <w:t>T</w:t>
      </w:r>
      <w:r w:rsidRPr="004015A0">
        <w:rPr>
          <w:szCs w:val="22"/>
        </w:rPr>
        <w:t xml:space="preserve">argeted data </w:t>
      </w:r>
      <w:r>
        <w:rPr>
          <w:szCs w:val="22"/>
        </w:rPr>
        <w:t xml:space="preserve">reviews of progress in kits distribution and documentation of any measures against </w:t>
      </w:r>
      <w:r w:rsidR="007F272B">
        <w:rPr>
          <w:szCs w:val="22"/>
        </w:rPr>
        <w:t xml:space="preserve">the NDOH </w:t>
      </w:r>
      <w:r>
        <w:rPr>
          <w:szCs w:val="22"/>
        </w:rPr>
        <w:t>medical supplies reform plan indicators</w:t>
      </w:r>
      <w:r w:rsidR="00B937C4">
        <w:rPr>
          <w:szCs w:val="22"/>
        </w:rPr>
        <w:t>.</w:t>
      </w:r>
    </w:p>
    <w:p w14:paraId="1563C2BB" w14:textId="77777777" w:rsidR="00D65156" w:rsidRPr="00572656" w:rsidRDefault="00D65156" w:rsidP="004015A0">
      <w:pPr>
        <w:rPr>
          <w:szCs w:val="22"/>
        </w:rPr>
      </w:pPr>
    </w:p>
    <w:p w14:paraId="2F324B17" w14:textId="0710C3B0" w:rsidR="00D65156" w:rsidRPr="00572656" w:rsidRDefault="00D65156" w:rsidP="00D65156">
      <w:pPr>
        <w:rPr>
          <w:b/>
          <w:szCs w:val="22"/>
        </w:rPr>
      </w:pPr>
      <w:r w:rsidRPr="00572656">
        <w:rPr>
          <w:b/>
          <w:szCs w:val="22"/>
        </w:rPr>
        <w:t xml:space="preserve">Year </w:t>
      </w:r>
      <w:r w:rsidR="004015A0">
        <w:rPr>
          <w:b/>
          <w:szCs w:val="22"/>
        </w:rPr>
        <w:t>4 (2016)</w:t>
      </w:r>
      <w:r w:rsidRPr="00572656">
        <w:rPr>
          <w:b/>
          <w:szCs w:val="22"/>
        </w:rPr>
        <w:t>:</w:t>
      </w:r>
      <w:r w:rsidR="00AE37E0">
        <w:rPr>
          <w:b/>
          <w:szCs w:val="22"/>
        </w:rPr>
        <w:t xml:space="preserve"> </w:t>
      </w:r>
      <w:r w:rsidR="0080179B" w:rsidRPr="00476B34">
        <w:rPr>
          <w:szCs w:val="22"/>
        </w:rPr>
        <w:t>an</w:t>
      </w:r>
      <w:r w:rsidR="0080179B">
        <w:rPr>
          <w:b/>
          <w:szCs w:val="22"/>
        </w:rPr>
        <w:t xml:space="preserve"> </w:t>
      </w:r>
      <w:r w:rsidR="00AE37E0" w:rsidRPr="00AE37E0">
        <w:rPr>
          <w:szCs w:val="22"/>
        </w:rPr>
        <w:t>emphasis on medicines</w:t>
      </w:r>
      <w:r w:rsidR="00AE37E0">
        <w:rPr>
          <w:b/>
          <w:szCs w:val="22"/>
        </w:rPr>
        <w:t xml:space="preserve"> availability and usage, and overall system review</w:t>
      </w:r>
      <w:r w:rsidR="0080179B">
        <w:rPr>
          <w:b/>
          <w:szCs w:val="22"/>
        </w:rPr>
        <w:t>:</w:t>
      </w:r>
    </w:p>
    <w:p w14:paraId="37776BF3" w14:textId="3DEAF784" w:rsidR="00D65156" w:rsidRPr="004015A0" w:rsidRDefault="00810623" w:rsidP="00AD3F80">
      <w:pPr>
        <w:pStyle w:val="ListParagraph"/>
        <w:numPr>
          <w:ilvl w:val="0"/>
          <w:numId w:val="42"/>
        </w:numPr>
        <w:rPr>
          <w:szCs w:val="22"/>
        </w:rPr>
      </w:pPr>
      <w:r>
        <w:rPr>
          <w:szCs w:val="22"/>
        </w:rPr>
        <w:t xml:space="preserve">Repeat </w:t>
      </w:r>
      <w:r w:rsidR="007F272B">
        <w:rPr>
          <w:szCs w:val="22"/>
        </w:rPr>
        <w:t xml:space="preserve">implementation of the </w:t>
      </w:r>
      <w:r>
        <w:rPr>
          <w:szCs w:val="22"/>
        </w:rPr>
        <w:t>h</w:t>
      </w:r>
      <w:r w:rsidR="00D65156" w:rsidRPr="004015A0">
        <w:rPr>
          <w:szCs w:val="22"/>
        </w:rPr>
        <w:t>ealth facility survey</w:t>
      </w:r>
      <w:r>
        <w:rPr>
          <w:szCs w:val="22"/>
        </w:rPr>
        <w:t>, including client and community survey</w:t>
      </w:r>
      <w:r w:rsidR="007F272B">
        <w:rPr>
          <w:szCs w:val="22"/>
        </w:rPr>
        <w:t>s</w:t>
      </w:r>
      <w:r>
        <w:rPr>
          <w:szCs w:val="22"/>
        </w:rPr>
        <w:t xml:space="preserve">, to update and extend measurements made in </w:t>
      </w:r>
      <w:r w:rsidR="00D87CFD">
        <w:rPr>
          <w:szCs w:val="22"/>
        </w:rPr>
        <w:t>the</w:t>
      </w:r>
      <w:r>
        <w:rPr>
          <w:szCs w:val="22"/>
        </w:rPr>
        <w:t xml:space="preserve"> Year One evaluation</w:t>
      </w:r>
      <w:r w:rsidR="00B937C4">
        <w:rPr>
          <w:szCs w:val="22"/>
        </w:rPr>
        <w:t>;</w:t>
      </w:r>
    </w:p>
    <w:p w14:paraId="7B7524C3" w14:textId="5D4AA85F" w:rsidR="00810623" w:rsidRDefault="00D87CFD" w:rsidP="00AD3F80">
      <w:pPr>
        <w:pStyle w:val="ListParagraph"/>
        <w:numPr>
          <w:ilvl w:val="0"/>
          <w:numId w:val="42"/>
        </w:numPr>
        <w:rPr>
          <w:szCs w:val="22"/>
        </w:rPr>
      </w:pPr>
      <w:r>
        <w:rPr>
          <w:szCs w:val="22"/>
        </w:rPr>
        <w:t xml:space="preserve">Updated </w:t>
      </w:r>
      <w:r w:rsidR="00810623">
        <w:rPr>
          <w:szCs w:val="22"/>
        </w:rPr>
        <w:t xml:space="preserve"> analysis of NHIS to expand</w:t>
      </w:r>
      <w:r>
        <w:rPr>
          <w:szCs w:val="22"/>
        </w:rPr>
        <w:t xml:space="preserve"> the</w:t>
      </w:r>
      <w:r w:rsidR="00810623">
        <w:rPr>
          <w:szCs w:val="22"/>
        </w:rPr>
        <w:t xml:space="preserve"> description of trends in medical supplies, </w:t>
      </w:r>
      <w:r>
        <w:rPr>
          <w:szCs w:val="22"/>
        </w:rPr>
        <w:t xml:space="preserve">and health-related </w:t>
      </w:r>
      <w:r w:rsidR="00810623">
        <w:rPr>
          <w:szCs w:val="22"/>
        </w:rPr>
        <w:t>indicators in the NHIS</w:t>
      </w:r>
      <w:r w:rsidR="00B937C4">
        <w:rPr>
          <w:szCs w:val="22"/>
        </w:rPr>
        <w:t>;</w:t>
      </w:r>
    </w:p>
    <w:p w14:paraId="581044B9" w14:textId="729EBB37" w:rsidR="00810623" w:rsidRDefault="00810623" w:rsidP="00AD3F80">
      <w:pPr>
        <w:pStyle w:val="ListParagraph"/>
        <w:numPr>
          <w:ilvl w:val="0"/>
          <w:numId w:val="42"/>
        </w:numPr>
        <w:rPr>
          <w:szCs w:val="22"/>
        </w:rPr>
      </w:pPr>
      <w:r>
        <w:rPr>
          <w:szCs w:val="22"/>
        </w:rPr>
        <w:t>T</w:t>
      </w:r>
      <w:r w:rsidRPr="004015A0">
        <w:rPr>
          <w:szCs w:val="22"/>
        </w:rPr>
        <w:t xml:space="preserve">argeted data </w:t>
      </w:r>
      <w:r>
        <w:rPr>
          <w:szCs w:val="22"/>
        </w:rPr>
        <w:t xml:space="preserve">reviews of progress in kits distribution and documentation of any measures against </w:t>
      </w:r>
      <w:r w:rsidR="007F272B">
        <w:rPr>
          <w:szCs w:val="22"/>
        </w:rPr>
        <w:t xml:space="preserve">the NDOH </w:t>
      </w:r>
      <w:r>
        <w:rPr>
          <w:szCs w:val="22"/>
        </w:rPr>
        <w:t>medical supplies reform plan indicators</w:t>
      </w:r>
      <w:r w:rsidR="00B937C4">
        <w:rPr>
          <w:szCs w:val="22"/>
        </w:rPr>
        <w:t>;</w:t>
      </w:r>
    </w:p>
    <w:p w14:paraId="03295F07" w14:textId="3F8A8D21" w:rsidR="00810623" w:rsidRDefault="00D87CFD" w:rsidP="00AD3F80">
      <w:pPr>
        <w:pStyle w:val="ListParagraph"/>
        <w:numPr>
          <w:ilvl w:val="0"/>
          <w:numId w:val="42"/>
        </w:numPr>
        <w:rPr>
          <w:szCs w:val="22"/>
        </w:rPr>
      </w:pPr>
      <w:r>
        <w:rPr>
          <w:szCs w:val="22"/>
        </w:rPr>
        <w:t>Follow-up on g</w:t>
      </w:r>
      <w:r w:rsidR="00810623">
        <w:rPr>
          <w:szCs w:val="22"/>
        </w:rPr>
        <w:t>ood practice case</w:t>
      </w:r>
      <w:r w:rsidR="00581967">
        <w:rPr>
          <w:szCs w:val="22"/>
        </w:rPr>
        <w:t xml:space="preserve"> studies</w:t>
      </w:r>
      <w:r w:rsidR="00810623">
        <w:rPr>
          <w:szCs w:val="22"/>
        </w:rPr>
        <w:t xml:space="preserve"> </w:t>
      </w:r>
      <w:r>
        <w:rPr>
          <w:szCs w:val="22"/>
        </w:rPr>
        <w:t xml:space="preserve">initiated in Year 2 </w:t>
      </w:r>
      <w:r w:rsidR="00810623">
        <w:rPr>
          <w:szCs w:val="22"/>
        </w:rPr>
        <w:t>of ‘push’ and ‘pull’ supply chain management to explore in depth determinants of a successful system</w:t>
      </w:r>
      <w:r w:rsidR="00581967">
        <w:rPr>
          <w:szCs w:val="22"/>
        </w:rPr>
        <w:t xml:space="preserve">, with </w:t>
      </w:r>
      <w:r w:rsidR="007F272B">
        <w:rPr>
          <w:szCs w:val="22"/>
        </w:rPr>
        <w:t xml:space="preserve">a </w:t>
      </w:r>
      <w:r w:rsidR="00581967">
        <w:rPr>
          <w:szCs w:val="22"/>
        </w:rPr>
        <w:t xml:space="preserve">particular focus on </w:t>
      </w:r>
      <w:r w:rsidR="007F272B">
        <w:rPr>
          <w:szCs w:val="22"/>
        </w:rPr>
        <w:t xml:space="preserve">the </w:t>
      </w:r>
      <w:r w:rsidR="00581967">
        <w:rPr>
          <w:szCs w:val="22"/>
        </w:rPr>
        <w:t>phase-out of ‘push’ systems if that is anticipated</w:t>
      </w:r>
      <w:r w:rsidR="00B937C4">
        <w:rPr>
          <w:szCs w:val="22"/>
        </w:rPr>
        <w:t>;</w:t>
      </w:r>
    </w:p>
    <w:p w14:paraId="652F3FA5" w14:textId="0467E67B" w:rsidR="00D65156" w:rsidRPr="00581967" w:rsidRDefault="00D65156" w:rsidP="00AD3F80">
      <w:pPr>
        <w:pStyle w:val="ListParagraph"/>
        <w:numPr>
          <w:ilvl w:val="0"/>
          <w:numId w:val="42"/>
        </w:numPr>
        <w:rPr>
          <w:szCs w:val="22"/>
        </w:rPr>
      </w:pPr>
      <w:r w:rsidRPr="004015A0">
        <w:rPr>
          <w:szCs w:val="22"/>
        </w:rPr>
        <w:t>Key informant interviews with stakeholders at all levels</w:t>
      </w:r>
      <w:r w:rsidR="00B937C4">
        <w:rPr>
          <w:szCs w:val="22"/>
        </w:rPr>
        <w:t>; and</w:t>
      </w:r>
    </w:p>
    <w:p w14:paraId="60A98E4F" w14:textId="77777777" w:rsidR="00581967" w:rsidRDefault="00581967" w:rsidP="00AD3F80">
      <w:pPr>
        <w:pStyle w:val="ListParagraph"/>
        <w:numPr>
          <w:ilvl w:val="0"/>
          <w:numId w:val="42"/>
        </w:numPr>
        <w:rPr>
          <w:szCs w:val="22"/>
        </w:rPr>
      </w:pPr>
      <w:r>
        <w:rPr>
          <w:szCs w:val="22"/>
        </w:rPr>
        <w:t>Formal assessment of program impact through c</w:t>
      </w:r>
      <w:r w:rsidR="00D65156" w:rsidRPr="004015A0">
        <w:rPr>
          <w:szCs w:val="22"/>
        </w:rPr>
        <w:t>ontribution</w:t>
      </w:r>
      <w:r>
        <w:rPr>
          <w:szCs w:val="22"/>
        </w:rPr>
        <w:t xml:space="preserve"> analysis that:</w:t>
      </w:r>
    </w:p>
    <w:p w14:paraId="63C556B9" w14:textId="494A7EDA" w:rsidR="00581967" w:rsidRDefault="00581967" w:rsidP="00AD3F80">
      <w:pPr>
        <w:pStyle w:val="ListParagraph"/>
        <w:numPr>
          <w:ilvl w:val="1"/>
          <w:numId w:val="42"/>
        </w:numPr>
        <w:rPr>
          <w:szCs w:val="22"/>
        </w:rPr>
      </w:pPr>
      <w:r>
        <w:rPr>
          <w:szCs w:val="22"/>
        </w:rPr>
        <w:t xml:space="preserve">Reviews impact data from years 1 – </w:t>
      </w:r>
      <w:r w:rsidR="00D87CFD">
        <w:rPr>
          <w:szCs w:val="22"/>
        </w:rPr>
        <w:t>4</w:t>
      </w:r>
      <w:r w:rsidR="00866C26">
        <w:rPr>
          <w:szCs w:val="22"/>
        </w:rPr>
        <w:t>;</w:t>
      </w:r>
    </w:p>
    <w:p w14:paraId="249CD1DF" w14:textId="49F14F3B" w:rsidR="00D65156" w:rsidRPr="00E5317A" w:rsidRDefault="00581967" w:rsidP="00AD3F80">
      <w:pPr>
        <w:pStyle w:val="ListParagraph"/>
        <w:numPr>
          <w:ilvl w:val="1"/>
          <w:numId w:val="42"/>
        </w:numPr>
        <w:rPr>
          <w:spacing w:val="-2"/>
          <w:lang w:val="en-AU"/>
        </w:rPr>
      </w:pPr>
      <w:r w:rsidRPr="00E5317A">
        <w:rPr>
          <w:spacing w:val="-2"/>
          <w:szCs w:val="22"/>
        </w:rPr>
        <w:t>Models health service and outcome data, for example using service proxies for maternal mortality, measured case-fatality-rates for childhood pneumonia and service coverage estimates based on types of expansion noted in medical supplies availability</w:t>
      </w:r>
      <w:r w:rsidR="00866C26">
        <w:rPr>
          <w:spacing w:val="-2"/>
          <w:szCs w:val="22"/>
        </w:rPr>
        <w:t>;</w:t>
      </w:r>
    </w:p>
    <w:p w14:paraId="2F2C299C" w14:textId="45044373" w:rsidR="00827DC1" w:rsidRPr="00DD21A2" w:rsidRDefault="00581967" w:rsidP="00AD3F80">
      <w:pPr>
        <w:pStyle w:val="ListParagraph"/>
        <w:numPr>
          <w:ilvl w:val="1"/>
          <w:numId w:val="42"/>
        </w:numPr>
        <w:rPr>
          <w:lang w:val="en-AU"/>
        </w:rPr>
      </w:pPr>
      <w:r>
        <w:rPr>
          <w:szCs w:val="22"/>
        </w:rPr>
        <w:t xml:space="preserve">Establishes a counterfactual case using historical data collected through years 1 </w:t>
      </w:r>
      <w:r w:rsidR="00866C26">
        <w:rPr>
          <w:szCs w:val="22"/>
        </w:rPr>
        <w:t>–</w:t>
      </w:r>
      <w:r>
        <w:rPr>
          <w:szCs w:val="22"/>
        </w:rPr>
        <w:t xml:space="preserve"> </w:t>
      </w:r>
      <w:r w:rsidR="00D87CFD">
        <w:rPr>
          <w:szCs w:val="22"/>
        </w:rPr>
        <w:t>4</w:t>
      </w:r>
      <w:r w:rsidR="00866C26">
        <w:rPr>
          <w:szCs w:val="22"/>
        </w:rPr>
        <w:t>.</w:t>
      </w:r>
      <w:r w:rsidR="00EE20E8">
        <w:t xml:space="preserve"> </w:t>
      </w:r>
    </w:p>
    <w:p w14:paraId="4C451818" w14:textId="77777777" w:rsidR="00827DC1" w:rsidRDefault="00827DC1" w:rsidP="00572656">
      <w:pPr>
        <w:rPr>
          <w:lang w:val="en-AU"/>
        </w:rPr>
      </w:pPr>
    </w:p>
    <w:p w14:paraId="11BA2311" w14:textId="26194AF1" w:rsidR="00670158" w:rsidRPr="00E27200" w:rsidRDefault="00827DC1" w:rsidP="00D65156">
      <w:pPr>
        <w:pStyle w:val="Heading3"/>
      </w:pPr>
      <w:r>
        <w:t>P</w:t>
      </w:r>
      <w:r w:rsidR="00D65156">
        <w:t>o</w:t>
      </w:r>
      <w:r w:rsidR="00C53B77">
        <w:t>tential benchmarking indicators</w:t>
      </w:r>
    </w:p>
    <w:p w14:paraId="719C3FA6" w14:textId="3A74CB19" w:rsidR="00BA3026" w:rsidRDefault="00581967" w:rsidP="00E16C77">
      <w:pPr>
        <w:rPr>
          <w:lang w:val="en-AU"/>
        </w:rPr>
      </w:pPr>
      <w:r>
        <w:rPr>
          <w:lang w:val="en-AU"/>
        </w:rPr>
        <w:t>The first steps in the</w:t>
      </w:r>
      <w:r w:rsidR="00D87CFD">
        <w:rPr>
          <w:lang w:val="en-AU"/>
        </w:rPr>
        <w:t xml:space="preserve"> </w:t>
      </w:r>
      <w:r w:rsidR="00C53B77">
        <w:rPr>
          <w:lang w:val="en-AU"/>
        </w:rPr>
        <w:t>consultations</w:t>
      </w:r>
      <w:r>
        <w:rPr>
          <w:lang w:val="en-AU"/>
        </w:rPr>
        <w:t xml:space="preserve"> noted above include</w:t>
      </w:r>
      <w:r w:rsidR="00C53B77">
        <w:rPr>
          <w:lang w:val="en-AU"/>
        </w:rPr>
        <w:t>d</w:t>
      </w:r>
      <w:r>
        <w:rPr>
          <w:lang w:val="en-AU"/>
        </w:rPr>
        <w:t xml:space="preserve"> gaining consensus on the most appropriate benchmarking indicators </w:t>
      </w:r>
      <w:r w:rsidR="003E3A6C">
        <w:rPr>
          <w:lang w:val="en-AU"/>
        </w:rPr>
        <w:t>to monitor reform processes and also establish progress in the impact of improved medical supplies in terms of stronger health systems and better population health.</w:t>
      </w:r>
      <w:r w:rsidR="00C53B77">
        <w:rPr>
          <w:lang w:val="en-AU"/>
        </w:rPr>
        <w:t xml:space="preserve"> This include</w:t>
      </w:r>
      <w:r w:rsidR="002D74D1">
        <w:rPr>
          <w:lang w:val="en-AU"/>
        </w:rPr>
        <w:t>d</w:t>
      </w:r>
      <w:r w:rsidR="00C53B77">
        <w:rPr>
          <w:lang w:val="en-AU"/>
        </w:rPr>
        <w:t xml:space="preserve"> </w:t>
      </w:r>
      <w:r w:rsidR="007F272B">
        <w:rPr>
          <w:lang w:val="en-AU"/>
        </w:rPr>
        <w:t xml:space="preserve">a </w:t>
      </w:r>
      <w:r w:rsidR="00C34092">
        <w:rPr>
          <w:lang w:val="en-AU"/>
        </w:rPr>
        <w:t>discussion</w:t>
      </w:r>
      <w:r w:rsidR="00C53B77">
        <w:rPr>
          <w:lang w:val="en-AU"/>
        </w:rPr>
        <w:t xml:space="preserve"> by this evaluation’s Technical Review Committee following </w:t>
      </w:r>
      <w:r w:rsidR="00C34092">
        <w:rPr>
          <w:lang w:val="en-AU"/>
        </w:rPr>
        <w:t>their review of the Year One findings.</w:t>
      </w:r>
      <w:r w:rsidR="00C852B9">
        <w:rPr>
          <w:lang w:val="en-AU"/>
        </w:rPr>
        <w:t xml:space="preserve"> An additional 14 evaluation indicators are proposed.</w:t>
      </w:r>
      <w:r w:rsidR="00C34092">
        <w:rPr>
          <w:lang w:val="en-AU"/>
        </w:rPr>
        <w:t xml:space="preserve">  </w:t>
      </w:r>
    </w:p>
    <w:p w14:paraId="24AC96E9" w14:textId="77777777" w:rsidR="00BA3026" w:rsidRDefault="00BA3026" w:rsidP="00E16C77">
      <w:pPr>
        <w:rPr>
          <w:lang w:val="en-AU"/>
        </w:rPr>
      </w:pPr>
    </w:p>
    <w:p w14:paraId="3203A076" w14:textId="42AE6E56" w:rsidR="00052A08" w:rsidRPr="00E27200" w:rsidRDefault="00C34092" w:rsidP="00052A08">
      <w:pPr>
        <w:rPr>
          <w:rFonts w:cs="Times New Roman"/>
          <w:b/>
          <w:bCs/>
          <w:spacing w:val="-10"/>
          <w:kern w:val="28"/>
          <w:sz w:val="36"/>
          <w:szCs w:val="36"/>
          <w:lang w:val="en-AU" w:eastAsia="en-AU"/>
        </w:rPr>
      </w:pPr>
      <w:r>
        <w:rPr>
          <w:lang w:val="en-AU"/>
        </w:rPr>
        <w:t>The proposed indicators below aim to align with</w:t>
      </w:r>
      <w:r w:rsidR="00B658CD">
        <w:rPr>
          <w:lang w:val="en-AU"/>
        </w:rPr>
        <w:t xml:space="preserve"> t</w:t>
      </w:r>
      <w:r w:rsidR="003E3A6C">
        <w:rPr>
          <w:lang w:val="en-AU"/>
        </w:rPr>
        <w:t xml:space="preserve">he current </w:t>
      </w:r>
      <w:r w:rsidR="003E3A6C" w:rsidRPr="00476B34">
        <w:rPr>
          <w:lang w:val="en-AU"/>
        </w:rPr>
        <w:t xml:space="preserve">NDOH </w:t>
      </w:r>
      <w:r w:rsidR="00572656" w:rsidRPr="00476B34">
        <w:rPr>
          <w:lang w:val="en-AU"/>
        </w:rPr>
        <w:t xml:space="preserve">Medical Supplies Reform Plan </w:t>
      </w:r>
      <w:r w:rsidR="00B658CD">
        <w:rPr>
          <w:lang w:val="en-AU"/>
        </w:rPr>
        <w:t>of the MSPD</w:t>
      </w:r>
      <w:r w:rsidR="00BA3026">
        <w:rPr>
          <w:lang w:val="en-AU"/>
        </w:rPr>
        <w:t xml:space="preserve">, and also the monitoring and audit responsibilities of the Pharmaceutical Supplies and Standards Branch.  Measurement of these indicators will benefit from external support, but should be led by, and serve the needs of, those agencies.  </w:t>
      </w:r>
      <w:r w:rsidR="00052A08">
        <w:rPr>
          <w:lang w:val="en-AU"/>
        </w:rPr>
        <w:t>The evaluation team also note that</w:t>
      </w:r>
      <w:r w:rsidR="00052A08">
        <w:rPr>
          <w:b/>
          <w:lang w:val="en-AU"/>
        </w:rPr>
        <w:t xml:space="preserve">, </w:t>
      </w:r>
      <w:r w:rsidR="00052A08">
        <w:rPr>
          <w:lang w:val="en-AU"/>
        </w:rPr>
        <w:t xml:space="preserve">for </w:t>
      </w:r>
      <w:r w:rsidR="00A07C9A">
        <w:rPr>
          <w:lang w:val="en-AU"/>
        </w:rPr>
        <w:t xml:space="preserve">the benefit of </w:t>
      </w:r>
      <w:r w:rsidR="00052A08">
        <w:rPr>
          <w:lang w:val="en-AU"/>
        </w:rPr>
        <w:t>sustainability and capacity development</w:t>
      </w:r>
      <w:r w:rsidR="009B3F32">
        <w:rPr>
          <w:lang w:val="en-AU"/>
        </w:rPr>
        <w:t>,</w:t>
      </w:r>
      <w:r w:rsidR="00052A08">
        <w:rPr>
          <w:lang w:val="en-AU"/>
        </w:rPr>
        <w:t xml:space="preserve"> successful evaluation work in coming years must link with local evaluation expertise, particularly that within the Monitoring and Research Branch of the NDOH, but also with other PNG evaluation experts such as members of the PNG Association of Professional Evaluators.</w:t>
      </w:r>
    </w:p>
    <w:p w14:paraId="502F9B85" w14:textId="77777777" w:rsidR="00052A08" w:rsidRDefault="00052A08" w:rsidP="00E16C77">
      <w:pPr>
        <w:rPr>
          <w:lang w:val="en-AU"/>
        </w:rPr>
      </w:pPr>
    </w:p>
    <w:p w14:paraId="5D9B1C8C" w14:textId="71F48402" w:rsidR="009B5D9C" w:rsidRPr="00052A08" w:rsidRDefault="00BA3026" w:rsidP="00E16C77">
      <w:pPr>
        <w:rPr>
          <w:spacing w:val="-2"/>
          <w:szCs w:val="22"/>
          <w:lang w:val="en-AU"/>
        </w:rPr>
      </w:pPr>
      <w:r w:rsidRPr="00052A08">
        <w:rPr>
          <w:spacing w:val="-2"/>
          <w:szCs w:val="22"/>
          <w:lang w:val="en-AU"/>
        </w:rPr>
        <w:t xml:space="preserve">The indicators below are categorised according to medicines supply system categories (as used for reporting findings in this report) and incorporate process indicators </w:t>
      </w:r>
      <w:r w:rsidR="00CB1705">
        <w:rPr>
          <w:spacing w:val="-2"/>
          <w:szCs w:val="22"/>
          <w:lang w:val="en-AU"/>
        </w:rPr>
        <w:t>already listed as Key Performance Indicators in the MSPD reform plan</w:t>
      </w:r>
    </w:p>
    <w:p w14:paraId="0F5FEF34" w14:textId="77777777" w:rsidR="00052A08" w:rsidRDefault="00052A08" w:rsidP="00052A08">
      <w:pPr>
        <w:jc w:val="left"/>
      </w:pPr>
    </w:p>
    <w:p w14:paraId="1D7FA0C0" w14:textId="42ECBEC9" w:rsidR="00052A08" w:rsidRPr="00CB1705" w:rsidRDefault="00052A08" w:rsidP="00052A08">
      <w:pPr>
        <w:jc w:val="left"/>
        <w:rPr>
          <w:b/>
        </w:rPr>
      </w:pPr>
      <w:r w:rsidRPr="00CB1705">
        <w:rPr>
          <w:b/>
        </w:rPr>
        <w:t>National planning, procurement and regulation</w:t>
      </w:r>
    </w:p>
    <w:p w14:paraId="4446B506" w14:textId="61F0EAEA" w:rsidR="00052A08" w:rsidRPr="00C852B9" w:rsidRDefault="00C852B9" w:rsidP="00052A08">
      <w:pPr>
        <w:jc w:val="left"/>
        <w:rPr>
          <w:i/>
        </w:rPr>
      </w:pPr>
      <w:r>
        <w:rPr>
          <w:i/>
        </w:rPr>
        <w:t>NDOH process indicators already planned:</w:t>
      </w:r>
    </w:p>
    <w:p w14:paraId="679B87C3" w14:textId="38CBB255" w:rsidR="00052A08" w:rsidRDefault="00052A08" w:rsidP="00AD3F80">
      <w:pPr>
        <w:pStyle w:val="ListParagraph"/>
        <w:numPr>
          <w:ilvl w:val="0"/>
          <w:numId w:val="51"/>
        </w:numPr>
        <w:jc w:val="left"/>
      </w:pPr>
      <w:r>
        <w:t xml:space="preserve">Procurement and Supply Management Governance: </w:t>
      </w:r>
      <w:r w:rsidR="00D71993">
        <w:t xml:space="preserve">a </w:t>
      </w:r>
      <w:r>
        <w:t>Medical Supplies Procurement Committee will be operational and meeting monthly with reports and minutes provided to the SEM Committee</w:t>
      </w:r>
      <w:r w:rsidR="00866C26">
        <w:t xml:space="preserve">; </w:t>
      </w:r>
    </w:p>
    <w:p w14:paraId="54B422D9" w14:textId="79853F97" w:rsidR="00052A08" w:rsidRDefault="00052A08" w:rsidP="00AD3F80">
      <w:pPr>
        <w:pStyle w:val="ListParagraph"/>
        <w:numPr>
          <w:ilvl w:val="0"/>
          <w:numId w:val="51"/>
        </w:numPr>
        <w:jc w:val="left"/>
      </w:pPr>
      <w:r>
        <w:t xml:space="preserve">Pharmaceutical Supply and Tenders Board: </w:t>
      </w:r>
      <w:r w:rsidR="00D71993">
        <w:t xml:space="preserve">the </w:t>
      </w:r>
      <w:r>
        <w:t xml:space="preserve">PSTB </w:t>
      </w:r>
      <w:r w:rsidR="00D71993">
        <w:t xml:space="preserve">is </w:t>
      </w:r>
      <w:r>
        <w:t>operational and meeting fortnightly with reports and minutes provided to the SEM committee</w:t>
      </w:r>
      <w:r w:rsidR="00866C26">
        <w:t>;</w:t>
      </w:r>
    </w:p>
    <w:p w14:paraId="1DA9C4F6" w14:textId="07E58676" w:rsidR="00052A08" w:rsidRDefault="00052A08" w:rsidP="00AD3F80">
      <w:pPr>
        <w:pStyle w:val="ListParagraph"/>
        <w:numPr>
          <w:ilvl w:val="0"/>
          <w:numId w:val="51"/>
        </w:numPr>
        <w:jc w:val="left"/>
      </w:pPr>
      <w:r>
        <w:t>Three Year Procurement Plan: The 3 year procurement plan is developed and key milestones are achieved</w:t>
      </w:r>
      <w:r w:rsidR="00866C26">
        <w:t>;</w:t>
      </w:r>
    </w:p>
    <w:p w14:paraId="14F5DAF3" w14:textId="0B640110" w:rsidR="00052A08" w:rsidRDefault="00052A08" w:rsidP="00AD3F80">
      <w:pPr>
        <w:pStyle w:val="ListParagraph"/>
        <w:numPr>
          <w:ilvl w:val="0"/>
          <w:numId w:val="51"/>
        </w:numPr>
        <w:jc w:val="left"/>
      </w:pPr>
      <w:r>
        <w:t xml:space="preserve">Policies and Standard Operating Procedures: SOPs are relevant to the tasks and work activities </w:t>
      </w:r>
      <w:r w:rsidR="00D71993">
        <w:t xml:space="preserve">are </w:t>
      </w:r>
      <w:r>
        <w:t>being performed, available, understood and adhered to as recorded in regular work performance appraisals</w:t>
      </w:r>
      <w:r w:rsidR="00866C26">
        <w:t>;</w:t>
      </w:r>
    </w:p>
    <w:p w14:paraId="36DD5DFE" w14:textId="16896C07" w:rsidR="00052A08" w:rsidRDefault="00052A08" w:rsidP="00AD3F80">
      <w:pPr>
        <w:pStyle w:val="ListParagraph"/>
        <w:numPr>
          <w:ilvl w:val="0"/>
          <w:numId w:val="51"/>
        </w:numPr>
        <w:jc w:val="left"/>
      </w:pPr>
      <w:r>
        <w:t>Quality Assurance: QA processes are in place, targets are being met for quality of goods received and loss through expiry is reduced</w:t>
      </w:r>
      <w:r w:rsidR="00866C26">
        <w:t>;</w:t>
      </w:r>
    </w:p>
    <w:p w14:paraId="656B9836" w14:textId="3101F846" w:rsidR="00052A08" w:rsidRDefault="00052A08" w:rsidP="00AD3F80">
      <w:pPr>
        <w:pStyle w:val="ListParagraph"/>
        <w:numPr>
          <w:ilvl w:val="0"/>
          <w:numId w:val="51"/>
        </w:numPr>
        <w:jc w:val="left"/>
      </w:pPr>
      <w:r>
        <w:t xml:space="preserve">Staff Development / Capacity Building: Staff </w:t>
      </w:r>
      <w:proofErr w:type="gramStart"/>
      <w:r w:rsidR="00D71993">
        <w:t>are</w:t>
      </w:r>
      <w:proofErr w:type="gramEnd"/>
      <w:r w:rsidR="00D71993">
        <w:t xml:space="preserve"> trained </w:t>
      </w:r>
      <w:r>
        <w:t>and competent to perform their roles in accordance with role descriptions and as recorded in regular work performance appraisals.</w:t>
      </w:r>
    </w:p>
    <w:p w14:paraId="133ADEB7" w14:textId="77777777" w:rsidR="00C852B9" w:rsidRDefault="00C852B9" w:rsidP="00052A08">
      <w:pPr>
        <w:jc w:val="left"/>
      </w:pPr>
    </w:p>
    <w:p w14:paraId="6BBB3FA2" w14:textId="7154DCFA" w:rsidR="00052A08" w:rsidRDefault="00C852B9" w:rsidP="00052A08">
      <w:pPr>
        <w:jc w:val="left"/>
      </w:pPr>
      <w:r>
        <w:rPr>
          <w:i/>
        </w:rPr>
        <w:t>Proposed additions from this evaluation</w:t>
      </w:r>
      <w:r w:rsidR="00052A08">
        <w:t>:</w:t>
      </w:r>
    </w:p>
    <w:p w14:paraId="41DCF744" w14:textId="566BFD3B" w:rsidR="0012393A" w:rsidRDefault="00052A08" w:rsidP="00052A08">
      <w:pPr>
        <w:pStyle w:val="ListParagraph"/>
        <w:numPr>
          <w:ilvl w:val="0"/>
          <w:numId w:val="52"/>
        </w:numPr>
        <w:jc w:val="left"/>
      </w:pPr>
      <w:r w:rsidRPr="00AD3F80">
        <w:rPr>
          <w:b/>
        </w:rPr>
        <w:t>Indicator 1</w:t>
      </w:r>
      <w:r>
        <w:t xml:space="preserve">. Percentage of </w:t>
      </w:r>
      <w:r w:rsidR="00D71993">
        <w:t xml:space="preserve">the </w:t>
      </w:r>
      <w:r>
        <w:t xml:space="preserve">total value of contracts that were awarded through </w:t>
      </w:r>
      <w:r w:rsidR="00D71993">
        <w:t xml:space="preserve">an </w:t>
      </w:r>
      <w:r>
        <w:t xml:space="preserve">open and competitive processes, with adherence to processes as planned by </w:t>
      </w:r>
      <w:proofErr w:type="spellStart"/>
      <w:r>
        <w:t>GoPNG</w:t>
      </w:r>
      <w:proofErr w:type="spellEnd"/>
      <w:r>
        <w:t>, and review of contract outcomes (Note: this, as with many of suggested indicators below, is based on international norms, as tabled below)</w:t>
      </w:r>
      <w:r w:rsidR="00816DA6">
        <w:t>;</w:t>
      </w:r>
    </w:p>
    <w:p w14:paraId="57D095B3" w14:textId="77777777" w:rsidR="0012393A" w:rsidRDefault="00052A08" w:rsidP="00052A08">
      <w:pPr>
        <w:pStyle w:val="ListParagraph"/>
        <w:numPr>
          <w:ilvl w:val="0"/>
          <w:numId w:val="52"/>
        </w:numPr>
        <w:jc w:val="left"/>
      </w:pPr>
      <w:r w:rsidRPr="0012393A">
        <w:rPr>
          <w:b/>
        </w:rPr>
        <w:t>Indicator 2</w:t>
      </w:r>
      <w:r>
        <w:t xml:space="preserve">. Multi-year procurement plan execution rate, including: </w:t>
      </w:r>
    </w:p>
    <w:p w14:paraId="5F5C769F" w14:textId="77777777" w:rsidR="0012393A" w:rsidRDefault="00052A08" w:rsidP="00052A08">
      <w:pPr>
        <w:pStyle w:val="ListParagraph"/>
        <w:numPr>
          <w:ilvl w:val="1"/>
          <w:numId w:val="52"/>
        </w:numPr>
        <w:jc w:val="left"/>
      </w:pPr>
      <w:r>
        <w:t xml:space="preserve">Integrated procurement planning, based on prospective assessment of comprehensive medicines usage at facilities and </w:t>
      </w:r>
      <w:proofErr w:type="spellStart"/>
      <w:r>
        <w:t>mSupply</w:t>
      </w:r>
      <w:proofErr w:type="spellEnd"/>
      <w:r>
        <w:t xml:space="preserve"> data</w:t>
      </w:r>
    </w:p>
    <w:p w14:paraId="45CD93EA" w14:textId="6D8DB6F1" w:rsidR="0012393A" w:rsidRDefault="00052A08" w:rsidP="00052A08">
      <w:pPr>
        <w:pStyle w:val="ListParagraph"/>
        <w:numPr>
          <w:ilvl w:val="1"/>
          <w:numId w:val="52"/>
        </w:numPr>
        <w:jc w:val="left"/>
      </w:pPr>
      <w:r>
        <w:t>Percentage, by value and number, of purchase orders or contracts issued as emergency orders</w:t>
      </w:r>
      <w:r w:rsidR="00866C26">
        <w:t>;</w:t>
      </w:r>
    </w:p>
    <w:p w14:paraId="65288E79" w14:textId="30705536" w:rsidR="0012393A" w:rsidRDefault="00052A08" w:rsidP="00052A08">
      <w:pPr>
        <w:pStyle w:val="ListParagraph"/>
        <w:numPr>
          <w:ilvl w:val="1"/>
          <w:numId w:val="52"/>
        </w:numPr>
        <w:jc w:val="left"/>
      </w:pPr>
      <w:r>
        <w:t>Budget allocation, release of funds</w:t>
      </w:r>
      <w:r w:rsidR="0012393A">
        <w:t>, and expenditure against budget</w:t>
      </w:r>
      <w:r w:rsidR="00866C26">
        <w:t>;</w:t>
      </w:r>
    </w:p>
    <w:p w14:paraId="7F1A86A8" w14:textId="029A780E" w:rsidR="0012393A" w:rsidRDefault="00052A08" w:rsidP="00052A08">
      <w:pPr>
        <w:pStyle w:val="ListParagraph"/>
        <w:numPr>
          <w:ilvl w:val="0"/>
          <w:numId w:val="52"/>
        </w:numPr>
        <w:jc w:val="left"/>
      </w:pPr>
      <w:r w:rsidRPr="0012393A">
        <w:rPr>
          <w:b/>
        </w:rPr>
        <w:lastRenderedPageBreak/>
        <w:t>Indicator 3</w:t>
      </w:r>
      <w:r>
        <w:t xml:space="preserve">. Percentage price variance between contract unit price and international unit price for focus products, emphasizing vital and </w:t>
      </w:r>
      <w:r w:rsidR="0012393A">
        <w:t>essential medicines</w:t>
      </w:r>
      <w:r w:rsidR="00816DA6">
        <w:t>;</w:t>
      </w:r>
    </w:p>
    <w:p w14:paraId="25BFB4D3" w14:textId="339E63F5" w:rsidR="0012393A" w:rsidRDefault="00052A08" w:rsidP="00052A08">
      <w:pPr>
        <w:pStyle w:val="ListParagraph"/>
        <w:numPr>
          <w:ilvl w:val="0"/>
          <w:numId w:val="52"/>
        </w:numPr>
        <w:jc w:val="left"/>
      </w:pPr>
      <w:r w:rsidRPr="0012393A">
        <w:rPr>
          <w:b/>
        </w:rPr>
        <w:t>Indicator 4</w:t>
      </w:r>
      <w:r>
        <w:t>. Percentage of individual products/lots/shipments entering the country that undergo quality testing over a specific period of time, as defined in national guidelines (for all vital and essential medicines), outcomes of testing as proportion of medicines tested</w:t>
      </w:r>
      <w:r w:rsidR="00816DA6">
        <w:t>;</w:t>
      </w:r>
    </w:p>
    <w:p w14:paraId="6229D15F" w14:textId="64C77C71" w:rsidR="00052A08" w:rsidRDefault="00052A08" w:rsidP="00052A08">
      <w:pPr>
        <w:pStyle w:val="ListParagraph"/>
        <w:numPr>
          <w:ilvl w:val="0"/>
          <w:numId w:val="52"/>
        </w:numPr>
        <w:jc w:val="left"/>
      </w:pPr>
      <w:r w:rsidRPr="0012393A">
        <w:rPr>
          <w:b/>
        </w:rPr>
        <w:t>Indicator 5</w:t>
      </w:r>
      <w:r>
        <w:t xml:space="preserve">. </w:t>
      </w:r>
      <w:r w:rsidR="0012393A">
        <w:t>Pharmaceutical Supplies and Standards Branch</w:t>
      </w:r>
      <w:r>
        <w:t xml:space="preserve"> systems monitoring against new National Medicines Policy, including: rates of licensing failure for </w:t>
      </w:r>
      <w:proofErr w:type="spellStart"/>
      <w:r>
        <w:t>organisations</w:t>
      </w:r>
      <w:proofErr w:type="spellEnd"/>
      <w:r>
        <w:t xml:space="preserve">, </w:t>
      </w:r>
      <w:r w:rsidR="0012393A">
        <w:t>adverse events</w:t>
      </w:r>
      <w:r>
        <w:t xml:space="preserve"> reporting, functioning of Medicines and Therapeutics committees at facilities.</w:t>
      </w:r>
    </w:p>
    <w:p w14:paraId="7952103C" w14:textId="77777777" w:rsidR="00052A08" w:rsidRDefault="00052A08" w:rsidP="00052A08">
      <w:pPr>
        <w:jc w:val="left"/>
      </w:pPr>
      <w:r>
        <w:t> </w:t>
      </w:r>
    </w:p>
    <w:p w14:paraId="5C45CF1F" w14:textId="77777777" w:rsidR="00052A08" w:rsidRPr="0012393A" w:rsidRDefault="00052A08" w:rsidP="00052A08">
      <w:pPr>
        <w:jc w:val="left"/>
        <w:rPr>
          <w:b/>
        </w:rPr>
      </w:pPr>
      <w:r w:rsidRPr="0012393A">
        <w:rPr>
          <w:b/>
        </w:rPr>
        <w:t>Supply chain systems</w:t>
      </w:r>
    </w:p>
    <w:p w14:paraId="4BE2C03E" w14:textId="77777777" w:rsidR="0012393A" w:rsidRPr="00C852B9" w:rsidRDefault="0012393A" w:rsidP="0012393A">
      <w:pPr>
        <w:jc w:val="left"/>
        <w:rPr>
          <w:i/>
        </w:rPr>
      </w:pPr>
      <w:r>
        <w:rPr>
          <w:i/>
        </w:rPr>
        <w:t>NDOH process indicators already planned:</w:t>
      </w:r>
    </w:p>
    <w:p w14:paraId="5AA1F9FF" w14:textId="27526590" w:rsidR="0012393A" w:rsidRDefault="00052A08" w:rsidP="00052A08">
      <w:pPr>
        <w:pStyle w:val="ListParagraph"/>
        <w:numPr>
          <w:ilvl w:val="0"/>
          <w:numId w:val="53"/>
        </w:numPr>
        <w:jc w:val="left"/>
      </w:pPr>
      <w:r>
        <w:t xml:space="preserve">LMIS – </w:t>
      </w:r>
      <w:proofErr w:type="spellStart"/>
      <w:r>
        <w:t>mSupply</w:t>
      </w:r>
      <w:proofErr w:type="spellEnd"/>
      <w:r>
        <w:t xml:space="preserve">: </w:t>
      </w:r>
      <w:proofErr w:type="spellStart"/>
      <w:r>
        <w:t>mSupply</w:t>
      </w:r>
      <w:proofErr w:type="spellEnd"/>
      <w:r>
        <w:t xml:space="preserve"> will be implemented on time</w:t>
      </w:r>
      <w:r w:rsidR="00671FD6">
        <w:t>,</w:t>
      </w:r>
      <w:r>
        <w:t xml:space="preserve"> on budget and in accordance with approved project plans</w:t>
      </w:r>
      <w:r w:rsidR="00816DA6">
        <w:t>;</w:t>
      </w:r>
    </w:p>
    <w:p w14:paraId="39627EA8" w14:textId="1F0F0155" w:rsidR="0012393A" w:rsidRDefault="00052A08" w:rsidP="00052A08">
      <w:pPr>
        <w:pStyle w:val="ListParagraph"/>
        <w:numPr>
          <w:ilvl w:val="0"/>
          <w:numId w:val="53"/>
        </w:numPr>
        <w:jc w:val="left"/>
      </w:pPr>
      <w:r>
        <w:t>Medical Supply Kits: Kits to be supplied on time and in accordance with the required quality standards</w:t>
      </w:r>
      <w:r w:rsidR="00816DA6">
        <w:t>;</w:t>
      </w:r>
    </w:p>
    <w:p w14:paraId="2E78A315" w14:textId="1DB2E050" w:rsidR="0012393A" w:rsidRDefault="00052A08" w:rsidP="00052A08">
      <w:pPr>
        <w:pStyle w:val="ListParagraph"/>
        <w:numPr>
          <w:ilvl w:val="0"/>
          <w:numId w:val="53"/>
        </w:numPr>
        <w:jc w:val="left"/>
      </w:pPr>
      <w:r>
        <w:t>Logistics / Distribution Arrangements: Logistics contract to be performed in accordance with the cont</w:t>
      </w:r>
      <w:r w:rsidR="0012393A">
        <w:t>racted terms and conditions, NDO</w:t>
      </w:r>
      <w:r>
        <w:t>H is receiving good value for money and deliveries are being made as and when required to health facilities</w:t>
      </w:r>
      <w:r w:rsidR="00816DA6">
        <w:t>;</w:t>
      </w:r>
    </w:p>
    <w:p w14:paraId="3912F8FE" w14:textId="72542D02" w:rsidR="00052A08" w:rsidRDefault="00052A08" w:rsidP="00052A08">
      <w:pPr>
        <w:pStyle w:val="ListParagraph"/>
        <w:numPr>
          <w:ilvl w:val="0"/>
          <w:numId w:val="53"/>
        </w:numPr>
        <w:jc w:val="left"/>
      </w:pPr>
      <w:r>
        <w:t>AMS Refurbishments: AMS Refurbishments to be completed on time</w:t>
      </w:r>
      <w:r w:rsidR="00671FD6">
        <w:t xml:space="preserve">, </w:t>
      </w:r>
      <w:r>
        <w:t>on budget and in accordance with the approved project plans.</w:t>
      </w:r>
    </w:p>
    <w:p w14:paraId="777606AE" w14:textId="77777777" w:rsidR="0012393A" w:rsidRDefault="0012393A" w:rsidP="00052A08">
      <w:pPr>
        <w:jc w:val="left"/>
      </w:pPr>
    </w:p>
    <w:p w14:paraId="2BDAA109" w14:textId="77777777" w:rsidR="0012393A" w:rsidRDefault="0012393A" w:rsidP="0012393A">
      <w:pPr>
        <w:jc w:val="left"/>
      </w:pPr>
      <w:r>
        <w:rPr>
          <w:i/>
        </w:rPr>
        <w:t>Proposed additions from this evaluation</w:t>
      </w:r>
      <w:r>
        <w:t>:</w:t>
      </w:r>
    </w:p>
    <w:p w14:paraId="0BD1A891" w14:textId="224F9EAA" w:rsidR="0012393A" w:rsidRDefault="00052A08" w:rsidP="00052A08">
      <w:pPr>
        <w:pStyle w:val="ListParagraph"/>
        <w:numPr>
          <w:ilvl w:val="0"/>
          <w:numId w:val="54"/>
        </w:numPr>
        <w:jc w:val="left"/>
      </w:pPr>
      <w:r w:rsidRPr="0012393A">
        <w:rPr>
          <w:b/>
        </w:rPr>
        <w:t>Indicator 6.</w:t>
      </w:r>
      <w:r>
        <w:t xml:space="preserve"> Distribution performance, including: (a) average amount of time (i.e., days) from the moment an order is received at the storage facility until the time the order is actually shipped to the health facility (by type of facility, geographical area), [and complementary timing for frequency and duration of ‘push’ deliveries] and (b) percentage of items ordered that are actually received (correct quantities with the correct products)</w:t>
      </w:r>
      <w:r w:rsidR="00816DA6">
        <w:t>;</w:t>
      </w:r>
    </w:p>
    <w:p w14:paraId="14BF806C" w14:textId="393FA22A" w:rsidR="00052A08" w:rsidRDefault="00052A08" w:rsidP="00052A08">
      <w:pPr>
        <w:pStyle w:val="ListParagraph"/>
        <w:numPr>
          <w:ilvl w:val="0"/>
          <w:numId w:val="54"/>
        </w:numPr>
        <w:jc w:val="left"/>
      </w:pPr>
      <w:r w:rsidRPr="0012393A">
        <w:rPr>
          <w:b/>
        </w:rPr>
        <w:t>Indicator 7</w:t>
      </w:r>
      <w:r>
        <w:t>. Stock out rate at AMS, focused on vital and essential commodities</w:t>
      </w:r>
      <w:r w:rsidR="00671FD6">
        <w:t>.</w:t>
      </w:r>
    </w:p>
    <w:p w14:paraId="11AE749F" w14:textId="77777777" w:rsidR="00052A08" w:rsidRDefault="00052A08" w:rsidP="00052A08">
      <w:pPr>
        <w:jc w:val="left"/>
      </w:pPr>
    </w:p>
    <w:p w14:paraId="6CBCB2E1" w14:textId="77777777" w:rsidR="00052A08" w:rsidRPr="0012393A" w:rsidRDefault="00052A08" w:rsidP="00052A08">
      <w:pPr>
        <w:jc w:val="left"/>
        <w:rPr>
          <w:b/>
        </w:rPr>
      </w:pPr>
      <w:r w:rsidRPr="0012393A">
        <w:rPr>
          <w:b/>
        </w:rPr>
        <w:t>Availability and usage of essential medicines in health facilities</w:t>
      </w:r>
    </w:p>
    <w:p w14:paraId="0DB3CEDD" w14:textId="77777777" w:rsidR="0012393A" w:rsidRPr="00C852B9" w:rsidRDefault="0012393A" w:rsidP="0012393A">
      <w:pPr>
        <w:jc w:val="left"/>
        <w:rPr>
          <w:i/>
        </w:rPr>
      </w:pPr>
      <w:r>
        <w:rPr>
          <w:i/>
        </w:rPr>
        <w:t>NDOH process indicators already planned:</w:t>
      </w:r>
    </w:p>
    <w:p w14:paraId="63F4399D" w14:textId="4613AF1B" w:rsidR="00052A08" w:rsidRDefault="00052A08" w:rsidP="0012393A">
      <w:pPr>
        <w:pStyle w:val="ListParagraph"/>
        <w:numPr>
          <w:ilvl w:val="0"/>
          <w:numId w:val="55"/>
        </w:numPr>
        <w:jc w:val="left"/>
      </w:pPr>
      <w:r>
        <w:t xml:space="preserve">Vital and Essential Medical Supplies Availability: Vital and Essential Medical Supplies availability both in AMSs and in health facilities to the required levels and order </w:t>
      </w:r>
      <w:proofErr w:type="spellStart"/>
      <w:r>
        <w:t>fulfilment</w:t>
      </w:r>
      <w:proofErr w:type="spellEnd"/>
      <w:r>
        <w:t xml:space="preserve"> times in accordance with stated targets.</w:t>
      </w:r>
    </w:p>
    <w:p w14:paraId="1070F258" w14:textId="77777777" w:rsidR="0012393A" w:rsidRDefault="0012393A" w:rsidP="00052A08">
      <w:pPr>
        <w:jc w:val="left"/>
      </w:pPr>
    </w:p>
    <w:p w14:paraId="27B43BE0" w14:textId="77777777" w:rsidR="0012393A" w:rsidRDefault="0012393A" w:rsidP="0012393A">
      <w:pPr>
        <w:jc w:val="left"/>
      </w:pPr>
      <w:r>
        <w:rPr>
          <w:i/>
        </w:rPr>
        <w:t>Proposed additions from this evaluation</w:t>
      </w:r>
      <w:r>
        <w:t>:</w:t>
      </w:r>
    </w:p>
    <w:p w14:paraId="625133FA" w14:textId="638699D3" w:rsidR="0012393A" w:rsidRDefault="00052A08" w:rsidP="00052A08">
      <w:pPr>
        <w:pStyle w:val="ListParagraph"/>
        <w:numPr>
          <w:ilvl w:val="0"/>
          <w:numId w:val="55"/>
        </w:numPr>
        <w:jc w:val="left"/>
      </w:pPr>
      <w:r w:rsidRPr="0012393A">
        <w:rPr>
          <w:b/>
        </w:rPr>
        <w:t>Indicator 8</w:t>
      </w:r>
      <w:r>
        <w:t xml:space="preserve">. Availability of essential medicines at various levels in the health system, using </w:t>
      </w:r>
      <w:r w:rsidR="00671FD6">
        <w:t xml:space="preserve">the </w:t>
      </w:r>
      <w:r>
        <w:t>WHO standard indicator</w:t>
      </w:r>
      <w:r w:rsidR="00816DA6">
        <w:t>;</w:t>
      </w:r>
    </w:p>
    <w:p w14:paraId="068F94C3" w14:textId="12D2F64E" w:rsidR="0012393A" w:rsidRDefault="00052A08" w:rsidP="00052A08">
      <w:pPr>
        <w:pStyle w:val="ListParagraph"/>
        <w:numPr>
          <w:ilvl w:val="0"/>
          <w:numId w:val="55"/>
        </w:numPr>
        <w:jc w:val="left"/>
      </w:pPr>
      <w:r w:rsidRPr="0012393A">
        <w:rPr>
          <w:b/>
        </w:rPr>
        <w:t>Indicator 9</w:t>
      </w:r>
      <w:r>
        <w:t>. Percentage of facilities ((a) AMS; (b) health facility type) that experienced a stock</w:t>
      </w:r>
      <w:r w:rsidR="008A6CFD">
        <w:t>-</w:t>
      </w:r>
      <w:r>
        <w:t xml:space="preserve">out of a specific product (e.g., all vital and essential </w:t>
      </w:r>
      <w:r w:rsidR="00724DC2">
        <w:t>medicine</w:t>
      </w:r>
      <w:r>
        <w:t xml:space="preserve">s; certain tracer </w:t>
      </w:r>
      <w:r w:rsidR="00724DC2">
        <w:t>medicine</w:t>
      </w:r>
      <w:r>
        <w:t xml:space="preserve">s) that the site is expected to provide, at any point, </w:t>
      </w:r>
      <w:r w:rsidR="009B3F32">
        <w:t>within a defined period of time</w:t>
      </w:r>
      <w:r w:rsidR="00816DA6">
        <w:t>;</w:t>
      </w:r>
    </w:p>
    <w:p w14:paraId="3256E0F5" w14:textId="593CFF78" w:rsidR="00052A08" w:rsidRDefault="00052A08" w:rsidP="00052A08">
      <w:pPr>
        <w:pStyle w:val="ListParagraph"/>
        <w:numPr>
          <w:ilvl w:val="0"/>
          <w:numId w:val="55"/>
        </w:numPr>
        <w:jc w:val="left"/>
      </w:pPr>
      <w:r w:rsidRPr="0012393A">
        <w:rPr>
          <w:b/>
        </w:rPr>
        <w:t>Indicator 10.</w:t>
      </w:r>
      <w:r>
        <w:t xml:space="preserve"> Percentage tracer cases treated according to Standard Treatment Guidelines</w:t>
      </w:r>
      <w:r w:rsidR="00671FD6">
        <w:t>.</w:t>
      </w:r>
      <w:r>
        <w:t xml:space="preserve"> </w:t>
      </w:r>
    </w:p>
    <w:p w14:paraId="21667D2B" w14:textId="77777777" w:rsidR="00052A08" w:rsidRDefault="00052A08" w:rsidP="00052A08">
      <w:pPr>
        <w:jc w:val="left"/>
      </w:pPr>
    </w:p>
    <w:p w14:paraId="73DCA1F3" w14:textId="77777777" w:rsidR="00052A08" w:rsidRPr="0012393A" w:rsidRDefault="00052A08" w:rsidP="00052A08">
      <w:pPr>
        <w:jc w:val="left"/>
        <w:rPr>
          <w:b/>
        </w:rPr>
      </w:pPr>
      <w:r w:rsidRPr="0012393A">
        <w:rPr>
          <w:b/>
        </w:rPr>
        <w:t>Storage and management of medical supplies in health facilities</w:t>
      </w:r>
    </w:p>
    <w:p w14:paraId="723DE47B" w14:textId="40373794" w:rsidR="00052A08" w:rsidRDefault="0012393A" w:rsidP="00052A08">
      <w:pPr>
        <w:jc w:val="left"/>
      </w:pPr>
      <w:r>
        <w:rPr>
          <w:i/>
        </w:rPr>
        <w:t>Proposed additions from this evaluation</w:t>
      </w:r>
      <w:r>
        <w:t>:</w:t>
      </w:r>
    </w:p>
    <w:p w14:paraId="4B73309A" w14:textId="7339AF27" w:rsidR="00052A08" w:rsidRDefault="00052A08" w:rsidP="0012393A">
      <w:pPr>
        <w:pStyle w:val="ListParagraph"/>
        <w:numPr>
          <w:ilvl w:val="0"/>
          <w:numId w:val="56"/>
        </w:numPr>
        <w:jc w:val="left"/>
      </w:pPr>
      <w:r w:rsidRPr="0012393A">
        <w:rPr>
          <w:b/>
        </w:rPr>
        <w:t>Indicator 11.</w:t>
      </w:r>
      <w:r>
        <w:t xml:space="preserve"> Storage and handling of medical supplies, against WHO standard criteria</w:t>
      </w:r>
      <w:r w:rsidR="00816DA6">
        <w:t xml:space="preserve">. </w:t>
      </w:r>
    </w:p>
    <w:p w14:paraId="1D1C6FC5" w14:textId="77777777" w:rsidR="00052A08" w:rsidRDefault="00052A08" w:rsidP="00052A08">
      <w:pPr>
        <w:jc w:val="left"/>
      </w:pPr>
      <w:r>
        <w:t> </w:t>
      </w:r>
    </w:p>
    <w:p w14:paraId="75CF1E7A" w14:textId="77777777" w:rsidR="00465E4D" w:rsidRDefault="00465E4D" w:rsidP="00052A08">
      <w:pPr>
        <w:jc w:val="left"/>
        <w:rPr>
          <w:b/>
        </w:rPr>
      </w:pPr>
    </w:p>
    <w:p w14:paraId="62E773F6" w14:textId="77777777" w:rsidR="00465E4D" w:rsidRDefault="00465E4D">
      <w:pPr>
        <w:jc w:val="left"/>
        <w:rPr>
          <w:b/>
        </w:rPr>
      </w:pPr>
      <w:r>
        <w:rPr>
          <w:b/>
        </w:rPr>
        <w:br w:type="page"/>
      </w:r>
    </w:p>
    <w:p w14:paraId="66F89AA7" w14:textId="25D120E3" w:rsidR="00052A08" w:rsidRPr="0012393A" w:rsidRDefault="00052A08" w:rsidP="00052A08">
      <w:pPr>
        <w:jc w:val="left"/>
        <w:rPr>
          <w:b/>
        </w:rPr>
      </w:pPr>
      <w:r w:rsidRPr="0012393A">
        <w:rPr>
          <w:b/>
        </w:rPr>
        <w:lastRenderedPageBreak/>
        <w:t>Community engagement</w:t>
      </w:r>
    </w:p>
    <w:p w14:paraId="5847F941" w14:textId="77777777" w:rsidR="0012393A" w:rsidRPr="00C852B9" w:rsidRDefault="0012393A" w:rsidP="0012393A">
      <w:pPr>
        <w:jc w:val="left"/>
        <w:rPr>
          <w:i/>
        </w:rPr>
      </w:pPr>
      <w:r>
        <w:rPr>
          <w:i/>
        </w:rPr>
        <w:t>NDOH process indicators already planned:</w:t>
      </w:r>
    </w:p>
    <w:p w14:paraId="61364930" w14:textId="07015352" w:rsidR="00052A08" w:rsidRPr="00EA7892" w:rsidRDefault="00052A08" w:rsidP="0012393A">
      <w:pPr>
        <w:pStyle w:val="ListParagraph"/>
        <w:numPr>
          <w:ilvl w:val="0"/>
          <w:numId w:val="56"/>
        </w:numPr>
        <w:jc w:val="left"/>
        <w:rPr>
          <w:spacing w:val="-6"/>
          <w:szCs w:val="22"/>
        </w:rPr>
      </w:pPr>
      <w:r w:rsidRPr="00EA7892">
        <w:rPr>
          <w:spacing w:val="-6"/>
          <w:szCs w:val="22"/>
        </w:rPr>
        <w:t>Communication and Engagement Strategy: Communications and engagement with key stakeholders is effective as measured by feedback from customers</w:t>
      </w:r>
      <w:r w:rsidR="00671FD6">
        <w:rPr>
          <w:spacing w:val="-6"/>
          <w:szCs w:val="22"/>
        </w:rPr>
        <w:t xml:space="preserve">, </w:t>
      </w:r>
      <w:r w:rsidRPr="00EA7892">
        <w:rPr>
          <w:spacing w:val="-6"/>
          <w:szCs w:val="22"/>
        </w:rPr>
        <w:t>quarterly reviews and reports on the work performance of MSPD and the AMSs</w:t>
      </w:r>
      <w:r w:rsidR="00671FD6">
        <w:rPr>
          <w:spacing w:val="-6"/>
          <w:szCs w:val="22"/>
        </w:rPr>
        <w:t>,</w:t>
      </w:r>
      <w:r w:rsidRPr="00EA7892">
        <w:rPr>
          <w:spacing w:val="-6"/>
          <w:szCs w:val="22"/>
        </w:rPr>
        <w:t xml:space="preserve"> as well as relevant national health indicators.</w:t>
      </w:r>
    </w:p>
    <w:p w14:paraId="3415EB56" w14:textId="77777777" w:rsidR="007E1D71" w:rsidRDefault="007E1D71" w:rsidP="007E1D71">
      <w:pPr>
        <w:jc w:val="left"/>
      </w:pPr>
      <w:r w:rsidRPr="007E1D71">
        <w:rPr>
          <w:i/>
        </w:rPr>
        <w:t>Proposed additions from this evaluation</w:t>
      </w:r>
      <w:r>
        <w:t>:</w:t>
      </w:r>
    </w:p>
    <w:p w14:paraId="4CFB1DA2" w14:textId="27CAF106" w:rsidR="00052A08" w:rsidRDefault="00052A08" w:rsidP="007E1D71">
      <w:pPr>
        <w:pStyle w:val="ListParagraph"/>
        <w:numPr>
          <w:ilvl w:val="0"/>
          <w:numId w:val="56"/>
        </w:numPr>
        <w:jc w:val="left"/>
      </w:pPr>
      <w:r w:rsidRPr="007E1D71">
        <w:rPr>
          <w:b/>
        </w:rPr>
        <w:t>Indicator 12.</w:t>
      </w:r>
      <w:r>
        <w:t xml:space="preserve"> Community experiences of medicines costs, quality of dispensing and attitudes to medicines availability, against </w:t>
      </w:r>
      <w:r w:rsidR="00671FD6">
        <w:t xml:space="preserve">the </w:t>
      </w:r>
      <w:r>
        <w:t>WHO standard criteria and other measures.</w:t>
      </w:r>
    </w:p>
    <w:p w14:paraId="4326AB50" w14:textId="77777777" w:rsidR="00EA7892" w:rsidRDefault="00EA7892" w:rsidP="00052A08">
      <w:pPr>
        <w:jc w:val="left"/>
      </w:pPr>
    </w:p>
    <w:p w14:paraId="58ACA618" w14:textId="77777777" w:rsidR="00052A08" w:rsidRPr="00EA7892" w:rsidRDefault="00052A08" w:rsidP="00052A08">
      <w:pPr>
        <w:jc w:val="left"/>
        <w:rPr>
          <w:b/>
        </w:rPr>
      </w:pPr>
      <w:r w:rsidRPr="00EA7892">
        <w:rPr>
          <w:b/>
        </w:rPr>
        <w:t>Health services, population health impact and equity</w:t>
      </w:r>
    </w:p>
    <w:p w14:paraId="7AF98E97" w14:textId="77777777" w:rsidR="00EA7892" w:rsidRDefault="00EA7892" w:rsidP="00EA7892">
      <w:pPr>
        <w:jc w:val="left"/>
      </w:pPr>
      <w:r>
        <w:rPr>
          <w:i/>
        </w:rPr>
        <w:t>Proposed additions from this evaluation</w:t>
      </w:r>
      <w:r>
        <w:t>:</w:t>
      </w:r>
    </w:p>
    <w:p w14:paraId="7191E878" w14:textId="305321F6" w:rsidR="00EA7892" w:rsidRDefault="00052A08" w:rsidP="00052A08">
      <w:pPr>
        <w:pStyle w:val="ListParagraph"/>
        <w:numPr>
          <w:ilvl w:val="0"/>
          <w:numId w:val="56"/>
        </w:numPr>
        <w:jc w:val="left"/>
      </w:pPr>
      <w:r w:rsidRPr="00EA7892">
        <w:rPr>
          <w:b/>
        </w:rPr>
        <w:t>Indicator 13.</w:t>
      </w:r>
      <w:r>
        <w:t xml:space="preserve"> Percentage </w:t>
      </w:r>
      <w:r w:rsidR="00671FD6">
        <w:t xml:space="preserve">of </w:t>
      </w:r>
      <w:r>
        <w:t xml:space="preserve">districts (by geographical area and other equity criteria) with </w:t>
      </w:r>
      <w:r w:rsidR="00671FD6">
        <w:t xml:space="preserve">the </w:t>
      </w:r>
      <w:r>
        <w:t>capacity to treat important diseases, including EMONC</w:t>
      </w:r>
      <w:r w:rsidR="00816DA6">
        <w:t>;</w:t>
      </w:r>
    </w:p>
    <w:p w14:paraId="00B2CA67" w14:textId="79BD3CA0" w:rsidR="00052A08" w:rsidRDefault="00052A08" w:rsidP="00052A08">
      <w:pPr>
        <w:pStyle w:val="ListParagraph"/>
        <w:numPr>
          <w:ilvl w:val="0"/>
          <w:numId w:val="56"/>
        </w:numPr>
        <w:jc w:val="left"/>
      </w:pPr>
      <w:r w:rsidRPr="00EA7892">
        <w:rPr>
          <w:b/>
        </w:rPr>
        <w:t>Indicator 14.</w:t>
      </w:r>
      <w:r>
        <w:t xml:space="preserve"> Estimated impact on survival and morbidity of increased medicines availability</w:t>
      </w:r>
      <w:r w:rsidR="00671FD6">
        <w:t>.</w:t>
      </w:r>
      <w:r>
        <w:t xml:space="preserve"> </w:t>
      </w:r>
    </w:p>
    <w:p w14:paraId="64BA498A" w14:textId="77777777" w:rsidR="009B5D9C" w:rsidRDefault="009B5D9C">
      <w:pPr>
        <w:jc w:val="left"/>
        <w:rPr>
          <w:rFonts w:cs="Times New Roman"/>
          <w:b/>
          <w:bCs/>
          <w:spacing w:val="-10"/>
          <w:kern w:val="28"/>
          <w:sz w:val="36"/>
          <w:szCs w:val="36"/>
          <w:lang w:val="en-AU" w:eastAsia="en-AU"/>
        </w:rPr>
      </w:pPr>
    </w:p>
    <w:p w14:paraId="643AE840" w14:textId="77777777" w:rsidR="00052A08" w:rsidRDefault="00052A08">
      <w:pPr>
        <w:jc w:val="left"/>
        <w:rPr>
          <w:rFonts w:cs="Times New Roman"/>
          <w:b/>
          <w:bCs/>
          <w:spacing w:val="-10"/>
          <w:kern w:val="28"/>
          <w:sz w:val="36"/>
          <w:szCs w:val="36"/>
          <w:lang w:val="en-AU" w:eastAsia="en-AU"/>
        </w:rPr>
      </w:pPr>
      <w:bookmarkStart w:id="125" w:name="_Toc245810770"/>
      <w:r>
        <w:br w:type="page"/>
      </w:r>
    </w:p>
    <w:p w14:paraId="59A41D74" w14:textId="660B8D5C" w:rsidR="00AC72B8" w:rsidRPr="00E27200" w:rsidRDefault="00AC72B8" w:rsidP="00E16C77">
      <w:pPr>
        <w:pStyle w:val="Heading1"/>
      </w:pPr>
      <w:r w:rsidRPr="00E27200">
        <w:lastRenderedPageBreak/>
        <w:t>References and List of Selected Background Documents</w:t>
      </w:r>
      <w:bookmarkEnd w:id="125"/>
      <w:r w:rsidRPr="00E27200">
        <w:t xml:space="preserve"> </w:t>
      </w:r>
    </w:p>
    <w:p w14:paraId="080AE1AE" w14:textId="77777777" w:rsidR="00AC72B8" w:rsidRPr="00E27200" w:rsidRDefault="00AC72B8" w:rsidP="00E16C77">
      <w:pPr>
        <w:pStyle w:val="Heading2"/>
      </w:pPr>
      <w:bookmarkStart w:id="126" w:name="_Toc239058967"/>
      <w:bookmarkStart w:id="127" w:name="_Toc239324160"/>
      <w:bookmarkStart w:id="128" w:name="_Toc245620956"/>
      <w:bookmarkStart w:id="129" w:name="_Toc245621444"/>
      <w:bookmarkStart w:id="130" w:name="_Toc245810771"/>
      <w:r w:rsidRPr="00E27200">
        <w:t>References</w:t>
      </w:r>
      <w:bookmarkEnd w:id="126"/>
      <w:bookmarkEnd w:id="127"/>
      <w:bookmarkEnd w:id="128"/>
      <w:bookmarkEnd w:id="129"/>
      <w:bookmarkEnd w:id="130"/>
    </w:p>
    <w:p w14:paraId="5BBB57D6" w14:textId="77777777" w:rsidR="00E62392" w:rsidRDefault="006D4F4F" w:rsidP="00E62392">
      <w:pPr>
        <w:ind w:left="720" w:hanging="720"/>
        <w:rPr>
          <w:noProof/>
          <w:lang w:val="en-AU"/>
        </w:rPr>
      </w:pPr>
      <w:r w:rsidRPr="00E27200">
        <w:rPr>
          <w:lang w:val="en-AU"/>
        </w:rPr>
        <w:fldChar w:fldCharType="begin"/>
      </w:r>
      <w:r w:rsidR="00113C9F" w:rsidRPr="00E27200">
        <w:rPr>
          <w:lang w:val="en-AU"/>
        </w:rPr>
        <w:instrText xml:space="preserve"> ADDIN EN.REFLIST </w:instrText>
      </w:r>
      <w:r w:rsidRPr="00E27200">
        <w:rPr>
          <w:lang w:val="en-AU"/>
        </w:rPr>
        <w:fldChar w:fldCharType="separate"/>
      </w:r>
      <w:bookmarkStart w:id="131" w:name="_ENREF_1"/>
      <w:r w:rsidR="00E62392">
        <w:rPr>
          <w:noProof/>
          <w:lang w:val="en-AU"/>
        </w:rPr>
        <w:t>1.</w:t>
      </w:r>
      <w:r w:rsidR="00E62392">
        <w:rPr>
          <w:noProof/>
          <w:lang w:val="en-AU"/>
        </w:rPr>
        <w:tab/>
        <w:t xml:space="preserve">Ministerial Task Force on Medical Supplies, </w:t>
      </w:r>
      <w:r w:rsidR="00E62392" w:rsidRPr="00E62392">
        <w:rPr>
          <w:i/>
          <w:noProof/>
          <w:lang w:val="en-AU"/>
        </w:rPr>
        <w:t>Medical Supplies Technical Review Mission, Report on Key Findings and Recommendations</w:t>
      </w:r>
      <w:r w:rsidR="00E62392">
        <w:rPr>
          <w:noProof/>
          <w:lang w:val="en-AU"/>
        </w:rPr>
        <w:t>, 2008, MInistry of Health: Port Moresby.</w:t>
      </w:r>
      <w:bookmarkEnd w:id="131"/>
    </w:p>
    <w:p w14:paraId="6A3B913E" w14:textId="59583932" w:rsidR="00E62392" w:rsidRDefault="00E62392" w:rsidP="00E62392">
      <w:pPr>
        <w:ind w:left="720" w:hanging="720"/>
        <w:rPr>
          <w:noProof/>
          <w:lang w:val="en-AU"/>
        </w:rPr>
      </w:pPr>
      <w:bookmarkStart w:id="132" w:name="_ENREF_2"/>
      <w:r>
        <w:rPr>
          <w:noProof/>
          <w:lang w:val="en-AU"/>
        </w:rPr>
        <w:t>2.</w:t>
      </w:r>
      <w:r>
        <w:rPr>
          <w:noProof/>
          <w:lang w:val="en-AU"/>
        </w:rPr>
        <w:tab/>
        <w:t xml:space="preserve">Health and HIV Implementation Services Provider, </w:t>
      </w:r>
      <w:r w:rsidRPr="00E62392">
        <w:rPr>
          <w:i/>
          <w:noProof/>
          <w:lang w:val="en-AU"/>
        </w:rPr>
        <w:t>Specialist Procurement Adviser Report.</w:t>
      </w:r>
      <w:r>
        <w:rPr>
          <w:noProof/>
          <w:lang w:val="en-AU"/>
        </w:rPr>
        <w:t xml:space="preserve"> National Department of Health and Aus</w:t>
      </w:r>
      <w:r w:rsidR="00232F8C">
        <w:rPr>
          <w:noProof/>
          <w:lang w:val="en-AU"/>
        </w:rPr>
        <w:t>tralian Government</w:t>
      </w:r>
      <w:r>
        <w:rPr>
          <w:noProof/>
          <w:lang w:val="en-AU"/>
        </w:rPr>
        <w:t>, 2012.</w:t>
      </w:r>
      <w:bookmarkEnd w:id="132"/>
    </w:p>
    <w:p w14:paraId="51F2D90B" w14:textId="77777777" w:rsidR="00E62392" w:rsidRDefault="00E62392" w:rsidP="00E62392">
      <w:pPr>
        <w:ind w:left="720" w:hanging="720"/>
        <w:rPr>
          <w:noProof/>
          <w:lang w:val="en-AU"/>
        </w:rPr>
      </w:pPr>
      <w:bookmarkStart w:id="133" w:name="_ENREF_3"/>
      <w:r>
        <w:rPr>
          <w:noProof/>
          <w:lang w:val="en-AU"/>
        </w:rPr>
        <w:t>3.</w:t>
      </w:r>
      <w:r>
        <w:rPr>
          <w:noProof/>
          <w:lang w:val="en-AU"/>
        </w:rPr>
        <w:tab/>
        <w:t xml:space="preserve">Central Operations Services Unit, </w:t>
      </w:r>
      <w:r w:rsidRPr="00E62392">
        <w:rPr>
          <w:i/>
          <w:noProof/>
          <w:lang w:val="en-AU"/>
        </w:rPr>
        <w:t>Papua New Guinea Country Procurement Assessment Report</w:t>
      </w:r>
      <w:r>
        <w:rPr>
          <w:noProof/>
          <w:lang w:val="en-AU"/>
        </w:rPr>
        <w:t>, 2006.</w:t>
      </w:r>
      <w:bookmarkEnd w:id="133"/>
    </w:p>
    <w:p w14:paraId="22C15E29" w14:textId="77777777" w:rsidR="00E62392" w:rsidRDefault="00E62392" w:rsidP="00E62392">
      <w:pPr>
        <w:ind w:left="720" w:hanging="720"/>
        <w:rPr>
          <w:noProof/>
          <w:lang w:val="en-AU"/>
        </w:rPr>
      </w:pPr>
      <w:bookmarkStart w:id="134" w:name="_ENREF_4"/>
      <w:r>
        <w:rPr>
          <w:noProof/>
          <w:lang w:val="en-AU"/>
        </w:rPr>
        <w:t>4.</w:t>
      </w:r>
      <w:r>
        <w:rPr>
          <w:noProof/>
          <w:lang w:val="en-AU"/>
        </w:rPr>
        <w:tab/>
        <w:t xml:space="preserve">National Department of Health Papua New Guinea, </w:t>
      </w:r>
      <w:r w:rsidRPr="00E62392">
        <w:rPr>
          <w:i/>
          <w:noProof/>
          <w:lang w:val="en-AU"/>
        </w:rPr>
        <w:t>The National Medicines Policy</w:t>
      </w:r>
      <w:r>
        <w:rPr>
          <w:noProof/>
          <w:lang w:val="en-AU"/>
        </w:rPr>
        <w:t>, 2013.</w:t>
      </w:r>
      <w:bookmarkEnd w:id="134"/>
    </w:p>
    <w:p w14:paraId="663B7402" w14:textId="77777777" w:rsidR="00E62392" w:rsidRDefault="00E62392" w:rsidP="00E62392">
      <w:pPr>
        <w:ind w:left="720" w:hanging="720"/>
        <w:rPr>
          <w:noProof/>
          <w:lang w:val="en-AU"/>
        </w:rPr>
      </w:pPr>
      <w:bookmarkStart w:id="135" w:name="_ENREF_5"/>
      <w:r>
        <w:rPr>
          <w:noProof/>
          <w:lang w:val="en-AU"/>
        </w:rPr>
        <w:t>5.</w:t>
      </w:r>
      <w:r>
        <w:rPr>
          <w:noProof/>
          <w:lang w:val="en-AU"/>
        </w:rPr>
        <w:tab/>
        <w:t xml:space="preserve">World Health Organization, </w:t>
      </w:r>
      <w:r w:rsidRPr="00E62392">
        <w:rPr>
          <w:i/>
          <w:noProof/>
          <w:lang w:val="en-AU"/>
        </w:rPr>
        <w:t>Synthesis Report of Pharmaceutical Country Profiles 2011 (DRAFT)</w:t>
      </w:r>
      <w:r>
        <w:rPr>
          <w:noProof/>
          <w:lang w:val="en-AU"/>
        </w:rPr>
        <w:t>, 2011, Western Pacific Regional Office of WHO: Manila.</w:t>
      </w:r>
      <w:bookmarkEnd w:id="135"/>
    </w:p>
    <w:p w14:paraId="5D9B543A" w14:textId="77777777" w:rsidR="00E62392" w:rsidRDefault="00E62392" w:rsidP="00E62392">
      <w:pPr>
        <w:ind w:left="720" w:hanging="720"/>
        <w:rPr>
          <w:noProof/>
          <w:lang w:val="en-AU"/>
        </w:rPr>
      </w:pPr>
      <w:bookmarkStart w:id="136" w:name="_ENREF_6"/>
      <w:r>
        <w:rPr>
          <w:noProof/>
          <w:lang w:val="en-AU"/>
        </w:rPr>
        <w:t>6.</w:t>
      </w:r>
      <w:r>
        <w:rPr>
          <w:noProof/>
          <w:lang w:val="en-AU"/>
        </w:rPr>
        <w:tab/>
        <w:t xml:space="preserve">Nair, A., et al., </w:t>
      </w:r>
      <w:r w:rsidRPr="00E62392">
        <w:rPr>
          <w:i/>
          <w:noProof/>
          <w:lang w:val="en-AU"/>
        </w:rPr>
        <w:t>Are counterfeit or substandard anti-infective products the cause of treatment failure in Papua New Guinea?</w:t>
      </w:r>
      <w:r>
        <w:rPr>
          <w:noProof/>
          <w:lang w:val="en-AU"/>
        </w:rPr>
        <w:t xml:space="preserve"> J Pharm Sci, 2011. </w:t>
      </w:r>
      <w:r w:rsidRPr="00E62392">
        <w:rPr>
          <w:b/>
          <w:noProof/>
          <w:lang w:val="en-AU"/>
        </w:rPr>
        <w:t>100</w:t>
      </w:r>
      <w:r>
        <w:rPr>
          <w:noProof/>
          <w:lang w:val="en-AU"/>
        </w:rPr>
        <w:t>(11): p. 5059-68.</w:t>
      </w:r>
      <w:bookmarkEnd w:id="136"/>
    </w:p>
    <w:p w14:paraId="7DF6211D" w14:textId="77777777" w:rsidR="00E62392" w:rsidRDefault="00E62392" w:rsidP="00E62392">
      <w:pPr>
        <w:ind w:left="720" w:hanging="720"/>
        <w:rPr>
          <w:noProof/>
          <w:lang w:val="en-AU"/>
        </w:rPr>
      </w:pPr>
      <w:bookmarkStart w:id="137" w:name="_ENREF_7"/>
      <w:r>
        <w:rPr>
          <w:noProof/>
          <w:lang w:val="en-AU"/>
        </w:rPr>
        <w:t>7.</w:t>
      </w:r>
      <w:r>
        <w:rPr>
          <w:noProof/>
          <w:lang w:val="en-AU"/>
        </w:rPr>
        <w:tab/>
        <w:t xml:space="preserve">World Health Organization, </w:t>
      </w:r>
      <w:r w:rsidRPr="00E62392">
        <w:rPr>
          <w:i/>
          <w:noProof/>
          <w:lang w:val="en-AU"/>
        </w:rPr>
        <w:t>Using indicators to measure country pharmaceutical situations. Fact Book on WHO Level I and Level II monitoring indicators</w:t>
      </w:r>
      <w:r>
        <w:rPr>
          <w:noProof/>
          <w:lang w:val="en-AU"/>
        </w:rPr>
        <w:t>, 2006, WHO: Geneva.</w:t>
      </w:r>
      <w:bookmarkEnd w:id="137"/>
    </w:p>
    <w:p w14:paraId="5580DDBD" w14:textId="77777777" w:rsidR="00E62392" w:rsidRDefault="00E62392" w:rsidP="00E62392">
      <w:pPr>
        <w:ind w:left="720" w:hanging="720"/>
        <w:rPr>
          <w:noProof/>
          <w:lang w:val="en-AU"/>
        </w:rPr>
      </w:pPr>
      <w:bookmarkStart w:id="138" w:name="_ENREF_8"/>
      <w:r>
        <w:rPr>
          <w:noProof/>
          <w:lang w:val="en-AU"/>
        </w:rPr>
        <w:t>8.</w:t>
      </w:r>
      <w:r>
        <w:rPr>
          <w:noProof/>
          <w:lang w:val="en-AU"/>
        </w:rPr>
        <w:tab/>
        <w:t xml:space="preserve">Inder, B., et al., </w:t>
      </w:r>
      <w:r w:rsidRPr="00E62392">
        <w:rPr>
          <w:i/>
          <w:noProof/>
          <w:lang w:val="en-AU"/>
        </w:rPr>
        <w:t>Papua New Guinea: Modeling costs and efficiency of primary health care services in Papua New Guinea</w:t>
      </w:r>
      <w:r>
        <w:rPr>
          <w:noProof/>
          <w:lang w:val="en-AU"/>
        </w:rPr>
        <w:t>, 2009, Monash University: Australia.</w:t>
      </w:r>
      <w:bookmarkEnd w:id="138"/>
    </w:p>
    <w:p w14:paraId="2C08D308" w14:textId="77777777" w:rsidR="00E62392" w:rsidRDefault="00E62392" w:rsidP="00E62392">
      <w:pPr>
        <w:ind w:left="720" w:hanging="720"/>
        <w:rPr>
          <w:noProof/>
          <w:lang w:val="en-AU"/>
        </w:rPr>
      </w:pPr>
      <w:bookmarkStart w:id="139" w:name="_ENREF_9"/>
      <w:r>
        <w:rPr>
          <w:noProof/>
          <w:lang w:val="en-AU"/>
        </w:rPr>
        <w:t>9.</w:t>
      </w:r>
      <w:r>
        <w:rPr>
          <w:noProof/>
          <w:lang w:val="en-AU"/>
        </w:rPr>
        <w:tab/>
        <w:t xml:space="preserve">National Statistical Office, </w:t>
      </w:r>
      <w:r w:rsidRPr="00E62392">
        <w:rPr>
          <w:i/>
          <w:noProof/>
          <w:lang w:val="en-AU"/>
        </w:rPr>
        <w:t>Papua New Guinea Household Income and Expenditure Survey 2009-2010</w:t>
      </w:r>
      <w:r>
        <w:rPr>
          <w:noProof/>
          <w:lang w:val="en-AU"/>
        </w:rPr>
        <w:t>, 2011, Government of Papua New Guinea: Papua New Guinea.</w:t>
      </w:r>
      <w:bookmarkEnd w:id="139"/>
    </w:p>
    <w:p w14:paraId="06ACAFFD" w14:textId="77777777" w:rsidR="00E62392" w:rsidRDefault="00E62392" w:rsidP="00E62392">
      <w:pPr>
        <w:ind w:left="720" w:hanging="720"/>
        <w:rPr>
          <w:noProof/>
          <w:lang w:val="en-AU"/>
        </w:rPr>
      </w:pPr>
      <w:bookmarkStart w:id="140" w:name="_ENREF_10"/>
      <w:r>
        <w:rPr>
          <w:noProof/>
          <w:lang w:val="en-AU"/>
        </w:rPr>
        <w:t>10.</w:t>
      </w:r>
      <w:r>
        <w:rPr>
          <w:noProof/>
          <w:lang w:val="en-AU"/>
        </w:rPr>
        <w:tab/>
        <w:t xml:space="preserve">Datt G, F.D., Parajuli D, Hwang V, Cumpa M, Ackland R, Walker T, </w:t>
      </w:r>
      <w:r w:rsidRPr="00E62392">
        <w:rPr>
          <w:i/>
          <w:noProof/>
          <w:lang w:val="en-AU"/>
        </w:rPr>
        <w:t>Poverty Assessment of PNG</w:t>
      </w:r>
      <w:r>
        <w:rPr>
          <w:noProof/>
          <w:lang w:val="en-AU"/>
        </w:rPr>
        <w:t>, 2004, World Bank Country Office: Port Moresby.</w:t>
      </w:r>
      <w:bookmarkEnd w:id="140"/>
    </w:p>
    <w:p w14:paraId="1C31435F" w14:textId="77777777" w:rsidR="00E62392" w:rsidRDefault="00E62392" w:rsidP="00E62392">
      <w:pPr>
        <w:ind w:left="720" w:hanging="720"/>
        <w:rPr>
          <w:noProof/>
          <w:lang w:val="en-AU"/>
        </w:rPr>
      </w:pPr>
      <w:bookmarkStart w:id="141" w:name="_ENREF_11"/>
      <w:r>
        <w:rPr>
          <w:noProof/>
          <w:lang w:val="en-AU"/>
        </w:rPr>
        <w:t>11.</w:t>
      </w:r>
      <w:r>
        <w:rPr>
          <w:noProof/>
          <w:lang w:val="en-AU"/>
        </w:rPr>
        <w:tab/>
        <w:t xml:space="preserve">National Department of Health, </w:t>
      </w:r>
      <w:r w:rsidRPr="00E62392">
        <w:rPr>
          <w:i/>
          <w:noProof/>
          <w:lang w:val="en-AU"/>
        </w:rPr>
        <w:t>Annual Report on Child Morbidity and Mortality 2011</w:t>
      </w:r>
      <w:r>
        <w:rPr>
          <w:noProof/>
          <w:lang w:val="en-AU"/>
        </w:rPr>
        <w:t>, 2012, NDOH: Papua New Guinea.</w:t>
      </w:r>
      <w:bookmarkEnd w:id="141"/>
    </w:p>
    <w:p w14:paraId="1EC6E64D" w14:textId="77777777" w:rsidR="00E62392" w:rsidRDefault="00E62392" w:rsidP="00E62392">
      <w:pPr>
        <w:ind w:left="720" w:hanging="720"/>
        <w:rPr>
          <w:noProof/>
          <w:lang w:val="en-AU"/>
        </w:rPr>
      </w:pPr>
      <w:bookmarkStart w:id="142" w:name="_ENREF_12"/>
      <w:r>
        <w:rPr>
          <w:noProof/>
          <w:lang w:val="en-AU"/>
        </w:rPr>
        <w:t>12.</w:t>
      </w:r>
      <w:r>
        <w:rPr>
          <w:noProof/>
          <w:lang w:val="en-AU"/>
        </w:rPr>
        <w:tab/>
        <w:t xml:space="preserve">Boschi-Pinto C, Y.M., Black RE, </w:t>
      </w:r>
      <w:r w:rsidRPr="00E62392">
        <w:rPr>
          <w:i/>
          <w:noProof/>
          <w:lang w:val="en-AU"/>
        </w:rPr>
        <w:t>The Child Health Epidemiology Reference Group reviews of the effectiveness of interventions to reduce maternal, neonatal and child mortality.</w:t>
      </w:r>
      <w:r>
        <w:rPr>
          <w:noProof/>
          <w:lang w:val="en-AU"/>
        </w:rPr>
        <w:t xml:space="preserve"> International Journal of Epidemiology, 2010. </w:t>
      </w:r>
      <w:r w:rsidRPr="00E62392">
        <w:rPr>
          <w:b/>
          <w:noProof/>
          <w:lang w:val="en-AU"/>
        </w:rPr>
        <w:t>39(Suppl 1)</w:t>
      </w:r>
      <w:r>
        <w:rPr>
          <w:noProof/>
          <w:lang w:val="en-AU"/>
        </w:rPr>
        <w:t>: p. i3-6.</w:t>
      </w:r>
      <w:bookmarkEnd w:id="142"/>
    </w:p>
    <w:p w14:paraId="2C149CDC" w14:textId="77777777" w:rsidR="00E62392" w:rsidRDefault="00E62392" w:rsidP="00E62392">
      <w:pPr>
        <w:ind w:left="720" w:hanging="720"/>
        <w:rPr>
          <w:noProof/>
          <w:lang w:val="en-AU"/>
        </w:rPr>
      </w:pPr>
      <w:bookmarkStart w:id="143" w:name="_ENREF_13"/>
      <w:r>
        <w:rPr>
          <w:noProof/>
          <w:lang w:val="en-AU"/>
        </w:rPr>
        <w:t>13.</w:t>
      </w:r>
      <w:r>
        <w:rPr>
          <w:noProof/>
          <w:lang w:val="en-AU"/>
        </w:rPr>
        <w:tab/>
        <w:t xml:space="preserve">Walker N, F.-W.C., Bryce J, Bahl R, Cousens S, </w:t>
      </w:r>
      <w:r w:rsidRPr="00E62392">
        <w:rPr>
          <w:i/>
          <w:noProof/>
          <w:lang w:val="en-AU"/>
        </w:rPr>
        <w:t>Standards for CHERG Reviews of Intervention Effects on Child Survival.</w:t>
      </w:r>
      <w:r>
        <w:rPr>
          <w:noProof/>
          <w:lang w:val="en-AU"/>
        </w:rPr>
        <w:t xml:space="preserve"> International Journal of Epidemiology 2010(39(suppl 1)): p. i21-31.</w:t>
      </w:r>
      <w:bookmarkEnd w:id="143"/>
    </w:p>
    <w:p w14:paraId="19F84461" w14:textId="77777777" w:rsidR="00E62392" w:rsidRDefault="00E62392" w:rsidP="00E62392">
      <w:pPr>
        <w:ind w:left="720" w:hanging="720"/>
        <w:rPr>
          <w:noProof/>
          <w:lang w:val="en-AU"/>
        </w:rPr>
      </w:pPr>
      <w:bookmarkStart w:id="144" w:name="_ENREF_14"/>
      <w:r>
        <w:rPr>
          <w:noProof/>
          <w:lang w:val="en-AU"/>
        </w:rPr>
        <w:t>14.</w:t>
      </w:r>
      <w:r>
        <w:rPr>
          <w:noProof/>
          <w:lang w:val="en-AU"/>
        </w:rPr>
        <w:tab/>
        <w:t xml:space="preserve">Rudan I, K.L., Tomlinson M, Balliet M, Cohen B, et al., </w:t>
      </w:r>
      <w:r w:rsidRPr="00E62392">
        <w:rPr>
          <w:i/>
          <w:noProof/>
          <w:lang w:val="en-AU"/>
        </w:rPr>
        <w:t>Evidence-Based Priority Setting for Health Care and Research: Tools to Support Policy in Maternal, Neonatal, and Child Health in Africa.</w:t>
      </w:r>
      <w:r>
        <w:rPr>
          <w:noProof/>
          <w:lang w:val="en-AU"/>
        </w:rPr>
        <w:t xml:space="preserve"> PLoS Med., 2010(7(7)): p. e1000308.</w:t>
      </w:r>
      <w:bookmarkEnd w:id="144"/>
    </w:p>
    <w:p w14:paraId="2A59586F" w14:textId="77777777" w:rsidR="00E62392" w:rsidRDefault="00E62392" w:rsidP="00E62392">
      <w:pPr>
        <w:ind w:left="720" w:hanging="720"/>
        <w:rPr>
          <w:noProof/>
          <w:lang w:val="en-AU"/>
        </w:rPr>
      </w:pPr>
      <w:bookmarkStart w:id="145" w:name="_ENREF_15"/>
      <w:r>
        <w:rPr>
          <w:noProof/>
          <w:lang w:val="en-AU"/>
        </w:rPr>
        <w:t>15.</w:t>
      </w:r>
      <w:r>
        <w:rPr>
          <w:noProof/>
          <w:lang w:val="en-AU"/>
        </w:rPr>
        <w:tab/>
        <w:t xml:space="preserve">Jimenez Soto E, L.V.S., Clark A, Firth S, Morgan A, et al. , </w:t>
      </w:r>
      <w:r w:rsidRPr="00E62392">
        <w:rPr>
          <w:i/>
          <w:noProof/>
          <w:lang w:val="en-AU"/>
        </w:rPr>
        <w:t>Developing and Costing Local Strategies to Improve Maternal and Child Health: The Investment Case Framework.</w:t>
      </w:r>
      <w:r>
        <w:rPr>
          <w:noProof/>
          <w:lang w:val="en-AU"/>
        </w:rPr>
        <w:t xml:space="preserve"> PLoS Med . 2012(9(8)): p. e1001282.</w:t>
      </w:r>
      <w:bookmarkEnd w:id="145"/>
    </w:p>
    <w:p w14:paraId="3C72B8A0" w14:textId="68FF6F2F" w:rsidR="00E62392" w:rsidRDefault="00E62392" w:rsidP="00E62392">
      <w:pPr>
        <w:rPr>
          <w:noProof/>
          <w:lang w:val="en-AU"/>
        </w:rPr>
      </w:pPr>
    </w:p>
    <w:p w14:paraId="7781F216" w14:textId="37727156" w:rsidR="00AC72B8" w:rsidRPr="00E27200" w:rsidRDefault="006D4F4F" w:rsidP="00E16C77">
      <w:pPr>
        <w:ind w:left="720" w:hanging="720"/>
        <w:rPr>
          <w:noProof/>
          <w:lang w:val="en-AU"/>
        </w:rPr>
      </w:pPr>
      <w:r w:rsidRPr="00E27200">
        <w:rPr>
          <w:lang w:val="en-AU"/>
        </w:rPr>
        <w:fldChar w:fldCharType="end"/>
      </w:r>
    </w:p>
    <w:p w14:paraId="2E43AA8D" w14:textId="77777777" w:rsidR="00AC72B8" w:rsidRPr="00E27200" w:rsidRDefault="00AC72B8" w:rsidP="00E16C77">
      <w:pPr>
        <w:pStyle w:val="Heading2"/>
      </w:pPr>
      <w:bookmarkStart w:id="146" w:name="_Toc239058968"/>
      <w:bookmarkStart w:id="147" w:name="_Toc239324161"/>
      <w:bookmarkStart w:id="148" w:name="_Toc245620957"/>
      <w:bookmarkStart w:id="149" w:name="_Toc245621445"/>
      <w:bookmarkStart w:id="150" w:name="_Toc245810772"/>
      <w:r w:rsidRPr="00E27200">
        <w:t>Selected Documents used in Year One</w:t>
      </w:r>
      <w:bookmarkEnd w:id="146"/>
      <w:bookmarkEnd w:id="147"/>
      <w:bookmarkEnd w:id="148"/>
      <w:bookmarkEnd w:id="149"/>
      <w:bookmarkEnd w:id="150"/>
    </w:p>
    <w:p w14:paraId="74F2A528" w14:textId="28971E63" w:rsidR="00AC72B8" w:rsidRPr="00E27200" w:rsidRDefault="00AC72B8" w:rsidP="00AD3F80">
      <w:pPr>
        <w:pStyle w:val="ListParagraph"/>
        <w:numPr>
          <w:ilvl w:val="0"/>
          <w:numId w:val="11"/>
        </w:numPr>
        <w:ind w:left="426"/>
        <w:rPr>
          <w:lang w:val="en-AU"/>
        </w:rPr>
      </w:pPr>
      <w:r w:rsidRPr="00E27200">
        <w:rPr>
          <w:lang w:val="en-AU"/>
        </w:rPr>
        <w:t>PNG Health System Capacity Development Program: Design and Implementation Framework, 2011, Australian Government: Australia.</w:t>
      </w:r>
    </w:p>
    <w:p w14:paraId="5331DB64" w14:textId="77777777" w:rsidR="00AC72B8" w:rsidRPr="00E27200" w:rsidRDefault="00AC72B8" w:rsidP="00AD3F80">
      <w:pPr>
        <w:pStyle w:val="ListParagraph"/>
        <w:numPr>
          <w:ilvl w:val="0"/>
          <w:numId w:val="11"/>
        </w:numPr>
        <w:ind w:left="426"/>
        <w:rPr>
          <w:lang w:val="en-AU"/>
        </w:rPr>
      </w:pPr>
      <w:proofErr w:type="spellStart"/>
      <w:r w:rsidRPr="00E27200">
        <w:rPr>
          <w:lang w:val="en-AU"/>
        </w:rPr>
        <w:t>Baghdada-Sabeti</w:t>
      </w:r>
      <w:proofErr w:type="spellEnd"/>
      <w:r w:rsidRPr="00E27200">
        <w:rPr>
          <w:lang w:val="en-AU"/>
        </w:rPr>
        <w:t xml:space="preserve">, G., J. Cohen-Kohler, and E. </w:t>
      </w:r>
      <w:proofErr w:type="spellStart"/>
      <w:r w:rsidRPr="00E27200">
        <w:rPr>
          <w:lang w:val="en-AU"/>
        </w:rPr>
        <w:t>Wondemagegnehu</w:t>
      </w:r>
      <w:proofErr w:type="spellEnd"/>
      <w:r w:rsidRPr="00E27200">
        <w:rPr>
          <w:lang w:val="en-AU"/>
        </w:rPr>
        <w:t>, Measuring Transparency in the Public Pharmaceutical Sector Assessment Instrument, 2009: Geneva.</w:t>
      </w:r>
    </w:p>
    <w:p w14:paraId="3ABA5C1A" w14:textId="77777777" w:rsidR="00AC72B8" w:rsidRPr="00E27200" w:rsidRDefault="00AC72B8" w:rsidP="00AD3F80">
      <w:pPr>
        <w:pStyle w:val="ListParagraph"/>
        <w:numPr>
          <w:ilvl w:val="0"/>
          <w:numId w:val="11"/>
        </w:numPr>
        <w:ind w:left="426"/>
        <w:rPr>
          <w:lang w:val="en-AU"/>
        </w:rPr>
      </w:pPr>
      <w:r w:rsidRPr="00E27200">
        <w:rPr>
          <w:lang w:val="en-AU"/>
        </w:rPr>
        <w:t>Baker, J. and G. Robins, Papua New Guinea: Support for Public Expenditure Review and Rationalization, 2008, PDP Australia: Australia.</w:t>
      </w:r>
    </w:p>
    <w:p w14:paraId="1A6C23F2" w14:textId="77777777" w:rsidR="00AC72B8" w:rsidRPr="00E27200" w:rsidRDefault="00AC72B8" w:rsidP="00AD3F80">
      <w:pPr>
        <w:pStyle w:val="ListParagraph"/>
        <w:numPr>
          <w:ilvl w:val="0"/>
          <w:numId w:val="11"/>
        </w:numPr>
        <w:ind w:left="426"/>
        <w:rPr>
          <w:lang w:val="en-AU"/>
        </w:rPr>
      </w:pPr>
      <w:proofErr w:type="spellStart"/>
      <w:r w:rsidRPr="00E27200">
        <w:rPr>
          <w:lang w:val="en-AU"/>
        </w:rPr>
        <w:t>Bauze</w:t>
      </w:r>
      <w:proofErr w:type="spellEnd"/>
      <w:r w:rsidRPr="00E27200">
        <w:rPr>
          <w:lang w:val="en-AU"/>
        </w:rPr>
        <w:t xml:space="preserve">, A.E., et al., Equity and geography: the case of child mortality in Papua New Guinea. </w:t>
      </w:r>
      <w:proofErr w:type="spellStart"/>
      <w:r w:rsidRPr="00E27200">
        <w:rPr>
          <w:lang w:val="en-AU"/>
        </w:rPr>
        <w:t>PLoS</w:t>
      </w:r>
      <w:proofErr w:type="spellEnd"/>
      <w:r w:rsidRPr="00E27200">
        <w:rPr>
          <w:lang w:val="en-AU"/>
        </w:rPr>
        <w:t xml:space="preserve"> One, 2012. 7(5): p. e37861.</w:t>
      </w:r>
    </w:p>
    <w:p w14:paraId="41ABADDE" w14:textId="77777777" w:rsidR="00AC72B8" w:rsidRPr="00E27200" w:rsidRDefault="00AC72B8" w:rsidP="00AD3F80">
      <w:pPr>
        <w:pStyle w:val="ListParagraph"/>
        <w:numPr>
          <w:ilvl w:val="0"/>
          <w:numId w:val="11"/>
        </w:numPr>
        <w:ind w:left="426"/>
        <w:rPr>
          <w:lang w:val="en-AU"/>
        </w:rPr>
      </w:pPr>
      <w:proofErr w:type="spellStart"/>
      <w:r w:rsidRPr="00E27200">
        <w:rPr>
          <w:lang w:val="en-AU"/>
        </w:rPr>
        <w:t>Brudon</w:t>
      </w:r>
      <w:proofErr w:type="spellEnd"/>
      <w:r w:rsidRPr="00E27200">
        <w:rPr>
          <w:lang w:val="en-AU"/>
        </w:rPr>
        <w:t xml:space="preserve">, P., J.-D. </w:t>
      </w:r>
      <w:proofErr w:type="spellStart"/>
      <w:r w:rsidRPr="00E27200">
        <w:rPr>
          <w:lang w:val="en-AU"/>
        </w:rPr>
        <w:t>Rainhorn</w:t>
      </w:r>
      <w:proofErr w:type="spellEnd"/>
      <w:r w:rsidRPr="00E27200">
        <w:rPr>
          <w:lang w:val="en-AU"/>
        </w:rPr>
        <w:t>, and M.R. Reich, Indicators for monitoring national drug policies, 1999, World Health Organization: Geneva.</w:t>
      </w:r>
    </w:p>
    <w:p w14:paraId="7239E4E7" w14:textId="77777777" w:rsidR="00AC72B8" w:rsidRPr="00E27200" w:rsidRDefault="00AC72B8" w:rsidP="00AD3F80">
      <w:pPr>
        <w:pStyle w:val="ListParagraph"/>
        <w:numPr>
          <w:ilvl w:val="0"/>
          <w:numId w:val="11"/>
        </w:numPr>
        <w:ind w:left="426"/>
        <w:rPr>
          <w:lang w:val="en-AU"/>
        </w:rPr>
      </w:pPr>
      <w:proofErr w:type="spellStart"/>
      <w:r w:rsidRPr="00E27200">
        <w:rPr>
          <w:lang w:val="en-AU"/>
        </w:rPr>
        <w:t>Cammack</w:t>
      </w:r>
      <w:proofErr w:type="spellEnd"/>
      <w:r w:rsidRPr="00E27200">
        <w:rPr>
          <w:lang w:val="en-AU"/>
        </w:rPr>
        <w:t>, D., Chronic Poverty in Papua New Guinea, 2008, Chronic Poverty Research Centre: United Kingdom.</w:t>
      </w:r>
    </w:p>
    <w:p w14:paraId="320F6828" w14:textId="77777777" w:rsidR="00AC72B8" w:rsidRPr="00E27200" w:rsidRDefault="00AC72B8" w:rsidP="00AD3F80">
      <w:pPr>
        <w:pStyle w:val="ListParagraph"/>
        <w:numPr>
          <w:ilvl w:val="0"/>
          <w:numId w:val="11"/>
        </w:numPr>
        <w:ind w:left="426"/>
        <w:rPr>
          <w:lang w:val="en-AU"/>
        </w:rPr>
      </w:pPr>
      <w:r w:rsidRPr="00E27200">
        <w:rPr>
          <w:lang w:val="en-AU"/>
        </w:rPr>
        <w:lastRenderedPageBreak/>
        <w:t>Central Operations Services Unit, Papua New Guinea Country Procurement Assessment Report, 2006, World Bank.</w:t>
      </w:r>
    </w:p>
    <w:p w14:paraId="141B9249" w14:textId="77777777" w:rsidR="00AC72B8" w:rsidRPr="00E27200" w:rsidRDefault="00AC72B8" w:rsidP="00AD3F80">
      <w:pPr>
        <w:pStyle w:val="ListParagraph"/>
        <w:numPr>
          <w:ilvl w:val="0"/>
          <w:numId w:val="11"/>
        </w:numPr>
        <w:ind w:left="426"/>
        <w:rPr>
          <w:lang w:val="en-AU"/>
        </w:rPr>
      </w:pPr>
      <w:r w:rsidRPr="00E27200">
        <w:rPr>
          <w:lang w:val="en-AU"/>
        </w:rPr>
        <w:t>Central Supply and Tenders Board, PNG Procurement assessment report: using the OECD-DAC methodology for assessing procurement systems, 2010: Papua New Guinea.</w:t>
      </w:r>
    </w:p>
    <w:p w14:paraId="00C7C680" w14:textId="77777777" w:rsidR="00AC72B8" w:rsidRPr="00E27200" w:rsidRDefault="00AC72B8" w:rsidP="00AD3F80">
      <w:pPr>
        <w:pStyle w:val="ListParagraph"/>
        <w:numPr>
          <w:ilvl w:val="0"/>
          <w:numId w:val="11"/>
        </w:numPr>
        <w:ind w:left="426"/>
        <w:rPr>
          <w:lang w:val="en-AU"/>
        </w:rPr>
      </w:pPr>
      <w:r w:rsidRPr="00E27200">
        <w:rPr>
          <w:lang w:val="en-AU"/>
        </w:rPr>
        <w:t>Charles Kendall and Partners, Assessment of government partner procurement capability and capacity, and associated procurement risk; Final assessment report, 2011, Charles Kendall and Partners.</w:t>
      </w:r>
    </w:p>
    <w:p w14:paraId="0B16D706" w14:textId="77777777" w:rsidR="00AC72B8" w:rsidRPr="00E27200" w:rsidRDefault="00AC72B8" w:rsidP="00AD3F80">
      <w:pPr>
        <w:pStyle w:val="ListParagraph"/>
        <w:numPr>
          <w:ilvl w:val="0"/>
          <w:numId w:val="11"/>
        </w:numPr>
        <w:ind w:left="426"/>
        <w:rPr>
          <w:lang w:val="en-AU"/>
        </w:rPr>
      </w:pPr>
      <w:proofErr w:type="spellStart"/>
      <w:r w:rsidRPr="00E27200">
        <w:rPr>
          <w:lang w:val="en-AU"/>
        </w:rPr>
        <w:t>Chokshi</w:t>
      </w:r>
      <w:proofErr w:type="spellEnd"/>
      <w:r w:rsidRPr="00E27200">
        <w:rPr>
          <w:lang w:val="en-AU"/>
        </w:rPr>
        <w:t xml:space="preserve">, M., Tamil Nadu Public Drug Procurement Model, 2009: New </w:t>
      </w:r>
      <w:proofErr w:type="spellStart"/>
      <w:r w:rsidRPr="00E27200">
        <w:rPr>
          <w:lang w:val="en-AU"/>
        </w:rPr>
        <w:t>Dehli</w:t>
      </w:r>
      <w:proofErr w:type="spellEnd"/>
      <w:r w:rsidRPr="00E27200">
        <w:rPr>
          <w:lang w:val="en-AU"/>
        </w:rPr>
        <w:t>.</w:t>
      </w:r>
    </w:p>
    <w:p w14:paraId="0643AF57" w14:textId="77777777" w:rsidR="00AC72B8" w:rsidRPr="00E27200" w:rsidRDefault="00AC72B8" w:rsidP="00AD3F80">
      <w:pPr>
        <w:pStyle w:val="ListParagraph"/>
        <w:numPr>
          <w:ilvl w:val="0"/>
          <w:numId w:val="11"/>
        </w:numPr>
        <w:ind w:left="426"/>
        <w:rPr>
          <w:lang w:val="en-AU"/>
        </w:rPr>
      </w:pPr>
      <w:r w:rsidRPr="00E27200">
        <w:rPr>
          <w:lang w:val="en-AU"/>
        </w:rPr>
        <w:t xml:space="preserve">Filed, P., J. Hudson, and G. </w:t>
      </w:r>
      <w:proofErr w:type="spellStart"/>
      <w:r w:rsidRPr="00E27200">
        <w:rPr>
          <w:lang w:val="en-AU"/>
        </w:rPr>
        <w:t>Yeime</w:t>
      </w:r>
      <w:proofErr w:type="spellEnd"/>
      <w:r w:rsidRPr="00E27200">
        <w:rPr>
          <w:lang w:val="en-AU"/>
        </w:rPr>
        <w:t xml:space="preserve">, Medical Supplies and Drug Management Standard Operating Procedure, Training Attachment and </w:t>
      </w:r>
      <w:proofErr w:type="spellStart"/>
      <w:r w:rsidRPr="00E27200">
        <w:rPr>
          <w:lang w:val="en-AU"/>
        </w:rPr>
        <w:t>Moudles</w:t>
      </w:r>
      <w:proofErr w:type="spellEnd"/>
      <w:r w:rsidRPr="00E27200">
        <w:rPr>
          <w:lang w:val="en-AU"/>
        </w:rPr>
        <w:t>, 2008, Department of health, Papua New Guinea Government: Papua New Guinea.</w:t>
      </w:r>
    </w:p>
    <w:p w14:paraId="6DAA5762" w14:textId="77777777" w:rsidR="00AC72B8" w:rsidRPr="00E27200" w:rsidRDefault="00AC72B8" w:rsidP="00AD3F80">
      <w:pPr>
        <w:pStyle w:val="ListParagraph"/>
        <w:numPr>
          <w:ilvl w:val="0"/>
          <w:numId w:val="11"/>
        </w:numPr>
        <w:ind w:left="426"/>
        <w:rPr>
          <w:lang w:val="en-AU"/>
        </w:rPr>
      </w:pPr>
      <w:r w:rsidRPr="00E27200">
        <w:rPr>
          <w:lang w:val="en-AU"/>
        </w:rPr>
        <w:t xml:space="preserve">Gibson, J., G. </w:t>
      </w:r>
      <w:proofErr w:type="spellStart"/>
      <w:r w:rsidRPr="00E27200">
        <w:rPr>
          <w:lang w:val="en-AU"/>
        </w:rPr>
        <w:t>Datt</w:t>
      </w:r>
      <w:proofErr w:type="spellEnd"/>
      <w:r w:rsidRPr="00E27200">
        <w:rPr>
          <w:lang w:val="en-AU"/>
        </w:rPr>
        <w:t>, and B. Allen, Mapping Poverty in Rural Papua New Guinea, 2004.</w:t>
      </w:r>
    </w:p>
    <w:p w14:paraId="3AE74AB1" w14:textId="77777777" w:rsidR="00AC72B8" w:rsidRPr="00E27200" w:rsidRDefault="00AC72B8" w:rsidP="00AD3F80">
      <w:pPr>
        <w:pStyle w:val="ListParagraph"/>
        <w:numPr>
          <w:ilvl w:val="0"/>
          <w:numId w:val="11"/>
        </w:numPr>
        <w:ind w:left="426"/>
        <w:rPr>
          <w:lang w:val="en-AU"/>
        </w:rPr>
      </w:pPr>
      <w:proofErr w:type="spellStart"/>
      <w:r w:rsidRPr="00E27200">
        <w:rPr>
          <w:lang w:val="en-AU"/>
        </w:rPr>
        <w:t>Hardon</w:t>
      </w:r>
      <w:proofErr w:type="spellEnd"/>
      <w:r w:rsidRPr="00E27200">
        <w:rPr>
          <w:lang w:val="en-AU"/>
        </w:rPr>
        <w:t xml:space="preserve">, A., C. Hodgkin, and D. </w:t>
      </w:r>
      <w:proofErr w:type="spellStart"/>
      <w:r w:rsidRPr="00E27200">
        <w:rPr>
          <w:lang w:val="en-AU"/>
        </w:rPr>
        <w:t>Fresle</w:t>
      </w:r>
      <w:proofErr w:type="spellEnd"/>
      <w:r w:rsidRPr="00E27200">
        <w:rPr>
          <w:lang w:val="en-AU"/>
        </w:rPr>
        <w:t>, How to investigate the use of medicines by consumers, 2004, World Health Organization: Geneva.</w:t>
      </w:r>
    </w:p>
    <w:p w14:paraId="562942BD" w14:textId="77777777" w:rsidR="00AC72B8" w:rsidRPr="00E27200" w:rsidRDefault="00AC72B8" w:rsidP="00AD3F80">
      <w:pPr>
        <w:pStyle w:val="ListParagraph"/>
        <w:numPr>
          <w:ilvl w:val="0"/>
          <w:numId w:val="11"/>
        </w:numPr>
        <w:ind w:left="426"/>
        <w:rPr>
          <w:lang w:val="en-AU"/>
        </w:rPr>
      </w:pPr>
      <w:proofErr w:type="spellStart"/>
      <w:r w:rsidRPr="00E27200">
        <w:rPr>
          <w:lang w:val="en-AU"/>
        </w:rPr>
        <w:t>Hollaway</w:t>
      </w:r>
      <w:proofErr w:type="spellEnd"/>
      <w:r w:rsidRPr="00E27200">
        <w:rPr>
          <w:lang w:val="en-AU"/>
        </w:rPr>
        <w:t>, K.A., et al., have we improved use of medicines in developing and transitional countries and do we know how to? Two decades of evidence. Tropical medicine and international health, 2013. 18(6): p. 656-64.</w:t>
      </w:r>
    </w:p>
    <w:p w14:paraId="07F22FB8" w14:textId="77777777" w:rsidR="00AC72B8" w:rsidRPr="00E27200" w:rsidRDefault="00AC72B8" w:rsidP="00AD3F80">
      <w:pPr>
        <w:pStyle w:val="ListParagraph"/>
        <w:numPr>
          <w:ilvl w:val="0"/>
          <w:numId w:val="11"/>
        </w:numPr>
        <w:ind w:left="426"/>
        <w:rPr>
          <w:lang w:val="en-AU"/>
        </w:rPr>
      </w:pPr>
      <w:proofErr w:type="spellStart"/>
      <w:r w:rsidRPr="00E27200">
        <w:rPr>
          <w:lang w:val="en-AU"/>
        </w:rPr>
        <w:t>Inder</w:t>
      </w:r>
      <w:proofErr w:type="spellEnd"/>
      <w:r w:rsidRPr="00E27200">
        <w:rPr>
          <w:lang w:val="en-AU"/>
        </w:rPr>
        <w:t xml:space="preserve">, B., et al., Papua New Guinea: </w:t>
      </w:r>
      <w:proofErr w:type="spellStart"/>
      <w:r w:rsidRPr="00E27200">
        <w:rPr>
          <w:lang w:val="en-AU"/>
        </w:rPr>
        <w:t>Modeling</w:t>
      </w:r>
      <w:proofErr w:type="spellEnd"/>
      <w:r w:rsidRPr="00E27200">
        <w:rPr>
          <w:lang w:val="en-AU"/>
        </w:rPr>
        <w:t xml:space="preserve"> costs and efficiency of primary health care services in Papua New Guinea, 2009, Monash University: Australia.</w:t>
      </w:r>
    </w:p>
    <w:p w14:paraId="711D5E43" w14:textId="77777777" w:rsidR="00AC72B8" w:rsidRPr="00E27200" w:rsidRDefault="00AC72B8" w:rsidP="00AD3F80">
      <w:pPr>
        <w:pStyle w:val="ListParagraph"/>
        <w:numPr>
          <w:ilvl w:val="0"/>
          <w:numId w:val="11"/>
        </w:numPr>
        <w:ind w:left="426"/>
        <w:rPr>
          <w:lang w:val="en-AU"/>
        </w:rPr>
      </w:pPr>
      <w:r w:rsidRPr="00E27200">
        <w:rPr>
          <w:lang w:val="en-AU"/>
        </w:rPr>
        <w:t xml:space="preserve">John Snow </w:t>
      </w:r>
      <w:proofErr w:type="spellStart"/>
      <w:r w:rsidRPr="00E27200">
        <w:rPr>
          <w:lang w:val="en-AU"/>
        </w:rPr>
        <w:t>Inc</w:t>
      </w:r>
      <w:proofErr w:type="spellEnd"/>
      <w:r w:rsidRPr="00E27200">
        <w:rPr>
          <w:lang w:val="en-AU"/>
        </w:rPr>
        <w:t xml:space="preserve">, Getting products to people: The JSI Framework for Integrated Supply Chain Management in Public Health, 2012, John Snow </w:t>
      </w:r>
      <w:proofErr w:type="spellStart"/>
      <w:r w:rsidRPr="00E27200">
        <w:rPr>
          <w:lang w:val="en-AU"/>
        </w:rPr>
        <w:t>Inc</w:t>
      </w:r>
      <w:proofErr w:type="spellEnd"/>
      <w:r w:rsidRPr="00E27200">
        <w:rPr>
          <w:lang w:val="en-AU"/>
        </w:rPr>
        <w:t>: USA.</w:t>
      </w:r>
    </w:p>
    <w:p w14:paraId="0EB627EE" w14:textId="77777777" w:rsidR="00AC72B8" w:rsidRPr="00E27200" w:rsidRDefault="00AC72B8" w:rsidP="00AD3F80">
      <w:pPr>
        <w:pStyle w:val="ListParagraph"/>
        <w:numPr>
          <w:ilvl w:val="0"/>
          <w:numId w:val="11"/>
        </w:numPr>
        <w:ind w:left="426"/>
        <w:rPr>
          <w:lang w:val="en-AU"/>
        </w:rPr>
      </w:pPr>
      <w:r w:rsidRPr="00E27200">
        <w:rPr>
          <w:lang w:val="en-AU"/>
        </w:rPr>
        <w:t xml:space="preserve">Kaplan, W. and M. </w:t>
      </w:r>
      <w:proofErr w:type="spellStart"/>
      <w:r w:rsidRPr="00E27200">
        <w:rPr>
          <w:lang w:val="en-AU"/>
        </w:rPr>
        <w:t>Mathers</w:t>
      </w:r>
      <w:proofErr w:type="spellEnd"/>
      <w:r w:rsidRPr="00E27200">
        <w:rPr>
          <w:lang w:val="en-AU"/>
        </w:rPr>
        <w:t>, The World Medicines Situation Report 2011, 2011, World Health Organization: Geneva.</w:t>
      </w:r>
    </w:p>
    <w:p w14:paraId="7D268509" w14:textId="77777777" w:rsidR="00AC72B8" w:rsidRPr="00E27200" w:rsidRDefault="00AC72B8" w:rsidP="00AD3F80">
      <w:pPr>
        <w:pStyle w:val="ListParagraph"/>
        <w:numPr>
          <w:ilvl w:val="0"/>
          <w:numId w:val="11"/>
        </w:numPr>
        <w:ind w:left="426"/>
        <w:rPr>
          <w:lang w:val="en-AU"/>
        </w:rPr>
      </w:pPr>
      <w:r w:rsidRPr="00E27200">
        <w:rPr>
          <w:lang w:val="en-AU"/>
        </w:rPr>
        <w:t xml:space="preserve">Matai, S., et al., Implementing </w:t>
      </w:r>
      <w:proofErr w:type="gramStart"/>
      <w:r w:rsidRPr="00E27200">
        <w:rPr>
          <w:lang w:val="en-AU"/>
        </w:rPr>
        <w:t>an oxygen</w:t>
      </w:r>
      <w:proofErr w:type="gramEnd"/>
      <w:r w:rsidRPr="00E27200">
        <w:rPr>
          <w:lang w:val="en-AU"/>
        </w:rPr>
        <w:t xml:space="preserve"> programme in hospitals in Papua New Guinea. Ann Trop </w:t>
      </w:r>
      <w:proofErr w:type="spellStart"/>
      <w:r w:rsidRPr="00E27200">
        <w:rPr>
          <w:lang w:val="en-AU"/>
        </w:rPr>
        <w:t>Paediatr</w:t>
      </w:r>
      <w:proofErr w:type="spellEnd"/>
      <w:r w:rsidRPr="00E27200">
        <w:rPr>
          <w:lang w:val="en-AU"/>
        </w:rPr>
        <w:t>, 2008. 28(1): p. 71-8.</w:t>
      </w:r>
    </w:p>
    <w:p w14:paraId="49CAB796" w14:textId="77777777" w:rsidR="00AC72B8" w:rsidRPr="00E27200" w:rsidRDefault="00AC72B8" w:rsidP="00AD3F80">
      <w:pPr>
        <w:pStyle w:val="ListParagraph"/>
        <w:numPr>
          <w:ilvl w:val="0"/>
          <w:numId w:val="11"/>
        </w:numPr>
        <w:ind w:left="426"/>
        <w:rPr>
          <w:lang w:val="en-AU"/>
        </w:rPr>
      </w:pPr>
      <w:r w:rsidRPr="00E27200">
        <w:rPr>
          <w:lang w:val="en-AU"/>
        </w:rPr>
        <w:t>McNee, A., Medical supplies reform in Papua New Guinea: Some conceptual and historical lessons, 2011, Australian National University: Australia.</w:t>
      </w:r>
    </w:p>
    <w:p w14:paraId="00F1BF27" w14:textId="77777777" w:rsidR="00AC72B8" w:rsidRPr="00E27200" w:rsidRDefault="00AC72B8" w:rsidP="00AD3F80">
      <w:pPr>
        <w:pStyle w:val="ListParagraph"/>
        <w:numPr>
          <w:ilvl w:val="0"/>
          <w:numId w:val="11"/>
        </w:numPr>
        <w:ind w:left="426"/>
        <w:rPr>
          <w:lang w:val="en-AU"/>
        </w:rPr>
      </w:pPr>
      <w:r w:rsidRPr="00E27200">
        <w:rPr>
          <w:lang w:val="en-AU"/>
        </w:rPr>
        <w:t xml:space="preserve">Ministerial Task Force on Medical Supplies, Medical Supplies Technical Review Mission, Report on Key Findings and Recommendations, 2008, </w:t>
      </w:r>
      <w:proofErr w:type="spellStart"/>
      <w:r w:rsidRPr="00E27200">
        <w:rPr>
          <w:lang w:val="en-AU"/>
        </w:rPr>
        <w:t>MInistry</w:t>
      </w:r>
      <w:proofErr w:type="spellEnd"/>
      <w:r w:rsidRPr="00E27200">
        <w:rPr>
          <w:lang w:val="en-AU"/>
        </w:rPr>
        <w:t xml:space="preserve"> of Health: Port Moresby.</w:t>
      </w:r>
    </w:p>
    <w:p w14:paraId="553EDD7C" w14:textId="77777777" w:rsidR="00AC72B8" w:rsidRPr="00E27200" w:rsidRDefault="00AC72B8" w:rsidP="00AD3F80">
      <w:pPr>
        <w:pStyle w:val="ListParagraph"/>
        <w:numPr>
          <w:ilvl w:val="0"/>
          <w:numId w:val="11"/>
        </w:numPr>
        <w:ind w:left="426"/>
        <w:rPr>
          <w:lang w:val="en-AU"/>
        </w:rPr>
      </w:pPr>
      <w:r w:rsidRPr="00E27200">
        <w:rPr>
          <w:lang w:val="en-AU"/>
        </w:rPr>
        <w:t>Ministry of Health, Papua New Guinea Pharmaceutical Country Profile, 2012, Government of Papua New Guinea: Papua New Guinea.</w:t>
      </w:r>
    </w:p>
    <w:p w14:paraId="67C3BF3A" w14:textId="77777777" w:rsidR="00AC72B8" w:rsidRPr="00E27200" w:rsidRDefault="00AC72B8" w:rsidP="00AD3F80">
      <w:pPr>
        <w:pStyle w:val="ListParagraph"/>
        <w:numPr>
          <w:ilvl w:val="0"/>
          <w:numId w:val="11"/>
        </w:numPr>
        <w:ind w:left="426"/>
        <w:rPr>
          <w:lang w:val="en-AU"/>
        </w:rPr>
      </w:pPr>
      <w:r w:rsidRPr="00E27200">
        <w:rPr>
          <w:lang w:val="en-AU"/>
        </w:rPr>
        <w:t xml:space="preserve">Nair, A., et al., Are counterfeit or substandard anti-infective products the cause of treatment failure in Papua New Guinea? J Pharm </w:t>
      </w:r>
      <w:proofErr w:type="spellStart"/>
      <w:r w:rsidRPr="00E27200">
        <w:rPr>
          <w:lang w:val="en-AU"/>
        </w:rPr>
        <w:t>Sci</w:t>
      </w:r>
      <w:proofErr w:type="spellEnd"/>
      <w:r w:rsidRPr="00E27200">
        <w:rPr>
          <w:lang w:val="en-AU"/>
        </w:rPr>
        <w:t>, 2011. 100(11): p. 5059-68.</w:t>
      </w:r>
    </w:p>
    <w:p w14:paraId="5B8C0FED" w14:textId="77777777" w:rsidR="00AC72B8" w:rsidRPr="00E27200" w:rsidRDefault="00AC72B8" w:rsidP="00AD3F80">
      <w:pPr>
        <w:pStyle w:val="ListParagraph"/>
        <w:numPr>
          <w:ilvl w:val="0"/>
          <w:numId w:val="11"/>
        </w:numPr>
        <w:ind w:left="426"/>
        <w:rPr>
          <w:lang w:val="en-AU"/>
        </w:rPr>
      </w:pPr>
      <w:r w:rsidRPr="00E27200">
        <w:rPr>
          <w:lang w:val="en-AU"/>
        </w:rPr>
        <w:t>National Department of Health, Ministerial Taskforce on Maternal Health in Papua New Guinea, 2009: Papua New Guinea.</w:t>
      </w:r>
    </w:p>
    <w:p w14:paraId="274BDA9B" w14:textId="77777777" w:rsidR="00AC72B8" w:rsidRPr="00E27200" w:rsidRDefault="00AC72B8" w:rsidP="00AD3F80">
      <w:pPr>
        <w:pStyle w:val="ListParagraph"/>
        <w:numPr>
          <w:ilvl w:val="0"/>
          <w:numId w:val="11"/>
        </w:numPr>
        <w:ind w:left="426"/>
        <w:rPr>
          <w:lang w:val="en-AU"/>
        </w:rPr>
      </w:pPr>
      <w:r w:rsidRPr="00E27200">
        <w:rPr>
          <w:lang w:val="en-AU"/>
        </w:rPr>
        <w:t>National Department of Health Papua New Guinea, National Health Plan 2011-2020, Policies and Strategies, 2010, Government of Papua New Guinea: Papua New Guinea.</w:t>
      </w:r>
    </w:p>
    <w:p w14:paraId="240E282E" w14:textId="24FAC337" w:rsidR="00AC72B8" w:rsidRPr="00E27200" w:rsidRDefault="00AC72B8" w:rsidP="00AD3F80">
      <w:pPr>
        <w:pStyle w:val="ListParagraph"/>
        <w:numPr>
          <w:ilvl w:val="0"/>
          <w:numId w:val="11"/>
        </w:numPr>
        <w:ind w:left="426"/>
        <w:rPr>
          <w:lang w:val="en-AU"/>
        </w:rPr>
      </w:pPr>
      <w:r w:rsidRPr="00E27200">
        <w:rPr>
          <w:lang w:val="en-AU"/>
        </w:rPr>
        <w:t>National Department of Health Papua New Guinea, Standard Treatment Guidelines for Adults. 6</w:t>
      </w:r>
      <w:r w:rsidR="009B3F32">
        <w:rPr>
          <w:lang w:val="en-AU"/>
        </w:rPr>
        <w:t>th</w:t>
      </w:r>
      <w:r w:rsidRPr="00E27200">
        <w:rPr>
          <w:lang w:val="en-AU"/>
        </w:rPr>
        <w:t xml:space="preserve"> ed</w:t>
      </w:r>
      <w:r w:rsidR="009B3F32">
        <w:rPr>
          <w:lang w:val="en-AU"/>
        </w:rPr>
        <w:t>ition</w:t>
      </w:r>
      <w:r w:rsidRPr="00E27200">
        <w:rPr>
          <w:lang w:val="en-AU"/>
        </w:rPr>
        <w:t>, ed. W.H. Organization2012, Papua New Guinea: Government of Papua New Guinea.</w:t>
      </w:r>
    </w:p>
    <w:p w14:paraId="4E282535" w14:textId="77777777" w:rsidR="00AC72B8" w:rsidRPr="00E27200" w:rsidRDefault="00AC72B8" w:rsidP="00AD3F80">
      <w:pPr>
        <w:pStyle w:val="ListParagraph"/>
        <w:numPr>
          <w:ilvl w:val="0"/>
          <w:numId w:val="11"/>
        </w:numPr>
        <w:ind w:left="426"/>
        <w:rPr>
          <w:lang w:val="en-AU"/>
        </w:rPr>
      </w:pPr>
      <w:r w:rsidRPr="00E27200">
        <w:rPr>
          <w:lang w:val="en-AU"/>
        </w:rPr>
        <w:t>National Department of Health Papua New Guinea, Medical and dental catalogue. 10 ed2012, Papua New Guinea: Papua New Guinea Government.</w:t>
      </w:r>
    </w:p>
    <w:p w14:paraId="75283A71" w14:textId="77777777" w:rsidR="00AC72B8" w:rsidRPr="00E27200" w:rsidRDefault="00AC72B8" w:rsidP="00AD3F80">
      <w:pPr>
        <w:pStyle w:val="ListParagraph"/>
        <w:numPr>
          <w:ilvl w:val="0"/>
          <w:numId w:val="11"/>
        </w:numPr>
        <w:ind w:left="426"/>
        <w:rPr>
          <w:lang w:val="en-AU"/>
        </w:rPr>
      </w:pPr>
      <w:r w:rsidRPr="00E27200">
        <w:rPr>
          <w:lang w:val="en-AU"/>
        </w:rPr>
        <w:t>National Department of Health Papua New Guinea, National Medicines Formulary. 1 ed2012, Papua New Guinea: Papua New Guinea Government.</w:t>
      </w:r>
    </w:p>
    <w:p w14:paraId="2356F93D" w14:textId="77777777" w:rsidR="00AC72B8" w:rsidRPr="00E27200" w:rsidRDefault="00AC72B8" w:rsidP="00AD3F80">
      <w:pPr>
        <w:pStyle w:val="ListParagraph"/>
        <w:numPr>
          <w:ilvl w:val="0"/>
          <w:numId w:val="11"/>
        </w:numPr>
        <w:ind w:left="426"/>
        <w:rPr>
          <w:lang w:val="en-AU"/>
        </w:rPr>
      </w:pPr>
      <w:r w:rsidRPr="00E27200">
        <w:rPr>
          <w:lang w:val="en-AU"/>
        </w:rPr>
        <w:t>National Department of Health Papua New Guinea, The National Medicines Policy 2013, Draft of 15 July 2013, Papua New Guinea: Papua New Guinea Government.</w:t>
      </w:r>
    </w:p>
    <w:p w14:paraId="5AA45A1F" w14:textId="77777777" w:rsidR="00AC72B8" w:rsidRPr="00E27200" w:rsidRDefault="00AC72B8" w:rsidP="00AD3F80">
      <w:pPr>
        <w:pStyle w:val="ListParagraph"/>
        <w:numPr>
          <w:ilvl w:val="0"/>
          <w:numId w:val="11"/>
        </w:numPr>
        <w:ind w:left="426"/>
        <w:rPr>
          <w:lang w:val="en-AU"/>
        </w:rPr>
      </w:pPr>
      <w:r w:rsidRPr="00E27200">
        <w:rPr>
          <w:lang w:val="en-AU"/>
        </w:rPr>
        <w:t xml:space="preserve">National Department of Health Papua New Guinea, National health plan 2011-2020, 2013 Sector </w:t>
      </w:r>
      <w:proofErr w:type="spellStart"/>
      <w:r w:rsidRPr="00E27200">
        <w:rPr>
          <w:lang w:val="en-AU"/>
        </w:rPr>
        <w:t>Perormance</w:t>
      </w:r>
      <w:proofErr w:type="spellEnd"/>
      <w:r w:rsidRPr="00E27200">
        <w:rPr>
          <w:lang w:val="en-AU"/>
        </w:rPr>
        <w:t xml:space="preserve"> Annual Review, 2013, Government of Papua New Guinea: Papua New Guinea.</w:t>
      </w:r>
    </w:p>
    <w:p w14:paraId="6E22439B" w14:textId="77777777" w:rsidR="00AC72B8" w:rsidRPr="00E27200" w:rsidRDefault="00AC72B8" w:rsidP="00AD3F80">
      <w:pPr>
        <w:pStyle w:val="ListParagraph"/>
        <w:numPr>
          <w:ilvl w:val="0"/>
          <w:numId w:val="11"/>
        </w:numPr>
        <w:ind w:left="426"/>
        <w:rPr>
          <w:lang w:val="en-AU"/>
        </w:rPr>
      </w:pPr>
      <w:r w:rsidRPr="00E27200">
        <w:rPr>
          <w:lang w:val="en-AU"/>
        </w:rPr>
        <w:t>National Research Institute, Papua New Guinea District and Provincial Profiles, 2010: Papua New Guinea.</w:t>
      </w:r>
    </w:p>
    <w:p w14:paraId="3388842D" w14:textId="77777777" w:rsidR="00AC72B8" w:rsidRPr="00E27200" w:rsidRDefault="00AC72B8" w:rsidP="00AD3F80">
      <w:pPr>
        <w:pStyle w:val="ListParagraph"/>
        <w:numPr>
          <w:ilvl w:val="0"/>
          <w:numId w:val="11"/>
        </w:numPr>
        <w:ind w:left="426"/>
        <w:rPr>
          <w:lang w:val="en-AU"/>
        </w:rPr>
      </w:pPr>
      <w:r w:rsidRPr="00E27200">
        <w:rPr>
          <w:lang w:val="en-AU"/>
        </w:rPr>
        <w:lastRenderedPageBreak/>
        <w:t>National Statistical Office, Papua New Guinea Household Income and Expenditure Survey 2009-2010, 2011, Government of Papua New Guinea: Papua New Guinea.</w:t>
      </w:r>
    </w:p>
    <w:p w14:paraId="1743775C" w14:textId="77777777" w:rsidR="00AC72B8" w:rsidRPr="00E27200" w:rsidRDefault="00AC72B8" w:rsidP="00AD3F80">
      <w:pPr>
        <w:pStyle w:val="ListParagraph"/>
        <w:numPr>
          <w:ilvl w:val="0"/>
          <w:numId w:val="11"/>
        </w:numPr>
        <w:ind w:left="426"/>
        <w:rPr>
          <w:lang w:val="en-AU"/>
        </w:rPr>
      </w:pPr>
      <w:r w:rsidRPr="00E27200">
        <w:rPr>
          <w:lang w:val="en-AU"/>
        </w:rPr>
        <w:t>Pan American Health Organization, Rapid pharmaceutical assessment - An indicator-based approach, 1995, Pan American Health Organization: USA.</w:t>
      </w:r>
    </w:p>
    <w:p w14:paraId="1246C311" w14:textId="77777777" w:rsidR="00AC72B8" w:rsidRPr="00E27200" w:rsidRDefault="00AC72B8" w:rsidP="00AD3F80">
      <w:pPr>
        <w:pStyle w:val="ListParagraph"/>
        <w:numPr>
          <w:ilvl w:val="0"/>
          <w:numId w:val="11"/>
        </w:numPr>
        <w:ind w:left="426"/>
        <w:rPr>
          <w:lang w:val="en-AU"/>
        </w:rPr>
      </w:pPr>
      <w:r w:rsidRPr="00E27200">
        <w:rPr>
          <w:lang w:val="en-AU"/>
        </w:rPr>
        <w:t xml:space="preserve">Papua New Guinea Health Sector, National Health Plan (2011-2020), Monitoring and Evaluation Strategic Plan, </w:t>
      </w:r>
      <w:proofErr w:type="spellStart"/>
      <w:r w:rsidRPr="00E27200">
        <w:rPr>
          <w:lang w:val="en-AU"/>
        </w:rPr>
        <w:t>NDoH</w:t>
      </w:r>
      <w:proofErr w:type="spellEnd"/>
      <w:r w:rsidRPr="00E27200">
        <w:rPr>
          <w:lang w:val="en-AU"/>
        </w:rPr>
        <w:t>, Government of Papua New Guinea: Papua New Guinea.</w:t>
      </w:r>
    </w:p>
    <w:p w14:paraId="3FB610F5" w14:textId="77777777" w:rsidR="00AC72B8" w:rsidRPr="00E27200" w:rsidRDefault="00AC72B8" w:rsidP="00AD3F80">
      <w:pPr>
        <w:pStyle w:val="ListParagraph"/>
        <w:numPr>
          <w:ilvl w:val="0"/>
          <w:numId w:val="11"/>
        </w:numPr>
        <w:ind w:left="426"/>
        <w:rPr>
          <w:lang w:val="en-AU"/>
        </w:rPr>
      </w:pPr>
      <w:proofErr w:type="spellStart"/>
      <w:r w:rsidRPr="00E27200">
        <w:rPr>
          <w:lang w:val="en-AU"/>
        </w:rPr>
        <w:t>Pulford</w:t>
      </w:r>
      <w:proofErr w:type="spellEnd"/>
      <w:r w:rsidRPr="00E27200">
        <w:rPr>
          <w:lang w:val="en-AU"/>
        </w:rPr>
        <w:t>, J., et al., Malaria case management in Papua New Guinea prior to the introduction of a revised treatment protocol. Malar J, 2012. 11: p. 157.</w:t>
      </w:r>
    </w:p>
    <w:p w14:paraId="46B5602B" w14:textId="77777777" w:rsidR="00AC72B8" w:rsidRPr="00E27200" w:rsidRDefault="00AC72B8" w:rsidP="00AD3F80">
      <w:pPr>
        <w:pStyle w:val="ListParagraph"/>
        <w:numPr>
          <w:ilvl w:val="0"/>
          <w:numId w:val="11"/>
        </w:numPr>
        <w:ind w:left="426"/>
        <w:rPr>
          <w:lang w:val="en-AU"/>
        </w:rPr>
      </w:pPr>
      <w:proofErr w:type="spellStart"/>
      <w:r w:rsidRPr="00E27200">
        <w:rPr>
          <w:lang w:val="en-AU"/>
        </w:rPr>
        <w:t>Rao</w:t>
      </w:r>
      <w:proofErr w:type="spellEnd"/>
      <w:r w:rsidRPr="00E27200">
        <w:rPr>
          <w:lang w:val="en-AU"/>
        </w:rPr>
        <w:t xml:space="preserve">, R., P. Mellon, and D. </w:t>
      </w:r>
      <w:proofErr w:type="spellStart"/>
      <w:r w:rsidRPr="00E27200">
        <w:rPr>
          <w:lang w:val="en-AU"/>
        </w:rPr>
        <w:t>Sarley</w:t>
      </w:r>
      <w:proofErr w:type="spellEnd"/>
      <w:r w:rsidRPr="00E27200">
        <w:rPr>
          <w:lang w:val="en-AU"/>
        </w:rPr>
        <w:t>, Procurement Strategies for Health Commodities: An Examination of Options and Mechanisms within the Commodity Security Context, 2006, DELIVER Project: USA.</w:t>
      </w:r>
    </w:p>
    <w:p w14:paraId="3737314E" w14:textId="77777777" w:rsidR="00AC72B8" w:rsidRPr="00E27200" w:rsidRDefault="00AC72B8" w:rsidP="00AD3F80">
      <w:pPr>
        <w:pStyle w:val="ListParagraph"/>
        <w:numPr>
          <w:ilvl w:val="0"/>
          <w:numId w:val="11"/>
        </w:numPr>
        <w:ind w:left="426"/>
        <w:rPr>
          <w:lang w:val="en-AU"/>
        </w:rPr>
      </w:pPr>
      <w:proofErr w:type="spellStart"/>
      <w:r w:rsidRPr="00E27200">
        <w:rPr>
          <w:lang w:val="en-AU"/>
        </w:rPr>
        <w:t>Seiter</w:t>
      </w:r>
      <w:proofErr w:type="spellEnd"/>
      <w:r w:rsidRPr="00E27200">
        <w:rPr>
          <w:lang w:val="en-AU"/>
        </w:rPr>
        <w:t>, A., A practical approach to pharmaceutical policy, 2010, World Bank: Washington.</w:t>
      </w:r>
    </w:p>
    <w:p w14:paraId="5B6B5573" w14:textId="77777777" w:rsidR="00AC72B8" w:rsidRPr="00E27200" w:rsidRDefault="00AC72B8" w:rsidP="00AD3F80">
      <w:pPr>
        <w:pStyle w:val="ListParagraph"/>
        <w:numPr>
          <w:ilvl w:val="0"/>
          <w:numId w:val="11"/>
        </w:numPr>
        <w:ind w:left="426"/>
        <w:rPr>
          <w:lang w:val="en-AU"/>
        </w:rPr>
      </w:pPr>
      <w:r w:rsidRPr="00E27200">
        <w:rPr>
          <w:lang w:val="en-AU"/>
        </w:rPr>
        <w:t>Singh, P.V., et al., Replicating Tamil Nadu’s Drug Procurement Model. Economic &amp; Political Weekly, 2012.</w:t>
      </w:r>
    </w:p>
    <w:p w14:paraId="3FBA0DFF" w14:textId="77777777" w:rsidR="00AC72B8" w:rsidRPr="00E27200" w:rsidRDefault="00AC72B8" w:rsidP="00AD3F80">
      <w:pPr>
        <w:pStyle w:val="ListParagraph"/>
        <w:numPr>
          <w:ilvl w:val="0"/>
          <w:numId w:val="11"/>
        </w:numPr>
        <w:ind w:left="426"/>
        <w:rPr>
          <w:lang w:val="en-AU"/>
        </w:rPr>
      </w:pPr>
      <w:proofErr w:type="spellStart"/>
      <w:r w:rsidRPr="00E27200">
        <w:rPr>
          <w:lang w:val="en-AU"/>
        </w:rPr>
        <w:t>Spinks</w:t>
      </w:r>
      <w:proofErr w:type="spellEnd"/>
      <w:r w:rsidRPr="00E27200">
        <w:rPr>
          <w:lang w:val="en-AU"/>
        </w:rPr>
        <w:t>, J. and J. Richardson, Paying the right price for pharmaceuticals: A case study of why the comparator matters, 2010, Monash university: Victoria.</w:t>
      </w:r>
    </w:p>
    <w:p w14:paraId="5FB7B4B8" w14:textId="77777777" w:rsidR="00AC72B8" w:rsidRPr="00E27200" w:rsidRDefault="00AC72B8" w:rsidP="00AD3F80">
      <w:pPr>
        <w:pStyle w:val="ListParagraph"/>
        <w:numPr>
          <w:ilvl w:val="0"/>
          <w:numId w:val="11"/>
        </w:numPr>
        <w:ind w:left="426"/>
        <w:rPr>
          <w:lang w:val="en-AU"/>
        </w:rPr>
      </w:pPr>
      <w:r w:rsidRPr="00E27200">
        <w:rPr>
          <w:lang w:val="en-AU"/>
        </w:rPr>
        <w:t xml:space="preserve">Sustainable Solutions, </w:t>
      </w:r>
      <w:proofErr w:type="spellStart"/>
      <w:r w:rsidRPr="00E27200">
        <w:rPr>
          <w:lang w:val="en-AU"/>
        </w:rPr>
        <w:t>mSupply</w:t>
      </w:r>
      <w:proofErr w:type="spellEnd"/>
      <w:r w:rsidRPr="00E27200">
        <w:rPr>
          <w:lang w:val="en-AU"/>
        </w:rPr>
        <w:t xml:space="preserve"> installation at NDOH Papua New Guinea: Preliminary visit report, 2013: New Zealand.</w:t>
      </w:r>
    </w:p>
    <w:p w14:paraId="259CE2D1" w14:textId="77777777" w:rsidR="00AC72B8" w:rsidRPr="00E27200" w:rsidRDefault="00AC72B8" w:rsidP="00AD3F80">
      <w:pPr>
        <w:pStyle w:val="ListParagraph"/>
        <w:numPr>
          <w:ilvl w:val="0"/>
          <w:numId w:val="11"/>
        </w:numPr>
        <w:ind w:left="426"/>
        <w:rPr>
          <w:lang w:val="en-AU"/>
        </w:rPr>
      </w:pPr>
      <w:r w:rsidRPr="00E27200">
        <w:rPr>
          <w:lang w:val="en-AU"/>
        </w:rPr>
        <w:t>The Child Health Advisory Committee, Papua New Guinea Annual Report on Child Morbidity and Mortality 2011, 2012: Papua New Guinea.</w:t>
      </w:r>
    </w:p>
    <w:p w14:paraId="0EB63BF4" w14:textId="77777777" w:rsidR="00AC72B8" w:rsidRPr="00E27200" w:rsidRDefault="00AC72B8" w:rsidP="00AD3F80">
      <w:pPr>
        <w:pStyle w:val="ListParagraph"/>
        <w:numPr>
          <w:ilvl w:val="0"/>
          <w:numId w:val="11"/>
        </w:numPr>
        <w:ind w:left="426"/>
        <w:rPr>
          <w:lang w:val="en-AU"/>
        </w:rPr>
      </w:pPr>
      <w:r w:rsidRPr="00E27200">
        <w:rPr>
          <w:lang w:val="en-AU"/>
        </w:rPr>
        <w:t>The Lancet (editorial), Strengthening global action against poor quality drugs. The Lancet, 2013. 381(9867): p. 599.</w:t>
      </w:r>
    </w:p>
    <w:p w14:paraId="0026B2D2" w14:textId="77777777" w:rsidR="00AC72B8" w:rsidRPr="00E27200" w:rsidRDefault="00AC72B8" w:rsidP="00AD3F80">
      <w:pPr>
        <w:pStyle w:val="ListParagraph"/>
        <w:numPr>
          <w:ilvl w:val="0"/>
          <w:numId w:val="11"/>
        </w:numPr>
        <w:ind w:left="426"/>
        <w:rPr>
          <w:lang w:val="en-AU"/>
        </w:rPr>
      </w:pPr>
      <w:r w:rsidRPr="00E27200">
        <w:rPr>
          <w:lang w:val="en-AU"/>
        </w:rPr>
        <w:t>Tran, L.N., et al., Under-five mortality Analysis for Papua New Guinea.</w:t>
      </w:r>
    </w:p>
    <w:p w14:paraId="67A6D816" w14:textId="77777777" w:rsidR="00AC72B8" w:rsidRPr="00E27200" w:rsidRDefault="00AC72B8" w:rsidP="00AD3F80">
      <w:pPr>
        <w:pStyle w:val="ListParagraph"/>
        <w:numPr>
          <w:ilvl w:val="0"/>
          <w:numId w:val="11"/>
        </w:numPr>
        <w:ind w:left="426"/>
        <w:rPr>
          <w:lang w:val="en-AU"/>
        </w:rPr>
      </w:pPr>
      <w:r w:rsidRPr="00E27200">
        <w:rPr>
          <w:lang w:val="en-AU"/>
        </w:rPr>
        <w:t>UN Procurement Capacity Development Centre, Applying the Principles for Good International Engagement in Fragile States and Situations to Strengthen and Transform Public Procurement Systems, 2011, UN Procurement Capacity Development Centre: Geneva.</w:t>
      </w:r>
    </w:p>
    <w:p w14:paraId="06BCADDF" w14:textId="77777777" w:rsidR="00AC72B8" w:rsidRPr="00E27200" w:rsidRDefault="00AC72B8" w:rsidP="00AD3F80">
      <w:pPr>
        <w:pStyle w:val="ListParagraph"/>
        <w:numPr>
          <w:ilvl w:val="0"/>
          <w:numId w:val="11"/>
        </w:numPr>
        <w:ind w:left="426"/>
        <w:rPr>
          <w:lang w:val="en-AU"/>
        </w:rPr>
      </w:pPr>
      <w:r w:rsidRPr="00E27200">
        <w:rPr>
          <w:lang w:val="en-AU"/>
        </w:rPr>
        <w:t xml:space="preserve">Wild, L. and D. </w:t>
      </w:r>
      <w:proofErr w:type="spellStart"/>
      <w:r w:rsidRPr="00E27200">
        <w:rPr>
          <w:lang w:val="en-AU"/>
        </w:rPr>
        <w:t>Cammack</w:t>
      </w:r>
      <w:proofErr w:type="spellEnd"/>
      <w:r w:rsidRPr="00E27200">
        <w:rPr>
          <w:lang w:val="en-AU"/>
        </w:rPr>
        <w:t>, The supply and distribution of essential medicines in Malawi, 2013, Overseas Development Institute: London.</w:t>
      </w:r>
    </w:p>
    <w:p w14:paraId="0F66F8C4" w14:textId="77777777" w:rsidR="00AC72B8" w:rsidRPr="00E27200" w:rsidRDefault="00AC72B8" w:rsidP="00AD3F80">
      <w:pPr>
        <w:pStyle w:val="ListParagraph"/>
        <w:numPr>
          <w:ilvl w:val="0"/>
          <w:numId w:val="11"/>
        </w:numPr>
        <w:ind w:left="426"/>
        <w:rPr>
          <w:lang w:val="en-AU"/>
        </w:rPr>
      </w:pPr>
      <w:r w:rsidRPr="00E27200">
        <w:rPr>
          <w:lang w:val="en-AU"/>
        </w:rPr>
        <w:t>World Health Organization, How to Investigate drug use in health facilities, 1993: Geneva.</w:t>
      </w:r>
    </w:p>
    <w:p w14:paraId="7C6225E1" w14:textId="77777777" w:rsidR="00AC72B8" w:rsidRPr="00E27200" w:rsidRDefault="00AC72B8" w:rsidP="00AD3F80">
      <w:pPr>
        <w:pStyle w:val="ListParagraph"/>
        <w:numPr>
          <w:ilvl w:val="0"/>
          <w:numId w:val="11"/>
        </w:numPr>
        <w:ind w:left="426"/>
        <w:rPr>
          <w:lang w:val="en-AU"/>
        </w:rPr>
      </w:pPr>
      <w:r w:rsidRPr="00E27200">
        <w:rPr>
          <w:lang w:val="en-AU"/>
        </w:rPr>
        <w:t>World Health Organization, Measuring medicine prices, availability, affordability and price components, 2008: Switzerland.</w:t>
      </w:r>
    </w:p>
    <w:p w14:paraId="5C542F29" w14:textId="77777777" w:rsidR="00AC72B8" w:rsidRPr="00E27200" w:rsidRDefault="00AC72B8" w:rsidP="00AD3F80">
      <w:pPr>
        <w:pStyle w:val="ListParagraph"/>
        <w:numPr>
          <w:ilvl w:val="0"/>
          <w:numId w:val="11"/>
        </w:numPr>
        <w:ind w:left="426"/>
        <w:rPr>
          <w:lang w:val="en-AU"/>
        </w:rPr>
      </w:pPr>
      <w:r w:rsidRPr="00E27200">
        <w:rPr>
          <w:lang w:val="en-AU"/>
        </w:rPr>
        <w:t xml:space="preserve">World Health Organization, Harmonized monitoring and evaluation indicators for procurement and supply management systems: Early-warning indicators to prevent stock-outs and overstocking of antiretroviral, </w:t>
      </w:r>
      <w:proofErr w:type="spellStart"/>
      <w:r w:rsidRPr="00E27200">
        <w:rPr>
          <w:lang w:val="en-AU"/>
        </w:rPr>
        <w:t>antituberculosis</w:t>
      </w:r>
      <w:proofErr w:type="spellEnd"/>
      <w:r w:rsidRPr="00E27200">
        <w:rPr>
          <w:lang w:val="en-AU"/>
        </w:rPr>
        <w:t xml:space="preserve"> and </w:t>
      </w:r>
      <w:proofErr w:type="spellStart"/>
      <w:r w:rsidRPr="00E27200">
        <w:rPr>
          <w:lang w:val="en-AU"/>
        </w:rPr>
        <w:t>antimalaria</w:t>
      </w:r>
      <w:proofErr w:type="spellEnd"/>
      <w:r w:rsidRPr="00E27200">
        <w:rPr>
          <w:lang w:val="en-AU"/>
        </w:rPr>
        <w:t xml:space="preserve"> medicines 2011: Geneva.</w:t>
      </w:r>
    </w:p>
    <w:p w14:paraId="24A20CA4" w14:textId="77777777" w:rsidR="00AC72B8" w:rsidRPr="00E27200" w:rsidRDefault="00AC72B8" w:rsidP="00AD3F80">
      <w:pPr>
        <w:pStyle w:val="ListParagraph"/>
        <w:numPr>
          <w:ilvl w:val="0"/>
          <w:numId w:val="11"/>
        </w:numPr>
        <w:ind w:left="426"/>
        <w:rPr>
          <w:lang w:val="en-AU"/>
        </w:rPr>
      </w:pPr>
      <w:r w:rsidRPr="00E27200">
        <w:rPr>
          <w:lang w:val="en-AU"/>
        </w:rPr>
        <w:t>World Health Organization, Regional framework for action on access to essential medicines in the Western Pacific (2011-2016), 2012, World Health Organization: Geneva.</w:t>
      </w:r>
    </w:p>
    <w:p w14:paraId="77CBB3C3" w14:textId="77777777" w:rsidR="00CE74B1" w:rsidRPr="00E27200" w:rsidRDefault="00CE74B1" w:rsidP="00E16C77">
      <w:pPr>
        <w:rPr>
          <w:lang w:val="en-AU"/>
        </w:rPr>
      </w:pPr>
    </w:p>
    <w:p w14:paraId="5CBC24EB" w14:textId="77777777" w:rsidR="00CE74B1" w:rsidRPr="00E27200" w:rsidRDefault="00CE74B1" w:rsidP="00E16C77">
      <w:pPr>
        <w:rPr>
          <w:lang w:val="en-AU"/>
        </w:rPr>
      </w:pPr>
      <w:r w:rsidRPr="00E27200">
        <w:rPr>
          <w:lang w:val="en-AU"/>
        </w:rPr>
        <w:br w:type="page"/>
      </w:r>
    </w:p>
    <w:p w14:paraId="38E1268F" w14:textId="77777777" w:rsidR="00CE74B1" w:rsidRPr="00E27200" w:rsidRDefault="00CE74B1" w:rsidP="00E16C77">
      <w:pPr>
        <w:pStyle w:val="Heading1"/>
      </w:pPr>
      <w:bookmarkStart w:id="151" w:name="_Toc245810773"/>
      <w:r w:rsidRPr="00E27200">
        <w:lastRenderedPageBreak/>
        <w:t>Annexes</w:t>
      </w:r>
      <w:bookmarkEnd w:id="151"/>
    </w:p>
    <w:p w14:paraId="309117F6" w14:textId="77777777" w:rsidR="00067B5A" w:rsidRPr="00E27200" w:rsidRDefault="00067B5A" w:rsidP="00E16C77">
      <w:pPr>
        <w:pStyle w:val="Heading2"/>
      </w:pPr>
      <w:bookmarkStart w:id="152" w:name="_Toc245810774"/>
      <w:r w:rsidRPr="00E27200">
        <w:t>Health Facility survey methodology</w:t>
      </w:r>
      <w:bookmarkEnd w:id="152"/>
    </w:p>
    <w:p w14:paraId="4951144E" w14:textId="77777777" w:rsidR="0010007E" w:rsidRPr="00E27200" w:rsidRDefault="0010007E" w:rsidP="00E16C77">
      <w:pPr>
        <w:pStyle w:val="Heading2"/>
      </w:pPr>
      <w:bookmarkStart w:id="153" w:name="_Toc245810775"/>
      <w:r w:rsidRPr="00E27200">
        <w:t>Detailed findings and data tables from the health facility survey</w:t>
      </w:r>
      <w:bookmarkEnd w:id="153"/>
    </w:p>
    <w:p w14:paraId="4684C94E" w14:textId="77777777" w:rsidR="00426405" w:rsidRPr="00E27200" w:rsidRDefault="00E55B9F" w:rsidP="00E16C77">
      <w:pPr>
        <w:pStyle w:val="Heading2"/>
      </w:pPr>
      <w:bookmarkStart w:id="154" w:name="_Toc245810776"/>
      <w:r w:rsidRPr="00E27200">
        <w:t>Other data collection tools</w:t>
      </w:r>
      <w:bookmarkEnd w:id="154"/>
    </w:p>
    <w:p w14:paraId="6F2B8E6C" w14:textId="77777777" w:rsidR="00426405" w:rsidRPr="00E27200" w:rsidRDefault="00426405" w:rsidP="00E16C77">
      <w:pPr>
        <w:pStyle w:val="Heading2"/>
      </w:pPr>
      <w:bookmarkStart w:id="155" w:name="_Toc245810777"/>
      <w:r w:rsidRPr="00E27200">
        <w:t xml:space="preserve">Qualitative analysis </w:t>
      </w:r>
      <w:r w:rsidR="00744A7E" w:rsidRPr="00E27200">
        <w:t>from manager</w:t>
      </w:r>
      <w:r w:rsidR="00ED17E6" w:rsidRPr="00E27200">
        <w:t>s survey</w:t>
      </w:r>
      <w:r w:rsidR="00744A7E" w:rsidRPr="00E27200">
        <w:t xml:space="preserve"> and dis</w:t>
      </w:r>
      <w:r w:rsidR="00ED17E6" w:rsidRPr="00E27200">
        <w:t>c</w:t>
      </w:r>
      <w:r w:rsidR="00744A7E" w:rsidRPr="00E27200">
        <w:t>ussions</w:t>
      </w:r>
      <w:bookmarkEnd w:id="155"/>
    </w:p>
    <w:p w14:paraId="7503C44F" w14:textId="77777777" w:rsidR="00CE74B1" w:rsidRPr="00E27200" w:rsidRDefault="00CE74B1" w:rsidP="00E16C77">
      <w:pPr>
        <w:pStyle w:val="Heading2"/>
      </w:pPr>
      <w:bookmarkStart w:id="156" w:name="_Toc245810778"/>
      <w:r w:rsidRPr="00E27200">
        <w:t>Year One Evaluation Plan</w:t>
      </w:r>
      <w:bookmarkEnd w:id="156"/>
      <w:r w:rsidRPr="00E27200">
        <w:t xml:space="preserve"> </w:t>
      </w:r>
    </w:p>
    <w:p w14:paraId="2C8F0D4D" w14:textId="77777777" w:rsidR="00F560DF" w:rsidRPr="00E27200" w:rsidRDefault="00F560DF" w:rsidP="00F560DF">
      <w:pPr>
        <w:pStyle w:val="Heading2"/>
      </w:pPr>
      <w:bookmarkStart w:id="157" w:name="_Toc245810779"/>
      <w:r w:rsidRPr="00E27200">
        <w:rPr>
          <w:noProof/>
        </w:rPr>
        <w:t>Health Facility Surveys tools</w:t>
      </w:r>
      <w:bookmarkEnd w:id="157"/>
    </w:p>
    <w:p w14:paraId="06FE0D88" w14:textId="77777777" w:rsidR="00CE74B1" w:rsidRDefault="00CE74B1" w:rsidP="00E16C77">
      <w:pPr>
        <w:pStyle w:val="Heading2"/>
      </w:pPr>
      <w:bookmarkStart w:id="158" w:name="_Toc245810780"/>
      <w:r w:rsidRPr="00E27200">
        <w:t>Evaluation team and roles</w:t>
      </w:r>
      <w:bookmarkEnd w:id="158"/>
    </w:p>
    <w:p w14:paraId="7A097C76" w14:textId="6444F3A9" w:rsidR="009C18CA" w:rsidRPr="009C18CA" w:rsidRDefault="009C18CA" w:rsidP="009C18CA">
      <w:pPr>
        <w:pStyle w:val="Heading2"/>
      </w:pPr>
      <w:bookmarkStart w:id="159" w:name="_Toc245810781"/>
      <w:proofErr w:type="gramStart"/>
      <w:r w:rsidRPr="009C18CA">
        <w:t xml:space="preserve">Assessment against standard Australian </w:t>
      </w:r>
      <w:r w:rsidR="007439AA">
        <w:t>Government</w:t>
      </w:r>
      <w:r w:rsidR="007439AA" w:rsidRPr="009C18CA">
        <w:t xml:space="preserve"> </w:t>
      </w:r>
      <w:r w:rsidRPr="009C18CA">
        <w:t>evaluation criteria.</w:t>
      </w:r>
      <w:bookmarkEnd w:id="159"/>
      <w:proofErr w:type="gramEnd"/>
      <w:r>
        <w:t xml:space="preserve"> </w:t>
      </w:r>
    </w:p>
    <w:sectPr w:rsidR="009C18CA" w:rsidRPr="009C18CA" w:rsidSect="00EB0E8A">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A12F1" w14:textId="77777777" w:rsidR="00476B34" w:rsidRDefault="00476B34" w:rsidP="00202765">
      <w:r>
        <w:separator/>
      </w:r>
    </w:p>
  </w:endnote>
  <w:endnote w:type="continuationSeparator" w:id="0">
    <w:p w14:paraId="2707E71F" w14:textId="77777777" w:rsidR="00476B34" w:rsidRDefault="00476B34" w:rsidP="0020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ista Sans Bold">
    <w:altName w:val="Cambria"/>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4B6EE" w14:textId="77777777" w:rsidR="000F15B4" w:rsidRDefault="000F1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FB8DB" w14:textId="77777777" w:rsidR="00476B34" w:rsidRPr="00FB1EDA" w:rsidRDefault="00476B34" w:rsidP="00FB1EDA">
    <w:pPr>
      <w:pStyle w:val="Footer"/>
      <w:jc w:val="center"/>
      <w:rPr>
        <w:sz w:val="20"/>
      </w:rPr>
    </w:pPr>
    <w:r w:rsidRPr="00FB1EDA">
      <w:rPr>
        <w:sz w:val="20"/>
      </w:rPr>
      <w:t xml:space="preserve">Page </w:t>
    </w:r>
    <w:r w:rsidRPr="00FB1EDA">
      <w:rPr>
        <w:sz w:val="20"/>
      </w:rPr>
      <w:fldChar w:fldCharType="begin"/>
    </w:r>
    <w:r w:rsidRPr="00FB1EDA">
      <w:rPr>
        <w:sz w:val="20"/>
      </w:rPr>
      <w:instrText xml:space="preserve"> PAGE </w:instrText>
    </w:r>
    <w:r w:rsidRPr="00FB1EDA">
      <w:rPr>
        <w:sz w:val="20"/>
      </w:rPr>
      <w:fldChar w:fldCharType="separate"/>
    </w:r>
    <w:r w:rsidR="000F15B4">
      <w:rPr>
        <w:noProof/>
        <w:sz w:val="20"/>
      </w:rPr>
      <w:t>42</w:t>
    </w:r>
    <w:r w:rsidRPr="00FB1EDA">
      <w:rPr>
        <w:sz w:val="20"/>
      </w:rPr>
      <w:fldChar w:fldCharType="end"/>
    </w:r>
    <w:r w:rsidRPr="00FB1EDA">
      <w:rPr>
        <w:sz w:val="20"/>
      </w:rPr>
      <w:t xml:space="preserve"> of </w:t>
    </w:r>
    <w:r w:rsidRPr="00FB1EDA">
      <w:rPr>
        <w:sz w:val="20"/>
      </w:rPr>
      <w:fldChar w:fldCharType="begin"/>
    </w:r>
    <w:r w:rsidRPr="00FB1EDA">
      <w:rPr>
        <w:sz w:val="20"/>
      </w:rPr>
      <w:instrText xml:space="preserve"> NUMPAGES </w:instrText>
    </w:r>
    <w:r w:rsidRPr="00FB1EDA">
      <w:rPr>
        <w:sz w:val="20"/>
      </w:rPr>
      <w:fldChar w:fldCharType="separate"/>
    </w:r>
    <w:r w:rsidR="000F15B4">
      <w:rPr>
        <w:noProof/>
        <w:sz w:val="20"/>
      </w:rPr>
      <w:t>80</w:t>
    </w:r>
    <w:r w:rsidRPr="00FB1EDA">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5D1A5" w14:textId="77777777" w:rsidR="000F15B4" w:rsidRDefault="000F1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58500" w14:textId="77777777" w:rsidR="00476B34" w:rsidRDefault="00476B34" w:rsidP="00202765">
      <w:r>
        <w:separator/>
      </w:r>
    </w:p>
  </w:footnote>
  <w:footnote w:type="continuationSeparator" w:id="0">
    <w:p w14:paraId="5D7F447A" w14:textId="77777777" w:rsidR="00476B34" w:rsidRDefault="00476B34" w:rsidP="00202765">
      <w:r>
        <w:continuationSeparator/>
      </w:r>
    </w:p>
  </w:footnote>
  <w:footnote w:id="1">
    <w:p w14:paraId="38D65808" w14:textId="670E4366" w:rsidR="00476B34" w:rsidRPr="000754C1" w:rsidRDefault="00476B34">
      <w:pPr>
        <w:pStyle w:val="FootnoteText"/>
        <w:rPr>
          <w:sz w:val="20"/>
        </w:rPr>
      </w:pPr>
      <w:r>
        <w:rPr>
          <w:rStyle w:val="FootnoteReference"/>
        </w:rPr>
        <w:footnoteRef/>
      </w:r>
      <w:r>
        <w:t xml:space="preserve"> </w:t>
      </w:r>
      <w:r>
        <w:rPr>
          <w:sz w:val="20"/>
        </w:rPr>
        <w:t>The terms “40%” and “100%” refer to notional proportions of standardized annual quantities of basic medical supplies for health facilities in PNG and help identify different phases of recent ‘push’ systems. They are not intended to meet all health facility requirements and other supplies from the ‘pull’ system are required.</w:t>
      </w:r>
    </w:p>
  </w:footnote>
  <w:footnote w:id="2">
    <w:p w14:paraId="06D81EF1" w14:textId="0AA7A3A1" w:rsidR="00476B34" w:rsidRPr="00A376D0" w:rsidRDefault="00476B34">
      <w:pPr>
        <w:pStyle w:val="FootnoteText"/>
        <w:rPr>
          <w:sz w:val="20"/>
        </w:rPr>
      </w:pPr>
      <w:r>
        <w:rPr>
          <w:rStyle w:val="FootnoteReference"/>
        </w:rPr>
        <w:footnoteRef/>
      </w:r>
      <w:r>
        <w:t xml:space="preserve"> </w:t>
      </w:r>
      <w:r w:rsidRPr="007B27CA">
        <w:rPr>
          <w:spacing w:val="-2"/>
        </w:rPr>
        <w:t xml:space="preserve">This may be possible in future years, </w:t>
      </w:r>
      <w:r>
        <w:rPr>
          <w:spacing w:val="-2"/>
        </w:rPr>
        <w:t xml:space="preserve">see Section 8 </w:t>
      </w:r>
      <w:r w:rsidRPr="007B27CA">
        <w:rPr>
          <w:spacing w:val="-2"/>
        </w:rPr>
        <w:t xml:space="preserve">for the difficulties </w:t>
      </w:r>
      <w:r w:rsidRPr="002525F4">
        <w:rPr>
          <w:spacing w:val="-2"/>
          <w:szCs w:val="22"/>
        </w:rPr>
        <w:t xml:space="preserve">with </w:t>
      </w:r>
      <w:r w:rsidRPr="007859DD">
        <w:rPr>
          <w:spacing w:val="-2"/>
          <w:szCs w:val="22"/>
        </w:rPr>
        <w:t>immediate impact assessment</w:t>
      </w:r>
      <w:r w:rsidRPr="007B27CA">
        <w:rPr>
          <w:spacing w:val="-2"/>
          <w:sz w:val="20"/>
        </w:rPr>
        <w:t xml:space="preserve"> </w:t>
      </w:r>
    </w:p>
  </w:footnote>
  <w:footnote w:id="3">
    <w:p w14:paraId="76B69E86" w14:textId="1DBC86DE" w:rsidR="00476B34" w:rsidRPr="00846ED8" w:rsidRDefault="00476B34">
      <w:pPr>
        <w:pStyle w:val="FootnoteText"/>
        <w:rPr>
          <w:sz w:val="20"/>
        </w:rPr>
      </w:pPr>
      <w:r w:rsidRPr="00846ED8">
        <w:rPr>
          <w:rStyle w:val="FootnoteReference"/>
          <w:sz w:val="20"/>
        </w:rPr>
        <w:footnoteRef/>
      </w:r>
      <w:r w:rsidRPr="00846ED8">
        <w:rPr>
          <w:sz w:val="20"/>
        </w:rPr>
        <w:t xml:space="preserve"> Referenced in the main body of the report</w:t>
      </w:r>
    </w:p>
  </w:footnote>
  <w:footnote w:id="4">
    <w:p w14:paraId="3DE515F2" w14:textId="77777777" w:rsidR="00476B34" w:rsidRPr="003452A4" w:rsidRDefault="00476B34">
      <w:pPr>
        <w:pStyle w:val="FootnoteText"/>
        <w:rPr>
          <w:sz w:val="20"/>
        </w:rPr>
      </w:pPr>
      <w:r w:rsidRPr="003452A4">
        <w:rPr>
          <w:rStyle w:val="FootnoteReference"/>
          <w:sz w:val="20"/>
        </w:rPr>
        <w:footnoteRef/>
      </w:r>
      <w:r w:rsidRPr="003452A4">
        <w:rPr>
          <w:sz w:val="20"/>
        </w:rPr>
        <w:t xml:space="preserve"> Both footnotes (comprising explanatory statements) and references to source documents are used in this report. Document references are noted</w:t>
      </w:r>
      <w:r>
        <w:rPr>
          <w:sz w:val="20"/>
        </w:rPr>
        <w:t xml:space="preserve"> as [1] and listed in Section 10</w:t>
      </w:r>
      <w:r w:rsidRPr="003452A4">
        <w:rPr>
          <w:sz w:val="20"/>
        </w:rPr>
        <w:t>.</w:t>
      </w:r>
    </w:p>
  </w:footnote>
  <w:footnote w:id="5">
    <w:p w14:paraId="76138830" w14:textId="0DFEE821" w:rsidR="00476B34" w:rsidRDefault="00476B34">
      <w:pPr>
        <w:pStyle w:val="FootnoteText"/>
      </w:pPr>
      <w:r>
        <w:rPr>
          <w:rStyle w:val="FootnoteReference"/>
        </w:rPr>
        <w:footnoteRef/>
      </w:r>
      <w:r>
        <w:t xml:space="preserve"> </w:t>
      </w:r>
      <w:r w:rsidRPr="002C16BB">
        <w:rPr>
          <w:sz w:val="20"/>
        </w:rPr>
        <w:t xml:space="preserve">Although </w:t>
      </w:r>
      <w:r>
        <w:rPr>
          <w:sz w:val="20"/>
        </w:rPr>
        <w:t xml:space="preserve">the </w:t>
      </w:r>
      <w:r w:rsidRPr="002C16BB">
        <w:rPr>
          <w:sz w:val="20"/>
        </w:rPr>
        <w:t>LD Logistics</w:t>
      </w:r>
      <w:r>
        <w:rPr>
          <w:sz w:val="20"/>
        </w:rPr>
        <w:t xml:space="preserve"> contact seems to specify delivery from AMS to HC</w:t>
      </w:r>
      <w:r w:rsidRPr="002C16BB">
        <w:rPr>
          <w:sz w:val="20"/>
        </w:rPr>
        <w:t xml:space="preserve">, field interviews report successful and failed attempts at </w:t>
      </w:r>
      <w:r>
        <w:rPr>
          <w:sz w:val="20"/>
        </w:rPr>
        <w:t>contractor deliveries</w:t>
      </w:r>
      <w:r w:rsidRPr="002C16BB">
        <w:rPr>
          <w:sz w:val="20"/>
        </w:rPr>
        <w:t xml:space="preserve"> to the AP level</w:t>
      </w:r>
      <w:r>
        <w:rPr>
          <w:sz w:val="20"/>
        </w:rPr>
        <w:t xml:space="preserve"> as well as to HCs</w:t>
      </w:r>
      <w:r w:rsidRPr="002C16BB">
        <w:rPr>
          <w:sz w:val="20"/>
        </w:rPr>
        <w:t>.</w:t>
      </w:r>
    </w:p>
  </w:footnote>
  <w:footnote w:id="6">
    <w:p w14:paraId="1190B574" w14:textId="49B8369A" w:rsidR="00476B34" w:rsidRPr="002F4DD1" w:rsidRDefault="00476B34" w:rsidP="007C12C2">
      <w:pPr>
        <w:pStyle w:val="FootnoteText"/>
        <w:rPr>
          <w:sz w:val="20"/>
        </w:rPr>
      </w:pPr>
      <w:r>
        <w:rPr>
          <w:rStyle w:val="FootnoteReference"/>
        </w:rPr>
        <w:footnoteRef/>
      </w:r>
      <w:r>
        <w:t xml:space="preserve"> </w:t>
      </w:r>
      <w:r>
        <w:rPr>
          <w:sz w:val="20"/>
        </w:rPr>
        <w:t>The terms “40%” and “100%” refer to notional proportions of standardized annual quantities of basic medical supplies for health facilities in PNG and help identify different phases of recent ‘push’ systems. They are not intended to meet all health facility requirements and other supplies from the ‘pull’ system are required.</w:t>
      </w:r>
    </w:p>
  </w:footnote>
  <w:footnote w:id="7">
    <w:p w14:paraId="425F338E" w14:textId="77777777" w:rsidR="00476B34" w:rsidRPr="007F6B26" w:rsidRDefault="00476B34" w:rsidP="00AB1D94">
      <w:pPr>
        <w:pStyle w:val="FootnoteText"/>
        <w:rPr>
          <w:sz w:val="18"/>
        </w:rPr>
      </w:pPr>
      <w:r w:rsidRPr="007F6B26">
        <w:rPr>
          <w:rStyle w:val="FootnoteReference"/>
          <w:sz w:val="18"/>
        </w:rPr>
        <w:footnoteRef/>
      </w:r>
      <w:r w:rsidRPr="007F6B26">
        <w:rPr>
          <w:sz w:val="18"/>
        </w:rPr>
        <w:t xml:space="preserve"> </w:t>
      </w:r>
      <w:proofErr w:type="spellStart"/>
      <w:r w:rsidRPr="007F6B26">
        <w:rPr>
          <w:rFonts w:asciiTheme="minorHAnsi" w:eastAsiaTheme="minorHAnsi" w:hAnsiTheme="minorHAnsi" w:cstheme="minorBidi"/>
          <w:szCs w:val="22"/>
        </w:rPr>
        <w:t>StataCorp</w:t>
      </w:r>
      <w:proofErr w:type="spellEnd"/>
      <w:r w:rsidRPr="007F6B26">
        <w:rPr>
          <w:rFonts w:asciiTheme="minorHAnsi" w:eastAsiaTheme="minorHAnsi" w:hAnsiTheme="minorHAnsi" w:cstheme="minorBidi"/>
          <w:szCs w:val="22"/>
        </w:rPr>
        <w:t xml:space="preserve">, 4905 </w:t>
      </w:r>
      <w:proofErr w:type="spellStart"/>
      <w:r w:rsidRPr="007F6B26">
        <w:rPr>
          <w:rFonts w:asciiTheme="minorHAnsi" w:eastAsiaTheme="minorHAnsi" w:hAnsiTheme="minorHAnsi" w:cstheme="minorBidi"/>
          <w:szCs w:val="22"/>
        </w:rPr>
        <w:t>Lakeway</w:t>
      </w:r>
      <w:proofErr w:type="spellEnd"/>
      <w:r w:rsidRPr="007F6B26">
        <w:rPr>
          <w:rFonts w:asciiTheme="minorHAnsi" w:eastAsiaTheme="minorHAnsi" w:hAnsiTheme="minorHAnsi" w:cstheme="minorBidi"/>
          <w:szCs w:val="22"/>
        </w:rPr>
        <w:t xml:space="preserve"> Drive, College Station, Texas 77845 USA</w:t>
      </w:r>
      <w:r w:rsidRPr="007F6B26">
        <w:rPr>
          <w:sz w:val="18"/>
        </w:rPr>
        <w:t xml:space="preserve">, </w:t>
      </w:r>
      <w:hyperlink r:id="rId1" w:history="1">
        <w:r w:rsidRPr="007F6B26">
          <w:rPr>
            <w:rStyle w:val="Hyperlink"/>
            <w:sz w:val="18"/>
          </w:rPr>
          <w:t>http://www.stata.com</w:t>
        </w:r>
      </w:hyperlink>
      <w:r w:rsidRPr="007F6B26">
        <w:rPr>
          <w:sz w:val="18"/>
        </w:rPr>
        <w:t xml:space="preserve"> </w:t>
      </w:r>
    </w:p>
  </w:footnote>
  <w:footnote w:id="8">
    <w:p w14:paraId="5949A1C1" w14:textId="77777777" w:rsidR="00476B34" w:rsidRPr="007F6B26" w:rsidRDefault="00476B34" w:rsidP="00AB1D94">
      <w:pPr>
        <w:pStyle w:val="FootnoteText"/>
        <w:rPr>
          <w:sz w:val="18"/>
        </w:rPr>
      </w:pPr>
      <w:r w:rsidRPr="007F6B26">
        <w:rPr>
          <w:rStyle w:val="FootnoteReference"/>
          <w:sz w:val="18"/>
        </w:rPr>
        <w:footnoteRef/>
      </w:r>
      <w:r w:rsidRPr="007F6B26">
        <w:rPr>
          <w:sz w:val="18"/>
        </w:rPr>
        <w:t xml:space="preserve"> </w:t>
      </w:r>
      <w:r w:rsidRPr="007F6B26">
        <w:rPr>
          <w:rFonts w:asciiTheme="minorHAnsi" w:eastAsiaTheme="minorHAnsi" w:hAnsiTheme="minorHAnsi" w:cstheme="minorBidi"/>
          <w:szCs w:val="22"/>
        </w:rPr>
        <w:t>QSR International Inc., 55 Cambridge Street, Burlington, MA 01803, USA</w:t>
      </w:r>
      <w:r w:rsidRPr="007F6B26">
        <w:rPr>
          <w:sz w:val="18"/>
        </w:rPr>
        <w:t xml:space="preserve"> </w:t>
      </w:r>
      <w:hyperlink r:id="rId2" w:history="1">
        <w:r w:rsidRPr="007F6B26">
          <w:rPr>
            <w:rStyle w:val="Hyperlink"/>
            <w:sz w:val="18"/>
          </w:rPr>
          <w:t>www.qsrinternational.com</w:t>
        </w:r>
      </w:hyperlink>
      <w:r w:rsidRPr="007F6B26">
        <w:rPr>
          <w:sz w:val="18"/>
        </w:rPr>
        <w:t xml:space="preserve"> </w:t>
      </w:r>
    </w:p>
    <w:p w14:paraId="78CF5AC7" w14:textId="77777777" w:rsidR="00476B34" w:rsidRPr="00D05082" w:rsidRDefault="00476B34" w:rsidP="00AB1D94">
      <w:pPr>
        <w:pStyle w:val="FootnoteText"/>
      </w:pPr>
    </w:p>
  </w:footnote>
  <w:footnote w:id="9">
    <w:p w14:paraId="45DA7330" w14:textId="3260F23E" w:rsidR="00476B34" w:rsidRPr="007C5778" w:rsidRDefault="00476B34" w:rsidP="006B1711">
      <w:pPr>
        <w:pStyle w:val="FootnoteText"/>
        <w:rPr>
          <w:rFonts w:asciiTheme="minorHAnsi" w:hAnsiTheme="minorHAnsi"/>
          <w:color w:val="000000" w:themeColor="text1"/>
          <w:sz w:val="20"/>
        </w:rPr>
      </w:pPr>
      <w:r w:rsidRPr="007C5778">
        <w:rPr>
          <w:rStyle w:val="FootnoteReference"/>
          <w:rFonts w:asciiTheme="minorHAnsi" w:hAnsiTheme="minorHAnsi"/>
          <w:color w:val="000000" w:themeColor="text1"/>
          <w:sz w:val="20"/>
        </w:rPr>
        <w:footnoteRef/>
      </w:r>
      <w:r w:rsidRPr="007C5778">
        <w:rPr>
          <w:rFonts w:asciiTheme="minorHAnsi" w:hAnsiTheme="minorHAnsi"/>
          <w:color w:val="000000" w:themeColor="text1"/>
          <w:sz w:val="20"/>
        </w:rPr>
        <w:t xml:space="preserve"> </w:t>
      </w:r>
      <w:proofErr w:type="gramStart"/>
      <w:r w:rsidRPr="007C5778">
        <w:rPr>
          <w:rFonts w:asciiTheme="minorHAnsi" w:hAnsiTheme="minorHAnsi"/>
          <w:color w:val="000000" w:themeColor="text1"/>
          <w:sz w:val="20"/>
        </w:rPr>
        <w:t>The distribution of a specific amount of a</w:t>
      </w:r>
      <w:r>
        <w:rPr>
          <w:rFonts w:asciiTheme="minorHAnsi" w:hAnsiTheme="minorHAnsi"/>
          <w:color w:val="000000" w:themeColor="text1"/>
          <w:sz w:val="20"/>
        </w:rPr>
        <w:t>n</w:t>
      </w:r>
      <w:r w:rsidRPr="007C5778">
        <w:rPr>
          <w:rFonts w:asciiTheme="minorHAnsi" w:hAnsiTheme="minorHAnsi"/>
          <w:color w:val="000000" w:themeColor="text1"/>
          <w:sz w:val="20"/>
        </w:rPr>
        <w:t xml:space="preserve"> item to an intermediary stocking facility or a health facility.</w:t>
      </w:r>
      <w:proofErr w:type="gramEnd"/>
    </w:p>
  </w:footnote>
  <w:footnote w:id="10">
    <w:p w14:paraId="6881CBAE" w14:textId="77777777" w:rsidR="00476B34" w:rsidRPr="00205DB0" w:rsidRDefault="00476B34" w:rsidP="001147C8">
      <w:pPr>
        <w:pStyle w:val="FootnoteText"/>
        <w:rPr>
          <w:rFonts w:asciiTheme="minorHAnsi" w:hAnsiTheme="minorHAnsi"/>
          <w:sz w:val="20"/>
        </w:rPr>
      </w:pPr>
      <w:r w:rsidRPr="00205DB0">
        <w:rPr>
          <w:rStyle w:val="FootnoteReference"/>
          <w:rFonts w:asciiTheme="minorHAnsi" w:hAnsiTheme="minorHAnsi"/>
          <w:sz w:val="20"/>
        </w:rPr>
        <w:footnoteRef/>
      </w:r>
      <w:r w:rsidRPr="00205DB0">
        <w:rPr>
          <w:rFonts w:asciiTheme="minorHAnsi" w:hAnsiTheme="minorHAnsi"/>
          <w:sz w:val="20"/>
        </w:rPr>
        <w:t xml:space="preserve"> At AMS Hagen there were 6,600 units of over 20 types of tracheal tubes expired from 2009 to 2012 at an estimated cost of 36,000 kina.  There are 8,700 further tracheal tubes with expiry dates in 2016 and 2017.</w:t>
      </w:r>
    </w:p>
  </w:footnote>
  <w:footnote w:id="11">
    <w:p w14:paraId="1708D077" w14:textId="17C76534" w:rsidR="00476B34" w:rsidRPr="008D11AA" w:rsidRDefault="00476B34">
      <w:pPr>
        <w:pStyle w:val="FootnoteText"/>
        <w:rPr>
          <w:sz w:val="20"/>
        </w:rPr>
      </w:pPr>
      <w:r>
        <w:rPr>
          <w:rStyle w:val="FootnoteReference"/>
        </w:rPr>
        <w:footnoteRef/>
      </w:r>
      <w:r>
        <w:t xml:space="preserve"> </w:t>
      </w:r>
      <w:r>
        <w:rPr>
          <w:sz w:val="20"/>
        </w:rPr>
        <w:t>Pre-registration research by Timothy Yomba, accepted by Pharmaceutical Society, not in formal circulation</w:t>
      </w:r>
    </w:p>
  </w:footnote>
  <w:footnote w:id="12">
    <w:p w14:paraId="612B5950" w14:textId="26C80938" w:rsidR="00476B34" w:rsidRPr="00581511" w:rsidRDefault="00476B34">
      <w:pPr>
        <w:pStyle w:val="FootnoteText"/>
        <w:rPr>
          <w:sz w:val="20"/>
        </w:rPr>
      </w:pPr>
      <w:r>
        <w:rPr>
          <w:rStyle w:val="FootnoteReference"/>
        </w:rPr>
        <w:footnoteRef/>
      </w:r>
      <w:r>
        <w:t xml:space="preserve"> </w:t>
      </w:r>
      <w:r>
        <w:rPr>
          <w:sz w:val="20"/>
        </w:rPr>
        <w:t>Both verbal and written estimates varied.</w:t>
      </w:r>
    </w:p>
  </w:footnote>
  <w:footnote w:id="13">
    <w:p w14:paraId="566FCAD8" w14:textId="0DFE40A6" w:rsidR="00476B34" w:rsidRPr="00B324FB" w:rsidRDefault="00476B34" w:rsidP="002D3800">
      <w:pPr>
        <w:pStyle w:val="FootnoteText"/>
        <w:rPr>
          <w:rFonts w:asciiTheme="minorHAnsi" w:hAnsiTheme="minorHAnsi"/>
          <w:sz w:val="20"/>
        </w:rPr>
      </w:pPr>
      <w:r w:rsidRPr="00B324FB">
        <w:rPr>
          <w:rStyle w:val="FootnoteReference"/>
          <w:rFonts w:asciiTheme="minorHAnsi" w:hAnsiTheme="minorHAnsi"/>
          <w:sz w:val="20"/>
        </w:rPr>
        <w:footnoteRef/>
      </w:r>
      <w:r w:rsidRPr="00B324FB">
        <w:rPr>
          <w:rFonts w:asciiTheme="minorHAnsi" w:hAnsiTheme="minorHAnsi"/>
          <w:sz w:val="20"/>
        </w:rPr>
        <w:t xml:space="preserve"> While a third party is in charge of a specific function (i.e. procurement, distribution etc</w:t>
      </w:r>
      <w:r>
        <w:rPr>
          <w:rFonts w:asciiTheme="minorHAnsi" w:hAnsiTheme="minorHAnsi"/>
          <w:sz w:val="20"/>
        </w:rPr>
        <w:t>…</w:t>
      </w:r>
      <w:r w:rsidRPr="00B324FB">
        <w:rPr>
          <w:rFonts w:asciiTheme="minorHAnsi" w:hAnsiTheme="minorHAnsi"/>
          <w:sz w:val="20"/>
        </w:rPr>
        <w:t>), a 4</w:t>
      </w:r>
      <w:r w:rsidRPr="00B324FB">
        <w:rPr>
          <w:rFonts w:asciiTheme="minorHAnsi" w:hAnsiTheme="minorHAnsi"/>
          <w:sz w:val="20"/>
          <w:vertAlign w:val="superscript"/>
        </w:rPr>
        <w:t>th</w:t>
      </w:r>
      <w:r w:rsidRPr="00B324FB">
        <w:rPr>
          <w:rFonts w:asciiTheme="minorHAnsi" w:hAnsiTheme="minorHAnsi"/>
          <w:sz w:val="20"/>
        </w:rPr>
        <w:t xml:space="preserve"> party logistics (4PL) provider is in charge of the whole management system as it acts as an integrator.</w:t>
      </w:r>
    </w:p>
  </w:footnote>
  <w:footnote w:id="14">
    <w:p w14:paraId="0512FE54" w14:textId="0338BBD7" w:rsidR="00476B34" w:rsidRDefault="00476B34" w:rsidP="00AB5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szCs w:val="19"/>
          <w:lang w:val="en-AU"/>
        </w:rPr>
      </w:pPr>
      <w:r>
        <w:rPr>
          <w:rStyle w:val="FootnoteReference"/>
        </w:rPr>
        <w:footnoteRef/>
      </w:r>
      <w:r>
        <w:t xml:space="preserve"> </w:t>
      </w:r>
      <w:r w:rsidRPr="00AB56A4">
        <w:rPr>
          <w:rFonts w:asciiTheme="minorHAnsi" w:hAnsiTheme="minorHAnsi" w:cs="Arial"/>
          <w:color w:val="000000"/>
          <w:sz w:val="20"/>
          <w:lang w:val="en-AU"/>
        </w:rPr>
        <w:t xml:space="preserve">This concept differs from current arrangements through separating procurement and distribution from other </w:t>
      </w:r>
      <w:r>
        <w:rPr>
          <w:rFonts w:asciiTheme="minorHAnsi" w:hAnsiTheme="minorHAnsi" w:cs="Arial"/>
          <w:color w:val="000000"/>
          <w:sz w:val="20"/>
          <w:lang w:val="en-AU"/>
        </w:rPr>
        <w:t xml:space="preserve">health care </w:t>
      </w:r>
      <w:r w:rsidRPr="00AB56A4">
        <w:rPr>
          <w:rFonts w:asciiTheme="minorHAnsi" w:hAnsiTheme="minorHAnsi" w:cs="Arial"/>
          <w:color w:val="000000"/>
          <w:sz w:val="20"/>
          <w:lang w:val="en-AU"/>
        </w:rPr>
        <w:t>service delivery responsibilities. One successful international example, from India, is the Tamil Nadu Medical Services Corporation Ltd. (TNMSC)</w:t>
      </w:r>
      <w:r>
        <w:rPr>
          <w:rFonts w:asciiTheme="minorHAnsi" w:hAnsiTheme="minorHAnsi" w:cs="Arial"/>
          <w:color w:val="000000"/>
          <w:sz w:val="20"/>
          <w:lang w:val="en-AU"/>
        </w:rPr>
        <w:t xml:space="preserve">, set up in 1994 </w:t>
      </w:r>
      <w:r w:rsidRPr="00AB56A4">
        <w:rPr>
          <w:rFonts w:asciiTheme="minorHAnsi" w:hAnsiTheme="minorHAnsi" w:cs="Arial"/>
          <w:color w:val="000000"/>
          <w:sz w:val="20"/>
          <w:lang w:val="en-AU"/>
        </w:rPr>
        <w:t xml:space="preserve">to ensure availability of all essential drugs and medicines in Indian Government Medical Institutions throughout the State by adopting a streamlined procedure for their procurement, storage and distribution. </w:t>
      </w:r>
      <w:r>
        <w:rPr>
          <w:rFonts w:asciiTheme="minorHAnsi" w:hAnsiTheme="minorHAnsi" w:cs="Arial"/>
          <w:color w:val="000000"/>
          <w:sz w:val="20"/>
          <w:lang w:val="en-AU"/>
        </w:rPr>
        <w:t xml:space="preserve">Their services include life-cycle maintenance of medical equipment, as well as quality assurance for medicines. </w:t>
      </w:r>
      <w:r w:rsidRPr="00AB56A4">
        <w:rPr>
          <w:rFonts w:asciiTheme="minorHAnsi" w:hAnsiTheme="minorHAnsi" w:cs="Arial"/>
          <w:color w:val="000000"/>
          <w:sz w:val="20"/>
          <w:lang w:val="en-AU"/>
        </w:rPr>
        <w:t xml:space="preserve">TNMSC provides technical assistance to countries who would like to establish a similar </w:t>
      </w:r>
      <w:r>
        <w:rPr>
          <w:rFonts w:asciiTheme="minorHAnsi" w:hAnsiTheme="minorHAnsi" w:cs="Arial"/>
          <w:color w:val="000000"/>
          <w:sz w:val="20"/>
          <w:lang w:val="en-AU"/>
        </w:rPr>
        <w:t>arrangement</w:t>
      </w:r>
      <w:r w:rsidRPr="00AB56A4">
        <w:rPr>
          <w:rFonts w:asciiTheme="minorHAnsi" w:hAnsiTheme="minorHAnsi" w:cs="Arial"/>
          <w:color w:val="000000"/>
          <w:sz w:val="20"/>
          <w:lang w:val="en-AU"/>
        </w:rPr>
        <w:t>.</w:t>
      </w:r>
    </w:p>
    <w:p w14:paraId="01937A3F" w14:textId="61012C72" w:rsidR="00476B34" w:rsidRDefault="00476B34">
      <w:pPr>
        <w:pStyle w:val="FootnoteText"/>
      </w:pPr>
    </w:p>
  </w:footnote>
  <w:footnote w:id="15">
    <w:p w14:paraId="4F473D25" w14:textId="77777777" w:rsidR="00476B34" w:rsidRPr="00501F8B" w:rsidRDefault="00476B34">
      <w:pPr>
        <w:pStyle w:val="FootnoteText"/>
        <w:rPr>
          <w:sz w:val="20"/>
        </w:rPr>
      </w:pPr>
      <w:r w:rsidRPr="00501F8B">
        <w:rPr>
          <w:rStyle w:val="FootnoteReference"/>
          <w:sz w:val="20"/>
        </w:rPr>
        <w:footnoteRef/>
      </w:r>
      <w:r w:rsidRPr="00501F8B">
        <w:rPr>
          <w:sz w:val="20"/>
        </w:rPr>
        <w:t xml:space="preserve"> Which despite being based in Port Moresby is to act as a regional, rather than national, store.</w:t>
      </w:r>
    </w:p>
  </w:footnote>
  <w:footnote w:id="16">
    <w:p w14:paraId="7B018330" w14:textId="77777777" w:rsidR="00476B34" w:rsidRPr="00E56652" w:rsidRDefault="00476B34" w:rsidP="008D0521">
      <w:pPr>
        <w:pStyle w:val="FootnoteText"/>
        <w:rPr>
          <w:sz w:val="20"/>
        </w:rPr>
      </w:pPr>
      <w:r>
        <w:rPr>
          <w:rStyle w:val="FootnoteReference"/>
        </w:rPr>
        <w:footnoteRef/>
      </w:r>
      <w:r>
        <w:t xml:space="preserve"> </w:t>
      </w:r>
      <w:r>
        <w:rPr>
          <w:sz w:val="20"/>
        </w:rPr>
        <w:t>Only 12 of the 16 tracer medicines in our survey were expected to be stocked at an AMS.</w:t>
      </w:r>
    </w:p>
  </w:footnote>
  <w:footnote w:id="17">
    <w:p w14:paraId="0412C4F9" w14:textId="6F4BA6D2" w:rsidR="00476B34" w:rsidRPr="002705BF" w:rsidRDefault="00476B34">
      <w:pPr>
        <w:pStyle w:val="FootnoteText"/>
        <w:rPr>
          <w:sz w:val="20"/>
        </w:rPr>
      </w:pPr>
      <w:r w:rsidRPr="002705BF">
        <w:rPr>
          <w:rStyle w:val="FootnoteReference"/>
          <w:sz w:val="20"/>
        </w:rPr>
        <w:footnoteRef/>
      </w:r>
      <w:r w:rsidRPr="002705BF">
        <w:rPr>
          <w:sz w:val="20"/>
        </w:rPr>
        <w:t xml:space="preserve"> Although there are only three AMS in the reorganized system, </w:t>
      </w:r>
      <w:proofErr w:type="spellStart"/>
      <w:r>
        <w:rPr>
          <w:sz w:val="20"/>
        </w:rPr>
        <w:t>Rabaul</w:t>
      </w:r>
      <w:proofErr w:type="spellEnd"/>
      <w:r w:rsidRPr="002705BF">
        <w:rPr>
          <w:sz w:val="20"/>
        </w:rPr>
        <w:t xml:space="preserve"> PTS</w:t>
      </w:r>
      <w:r>
        <w:rPr>
          <w:sz w:val="20"/>
        </w:rPr>
        <w:t xml:space="preserve">, when </w:t>
      </w:r>
      <w:r w:rsidRPr="002705BF">
        <w:rPr>
          <w:sz w:val="20"/>
        </w:rPr>
        <w:t>surveyed</w:t>
      </w:r>
      <w:r>
        <w:rPr>
          <w:sz w:val="20"/>
        </w:rPr>
        <w:t>,</w:t>
      </w:r>
      <w:r w:rsidRPr="002705BF">
        <w:rPr>
          <w:sz w:val="20"/>
        </w:rPr>
        <w:t xml:space="preserve"> was still functioning as an AMS and so was assessed in that category of store.</w:t>
      </w:r>
    </w:p>
  </w:footnote>
  <w:footnote w:id="18">
    <w:p w14:paraId="5F1B33BC" w14:textId="02799DD7" w:rsidR="00476B34" w:rsidRDefault="00476B34" w:rsidP="00C35BF4">
      <w:pPr>
        <w:pStyle w:val="FootnoteText"/>
      </w:pPr>
      <w:r>
        <w:rPr>
          <w:rStyle w:val="FootnoteReference"/>
        </w:rPr>
        <w:footnoteRef/>
      </w:r>
      <w:r>
        <w:t xml:space="preserve"> </w:t>
      </w:r>
      <w:r w:rsidRPr="009B3F32">
        <w:rPr>
          <w:sz w:val="16"/>
          <w:szCs w:val="16"/>
        </w:rPr>
        <w:t>L</w:t>
      </w:r>
      <w:r>
        <w:rPr>
          <w:sz w:val="16"/>
          <w:szCs w:val="16"/>
        </w:rPr>
        <w:t xml:space="preserve">ocated in </w:t>
      </w:r>
      <w:proofErr w:type="spellStart"/>
      <w:r>
        <w:rPr>
          <w:sz w:val="16"/>
          <w:szCs w:val="16"/>
        </w:rPr>
        <w:t>Kokopo</w:t>
      </w:r>
      <w:proofErr w:type="spellEnd"/>
      <w:r>
        <w:rPr>
          <w:sz w:val="16"/>
          <w:szCs w:val="16"/>
        </w:rPr>
        <w:t>, but s</w:t>
      </w:r>
      <w:r w:rsidRPr="00A105B6">
        <w:rPr>
          <w:sz w:val="16"/>
          <w:szCs w:val="16"/>
        </w:rPr>
        <w:t xml:space="preserve">till called </w:t>
      </w:r>
      <w:proofErr w:type="spellStart"/>
      <w:r w:rsidRPr="00A105B6">
        <w:rPr>
          <w:sz w:val="16"/>
          <w:szCs w:val="16"/>
        </w:rPr>
        <w:t>Rabaul</w:t>
      </w:r>
      <w:proofErr w:type="spellEnd"/>
      <w:r>
        <w:t xml:space="preserve"> </w:t>
      </w:r>
      <w:r w:rsidRPr="00764887">
        <w:rPr>
          <w:sz w:val="16"/>
          <w:szCs w:val="16"/>
        </w:rPr>
        <w:t>AMS</w:t>
      </w:r>
      <w:r>
        <w:rPr>
          <w:sz w:val="16"/>
          <w:szCs w:val="16"/>
        </w:rPr>
        <w:t xml:space="preserve">. </w:t>
      </w:r>
    </w:p>
  </w:footnote>
  <w:footnote w:id="19">
    <w:p w14:paraId="319CA4BD" w14:textId="77777777" w:rsidR="00476B34" w:rsidRDefault="00476B34" w:rsidP="00C35BF4">
      <w:pPr>
        <w:pStyle w:val="FootnoteText"/>
      </w:pPr>
      <w:r>
        <w:rPr>
          <w:rStyle w:val="FootnoteReference"/>
        </w:rPr>
        <w:footnoteRef/>
      </w:r>
      <w:r>
        <w:t xml:space="preserve"> </w:t>
      </w:r>
      <w:proofErr w:type="spellStart"/>
      <w:r w:rsidRPr="006630BA">
        <w:rPr>
          <w:sz w:val="16"/>
          <w:szCs w:val="16"/>
        </w:rPr>
        <w:t>Buka</w:t>
      </w:r>
      <w:proofErr w:type="spellEnd"/>
      <w:r w:rsidRPr="006630BA">
        <w:rPr>
          <w:sz w:val="16"/>
          <w:szCs w:val="16"/>
        </w:rPr>
        <w:t xml:space="preserve"> PTS is processing orders unlike other PTSs</w:t>
      </w:r>
    </w:p>
  </w:footnote>
  <w:footnote w:id="20">
    <w:p w14:paraId="562AA513" w14:textId="4601162C" w:rsidR="00476B34" w:rsidRPr="00DD31DC" w:rsidRDefault="00476B34">
      <w:pPr>
        <w:pStyle w:val="FootnoteText"/>
        <w:rPr>
          <w:sz w:val="20"/>
        </w:rPr>
      </w:pPr>
      <w:r>
        <w:rPr>
          <w:rStyle w:val="FootnoteReference"/>
        </w:rPr>
        <w:footnoteRef/>
      </w:r>
      <w:r>
        <w:t xml:space="preserve"> </w:t>
      </w:r>
      <w:proofErr w:type="gramStart"/>
      <w:r w:rsidRPr="00760CE9">
        <w:rPr>
          <w:sz w:val="20"/>
        </w:rPr>
        <w:t>Consolidated spreadsheet as at of 10th May 2013.</w:t>
      </w:r>
      <w:proofErr w:type="gramEnd"/>
      <w:r w:rsidRPr="00760CE9">
        <w:rPr>
          <w:sz w:val="20"/>
        </w:rPr>
        <w:t xml:space="preserve"> However the latest delivery date noted was the clearly impossible 13/12/2013, highlighting the data inconsistencies of this information; cleaning and re-coding was performed by the evaluation team to the extent possible.</w:t>
      </w:r>
    </w:p>
  </w:footnote>
  <w:footnote w:id="21">
    <w:p w14:paraId="2A4C0D91" w14:textId="29006E89" w:rsidR="00476B34" w:rsidRPr="00F51275" w:rsidRDefault="00476B34">
      <w:pPr>
        <w:pStyle w:val="FootnoteText"/>
        <w:rPr>
          <w:sz w:val="20"/>
        </w:rPr>
      </w:pPr>
      <w:r>
        <w:rPr>
          <w:rStyle w:val="FootnoteReference"/>
        </w:rPr>
        <w:footnoteRef/>
      </w:r>
      <w:r>
        <w:t xml:space="preserve"> </w:t>
      </w:r>
      <w:r w:rsidRPr="00F51275">
        <w:rPr>
          <w:sz w:val="20"/>
        </w:rPr>
        <w:t>Remoteness report from CKP, dated 28</w:t>
      </w:r>
      <w:r w:rsidRPr="00F51275">
        <w:rPr>
          <w:sz w:val="20"/>
          <w:vertAlign w:val="superscript"/>
        </w:rPr>
        <w:t>th</w:t>
      </w:r>
      <w:r w:rsidRPr="00F51275">
        <w:rPr>
          <w:sz w:val="20"/>
        </w:rPr>
        <w:t xml:space="preserve"> May 2013</w:t>
      </w:r>
    </w:p>
  </w:footnote>
  <w:footnote w:id="22">
    <w:p w14:paraId="637C626A" w14:textId="1A88A91A" w:rsidR="00476B34" w:rsidRPr="004D2B1D" w:rsidRDefault="00476B34">
      <w:pPr>
        <w:pStyle w:val="FootnoteText"/>
        <w:rPr>
          <w:sz w:val="20"/>
        </w:rPr>
      </w:pPr>
      <w:r>
        <w:rPr>
          <w:rStyle w:val="FootnoteReference"/>
        </w:rPr>
        <w:footnoteRef/>
      </w:r>
      <w:r>
        <w:t xml:space="preserve"> </w:t>
      </w:r>
      <w:r w:rsidRPr="004D2B1D">
        <w:rPr>
          <w:sz w:val="20"/>
        </w:rPr>
        <w:t>Quantification of this qualitative HF survey data is not helpful, due to the purposeful sampling employed.</w:t>
      </w:r>
    </w:p>
  </w:footnote>
  <w:footnote w:id="23">
    <w:p w14:paraId="4524202E" w14:textId="423CC330" w:rsidR="00476B34" w:rsidRPr="00CC7BEC" w:rsidRDefault="00476B34">
      <w:pPr>
        <w:pStyle w:val="FootnoteText"/>
        <w:rPr>
          <w:sz w:val="20"/>
        </w:rPr>
      </w:pPr>
      <w:r>
        <w:rPr>
          <w:rStyle w:val="FootnoteReference"/>
        </w:rPr>
        <w:footnoteRef/>
      </w:r>
      <w:r>
        <w:t xml:space="preserve"> </w:t>
      </w:r>
      <w:r w:rsidRPr="00CC7BEC">
        <w:rPr>
          <w:sz w:val="20"/>
        </w:rPr>
        <w:t>Note that this is a different priority ranking system than the one we use in Section 8.</w:t>
      </w:r>
    </w:p>
  </w:footnote>
  <w:footnote w:id="24">
    <w:p w14:paraId="0AB37FEB" w14:textId="77777777" w:rsidR="00476B34" w:rsidRPr="002E5C2D" w:rsidRDefault="00476B34" w:rsidP="002E5C2D">
      <w:pPr>
        <w:pStyle w:val="FootnoteText"/>
        <w:rPr>
          <w:sz w:val="18"/>
          <w:szCs w:val="18"/>
        </w:rPr>
      </w:pPr>
      <w:r w:rsidRPr="002E5C2D">
        <w:rPr>
          <w:rStyle w:val="FootnoteReference"/>
          <w:sz w:val="18"/>
          <w:szCs w:val="18"/>
        </w:rPr>
        <w:footnoteRef/>
      </w:r>
      <w:r w:rsidRPr="002E5C2D">
        <w:rPr>
          <w:sz w:val="18"/>
          <w:szCs w:val="18"/>
        </w:rPr>
        <w:t xml:space="preserve"> </w:t>
      </w:r>
      <w:hyperlink r:id="rId3" w:history="1">
        <w:r w:rsidRPr="002E5C2D">
          <w:rPr>
            <w:rStyle w:val="Hyperlink"/>
            <w:sz w:val="18"/>
            <w:szCs w:val="18"/>
          </w:rPr>
          <w:t>http://www.pharmascholars.com/admin1/files/23002.pdf</w:t>
        </w:r>
      </w:hyperlink>
      <w:r w:rsidRPr="002E5C2D">
        <w:rPr>
          <w:sz w:val="18"/>
          <w:szCs w:val="18"/>
        </w:rPr>
        <w:t xml:space="preserve"> </w:t>
      </w:r>
    </w:p>
  </w:footnote>
  <w:footnote w:id="25">
    <w:p w14:paraId="233F0528" w14:textId="77777777" w:rsidR="00476B34" w:rsidRPr="002E5C2D" w:rsidRDefault="00476B34">
      <w:pPr>
        <w:pStyle w:val="FootnoteText"/>
        <w:rPr>
          <w:sz w:val="18"/>
          <w:szCs w:val="18"/>
        </w:rPr>
      </w:pPr>
      <w:r w:rsidRPr="002E5C2D">
        <w:rPr>
          <w:rStyle w:val="FootnoteReference"/>
          <w:sz w:val="18"/>
          <w:szCs w:val="18"/>
        </w:rPr>
        <w:footnoteRef/>
      </w:r>
      <w:r w:rsidRPr="002E5C2D">
        <w:rPr>
          <w:sz w:val="18"/>
          <w:szCs w:val="18"/>
        </w:rPr>
        <w:t xml:space="preserve"> Defined as absence of the supply for at least one week in the month being reported.</w:t>
      </w:r>
    </w:p>
  </w:footnote>
  <w:footnote w:id="26">
    <w:p w14:paraId="43B59E81" w14:textId="77777777" w:rsidR="00476B34" w:rsidRPr="00A0563F" w:rsidRDefault="00476B34">
      <w:pPr>
        <w:pStyle w:val="FootnoteText"/>
        <w:rPr>
          <w:sz w:val="18"/>
          <w:szCs w:val="18"/>
        </w:rPr>
      </w:pPr>
      <w:r w:rsidRPr="00A0563F">
        <w:rPr>
          <w:rStyle w:val="FootnoteReference"/>
          <w:sz w:val="18"/>
          <w:szCs w:val="18"/>
        </w:rPr>
        <w:footnoteRef/>
      </w:r>
      <w:r w:rsidRPr="00A0563F">
        <w:rPr>
          <w:sz w:val="18"/>
          <w:szCs w:val="18"/>
        </w:rPr>
        <w:t xml:space="preserve"> Statistical test for two proportions, comparing 2010 and 2012, p &lt;0.5</w:t>
      </w:r>
    </w:p>
  </w:footnote>
  <w:footnote w:id="27">
    <w:p w14:paraId="1A8802BD" w14:textId="5991827A" w:rsidR="00476B34" w:rsidRPr="00C715EE" w:rsidRDefault="00476B34">
      <w:pPr>
        <w:pStyle w:val="FootnoteText"/>
        <w:rPr>
          <w:sz w:val="20"/>
        </w:rPr>
      </w:pPr>
      <w:r>
        <w:rPr>
          <w:rStyle w:val="FootnoteReference"/>
        </w:rPr>
        <w:footnoteRef/>
      </w:r>
      <w:r>
        <w:t xml:space="preserve"> </w:t>
      </w:r>
      <w:r>
        <w:rPr>
          <w:sz w:val="20"/>
        </w:rPr>
        <w:t>Even though this was the case, some of our data collectors had difficult accurately recording the brand of medicine – so this is subject to some margin of error, which we estimate at about 10%, as noted in the Annex.</w:t>
      </w:r>
    </w:p>
  </w:footnote>
  <w:footnote w:id="28">
    <w:p w14:paraId="6E2B6067" w14:textId="12DF13ED" w:rsidR="00476B34" w:rsidRPr="008D11AA" w:rsidRDefault="00476B34">
      <w:pPr>
        <w:pStyle w:val="FootnoteText"/>
        <w:rPr>
          <w:sz w:val="20"/>
        </w:rPr>
      </w:pPr>
      <w:r>
        <w:rPr>
          <w:rStyle w:val="FootnoteReference"/>
        </w:rPr>
        <w:footnoteRef/>
      </w:r>
      <w:r>
        <w:t xml:space="preserve"> </w:t>
      </w:r>
      <w:r>
        <w:rPr>
          <w:sz w:val="20"/>
        </w:rPr>
        <w:t>Our choice of tracer medicines combined competing priorities: the need to be close to the WHO 15 tracer standard; the need to include both ‘push’ and ‘pull’-only medicines; and the need to include medicines that were not yet in the ‘push’ system but which would be in the future.</w:t>
      </w:r>
    </w:p>
  </w:footnote>
  <w:footnote w:id="29">
    <w:p w14:paraId="6B4AFD5F" w14:textId="77777777" w:rsidR="00476B34" w:rsidRPr="00A079FE" w:rsidRDefault="00476B34" w:rsidP="00C16631">
      <w:pPr>
        <w:pStyle w:val="FootnoteText"/>
        <w:rPr>
          <w:sz w:val="20"/>
        </w:rPr>
      </w:pPr>
      <w:r w:rsidRPr="00A079FE">
        <w:rPr>
          <w:rStyle w:val="FootnoteReference"/>
          <w:sz w:val="20"/>
        </w:rPr>
        <w:footnoteRef/>
      </w:r>
      <w:r w:rsidRPr="00A079FE">
        <w:rPr>
          <w:sz w:val="20"/>
        </w:rPr>
        <w:t xml:space="preserve"> Amoxicillin tab, </w:t>
      </w:r>
      <w:proofErr w:type="spellStart"/>
      <w:r w:rsidRPr="00A079FE">
        <w:rPr>
          <w:sz w:val="20"/>
        </w:rPr>
        <w:t>Artesunate</w:t>
      </w:r>
      <w:proofErr w:type="spellEnd"/>
      <w:r w:rsidRPr="00A079FE">
        <w:rPr>
          <w:sz w:val="20"/>
        </w:rPr>
        <w:t xml:space="preserve"> suppository, </w:t>
      </w:r>
      <w:proofErr w:type="spellStart"/>
      <w:r w:rsidRPr="00A079FE">
        <w:rPr>
          <w:sz w:val="20"/>
        </w:rPr>
        <w:t>Cotrimoxazole</w:t>
      </w:r>
      <w:proofErr w:type="spellEnd"/>
      <w:r w:rsidRPr="00A079FE">
        <w:rPr>
          <w:sz w:val="20"/>
        </w:rPr>
        <w:t xml:space="preserve"> tab, ferrous/folic, ORS, Vitamin A and Zinc</w:t>
      </w:r>
    </w:p>
  </w:footnote>
  <w:footnote w:id="30">
    <w:p w14:paraId="6080B151" w14:textId="77777777" w:rsidR="00476B34" w:rsidRPr="00A079FE" w:rsidRDefault="00476B34" w:rsidP="00A079FE">
      <w:pPr>
        <w:pStyle w:val="FootnoteText"/>
        <w:rPr>
          <w:sz w:val="20"/>
        </w:rPr>
      </w:pPr>
      <w:r w:rsidRPr="00A079FE">
        <w:rPr>
          <w:rStyle w:val="FootnoteReference"/>
          <w:sz w:val="20"/>
        </w:rPr>
        <w:footnoteRef/>
      </w:r>
      <w:r w:rsidRPr="00A079FE">
        <w:rPr>
          <w:sz w:val="20"/>
        </w:rPr>
        <w:t xml:space="preserve"> HFs could choose to take multiple concurrent actions </w:t>
      </w:r>
    </w:p>
  </w:footnote>
  <w:footnote w:id="31">
    <w:p w14:paraId="441F550E" w14:textId="77777777" w:rsidR="00476B34" w:rsidRPr="00A079FE" w:rsidRDefault="00476B34" w:rsidP="00A079FE">
      <w:pPr>
        <w:pStyle w:val="FootnoteText"/>
        <w:rPr>
          <w:sz w:val="20"/>
        </w:rPr>
      </w:pPr>
      <w:r w:rsidRPr="00A079FE">
        <w:rPr>
          <w:rStyle w:val="FootnoteReference"/>
          <w:sz w:val="20"/>
        </w:rPr>
        <w:footnoteRef/>
      </w:r>
      <w:r w:rsidRPr="00A079FE">
        <w:rPr>
          <w:sz w:val="20"/>
        </w:rPr>
        <w:t xml:space="preserve"> Only 9 hospital responded to this question</w:t>
      </w:r>
    </w:p>
  </w:footnote>
  <w:footnote w:id="32">
    <w:p w14:paraId="28D4E59B" w14:textId="651D257D" w:rsidR="00476B34" w:rsidRPr="00E335D6" w:rsidRDefault="00476B34" w:rsidP="009A622A">
      <w:pPr>
        <w:pStyle w:val="FootnoteText"/>
        <w:rPr>
          <w:sz w:val="20"/>
        </w:rPr>
      </w:pPr>
      <w:r>
        <w:rPr>
          <w:rStyle w:val="FootnoteReference"/>
        </w:rPr>
        <w:footnoteRef/>
      </w:r>
      <w:r>
        <w:t xml:space="preserve"> </w:t>
      </w:r>
      <w:r>
        <w:rPr>
          <w:sz w:val="20"/>
        </w:rPr>
        <w:t xml:space="preserve">Dispensing labels should not be confused with the medicine identification labels applied by the manufacturer and/or distributor. Manufacturer-applied medicine identification labels also varied, although those on IDA medicines were noted as being of high quality by most respondents. </w:t>
      </w:r>
    </w:p>
  </w:footnote>
  <w:footnote w:id="33">
    <w:p w14:paraId="0361B49D" w14:textId="77777777" w:rsidR="00476B34" w:rsidRPr="000D68A6" w:rsidRDefault="00476B34" w:rsidP="00B75041">
      <w:pPr>
        <w:pStyle w:val="FootnoteText"/>
        <w:rPr>
          <w:sz w:val="20"/>
        </w:rPr>
      </w:pPr>
      <w:r>
        <w:rPr>
          <w:rStyle w:val="FootnoteReference"/>
        </w:rPr>
        <w:footnoteRef/>
      </w:r>
      <w:r>
        <w:t xml:space="preserve"> </w:t>
      </w:r>
      <w:r>
        <w:rPr>
          <w:sz w:val="20"/>
        </w:rPr>
        <w:t>Other information received suggests that shortage of this may be a global problem in the short-term.</w:t>
      </w:r>
    </w:p>
  </w:footnote>
  <w:footnote w:id="34">
    <w:p w14:paraId="7564FF7A" w14:textId="7280F6BB" w:rsidR="00476B34" w:rsidRDefault="00476B34">
      <w:pPr>
        <w:pStyle w:val="FootnoteText"/>
      </w:pPr>
      <w:r>
        <w:rPr>
          <w:rStyle w:val="FootnoteReference"/>
        </w:rPr>
        <w:footnoteRef/>
      </w:r>
      <w:r>
        <w:t xml:space="preserve"> </w:t>
      </w:r>
      <w:r w:rsidRPr="00715A64">
        <w:rPr>
          <w:sz w:val="20"/>
        </w:rPr>
        <w:t xml:space="preserve">Deficiencies in the coding database meant we were </w:t>
      </w:r>
      <w:r>
        <w:rPr>
          <w:sz w:val="20"/>
        </w:rPr>
        <w:t>only able</w:t>
      </w:r>
      <w:r w:rsidRPr="00715A64">
        <w:rPr>
          <w:sz w:val="20"/>
        </w:rPr>
        <w:t xml:space="preserve"> to code </w:t>
      </w:r>
      <w:r>
        <w:rPr>
          <w:sz w:val="20"/>
        </w:rPr>
        <w:t>these regions at the time of analysis, however future work may be able to provide more detailed comparisons.</w:t>
      </w:r>
    </w:p>
  </w:footnote>
  <w:footnote w:id="35">
    <w:p w14:paraId="20C49E74" w14:textId="77777777" w:rsidR="00476B34" w:rsidRPr="00436966" w:rsidRDefault="00476B34" w:rsidP="00E05CBF">
      <w:pPr>
        <w:pStyle w:val="FootnoteText"/>
        <w:jc w:val="left"/>
        <w:rPr>
          <w:sz w:val="20"/>
        </w:rPr>
      </w:pPr>
      <w:r>
        <w:rPr>
          <w:rStyle w:val="FootnoteReference"/>
        </w:rPr>
        <w:footnoteRef/>
      </w:r>
      <w:r>
        <w:t xml:space="preserve"> </w:t>
      </w:r>
      <w:r w:rsidRPr="00436966">
        <w:rPr>
          <w:sz w:val="20"/>
        </w:rPr>
        <w:t>Available from several sources, for example: http://www.jhsph.edu/departments/international-health/centers-and-institutes/institute-for-international-programs/list/</w:t>
      </w:r>
    </w:p>
  </w:footnote>
  <w:footnote w:id="36">
    <w:p w14:paraId="09169F7B" w14:textId="5AC3DE1D" w:rsidR="00476B34" w:rsidRPr="008D11AA" w:rsidRDefault="00476B34" w:rsidP="008D11AA">
      <w:pPr>
        <w:pStyle w:val="CommentText"/>
        <w:rPr>
          <w:sz w:val="20"/>
        </w:rPr>
      </w:pPr>
      <w:r>
        <w:rPr>
          <w:rStyle w:val="FootnoteReference"/>
        </w:rPr>
        <w:footnoteRef/>
      </w:r>
      <w:r>
        <w:t xml:space="preserve"> </w:t>
      </w:r>
      <w:r w:rsidRPr="008D11AA">
        <w:rPr>
          <w:sz w:val="20"/>
        </w:rPr>
        <w:t>Perhaps drawing on WHO tools such as at</w:t>
      </w:r>
      <w:r>
        <w:rPr>
          <w:sz w:val="20"/>
        </w:rPr>
        <w:t xml:space="preserve"> </w:t>
      </w:r>
      <w:hyperlink r:id="rId4" w:history="1">
        <w:r w:rsidRPr="008D11AA">
          <w:rPr>
            <w:rStyle w:val="Hyperlink"/>
            <w:sz w:val="20"/>
          </w:rPr>
          <w:t>http://apps.who.int/medicinedocs/en/d/Jh2931e/3.html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9FDAC" w14:textId="77777777" w:rsidR="000F15B4" w:rsidRDefault="000F1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ACB22" w14:textId="176F77D0" w:rsidR="00476B34" w:rsidRPr="00FB1EDA" w:rsidRDefault="00476B34">
    <w:pPr>
      <w:pStyle w:val="Header"/>
      <w:rPr>
        <w:sz w:val="20"/>
      </w:rPr>
    </w:pPr>
    <w:r>
      <w:rPr>
        <w:sz w:val="20"/>
      </w:rPr>
      <w:t>Year One Evaluation Report</w:t>
    </w:r>
    <w:r>
      <w:rPr>
        <w:sz w:val="20"/>
      </w:rPr>
      <w:tab/>
    </w:r>
    <w:r>
      <w:rPr>
        <w:sz w:val="20"/>
      </w:rPr>
      <w:tab/>
      <w:t>Medical Supply Reform Impact Evaluation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636CC" w14:textId="77777777" w:rsidR="000F15B4" w:rsidRDefault="000F1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D971191"/>
    <w:multiLevelType w:val="hybridMultilevel"/>
    <w:tmpl w:val="3F7A8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22E95"/>
    <w:multiLevelType w:val="hybridMultilevel"/>
    <w:tmpl w:val="8EA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0770C"/>
    <w:multiLevelType w:val="multilevel"/>
    <w:tmpl w:val="18001CE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0531A1"/>
    <w:multiLevelType w:val="hybridMultilevel"/>
    <w:tmpl w:val="6B949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6B5C3F"/>
    <w:multiLevelType w:val="hybridMultilevel"/>
    <w:tmpl w:val="B170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458CB"/>
    <w:multiLevelType w:val="hybridMultilevel"/>
    <w:tmpl w:val="4E208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9910EE"/>
    <w:multiLevelType w:val="hybridMultilevel"/>
    <w:tmpl w:val="556C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665BC"/>
    <w:multiLevelType w:val="hybridMultilevel"/>
    <w:tmpl w:val="4F9204A0"/>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BF1293"/>
    <w:multiLevelType w:val="hybridMultilevel"/>
    <w:tmpl w:val="AF084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F10611"/>
    <w:multiLevelType w:val="hybridMultilevel"/>
    <w:tmpl w:val="E31EB432"/>
    <w:lvl w:ilvl="0" w:tplc="8C0040BE">
      <w:start w:val="1"/>
      <w:numFmt w:val="bullet"/>
      <w:pStyle w:val="grey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47363D"/>
    <w:multiLevelType w:val="hybridMultilevel"/>
    <w:tmpl w:val="DB1E9B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1F2E4FC5"/>
    <w:multiLevelType w:val="hybridMultilevel"/>
    <w:tmpl w:val="217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B602F"/>
    <w:multiLevelType w:val="hybridMultilevel"/>
    <w:tmpl w:val="A5BE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E69D0"/>
    <w:multiLevelType w:val="hybridMultilevel"/>
    <w:tmpl w:val="545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BB1DA7"/>
    <w:multiLevelType w:val="hybridMultilevel"/>
    <w:tmpl w:val="7F185B82"/>
    <w:lvl w:ilvl="0" w:tplc="2D940F9C">
      <w:start w:val="2"/>
      <w:numFmt w:val="bullet"/>
      <w:lvlText w:val="-"/>
      <w:lvlJc w:val="left"/>
      <w:pPr>
        <w:ind w:left="768" w:hanging="360"/>
      </w:pPr>
      <w:rPr>
        <w:rFonts w:ascii="Calibri" w:eastAsiaTheme="minorEastAsia" w:hAnsi="Calibri" w:cstheme="minorBidi"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27540D3E"/>
    <w:multiLevelType w:val="hybridMultilevel"/>
    <w:tmpl w:val="46D603E2"/>
    <w:lvl w:ilvl="0" w:tplc="FFFFFFFF">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452303"/>
    <w:multiLevelType w:val="hybridMultilevel"/>
    <w:tmpl w:val="E8CE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1363E0"/>
    <w:multiLevelType w:val="hybridMultilevel"/>
    <w:tmpl w:val="85DC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472ED"/>
    <w:multiLevelType w:val="hybridMultilevel"/>
    <w:tmpl w:val="8E98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63471"/>
    <w:multiLevelType w:val="hybridMultilevel"/>
    <w:tmpl w:val="3DB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E4251"/>
    <w:multiLevelType w:val="hybridMultilevel"/>
    <w:tmpl w:val="E148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A52A3"/>
    <w:multiLevelType w:val="hybridMultilevel"/>
    <w:tmpl w:val="0E20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B70CF"/>
    <w:multiLevelType w:val="hybridMultilevel"/>
    <w:tmpl w:val="22DC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B65D0F"/>
    <w:multiLevelType w:val="hybridMultilevel"/>
    <w:tmpl w:val="F1FE4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547A39"/>
    <w:multiLevelType w:val="hybridMultilevel"/>
    <w:tmpl w:val="3CA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F348BF"/>
    <w:multiLevelType w:val="hybridMultilevel"/>
    <w:tmpl w:val="F55E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F1005"/>
    <w:multiLevelType w:val="hybridMultilevel"/>
    <w:tmpl w:val="7D66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nsid w:val="4C66359F"/>
    <w:multiLevelType w:val="hybridMultilevel"/>
    <w:tmpl w:val="AB06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F476B1"/>
    <w:multiLevelType w:val="hybridMultilevel"/>
    <w:tmpl w:val="7D44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271426"/>
    <w:multiLevelType w:val="hybridMultilevel"/>
    <w:tmpl w:val="274E4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153F54"/>
    <w:multiLevelType w:val="hybridMultilevel"/>
    <w:tmpl w:val="8BC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FA3248"/>
    <w:multiLevelType w:val="hybridMultilevel"/>
    <w:tmpl w:val="890035D8"/>
    <w:lvl w:ilvl="0" w:tplc="0409000F">
      <w:start w:val="1"/>
      <w:numFmt w:val="decimal"/>
      <w:pStyle w:val="HEAD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3547997"/>
    <w:multiLevelType w:val="hybridMultilevel"/>
    <w:tmpl w:val="BC5C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7B678B"/>
    <w:multiLevelType w:val="hybridMultilevel"/>
    <w:tmpl w:val="3FB8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5B05FF"/>
    <w:multiLevelType w:val="hybridMultilevel"/>
    <w:tmpl w:val="6DFE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253E32"/>
    <w:multiLevelType w:val="hybridMultilevel"/>
    <w:tmpl w:val="9880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2C4865"/>
    <w:multiLevelType w:val="hybridMultilevel"/>
    <w:tmpl w:val="FE14EF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nsid w:val="5BD71109"/>
    <w:multiLevelType w:val="hybridMultilevel"/>
    <w:tmpl w:val="500A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5703A0"/>
    <w:multiLevelType w:val="hybridMultilevel"/>
    <w:tmpl w:val="7FDEFB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nsid w:val="62B20166"/>
    <w:multiLevelType w:val="hybridMultilevel"/>
    <w:tmpl w:val="AF70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47760C"/>
    <w:multiLevelType w:val="hybridMultilevel"/>
    <w:tmpl w:val="DFFA0552"/>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3">
    <w:nsid w:val="63655D82"/>
    <w:multiLevelType w:val="hybridMultilevel"/>
    <w:tmpl w:val="126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F264CF"/>
    <w:multiLevelType w:val="multilevel"/>
    <w:tmpl w:val="EBE67136"/>
    <w:lvl w:ilvl="0">
      <w:start w:val="1"/>
      <w:numFmt w:val="decimal"/>
      <w:lvlText w:val="%1"/>
      <w:lvlJc w:val="right"/>
      <w:pPr>
        <w:tabs>
          <w:tab w:val="num" w:pos="454"/>
        </w:tabs>
        <w:ind w:left="454" w:hanging="454"/>
      </w:pPr>
      <w:rPr>
        <w:rFonts w:cs="Times New Roman" w:hint="default"/>
        <w:b w:val="0"/>
        <w:i w:val="0"/>
        <w:color w:val="AD495D"/>
      </w:rPr>
    </w:lvl>
    <w:lvl w:ilvl="1">
      <w:start w:val="1"/>
      <w:numFmt w:val="upperLetter"/>
      <w:lvlText w:val="%2)"/>
      <w:lvlJc w:val="left"/>
      <w:pPr>
        <w:tabs>
          <w:tab w:val="num" w:pos="360"/>
        </w:tabs>
        <w:ind w:left="360" w:hanging="360"/>
      </w:pPr>
      <w:rPr>
        <w:rFonts w:cs="Times New Roman" w:hint="default"/>
        <w:b w:val="0"/>
        <w:i w:val="0"/>
        <w:color w:val="AD495D"/>
      </w:rPr>
    </w:lvl>
    <w:lvl w:ilvl="2">
      <w:start w:val="1"/>
      <w:numFmt w:val="none"/>
      <w:lvlRestart w:val="0"/>
      <w:lvlText w:val=""/>
      <w:lvlJc w:val="left"/>
      <w:pPr>
        <w:tabs>
          <w:tab w:val="num" w:pos="0"/>
        </w:tabs>
      </w:pPr>
      <w:rPr>
        <w:rFonts w:cs="Times New Roman" w:hint="default"/>
      </w:rPr>
    </w:lvl>
    <w:lvl w:ilvl="3">
      <w:start w:val="1"/>
      <w:numFmt w:val="none"/>
      <w:lvlRestart w:val="0"/>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0"/>
        </w:tabs>
      </w:pPr>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lvlText w:val=""/>
      <w:lvlJc w:val="left"/>
      <w:pPr>
        <w:tabs>
          <w:tab w:val="num" w:pos="0"/>
        </w:tabs>
      </w:pPr>
      <w:rPr>
        <w:rFonts w:cs="Times New Roman" w:hint="default"/>
      </w:rPr>
    </w:lvl>
  </w:abstractNum>
  <w:abstractNum w:abstractNumId="45">
    <w:nsid w:val="66FA41C6"/>
    <w:multiLevelType w:val="hybridMultilevel"/>
    <w:tmpl w:val="30BE72EC"/>
    <w:lvl w:ilvl="0" w:tplc="FFFFFFFF">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5E0148"/>
    <w:multiLevelType w:val="hybridMultilevel"/>
    <w:tmpl w:val="C82A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2B6A01"/>
    <w:multiLevelType w:val="hybridMultilevel"/>
    <w:tmpl w:val="EC900B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8">
    <w:nsid w:val="76F84EF7"/>
    <w:multiLevelType w:val="hybridMultilevel"/>
    <w:tmpl w:val="5EEA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912E7D"/>
    <w:multiLevelType w:val="hybridMultilevel"/>
    <w:tmpl w:val="4554F7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0">
    <w:nsid w:val="78923A9E"/>
    <w:multiLevelType w:val="hybridMultilevel"/>
    <w:tmpl w:val="F1FE4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A0A12CA"/>
    <w:multiLevelType w:val="hybridMultilevel"/>
    <w:tmpl w:val="2384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8B4B1B"/>
    <w:multiLevelType w:val="hybridMultilevel"/>
    <w:tmpl w:val="42AE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300E8F"/>
    <w:multiLevelType w:val="hybridMultilevel"/>
    <w:tmpl w:val="90D2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5F7D25"/>
    <w:multiLevelType w:val="hybridMultilevel"/>
    <w:tmpl w:val="9336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7A528B"/>
    <w:multiLevelType w:val="hybridMultilevel"/>
    <w:tmpl w:val="E5FC7CD0"/>
    <w:lvl w:ilvl="0" w:tplc="E49EFDC4">
      <w:start w:val="1"/>
      <w:numFmt w:val="bullet"/>
      <w:pStyle w:val="ListBullet"/>
      <w:lvlText w:val="&gt;"/>
      <w:lvlJc w:val="left"/>
      <w:pPr>
        <w:tabs>
          <w:tab w:val="num" w:pos="284"/>
        </w:tabs>
        <w:ind w:left="284" w:hanging="284"/>
      </w:pPr>
      <w:rPr>
        <w:rFonts w:hint="default"/>
        <w:color w:val="auto"/>
        <w:position w:val="3"/>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5"/>
      <w:numFmt w:val="bullet"/>
      <w:lvlText w:val="-"/>
      <w:lvlJc w:val="left"/>
      <w:pPr>
        <w:tabs>
          <w:tab w:val="num" w:pos="2160"/>
        </w:tabs>
        <w:ind w:left="2160" w:hanging="360"/>
      </w:pPr>
      <w:rPr>
        <w:rFonts w:ascii="Georgia" w:eastAsia="Times New Roman" w:hAnsi="Georgia"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55"/>
  </w:num>
  <w:num w:numId="3">
    <w:abstractNumId w:val="28"/>
  </w:num>
  <w:num w:numId="4">
    <w:abstractNumId w:val="33"/>
  </w:num>
  <w:num w:numId="5">
    <w:abstractNumId w:val="8"/>
  </w:num>
  <w:num w:numId="6">
    <w:abstractNumId w:val="10"/>
  </w:num>
  <w:num w:numId="7">
    <w:abstractNumId w:val="3"/>
  </w:num>
  <w:num w:numId="8">
    <w:abstractNumId w:val="23"/>
  </w:num>
  <w:num w:numId="9">
    <w:abstractNumId w:val="32"/>
  </w:num>
  <w:num w:numId="10">
    <w:abstractNumId w:val="15"/>
  </w:num>
  <w:num w:numId="11">
    <w:abstractNumId w:val="34"/>
  </w:num>
  <w:num w:numId="12">
    <w:abstractNumId w:val="22"/>
  </w:num>
  <w:num w:numId="13">
    <w:abstractNumId w:val="12"/>
  </w:num>
  <w:num w:numId="14">
    <w:abstractNumId w:val="14"/>
  </w:num>
  <w:num w:numId="15">
    <w:abstractNumId w:val="31"/>
  </w:num>
  <w:num w:numId="16">
    <w:abstractNumId w:val="2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7"/>
  </w:num>
  <w:num w:numId="20">
    <w:abstractNumId w:val="7"/>
  </w:num>
  <w:num w:numId="21">
    <w:abstractNumId w:val="36"/>
  </w:num>
  <w:num w:numId="22">
    <w:abstractNumId w:val="52"/>
  </w:num>
  <w:num w:numId="23">
    <w:abstractNumId w:val="40"/>
  </w:num>
  <w:num w:numId="24">
    <w:abstractNumId w:val="51"/>
  </w:num>
  <w:num w:numId="25">
    <w:abstractNumId w:val="5"/>
  </w:num>
  <w:num w:numId="26">
    <w:abstractNumId w:val="49"/>
  </w:num>
  <w:num w:numId="27">
    <w:abstractNumId w:val="46"/>
  </w:num>
  <w:num w:numId="28">
    <w:abstractNumId w:val="11"/>
  </w:num>
  <w:num w:numId="29">
    <w:abstractNumId w:val="47"/>
  </w:num>
  <w:num w:numId="30">
    <w:abstractNumId w:val="38"/>
  </w:num>
  <w:num w:numId="31">
    <w:abstractNumId w:val="39"/>
  </w:num>
  <w:num w:numId="32">
    <w:abstractNumId w:val="43"/>
  </w:num>
  <w:num w:numId="33">
    <w:abstractNumId w:val="18"/>
  </w:num>
  <w:num w:numId="34">
    <w:abstractNumId w:val="17"/>
  </w:num>
  <w:num w:numId="35">
    <w:abstractNumId w:val="42"/>
  </w:num>
  <w:num w:numId="36">
    <w:abstractNumId w:val="41"/>
  </w:num>
  <w:num w:numId="37">
    <w:abstractNumId w:val="26"/>
  </w:num>
  <w:num w:numId="38">
    <w:abstractNumId w:val="20"/>
  </w:num>
  <w:num w:numId="39">
    <w:abstractNumId w:val="21"/>
  </w:num>
  <w:num w:numId="40">
    <w:abstractNumId w:val="19"/>
  </w:num>
  <w:num w:numId="41">
    <w:abstractNumId w:val="1"/>
  </w:num>
  <w:num w:numId="42">
    <w:abstractNumId w:val="30"/>
  </w:num>
  <w:num w:numId="43">
    <w:abstractNumId w:val="6"/>
  </w:num>
  <w:num w:numId="44">
    <w:abstractNumId w:val="9"/>
  </w:num>
  <w:num w:numId="45">
    <w:abstractNumId w:val="24"/>
  </w:num>
  <w:num w:numId="46">
    <w:abstractNumId w:val="50"/>
  </w:num>
  <w:num w:numId="47">
    <w:abstractNumId w:val="45"/>
  </w:num>
  <w:num w:numId="48">
    <w:abstractNumId w:val="16"/>
  </w:num>
  <w:num w:numId="49">
    <w:abstractNumId w:val="27"/>
  </w:num>
  <w:num w:numId="50">
    <w:abstractNumId w:val="4"/>
  </w:num>
  <w:num w:numId="51">
    <w:abstractNumId w:val="35"/>
  </w:num>
  <w:num w:numId="52">
    <w:abstractNumId w:val="2"/>
  </w:num>
  <w:num w:numId="53">
    <w:abstractNumId w:val="48"/>
  </w:num>
  <w:num w:numId="54">
    <w:abstractNumId w:val="54"/>
  </w:num>
  <w:num w:numId="55">
    <w:abstractNumId w:val="53"/>
  </w:num>
  <w:num w:numId="5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x5s0vddkzxdfhese5yvf5vke2ree5azrt5t&quot;&gt;PNG Ausaid lit review&lt;record-ids&gt;&lt;item&gt;3&lt;/item&gt;&lt;item&gt;22&lt;/item&gt;&lt;item&gt;42&lt;/item&gt;&lt;item&gt;47&lt;/item&gt;&lt;item&gt;53&lt;/item&gt;&lt;item&gt;54&lt;/item&gt;&lt;item&gt;55&lt;/item&gt;&lt;item&gt;56&lt;/item&gt;&lt;item&gt;57&lt;/item&gt;&lt;item&gt;58&lt;/item&gt;&lt;item&gt;59&lt;/item&gt;&lt;item&gt;60&lt;/item&gt;&lt;item&gt;61&lt;/item&gt;&lt;item&gt;62&lt;/item&gt;&lt;item&gt;63&lt;/item&gt;&lt;/record-ids&gt;&lt;/item&gt;&lt;/Libraries&gt;"/>
  </w:docVars>
  <w:rsids>
    <w:rsidRoot w:val="00937510"/>
    <w:rsid w:val="00000CCD"/>
    <w:rsid w:val="000010EA"/>
    <w:rsid w:val="000016F3"/>
    <w:rsid w:val="00001D3C"/>
    <w:rsid w:val="000032E5"/>
    <w:rsid w:val="00004B68"/>
    <w:rsid w:val="00006D94"/>
    <w:rsid w:val="00011065"/>
    <w:rsid w:val="00012EE0"/>
    <w:rsid w:val="00013E06"/>
    <w:rsid w:val="000148AE"/>
    <w:rsid w:val="00014C68"/>
    <w:rsid w:val="00015623"/>
    <w:rsid w:val="00015A2A"/>
    <w:rsid w:val="00016EF2"/>
    <w:rsid w:val="00017986"/>
    <w:rsid w:val="00017CB5"/>
    <w:rsid w:val="00020615"/>
    <w:rsid w:val="000209D7"/>
    <w:rsid w:val="000218EC"/>
    <w:rsid w:val="000219D2"/>
    <w:rsid w:val="00022384"/>
    <w:rsid w:val="00022753"/>
    <w:rsid w:val="00022A9C"/>
    <w:rsid w:val="0002333A"/>
    <w:rsid w:val="000233C6"/>
    <w:rsid w:val="000238AB"/>
    <w:rsid w:val="00023DD1"/>
    <w:rsid w:val="0002421E"/>
    <w:rsid w:val="00024AE5"/>
    <w:rsid w:val="00025EDF"/>
    <w:rsid w:val="00030DF5"/>
    <w:rsid w:val="00031069"/>
    <w:rsid w:val="000325CD"/>
    <w:rsid w:val="00032BCA"/>
    <w:rsid w:val="00033FE9"/>
    <w:rsid w:val="00036818"/>
    <w:rsid w:val="00036CC2"/>
    <w:rsid w:val="0004024E"/>
    <w:rsid w:val="000403C0"/>
    <w:rsid w:val="000417BA"/>
    <w:rsid w:val="000419AE"/>
    <w:rsid w:val="0004218E"/>
    <w:rsid w:val="00042A6C"/>
    <w:rsid w:val="00042B9C"/>
    <w:rsid w:val="00043211"/>
    <w:rsid w:val="0004327F"/>
    <w:rsid w:val="00044D6D"/>
    <w:rsid w:val="0004503E"/>
    <w:rsid w:val="00045714"/>
    <w:rsid w:val="00046E24"/>
    <w:rsid w:val="00047576"/>
    <w:rsid w:val="00047EB6"/>
    <w:rsid w:val="0005002A"/>
    <w:rsid w:val="000501C6"/>
    <w:rsid w:val="00051E4B"/>
    <w:rsid w:val="00052A08"/>
    <w:rsid w:val="00053017"/>
    <w:rsid w:val="000531EA"/>
    <w:rsid w:val="0005464D"/>
    <w:rsid w:val="00057D1D"/>
    <w:rsid w:val="0006066A"/>
    <w:rsid w:val="00060B9F"/>
    <w:rsid w:val="000620C0"/>
    <w:rsid w:val="000647E1"/>
    <w:rsid w:val="000651F3"/>
    <w:rsid w:val="0006557D"/>
    <w:rsid w:val="00065D09"/>
    <w:rsid w:val="0006656E"/>
    <w:rsid w:val="00066A2A"/>
    <w:rsid w:val="0006719B"/>
    <w:rsid w:val="00067B5A"/>
    <w:rsid w:val="0007171E"/>
    <w:rsid w:val="0007243A"/>
    <w:rsid w:val="00072CD2"/>
    <w:rsid w:val="000731BC"/>
    <w:rsid w:val="00073CF5"/>
    <w:rsid w:val="000754C1"/>
    <w:rsid w:val="00075805"/>
    <w:rsid w:val="00075DE2"/>
    <w:rsid w:val="000779F2"/>
    <w:rsid w:val="00080E81"/>
    <w:rsid w:val="00081220"/>
    <w:rsid w:val="00082518"/>
    <w:rsid w:val="00083AB7"/>
    <w:rsid w:val="00084847"/>
    <w:rsid w:val="00085B12"/>
    <w:rsid w:val="00086679"/>
    <w:rsid w:val="000867DC"/>
    <w:rsid w:val="0008684E"/>
    <w:rsid w:val="00086F58"/>
    <w:rsid w:val="00090397"/>
    <w:rsid w:val="00090907"/>
    <w:rsid w:val="000914EF"/>
    <w:rsid w:val="00093A86"/>
    <w:rsid w:val="000944DD"/>
    <w:rsid w:val="00094742"/>
    <w:rsid w:val="000949F9"/>
    <w:rsid w:val="00095432"/>
    <w:rsid w:val="000964FE"/>
    <w:rsid w:val="00097938"/>
    <w:rsid w:val="00097F8A"/>
    <w:rsid w:val="000A03C7"/>
    <w:rsid w:val="000A06D5"/>
    <w:rsid w:val="000A0AA2"/>
    <w:rsid w:val="000A1B54"/>
    <w:rsid w:val="000A1D61"/>
    <w:rsid w:val="000A35AA"/>
    <w:rsid w:val="000A3F13"/>
    <w:rsid w:val="000A42C4"/>
    <w:rsid w:val="000A4C7D"/>
    <w:rsid w:val="000A5189"/>
    <w:rsid w:val="000A5AA1"/>
    <w:rsid w:val="000A5CDA"/>
    <w:rsid w:val="000A777A"/>
    <w:rsid w:val="000A7DED"/>
    <w:rsid w:val="000B0D35"/>
    <w:rsid w:val="000B0EE9"/>
    <w:rsid w:val="000B201D"/>
    <w:rsid w:val="000B327B"/>
    <w:rsid w:val="000B3911"/>
    <w:rsid w:val="000B5EC9"/>
    <w:rsid w:val="000C3E9B"/>
    <w:rsid w:val="000C5E19"/>
    <w:rsid w:val="000C63A4"/>
    <w:rsid w:val="000D10A5"/>
    <w:rsid w:val="000D1C11"/>
    <w:rsid w:val="000D653B"/>
    <w:rsid w:val="000D68A6"/>
    <w:rsid w:val="000D73F6"/>
    <w:rsid w:val="000D75C2"/>
    <w:rsid w:val="000D7988"/>
    <w:rsid w:val="000E19DD"/>
    <w:rsid w:val="000E2144"/>
    <w:rsid w:val="000E287B"/>
    <w:rsid w:val="000E3502"/>
    <w:rsid w:val="000E4473"/>
    <w:rsid w:val="000E4A51"/>
    <w:rsid w:val="000E5435"/>
    <w:rsid w:val="000E553A"/>
    <w:rsid w:val="000E5963"/>
    <w:rsid w:val="000E6781"/>
    <w:rsid w:val="000E7562"/>
    <w:rsid w:val="000E78D4"/>
    <w:rsid w:val="000F0BF5"/>
    <w:rsid w:val="000F15B4"/>
    <w:rsid w:val="000F246A"/>
    <w:rsid w:val="000F2A12"/>
    <w:rsid w:val="000F4616"/>
    <w:rsid w:val="000F56C2"/>
    <w:rsid w:val="000F61B4"/>
    <w:rsid w:val="000F7232"/>
    <w:rsid w:val="000F7AA1"/>
    <w:rsid w:val="0010007E"/>
    <w:rsid w:val="001008BC"/>
    <w:rsid w:val="001008FE"/>
    <w:rsid w:val="00100BC9"/>
    <w:rsid w:val="001011B8"/>
    <w:rsid w:val="001026DC"/>
    <w:rsid w:val="00102A40"/>
    <w:rsid w:val="00105637"/>
    <w:rsid w:val="00105810"/>
    <w:rsid w:val="00106C75"/>
    <w:rsid w:val="001073F3"/>
    <w:rsid w:val="00107CC8"/>
    <w:rsid w:val="00110B87"/>
    <w:rsid w:val="00110BEE"/>
    <w:rsid w:val="00112B18"/>
    <w:rsid w:val="001132E6"/>
    <w:rsid w:val="00113C9F"/>
    <w:rsid w:val="00113CA1"/>
    <w:rsid w:val="001147C8"/>
    <w:rsid w:val="00114F2F"/>
    <w:rsid w:val="00115834"/>
    <w:rsid w:val="00116232"/>
    <w:rsid w:val="00117EF5"/>
    <w:rsid w:val="0012024D"/>
    <w:rsid w:val="001206D1"/>
    <w:rsid w:val="001207C1"/>
    <w:rsid w:val="00120CD3"/>
    <w:rsid w:val="0012176A"/>
    <w:rsid w:val="0012385F"/>
    <w:rsid w:val="0012393A"/>
    <w:rsid w:val="0012608A"/>
    <w:rsid w:val="001314DB"/>
    <w:rsid w:val="0013161F"/>
    <w:rsid w:val="001319B4"/>
    <w:rsid w:val="0013539D"/>
    <w:rsid w:val="00136CC1"/>
    <w:rsid w:val="001371F0"/>
    <w:rsid w:val="001417F2"/>
    <w:rsid w:val="00141A73"/>
    <w:rsid w:val="00142118"/>
    <w:rsid w:val="00142444"/>
    <w:rsid w:val="00142F50"/>
    <w:rsid w:val="00143686"/>
    <w:rsid w:val="00143E19"/>
    <w:rsid w:val="00145720"/>
    <w:rsid w:val="00145906"/>
    <w:rsid w:val="00146007"/>
    <w:rsid w:val="00146CBE"/>
    <w:rsid w:val="00147805"/>
    <w:rsid w:val="001503D1"/>
    <w:rsid w:val="001506EC"/>
    <w:rsid w:val="0015256C"/>
    <w:rsid w:val="00152A38"/>
    <w:rsid w:val="00152AF4"/>
    <w:rsid w:val="0015492B"/>
    <w:rsid w:val="00154C8F"/>
    <w:rsid w:val="00155272"/>
    <w:rsid w:val="001557B8"/>
    <w:rsid w:val="001559A0"/>
    <w:rsid w:val="001609E0"/>
    <w:rsid w:val="00161049"/>
    <w:rsid w:val="00163157"/>
    <w:rsid w:val="00165813"/>
    <w:rsid w:val="00166283"/>
    <w:rsid w:val="00170281"/>
    <w:rsid w:val="0017057E"/>
    <w:rsid w:val="00171CE0"/>
    <w:rsid w:val="00171E96"/>
    <w:rsid w:val="001724F9"/>
    <w:rsid w:val="001737B2"/>
    <w:rsid w:val="001742C3"/>
    <w:rsid w:val="0017446E"/>
    <w:rsid w:val="00175EF9"/>
    <w:rsid w:val="0017663F"/>
    <w:rsid w:val="00176CB7"/>
    <w:rsid w:val="00176EE5"/>
    <w:rsid w:val="00177B0D"/>
    <w:rsid w:val="00177D51"/>
    <w:rsid w:val="001802EF"/>
    <w:rsid w:val="001810B3"/>
    <w:rsid w:val="00181A53"/>
    <w:rsid w:val="00182A86"/>
    <w:rsid w:val="00182E17"/>
    <w:rsid w:val="00183CFD"/>
    <w:rsid w:val="00183D45"/>
    <w:rsid w:val="001848EF"/>
    <w:rsid w:val="001869A5"/>
    <w:rsid w:val="001875F9"/>
    <w:rsid w:val="001879EF"/>
    <w:rsid w:val="00187B4C"/>
    <w:rsid w:val="00190E3F"/>
    <w:rsid w:val="00191602"/>
    <w:rsid w:val="00191B91"/>
    <w:rsid w:val="00191E0C"/>
    <w:rsid w:val="001920C2"/>
    <w:rsid w:val="001922CC"/>
    <w:rsid w:val="001922EE"/>
    <w:rsid w:val="00192726"/>
    <w:rsid w:val="001939F2"/>
    <w:rsid w:val="00195C17"/>
    <w:rsid w:val="00196022"/>
    <w:rsid w:val="00196E7E"/>
    <w:rsid w:val="001A036F"/>
    <w:rsid w:val="001A05A7"/>
    <w:rsid w:val="001A0B36"/>
    <w:rsid w:val="001A3AEC"/>
    <w:rsid w:val="001A3E60"/>
    <w:rsid w:val="001A4624"/>
    <w:rsid w:val="001A4C59"/>
    <w:rsid w:val="001A55AD"/>
    <w:rsid w:val="001A61BB"/>
    <w:rsid w:val="001A66DC"/>
    <w:rsid w:val="001A6BB7"/>
    <w:rsid w:val="001A6D91"/>
    <w:rsid w:val="001A702D"/>
    <w:rsid w:val="001A75CF"/>
    <w:rsid w:val="001A7684"/>
    <w:rsid w:val="001A7A66"/>
    <w:rsid w:val="001A7BA7"/>
    <w:rsid w:val="001B10BD"/>
    <w:rsid w:val="001B325B"/>
    <w:rsid w:val="001B34B1"/>
    <w:rsid w:val="001B4B36"/>
    <w:rsid w:val="001B50FA"/>
    <w:rsid w:val="001B524E"/>
    <w:rsid w:val="001B5273"/>
    <w:rsid w:val="001B643A"/>
    <w:rsid w:val="001B70B8"/>
    <w:rsid w:val="001B7173"/>
    <w:rsid w:val="001B7DB8"/>
    <w:rsid w:val="001C029B"/>
    <w:rsid w:val="001C06E1"/>
    <w:rsid w:val="001C21E4"/>
    <w:rsid w:val="001C28AB"/>
    <w:rsid w:val="001C299D"/>
    <w:rsid w:val="001C4D6F"/>
    <w:rsid w:val="001C5234"/>
    <w:rsid w:val="001C5351"/>
    <w:rsid w:val="001C5A5C"/>
    <w:rsid w:val="001C66AC"/>
    <w:rsid w:val="001C70FD"/>
    <w:rsid w:val="001C7548"/>
    <w:rsid w:val="001C793F"/>
    <w:rsid w:val="001C79BF"/>
    <w:rsid w:val="001C7F2A"/>
    <w:rsid w:val="001D05E1"/>
    <w:rsid w:val="001D0AF1"/>
    <w:rsid w:val="001D66B5"/>
    <w:rsid w:val="001D73EF"/>
    <w:rsid w:val="001E16B1"/>
    <w:rsid w:val="001E1DF0"/>
    <w:rsid w:val="001E34A0"/>
    <w:rsid w:val="001E351A"/>
    <w:rsid w:val="001E47CB"/>
    <w:rsid w:val="001E4BDD"/>
    <w:rsid w:val="001E54B9"/>
    <w:rsid w:val="001E575A"/>
    <w:rsid w:val="001E59F1"/>
    <w:rsid w:val="001E7388"/>
    <w:rsid w:val="001E7893"/>
    <w:rsid w:val="001F02AC"/>
    <w:rsid w:val="001F080F"/>
    <w:rsid w:val="001F1115"/>
    <w:rsid w:val="001F3CD8"/>
    <w:rsid w:val="001F3E8F"/>
    <w:rsid w:val="001F53D4"/>
    <w:rsid w:val="001F5AC5"/>
    <w:rsid w:val="001F5AC7"/>
    <w:rsid w:val="001F5B76"/>
    <w:rsid w:val="001F6B64"/>
    <w:rsid w:val="001F7502"/>
    <w:rsid w:val="001F7E5A"/>
    <w:rsid w:val="002005B5"/>
    <w:rsid w:val="00200AA0"/>
    <w:rsid w:val="00201AD7"/>
    <w:rsid w:val="00201DA1"/>
    <w:rsid w:val="00202765"/>
    <w:rsid w:val="00204550"/>
    <w:rsid w:val="00204CC3"/>
    <w:rsid w:val="0020520D"/>
    <w:rsid w:val="00205DB0"/>
    <w:rsid w:val="00206640"/>
    <w:rsid w:val="00206B06"/>
    <w:rsid w:val="0020713F"/>
    <w:rsid w:val="00207EBB"/>
    <w:rsid w:val="002110DE"/>
    <w:rsid w:val="00211AA5"/>
    <w:rsid w:val="00215295"/>
    <w:rsid w:val="0021610F"/>
    <w:rsid w:val="0021677B"/>
    <w:rsid w:val="00216C71"/>
    <w:rsid w:val="00216F9A"/>
    <w:rsid w:val="00217089"/>
    <w:rsid w:val="0022095E"/>
    <w:rsid w:val="0022139E"/>
    <w:rsid w:val="00221E03"/>
    <w:rsid w:val="00224005"/>
    <w:rsid w:val="00224DED"/>
    <w:rsid w:val="00225603"/>
    <w:rsid w:val="00225BFA"/>
    <w:rsid w:val="002265EF"/>
    <w:rsid w:val="00227172"/>
    <w:rsid w:val="00227FF5"/>
    <w:rsid w:val="00232F8C"/>
    <w:rsid w:val="00235036"/>
    <w:rsid w:val="002362BF"/>
    <w:rsid w:val="0024021A"/>
    <w:rsid w:val="00240CB2"/>
    <w:rsid w:val="0024118B"/>
    <w:rsid w:val="002421FB"/>
    <w:rsid w:val="002426AA"/>
    <w:rsid w:val="002430AE"/>
    <w:rsid w:val="0024550F"/>
    <w:rsid w:val="00247B6E"/>
    <w:rsid w:val="00247C42"/>
    <w:rsid w:val="0025029A"/>
    <w:rsid w:val="0025196C"/>
    <w:rsid w:val="002525F4"/>
    <w:rsid w:val="0025357E"/>
    <w:rsid w:val="00254825"/>
    <w:rsid w:val="00255508"/>
    <w:rsid w:val="00255DC6"/>
    <w:rsid w:val="00256398"/>
    <w:rsid w:val="00256687"/>
    <w:rsid w:val="00256AA3"/>
    <w:rsid w:val="00256C9F"/>
    <w:rsid w:val="002600E0"/>
    <w:rsid w:val="00260136"/>
    <w:rsid w:val="00261EF5"/>
    <w:rsid w:val="002621BA"/>
    <w:rsid w:val="00262FEB"/>
    <w:rsid w:val="00264019"/>
    <w:rsid w:val="0026545C"/>
    <w:rsid w:val="00266451"/>
    <w:rsid w:val="0026700B"/>
    <w:rsid w:val="00267B92"/>
    <w:rsid w:val="00267C91"/>
    <w:rsid w:val="002701D1"/>
    <w:rsid w:val="00270586"/>
    <w:rsid w:val="002705BF"/>
    <w:rsid w:val="00270A7F"/>
    <w:rsid w:val="00272500"/>
    <w:rsid w:val="0027359F"/>
    <w:rsid w:val="00273F4E"/>
    <w:rsid w:val="002748EB"/>
    <w:rsid w:val="00276B6A"/>
    <w:rsid w:val="002812E1"/>
    <w:rsid w:val="002828D6"/>
    <w:rsid w:val="00282A7A"/>
    <w:rsid w:val="002854F6"/>
    <w:rsid w:val="002862B1"/>
    <w:rsid w:val="00286BD3"/>
    <w:rsid w:val="00286C1B"/>
    <w:rsid w:val="0028714B"/>
    <w:rsid w:val="0028736D"/>
    <w:rsid w:val="00287767"/>
    <w:rsid w:val="002917AF"/>
    <w:rsid w:val="0029188E"/>
    <w:rsid w:val="00291A91"/>
    <w:rsid w:val="0029304F"/>
    <w:rsid w:val="00294329"/>
    <w:rsid w:val="0029594D"/>
    <w:rsid w:val="00296391"/>
    <w:rsid w:val="002971C5"/>
    <w:rsid w:val="00297999"/>
    <w:rsid w:val="00297B8B"/>
    <w:rsid w:val="002A04D2"/>
    <w:rsid w:val="002A09C7"/>
    <w:rsid w:val="002A1160"/>
    <w:rsid w:val="002A2B10"/>
    <w:rsid w:val="002A65A5"/>
    <w:rsid w:val="002A797F"/>
    <w:rsid w:val="002B0940"/>
    <w:rsid w:val="002B0B9F"/>
    <w:rsid w:val="002B2815"/>
    <w:rsid w:val="002B506F"/>
    <w:rsid w:val="002B64DD"/>
    <w:rsid w:val="002B6984"/>
    <w:rsid w:val="002B7455"/>
    <w:rsid w:val="002B7C19"/>
    <w:rsid w:val="002B7CD4"/>
    <w:rsid w:val="002C025A"/>
    <w:rsid w:val="002C0326"/>
    <w:rsid w:val="002C070E"/>
    <w:rsid w:val="002C16BB"/>
    <w:rsid w:val="002C21FB"/>
    <w:rsid w:val="002C3BCD"/>
    <w:rsid w:val="002C48C2"/>
    <w:rsid w:val="002C4AF3"/>
    <w:rsid w:val="002C501D"/>
    <w:rsid w:val="002C60ED"/>
    <w:rsid w:val="002C6A0C"/>
    <w:rsid w:val="002C6A77"/>
    <w:rsid w:val="002C70AC"/>
    <w:rsid w:val="002D104C"/>
    <w:rsid w:val="002D21B0"/>
    <w:rsid w:val="002D2439"/>
    <w:rsid w:val="002D3800"/>
    <w:rsid w:val="002D4D71"/>
    <w:rsid w:val="002D5FBC"/>
    <w:rsid w:val="002D65F6"/>
    <w:rsid w:val="002D680F"/>
    <w:rsid w:val="002D74D1"/>
    <w:rsid w:val="002D7B79"/>
    <w:rsid w:val="002E11A2"/>
    <w:rsid w:val="002E137E"/>
    <w:rsid w:val="002E1771"/>
    <w:rsid w:val="002E1B96"/>
    <w:rsid w:val="002E2554"/>
    <w:rsid w:val="002E2613"/>
    <w:rsid w:val="002E397A"/>
    <w:rsid w:val="002E3C6C"/>
    <w:rsid w:val="002E5BB7"/>
    <w:rsid w:val="002E5C2D"/>
    <w:rsid w:val="002E60BC"/>
    <w:rsid w:val="002E64F2"/>
    <w:rsid w:val="002E739C"/>
    <w:rsid w:val="002E785F"/>
    <w:rsid w:val="002F03CB"/>
    <w:rsid w:val="002F100A"/>
    <w:rsid w:val="002F124D"/>
    <w:rsid w:val="002F125F"/>
    <w:rsid w:val="002F2BD8"/>
    <w:rsid w:val="002F46BC"/>
    <w:rsid w:val="002F4DD1"/>
    <w:rsid w:val="002F57D4"/>
    <w:rsid w:val="002F5938"/>
    <w:rsid w:val="002F65C4"/>
    <w:rsid w:val="00303AE0"/>
    <w:rsid w:val="003046A8"/>
    <w:rsid w:val="00305069"/>
    <w:rsid w:val="00305B9C"/>
    <w:rsid w:val="00305E7B"/>
    <w:rsid w:val="00306AA2"/>
    <w:rsid w:val="00306C2A"/>
    <w:rsid w:val="00310104"/>
    <w:rsid w:val="003113CF"/>
    <w:rsid w:val="0031205F"/>
    <w:rsid w:val="003124B7"/>
    <w:rsid w:val="00313053"/>
    <w:rsid w:val="003131FB"/>
    <w:rsid w:val="0031338A"/>
    <w:rsid w:val="00314939"/>
    <w:rsid w:val="0031496F"/>
    <w:rsid w:val="00314BA0"/>
    <w:rsid w:val="00314E28"/>
    <w:rsid w:val="003156F1"/>
    <w:rsid w:val="00316730"/>
    <w:rsid w:val="003229ED"/>
    <w:rsid w:val="0032324D"/>
    <w:rsid w:val="00324F27"/>
    <w:rsid w:val="00326F7B"/>
    <w:rsid w:val="00327BF0"/>
    <w:rsid w:val="003317C3"/>
    <w:rsid w:val="00332DC2"/>
    <w:rsid w:val="00334979"/>
    <w:rsid w:val="00335353"/>
    <w:rsid w:val="00335A79"/>
    <w:rsid w:val="00335ABA"/>
    <w:rsid w:val="003366BB"/>
    <w:rsid w:val="00336D0F"/>
    <w:rsid w:val="00337080"/>
    <w:rsid w:val="003374B0"/>
    <w:rsid w:val="00340464"/>
    <w:rsid w:val="0034098D"/>
    <w:rsid w:val="00340C33"/>
    <w:rsid w:val="00341873"/>
    <w:rsid w:val="00342D69"/>
    <w:rsid w:val="00343AB0"/>
    <w:rsid w:val="003452A4"/>
    <w:rsid w:val="00345301"/>
    <w:rsid w:val="00345D61"/>
    <w:rsid w:val="00345F10"/>
    <w:rsid w:val="003471BC"/>
    <w:rsid w:val="00347729"/>
    <w:rsid w:val="00347A4B"/>
    <w:rsid w:val="00347E58"/>
    <w:rsid w:val="00350E99"/>
    <w:rsid w:val="0035140C"/>
    <w:rsid w:val="003514A4"/>
    <w:rsid w:val="00351BBE"/>
    <w:rsid w:val="00351EAC"/>
    <w:rsid w:val="00353248"/>
    <w:rsid w:val="00353C2F"/>
    <w:rsid w:val="0035567E"/>
    <w:rsid w:val="00355E60"/>
    <w:rsid w:val="003564D9"/>
    <w:rsid w:val="00356E90"/>
    <w:rsid w:val="00357018"/>
    <w:rsid w:val="003578F7"/>
    <w:rsid w:val="00360F76"/>
    <w:rsid w:val="00361146"/>
    <w:rsid w:val="00361D86"/>
    <w:rsid w:val="00361FE8"/>
    <w:rsid w:val="00362299"/>
    <w:rsid w:val="00363DB6"/>
    <w:rsid w:val="00364254"/>
    <w:rsid w:val="00364291"/>
    <w:rsid w:val="003647DB"/>
    <w:rsid w:val="00365016"/>
    <w:rsid w:val="00366BEF"/>
    <w:rsid w:val="00366CDC"/>
    <w:rsid w:val="0036761A"/>
    <w:rsid w:val="00370F35"/>
    <w:rsid w:val="0037274E"/>
    <w:rsid w:val="00373131"/>
    <w:rsid w:val="003740D6"/>
    <w:rsid w:val="003744C0"/>
    <w:rsid w:val="00380FE9"/>
    <w:rsid w:val="00382082"/>
    <w:rsid w:val="00382B0C"/>
    <w:rsid w:val="00383A80"/>
    <w:rsid w:val="00383A9D"/>
    <w:rsid w:val="00383BFE"/>
    <w:rsid w:val="00384A88"/>
    <w:rsid w:val="0038539F"/>
    <w:rsid w:val="003856CA"/>
    <w:rsid w:val="00385E08"/>
    <w:rsid w:val="00387141"/>
    <w:rsid w:val="00387A05"/>
    <w:rsid w:val="003901AC"/>
    <w:rsid w:val="003907C6"/>
    <w:rsid w:val="0039181F"/>
    <w:rsid w:val="00391E84"/>
    <w:rsid w:val="00391ED7"/>
    <w:rsid w:val="003934C4"/>
    <w:rsid w:val="00393618"/>
    <w:rsid w:val="00394025"/>
    <w:rsid w:val="0039435B"/>
    <w:rsid w:val="00394FD8"/>
    <w:rsid w:val="00395356"/>
    <w:rsid w:val="003956AD"/>
    <w:rsid w:val="003966CB"/>
    <w:rsid w:val="003972AC"/>
    <w:rsid w:val="003A1414"/>
    <w:rsid w:val="003A1721"/>
    <w:rsid w:val="003A3397"/>
    <w:rsid w:val="003A34F2"/>
    <w:rsid w:val="003A4379"/>
    <w:rsid w:val="003A44C2"/>
    <w:rsid w:val="003A4BFC"/>
    <w:rsid w:val="003A5A04"/>
    <w:rsid w:val="003A6464"/>
    <w:rsid w:val="003B027C"/>
    <w:rsid w:val="003B0563"/>
    <w:rsid w:val="003B109C"/>
    <w:rsid w:val="003B10D5"/>
    <w:rsid w:val="003B1702"/>
    <w:rsid w:val="003B1AF4"/>
    <w:rsid w:val="003B1C54"/>
    <w:rsid w:val="003B227F"/>
    <w:rsid w:val="003B3687"/>
    <w:rsid w:val="003B370E"/>
    <w:rsid w:val="003B39A4"/>
    <w:rsid w:val="003B50C7"/>
    <w:rsid w:val="003B5F49"/>
    <w:rsid w:val="003B6417"/>
    <w:rsid w:val="003B687E"/>
    <w:rsid w:val="003B7A51"/>
    <w:rsid w:val="003C0DA8"/>
    <w:rsid w:val="003C2F89"/>
    <w:rsid w:val="003C5337"/>
    <w:rsid w:val="003C6053"/>
    <w:rsid w:val="003C7DE9"/>
    <w:rsid w:val="003D2D70"/>
    <w:rsid w:val="003D2E44"/>
    <w:rsid w:val="003D2F0B"/>
    <w:rsid w:val="003D3E1F"/>
    <w:rsid w:val="003D4660"/>
    <w:rsid w:val="003D4949"/>
    <w:rsid w:val="003D7B59"/>
    <w:rsid w:val="003E0737"/>
    <w:rsid w:val="003E0904"/>
    <w:rsid w:val="003E15A1"/>
    <w:rsid w:val="003E2525"/>
    <w:rsid w:val="003E259D"/>
    <w:rsid w:val="003E2CBE"/>
    <w:rsid w:val="003E385B"/>
    <w:rsid w:val="003E3A2F"/>
    <w:rsid w:val="003E3A6C"/>
    <w:rsid w:val="003E54E8"/>
    <w:rsid w:val="003E6FAA"/>
    <w:rsid w:val="003E7896"/>
    <w:rsid w:val="003E79E3"/>
    <w:rsid w:val="003E7DB7"/>
    <w:rsid w:val="003F02D0"/>
    <w:rsid w:val="003F0CA4"/>
    <w:rsid w:val="003F241E"/>
    <w:rsid w:val="003F24B2"/>
    <w:rsid w:val="003F2739"/>
    <w:rsid w:val="00400120"/>
    <w:rsid w:val="00400250"/>
    <w:rsid w:val="004015A0"/>
    <w:rsid w:val="004020E2"/>
    <w:rsid w:val="004040BE"/>
    <w:rsid w:val="00404A3E"/>
    <w:rsid w:val="00404EED"/>
    <w:rsid w:val="0040503F"/>
    <w:rsid w:val="00405128"/>
    <w:rsid w:val="004065B6"/>
    <w:rsid w:val="004075A9"/>
    <w:rsid w:val="00407BAC"/>
    <w:rsid w:val="00410850"/>
    <w:rsid w:val="00411D4C"/>
    <w:rsid w:val="00412103"/>
    <w:rsid w:val="004121EF"/>
    <w:rsid w:val="00413815"/>
    <w:rsid w:val="004146E9"/>
    <w:rsid w:val="004157DE"/>
    <w:rsid w:val="00415D82"/>
    <w:rsid w:val="00417776"/>
    <w:rsid w:val="00417C31"/>
    <w:rsid w:val="00420A04"/>
    <w:rsid w:val="00420C12"/>
    <w:rsid w:val="00422F5C"/>
    <w:rsid w:val="0042311B"/>
    <w:rsid w:val="00423161"/>
    <w:rsid w:val="004233A2"/>
    <w:rsid w:val="004233C0"/>
    <w:rsid w:val="004233C7"/>
    <w:rsid w:val="004236FC"/>
    <w:rsid w:val="004249FD"/>
    <w:rsid w:val="00426405"/>
    <w:rsid w:val="0042799C"/>
    <w:rsid w:val="00427F72"/>
    <w:rsid w:val="004302C6"/>
    <w:rsid w:val="004309AA"/>
    <w:rsid w:val="00431156"/>
    <w:rsid w:val="0043131A"/>
    <w:rsid w:val="00432340"/>
    <w:rsid w:val="00433318"/>
    <w:rsid w:val="00433BB8"/>
    <w:rsid w:val="0043451B"/>
    <w:rsid w:val="0043457F"/>
    <w:rsid w:val="004356C8"/>
    <w:rsid w:val="004366F8"/>
    <w:rsid w:val="00436966"/>
    <w:rsid w:val="00436F0E"/>
    <w:rsid w:val="00437D53"/>
    <w:rsid w:val="004404E9"/>
    <w:rsid w:val="004412A7"/>
    <w:rsid w:val="004426D4"/>
    <w:rsid w:val="00443E6E"/>
    <w:rsid w:val="00444DAC"/>
    <w:rsid w:val="00444E4C"/>
    <w:rsid w:val="004456EF"/>
    <w:rsid w:val="0044598F"/>
    <w:rsid w:val="00445D57"/>
    <w:rsid w:val="004477F3"/>
    <w:rsid w:val="00447AA6"/>
    <w:rsid w:val="0045035A"/>
    <w:rsid w:val="00450D33"/>
    <w:rsid w:val="0045192E"/>
    <w:rsid w:val="004525D3"/>
    <w:rsid w:val="00455AE6"/>
    <w:rsid w:val="00455B89"/>
    <w:rsid w:val="00455BAC"/>
    <w:rsid w:val="00460CAE"/>
    <w:rsid w:val="00462BA7"/>
    <w:rsid w:val="00464865"/>
    <w:rsid w:val="00465E4D"/>
    <w:rsid w:val="00470629"/>
    <w:rsid w:val="004707FD"/>
    <w:rsid w:val="00470883"/>
    <w:rsid w:val="00470C68"/>
    <w:rsid w:val="00471F43"/>
    <w:rsid w:val="00473461"/>
    <w:rsid w:val="004738C2"/>
    <w:rsid w:val="00474185"/>
    <w:rsid w:val="00474AF0"/>
    <w:rsid w:val="00476B34"/>
    <w:rsid w:val="00476E0E"/>
    <w:rsid w:val="00476EBD"/>
    <w:rsid w:val="00477464"/>
    <w:rsid w:val="0048042B"/>
    <w:rsid w:val="004818D2"/>
    <w:rsid w:val="00481905"/>
    <w:rsid w:val="00481EF3"/>
    <w:rsid w:val="0048267C"/>
    <w:rsid w:val="00483466"/>
    <w:rsid w:val="00483F9E"/>
    <w:rsid w:val="0048479E"/>
    <w:rsid w:val="004854CB"/>
    <w:rsid w:val="00486A14"/>
    <w:rsid w:val="004877C7"/>
    <w:rsid w:val="0049022A"/>
    <w:rsid w:val="00491FF9"/>
    <w:rsid w:val="00492132"/>
    <w:rsid w:val="00493614"/>
    <w:rsid w:val="00493819"/>
    <w:rsid w:val="00493DCA"/>
    <w:rsid w:val="00494161"/>
    <w:rsid w:val="00494FBB"/>
    <w:rsid w:val="00495BAA"/>
    <w:rsid w:val="00495F37"/>
    <w:rsid w:val="004963F6"/>
    <w:rsid w:val="00496BDF"/>
    <w:rsid w:val="00496D33"/>
    <w:rsid w:val="004A083F"/>
    <w:rsid w:val="004A1CA0"/>
    <w:rsid w:val="004A1F3A"/>
    <w:rsid w:val="004A5F46"/>
    <w:rsid w:val="004A61AE"/>
    <w:rsid w:val="004A6C33"/>
    <w:rsid w:val="004A7995"/>
    <w:rsid w:val="004A7DCC"/>
    <w:rsid w:val="004B06F2"/>
    <w:rsid w:val="004B07DE"/>
    <w:rsid w:val="004B2227"/>
    <w:rsid w:val="004B2613"/>
    <w:rsid w:val="004B2A97"/>
    <w:rsid w:val="004B2E8D"/>
    <w:rsid w:val="004B409F"/>
    <w:rsid w:val="004B45D7"/>
    <w:rsid w:val="004B5B25"/>
    <w:rsid w:val="004B7043"/>
    <w:rsid w:val="004B7177"/>
    <w:rsid w:val="004B736B"/>
    <w:rsid w:val="004B7B1E"/>
    <w:rsid w:val="004C0CAF"/>
    <w:rsid w:val="004C2BD2"/>
    <w:rsid w:val="004C33EC"/>
    <w:rsid w:val="004C3559"/>
    <w:rsid w:val="004C4303"/>
    <w:rsid w:val="004C7D32"/>
    <w:rsid w:val="004D16B7"/>
    <w:rsid w:val="004D2B1D"/>
    <w:rsid w:val="004D323A"/>
    <w:rsid w:val="004D32FE"/>
    <w:rsid w:val="004D349F"/>
    <w:rsid w:val="004E0374"/>
    <w:rsid w:val="004E1150"/>
    <w:rsid w:val="004E24F1"/>
    <w:rsid w:val="004E3CD7"/>
    <w:rsid w:val="004E4365"/>
    <w:rsid w:val="004E4E1F"/>
    <w:rsid w:val="004E568E"/>
    <w:rsid w:val="004E6FCA"/>
    <w:rsid w:val="004E7AF7"/>
    <w:rsid w:val="004F03A0"/>
    <w:rsid w:val="004F093C"/>
    <w:rsid w:val="004F428A"/>
    <w:rsid w:val="004F48BB"/>
    <w:rsid w:val="004F4A79"/>
    <w:rsid w:val="004F5036"/>
    <w:rsid w:val="004F700E"/>
    <w:rsid w:val="004F71DB"/>
    <w:rsid w:val="00501F8B"/>
    <w:rsid w:val="00503042"/>
    <w:rsid w:val="00505015"/>
    <w:rsid w:val="005054A5"/>
    <w:rsid w:val="00506C6F"/>
    <w:rsid w:val="00507157"/>
    <w:rsid w:val="005116A5"/>
    <w:rsid w:val="0051357C"/>
    <w:rsid w:val="00514383"/>
    <w:rsid w:val="00514848"/>
    <w:rsid w:val="0051595B"/>
    <w:rsid w:val="005161B8"/>
    <w:rsid w:val="0051705D"/>
    <w:rsid w:val="00520F28"/>
    <w:rsid w:val="00521168"/>
    <w:rsid w:val="005214EA"/>
    <w:rsid w:val="00521969"/>
    <w:rsid w:val="005229A4"/>
    <w:rsid w:val="005231F2"/>
    <w:rsid w:val="00524703"/>
    <w:rsid w:val="00525C00"/>
    <w:rsid w:val="00525D2E"/>
    <w:rsid w:val="005264D6"/>
    <w:rsid w:val="00527173"/>
    <w:rsid w:val="005274CF"/>
    <w:rsid w:val="00530127"/>
    <w:rsid w:val="005306E5"/>
    <w:rsid w:val="00531950"/>
    <w:rsid w:val="00532859"/>
    <w:rsid w:val="00537387"/>
    <w:rsid w:val="00537571"/>
    <w:rsid w:val="00537C0A"/>
    <w:rsid w:val="00543560"/>
    <w:rsid w:val="00544125"/>
    <w:rsid w:val="00544ADE"/>
    <w:rsid w:val="00545235"/>
    <w:rsid w:val="00547CCA"/>
    <w:rsid w:val="00547FF9"/>
    <w:rsid w:val="005510EB"/>
    <w:rsid w:val="00551175"/>
    <w:rsid w:val="0055172F"/>
    <w:rsid w:val="00552BB5"/>
    <w:rsid w:val="00553448"/>
    <w:rsid w:val="0055357E"/>
    <w:rsid w:val="0055582A"/>
    <w:rsid w:val="00555F1A"/>
    <w:rsid w:val="00556FEF"/>
    <w:rsid w:val="00557299"/>
    <w:rsid w:val="00560C1E"/>
    <w:rsid w:val="00561306"/>
    <w:rsid w:val="00562BE1"/>
    <w:rsid w:val="00564299"/>
    <w:rsid w:val="00564A1B"/>
    <w:rsid w:val="00564CD3"/>
    <w:rsid w:val="0056559A"/>
    <w:rsid w:val="00565F2F"/>
    <w:rsid w:val="00567C88"/>
    <w:rsid w:val="005703B4"/>
    <w:rsid w:val="0057107F"/>
    <w:rsid w:val="00571A29"/>
    <w:rsid w:val="00571B7B"/>
    <w:rsid w:val="00572656"/>
    <w:rsid w:val="0057474F"/>
    <w:rsid w:val="00574A95"/>
    <w:rsid w:val="005778BA"/>
    <w:rsid w:val="00577C7C"/>
    <w:rsid w:val="00577D30"/>
    <w:rsid w:val="00577DC5"/>
    <w:rsid w:val="005800C7"/>
    <w:rsid w:val="0058139F"/>
    <w:rsid w:val="00581511"/>
    <w:rsid w:val="00581967"/>
    <w:rsid w:val="005863A0"/>
    <w:rsid w:val="00586EE7"/>
    <w:rsid w:val="00586F29"/>
    <w:rsid w:val="00587035"/>
    <w:rsid w:val="005911B1"/>
    <w:rsid w:val="00592538"/>
    <w:rsid w:val="005933E2"/>
    <w:rsid w:val="005946FE"/>
    <w:rsid w:val="00596C6A"/>
    <w:rsid w:val="00596CE9"/>
    <w:rsid w:val="005A2E85"/>
    <w:rsid w:val="005A32B6"/>
    <w:rsid w:val="005A4E2D"/>
    <w:rsid w:val="005A6900"/>
    <w:rsid w:val="005A7955"/>
    <w:rsid w:val="005A7ED2"/>
    <w:rsid w:val="005B04C6"/>
    <w:rsid w:val="005B064B"/>
    <w:rsid w:val="005B3C3E"/>
    <w:rsid w:val="005B5BF3"/>
    <w:rsid w:val="005B5DF3"/>
    <w:rsid w:val="005B62C9"/>
    <w:rsid w:val="005B69CE"/>
    <w:rsid w:val="005B6C38"/>
    <w:rsid w:val="005C07B4"/>
    <w:rsid w:val="005C27E0"/>
    <w:rsid w:val="005C2969"/>
    <w:rsid w:val="005C3281"/>
    <w:rsid w:val="005C4C94"/>
    <w:rsid w:val="005C5221"/>
    <w:rsid w:val="005C7DBF"/>
    <w:rsid w:val="005D1121"/>
    <w:rsid w:val="005D139D"/>
    <w:rsid w:val="005D2ABB"/>
    <w:rsid w:val="005D30E1"/>
    <w:rsid w:val="005D353C"/>
    <w:rsid w:val="005D4293"/>
    <w:rsid w:val="005D4DC4"/>
    <w:rsid w:val="005D5C55"/>
    <w:rsid w:val="005D5E1C"/>
    <w:rsid w:val="005D5F59"/>
    <w:rsid w:val="005D5F7E"/>
    <w:rsid w:val="005D66D5"/>
    <w:rsid w:val="005D6E2B"/>
    <w:rsid w:val="005D70F6"/>
    <w:rsid w:val="005E02FA"/>
    <w:rsid w:val="005E1EC2"/>
    <w:rsid w:val="005E326F"/>
    <w:rsid w:val="005F0052"/>
    <w:rsid w:val="005F0137"/>
    <w:rsid w:val="005F0E2B"/>
    <w:rsid w:val="005F0E8C"/>
    <w:rsid w:val="005F19FE"/>
    <w:rsid w:val="005F2B1C"/>
    <w:rsid w:val="005F4196"/>
    <w:rsid w:val="005F50A1"/>
    <w:rsid w:val="005F567C"/>
    <w:rsid w:val="005F56BE"/>
    <w:rsid w:val="005F64D0"/>
    <w:rsid w:val="00600617"/>
    <w:rsid w:val="006006DB"/>
    <w:rsid w:val="00600DA6"/>
    <w:rsid w:val="00602063"/>
    <w:rsid w:val="00602A7C"/>
    <w:rsid w:val="00602DB4"/>
    <w:rsid w:val="0060379C"/>
    <w:rsid w:val="00603CED"/>
    <w:rsid w:val="00604C15"/>
    <w:rsid w:val="00605178"/>
    <w:rsid w:val="00605798"/>
    <w:rsid w:val="00605C23"/>
    <w:rsid w:val="00607C00"/>
    <w:rsid w:val="006100DD"/>
    <w:rsid w:val="0061310C"/>
    <w:rsid w:val="00613629"/>
    <w:rsid w:val="00614492"/>
    <w:rsid w:val="0061527B"/>
    <w:rsid w:val="00616908"/>
    <w:rsid w:val="00617D4E"/>
    <w:rsid w:val="00621C78"/>
    <w:rsid w:val="00622547"/>
    <w:rsid w:val="00623A6C"/>
    <w:rsid w:val="00624470"/>
    <w:rsid w:val="006245B2"/>
    <w:rsid w:val="006310DC"/>
    <w:rsid w:val="00632C53"/>
    <w:rsid w:val="006333D3"/>
    <w:rsid w:val="006341CC"/>
    <w:rsid w:val="00634209"/>
    <w:rsid w:val="00635C1E"/>
    <w:rsid w:val="00635F75"/>
    <w:rsid w:val="00637481"/>
    <w:rsid w:val="00640826"/>
    <w:rsid w:val="00642B7A"/>
    <w:rsid w:val="006431E6"/>
    <w:rsid w:val="0064462E"/>
    <w:rsid w:val="006449A7"/>
    <w:rsid w:val="006449C6"/>
    <w:rsid w:val="00644D01"/>
    <w:rsid w:val="0064516E"/>
    <w:rsid w:val="00646996"/>
    <w:rsid w:val="0064764A"/>
    <w:rsid w:val="00647839"/>
    <w:rsid w:val="00647BBD"/>
    <w:rsid w:val="00650724"/>
    <w:rsid w:val="006544D8"/>
    <w:rsid w:val="0065516D"/>
    <w:rsid w:val="00655E56"/>
    <w:rsid w:val="00656BCE"/>
    <w:rsid w:val="006575F2"/>
    <w:rsid w:val="00657ACC"/>
    <w:rsid w:val="00657FDE"/>
    <w:rsid w:val="0066042C"/>
    <w:rsid w:val="00660E31"/>
    <w:rsid w:val="00661078"/>
    <w:rsid w:val="00661183"/>
    <w:rsid w:val="00661DC1"/>
    <w:rsid w:val="006630B4"/>
    <w:rsid w:val="00663296"/>
    <w:rsid w:val="00663414"/>
    <w:rsid w:val="00663454"/>
    <w:rsid w:val="00663E5D"/>
    <w:rsid w:val="006643A8"/>
    <w:rsid w:val="0066547B"/>
    <w:rsid w:val="006676BC"/>
    <w:rsid w:val="00667715"/>
    <w:rsid w:val="0066778D"/>
    <w:rsid w:val="00667C58"/>
    <w:rsid w:val="00670158"/>
    <w:rsid w:val="006713BE"/>
    <w:rsid w:val="00671E81"/>
    <w:rsid w:val="00671FD6"/>
    <w:rsid w:val="00674751"/>
    <w:rsid w:val="00674A47"/>
    <w:rsid w:val="00674D85"/>
    <w:rsid w:val="00676426"/>
    <w:rsid w:val="00676590"/>
    <w:rsid w:val="006771FC"/>
    <w:rsid w:val="006773D9"/>
    <w:rsid w:val="006779C1"/>
    <w:rsid w:val="00677EB1"/>
    <w:rsid w:val="0068073F"/>
    <w:rsid w:val="00683F98"/>
    <w:rsid w:val="00685F8A"/>
    <w:rsid w:val="0068679A"/>
    <w:rsid w:val="00686C68"/>
    <w:rsid w:val="006902C7"/>
    <w:rsid w:val="006911C0"/>
    <w:rsid w:val="00691F69"/>
    <w:rsid w:val="0069235E"/>
    <w:rsid w:val="0069282E"/>
    <w:rsid w:val="00693B89"/>
    <w:rsid w:val="00694124"/>
    <w:rsid w:val="006952FE"/>
    <w:rsid w:val="006967C1"/>
    <w:rsid w:val="00696C19"/>
    <w:rsid w:val="00696EF8"/>
    <w:rsid w:val="006A08F1"/>
    <w:rsid w:val="006A1107"/>
    <w:rsid w:val="006A1357"/>
    <w:rsid w:val="006A1B60"/>
    <w:rsid w:val="006A2245"/>
    <w:rsid w:val="006A24AA"/>
    <w:rsid w:val="006A304C"/>
    <w:rsid w:val="006A3964"/>
    <w:rsid w:val="006A3AE7"/>
    <w:rsid w:val="006A513F"/>
    <w:rsid w:val="006A6031"/>
    <w:rsid w:val="006B0BCF"/>
    <w:rsid w:val="006B1133"/>
    <w:rsid w:val="006B1711"/>
    <w:rsid w:val="006B18C3"/>
    <w:rsid w:val="006B216E"/>
    <w:rsid w:val="006B4051"/>
    <w:rsid w:val="006B42C7"/>
    <w:rsid w:val="006B471A"/>
    <w:rsid w:val="006B4A6B"/>
    <w:rsid w:val="006B4EDC"/>
    <w:rsid w:val="006B5327"/>
    <w:rsid w:val="006B5F06"/>
    <w:rsid w:val="006B6DC0"/>
    <w:rsid w:val="006C049B"/>
    <w:rsid w:val="006C124D"/>
    <w:rsid w:val="006C141D"/>
    <w:rsid w:val="006C18A6"/>
    <w:rsid w:val="006C2D55"/>
    <w:rsid w:val="006C407D"/>
    <w:rsid w:val="006C6B20"/>
    <w:rsid w:val="006D0266"/>
    <w:rsid w:val="006D04F3"/>
    <w:rsid w:val="006D0FD5"/>
    <w:rsid w:val="006D1CAB"/>
    <w:rsid w:val="006D1D35"/>
    <w:rsid w:val="006D45BA"/>
    <w:rsid w:val="006D4F4F"/>
    <w:rsid w:val="006D6259"/>
    <w:rsid w:val="006D6E1F"/>
    <w:rsid w:val="006E02A6"/>
    <w:rsid w:val="006E02F1"/>
    <w:rsid w:val="006E10EF"/>
    <w:rsid w:val="006E2914"/>
    <w:rsid w:val="006E2947"/>
    <w:rsid w:val="006E3BB3"/>
    <w:rsid w:val="006E4445"/>
    <w:rsid w:val="006F0477"/>
    <w:rsid w:val="006F149B"/>
    <w:rsid w:val="006F2EE5"/>
    <w:rsid w:val="006F2F68"/>
    <w:rsid w:val="006F2F73"/>
    <w:rsid w:val="006F51C0"/>
    <w:rsid w:val="006F54EE"/>
    <w:rsid w:val="006F5AC7"/>
    <w:rsid w:val="006F6127"/>
    <w:rsid w:val="006F7058"/>
    <w:rsid w:val="00700268"/>
    <w:rsid w:val="007005B2"/>
    <w:rsid w:val="00700E00"/>
    <w:rsid w:val="00700FB7"/>
    <w:rsid w:val="0070132D"/>
    <w:rsid w:val="0070147F"/>
    <w:rsid w:val="007014C0"/>
    <w:rsid w:val="00704215"/>
    <w:rsid w:val="0070423F"/>
    <w:rsid w:val="00704884"/>
    <w:rsid w:val="00704A42"/>
    <w:rsid w:val="00706FFE"/>
    <w:rsid w:val="0070733B"/>
    <w:rsid w:val="00707469"/>
    <w:rsid w:val="00710286"/>
    <w:rsid w:val="00713693"/>
    <w:rsid w:val="007147AE"/>
    <w:rsid w:val="00715A37"/>
    <w:rsid w:val="00715A64"/>
    <w:rsid w:val="00715DEC"/>
    <w:rsid w:val="00716674"/>
    <w:rsid w:val="00717A8F"/>
    <w:rsid w:val="00717BE7"/>
    <w:rsid w:val="00720525"/>
    <w:rsid w:val="00720C74"/>
    <w:rsid w:val="00721822"/>
    <w:rsid w:val="00722746"/>
    <w:rsid w:val="00722B7C"/>
    <w:rsid w:val="007237FD"/>
    <w:rsid w:val="00723806"/>
    <w:rsid w:val="00723854"/>
    <w:rsid w:val="00723C3C"/>
    <w:rsid w:val="00724055"/>
    <w:rsid w:val="00724735"/>
    <w:rsid w:val="00724DC2"/>
    <w:rsid w:val="00725DDA"/>
    <w:rsid w:val="0072646A"/>
    <w:rsid w:val="0072693C"/>
    <w:rsid w:val="007308A1"/>
    <w:rsid w:val="00731134"/>
    <w:rsid w:val="0073299A"/>
    <w:rsid w:val="00732D2B"/>
    <w:rsid w:val="0073401D"/>
    <w:rsid w:val="00735694"/>
    <w:rsid w:val="00735E0F"/>
    <w:rsid w:val="0073699F"/>
    <w:rsid w:val="007369F0"/>
    <w:rsid w:val="007370DE"/>
    <w:rsid w:val="00737C23"/>
    <w:rsid w:val="00740BE6"/>
    <w:rsid w:val="00741292"/>
    <w:rsid w:val="00741C8D"/>
    <w:rsid w:val="00741FD6"/>
    <w:rsid w:val="0074273E"/>
    <w:rsid w:val="0074352E"/>
    <w:rsid w:val="007439AA"/>
    <w:rsid w:val="007440F7"/>
    <w:rsid w:val="007442EA"/>
    <w:rsid w:val="00744463"/>
    <w:rsid w:val="0074447B"/>
    <w:rsid w:val="00744A7E"/>
    <w:rsid w:val="00744AB0"/>
    <w:rsid w:val="00745D6B"/>
    <w:rsid w:val="0074687B"/>
    <w:rsid w:val="0075039F"/>
    <w:rsid w:val="00751582"/>
    <w:rsid w:val="0075327E"/>
    <w:rsid w:val="00754214"/>
    <w:rsid w:val="007557E4"/>
    <w:rsid w:val="007560D8"/>
    <w:rsid w:val="00757E37"/>
    <w:rsid w:val="00760CE9"/>
    <w:rsid w:val="0076139E"/>
    <w:rsid w:val="00761BC1"/>
    <w:rsid w:val="00761EEB"/>
    <w:rsid w:val="007622CF"/>
    <w:rsid w:val="00762746"/>
    <w:rsid w:val="00762A98"/>
    <w:rsid w:val="0076385C"/>
    <w:rsid w:val="00765675"/>
    <w:rsid w:val="00766188"/>
    <w:rsid w:val="00767884"/>
    <w:rsid w:val="00770769"/>
    <w:rsid w:val="00771892"/>
    <w:rsid w:val="00771C8D"/>
    <w:rsid w:val="00773B77"/>
    <w:rsid w:val="007749CC"/>
    <w:rsid w:val="00774A96"/>
    <w:rsid w:val="00777130"/>
    <w:rsid w:val="00777A80"/>
    <w:rsid w:val="00780E2B"/>
    <w:rsid w:val="00781123"/>
    <w:rsid w:val="007821A9"/>
    <w:rsid w:val="00783CB4"/>
    <w:rsid w:val="007843C2"/>
    <w:rsid w:val="007859DD"/>
    <w:rsid w:val="00785D2D"/>
    <w:rsid w:val="007862F7"/>
    <w:rsid w:val="007911E1"/>
    <w:rsid w:val="007912FE"/>
    <w:rsid w:val="007920B3"/>
    <w:rsid w:val="00793187"/>
    <w:rsid w:val="007934A2"/>
    <w:rsid w:val="00794F9E"/>
    <w:rsid w:val="00795EE9"/>
    <w:rsid w:val="007960BD"/>
    <w:rsid w:val="0079728B"/>
    <w:rsid w:val="00797302"/>
    <w:rsid w:val="0079731C"/>
    <w:rsid w:val="00797BC3"/>
    <w:rsid w:val="00797D81"/>
    <w:rsid w:val="007A0743"/>
    <w:rsid w:val="007A1718"/>
    <w:rsid w:val="007A448D"/>
    <w:rsid w:val="007A5715"/>
    <w:rsid w:val="007A5C15"/>
    <w:rsid w:val="007A6D70"/>
    <w:rsid w:val="007B27CA"/>
    <w:rsid w:val="007B3850"/>
    <w:rsid w:val="007B40E2"/>
    <w:rsid w:val="007B7495"/>
    <w:rsid w:val="007C0E9A"/>
    <w:rsid w:val="007C12C2"/>
    <w:rsid w:val="007C1A68"/>
    <w:rsid w:val="007C2043"/>
    <w:rsid w:val="007C2721"/>
    <w:rsid w:val="007C3379"/>
    <w:rsid w:val="007C4B26"/>
    <w:rsid w:val="007C5778"/>
    <w:rsid w:val="007C6582"/>
    <w:rsid w:val="007C7ACF"/>
    <w:rsid w:val="007C7F99"/>
    <w:rsid w:val="007D1206"/>
    <w:rsid w:val="007D37DD"/>
    <w:rsid w:val="007D3B33"/>
    <w:rsid w:val="007D4074"/>
    <w:rsid w:val="007D4D8D"/>
    <w:rsid w:val="007D6333"/>
    <w:rsid w:val="007D7935"/>
    <w:rsid w:val="007E1D71"/>
    <w:rsid w:val="007E229E"/>
    <w:rsid w:val="007E2EE9"/>
    <w:rsid w:val="007E3C6E"/>
    <w:rsid w:val="007E4313"/>
    <w:rsid w:val="007E4EAB"/>
    <w:rsid w:val="007E5D9E"/>
    <w:rsid w:val="007E6C5D"/>
    <w:rsid w:val="007E6CE0"/>
    <w:rsid w:val="007E7088"/>
    <w:rsid w:val="007E7508"/>
    <w:rsid w:val="007F0593"/>
    <w:rsid w:val="007F1B31"/>
    <w:rsid w:val="007F272B"/>
    <w:rsid w:val="007F3817"/>
    <w:rsid w:val="007F73C7"/>
    <w:rsid w:val="007F7419"/>
    <w:rsid w:val="007F773F"/>
    <w:rsid w:val="00800A6B"/>
    <w:rsid w:val="00800D48"/>
    <w:rsid w:val="0080179B"/>
    <w:rsid w:val="0080230D"/>
    <w:rsid w:val="00804318"/>
    <w:rsid w:val="008044DA"/>
    <w:rsid w:val="00805F58"/>
    <w:rsid w:val="0080792E"/>
    <w:rsid w:val="00807F00"/>
    <w:rsid w:val="00810623"/>
    <w:rsid w:val="00811332"/>
    <w:rsid w:val="008113E4"/>
    <w:rsid w:val="008114D6"/>
    <w:rsid w:val="00811564"/>
    <w:rsid w:val="00811DE8"/>
    <w:rsid w:val="00811F7E"/>
    <w:rsid w:val="00812281"/>
    <w:rsid w:val="00812AAC"/>
    <w:rsid w:val="008131A8"/>
    <w:rsid w:val="0081390E"/>
    <w:rsid w:val="00813CE6"/>
    <w:rsid w:val="00814BE4"/>
    <w:rsid w:val="00814E7F"/>
    <w:rsid w:val="00816DA6"/>
    <w:rsid w:val="00822964"/>
    <w:rsid w:val="008272F4"/>
    <w:rsid w:val="008274C7"/>
    <w:rsid w:val="00827DC1"/>
    <w:rsid w:val="00827EC3"/>
    <w:rsid w:val="0083005C"/>
    <w:rsid w:val="00831AAB"/>
    <w:rsid w:val="00831B70"/>
    <w:rsid w:val="00832A3F"/>
    <w:rsid w:val="008335D8"/>
    <w:rsid w:val="00833869"/>
    <w:rsid w:val="0083424C"/>
    <w:rsid w:val="00834E8C"/>
    <w:rsid w:val="00835026"/>
    <w:rsid w:val="00835894"/>
    <w:rsid w:val="0083595A"/>
    <w:rsid w:val="008378B4"/>
    <w:rsid w:val="00840237"/>
    <w:rsid w:val="00843003"/>
    <w:rsid w:val="00843029"/>
    <w:rsid w:val="00843E62"/>
    <w:rsid w:val="00844156"/>
    <w:rsid w:val="008441B7"/>
    <w:rsid w:val="00844F19"/>
    <w:rsid w:val="00846ED8"/>
    <w:rsid w:val="008472B5"/>
    <w:rsid w:val="008500F3"/>
    <w:rsid w:val="00851881"/>
    <w:rsid w:val="008520D2"/>
    <w:rsid w:val="008526C1"/>
    <w:rsid w:val="008546D6"/>
    <w:rsid w:val="00856088"/>
    <w:rsid w:val="0085625C"/>
    <w:rsid w:val="0085705D"/>
    <w:rsid w:val="0086114B"/>
    <w:rsid w:val="0086194D"/>
    <w:rsid w:val="00861D19"/>
    <w:rsid w:val="00862DC5"/>
    <w:rsid w:val="0086312F"/>
    <w:rsid w:val="00863CFB"/>
    <w:rsid w:val="00864451"/>
    <w:rsid w:val="00864903"/>
    <w:rsid w:val="00865EAF"/>
    <w:rsid w:val="00866282"/>
    <w:rsid w:val="0086681C"/>
    <w:rsid w:val="00866966"/>
    <w:rsid w:val="00866B29"/>
    <w:rsid w:val="00866C26"/>
    <w:rsid w:val="00866D9A"/>
    <w:rsid w:val="00866DC7"/>
    <w:rsid w:val="008673F3"/>
    <w:rsid w:val="00867580"/>
    <w:rsid w:val="008702E2"/>
    <w:rsid w:val="00870D78"/>
    <w:rsid w:val="008737FB"/>
    <w:rsid w:val="00876A42"/>
    <w:rsid w:val="008770B8"/>
    <w:rsid w:val="00880150"/>
    <w:rsid w:val="00880294"/>
    <w:rsid w:val="00881EBA"/>
    <w:rsid w:val="00882448"/>
    <w:rsid w:val="00882839"/>
    <w:rsid w:val="008832C5"/>
    <w:rsid w:val="0088418E"/>
    <w:rsid w:val="0088448A"/>
    <w:rsid w:val="008864DD"/>
    <w:rsid w:val="00890836"/>
    <w:rsid w:val="00890871"/>
    <w:rsid w:val="00891849"/>
    <w:rsid w:val="00892659"/>
    <w:rsid w:val="0089519B"/>
    <w:rsid w:val="0089590D"/>
    <w:rsid w:val="00896685"/>
    <w:rsid w:val="0089687C"/>
    <w:rsid w:val="008A1401"/>
    <w:rsid w:val="008A18FD"/>
    <w:rsid w:val="008A1CBD"/>
    <w:rsid w:val="008A6CFD"/>
    <w:rsid w:val="008B1444"/>
    <w:rsid w:val="008B1BA1"/>
    <w:rsid w:val="008B3794"/>
    <w:rsid w:val="008B3918"/>
    <w:rsid w:val="008B3B93"/>
    <w:rsid w:val="008B4000"/>
    <w:rsid w:val="008B50FE"/>
    <w:rsid w:val="008B532E"/>
    <w:rsid w:val="008B5B42"/>
    <w:rsid w:val="008B7294"/>
    <w:rsid w:val="008C064B"/>
    <w:rsid w:val="008C176F"/>
    <w:rsid w:val="008C2456"/>
    <w:rsid w:val="008C48AB"/>
    <w:rsid w:val="008C4C90"/>
    <w:rsid w:val="008C6ED4"/>
    <w:rsid w:val="008C6F73"/>
    <w:rsid w:val="008C7598"/>
    <w:rsid w:val="008D0019"/>
    <w:rsid w:val="008D0521"/>
    <w:rsid w:val="008D09DA"/>
    <w:rsid w:val="008D11AA"/>
    <w:rsid w:val="008D26F3"/>
    <w:rsid w:val="008D6A4A"/>
    <w:rsid w:val="008D74AA"/>
    <w:rsid w:val="008E1330"/>
    <w:rsid w:val="008E2096"/>
    <w:rsid w:val="008E34AE"/>
    <w:rsid w:val="008E3C36"/>
    <w:rsid w:val="008E3F1E"/>
    <w:rsid w:val="008E60A3"/>
    <w:rsid w:val="008E63AA"/>
    <w:rsid w:val="008E70C1"/>
    <w:rsid w:val="008E7E7C"/>
    <w:rsid w:val="008F03AF"/>
    <w:rsid w:val="008F06D5"/>
    <w:rsid w:val="008F2B2D"/>
    <w:rsid w:val="008F2FC1"/>
    <w:rsid w:val="008F3F6D"/>
    <w:rsid w:val="008F514B"/>
    <w:rsid w:val="008F5728"/>
    <w:rsid w:val="008F57C9"/>
    <w:rsid w:val="008F6081"/>
    <w:rsid w:val="008F6229"/>
    <w:rsid w:val="008F6A56"/>
    <w:rsid w:val="008F6F49"/>
    <w:rsid w:val="008F79CD"/>
    <w:rsid w:val="00900865"/>
    <w:rsid w:val="0090131E"/>
    <w:rsid w:val="009029E0"/>
    <w:rsid w:val="009056B1"/>
    <w:rsid w:val="00905EAB"/>
    <w:rsid w:val="00905EB7"/>
    <w:rsid w:val="009069E7"/>
    <w:rsid w:val="00906C80"/>
    <w:rsid w:val="009077B8"/>
    <w:rsid w:val="0091042B"/>
    <w:rsid w:val="009107A5"/>
    <w:rsid w:val="00911D93"/>
    <w:rsid w:val="00913ABC"/>
    <w:rsid w:val="00913D86"/>
    <w:rsid w:val="00914C08"/>
    <w:rsid w:val="00914FA9"/>
    <w:rsid w:val="00916C62"/>
    <w:rsid w:val="00916CD8"/>
    <w:rsid w:val="00916ECB"/>
    <w:rsid w:val="00917372"/>
    <w:rsid w:val="00917530"/>
    <w:rsid w:val="00917981"/>
    <w:rsid w:val="00917FE7"/>
    <w:rsid w:val="00920523"/>
    <w:rsid w:val="00920599"/>
    <w:rsid w:val="0092281B"/>
    <w:rsid w:val="00930D84"/>
    <w:rsid w:val="00930FC2"/>
    <w:rsid w:val="0093153D"/>
    <w:rsid w:val="0093277E"/>
    <w:rsid w:val="00932CD0"/>
    <w:rsid w:val="00933DE7"/>
    <w:rsid w:val="00934797"/>
    <w:rsid w:val="00934824"/>
    <w:rsid w:val="00934B1D"/>
    <w:rsid w:val="009359A6"/>
    <w:rsid w:val="00935E46"/>
    <w:rsid w:val="00936C3F"/>
    <w:rsid w:val="0093703F"/>
    <w:rsid w:val="00937322"/>
    <w:rsid w:val="00937510"/>
    <w:rsid w:val="009417B8"/>
    <w:rsid w:val="00941A90"/>
    <w:rsid w:val="0094558B"/>
    <w:rsid w:val="009473AE"/>
    <w:rsid w:val="009477E1"/>
    <w:rsid w:val="00947C65"/>
    <w:rsid w:val="00947DFA"/>
    <w:rsid w:val="00951EBA"/>
    <w:rsid w:val="0095370A"/>
    <w:rsid w:val="00953B36"/>
    <w:rsid w:val="00953C8B"/>
    <w:rsid w:val="0095565C"/>
    <w:rsid w:val="009557DD"/>
    <w:rsid w:val="0095622E"/>
    <w:rsid w:val="00956785"/>
    <w:rsid w:val="009570D9"/>
    <w:rsid w:val="009572B4"/>
    <w:rsid w:val="00957A1A"/>
    <w:rsid w:val="00960461"/>
    <w:rsid w:val="00963172"/>
    <w:rsid w:val="00963B07"/>
    <w:rsid w:val="00963E5C"/>
    <w:rsid w:val="009640F6"/>
    <w:rsid w:val="00964EF8"/>
    <w:rsid w:val="00965FD8"/>
    <w:rsid w:val="00966106"/>
    <w:rsid w:val="00966125"/>
    <w:rsid w:val="00966931"/>
    <w:rsid w:val="009678D3"/>
    <w:rsid w:val="0096790D"/>
    <w:rsid w:val="00967D21"/>
    <w:rsid w:val="0097007E"/>
    <w:rsid w:val="009700AB"/>
    <w:rsid w:val="00970A93"/>
    <w:rsid w:val="00970BC0"/>
    <w:rsid w:val="009732CC"/>
    <w:rsid w:val="0097398E"/>
    <w:rsid w:val="00973F2C"/>
    <w:rsid w:val="00974BAE"/>
    <w:rsid w:val="00974BCB"/>
    <w:rsid w:val="0097736A"/>
    <w:rsid w:val="009801A4"/>
    <w:rsid w:val="00981E68"/>
    <w:rsid w:val="00983151"/>
    <w:rsid w:val="00983621"/>
    <w:rsid w:val="00983B4D"/>
    <w:rsid w:val="009850E9"/>
    <w:rsid w:val="009859CB"/>
    <w:rsid w:val="00985F32"/>
    <w:rsid w:val="00985F62"/>
    <w:rsid w:val="0098616A"/>
    <w:rsid w:val="0098763B"/>
    <w:rsid w:val="00987687"/>
    <w:rsid w:val="00987B78"/>
    <w:rsid w:val="009920DD"/>
    <w:rsid w:val="00993BFF"/>
    <w:rsid w:val="00993E47"/>
    <w:rsid w:val="009961AA"/>
    <w:rsid w:val="009963CC"/>
    <w:rsid w:val="009A0084"/>
    <w:rsid w:val="009A2497"/>
    <w:rsid w:val="009A272F"/>
    <w:rsid w:val="009A32D2"/>
    <w:rsid w:val="009A3863"/>
    <w:rsid w:val="009A38A2"/>
    <w:rsid w:val="009A3A4B"/>
    <w:rsid w:val="009A3A84"/>
    <w:rsid w:val="009A3BAC"/>
    <w:rsid w:val="009A4A70"/>
    <w:rsid w:val="009A4B24"/>
    <w:rsid w:val="009A5EE3"/>
    <w:rsid w:val="009A622A"/>
    <w:rsid w:val="009A6DBF"/>
    <w:rsid w:val="009B1790"/>
    <w:rsid w:val="009B20EB"/>
    <w:rsid w:val="009B252C"/>
    <w:rsid w:val="009B27AE"/>
    <w:rsid w:val="009B2D9F"/>
    <w:rsid w:val="009B2F48"/>
    <w:rsid w:val="009B3022"/>
    <w:rsid w:val="009B3F32"/>
    <w:rsid w:val="009B4A63"/>
    <w:rsid w:val="009B58C0"/>
    <w:rsid w:val="009B5D9C"/>
    <w:rsid w:val="009B7D81"/>
    <w:rsid w:val="009C075F"/>
    <w:rsid w:val="009C1639"/>
    <w:rsid w:val="009C1733"/>
    <w:rsid w:val="009C18CA"/>
    <w:rsid w:val="009C1A4F"/>
    <w:rsid w:val="009C1C90"/>
    <w:rsid w:val="009C313D"/>
    <w:rsid w:val="009C3B26"/>
    <w:rsid w:val="009C4F21"/>
    <w:rsid w:val="009C51EB"/>
    <w:rsid w:val="009C693D"/>
    <w:rsid w:val="009C6998"/>
    <w:rsid w:val="009C7BE6"/>
    <w:rsid w:val="009D13DC"/>
    <w:rsid w:val="009D2F06"/>
    <w:rsid w:val="009D4227"/>
    <w:rsid w:val="009D531C"/>
    <w:rsid w:val="009D606E"/>
    <w:rsid w:val="009D6740"/>
    <w:rsid w:val="009D6F46"/>
    <w:rsid w:val="009D7D92"/>
    <w:rsid w:val="009E0B31"/>
    <w:rsid w:val="009E0C76"/>
    <w:rsid w:val="009E0FF6"/>
    <w:rsid w:val="009E1E58"/>
    <w:rsid w:val="009E294C"/>
    <w:rsid w:val="009E2BC5"/>
    <w:rsid w:val="009E2E44"/>
    <w:rsid w:val="009E33B8"/>
    <w:rsid w:val="009E3E63"/>
    <w:rsid w:val="009E5076"/>
    <w:rsid w:val="009E6B0A"/>
    <w:rsid w:val="009E6D71"/>
    <w:rsid w:val="009E6E4B"/>
    <w:rsid w:val="009F057E"/>
    <w:rsid w:val="009F205D"/>
    <w:rsid w:val="009F22A6"/>
    <w:rsid w:val="009F2B9F"/>
    <w:rsid w:val="009F3013"/>
    <w:rsid w:val="009F3573"/>
    <w:rsid w:val="009F4CCA"/>
    <w:rsid w:val="009F5FBF"/>
    <w:rsid w:val="009F6351"/>
    <w:rsid w:val="009F6647"/>
    <w:rsid w:val="009F7810"/>
    <w:rsid w:val="009F7932"/>
    <w:rsid w:val="009F7D1D"/>
    <w:rsid w:val="00A01B51"/>
    <w:rsid w:val="00A01F5E"/>
    <w:rsid w:val="00A023E5"/>
    <w:rsid w:val="00A03A75"/>
    <w:rsid w:val="00A03AA1"/>
    <w:rsid w:val="00A044B4"/>
    <w:rsid w:val="00A0563F"/>
    <w:rsid w:val="00A056D2"/>
    <w:rsid w:val="00A06323"/>
    <w:rsid w:val="00A0670A"/>
    <w:rsid w:val="00A06A10"/>
    <w:rsid w:val="00A06A6C"/>
    <w:rsid w:val="00A079FE"/>
    <w:rsid w:val="00A07C9A"/>
    <w:rsid w:val="00A07E0C"/>
    <w:rsid w:val="00A07F76"/>
    <w:rsid w:val="00A100A1"/>
    <w:rsid w:val="00A10360"/>
    <w:rsid w:val="00A10B43"/>
    <w:rsid w:val="00A117CB"/>
    <w:rsid w:val="00A123DD"/>
    <w:rsid w:val="00A13A56"/>
    <w:rsid w:val="00A144DE"/>
    <w:rsid w:val="00A169A0"/>
    <w:rsid w:val="00A20416"/>
    <w:rsid w:val="00A21676"/>
    <w:rsid w:val="00A230F6"/>
    <w:rsid w:val="00A24AA4"/>
    <w:rsid w:val="00A25309"/>
    <w:rsid w:val="00A25E2C"/>
    <w:rsid w:val="00A2674E"/>
    <w:rsid w:val="00A26CE3"/>
    <w:rsid w:val="00A26EF4"/>
    <w:rsid w:val="00A272D6"/>
    <w:rsid w:val="00A33A5A"/>
    <w:rsid w:val="00A34631"/>
    <w:rsid w:val="00A34E69"/>
    <w:rsid w:val="00A3578E"/>
    <w:rsid w:val="00A3692D"/>
    <w:rsid w:val="00A3707F"/>
    <w:rsid w:val="00A376D0"/>
    <w:rsid w:val="00A378B0"/>
    <w:rsid w:val="00A405EA"/>
    <w:rsid w:val="00A406B4"/>
    <w:rsid w:val="00A41D87"/>
    <w:rsid w:val="00A41FB6"/>
    <w:rsid w:val="00A42ABD"/>
    <w:rsid w:val="00A43070"/>
    <w:rsid w:val="00A437CD"/>
    <w:rsid w:val="00A44ADA"/>
    <w:rsid w:val="00A44EB3"/>
    <w:rsid w:val="00A45172"/>
    <w:rsid w:val="00A45178"/>
    <w:rsid w:val="00A46C1C"/>
    <w:rsid w:val="00A46F28"/>
    <w:rsid w:val="00A473D8"/>
    <w:rsid w:val="00A517B7"/>
    <w:rsid w:val="00A51C79"/>
    <w:rsid w:val="00A53830"/>
    <w:rsid w:val="00A56A5B"/>
    <w:rsid w:val="00A56BB5"/>
    <w:rsid w:val="00A56C82"/>
    <w:rsid w:val="00A57F31"/>
    <w:rsid w:val="00A602AC"/>
    <w:rsid w:val="00A60760"/>
    <w:rsid w:val="00A61626"/>
    <w:rsid w:val="00A6361A"/>
    <w:rsid w:val="00A63A36"/>
    <w:rsid w:val="00A6614B"/>
    <w:rsid w:val="00A66523"/>
    <w:rsid w:val="00A67D1C"/>
    <w:rsid w:val="00A7022C"/>
    <w:rsid w:val="00A71CD1"/>
    <w:rsid w:val="00A74824"/>
    <w:rsid w:val="00A7535D"/>
    <w:rsid w:val="00A76270"/>
    <w:rsid w:val="00A77DEB"/>
    <w:rsid w:val="00A77F06"/>
    <w:rsid w:val="00A80CF7"/>
    <w:rsid w:val="00A81E47"/>
    <w:rsid w:val="00A81E83"/>
    <w:rsid w:val="00A82475"/>
    <w:rsid w:val="00A83C56"/>
    <w:rsid w:val="00A85240"/>
    <w:rsid w:val="00A85450"/>
    <w:rsid w:val="00A86257"/>
    <w:rsid w:val="00A86AA4"/>
    <w:rsid w:val="00A87093"/>
    <w:rsid w:val="00A902E5"/>
    <w:rsid w:val="00A90703"/>
    <w:rsid w:val="00A90CD5"/>
    <w:rsid w:val="00A924B0"/>
    <w:rsid w:val="00A931C9"/>
    <w:rsid w:val="00A94557"/>
    <w:rsid w:val="00A968E9"/>
    <w:rsid w:val="00A96EC5"/>
    <w:rsid w:val="00A97A1F"/>
    <w:rsid w:val="00A97F40"/>
    <w:rsid w:val="00AA08D5"/>
    <w:rsid w:val="00AA115A"/>
    <w:rsid w:val="00AA2BD4"/>
    <w:rsid w:val="00AA3BDC"/>
    <w:rsid w:val="00AA463A"/>
    <w:rsid w:val="00AA4926"/>
    <w:rsid w:val="00AA6106"/>
    <w:rsid w:val="00AA6360"/>
    <w:rsid w:val="00AA7954"/>
    <w:rsid w:val="00AA7D1C"/>
    <w:rsid w:val="00AB034F"/>
    <w:rsid w:val="00AB0694"/>
    <w:rsid w:val="00AB0B7E"/>
    <w:rsid w:val="00AB0E78"/>
    <w:rsid w:val="00AB1D94"/>
    <w:rsid w:val="00AB1E74"/>
    <w:rsid w:val="00AB2BDF"/>
    <w:rsid w:val="00AB30C2"/>
    <w:rsid w:val="00AB32D4"/>
    <w:rsid w:val="00AB3331"/>
    <w:rsid w:val="00AB56A4"/>
    <w:rsid w:val="00AB6666"/>
    <w:rsid w:val="00AB6F88"/>
    <w:rsid w:val="00AB714B"/>
    <w:rsid w:val="00AB7524"/>
    <w:rsid w:val="00AC10BD"/>
    <w:rsid w:val="00AC1265"/>
    <w:rsid w:val="00AC16B3"/>
    <w:rsid w:val="00AC1F10"/>
    <w:rsid w:val="00AC5453"/>
    <w:rsid w:val="00AC54D0"/>
    <w:rsid w:val="00AC585D"/>
    <w:rsid w:val="00AC58E9"/>
    <w:rsid w:val="00AC5B47"/>
    <w:rsid w:val="00AC72B8"/>
    <w:rsid w:val="00AD2330"/>
    <w:rsid w:val="00AD254E"/>
    <w:rsid w:val="00AD3F80"/>
    <w:rsid w:val="00AD43CF"/>
    <w:rsid w:val="00AD459F"/>
    <w:rsid w:val="00AD49A6"/>
    <w:rsid w:val="00AD645A"/>
    <w:rsid w:val="00AD6C5E"/>
    <w:rsid w:val="00AD7B8D"/>
    <w:rsid w:val="00AD7E1F"/>
    <w:rsid w:val="00AD7FCE"/>
    <w:rsid w:val="00AE0038"/>
    <w:rsid w:val="00AE023F"/>
    <w:rsid w:val="00AE1515"/>
    <w:rsid w:val="00AE1751"/>
    <w:rsid w:val="00AE20A3"/>
    <w:rsid w:val="00AE25B4"/>
    <w:rsid w:val="00AE3082"/>
    <w:rsid w:val="00AE3194"/>
    <w:rsid w:val="00AE37E0"/>
    <w:rsid w:val="00AE4E1D"/>
    <w:rsid w:val="00AE50CC"/>
    <w:rsid w:val="00AE517A"/>
    <w:rsid w:val="00AE6BFC"/>
    <w:rsid w:val="00AE7251"/>
    <w:rsid w:val="00AE7CDD"/>
    <w:rsid w:val="00AF0045"/>
    <w:rsid w:val="00AF07F2"/>
    <w:rsid w:val="00AF16D7"/>
    <w:rsid w:val="00AF2188"/>
    <w:rsid w:val="00AF3465"/>
    <w:rsid w:val="00AF6106"/>
    <w:rsid w:val="00AF6D0C"/>
    <w:rsid w:val="00AF7962"/>
    <w:rsid w:val="00AF7DCB"/>
    <w:rsid w:val="00B023E3"/>
    <w:rsid w:val="00B0370B"/>
    <w:rsid w:val="00B03D08"/>
    <w:rsid w:val="00B050BE"/>
    <w:rsid w:val="00B0516C"/>
    <w:rsid w:val="00B05681"/>
    <w:rsid w:val="00B076BD"/>
    <w:rsid w:val="00B076FA"/>
    <w:rsid w:val="00B124CF"/>
    <w:rsid w:val="00B12E32"/>
    <w:rsid w:val="00B13F50"/>
    <w:rsid w:val="00B14D3D"/>
    <w:rsid w:val="00B15E8C"/>
    <w:rsid w:val="00B16269"/>
    <w:rsid w:val="00B16700"/>
    <w:rsid w:val="00B178E7"/>
    <w:rsid w:val="00B179A0"/>
    <w:rsid w:val="00B21A9D"/>
    <w:rsid w:val="00B22229"/>
    <w:rsid w:val="00B2325C"/>
    <w:rsid w:val="00B233A2"/>
    <w:rsid w:val="00B23FB2"/>
    <w:rsid w:val="00B2566C"/>
    <w:rsid w:val="00B27167"/>
    <w:rsid w:val="00B27872"/>
    <w:rsid w:val="00B31314"/>
    <w:rsid w:val="00B324FB"/>
    <w:rsid w:val="00B3267F"/>
    <w:rsid w:val="00B337B2"/>
    <w:rsid w:val="00B34768"/>
    <w:rsid w:val="00B34AA2"/>
    <w:rsid w:val="00B34BC6"/>
    <w:rsid w:val="00B364D5"/>
    <w:rsid w:val="00B36760"/>
    <w:rsid w:val="00B40D07"/>
    <w:rsid w:val="00B42B47"/>
    <w:rsid w:val="00B44E10"/>
    <w:rsid w:val="00B46267"/>
    <w:rsid w:val="00B4645C"/>
    <w:rsid w:val="00B47411"/>
    <w:rsid w:val="00B47CCD"/>
    <w:rsid w:val="00B51309"/>
    <w:rsid w:val="00B51978"/>
    <w:rsid w:val="00B520A1"/>
    <w:rsid w:val="00B52356"/>
    <w:rsid w:val="00B55CAA"/>
    <w:rsid w:val="00B56272"/>
    <w:rsid w:val="00B57AE5"/>
    <w:rsid w:val="00B60A09"/>
    <w:rsid w:val="00B6160D"/>
    <w:rsid w:val="00B61A8C"/>
    <w:rsid w:val="00B61FEE"/>
    <w:rsid w:val="00B629DF"/>
    <w:rsid w:val="00B62E2E"/>
    <w:rsid w:val="00B63407"/>
    <w:rsid w:val="00B634FB"/>
    <w:rsid w:val="00B6374A"/>
    <w:rsid w:val="00B637EE"/>
    <w:rsid w:val="00B64172"/>
    <w:rsid w:val="00B64190"/>
    <w:rsid w:val="00B64FE6"/>
    <w:rsid w:val="00B658CD"/>
    <w:rsid w:val="00B672FF"/>
    <w:rsid w:val="00B7286E"/>
    <w:rsid w:val="00B73460"/>
    <w:rsid w:val="00B75041"/>
    <w:rsid w:val="00B761B3"/>
    <w:rsid w:val="00B7729B"/>
    <w:rsid w:val="00B777DB"/>
    <w:rsid w:val="00B77D91"/>
    <w:rsid w:val="00B80273"/>
    <w:rsid w:val="00B81FA0"/>
    <w:rsid w:val="00B82241"/>
    <w:rsid w:val="00B82950"/>
    <w:rsid w:val="00B83842"/>
    <w:rsid w:val="00B86012"/>
    <w:rsid w:val="00B86A5F"/>
    <w:rsid w:val="00B87F78"/>
    <w:rsid w:val="00B90A11"/>
    <w:rsid w:val="00B915E8"/>
    <w:rsid w:val="00B92239"/>
    <w:rsid w:val="00B92A75"/>
    <w:rsid w:val="00B93141"/>
    <w:rsid w:val="00B937C4"/>
    <w:rsid w:val="00B93CE6"/>
    <w:rsid w:val="00B95A4B"/>
    <w:rsid w:val="00B95A7D"/>
    <w:rsid w:val="00B95F36"/>
    <w:rsid w:val="00B96A38"/>
    <w:rsid w:val="00B97509"/>
    <w:rsid w:val="00BA06B9"/>
    <w:rsid w:val="00BA07CD"/>
    <w:rsid w:val="00BA2AE3"/>
    <w:rsid w:val="00BA3026"/>
    <w:rsid w:val="00BA4BC1"/>
    <w:rsid w:val="00BA4E9A"/>
    <w:rsid w:val="00BA5630"/>
    <w:rsid w:val="00BA641B"/>
    <w:rsid w:val="00BA6CC0"/>
    <w:rsid w:val="00BA7B30"/>
    <w:rsid w:val="00BB002D"/>
    <w:rsid w:val="00BB08EB"/>
    <w:rsid w:val="00BB1467"/>
    <w:rsid w:val="00BB1783"/>
    <w:rsid w:val="00BB1A38"/>
    <w:rsid w:val="00BB479E"/>
    <w:rsid w:val="00BB5378"/>
    <w:rsid w:val="00BB707C"/>
    <w:rsid w:val="00BB73A9"/>
    <w:rsid w:val="00BC04B0"/>
    <w:rsid w:val="00BC17D0"/>
    <w:rsid w:val="00BC1839"/>
    <w:rsid w:val="00BC27E3"/>
    <w:rsid w:val="00BC4030"/>
    <w:rsid w:val="00BC46CF"/>
    <w:rsid w:val="00BC5918"/>
    <w:rsid w:val="00BC626C"/>
    <w:rsid w:val="00BC6A1A"/>
    <w:rsid w:val="00BC7D3F"/>
    <w:rsid w:val="00BD07C2"/>
    <w:rsid w:val="00BD41D8"/>
    <w:rsid w:val="00BD562B"/>
    <w:rsid w:val="00BD5E15"/>
    <w:rsid w:val="00BD5E90"/>
    <w:rsid w:val="00BD7CC2"/>
    <w:rsid w:val="00BE16F7"/>
    <w:rsid w:val="00BE2FCB"/>
    <w:rsid w:val="00BE3259"/>
    <w:rsid w:val="00BE3A8D"/>
    <w:rsid w:val="00BE3F95"/>
    <w:rsid w:val="00BE43FC"/>
    <w:rsid w:val="00BE4E38"/>
    <w:rsid w:val="00BE5436"/>
    <w:rsid w:val="00BE594A"/>
    <w:rsid w:val="00BE5ECC"/>
    <w:rsid w:val="00BE6653"/>
    <w:rsid w:val="00BE6CB9"/>
    <w:rsid w:val="00BF0434"/>
    <w:rsid w:val="00BF07D3"/>
    <w:rsid w:val="00BF0EB0"/>
    <w:rsid w:val="00BF16A3"/>
    <w:rsid w:val="00BF1A77"/>
    <w:rsid w:val="00BF2409"/>
    <w:rsid w:val="00BF2622"/>
    <w:rsid w:val="00BF2A90"/>
    <w:rsid w:val="00BF4177"/>
    <w:rsid w:val="00BF4677"/>
    <w:rsid w:val="00BF52BB"/>
    <w:rsid w:val="00BF5FA9"/>
    <w:rsid w:val="00BF767B"/>
    <w:rsid w:val="00BF775D"/>
    <w:rsid w:val="00C00A7F"/>
    <w:rsid w:val="00C01B67"/>
    <w:rsid w:val="00C01C8F"/>
    <w:rsid w:val="00C021FF"/>
    <w:rsid w:val="00C02C66"/>
    <w:rsid w:val="00C0440A"/>
    <w:rsid w:val="00C04ACC"/>
    <w:rsid w:val="00C058DF"/>
    <w:rsid w:val="00C06A8E"/>
    <w:rsid w:val="00C1097C"/>
    <w:rsid w:val="00C10AF2"/>
    <w:rsid w:val="00C10FD4"/>
    <w:rsid w:val="00C128A6"/>
    <w:rsid w:val="00C12A80"/>
    <w:rsid w:val="00C135DC"/>
    <w:rsid w:val="00C13D88"/>
    <w:rsid w:val="00C14984"/>
    <w:rsid w:val="00C15FD4"/>
    <w:rsid w:val="00C1655B"/>
    <w:rsid w:val="00C16631"/>
    <w:rsid w:val="00C16809"/>
    <w:rsid w:val="00C16CD5"/>
    <w:rsid w:val="00C16CF8"/>
    <w:rsid w:val="00C16ECB"/>
    <w:rsid w:val="00C16F04"/>
    <w:rsid w:val="00C173BC"/>
    <w:rsid w:val="00C20103"/>
    <w:rsid w:val="00C237B8"/>
    <w:rsid w:val="00C24F01"/>
    <w:rsid w:val="00C252BA"/>
    <w:rsid w:val="00C25EDE"/>
    <w:rsid w:val="00C262BD"/>
    <w:rsid w:val="00C30F9B"/>
    <w:rsid w:val="00C3191A"/>
    <w:rsid w:val="00C32D2B"/>
    <w:rsid w:val="00C32F4E"/>
    <w:rsid w:val="00C32F9D"/>
    <w:rsid w:val="00C34092"/>
    <w:rsid w:val="00C34CB8"/>
    <w:rsid w:val="00C35BF4"/>
    <w:rsid w:val="00C35FCA"/>
    <w:rsid w:val="00C36F11"/>
    <w:rsid w:val="00C36F71"/>
    <w:rsid w:val="00C37D18"/>
    <w:rsid w:val="00C410D4"/>
    <w:rsid w:val="00C424A3"/>
    <w:rsid w:val="00C44022"/>
    <w:rsid w:val="00C45826"/>
    <w:rsid w:val="00C46E29"/>
    <w:rsid w:val="00C471E9"/>
    <w:rsid w:val="00C472F8"/>
    <w:rsid w:val="00C477A3"/>
    <w:rsid w:val="00C505C7"/>
    <w:rsid w:val="00C51137"/>
    <w:rsid w:val="00C51868"/>
    <w:rsid w:val="00C51CA4"/>
    <w:rsid w:val="00C5210A"/>
    <w:rsid w:val="00C53B77"/>
    <w:rsid w:val="00C546F7"/>
    <w:rsid w:val="00C54824"/>
    <w:rsid w:val="00C55B6A"/>
    <w:rsid w:val="00C56202"/>
    <w:rsid w:val="00C56EC3"/>
    <w:rsid w:val="00C5768E"/>
    <w:rsid w:val="00C606FB"/>
    <w:rsid w:val="00C61367"/>
    <w:rsid w:val="00C61D70"/>
    <w:rsid w:val="00C61F37"/>
    <w:rsid w:val="00C62015"/>
    <w:rsid w:val="00C626F0"/>
    <w:rsid w:val="00C6395F"/>
    <w:rsid w:val="00C66D37"/>
    <w:rsid w:val="00C67314"/>
    <w:rsid w:val="00C67782"/>
    <w:rsid w:val="00C715EE"/>
    <w:rsid w:val="00C72409"/>
    <w:rsid w:val="00C7272B"/>
    <w:rsid w:val="00C72DA2"/>
    <w:rsid w:val="00C73439"/>
    <w:rsid w:val="00C7385E"/>
    <w:rsid w:val="00C75091"/>
    <w:rsid w:val="00C76686"/>
    <w:rsid w:val="00C80075"/>
    <w:rsid w:val="00C808DB"/>
    <w:rsid w:val="00C81323"/>
    <w:rsid w:val="00C83879"/>
    <w:rsid w:val="00C83979"/>
    <w:rsid w:val="00C840E7"/>
    <w:rsid w:val="00C852B9"/>
    <w:rsid w:val="00C90BDE"/>
    <w:rsid w:val="00C9361C"/>
    <w:rsid w:val="00C94517"/>
    <w:rsid w:val="00C94824"/>
    <w:rsid w:val="00C9514F"/>
    <w:rsid w:val="00C959BB"/>
    <w:rsid w:val="00C969B2"/>
    <w:rsid w:val="00C96D7A"/>
    <w:rsid w:val="00C97BC9"/>
    <w:rsid w:val="00CA0981"/>
    <w:rsid w:val="00CA0EE5"/>
    <w:rsid w:val="00CA124F"/>
    <w:rsid w:val="00CA3AC8"/>
    <w:rsid w:val="00CA5697"/>
    <w:rsid w:val="00CA6062"/>
    <w:rsid w:val="00CA69D3"/>
    <w:rsid w:val="00CA7232"/>
    <w:rsid w:val="00CA72A0"/>
    <w:rsid w:val="00CA7535"/>
    <w:rsid w:val="00CA7B94"/>
    <w:rsid w:val="00CA7EDC"/>
    <w:rsid w:val="00CB02A7"/>
    <w:rsid w:val="00CB06AF"/>
    <w:rsid w:val="00CB1560"/>
    <w:rsid w:val="00CB1705"/>
    <w:rsid w:val="00CB4002"/>
    <w:rsid w:val="00CB4ECE"/>
    <w:rsid w:val="00CB530B"/>
    <w:rsid w:val="00CB639C"/>
    <w:rsid w:val="00CB6471"/>
    <w:rsid w:val="00CB7212"/>
    <w:rsid w:val="00CB7E11"/>
    <w:rsid w:val="00CB7FF2"/>
    <w:rsid w:val="00CC0A12"/>
    <w:rsid w:val="00CC152C"/>
    <w:rsid w:val="00CC2246"/>
    <w:rsid w:val="00CC3219"/>
    <w:rsid w:val="00CC3C58"/>
    <w:rsid w:val="00CC3F58"/>
    <w:rsid w:val="00CC405F"/>
    <w:rsid w:val="00CC7B21"/>
    <w:rsid w:val="00CC7BEC"/>
    <w:rsid w:val="00CC7EE0"/>
    <w:rsid w:val="00CD0BA8"/>
    <w:rsid w:val="00CD1F1A"/>
    <w:rsid w:val="00CD24E7"/>
    <w:rsid w:val="00CD4270"/>
    <w:rsid w:val="00CD51F8"/>
    <w:rsid w:val="00CD53C9"/>
    <w:rsid w:val="00CD60FB"/>
    <w:rsid w:val="00CD7C51"/>
    <w:rsid w:val="00CE1575"/>
    <w:rsid w:val="00CE15D1"/>
    <w:rsid w:val="00CE29E9"/>
    <w:rsid w:val="00CE32F7"/>
    <w:rsid w:val="00CE37DB"/>
    <w:rsid w:val="00CE398E"/>
    <w:rsid w:val="00CE3CC8"/>
    <w:rsid w:val="00CE4173"/>
    <w:rsid w:val="00CE467C"/>
    <w:rsid w:val="00CE5B27"/>
    <w:rsid w:val="00CE67B5"/>
    <w:rsid w:val="00CE74B1"/>
    <w:rsid w:val="00CF053B"/>
    <w:rsid w:val="00CF09AF"/>
    <w:rsid w:val="00CF1561"/>
    <w:rsid w:val="00CF16F6"/>
    <w:rsid w:val="00D016D1"/>
    <w:rsid w:val="00D01820"/>
    <w:rsid w:val="00D01B4E"/>
    <w:rsid w:val="00D03CF0"/>
    <w:rsid w:val="00D05C0A"/>
    <w:rsid w:val="00D062F3"/>
    <w:rsid w:val="00D06534"/>
    <w:rsid w:val="00D068AB"/>
    <w:rsid w:val="00D07ED6"/>
    <w:rsid w:val="00D10C10"/>
    <w:rsid w:val="00D146DB"/>
    <w:rsid w:val="00D156CE"/>
    <w:rsid w:val="00D2000A"/>
    <w:rsid w:val="00D2016E"/>
    <w:rsid w:val="00D21908"/>
    <w:rsid w:val="00D22043"/>
    <w:rsid w:val="00D223FD"/>
    <w:rsid w:val="00D23050"/>
    <w:rsid w:val="00D232A8"/>
    <w:rsid w:val="00D23333"/>
    <w:rsid w:val="00D24338"/>
    <w:rsid w:val="00D24CA7"/>
    <w:rsid w:val="00D25201"/>
    <w:rsid w:val="00D25385"/>
    <w:rsid w:val="00D260B9"/>
    <w:rsid w:val="00D27B8C"/>
    <w:rsid w:val="00D30090"/>
    <w:rsid w:val="00D30240"/>
    <w:rsid w:val="00D30D92"/>
    <w:rsid w:val="00D33A55"/>
    <w:rsid w:val="00D34E1B"/>
    <w:rsid w:val="00D353F4"/>
    <w:rsid w:val="00D36132"/>
    <w:rsid w:val="00D378E8"/>
    <w:rsid w:val="00D40424"/>
    <w:rsid w:val="00D41274"/>
    <w:rsid w:val="00D41890"/>
    <w:rsid w:val="00D42F1E"/>
    <w:rsid w:val="00D43F27"/>
    <w:rsid w:val="00D4412E"/>
    <w:rsid w:val="00D44AA6"/>
    <w:rsid w:val="00D44BFB"/>
    <w:rsid w:val="00D46060"/>
    <w:rsid w:val="00D470A1"/>
    <w:rsid w:val="00D50707"/>
    <w:rsid w:val="00D50C15"/>
    <w:rsid w:val="00D51570"/>
    <w:rsid w:val="00D52274"/>
    <w:rsid w:val="00D52EF5"/>
    <w:rsid w:val="00D5383B"/>
    <w:rsid w:val="00D56D04"/>
    <w:rsid w:val="00D57C26"/>
    <w:rsid w:val="00D61B20"/>
    <w:rsid w:val="00D634F2"/>
    <w:rsid w:val="00D64BBF"/>
    <w:rsid w:val="00D64CF6"/>
    <w:rsid w:val="00D64FD6"/>
    <w:rsid w:val="00D65156"/>
    <w:rsid w:val="00D65E3A"/>
    <w:rsid w:val="00D704F8"/>
    <w:rsid w:val="00D715A7"/>
    <w:rsid w:val="00D71993"/>
    <w:rsid w:val="00D7257B"/>
    <w:rsid w:val="00D738F6"/>
    <w:rsid w:val="00D74F94"/>
    <w:rsid w:val="00D76184"/>
    <w:rsid w:val="00D764CB"/>
    <w:rsid w:val="00D7694F"/>
    <w:rsid w:val="00D80DF5"/>
    <w:rsid w:val="00D817F1"/>
    <w:rsid w:val="00D83B0F"/>
    <w:rsid w:val="00D84005"/>
    <w:rsid w:val="00D841D7"/>
    <w:rsid w:val="00D846CB"/>
    <w:rsid w:val="00D8491C"/>
    <w:rsid w:val="00D860B3"/>
    <w:rsid w:val="00D86C22"/>
    <w:rsid w:val="00D879BA"/>
    <w:rsid w:val="00D87A68"/>
    <w:rsid w:val="00D87CFD"/>
    <w:rsid w:val="00D9133F"/>
    <w:rsid w:val="00D914F6"/>
    <w:rsid w:val="00D91C30"/>
    <w:rsid w:val="00D92D6C"/>
    <w:rsid w:val="00D93A04"/>
    <w:rsid w:val="00D94068"/>
    <w:rsid w:val="00D94915"/>
    <w:rsid w:val="00D94DB8"/>
    <w:rsid w:val="00D9564E"/>
    <w:rsid w:val="00D96104"/>
    <w:rsid w:val="00D963D0"/>
    <w:rsid w:val="00D964BA"/>
    <w:rsid w:val="00D96BCA"/>
    <w:rsid w:val="00D9752F"/>
    <w:rsid w:val="00D97CD9"/>
    <w:rsid w:val="00DA1765"/>
    <w:rsid w:val="00DA28DF"/>
    <w:rsid w:val="00DA324E"/>
    <w:rsid w:val="00DA4304"/>
    <w:rsid w:val="00DA621A"/>
    <w:rsid w:val="00DA66DE"/>
    <w:rsid w:val="00DA7A35"/>
    <w:rsid w:val="00DB0FAD"/>
    <w:rsid w:val="00DB1490"/>
    <w:rsid w:val="00DB1956"/>
    <w:rsid w:val="00DB222E"/>
    <w:rsid w:val="00DB26FD"/>
    <w:rsid w:val="00DB3161"/>
    <w:rsid w:val="00DB3265"/>
    <w:rsid w:val="00DB4944"/>
    <w:rsid w:val="00DB5B72"/>
    <w:rsid w:val="00DB6103"/>
    <w:rsid w:val="00DB6F84"/>
    <w:rsid w:val="00DB70EE"/>
    <w:rsid w:val="00DC00FD"/>
    <w:rsid w:val="00DC21D4"/>
    <w:rsid w:val="00DC2571"/>
    <w:rsid w:val="00DC28A3"/>
    <w:rsid w:val="00DC3639"/>
    <w:rsid w:val="00DC38FE"/>
    <w:rsid w:val="00DC49D2"/>
    <w:rsid w:val="00DC6FE8"/>
    <w:rsid w:val="00DC7856"/>
    <w:rsid w:val="00DC7AF4"/>
    <w:rsid w:val="00DD04CA"/>
    <w:rsid w:val="00DD077E"/>
    <w:rsid w:val="00DD1484"/>
    <w:rsid w:val="00DD21A2"/>
    <w:rsid w:val="00DD2909"/>
    <w:rsid w:val="00DD31DC"/>
    <w:rsid w:val="00DD4975"/>
    <w:rsid w:val="00DD77A9"/>
    <w:rsid w:val="00DE02D0"/>
    <w:rsid w:val="00DE1574"/>
    <w:rsid w:val="00DE1EB1"/>
    <w:rsid w:val="00DE3777"/>
    <w:rsid w:val="00DE460D"/>
    <w:rsid w:val="00DE4D39"/>
    <w:rsid w:val="00DE4E2E"/>
    <w:rsid w:val="00DE6BE8"/>
    <w:rsid w:val="00DF1967"/>
    <w:rsid w:val="00DF1A19"/>
    <w:rsid w:val="00DF1B05"/>
    <w:rsid w:val="00DF1F24"/>
    <w:rsid w:val="00DF2E69"/>
    <w:rsid w:val="00DF353F"/>
    <w:rsid w:val="00DF42C4"/>
    <w:rsid w:val="00DF4A84"/>
    <w:rsid w:val="00DF52A0"/>
    <w:rsid w:val="00DF57FC"/>
    <w:rsid w:val="00DF6777"/>
    <w:rsid w:val="00DF6954"/>
    <w:rsid w:val="00DF76F6"/>
    <w:rsid w:val="00E003AD"/>
    <w:rsid w:val="00E01F14"/>
    <w:rsid w:val="00E02A7A"/>
    <w:rsid w:val="00E03B31"/>
    <w:rsid w:val="00E051C3"/>
    <w:rsid w:val="00E05CBF"/>
    <w:rsid w:val="00E071A7"/>
    <w:rsid w:val="00E0754B"/>
    <w:rsid w:val="00E10642"/>
    <w:rsid w:val="00E10E6E"/>
    <w:rsid w:val="00E11D0E"/>
    <w:rsid w:val="00E13679"/>
    <w:rsid w:val="00E1434E"/>
    <w:rsid w:val="00E14B6C"/>
    <w:rsid w:val="00E1587F"/>
    <w:rsid w:val="00E163CF"/>
    <w:rsid w:val="00E1651E"/>
    <w:rsid w:val="00E16BD0"/>
    <w:rsid w:val="00E16C77"/>
    <w:rsid w:val="00E16E6B"/>
    <w:rsid w:val="00E16F26"/>
    <w:rsid w:val="00E204A2"/>
    <w:rsid w:val="00E2180A"/>
    <w:rsid w:val="00E23096"/>
    <w:rsid w:val="00E2311A"/>
    <w:rsid w:val="00E23F8A"/>
    <w:rsid w:val="00E24857"/>
    <w:rsid w:val="00E24FC2"/>
    <w:rsid w:val="00E257ED"/>
    <w:rsid w:val="00E25C4B"/>
    <w:rsid w:val="00E27200"/>
    <w:rsid w:val="00E30B15"/>
    <w:rsid w:val="00E31BB9"/>
    <w:rsid w:val="00E335D6"/>
    <w:rsid w:val="00E33A8E"/>
    <w:rsid w:val="00E340FC"/>
    <w:rsid w:val="00E35650"/>
    <w:rsid w:val="00E36517"/>
    <w:rsid w:val="00E36835"/>
    <w:rsid w:val="00E36BAA"/>
    <w:rsid w:val="00E40223"/>
    <w:rsid w:val="00E403DA"/>
    <w:rsid w:val="00E41476"/>
    <w:rsid w:val="00E41CD6"/>
    <w:rsid w:val="00E41F2B"/>
    <w:rsid w:val="00E42578"/>
    <w:rsid w:val="00E44182"/>
    <w:rsid w:val="00E46873"/>
    <w:rsid w:val="00E47533"/>
    <w:rsid w:val="00E52158"/>
    <w:rsid w:val="00E52834"/>
    <w:rsid w:val="00E52F31"/>
    <w:rsid w:val="00E5317A"/>
    <w:rsid w:val="00E55B9F"/>
    <w:rsid w:val="00E55D05"/>
    <w:rsid w:val="00E55E61"/>
    <w:rsid w:val="00E56380"/>
    <w:rsid w:val="00E56652"/>
    <w:rsid w:val="00E56DCF"/>
    <w:rsid w:val="00E56F21"/>
    <w:rsid w:val="00E5727F"/>
    <w:rsid w:val="00E62392"/>
    <w:rsid w:val="00E62594"/>
    <w:rsid w:val="00E62AE0"/>
    <w:rsid w:val="00E63955"/>
    <w:rsid w:val="00E65AB1"/>
    <w:rsid w:val="00E66013"/>
    <w:rsid w:val="00E667B7"/>
    <w:rsid w:val="00E6739A"/>
    <w:rsid w:val="00E678DB"/>
    <w:rsid w:val="00E7027E"/>
    <w:rsid w:val="00E7245F"/>
    <w:rsid w:val="00E72E69"/>
    <w:rsid w:val="00E73099"/>
    <w:rsid w:val="00E73217"/>
    <w:rsid w:val="00E733EB"/>
    <w:rsid w:val="00E749E4"/>
    <w:rsid w:val="00E74C77"/>
    <w:rsid w:val="00E76E71"/>
    <w:rsid w:val="00E8114C"/>
    <w:rsid w:val="00E81837"/>
    <w:rsid w:val="00E81846"/>
    <w:rsid w:val="00E81CF5"/>
    <w:rsid w:val="00E8594B"/>
    <w:rsid w:val="00E8622D"/>
    <w:rsid w:val="00E87678"/>
    <w:rsid w:val="00E90166"/>
    <w:rsid w:val="00E901C0"/>
    <w:rsid w:val="00E90340"/>
    <w:rsid w:val="00E91DD2"/>
    <w:rsid w:val="00E921E5"/>
    <w:rsid w:val="00E935B6"/>
    <w:rsid w:val="00E94328"/>
    <w:rsid w:val="00E94C8C"/>
    <w:rsid w:val="00E964D1"/>
    <w:rsid w:val="00E96ABB"/>
    <w:rsid w:val="00E9731C"/>
    <w:rsid w:val="00EA03E0"/>
    <w:rsid w:val="00EA5136"/>
    <w:rsid w:val="00EA64C6"/>
    <w:rsid w:val="00EA7013"/>
    <w:rsid w:val="00EA7892"/>
    <w:rsid w:val="00EB0404"/>
    <w:rsid w:val="00EB0E61"/>
    <w:rsid w:val="00EB0E8A"/>
    <w:rsid w:val="00EB0E9D"/>
    <w:rsid w:val="00EB22AE"/>
    <w:rsid w:val="00EB3738"/>
    <w:rsid w:val="00EB3CAE"/>
    <w:rsid w:val="00EC108E"/>
    <w:rsid w:val="00EC15E8"/>
    <w:rsid w:val="00EC2EB6"/>
    <w:rsid w:val="00EC33D4"/>
    <w:rsid w:val="00EC3D69"/>
    <w:rsid w:val="00EC3DE1"/>
    <w:rsid w:val="00EC5B1A"/>
    <w:rsid w:val="00EC71CF"/>
    <w:rsid w:val="00EC73D8"/>
    <w:rsid w:val="00EC7E6F"/>
    <w:rsid w:val="00ED0656"/>
    <w:rsid w:val="00ED094B"/>
    <w:rsid w:val="00ED1188"/>
    <w:rsid w:val="00ED17E6"/>
    <w:rsid w:val="00ED336B"/>
    <w:rsid w:val="00ED42D1"/>
    <w:rsid w:val="00ED5A50"/>
    <w:rsid w:val="00ED6873"/>
    <w:rsid w:val="00EE20E8"/>
    <w:rsid w:val="00EE24C9"/>
    <w:rsid w:val="00EE3287"/>
    <w:rsid w:val="00EE331E"/>
    <w:rsid w:val="00EE34A3"/>
    <w:rsid w:val="00EE51D5"/>
    <w:rsid w:val="00EF00F1"/>
    <w:rsid w:val="00EF0F09"/>
    <w:rsid w:val="00EF109C"/>
    <w:rsid w:val="00EF1443"/>
    <w:rsid w:val="00EF1EF6"/>
    <w:rsid w:val="00EF1F72"/>
    <w:rsid w:val="00EF344D"/>
    <w:rsid w:val="00EF360C"/>
    <w:rsid w:val="00EF52E5"/>
    <w:rsid w:val="00EF5970"/>
    <w:rsid w:val="00EF6FCA"/>
    <w:rsid w:val="00F00D3A"/>
    <w:rsid w:val="00F01A84"/>
    <w:rsid w:val="00F0205D"/>
    <w:rsid w:val="00F025B9"/>
    <w:rsid w:val="00F036E9"/>
    <w:rsid w:val="00F040FA"/>
    <w:rsid w:val="00F04BF3"/>
    <w:rsid w:val="00F04E26"/>
    <w:rsid w:val="00F06BA6"/>
    <w:rsid w:val="00F076F6"/>
    <w:rsid w:val="00F0789A"/>
    <w:rsid w:val="00F07F52"/>
    <w:rsid w:val="00F10301"/>
    <w:rsid w:val="00F10CC5"/>
    <w:rsid w:val="00F11487"/>
    <w:rsid w:val="00F11675"/>
    <w:rsid w:val="00F12045"/>
    <w:rsid w:val="00F14F07"/>
    <w:rsid w:val="00F15184"/>
    <w:rsid w:val="00F15CA6"/>
    <w:rsid w:val="00F15E56"/>
    <w:rsid w:val="00F169DB"/>
    <w:rsid w:val="00F1736E"/>
    <w:rsid w:val="00F20D7E"/>
    <w:rsid w:val="00F21E29"/>
    <w:rsid w:val="00F22A45"/>
    <w:rsid w:val="00F2361D"/>
    <w:rsid w:val="00F24CC4"/>
    <w:rsid w:val="00F24E92"/>
    <w:rsid w:val="00F2515F"/>
    <w:rsid w:val="00F25330"/>
    <w:rsid w:val="00F261F6"/>
    <w:rsid w:val="00F271D2"/>
    <w:rsid w:val="00F30A01"/>
    <w:rsid w:val="00F31261"/>
    <w:rsid w:val="00F322D2"/>
    <w:rsid w:val="00F33B57"/>
    <w:rsid w:val="00F34B78"/>
    <w:rsid w:val="00F35870"/>
    <w:rsid w:val="00F36E3D"/>
    <w:rsid w:val="00F4008B"/>
    <w:rsid w:val="00F40091"/>
    <w:rsid w:val="00F41957"/>
    <w:rsid w:val="00F419A7"/>
    <w:rsid w:val="00F42293"/>
    <w:rsid w:val="00F425C4"/>
    <w:rsid w:val="00F42F6E"/>
    <w:rsid w:val="00F44D11"/>
    <w:rsid w:val="00F45219"/>
    <w:rsid w:val="00F4540D"/>
    <w:rsid w:val="00F455B3"/>
    <w:rsid w:val="00F47410"/>
    <w:rsid w:val="00F47697"/>
    <w:rsid w:val="00F47822"/>
    <w:rsid w:val="00F47A10"/>
    <w:rsid w:val="00F47C7D"/>
    <w:rsid w:val="00F50190"/>
    <w:rsid w:val="00F51275"/>
    <w:rsid w:val="00F52268"/>
    <w:rsid w:val="00F52BC4"/>
    <w:rsid w:val="00F53A71"/>
    <w:rsid w:val="00F53D03"/>
    <w:rsid w:val="00F53F6D"/>
    <w:rsid w:val="00F55031"/>
    <w:rsid w:val="00F55B42"/>
    <w:rsid w:val="00F560DF"/>
    <w:rsid w:val="00F60609"/>
    <w:rsid w:val="00F6242C"/>
    <w:rsid w:val="00F62D86"/>
    <w:rsid w:val="00F66EBA"/>
    <w:rsid w:val="00F66FE9"/>
    <w:rsid w:val="00F7010F"/>
    <w:rsid w:val="00F70736"/>
    <w:rsid w:val="00F723A9"/>
    <w:rsid w:val="00F7340C"/>
    <w:rsid w:val="00F73A7F"/>
    <w:rsid w:val="00F7462C"/>
    <w:rsid w:val="00F75CD3"/>
    <w:rsid w:val="00F77364"/>
    <w:rsid w:val="00F77DEC"/>
    <w:rsid w:val="00F77E97"/>
    <w:rsid w:val="00F80301"/>
    <w:rsid w:val="00F803A0"/>
    <w:rsid w:val="00F80CB7"/>
    <w:rsid w:val="00F80DBF"/>
    <w:rsid w:val="00F81F99"/>
    <w:rsid w:val="00F82526"/>
    <w:rsid w:val="00F82D9D"/>
    <w:rsid w:val="00F848A4"/>
    <w:rsid w:val="00F85FD8"/>
    <w:rsid w:val="00F86B18"/>
    <w:rsid w:val="00F90D9C"/>
    <w:rsid w:val="00F9183D"/>
    <w:rsid w:val="00F923B5"/>
    <w:rsid w:val="00F927F5"/>
    <w:rsid w:val="00F930D1"/>
    <w:rsid w:val="00F93DEC"/>
    <w:rsid w:val="00F94479"/>
    <w:rsid w:val="00F95AD0"/>
    <w:rsid w:val="00F974AD"/>
    <w:rsid w:val="00F97A60"/>
    <w:rsid w:val="00F97DA8"/>
    <w:rsid w:val="00FA06A2"/>
    <w:rsid w:val="00FA0B13"/>
    <w:rsid w:val="00FA0B79"/>
    <w:rsid w:val="00FA2099"/>
    <w:rsid w:val="00FA38AC"/>
    <w:rsid w:val="00FA4453"/>
    <w:rsid w:val="00FA44B4"/>
    <w:rsid w:val="00FA5DCD"/>
    <w:rsid w:val="00FA6185"/>
    <w:rsid w:val="00FA6EA0"/>
    <w:rsid w:val="00FA7981"/>
    <w:rsid w:val="00FB03D2"/>
    <w:rsid w:val="00FB05F6"/>
    <w:rsid w:val="00FB0667"/>
    <w:rsid w:val="00FB0698"/>
    <w:rsid w:val="00FB1EDA"/>
    <w:rsid w:val="00FB46BB"/>
    <w:rsid w:val="00FB63C9"/>
    <w:rsid w:val="00FB6899"/>
    <w:rsid w:val="00FB6B5E"/>
    <w:rsid w:val="00FC106A"/>
    <w:rsid w:val="00FC2062"/>
    <w:rsid w:val="00FC3754"/>
    <w:rsid w:val="00FC3DE3"/>
    <w:rsid w:val="00FC4374"/>
    <w:rsid w:val="00FC4803"/>
    <w:rsid w:val="00FC4D19"/>
    <w:rsid w:val="00FC5824"/>
    <w:rsid w:val="00FC5C72"/>
    <w:rsid w:val="00FC6E2F"/>
    <w:rsid w:val="00FD00CE"/>
    <w:rsid w:val="00FD0ABD"/>
    <w:rsid w:val="00FD10E3"/>
    <w:rsid w:val="00FD1FF6"/>
    <w:rsid w:val="00FD24E7"/>
    <w:rsid w:val="00FD2EC8"/>
    <w:rsid w:val="00FD3BFB"/>
    <w:rsid w:val="00FD4936"/>
    <w:rsid w:val="00FD56D4"/>
    <w:rsid w:val="00FD5704"/>
    <w:rsid w:val="00FD5B5C"/>
    <w:rsid w:val="00FD74B6"/>
    <w:rsid w:val="00FD75CA"/>
    <w:rsid w:val="00FE1DC4"/>
    <w:rsid w:val="00FE1DC9"/>
    <w:rsid w:val="00FE35FF"/>
    <w:rsid w:val="00FE368D"/>
    <w:rsid w:val="00FE38EC"/>
    <w:rsid w:val="00FE446F"/>
    <w:rsid w:val="00FE45D5"/>
    <w:rsid w:val="00FE49BB"/>
    <w:rsid w:val="00FE4C8B"/>
    <w:rsid w:val="00FE5412"/>
    <w:rsid w:val="00FE6E50"/>
    <w:rsid w:val="00FE7DEB"/>
    <w:rsid w:val="00FF0038"/>
    <w:rsid w:val="00FF02DC"/>
    <w:rsid w:val="00FF0D14"/>
    <w:rsid w:val="00FF21B4"/>
    <w:rsid w:val="00FF27D6"/>
    <w:rsid w:val="00FF3A63"/>
    <w:rsid w:val="00FF589D"/>
    <w:rsid w:val="00FF5CB7"/>
    <w:rsid w:val="00FF6EE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D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E52834"/>
    <w:pPr>
      <w:jc w:val="both"/>
    </w:pPr>
    <w:rPr>
      <w:rFonts w:cs="Calibri"/>
      <w:szCs w:val="20"/>
      <w:lang w:val="en-US" w:eastAsia="en-US"/>
    </w:rPr>
  </w:style>
  <w:style w:type="paragraph" w:styleId="Heading1">
    <w:name w:val="heading 1"/>
    <w:basedOn w:val="Normal"/>
    <w:next w:val="Normal"/>
    <w:link w:val="Heading1Char"/>
    <w:uiPriority w:val="99"/>
    <w:qFormat/>
    <w:rsid w:val="007D3B33"/>
    <w:pPr>
      <w:keepNext/>
      <w:numPr>
        <w:numId w:val="7"/>
      </w:numPr>
      <w:spacing w:after="120"/>
      <w:outlineLvl w:val="0"/>
    </w:pPr>
    <w:rPr>
      <w:rFonts w:cs="Times New Roman"/>
      <w:b/>
      <w:bCs/>
      <w:spacing w:val="-10"/>
      <w:kern w:val="28"/>
      <w:sz w:val="36"/>
      <w:szCs w:val="36"/>
      <w:lang w:val="en-AU" w:eastAsia="en-AU"/>
    </w:rPr>
  </w:style>
  <w:style w:type="paragraph" w:styleId="Heading2">
    <w:name w:val="heading 2"/>
    <w:basedOn w:val="Heading1"/>
    <w:next w:val="Normal"/>
    <w:link w:val="Heading2Char"/>
    <w:uiPriority w:val="99"/>
    <w:qFormat/>
    <w:rsid w:val="00F425C4"/>
    <w:pPr>
      <w:numPr>
        <w:ilvl w:val="1"/>
      </w:numPr>
      <w:ind w:left="432"/>
      <w:outlineLvl w:val="1"/>
    </w:pPr>
    <w:rPr>
      <w:bCs w:val="0"/>
      <w:spacing w:val="0"/>
      <w:sz w:val="28"/>
      <w:szCs w:val="28"/>
    </w:rPr>
  </w:style>
  <w:style w:type="paragraph" w:styleId="Heading3">
    <w:name w:val="heading 3"/>
    <w:basedOn w:val="Heading1"/>
    <w:next w:val="Normal"/>
    <w:link w:val="Heading3Char"/>
    <w:uiPriority w:val="99"/>
    <w:qFormat/>
    <w:rsid w:val="005B69CE"/>
    <w:pPr>
      <w:numPr>
        <w:ilvl w:val="2"/>
      </w:numPr>
      <w:ind w:left="504"/>
      <w:outlineLvl w:val="2"/>
    </w:pPr>
    <w:rPr>
      <w:i/>
      <w:spacing w:val="0"/>
      <w:sz w:val="24"/>
      <w:szCs w:val="22"/>
    </w:rPr>
  </w:style>
  <w:style w:type="paragraph" w:styleId="Heading4">
    <w:name w:val="heading 4"/>
    <w:basedOn w:val="Heading1"/>
    <w:next w:val="Normal"/>
    <w:link w:val="Heading4Char"/>
    <w:uiPriority w:val="99"/>
    <w:qFormat/>
    <w:rsid w:val="00337080"/>
    <w:pPr>
      <w:ind w:left="720"/>
      <w:outlineLvl w:val="3"/>
    </w:pPr>
    <w:rPr>
      <w:i/>
      <w:sz w:val="20"/>
    </w:rPr>
  </w:style>
  <w:style w:type="paragraph" w:styleId="Heading5">
    <w:name w:val="heading 5"/>
    <w:basedOn w:val="Normal"/>
    <w:next w:val="Normal"/>
    <w:link w:val="Heading5Char"/>
    <w:uiPriority w:val="99"/>
    <w:qFormat/>
    <w:rsid w:val="00537C0A"/>
    <w:pPr>
      <w:numPr>
        <w:ilvl w:val="4"/>
        <w:numId w:val="1"/>
      </w:num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9"/>
    <w:qFormat/>
    <w:rsid w:val="00537C0A"/>
    <w:pPr>
      <w:numPr>
        <w:ilvl w:val="5"/>
        <w:numId w:val="1"/>
      </w:num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9"/>
    <w:qFormat/>
    <w:rsid w:val="00537C0A"/>
    <w:pPr>
      <w:numPr>
        <w:ilvl w:val="6"/>
        <w:numId w:val="1"/>
      </w:numPr>
      <w:outlineLvl w:val="6"/>
    </w:pPr>
    <w:rPr>
      <w:rFonts w:ascii="Cambria" w:hAnsi="Cambria" w:cs="Times New Roman"/>
      <w:i/>
      <w:iCs/>
    </w:rPr>
  </w:style>
  <w:style w:type="paragraph" w:styleId="Heading8">
    <w:name w:val="heading 8"/>
    <w:basedOn w:val="Normal"/>
    <w:next w:val="Normal"/>
    <w:link w:val="Heading8Char"/>
    <w:uiPriority w:val="99"/>
    <w:qFormat/>
    <w:rsid w:val="00537C0A"/>
    <w:pPr>
      <w:numPr>
        <w:ilvl w:val="7"/>
        <w:numId w:val="1"/>
      </w:numPr>
      <w:outlineLvl w:val="7"/>
    </w:pPr>
    <w:rPr>
      <w:rFonts w:ascii="Cambria" w:hAnsi="Cambria" w:cs="Times New Roman"/>
    </w:rPr>
  </w:style>
  <w:style w:type="paragraph" w:styleId="Heading9">
    <w:name w:val="heading 9"/>
    <w:basedOn w:val="Normal"/>
    <w:next w:val="Normal"/>
    <w:link w:val="Heading9Char"/>
    <w:uiPriority w:val="99"/>
    <w:qFormat/>
    <w:rsid w:val="00537C0A"/>
    <w:pPr>
      <w:numPr>
        <w:ilvl w:val="8"/>
        <w:numId w:val="1"/>
      </w:numPr>
      <w:outlineLvl w:val="8"/>
    </w:pPr>
    <w:rPr>
      <w:rFonts w:ascii="Cambria" w:hAnsi="Cambria"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3B33"/>
    <w:rPr>
      <w:b/>
      <w:bCs/>
      <w:spacing w:val="-10"/>
      <w:kern w:val="28"/>
      <w:sz w:val="36"/>
      <w:szCs w:val="36"/>
    </w:rPr>
  </w:style>
  <w:style w:type="character" w:customStyle="1" w:styleId="Heading2Char">
    <w:name w:val="Heading 2 Char"/>
    <w:basedOn w:val="DefaultParagraphFont"/>
    <w:link w:val="Heading2"/>
    <w:uiPriority w:val="99"/>
    <w:locked/>
    <w:rsid w:val="00F425C4"/>
    <w:rPr>
      <w:b/>
      <w:kern w:val="28"/>
      <w:sz w:val="28"/>
      <w:szCs w:val="28"/>
    </w:rPr>
  </w:style>
  <w:style w:type="character" w:customStyle="1" w:styleId="Heading3Char">
    <w:name w:val="Heading 3 Char"/>
    <w:basedOn w:val="DefaultParagraphFont"/>
    <w:link w:val="Heading3"/>
    <w:uiPriority w:val="99"/>
    <w:locked/>
    <w:rsid w:val="005B69CE"/>
    <w:rPr>
      <w:b/>
      <w:bCs/>
      <w:i/>
      <w:kern w:val="28"/>
      <w:sz w:val="24"/>
    </w:rPr>
  </w:style>
  <w:style w:type="character" w:customStyle="1" w:styleId="Heading4Char">
    <w:name w:val="Heading 4 Char"/>
    <w:basedOn w:val="DefaultParagraphFont"/>
    <w:link w:val="Heading4"/>
    <w:uiPriority w:val="99"/>
    <w:locked/>
    <w:rsid w:val="00337080"/>
    <w:rPr>
      <w:b/>
      <w:bCs/>
      <w:i/>
      <w:spacing w:val="-10"/>
      <w:kern w:val="28"/>
      <w:sz w:val="20"/>
      <w:szCs w:val="36"/>
    </w:rPr>
  </w:style>
  <w:style w:type="character" w:customStyle="1" w:styleId="Heading5Char">
    <w:name w:val="Heading 5 Char"/>
    <w:basedOn w:val="DefaultParagraphFont"/>
    <w:link w:val="Heading5"/>
    <w:uiPriority w:val="99"/>
    <w:locked/>
    <w:rsid w:val="00537C0A"/>
    <w:rPr>
      <w:rFonts w:ascii="Cambria" w:hAnsi="Cambria"/>
      <w:b/>
      <w:bCs/>
      <w:color w:val="7F7F7F"/>
      <w:szCs w:val="20"/>
      <w:lang w:val="en-US" w:eastAsia="en-US"/>
    </w:rPr>
  </w:style>
  <w:style w:type="character" w:customStyle="1" w:styleId="Heading6Char">
    <w:name w:val="Heading 6 Char"/>
    <w:basedOn w:val="DefaultParagraphFont"/>
    <w:link w:val="Heading6"/>
    <w:uiPriority w:val="99"/>
    <w:locked/>
    <w:rsid w:val="00537C0A"/>
    <w:rPr>
      <w:rFonts w:ascii="Cambria" w:hAnsi="Cambria"/>
      <w:b/>
      <w:bCs/>
      <w:i/>
      <w:iCs/>
      <w:color w:val="7F7F7F"/>
      <w:szCs w:val="20"/>
      <w:lang w:val="en-US" w:eastAsia="en-US"/>
    </w:rPr>
  </w:style>
  <w:style w:type="character" w:customStyle="1" w:styleId="Heading7Char">
    <w:name w:val="Heading 7 Char"/>
    <w:basedOn w:val="DefaultParagraphFont"/>
    <w:link w:val="Heading7"/>
    <w:uiPriority w:val="99"/>
    <w:locked/>
    <w:rsid w:val="00537C0A"/>
    <w:rPr>
      <w:rFonts w:ascii="Cambria" w:hAnsi="Cambria"/>
      <w:i/>
      <w:iCs/>
      <w:szCs w:val="20"/>
      <w:lang w:val="en-US" w:eastAsia="en-US"/>
    </w:rPr>
  </w:style>
  <w:style w:type="character" w:customStyle="1" w:styleId="Heading8Char">
    <w:name w:val="Heading 8 Char"/>
    <w:basedOn w:val="DefaultParagraphFont"/>
    <w:link w:val="Heading8"/>
    <w:uiPriority w:val="99"/>
    <w:locked/>
    <w:rsid w:val="00537C0A"/>
    <w:rPr>
      <w:rFonts w:ascii="Cambria" w:hAnsi="Cambria"/>
      <w:szCs w:val="20"/>
      <w:lang w:val="en-US" w:eastAsia="en-US"/>
    </w:rPr>
  </w:style>
  <w:style w:type="character" w:customStyle="1" w:styleId="Heading9Char">
    <w:name w:val="Heading 9 Char"/>
    <w:basedOn w:val="DefaultParagraphFont"/>
    <w:link w:val="Heading9"/>
    <w:uiPriority w:val="99"/>
    <w:locked/>
    <w:rsid w:val="00537C0A"/>
    <w:rPr>
      <w:rFonts w:ascii="Cambria" w:hAnsi="Cambria"/>
      <w:i/>
      <w:iCs/>
      <w:spacing w:val="5"/>
      <w:szCs w:val="20"/>
      <w:lang w:val="en-US" w:eastAsia="en-US"/>
    </w:rPr>
  </w:style>
  <w:style w:type="paragraph" w:styleId="ListParagraph">
    <w:name w:val="List Paragraph"/>
    <w:basedOn w:val="Normal"/>
    <w:link w:val="ListParagraphChar"/>
    <w:uiPriority w:val="34"/>
    <w:qFormat/>
    <w:rsid w:val="00537C0A"/>
    <w:pPr>
      <w:ind w:left="720"/>
      <w:contextualSpacing/>
    </w:pPr>
  </w:style>
  <w:style w:type="paragraph" w:styleId="Caption">
    <w:name w:val="caption"/>
    <w:basedOn w:val="Normal"/>
    <w:next w:val="Normal"/>
    <w:uiPriority w:val="99"/>
    <w:qFormat/>
    <w:rsid w:val="00537C0A"/>
    <w:rPr>
      <w:b/>
      <w:bCs/>
      <w:color w:val="4F81BD"/>
      <w:sz w:val="18"/>
      <w:szCs w:val="18"/>
    </w:rPr>
  </w:style>
  <w:style w:type="paragraph" w:styleId="Title">
    <w:name w:val="Title"/>
    <w:basedOn w:val="Normal"/>
    <w:next w:val="Normal"/>
    <w:link w:val="TitleChar"/>
    <w:uiPriority w:val="99"/>
    <w:qFormat/>
    <w:rsid w:val="00537C0A"/>
    <w:pPr>
      <w:pBdr>
        <w:bottom w:val="single" w:sz="4" w:space="1" w:color="auto"/>
      </w:pBdr>
      <w:contextualSpacing/>
    </w:pPr>
    <w:rPr>
      <w:rFonts w:ascii="Cambria" w:hAnsi="Cambria" w:cs="Times New Roman"/>
      <w:spacing w:val="5"/>
      <w:sz w:val="52"/>
      <w:szCs w:val="52"/>
    </w:rPr>
  </w:style>
  <w:style w:type="character" w:customStyle="1" w:styleId="TitleChar">
    <w:name w:val="Title Char"/>
    <w:basedOn w:val="DefaultParagraphFont"/>
    <w:link w:val="Title"/>
    <w:uiPriority w:val="99"/>
    <w:locked/>
    <w:rsid w:val="00537C0A"/>
    <w:rPr>
      <w:rFonts w:ascii="Cambria" w:hAnsi="Cambria" w:cs="Times New Roman"/>
      <w:spacing w:val="5"/>
      <w:sz w:val="52"/>
      <w:szCs w:val="52"/>
    </w:rPr>
  </w:style>
  <w:style w:type="paragraph" w:styleId="Subtitle">
    <w:name w:val="Subtitle"/>
    <w:basedOn w:val="Normal"/>
    <w:next w:val="Normal"/>
    <w:link w:val="SubtitleChar"/>
    <w:uiPriority w:val="99"/>
    <w:qFormat/>
    <w:rsid w:val="00537C0A"/>
    <w:pPr>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99"/>
    <w:locked/>
    <w:rsid w:val="00537C0A"/>
    <w:rPr>
      <w:rFonts w:ascii="Cambria" w:hAnsi="Cambria" w:cs="Times New Roman"/>
      <w:i/>
      <w:iCs/>
      <w:spacing w:val="13"/>
      <w:sz w:val="24"/>
      <w:szCs w:val="24"/>
    </w:rPr>
  </w:style>
  <w:style w:type="character" w:styleId="Strong">
    <w:name w:val="Strong"/>
    <w:basedOn w:val="DefaultParagraphFont"/>
    <w:uiPriority w:val="99"/>
    <w:qFormat/>
    <w:rsid w:val="00537C0A"/>
    <w:rPr>
      <w:rFonts w:cs="Times New Roman"/>
      <w:b/>
    </w:rPr>
  </w:style>
  <w:style w:type="character" w:styleId="Emphasis">
    <w:name w:val="Emphasis"/>
    <w:basedOn w:val="DefaultParagraphFont"/>
    <w:uiPriority w:val="99"/>
    <w:qFormat/>
    <w:rsid w:val="00537C0A"/>
    <w:rPr>
      <w:rFonts w:cs="Times New Roman"/>
      <w:b/>
      <w:i/>
      <w:spacing w:val="10"/>
      <w:shd w:val="clear" w:color="auto" w:fill="auto"/>
    </w:rPr>
  </w:style>
  <w:style w:type="paragraph" w:styleId="NoSpacing">
    <w:name w:val="No Spacing"/>
    <w:basedOn w:val="Normal"/>
    <w:link w:val="NoSpacingChar"/>
    <w:uiPriority w:val="99"/>
    <w:qFormat/>
    <w:rsid w:val="00537C0A"/>
  </w:style>
  <w:style w:type="character" w:customStyle="1" w:styleId="NoSpacingChar">
    <w:name w:val="No Spacing Char"/>
    <w:basedOn w:val="DefaultParagraphFont"/>
    <w:link w:val="NoSpacing"/>
    <w:uiPriority w:val="99"/>
    <w:locked/>
    <w:rsid w:val="00537C0A"/>
    <w:rPr>
      <w:rFonts w:cs="Times New Roman"/>
    </w:rPr>
  </w:style>
  <w:style w:type="paragraph" w:styleId="Quote">
    <w:name w:val="Quote"/>
    <w:basedOn w:val="Normal"/>
    <w:next w:val="Normal"/>
    <w:link w:val="QuoteChar"/>
    <w:uiPriority w:val="99"/>
    <w:qFormat/>
    <w:rsid w:val="00537C0A"/>
    <w:pPr>
      <w:spacing w:before="200"/>
      <w:ind w:left="360" w:right="360"/>
    </w:pPr>
    <w:rPr>
      <w:i/>
      <w:iCs/>
    </w:rPr>
  </w:style>
  <w:style w:type="character" w:customStyle="1" w:styleId="QuoteChar">
    <w:name w:val="Quote Char"/>
    <w:basedOn w:val="DefaultParagraphFont"/>
    <w:link w:val="Quote"/>
    <w:uiPriority w:val="99"/>
    <w:locked/>
    <w:rsid w:val="00537C0A"/>
    <w:rPr>
      <w:rFonts w:cs="Times New Roman"/>
      <w:i/>
      <w:iCs/>
    </w:rPr>
  </w:style>
  <w:style w:type="paragraph" w:styleId="IntenseQuote">
    <w:name w:val="Intense Quote"/>
    <w:basedOn w:val="Normal"/>
    <w:next w:val="Normal"/>
    <w:link w:val="IntenseQuoteChar"/>
    <w:uiPriority w:val="99"/>
    <w:qFormat/>
    <w:rsid w:val="00537C0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locked/>
    <w:rsid w:val="00537C0A"/>
    <w:rPr>
      <w:rFonts w:cs="Times New Roman"/>
      <w:b/>
      <w:bCs/>
      <w:i/>
      <w:iCs/>
    </w:rPr>
  </w:style>
  <w:style w:type="character" w:styleId="SubtleEmphasis">
    <w:name w:val="Subtle Emphasis"/>
    <w:basedOn w:val="DefaultParagraphFont"/>
    <w:uiPriority w:val="99"/>
    <w:qFormat/>
    <w:rsid w:val="00537C0A"/>
    <w:rPr>
      <w:i/>
    </w:rPr>
  </w:style>
  <w:style w:type="character" w:styleId="IntenseEmphasis">
    <w:name w:val="Intense Emphasis"/>
    <w:basedOn w:val="DefaultParagraphFont"/>
    <w:uiPriority w:val="99"/>
    <w:qFormat/>
    <w:rsid w:val="00537C0A"/>
    <w:rPr>
      <w:b/>
    </w:rPr>
  </w:style>
  <w:style w:type="character" w:styleId="SubtleReference">
    <w:name w:val="Subtle Reference"/>
    <w:basedOn w:val="DefaultParagraphFont"/>
    <w:uiPriority w:val="99"/>
    <w:qFormat/>
    <w:rsid w:val="00537C0A"/>
    <w:rPr>
      <w:smallCaps/>
    </w:rPr>
  </w:style>
  <w:style w:type="character" w:styleId="IntenseReference">
    <w:name w:val="Intense Reference"/>
    <w:basedOn w:val="DefaultParagraphFont"/>
    <w:uiPriority w:val="99"/>
    <w:qFormat/>
    <w:rsid w:val="00537C0A"/>
    <w:rPr>
      <w:smallCaps/>
      <w:spacing w:val="5"/>
      <w:u w:val="single"/>
    </w:rPr>
  </w:style>
  <w:style w:type="character" w:styleId="BookTitle">
    <w:name w:val="Book Title"/>
    <w:basedOn w:val="DefaultParagraphFont"/>
    <w:uiPriority w:val="99"/>
    <w:qFormat/>
    <w:rsid w:val="00537C0A"/>
    <w:rPr>
      <w:i/>
      <w:smallCaps/>
      <w:spacing w:val="5"/>
    </w:rPr>
  </w:style>
  <w:style w:type="paragraph" w:styleId="TOCHeading">
    <w:name w:val="TOC Heading"/>
    <w:basedOn w:val="Heading1"/>
    <w:next w:val="Normal"/>
    <w:uiPriority w:val="99"/>
    <w:qFormat/>
    <w:rsid w:val="00537C0A"/>
    <w:pPr>
      <w:outlineLvl w:val="9"/>
    </w:pPr>
  </w:style>
  <w:style w:type="paragraph" w:styleId="FootnoteText">
    <w:name w:val="footnote text"/>
    <w:basedOn w:val="Normal"/>
    <w:link w:val="FootnoteTextChar"/>
    <w:rsid w:val="00202765"/>
  </w:style>
  <w:style w:type="character" w:customStyle="1" w:styleId="FootnoteTextChar">
    <w:name w:val="Footnote Text Char"/>
    <w:basedOn w:val="DefaultParagraphFont"/>
    <w:link w:val="FootnoteText"/>
    <w:locked/>
    <w:rsid w:val="00202765"/>
    <w:rPr>
      <w:rFonts w:cs="Calibri"/>
      <w:sz w:val="20"/>
      <w:szCs w:val="20"/>
    </w:rPr>
  </w:style>
  <w:style w:type="character" w:styleId="FootnoteReference">
    <w:name w:val="footnote reference"/>
    <w:basedOn w:val="DefaultParagraphFont"/>
    <w:rsid w:val="00202765"/>
    <w:rPr>
      <w:rFonts w:cs="Times New Roman"/>
      <w:vertAlign w:val="superscript"/>
    </w:rPr>
  </w:style>
  <w:style w:type="character" w:styleId="CommentReference">
    <w:name w:val="annotation reference"/>
    <w:basedOn w:val="DefaultParagraphFont"/>
    <w:uiPriority w:val="99"/>
    <w:rsid w:val="000A4C7D"/>
    <w:rPr>
      <w:rFonts w:cs="Times New Roman"/>
      <w:sz w:val="16"/>
      <w:szCs w:val="16"/>
    </w:rPr>
  </w:style>
  <w:style w:type="paragraph" w:styleId="CommentText">
    <w:name w:val="annotation text"/>
    <w:basedOn w:val="Normal"/>
    <w:link w:val="CommentTextChar"/>
    <w:uiPriority w:val="99"/>
    <w:rsid w:val="000A4C7D"/>
  </w:style>
  <w:style w:type="character" w:customStyle="1" w:styleId="CommentTextChar">
    <w:name w:val="Comment Text Char"/>
    <w:basedOn w:val="DefaultParagraphFont"/>
    <w:link w:val="CommentText"/>
    <w:uiPriority w:val="99"/>
    <w:locked/>
    <w:rsid w:val="000A4C7D"/>
    <w:rPr>
      <w:rFonts w:cs="Calibri"/>
      <w:sz w:val="20"/>
      <w:szCs w:val="20"/>
    </w:rPr>
  </w:style>
  <w:style w:type="paragraph" w:styleId="CommentSubject">
    <w:name w:val="annotation subject"/>
    <w:basedOn w:val="CommentText"/>
    <w:next w:val="CommentText"/>
    <w:link w:val="CommentSubjectChar"/>
    <w:uiPriority w:val="99"/>
    <w:semiHidden/>
    <w:rsid w:val="000A4C7D"/>
    <w:rPr>
      <w:b/>
      <w:bCs/>
    </w:rPr>
  </w:style>
  <w:style w:type="character" w:customStyle="1" w:styleId="CommentSubjectChar">
    <w:name w:val="Comment Subject Char"/>
    <w:basedOn w:val="CommentTextChar"/>
    <w:link w:val="CommentSubject"/>
    <w:uiPriority w:val="99"/>
    <w:semiHidden/>
    <w:locked/>
    <w:rsid w:val="000A4C7D"/>
    <w:rPr>
      <w:rFonts w:cs="Calibri"/>
      <w:b/>
      <w:bCs/>
      <w:sz w:val="20"/>
      <w:szCs w:val="20"/>
    </w:rPr>
  </w:style>
  <w:style w:type="paragraph" w:styleId="BalloonText">
    <w:name w:val="Balloon Text"/>
    <w:basedOn w:val="Normal"/>
    <w:link w:val="BalloonTextChar"/>
    <w:uiPriority w:val="99"/>
    <w:semiHidden/>
    <w:rsid w:val="000A4C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4C7D"/>
    <w:rPr>
      <w:rFonts w:ascii="Tahoma" w:hAnsi="Tahoma" w:cs="Tahoma"/>
      <w:sz w:val="16"/>
      <w:szCs w:val="16"/>
    </w:rPr>
  </w:style>
  <w:style w:type="paragraph" w:styleId="ListBullet">
    <w:name w:val="List Bullet"/>
    <w:basedOn w:val="Normal"/>
    <w:uiPriority w:val="99"/>
    <w:rsid w:val="00366BEF"/>
    <w:pPr>
      <w:numPr>
        <w:numId w:val="2"/>
      </w:numPr>
      <w:spacing w:after="80" w:line="280" w:lineRule="atLeast"/>
    </w:pPr>
    <w:rPr>
      <w:rFonts w:ascii="Georgia" w:hAnsi="Georgia" w:cs="Times New Roman"/>
      <w:sz w:val="19"/>
      <w:szCs w:val="19"/>
      <w:lang w:val="en-AU" w:eastAsia="en-AU"/>
    </w:rPr>
  </w:style>
  <w:style w:type="paragraph" w:customStyle="1" w:styleId="BodyTextJustified">
    <w:name w:val="Body Text + Justified"/>
    <w:basedOn w:val="Normal"/>
    <w:uiPriority w:val="99"/>
    <w:rsid w:val="00366BEF"/>
    <w:rPr>
      <w:rFonts w:ascii="Georgia" w:hAnsi="Georgia" w:cs="Times New Roman"/>
      <w:sz w:val="24"/>
      <w:szCs w:val="24"/>
      <w:lang w:val="en-AU" w:eastAsia="en-AU"/>
    </w:rPr>
  </w:style>
  <w:style w:type="paragraph" w:styleId="BodyText">
    <w:name w:val="Body Text"/>
    <w:basedOn w:val="Normal"/>
    <w:link w:val="BodyTextChar"/>
    <w:uiPriority w:val="99"/>
    <w:semiHidden/>
    <w:rsid w:val="00366BEF"/>
    <w:pPr>
      <w:spacing w:after="120"/>
    </w:pPr>
  </w:style>
  <w:style w:type="character" w:customStyle="1" w:styleId="BodyTextChar">
    <w:name w:val="Body Text Char"/>
    <w:basedOn w:val="DefaultParagraphFont"/>
    <w:link w:val="BodyText"/>
    <w:uiPriority w:val="99"/>
    <w:semiHidden/>
    <w:locked/>
    <w:rsid w:val="00366BEF"/>
    <w:rPr>
      <w:rFonts w:cs="Calibri"/>
      <w:sz w:val="20"/>
      <w:szCs w:val="20"/>
    </w:rPr>
  </w:style>
  <w:style w:type="paragraph" w:styleId="Header">
    <w:name w:val="header"/>
    <w:basedOn w:val="Normal"/>
    <w:link w:val="HeaderChar"/>
    <w:rsid w:val="00366BEF"/>
    <w:pPr>
      <w:tabs>
        <w:tab w:val="center" w:pos="4513"/>
        <w:tab w:val="right" w:pos="9026"/>
      </w:tabs>
    </w:pPr>
  </w:style>
  <w:style w:type="character" w:customStyle="1" w:styleId="HeaderChar">
    <w:name w:val="Header Char"/>
    <w:basedOn w:val="DefaultParagraphFont"/>
    <w:link w:val="Header"/>
    <w:locked/>
    <w:rsid w:val="00366BEF"/>
    <w:rPr>
      <w:rFonts w:cs="Calibri"/>
      <w:sz w:val="20"/>
      <w:szCs w:val="20"/>
    </w:rPr>
  </w:style>
  <w:style w:type="paragraph" w:styleId="Footer">
    <w:name w:val="footer"/>
    <w:basedOn w:val="Normal"/>
    <w:link w:val="FooterChar"/>
    <w:uiPriority w:val="99"/>
    <w:rsid w:val="00366BEF"/>
    <w:pPr>
      <w:tabs>
        <w:tab w:val="center" w:pos="4513"/>
        <w:tab w:val="right" w:pos="9026"/>
      </w:tabs>
    </w:pPr>
  </w:style>
  <w:style w:type="character" w:customStyle="1" w:styleId="FooterChar">
    <w:name w:val="Footer Char"/>
    <w:basedOn w:val="DefaultParagraphFont"/>
    <w:link w:val="Footer"/>
    <w:uiPriority w:val="99"/>
    <w:locked/>
    <w:rsid w:val="00366BEF"/>
    <w:rPr>
      <w:rFonts w:cs="Calibri"/>
      <w:sz w:val="20"/>
      <w:szCs w:val="20"/>
    </w:rPr>
  </w:style>
  <w:style w:type="paragraph" w:styleId="TOC1">
    <w:name w:val="toc 1"/>
    <w:basedOn w:val="Normal"/>
    <w:next w:val="Normal"/>
    <w:autoRedefine/>
    <w:uiPriority w:val="39"/>
    <w:rsid w:val="00366BEF"/>
    <w:pPr>
      <w:tabs>
        <w:tab w:val="left" w:pos="400"/>
        <w:tab w:val="right" w:leader="dot" w:pos="9016"/>
      </w:tabs>
      <w:spacing w:after="100"/>
    </w:pPr>
    <w:rPr>
      <w:b/>
      <w:noProof/>
      <w:color w:val="C0504D"/>
    </w:rPr>
  </w:style>
  <w:style w:type="paragraph" w:styleId="TOC2">
    <w:name w:val="toc 2"/>
    <w:basedOn w:val="Normal"/>
    <w:next w:val="Normal"/>
    <w:autoRedefine/>
    <w:uiPriority w:val="39"/>
    <w:rsid w:val="00647BBD"/>
    <w:pPr>
      <w:tabs>
        <w:tab w:val="left" w:pos="581"/>
        <w:tab w:val="left" w:pos="781"/>
        <w:tab w:val="right" w:leader="dot" w:pos="9016"/>
      </w:tabs>
      <w:spacing w:after="100"/>
      <w:ind w:left="284"/>
    </w:pPr>
    <w:rPr>
      <w:b/>
      <w:noProof/>
      <w:color w:val="000000" w:themeColor="text1"/>
    </w:rPr>
  </w:style>
  <w:style w:type="paragraph" w:styleId="TOC3">
    <w:name w:val="toc 3"/>
    <w:basedOn w:val="Normal"/>
    <w:next w:val="Normal"/>
    <w:autoRedefine/>
    <w:uiPriority w:val="39"/>
    <w:rsid w:val="00366BEF"/>
    <w:pPr>
      <w:spacing w:after="100"/>
      <w:ind w:left="400"/>
    </w:pPr>
  </w:style>
  <w:style w:type="character" w:styleId="Hyperlink">
    <w:name w:val="Hyperlink"/>
    <w:basedOn w:val="DefaultParagraphFont"/>
    <w:uiPriority w:val="99"/>
    <w:rsid w:val="00366BEF"/>
    <w:rPr>
      <w:rFonts w:cs="Times New Roman"/>
      <w:color w:val="0000FF"/>
      <w:u w:val="single"/>
    </w:rPr>
  </w:style>
  <w:style w:type="paragraph" w:customStyle="1" w:styleId="Default">
    <w:name w:val="Default"/>
    <w:rsid w:val="0014244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8441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5">
    <w:name w:val="Pa15"/>
    <w:basedOn w:val="Normal"/>
    <w:next w:val="Normal"/>
    <w:uiPriority w:val="99"/>
    <w:rsid w:val="001939F2"/>
    <w:pPr>
      <w:widowControl w:val="0"/>
      <w:autoSpaceDE w:val="0"/>
      <w:autoSpaceDN w:val="0"/>
      <w:adjustRightInd w:val="0"/>
      <w:spacing w:line="181" w:lineRule="atLeast"/>
    </w:pPr>
    <w:rPr>
      <w:rFonts w:ascii="Vista Sans Bold" w:hAnsi="Vista Sans Bold" w:cs="Times New Roman"/>
      <w:sz w:val="24"/>
      <w:szCs w:val="24"/>
    </w:rPr>
  </w:style>
  <w:style w:type="paragraph" w:styleId="DocumentMap">
    <w:name w:val="Document Map"/>
    <w:basedOn w:val="Normal"/>
    <w:link w:val="DocumentMapChar"/>
    <w:uiPriority w:val="99"/>
    <w:semiHidden/>
    <w:unhideWhenUsed/>
    <w:rsid w:val="003740D6"/>
    <w:rPr>
      <w:rFonts w:ascii="Lucida Grande" w:hAnsi="Lucida Grande"/>
      <w:sz w:val="24"/>
      <w:szCs w:val="24"/>
    </w:rPr>
  </w:style>
  <w:style w:type="character" w:customStyle="1" w:styleId="DocumentMapChar">
    <w:name w:val="Document Map Char"/>
    <w:basedOn w:val="DefaultParagraphFont"/>
    <w:link w:val="DocumentMap"/>
    <w:uiPriority w:val="99"/>
    <w:semiHidden/>
    <w:rsid w:val="003740D6"/>
    <w:rPr>
      <w:rFonts w:ascii="Lucida Grande" w:hAnsi="Lucida Grande" w:cs="Calibri"/>
      <w:sz w:val="24"/>
      <w:szCs w:val="24"/>
      <w:lang w:val="en-US" w:eastAsia="en-US"/>
    </w:rPr>
  </w:style>
  <w:style w:type="character" w:customStyle="1" w:styleId="ListParagraphChar">
    <w:name w:val="List Paragraph Char"/>
    <w:basedOn w:val="DefaultParagraphFont"/>
    <w:link w:val="ListParagraph"/>
    <w:uiPriority w:val="34"/>
    <w:locked/>
    <w:rsid w:val="00A06A6C"/>
    <w:rPr>
      <w:rFonts w:cs="Calibri"/>
      <w:szCs w:val="20"/>
      <w:lang w:val="en-US" w:eastAsia="en-US"/>
    </w:rPr>
  </w:style>
  <w:style w:type="paragraph" w:customStyle="1" w:styleId="List-bullet-2">
    <w:name w:val="List-bullet-2"/>
    <w:basedOn w:val="Normal"/>
    <w:rsid w:val="00A71CD1"/>
    <w:pPr>
      <w:numPr>
        <w:numId w:val="3"/>
      </w:numPr>
      <w:spacing w:before="80"/>
    </w:pPr>
    <w:rPr>
      <w:rFonts w:ascii="Arial" w:hAnsi="Arial" w:cs="Arial"/>
      <w:sz w:val="20"/>
      <w:szCs w:val="22"/>
    </w:rPr>
  </w:style>
  <w:style w:type="paragraph" w:customStyle="1" w:styleId="figureheading">
    <w:name w:val="figure heading"/>
    <w:basedOn w:val="Normal"/>
    <w:qFormat/>
    <w:rsid w:val="00724735"/>
    <w:pPr>
      <w:jc w:val="center"/>
    </w:pPr>
    <w:rPr>
      <w:rFonts w:cs="Times New Roman"/>
      <w:i/>
      <w:szCs w:val="24"/>
      <w:lang w:val="en-AU"/>
    </w:rPr>
  </w:style>
  <w:style w:type="character" w:styleId="PageNumber">
    <w:name w:val="page number"/>
    <w:basedOn w:val="DefaultParagraphFont"/>
    <w:uiPriority w:val="99"/>
    <w:semiHidden/>
    <w:unhideWhenUsed/>
    <w:rsid w:val="00724735"/>
  </w:style>
  <w:style w:type="paragraph" w:customStyle="1" w:styleId="HEADING">
    <w:name w:val="HEADING !"/>
    <w:basedOn w:val="Heading1"/>
    <w:qFormat/>
    <w:rsid w:val="00724735"/>
    <w:pPr>
      <w:keepLines/>
      <w:numPr>
        <w:numId w:val="4"/>
      </w:numPr>
      <w:spacing w:before="480" w:after="0"/>
      <w:ind w:left="284"/>
    </w:pPr>
    <w:rPr>
      <w:rFonts w:asciiTheme="majorHAnsi" w:eastAsiaTheme="majorEastAsia" w:hAnsiTheme="majorHAnsi" w:cstheme="majorBidi"/>
      <w:bCs w:val="0"/>
      <w:snapToGrid w:val="0"/>
      <w:color w:val="A21711"/>
      <w:spacing w:val="0"/>
      <w:kern w:val="0"/>
      <w:sz w:val="40"/>
      <w:szCs w:val="40"/>
      <w:lang w:eastAsia="en-US"/>
    </w:rPr>
  </w:style>
  <w:style w:type="paragraph" w:styleId="ListNumber">
    <w:name w:val="List Number"/>
    <w:basedOn w:val="ListBullet"/>
    <w:rsid w:val="00525C00"/>
    <w:pPr>
      <w:numPr>
        <w:numId w:val="5"/>
      </w:numPr>
    </w:pPr>
  </w:style>
  <w:style w:type="paragraph" w:customStyle="1" w:styleId="CharChar">
    <w:name w:val="Char Char"/>
    <w:basedOn w:val="Normal"/>
    <w:semiHidden/>
    <w:rsid w:val="00525C00"/>
    <w:pPr>
      <w:spacing w:before="180" w:line="280" w:lineRule="atLeast"/>
    </w:pPr>
    <w:rPr>
      <w:rFonts w:ascii="Arial" w:hAnsi="Arial" w:cs="Times New Roman"/>
      <w:lang w:val="en-AU"/>
    </w:rPr>
  </w:style>
  <w:style w:type="paragraph" w:customStyle="1" w:styleId="Style1">
    <w:name w:val="Style 1"/>
    <w:uiPriority w:val="99"/>
    <w:rsid w:val="000E3502"/>
    <w:pPr>
      <w:widowControl w:val="0"/>
      <w:autoSpaceDE w:val="0"/>
      <w:autoSpaceDN w:val="0"/>
      <w:adjustRightInd w:val="0"/>
    </w:pPr>
    <w:rPr>
      <w:rFonts w:ascii="Times New Roman" w:hAnsi="Times New Roman"/>
      <w:sz w:val="20"/>
      <w:szCs w:val="20"/>
      <w:lang w:val="en-US"/>
    </w:rPr>
  </w:style>
  <w:style w:type="paragraph" w:customStyle="1" w:styleId="Style2">
    <w:name w:val="Style 2"/>
    <w:uiPriority w:val="99"/>
    <w:rsid w:val="000E3502"/>
    <w:pPr>
      <w:widowControl w:val="0"/>
      <w:autoSpaceDE w:val="0"/>
      <w:autoSpaceDN w:val="0"/>
      <w:adjustRightInd w:val="0"/>
    </w:pPr>
    <w:rPr>
      <w:rFonts w:ascii="Arial" w:hAnsi="Arial" w:cs="Arial"/>
      <w:sz w:val="20"/>
      <w:szCs w:val="20"/>
      <w:lang w:val="en-US"/>
    </w:rPr>
  </w:style>
  <w:style w:type="character" w:customStyle="1" w:styleId="CharacterStyle1">
    <w:name w:val="Character Style 1"/>
    <w:uiPriority w:val="99"/>
    <w:rsid w:val="000E3502"/>
    <w:rPr>
      <w:rFonts w:ascii="Arial" w:hAnsi="Arial"/>
      <w:sz w:val="20"/>
    </w:rPr>
  </w:style>
  <w:style w:type="paragraph" w:styleId="TOC4">
    <w:name w:val="toc 4"/>
    <w:basedOn w:val="Normal"/>
    <w:next w:val="Normal"/>
    <w:autoRedefine/>
    <w:locked/>
    <w:rsid w:val="009A38A2"/>
    <w:pPr>
      <w:ind w:left="660"/>
    </w:pPr>
  </w:style>
  <w:style w:type="paragraph" w:styleId="TOC5">
    <w:name w:val="toc 5"/>
    <w:basedOn w:val="Normal"/>
    <w:next w:val="Normal"/>
    <w:autoRedefine/>
    <w:locked/>
    <w:rsid w:val="009A38A2"/>
    <w:pPr>
      <w:ind w:left="880"/>
    </w:pPr>
  </w:style>
  <w:style w:type="paragraph" w:styleId="TOC6">
    <w:name w:val="toc 6"/>
    <w:basedOn w:val="Normal"/>
    <w:next w:val="Normal"/>
    <w:autoRedefine/>
    <w:locked/>
    <w:rsid w:val="009A38A2"/>
    <w:pPr>
      <w:ind w:left="1100"/>
    </w:pPr>
  </w:style>
  <w:style w:type="paragraph" w:styleId="TOC7">
    <w:name w:val="toc 7"/>
    <w:basedOn w:val="Normal"/>
    <w:next w:val="Normal"/>
    <w:autoRedefine/>
    <w:locked/>
    <w:rsid w:val="009A38A2"/>
    <w:pPr>
      <w:ind w:left="1320"/>
    </w:pPr>
  </w:style>
  <w:style w:type="paragraph" w:styleId="TOC8">
    <w:name w:val="toc 8"/>
    <w:basedOn w:val="Normal"/>
    <w:next w:val="Normal"/>
    <w:autoRedefine/>
    <w:locked/>
    <w:rsid w:val="009A38A2"/>
    <w:pPr>
      <w:ind w:left="1540"/>
    </w:pPr>
  </w:style>
  <w:style w:type="paragraph" w:styleId="TOC9">
    <w:name w:val="toc 9"/>
    <w:basedOn w:val="Normal"/>
    <w:next w:val="Normal"/>
    <w:autoRedefine/>
    <w:locked/>
    <w:rsid w:val="009A38A2"/>
    <w:pPr>
      <w:ind w:left="1760"/>
    </w:pPr>
  </w:style>
  <w:style w:type="paragraph" w:customStyle="1" w:styleId="greybulletpoints">
    <w:name w:val="grey bullet points"/>
    <w:basedOn w:val="ListParagraph"/>
    <w:link w:val="greybulletpointsChar"/>
    <w:qFormat/>
    <w:rsid w:val="00811564"/>
    <w:pPr>
      <w:numPr>
        <w:numId w:val="6"/>
      </w:numPr>
      <w:spacing w:after="60"/>
      <w:ind w:left="284" w:hanging="284"/>
      <w:contextualSpacing w:val="0"/>
    </w:pPr>
    <w:rPr>
      <w:rFonts w:asciiTheme="minorHAnsi" w:hAnsiTheme="minorHAnsi" w:cstheme="minorHAnsi"/>
      <w:b/>
      <w:color w:val="FFFFFF" w:themeColor="background1"/>
    </w:rPr>
  </w:style>
  <w:style w:type="character" w:customStyle="1" w:styleId="greybulletpointsChar">
    <w:name w:val="grey bullet points Char"/>
    <w:basedOn w:val="ListParagraphChar"/>
    <w:link w:val="greybulletpoints"/>
    <w:rsid w:val="00811564"/>
    <w:rPr>
      <w:rFonts w:asciiTheme="minorHAnsi" w:hAnsiTheme="minorHAnsi" w:cstheme="minorHAnsi"/>
      <w:b/>
      <w:color w:val="FFFFFF" w:themeColor="background1"/>
      <w:szCs w:val="20"/>
      <w:lang w:val="en-US" w:eastAsia="en-US"/>
    </w:rPr>
  </w:style>
  <w:style w:type="paragraph" w:customStyle="1" w:styleId="BodyDHS">
    <w:name w:val="Body DHS"/>
    <w:rsid w:val="00CA0EE5"/>
    <w:pPr>
      <w:widowControl w:val="0"/>
      <w:suppressAutoHyphens/>
      <w:overflowPunct w:val="0"/>
      <w:autoSpaceDE w:val="0"/>
      <w:autoSpaceDN w:val="0"/>
      <w:adjustRightInd w:val="0"/>
      <w:spacing w:after="180" w:line="260" w:lineRule="exact"/>
      <w:textAlignment w:val="baseline"/>
    </w:pPr>
    <w:rPr>
      <w:rFonts w:ascii="Book Antiqua" w:hAnsi="Book Antiqua"/>
      <w:sz w:val="21"/>
      <w:szCs w:val="20"/>
      <w:lang w:eastAsia="en-US"/>
    </w:rPr>
  </w:style>
  <w:style w:type="paragraph" w:customStyle="1" w:styleId="Textotabela10">
    <w:name w:val="Texto tabela 10"/>
    <w:basedOn w:val="Normal"/>
    <w:next w:val="BodyText"/>
    <w:rsid w:val="009E0C76"/>
    <w:pPr>
      <w:suppressAutoHyphens/>
    </w:pPr>
    <w:rPr>
      <w:rFonts w:ascii="Arial" w:hAnsi="Arial" w:cs="Times New Roman"/>
      <w:sz w:val="20"/>
      <w:szCs w:val="22"/>
      <w:lang w:eastAsia="ar-SA"/>
    </w:rPr>
  </w:style>
  <w:style w:type="paragraph" w:styleId="Revision">
    <w:name w:val="Revision"/>
    <w:hidden/>
    <w:uiPriority w:val="99"/>
    <w:semiHidden/>
    <w:rsid w:val="00256AA3"/>
    <w:rPr>
      <w:rFonts w:cs="Calibri"/>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E52834"/>
    <w:pPr>
      <w:jc w:val="both"/>
    </w:pPr>
    <w:rPr>
      <w:rFonts w:cs="Calibri"/>
      <w:szCs w:val="20"/>
      <w:lang w:val="en-US" w:eastAsia="en-US"/>
    </w:rPr>
  </w:style>
  <w:style w:type="paragraph" w:styleId="Heading1">
    <w:name w:val="heading 1"/>
    <w:basedOn w:val="Normal"/>
    <w:next w:val="Normal"/>
    <w:link w:val="Heading1Char"/>
    <w:uiPriority w:val="99"/>
    <w:qFormat/>
    <w:rsid w:val="007D3B33"/>
    <w:pPr>
      <w:keepNext/>
      <w:numPr>
        <w:numId w:val="7"/>
      </w:numPr>
      <w:spacing w:after="120"/>
      <w:outlineLvl w:val="0"/>
    </w:pPr>
    <w:rPr>
      <w:rFonts w:cs="Times New Roman"/>
      <w:b/>
      <w:bCs/>
      <w:spacing w:val="-10"/>
      <w:kern w:val="28"/>
      <w:sz w:val="36"/>
      <w:szCs w:val="36"/>
      <w:lang w:val="en-AU" w:eastAsia="en-AU"/>
    </w:rPr>
  </w:style>
  <w:style w:type="paragraph" w:styleId="Heading2">
    <w:name w:val="heading 2"/>
    <w:basedOn w:val="Heading1"/>
    <w:next w:val="Normal"/>
    <w:link w:val="Heading2Char"/>
    <w:uiPriority w:val="99"/>
    <w:qFormat/>
    <w:rsid w:val="00F425C4"/>
    <w:pPr>
      <w:numPr>
        <w:ilvl w:val="1"/>
      </w:numPr>
      <w:ind w:left="432"/>
      <w:outlineLvl w:val="1"/>
    </w:pPr>
    <w:rPr>
      <w:bCs w:val="0"/>
      <w:spacing w:val="0"/>
      <w:sz w:val="28"/>
      <w:szCs w:val="28"/>
    </w:rPr>
  </w:style>
  <w:style w:type="paragraph" w:styleId="Heading3">
    <w:name w:val="heading 3"/>
    <w:basedOn w:val="Heading1"/>
    <w:next w:val="Normal"/>
    <w:link w:val="Heading3Char"/>
    <w:uiPriority w:val="99"/>
    <w:qFormat/>
    <w:rsid w:val="005B69CE"/>
    <w:pPr>
      <w:numPr>
        <w:ilvl w:val="2"/>
      </w:numPr>
      <w:ind w:left="504"/>
      <w:outlineLvl w:val="2"/>
    </w:pPr>
    <w:rPr>
      <w:i/>
      <w:spacing w:val="0"/>
      <w:sz w:val="24"/>
      <w:szCs w:val="22"/>
    </w:rPr>
  </w:style>
  <w:style w:type="paragraph" w:styleId="Heading4">
    <w:name w:val="heading 4"/>
    <w:basedOn w:val="Heading1"/>
    <w:next w:val="Normal"/>
    <w:link w:val="Heading4Char"/>
    <w:uiPriority w:val="99"/>
    <w:qFormat/>
    <w:rsid w:val="00337080"/>
    <w:pPr>
      <w:ind w:left="720"/>
      <w:outlineLvl w:val="3"/>
    </w:pPr>
    <w:rPr>
      <w:i/>
      <w:sz w:val="20"/>
    </w:rPr>
  </w:style>
  <w:style w:type="paragraph" w:styleId="Heading5">
    <w:name w:val="heading 5"/>
    <w:basedOn w:val="Normal"/>
    <w:next w:val="Normal"/>
    <w:link w:val="Heading5Char"/>
    <w:uiPriority w:val="99"/>
    <w:qFormat/>
    <w:rsid w:val="00537C0A"/>
    <w:pPr>
      <w:numPr>
        <w:ilvl w:val="4"/>
        <w:numId w:val="1"/>
      </w:num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9"/>
    <w:qFormat/>
    <w:rsid w:val="00537C0A"/>
    <w:pPr>
      <w:numPr>
        <w:ilvl w:val="5"/>
        <w:numId w:val="1"/>
      </w:num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9"/>
    <w:qFormat/>
    <w:rsid w:val="00537C0A"/>
    <w:pPr>
      <w:numPr>
        <w:ilvl w:val="6"/>
        <w:numId w:val="1"/>
      </w:numPr>
      <w:outlineLvl w:val="6"/>
    </w:pPr>
    <w:rPr>
      <w:rFonts w:ascii="Cambria" w:hAnsi="Cambria" w:cs="Times New Roman"/>
      <w:i/>
      <w:iCs/>
    </w:rPr>
  </w:style>
  <w:style w:type="paragraph" w:styleId="Heading8">
    <w:name w:val="heading 8"/>
    <w:basedOn w:val="Normal"/>
    <w:next w:val="Normal"/>
    <w:link w:val="Heading8Char"/>
    <w:uiPriority w:val="99"/>
    <w:qFormat/>
    <w:rsid w:val="00537C0A"/>
    <w:pPr>
      <w:numPr>
        <w:ilvl w:val="7"/>
        <w:numId w:val="1"/>
      </w:numPr>
      <w:outlineLvl w:val="7"/>
    </w:pPr>
    <w:rPr>
      <w:rFonts w:ascii="Cambria" w:hAnsi="Cambria" w:cs="Times New Roman"/>
    </w:rPr>
  </w:style>
  <w:style w:type="paragraph" w:styleId="Heading9">
    <w:name w:val="heading 9"/>
    <w:basedOn w:val="Normal"/>
    <w:next w:val="Normal"/>
    <w:link w:val="Heading9Char"/>
    <w:uiPriority w:val="99"/>
    <w:qFormat/>
    <w:rsid w:val="00537C0A"/>
    <w:pPr>
      <w:numPr>
        <w:ilvl w:val="8"/>
        <w:numId w:val="1"/>
      </w:numPr>
      <w:outlineLvl w:val="8"/>
    </w:pPr>
    <w:rPr>
      <w:rFonts w:ascii="Cambria" w:hAnsi="Cambria"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3B33"/>
    <w:rPr>
      <w:b/>
      <w:bCs/>
      <w:spacing w:val="-10"/>
      <w:kern w:val="28"/>
      <w:sz w:val="36"/>
      <w:szCs w:val="36"/>
    </w:rPr>
  </w:style>
  <w:style w:type="character" w:customStyle="1" w:styleId="Heading2Char">
    <w:name w:val="Heading 2 Char"/>
    <w:basedOn w:val="DefaultParagraphFont"/>
    <w:link w:val="Heading2"/>
    <w:uiPriority w:val="99"/>
    <w:locked/>
    <w:rsid w:val="00F425C4"/>
    <w:rPr>
      <w:b/>
      <w:kern w:val="28"/>
      <w:sz w:val="28"/>
      <w:szCs w:val="28"/>
    </w:rPr>
  </w:style>
  <w:style w:type="character" w:customStyle="1" w:styleId="Heading3Char">
    <w:name w:val="Heading 3 Char"/>
    <w:basedOn w:val="DefaultParagraphFont"/>
    <w:link w:val="Heading3"/>
    <w:uiPriority w:val="99"/>
    <w:locked/>
    <w:rsid w:val="005B69CE"/>
    <w:rPr>
      <w:b/>
      <w:bCs/>
      <w:i/>
      <w:kern w:val="28"/>
      <w:sz w:val="24"/>
    </w:rPr>
  </w:style>
  <w:style w:type="character" w:customStyle="1" w:styleId="Heading4Char">
    <w:name w:val="Heading 4 Char"/>
    <w:basedOn w:val="DefaultParagraphFont"/>
    <w:link w:val="Heading4"/>
    <w:uiPriority w:val="99"/>
    <w:locked/>
    <w:rsid w:val="00337080"/>
    <w:rPr>
      <w:b/>
      <w:bCs/>
      <w:i/>
      <w:spacing w:val="-10"/>
      <w:kern w:val="28"/>
      <w:sz w:val="20"/>
      <w:szCs w:val="36"/>
    </w:rPr>
  </w:style>
  <w:style w:type="character" w:customStyle="1" w:styleId="Heading5Char">
    <w:name w:val="Heading 5 Char"/>
    <w:basedOn w:val="DefaultParagraphFont"/>
    <w:link w:val="Heading5"/>
    <w:uiPriority w:val="99"/>
    <w:locked/>
    <w:rsid w:val="00537C0A"/>
    <w:rPr>
      <w:rFonts w:ascii="Cambria" w:hAnsi="Cambria"/>
      <w:b/>
      <w:bCs/>
      <w:color w:val="7F7F7F"/>
      <w:szCs w:val="20"/>
      <w:lang w:val="en-US" w:eastAsia="en-US"/>
    </w:rPr>
  </w:style>
  <w:style w:type="character" w:customStyle="1" w:styleId="Heading6Char">
    <w:name w:val="Heading 6 Char"/>
    <w:basedOn w:val="DefaultParagraphFont"/>
    <w:link w:val="Heading6"/>
    <w:uiPriority w:val="99"/>
    <w:locked/>
    <w:rsid w:val="00537C0A"/>
    <w:rPr>
      <w:rFonts w:ascii="Cambria" w:hAnsi="Cambria"/>
      <w:b/>
      <w:bCs/>
      <w:i/>
      <w:iCs/>
      <w:color w:val="7F7F7F"/>
      <w:szCs w:val="20"/>
      <w:lang w:val="en-US" w:eastAsia="en-US"/>
    </w:rPr>
  </w:style>
  <w:style w:type="character" w:customStyle="1" w:styleId="Heading7Char">
    <w:name w:val="Heading 7 Char"/>
    <w:basedOn w:val="DefaultParagraphFont"/>
    <w:link w:val="Heading7"/>
    <w:uiPriority w:val="99"/>
    <w:locked/>
    <w:rsid w:val="00537C0A"/>
    <w:rPr>
      <w:rFonts w:ascii="Cambria" w:hAnsi="Cambria"/>
      <w:i/>
      <w:iCs/>
      <w:szCs w:val="20"/>
      <w:lang w:val="en-US" w:eastAsia="en-US"/>
    </w:rPr>
  </w:style>
  <w:style w:type="character" w:customStyle="1" w:styleId="Heading8Char">
    <w:name w:val="Heading 8 Char"/>
    <w:basedOn w:val="DefaultParagraphFont"/>
    <w:link w:val="Heading8"/>
    <w:uiPriority w:val="99"/>
    <w:locked/>
    <w:rsid w:val="00537C0A"/>
    <w:rPr>
      <w:rFonts w:ascii="Cambria" w:hAnsi="Cambria"/>
      <w:szCs w:val="20"/>
      <w:lang w:val="en-US" w:eastAsia="en-US"/>
    </w:rPr>
  </w:style>
  <w:style w:type="character" w:customStyle="1" w:styleId="Heading9Char">
    <w:name w:val="Heading 9 Char"/>
    <w:basedOn w:val="DefaultParagraphFont"/>
    <w:link w:val="Heading9"/>
    <w:uiPriority w:val="99"/>
    <w:locked/>
    <w:rsid w:val="00537C0A"/>
    <w:rPr>
      <w:rFonts w:ascii="Cambria" w:hAnsi="Cambria"/>
      <w:i/>
      <w:iCs/>
      <w:spacing w:val="5"/>
      <w:szCs w:val="20"/>
      <w:lang w:val="en-US" w:eastAsia="en-US"/>
    </w:rPr>
  </w:style>
  <w:style w:type="paragraph" w:styleId="ListParagraph">
    <w:name w:val="List Paragraph"/>
    <w:basedOn w:val="Normal"/>
    <w:link w:val="ListParagraphChar"/>
    <w:uiPriority w:val="34"/>
    <w:qFormat/>
    <w:rsid w:val="00537C0A"/>
    <w:pPr>
      <w:ind w:left="720"/>
      <w:contextualSpacing/>
    </w:pPr>
  </w:style>
  <w:style w:type="paragraph" w:styleId="Caption">
    <w:name w:val="caption"/>
    <w:basedOn w:val="Normal"/>
    <w:next w:val="Normal"/>
    <w:uiPriority w:val="99"/>
    <w:qFormat/>
    <w:rsid w:val="00537C0A"/>
    <w:rPr>
      <w:b/>
      <w:bCs/>
      <w:color w:val="4F81BD"/>
      <w:sz w:val="18"/>
      <w:szCs w:val="18"/>
    </w:rPr>
  </w:style>
  <w:style w:type="paragraph" w:styleId="Title">
    <w:name w:val="Title"/>
    <w:basedOn w:val="Normal"/>
    <w:next w:val="Normal"/>
    <w:link w:val="TitleChar"/>
    <w:uiPriority w:val="99"/>
    <w:qFormat/>
    <w:rsid w:val="00537C0A"/>
    <w:pPr>
      <w:pBdr>
        <w:bottom w:val="single" w:sz="4" w:space="1" w:color="auto"/>
      </w:pBdr>
      <w:contextualSpacing/>
    </w:pPr>
    <w:rPr>
      <w:rFonts w:ascii="Cambria" w:hAnsi="Cambria" w:cs="Times New Roman"/>
      <w:spacing w:val="5"/>
      <w:sz w:val="52"/>
      <w:szCs w:val="52"/>
    </w:rPr>
  </w:style>
  <w:style w:type="character" w:customStyle="1" w:styleId="TitleChar">
    <w:name w:val="Title Char"/>
    <w:basedOn w:val="DefaultParagraphFont"/>
    <w:link w:val="Title"/>
    <w:uiPriority w:val="99"/>
    <w:locked/>
    <w:rsid w:val="00537C0A"/>
    <w:rPr>
      <w:rFonts w:ascii="Cambria" w:hAnsi="Cambria" w:cs="Times New Roman"/>
      <w:spacing w:val="5"/>
      <w:sz w:val="52"/>
      <w:szCs w:val="52"/>
    </w:rPr>
  </w:style>
  <w:style w:type="paragraph" w:styleId="Subtitle">
    <w:name w:val="Subtitle"/>
    <w:basedOn w:val="Normal"/>
    <w:next w:val="Normal"/>
    <w:link w:val="SubtitleChar"/>
    <w:uiPriority w:val="99"/>
    <w:qFormat/>
    <w:rsid w:val="00537C0A"/>
    <w:pPr>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99"/>
    <w:locked/>
    <w:rsid w:val="00537C0A"/>
    <w:rPr>
      <w:rFonts w:ascii="Cambria" w:hAnsi="Cambria" w:cs="Times New Roman"/>
      <w:i/>
      <w:iCs/>
      <w:spacing w:val="13"/>
      <w:sz w:val="24"/>
      <w:szCs w:val="24"/>
    </w:rPr>
  </w:style>
  <w:style w:type="character" w:styleId="Strong">
    <w:name w:val="Strong"/>
    <w:basedOn w:val="DefaultParagraphFont"/>
    <w:uiPriority w:val="99"/>
    <w:qFormat/>
    <w:rsid w:val="00537C0A"/>
    <w:rPr>
      <w:rFonts w:cs="Times New Roman"/>
      <w:b/>
    </w:rPr>
  </w:style>
  <w:style w:type="character" w:styleId="Emphasis">
    <w:name w:val="Emphasis"/>
    <w:basedOn w:val="DefaultParagraphFont"/>
    <w:uiPriority w:val="99"/>
    <w:qFormat/>
    <w:rsid w:val="00537C0A"/>
    <w:rPr>
      <w:rFonts w:cs="Times New Roman"/>
      <w:b/>
      <w:i/>
      <w:spacing w:val="10"/>
      <w:shd w:val="clear" w:color="auto" w:fill="auto"/>
    </w:rPr>
  </w:style>
  <w:style w:type="paragraph" w:styleId="NoSpacing">
    <w:name w:val="No Spacing"/>
    <w:basedOn w:val="Normal"/>
    <w:link w:val="NoSpacingChar"/>
    <w:uiPriority w:val="99"/>
    <w:qFormat/>
    <w:rsid w:val="00537C0A"/>
  </w:style>
  <w:style w:type="character" w:customStyle="1" w:styleId="NoSpacingChar">
    <w:name w:val="No Spacing Char"/>
    <w:basedOn w:val="DefaultParagraphFont"/>
    <w:link w:val="NoSpacing"/>
    <w:uiPriority w:val="99"/>
    <w:locked/>
    <w:rsid w:val="00537C0A"/>
    <w:rPr>
      <w:rFonts w:cs="Times New Roman"/>
    </w:rPr>
  </w:style>
  <w:style w:type="paragraph" w:styleId="Quote">
    <w:name w:val="Quote"/>
    <w:basedOn w:val="Normal"/>
    <w:next w:val="Normal"/>
    <w:link w:val="QuoteChar"/>
    <w:uiPriority w:val="99"/>
    <w:qFormat/>
    <w:rsid w:val="00537C0A"/>
    <w:pPr>
      <w:spacing w:before="200"/>
      <w:ind w:left="360" w:right="360"/>
    </w:pPr>
    <w:rPr>
      <w:i/>
      <w:iCs/>
    </w:rPr>
  </w:style>
  <w:style w:type="character" w:customStyle="1" w:styleId="QuoteChar">
    <w:name w:val="Quote Char"/>
    <w:basedOn w:val="DefaultParagraphFont"/>
    <w:link w:val="Quote"/>
    <w:uiPriority w:val="99"/>
    <w:locked/>
    <w:rsid w:val="00537C0A"/>
    <w:rPr>
      <w:rFonts w:cs="Times New Roman"/>
      <w:i/>
      <w:iCs/>
    </w:rPr>
  </w:style>
  <w:style w:type="paragraph" w:styleId="IntenseQuote">
    <w:name w:val="Intense Quote"/>
    <w:basedOn w:val="Normal"/>
    <w:next w:val="Normal"/>
    <w:link w:val="IntenseQuoteChar"/>
    <w:uiPriority w:val="99"/>
    <w:qFormat/>
    <w:rsid w:val="00537C0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locked/>
    <w:rsid w:val="00537C0A"/>
    <w:rPr>
      <w:rFonts w:cs="Times New Roman"/>
      <w:b/>
      <w:bCs/>
      <w:i/>
      <w:iCs/>
    </w:rPr>
  </w:style>
  <w:style w:type="character" w:styleId="SubtleEmphasis">
    <w:name w:val="Subtle Emphasis"/>
    <w:basedOn w:val="DefaultParagraphFont"/>
    <w:uiPriority w:val="99"/>
    <w:qFormat/>
    <w:rsid w:val="00537C0A"/>
    <w:rPr>
      <w:i/>
    </w:rPr>
  </w:style>
  <w:style w:type="character" w:styleId="IntenseEmphasis">
    <w:name w:val="Intense Emphasis"/>
    <w:basedOn w:val="DefaultParagraphFont"/>
    <w:uiPriority w:val="99"/>
    <w:qFormat/>
    <w:rsid w:val="00537C0A"/>
    <w:rPr>
      <w:b/>
    </w:rPr>
  </w:style>
  <w:style w:type="character" w:styleId="SubtleReference">
    <w:name w:val="Subtle Reference"/>
    <w:basedOn w:val="DefaultParagraphFont"/>
    <w:uiPriority w:val="99"/>
    <w:qFormat/>
    <w:rsid w:val="00537C0A"/>
    <w:rPr>
      <w:smallCaps/>
    </w:rPr>
  </w:style>
  <w:style w:type="character" w:styleId="IntenseReference">
    <w:name w:val="Intense Reference"/>
    <w:basedOn w:val="DefaultParagraphFont"/>
    <w:uiPriority w:val="99"/>
    <w:qFormat/>
    <w:rsid w:val="00537C0A"/>
    <w:rPr>
      <w:smallCaps/>
      <w:spacing w:val="5"/>
      <w:u w:val="single"/>
    </w:rPr>
  </w:style>
  <w:style w:type="character" w:styleId="BookTitle">
    <w:name w:val="Book Title"/>
    <w:basedOn w:val="DefaultParagraphFont"/>
    <w:uiPriority w:val="99"/>
    <w:qFormat/>
    <w:rsid w:val="00537C0A"/>
    <w:rPr>
      <w:i/>
      <w:smallCaps/>
      <w:spacing w:val="5"/>
    </w:rPr>
  </w:style>
  <w:style w:type="paragraph" w:styleId="TOCHeading">
    <w:name w:val="TOC Heading"/>
    <w:basedOn w:val="Heading1"/>
    <w:next w:val="Normal"/>
    <w:uiPriority w:val="99"/>
    <w:qFormat/>
    <w:rsid w:val="00537C0A"/>
    <w:pPr>
      <w:outlineLvl w:val="9"/>
    </w:pPr>
  </w:style>
  <w:style w:type="paragraph" w:styleId="FootnoteText">
    <w:name w:val="footnote text"/>
    <w:basedOn w:val="Normal"/>
    <w:link w:val="FootnoteTextChar"/>
    <w:rsid w:val="00202765"/>
  </w:style>
  <w:style w:type="character" w:customStyle="1" w:styleId="FootnoteTextChar">
    <w:name w:val="Footnote Text Char"/>
    <w:basedOn w:val="DefaultParagraphFont"/>
    <w:link w:val="FootnoteText"/>
    <w:locked/>
    <w:rsid w:val="00202765"/>
    <w:rPr>
      <w:rFonts w:cs="Calibri"/>
      <w:sz w:val="20"/>
      <w:szCs w:val="20"/>
    </w:rPr>
  </w:style>
  <w:style w:type="character" w:styleId="FootnoteReference">
    <w:name w:val="footnote reference"/>
    <w:basedOn w:val="DefaultParagraphFont"/>
    <w:rsid w:val="00202765"/>
    <w:rPr>
      <w:rFonts w:cs="Times New Roman"/>
      <w:vertAlign w:val="superscript"/>
    </w:rPr>
  </w:style>
  <w:style w:type="character" w:styleId="CommentReference">
    <w:name w:val="annotation reference"/>
    <w:basedOn w:val="DefaultParagraphFont"/>
    <w:uiPriority w:val="99"/>
    <w:rsid w:val="000A4C7D"/>
    <w:rPr>
      <w:rFonts w:cs="Times New Roman"/>
      <w:sz w:val="16"/>
      <w:szCs w:val="16"/>
    </w:rPr>
  </w:style>
  <w:style w:type="paragraph" w:styleId="CommentText">
    <w:name w:val="annotation text"/>
    <w:basedOn w:val="Normal"/>
    <w:link w:val="CommentTextChar"/>
    <w:uiPriority w:val="99"/>
    <w:rsid w:val="000A4C7D"/>
  </w:style>
  <w:style w:type="character" w:customStyle="1" w:styleId="CommentTextChar">
    <w:name w:val="Comment Text Char"/>
    <w:basedOn w:val="DefaultParagraphFont"/>
    <w:link w:val="CommentText"/>
    <w:uiPriority w:val="99"/>
    <w:locked/>
    <w:rsid w:val="000A4C7D"/>
    <w:rPr>
      <w:rFonts w:cs="Calibri"/>
      <w:sz w:val="20"/>
      <w:szCs w:val="20"/>
    </w:rPr>
  </w:style>
  <w:style w:type="paragraph" w:styleId="CommentSubject">
    <w:name w:val="annotation subject"/>
    <w:basedOn w:val="CommentText"/>
    <w:next w:val="CommentText"/>
    <w:link w:val="CommentSubjectChar"/>
    <w:uiPriority w:val="99"/>
    <w:semiHidden/>
    <w:rsid w:val="000A4C7D"/>
    <w:rPr>
      <w:b/>
      <w:bCs/>
    </w:rPr>
  </w:style>
  <w:style w:type="character" w:customStyle="1" w:styleId="CommentSubjectChar">
    <w:name w:val="Comment Subject Char"/>
    <w:basedOn w:val="CommentTextChar"/>
    <w:link w:val="CommentSubject"/>
    <w:uiPriority w:val="99"/>
    <w:semiHidden/>
    <w:locked/>
    <w:rsid w:val="000A4C7D"/>
    <w:rPr>
      <w:rFonts w:cs="Calibri"/>
      <w:b/>
      <w:bCs/>
      <w:sz w:val="20"/>
      <w:szCs w:val="20"/>
    </w:rPr>
  </w:style>
  <w:style w:type="paragraph" w:styleId="BalloonText">
    <w:name w:val="Balloon Text"/>
    <w:basedOn w:val="Normal"/>
    <w:link w:val="BalloonTextChar"/>
    <w:uiPriority w:val="99"/>
    <w:semiHidden/>
    <w:rsid w:val="000A4C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4C7D"/>
    <w:rPr>
      <w:rFonts w:ascii="Tahoma" w:hAnsi="Tahoma" w:cs="Tahoma"/>
      <w:sz w:val="16"/>
      <w:szCs w:val="16"/>
    </w:rPr>
  </w:style>
  <w:style w:type="paragraph" w:styleId="ListBullet">
    <w:name w:val="List Bullet"/>
    <w:basedOn w:val="Normal"/>
    <w:uiPriority w:val="99"/>
    <w:rsid w:val="00366BEF"/>
    <w:pPr>
      <w:numPr>
        <w:numId w:val="2"/>
      </w:numPr>
      <w:spacing w:after="80" w:line="280" w:lineRule="atLeast"/>
    </w:pPr>
    <w:rPr>
      <w:rFonts w:ascii="Georgia" w:hAnsi="Georgia" w:cs="Times New Roman"/>
      <w:sz w:val="19"/>
      <w:szCs w:val="19"/>
      <w:lang w:val="en-AU" w:eastAsia="en-AU"/>
    </w:rPr>
  </w:style>
  <w:style w:type="paragraph" w:customStyle="1" w:styleId="BodyTextJustified">
    <w:name w:val="Body Text + Justified"/>
    <w:basedOn w:val="Normal"/>
    <w:uiPriority w:val="99"/>
    <w:rsid w:val="00366BEF"/>
    <w:rPr>
      <w:rFonts w:ascii="Georgia" w:hAnsi="Georgia" w:cs="Times New Roman"/>
      <w:sz w:val="24"/>
      <w:szCs w:val="24"/>
      <w:lang w:val="en-AU" w:eastAsia="en-AU"/>
    </w:rPr>
  </w:style>
  <w:style w:type="paragraph" w:styleId="BodyText">
    <w:name w:val="Body Text"/>
    <w:basedOn w:val="Normal"/>
    <w:link w:val="BodyTextChar"/>
    <w:uiPriority w:val="99"/>
    <w:semiHidden/>
    <w:rsid w:val="00366BEF"/>
    <w:pPr>
      <w:spacing w:after="120"/>
    </w:pPr>
  </w:style>
  <w:style w:type="character" w:customStyle="1" w:styleId="BodyTextChar">
    <w:name w:val="Body Text Char"/>
    <w:basedOn w:val="DefaultParagraphFont"/>
    <w:link w:val="BodyText"/>
    <w:uiPriority w:val="99"/>
    <w:semiHidden/>
    <w:locked/>
    <w:rsid w:val="00366BEF"/>
    <w:rPr>
      <w:rFonts w:cs="Calibri"/>
      <w:sz w:val="20"/>
      <w:szCs w:val="20"/>
    </w:rPr>
  </w:style>
  <w:style w:type="paragraph" w:styleId="Header">
    <w:name w:val="header"/>
    <w:basedOn w:val="Normal"/>
    <w:link w:val="HeaderChar"/>
    <w:rsid w:val="00366BEF"/>
    <w:pPr>
      <w:tabs>
        <w:tab w:val="center" w:pos="4513"/>
        <w:tab w:val="right" w:pos="9026"/>
      </w:tabs>
    </w:pPr>
  </w:style>
  <w:style w:type="character" w:customStyle="1" w:styleId="HeaderChar">
    <w:name w:val="Header Char"/>
    <w:basedOn w:val="DefaultParagraphFont"/>
    <w:link w:val="Header"/>
    <w:locked/>
    <w:rsid w:val="00366BEF"/>
    <w:rPr>
      <w:rFonts w:cs="Calibri"/>
      <w:sz w:val="20"/>
      <w:szCs w:val="20"/>
    </w:rPr>
  </w:style>
  <w:style w:type="paragraph" w:styleId="Footer">
    <w:name w:val="footer"/>
    <w:basedOn w:val="Normal"/>
    <w:link w:val="FooterChar"/>
    <w:uiPriority w:val="99"/>
    <w:rsid w:val="00366BEF"/>
    <w:pPr>
      <w:tabs>
        <w:tab w:val="center" w:pos="4513"/>
        <w:tab w:val="right" w:pos="9026"/>
      </w:tabs>
    </w:pPr>
  </w:style>
  <w:style w:type="character" w:customStyle="1" w:styleId="FooterChar">
    <w:name w:val="Footer Char"/>
    <w:basedOn w:val="DefaultParagraphFont"/>
    <w:link w:val="Footer"/>
    <w:uiPriority w:val="99"/>
    <w:locked/>
    <w:rsid w:val="00366BEF"/>
    <w:rPr>
      <w:rFonts w:cs="Calibri"/>
      <w:sz w:val="20"/>
      <w:szCs w:val="20"/>
    </w:rPr>
  </w:style>
  <w:style w:type="paragraph" w:styleId="TOC1">
    <w:name w:val="toc 1"/>
    <w:basedOn w:val="Normal"/>
    <w:next w:val="Normal"/>
    <w:autoRedefine/>
    <w:uiPriority w:val="39"/>
    <w:rsid w:val="00366BEF"/>
    <w:pPr>
      <w:tabs>
        <w:tab w:val="left" w:pos="400"/>
        <w:tab w:val="right" w:leader="dot" w:pos="9016"/>
      </w:tabs>
      <w:spacing w:after="100"/>
    </w:pPr>
    <w:rPr>
      <w:b/>
      <w:noProof/>
      <w:color w:val="C0504D"/>
    </w:rPr>
  </w:style>
  <w:style w:type="paragraph" w:styleId="TOC2">
    <w:name w:val="toc 2"/>
    <w:basedOn w:val="Normal"/>
    <w:next w:val="Normal"/>
    <w:autoRedefine/>
    <w:uiPriority w:val="39"/>
    <w:rsid w:val="00647BBD"/>
    <w:pPr>
      <w:tabs>
        <w:tab w:val="left" w:pos="581"/>
        <w:tab w:val="left" w:pos="781"/>
        <w:tab w:val="right" w:leader="dot" w:pos="9016"/>
      </w:tabs>
      <w:spacing w:after="100"/>
      <w:ind w:left="284"/>
    </w:pPr>
    <w:rPr>
      <w:b/>
      <w:noProof/>
      <w:color w:val="000000" w:themeColor="text1"/>
    </w:rPr>
  </w:style>
  <w:style w:type="paragraph" w:styleId="TOC3">
    <w:name w:val="toc 3"/>
    <w:basedOn w:val="Normal"/>
    <w:next w:val="Normal"/>
    <w:autoRedefine/>
    <w:uiPriority w:val="39"/>
    <w:rsid w:val="00366BEF"/>
    <w:pPr>
      <w:spacing w:after="100"/>
      <w:ind w:left="400"/>
    </w:pPr>
  </w:style>
  <w:style w:type="character" w:styleId="Hyperlink">
    <w:name w:val="Hyperlink"/>
    <w:basedOn w:val="DefaultParagraphFont"/>
    <w:uiPriority w:val="99"/>
    <w:rsid w:val="00366BEF"/>
    <w:rPr>
      <w:rFonts w:cs="Times New Roman"/>
      <w:color w:val="0000FF"/>
      <w:u w:val="single"/>
    </w:rPr>
  </w:style>
  <w:style w:type="paragraph" w:customStyle="1" w:styleId="Default">
    <w:name w:val="Default"/>
    <w:rsid w:val="0014244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8441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5">
    <w:name w:val="Pa15"/>
    <w:basedOn w:val="Normal"/>
    <w:next w:val="Normal"/>
    <w:uiPriority w:val="99"/>
    <w:rsid w:val="001939F2"/>
    <w:pPr>
      <w:widowControl w:val="0"/>
      <w:autoSpaceDE w:val="0"/>
      <w:autoSpaceDN w:val="0"/>
      <w:adjustRightInd w:val="0"/>
      <w:spacing w:line="181" w:lineRule="atLeast"/>
    </w:pPr>
    <w:rPr>
      <w:rFonts w:ascii="Vista Sans Bold" w:hAnsi="Vista Sans Bold" w:cs="Times New Roman"/>
      <w:sz w:val="24"/>
      <w:szCs w:val="24"/>
    </w:rPr>
  </w:style>
  <w:style w:type="paragraph" w:styleId="DocumentMap">
    <w:name w:val="Document Map"/>
    <w:basedOn w:val="Normal"/>
    <w:link w:val="DocumentMapChar"/>
    <w:uiPriority w:val="99"/>
    <w:semiHidden/>
    <w:unhideWhenUsed/>
    <w:rsid w:val="003740D6"/>
    <w:rPr>
      <w:rFonts w:ascii="Lucida Grande" w:hAnsi="Lucida Grande"/>
      <w:sz w:val="24"/>
      <w:szCs w:val="24"/>
    </w:rPr>
  </w:style>
  <w:style w:type="character" w:customStyle="1" w:styleId="DocumentMapChar">
    <w:name w:val="Document Map Char"/>
    <w:basedOn w:val="DefaultParagraphFont"/>
    <w:link w:val="DocumentMap"/>
    <w:uiPriority w:val="99"/>
    <w:semiHidden/>
    <w:rsid w:val="003740D6"/>
    <w:rPr>
      <w:rFonts w:ascii="Lucida Grande" w:hAnsi="Lucida Grande" w:cs="Calibri"/>
      <w:sz w:val="24"/>
      <w:szCs w:val="24"/>
      <w:lang w:val="en-US" w:eastAsia="en-US"/>
    </w:rPr>
  </w:style>
  <w:style w:type="character" w:customStyle="1" w:styleId="ListParagraphChar">
    <w:name w:val="List Paragraph Char"/>
    <w:basedOn w:val="DefaultParagraphFont"/>
    <w:link w:val="ListParagraph"/>
    <w:uiPriority w:val="34"/>
    <w:locked/>
    <w:rsid w:val="00A06A6C"/>
    <w:rPr>
      <w:rFonts w:cs="Calibri"/>
      <w:szCs w:val="20"/>
      <w:lang w:val="en-US" w:eastAsia="en-US"/>
    </w:rPr>
  </w:style>
  <w:style w:type="paragraph" w:customStyle="1" w:styleId="List-bullet-2">
    <w:name w:val="List-bullet-2"/>
    <w:basedOn w:val="Normal"/>
    <w:rsid w:val="00A71CD1"/>
    <w:pPr>
      <w:numPr>
        <w:numId w:val="3"/>
      </w:numPr>
      <w:spacing w:before="80"/>
    </w:pPr>
    <w:rPr>
      <w:rFonts w:ascii="Arial" w:hAnsi="Arial" w:cs="Arial"/>
      <w:sz w:val="20"/>
      <w:szCs w:val="22"/>
    </w:rPr>
  </w:style>
  <w:style w:type="paragraph" w:customStyle="1" w:styleId="figureheading">
    <w:name w:val="figure heading"/>
    <w:basedOn w:val="Normal"/>
    <w:qFormat/>
    <w:rsid w:val="00724735"/>
    <w:pPr>
      <w:jc w:val="center"/>
    </w:pPr>
    <w:rPr>
      <w:rFonts w:cs="Times New Roman"/>
      <w:i/>
      <w:szCs w:val="24"/>
      <w:lang w:val="en-AU"/>
    </w:rPr>
  </w:style>
  <w:style w:type="character" w:styleId="PageNumber">
    <w:name w:val="page number"/>
    <w:basedOn w:val="DefaultParagraphFont"/>
    <w:uiPriority w:val="99"/>
    <w:semiHidden/>
    <w:unhideWhenUsed/>
    <w:rsid w:val="00724735"/>
  </w:style>
  <w:style w:type="paragraph" w:customStyle="1" w:styleId="HEADING">
    <w:name w:val="HEADING !"/>
    <w:basedOn w:val="Heading1"/>
    <w:qFormat/>
    <w:rsid w:val="00724735"/>
    <w:pPr>
      <w:keepLines/>
      <w:numPr>
        <w:numId w:val="4"/>
      </w:numPr>
      <w:spacing w:before="480" w:after="0"/>
      <w:ind w:left="284"/>
    </w:pPr>
    <w:rPr>
      <w:rFonts w:asciiTheme="majorHAnsi" w:eastAsiaTheme="majorEastAsia" w:hAnsiTheme="majorHAnsi" w:cstheme="majorBidi"/>
      <w:bCs w:val="0"/>
      <w:snapToGrid w:val="0"/>
      <w:color w:val="A21711"/>
      <w:spacing w:val="0"/>
      <w:kern w:val="0"/>
      <w:sz w:val="40"/>
      <w:szCs w:val="40"/>
      <w:lang w:eastAsia="en-US"/>
    </w:rPr>
  </w:style>
  <w:style w:type="paragraph" w:styleId="ListNumber">
    <w:name w:val="List Number"/>
    <w:basedOn w:val="ListBullet"/>
    <w:rsid w:val="00525C00"/>
    <w:pPr>
      <w:numPr>
        <w:numId w:val="5"/>
      </w:numPr>
    </w:pPr>
  </w:style>
  <w:style w:type="paragraph" w:customStyle="1" w:styleId="CharChar">
    <w:name w:val="Char Char"/>
    <w:basedOn w:val="Normal"/>
    <w:semiHidden/>
    <w:rsid w:val="00525C00"/>
    <w:pPr>
      <w:spacing w:before="180" w:line="280" w:lineRule="atLeast"/>
    </w:pPr>
    <w:rPr>
      <w:rFonts w:ascii="Arial" w:hAnsi="Arial" w:cs="Times New Roman"/>
      <w:lang w:val="en-AU"/>
    </w:rPr>
  </w:style>
  <w:style w:type="paragraph" w:customStyle="1" w:styleId="Style1">
    <w:name w:val="Style 1"/>
    <w:uiPriority w:val="99"/>
    <w:rsid w:val="000E3502"/>
    <w:pPr>
      <w:widowControl w:val="0"/>
      <w:autoSpaceDE w:val="0"/>
      <w:autoSpaceDN w:val="0"/>
      <w:adjustRightInd w:val="0"/>
    </w:pPr>
    <w:rPr>
      <w:rFonts w:ascii="Times New Roman" w:hAnsi="Times New Roman"/>
      <w:sz w:val="20"/>
      <w:szCs w:val="20"/>
      <w:lang w:val="en-US"/>
    </w:rPr>
  </w:style>
  <w:style w:type="paragraph" w:customStyle="1" w:styleId="Style2">
    <w:name w:val="Style 2"/>
    <w:uiPriority w:val="99"/>
    <w:rsid w:val="000E3502"/>
    <w:pPr>
      <w:widowControl w:val="0"/>
      <w:autoSpaceDE w:val="0"/>
      <w:autoSpaceDN w:val="0"/>
      <w:adjustRightInd w:val="0"/>
    </w:pPr>
    <w:rPr>
      <w:rFonts w:ascii="Arial" w:hAnsi="Arial" w:cs="Arial"/>
      <w:sz w:val="20"/>
      <w:szCs w:val="20"/>
      <w:lang w:val="en-US"/>
    </w:rPr>
  </w:style>
  <w:style w:type="character" w:customStyle="1" w:styleId="CharacterStyle1">
    <w:name w:val="Character Style 1"/>
    <w:uiPriority w:val="99"/>
    <w:rsid w:val="000E3502"/>
    <w:rPr>
      <w:rFonts w:ascii="Arial" w:hAnsi="Arial"/>
      <w:sz w:val="20"/>
    </w:rPr>
  </w:style>
  <w:style w:type="paragraph" w:styleId="TOC4">
    <w:name w:val="toc 4"/>
    <w:basedOn w:val="Normal"/>
    <w:next w:val="Normal"/>
    <w:autoRedefine/>
    <w:locked/>
    <w:rsid w:val="009A38A2"/>
    <w:pPr>
      <w:ind w:left="660"/>
    </w:pPr>
  </w:style>
  <w:style w:type="paragraph" w:styleId="TOC5">
    <w:name w:val="toc 5"/>
    <w:basedOn w:val="Normal"/>
    <w:next w:val="Normal"/>
    <w:autoRedefine/>
    <w:locked/>
    <w:rsid w:val="009A38A2"/>
    <w:pPr>
      <w:ind w:left="880"/>
    </w:pPr>
  </w:style>
  <w:style w:type="paragraph" w:styleId="TOC6">
    <w:name w:val="toc 6"/>
    <w:basedOn w:val="Normal"/>
    <w:next w:val="Normal"/>
    <w:autoRedefine/>
    <w:locked/>
    <w:rsid w:val="009A38A2"/>
    <w:pPr>
      <w:ind w:left="1100"/>
    </w:pPr>
  </w:style>
  <w:style w:type="paragraph" w:styleId="TOC7">
    <w:name w:val="toc 7"/>
    <w:basedOn w:val="Normal"/>
    <w:next w:val="Normal"/>
    <w:autoRedefine/>
    <w:locked/>
    <w:rsid w:val="009A38A2"/>
    <w:pPr>
      <w:ind w:left="1320"/>
    </w:pPr>
  </w:style>
  <w:style w:type="paragraph" w:styleId="TOC8">
    <w:name w:val="toc 8"/>
    <w:basedOn w:val="Normal"/>
    <w:next w:val="Normal"/>
    <w:autoRedefine/>
    <w:locked/>
    <w:rsid w:val="009A38A2"/>
    <w:pPr>
      <w:ind w:left="1540"/>
    </w:pPr>
  </w:style>
  <w:style w:type="paragraph" w:styleId="TOC9">
    <w:name w:val="toc 9"/>
    <w:basedOn w:val="Normal"/>
    <w:next w:val="Normal"/>
    <w:autoRedefine/>
    <w:locked/>
    <w:rsid w:val="009A38A2"/>
    <w:pPr>
      <w:ind w:left="1760"/>
    </w:pPr>
  </w:style>
  <w:style w:type="paragraph" w:customStyle="1" w:styleId="greybulletpoints">
    <w:name w:val="grey bullet points"/>
    <w:basedOn w:val="ListParagraph"/>
    <w:link w:val="greybulletpointsChar"/>
    <w:qFormat/>
    <w:rsid w:val="00811564"/>
    <w:pPr>
      <w:numPr>
        <w:numId w:val="6"/>
      </w:numPr>
      <w:spacing w:after="60"/>
      <w:ind w:left="284" w:hanging="284"/>
      <w:contextualSpacing w:val="0"/>
    </w:pPr>
    <w:rPr>
      <w:rFonts w:asciiTheme="minorHAnsi" w:hAnsiTheme="minorHAnsi" w:cstheme="minorHAnsi"/>
      <w:b/>
      <w:color w:val="FFFFFF" w:themeColor="background1"/>
    </w:rPr>
  </w:style>
  <w:style w:type="character" w:customStyle="1" w:styleId="greybulletpointsChar">
    <w:name w:val="grey bullet points Char"/>
    <w:basedOn w:val="ListParagraphChar"/>
    <w:link w:val="greybulletpoints"/>
    <w:rsid w:val="00811564"/>
    <w:rPr>
      <w:rFonts w:asciiTheme="minorHAnsi" w:hAnsiTheme="minorHAnsi" w:cstheme="minorHAnsi"/>
      <w:b/>
      <w:color w:val="FFFFFF" w:themeColor="background1"/>
      <w:szCs w:val="20"/>
      <w:lang w:val="en-US" w:eastAsia="en-US"/>
    </w:rPr>
  </w:style>
  <w:style w:type="paragraph" w:customStyle="1" w:styleId="BodyDHS">
    <w:name w:val="Body DHS"/>
    <w:rsid w:val="00CA0EE5"/>
    <w:pPr>
      <w:widowControl w:val="0"/>
      <w:suppressAutoHyphens/>
      <w:overflowPunct w:val="0"/>
      <w:autoSpaceDE w:val="0"/>
      <w:autoSpaceDN w:val="0"/>
      <w:adjustRightInd w:val="0"/>
      <w:spacing w:after="180" w:line="260" w:lineRule="exact"/>
      <w:textAlignment w:val="baseline"/>
    </w:pPr>
    <w:rPr>
      <w:rFonts w:ascii="Book Antiqua" w:hAnsi="Book Antiqua"/>
      <w:sz w:val="21"/>
      <w:szCs w:val="20"/>
      <w:lang w:eastAsia="en-US"/>
    </w:rPr>
  </w:style>
  <w:style w:type="paragraph" w:customStyle="1" w:styleId="Textotabela10">
    <w:name w:val="Texto tabela 10"/>
    <w:basedOn w:val="Normal"/>
    <w:next w:val="BodyText"/>
    <w:rsid w:val="009E0C76"/>
    <w:pPr>
      <w:suppressAutoHyphens/>
    </w:pPr>
    <w:rPr>
      <w:rFonts w:ascii="Arial" w:hAnsi="Arial" w:cs="Times New Roman"/>
      <w:sz w:val="20"/>
      <w:szCs w:val="22"/>
      <w:lang w:eastAsia="ar-SA"/>
    </w:rPr>
  </w:style>
  <w:style w:type="paragraph" w:styleId="Revision">
    <w:name w:val="Revision"/>
    <w:hidden/>
    <w:uiPriority w:val="99"/>
    <w:semiHidden/>
    <w:rsid w:val="00256AA3"/>
    <w:rPr>
      <w:rFonts w:cs="Calibr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95949">
      <w:bodyDiv w:val="1"/>
      <w:marLeft w:val="0"/>
      <w:marRight w:val="0"/>
      <w:marTop w:val="0"/>
      <w:marBottom w:val="0"/>
      <w:divBdr>
        <w:top w:val="none" w:sz="0" w:space="0" w:color="auto"/>
        <w:left w:val="none" w:sz="0" w:space="0" w:color="auto"/>
        <w:bottom w:val="none" w:sz="0" w:space="0" w:color="auto"/>
        <w:right w:val="none" w:sz="0" w:space="0" w:color="auto"/>
      </w:divBdr>
    </w:div>
    <w:div w:id="602342177">
      <w:bodyDiv w:val="1"/>
      <w:marLeft w:val="0"/>
      <w:marRight w:val="0"/>
      <w:marTop w:val="0"/>
      <w:marBottom w:val="0"/>
      <w:divBdr>
        <w:top w:val="none" w:sz="0" w:space="0" w:color="auto"/>
        <w:left w:val="none" w:sz="0" w:space="0" w:color="auto"/>
        <w:bottom w:val="none" w:sz="0" w:space="0" w:color="auto"/>
        <w:right w:val="none" w:sz="0" w:space="0" w:color="auto"/>
      </w:divBdr>
    </w:div>
    <w:div w:id="637078602">
      <w:bodyDiv w:val="1"/>
      <w:marLeft w:val="0"/>
      <w:marRight w:val="0"/>
      <w:marTop w:val="0"/>
      <w:marBottom w:val="0"/>
      <w:divBdr>
        <w:top w:val="none" w:sz="0" w:space="0" w:color="auto"/>
        <w:left w:val="none" w:sz="0" w:space="0" w:color="auto"/>
        <w:bottom w:val="none" w:sz="0" w:space="0" w:color="auto"/>
        <w:right w:val="none" w:sz="0" w:space="0" w:color="auto"/>
      </w:divBdr>
    </w:div>
    <w:div w:id="1029987611">
      <w:bodyDiv w:val="1"/>
      <w:marLeft w:val="0"/>
      <w:marRight w:val="0"/>
      <w:marTop w:val="0"/>
      <w:marBottom w:val="0"/>
      <w:divBdr>
        <w:top w:val="none" w:sz="0" w:space="0" w:color="auto"/>
        <w:left w:val="none" w:sz="0" w:space="0" w:color="auto"/>
        <w:bottom w:val="none" w:sz="0" w:space="0" w:color="auto"/>
        <w:right w:val="none" w:sz="0" w:space="0" w:color="auto"/>
      </w:divBdr>
    </w:div>
    <w:div w:id="20704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customXml" Target="../customXml/item2.xml"/><Relationship Id="rId10" Type="http://schemas.openxmlformats.org/officeDocument/2006/relationships/header" Target="header2.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harmascholars.com/admin1/files/23002.pdf" TargetMode="External"/><Relationship Id="rId2" Type="http://schemas.openxmlformats.org/officeDocument/2006/relationships/hyperlink" Target="http://www.qsrinternational.com" TargetMode="External"/><Relationship Id="rId1" Type="http://schemas.openxmlformats.org/officeDocument/2006/relationships/hyperlink" Target="http://www.stata.com" TargetMode="External"/><Relationship Id="rId4" Type="http://schemas.openxmlformats.org/officeDocument/2006/relationships/hyperlink" Target="http://apps.who.int/medicinedocs/en/d/Jh2931e/3.html"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National yearly rate (%) of NHIS monthly reports that reported a stock-out</a:t>
            </a:r>
          </a:p>
        </c:rich>
      </c:tx>
      <c:layout/>
      <c:overlay val="0"/>
    </c:title>
    <c:autoTitleDeleted val="0"/>
    <c:plotArea>
      <c:layout>
        <c:manualLayout>
          <c:layoutTarget val="inner"/>
          <c:xMode val="edge"/>
          <c:yMode val="edge"/>
          <c:x val="0.15929020841678901"/>
          <c:y val="8.35775081618466E-2"/>
          <c:w val="0.73733071878927003"/>
          <c:h val="0.39893738909377302"/>
        </c:manualLayout>
      </c:layout>
      <c:barChart>
        <c:barDir val="col"/>
        <c:grouping val="clustered"/>
        <c:varyColors val="0"/>
        <c:ser>
          <c:idx val="0"/>
          <c:order val="0"/>
          <c:tx>
            <c:v>2010</c:v>
          </c:tx>
          <c:invertIfNegative val="0"/>
          <c:dLbls>
            <c:showLegendKey val="0"/>
            <c:showVal val="1"/>
            <c:showCatName val="0"/>
            <c:showSerName val="0"/>
            <c:showPercent val="0"/>
            <c:showBubbleSize val="0"/>
            <c:showLeaderLines val="0"/>
          </c:dLbls>
          <c:cat>
            <c:strRef>
              <c:f>'National stockout'!$A$4:$A$11</c:f>
              <c:strCache>
                <c:ptCount val="8"/>
                <c:pt idx="0">
                  <c:v>* Medroxyprogesterone </c:v>
                </c:pt>
                <c:pt idx="1">
                  <c:v>* Oxytocin</c:v>
                </c:pt>
                <c:pt idx="2">
                  <c:v>^ Amoxicillin </c:v>
                </c:pt>
                <c:pt idx="3">
                  <c:v>^ Chloramphenicol </c:v>
                </c:pt>
                <c:pt idx="4">
                  <c:v>^ Cotrimoxazole </c:v>
                </c:pt>
                <c:pt idx="5">
                  <c:v>^ Ferrous sulphate/folic acid </c:v>
                </c:pt>
                <c:pt idx="6">
                  <c:v>^ Oral Rehydration Salts </c:v>
                </c:pt>
                <c:pt idx="7">
                  <c:v># Artemisinin combination therapy </c:v>
                </c:pt>
              </c:strCache>
            </c:strRef>
          </c:cat>
          <c:val>
            <c:numRef>
              <c:f>'National stockout'!$B$4:$B$11</c:f>
              <c:numCache>
                <c:formatCode>General</c:formatCode>
                <c:ptCount val="8"/>
                <c:pt idx="0">
                  <c:v>10</c:v>
                </c:pt>
                <c:pt idx="1">
                  <c:v>9</c:v>
                </c:pt>
                <c:pt idx="2">
                  <c:v>22</c:v>
                </c:pt>
                <c:pt idx="3">
                  <c:v>16</c:v>
                </c:pt>
                <c:pt idx="4">
                  <c:v>18</c:v>
                </c:pt>
                <c:pt idx="5">
                  <c:v>8</c:v>
                </c:pt>
                <c:pt idx="6">
                  <c:v>5</c:v>
                </c:pt>
                <c:pt idx="7">
                  <c:v>21</c:v>
                </c:pt>
              </c:numCache>
            </c:numRef>
          </c:val>
        </c:ser>
        <c:ser>
          <c:idx val="1"/>
          <c:order val="1"/>
          <c:tx>
            <c:v>2011</c:v>
          </c:tx>
          <c:invertIfNegative val="0"/>
          <c:dLbls>
            <c:showLegendKey val="0"/>
            <c:showVal val="1"/>
            <c:showCatName val="0"/>
            <c:showSerName val="0"/>
            <c:showPercent val="0"/>
            <c:showBubbleSize val="0"/>
            <c:showLeaderLines val="0"/>
          </c:dLbls>
          <c:cat>
            <c:strRef>
              <c:f>'National stockout'!$A$4:$A$11</c:f>
              <c:strCache>
                <c:ptCount val="8"/>
                <c:pt idx="0">
                  <c:v>* Medroxyprogesterone </c:v>
                </c:pt>
                <c:pt idx="1">
                  <c:v>* Oxytocin</c:v>
                </c:pt>
                <c:pt idx="2">
                  <c:v>^ Amoxicillin </c:v>
                </c:pt>
                <c:pt idx="3">
                  <c:v>^ Chloramphenicol </c:v>
                </c:pt>
                <c:pt idx="4">
                  <c:v>^ Cotrimoxazole </c:v>
                </c:pt>
                <c:pt idx="5">
                  <c:v>^ Ferrous sulphate/folic acid </c:v>
                </c:pt>
                <c:pt idx="6">
                  <c:v>^ Oral Rehydration Salts </c:v>
                </c:pt>
                <c:pt idx="7">
                  <c:v># Artemisinin combination therapy </c:v>
                </c:pt>
              </c:strCache>
            </c:strRef>
          </c:cat>
          <c:val>
            <c:numRef>
              <c:f>'National stockout'!$C$4:$C$11</c:f>
              <c:numCache>
                <c:formatCode>General</c:formatCode>
                <c:ptCount val="8"/>
                <c:pt idx="0">
                  <c:v>11</c:v>
                </c:pt>
                <c:pt idx="1">
                  <c:v>12</c:v>
                </c:pt>
                <c:pt idx="2">
                  <c:v>21</c:v>
                </c:pt>
                <c:pt idx="3">
                  <c:v>16</c:v>
                </c:pt>
                <c:pt idx="4">
                  <c:v>19</c:v>
                </c:pt>
                <c:pt idx="5">
                  <c:v>11</c:v>
                </c:pt>
                <c:pt idx="6">
                  <c:v>5</c:v>
                </c:pt>
                <c:pt idx="7">
                  <c:v>23</c:v>
                </c:pt>
              </c:numCache>
            </c:numRef>
          </c:val>
        </c:ser>
        <c:ser>
          <c:idx val="2"/>
          <c:order val="2"/>
          <c:tx>
            <c:v>2012</c:v>
          </c:tx>
          <c:invertIfNegative val="0"/>
          <c:dLbls>
            <c:showLegendKey val="0"/>
            <c:showVal val="1"/>
            <c:showCatName val="0"/>
            <c:showSerName val="0"/>
            <c:showPercent val="0"/>
            <c:showBubbleSize val="0"/>
            <c:showLeaderLines val="0"/>
          </c:dLbls>
          <c:cat>
            <c:strRef>
              <c:f>'National stockout'!$A$4:$A$11</c:f>
              <c:strCache>
                <c:ptCount val="8"/>
                <c:pt idx="0">
                  <c:v>* Medroxyprogesterone </c:v>
                </c:pt>
                <c:pt idx="1">
                  <c:v>* Oxytocin</c:v>
                </c:pt>
                <c:pt idx="2">
                  <c:v>^ Amoxicillin </c:v>
                </c:pt>
                <c:pt idx="3">
                  <c:v>^ Chloramphenicol </c:v>
                </c:pt>
                <c:pt idx="4">
                  <c:v>^ Cotrimoxazole </c:v>
                </c:pt>
                <c:pt idx="5">
                  <c:v>^ Ferrous sulphate/folic acid </c:v>
                </c:pt>
                <c:pt idx="6">
                  <c:v>^ Oral Rehydration Salts </c:v>
                </c:pt>
                <c:pt idx="7">
                  <c:v># Artemisinin combination therapy </c:v>
                </c:pt>
              </c:strCache>
            </c:strRef>
          </c:cat>
          <c:val>
            <c:numRef>
              <c:f>'National stockout'!$D$4:$D$11</c:f>
              <c:numCache>
                <c:formatCode>General</c:formatCode>
                <c:ptCount val="8"/>
                <c:pt idx="0">
                  <c:v>12</c:v>
                </c:pt>
                <c:pt idx="1">
                  <c:v>11</c:v>
                </c:pt>
                <c:pt idx="2">
                  <c:v>12</c:v>
                </c:pt>
                <c:pt idx="3">
                  <c:v>14</c:v>
                </c:pt>
                <c:pt idx="4">
                  <c:v>14</c:v>
                </c:pt>
                <c:pt idx="5">
                  <c:v>11</c:v>
                </c:pt>
                <c:pt idx="6">
                  <c:v>2</c:v>
                </c:pt>
                <c:pt idx="7">
                  <c:v>12</c:v>
                </c:pt>
              </c:numCache>
            </c:numRef>
          </c:val>
        </c:ser>
        <c:dLbls>
          <c:showLegendKey val="0"/>
          <c:showVal val="0"/>
          <c:showCatName val="0"/>
          <c:showSerName val="0"/>
          <c:showPercent val="0"/>
          <c:showBubbleSize val="0"/>
        </c:dLbls>
        <c:gapWidth val="150"/>
        <c:axId val="111295488"/>
        <c:axId val="111313664"/>
      </c:barChart>
      <c:catAx>
        <c:axId val="111295488"/>
        <c:scaling>
          <c:orientation val="minMax"/>
        </c:scaling>
        <c:delete val="0"/>
        <c:axPos val="b"/>
        <c:majorTickMark val="out"/>
        <c:minorTickMark val="none"/>
        <c:tickLblPos val="nextTo"/>
        <c:crossAx val="111313664"/>
        <c:crosses val="autoZero"/>
        <c:auto val="1"/>
        <c:lblAlgn val="ctr"/>
        <c:lblOffset val="100"/>
        <c:noMultiLvlLbl val="0"/>
      </c:catAx>
      <c:valAx>
        <c:axId val="111313664"/>
        <c:scaling>
          <c:orientation val="minMax"/>
        </c:scaling>
        <c:delete val="0"/>
        <c:axPos val="l"/>
        <c:majorGridlines/>
        <c:title>
          <c:tx>
            <c:rich>
              <a:bodyPr rot="-5400000" vert="horz"/>
              <a:lstStyle/>
              <a:p>
                <a:pPr>
                  <a:defRPr/>
                </a:pPr>
                <a:r>
                  <a:rPr lang="en-US"/>
                  <a:t>+ Stock-out rates (%)  </a:t>
                </a:r>
              </a:p>
            </c:rich>
          </c:tx>
          <c:layout>
            <c:manualLayout>
              <c:xMode val="edge"/>
              <c:yMode val="edge"/>
              <c:x val="3.1086526653813298E-2"/>
              <c:y val="0.32969973685960902"/>
            </c:manualLayout>
          </c:layout>
          <c:overlay val="0"/>
        </c:title>
        <c:numFmt formatCode="General" sourceLinked="1"/>
        <c:majorTickMark val="out"/>
        <c:minorTickMark val="none"/>
        <c:tickLblPos val="nextTo"/>
        <c:crossAx val="111295488"/>
        <c:crosses val="autoZero"/>
        <c:crossBetween val="between"/>
      </c:valAx>
    </c:plotArea>
    <c:legend>
      <c:legendPos val="r"/>
      <c:layout>
        <c:manualLayout>
          <c:xMode val="edge"/>
          <c:yMode val="edge"/>
          <c:x val="0.80727341707847999"/>
          <c:y val="0.62728740157480301"/>
          <c:w val="0.112409050134556"/>
          <c:h val="0.100885170603675"/>
        </c:manualLayout>
      </c:layout>
      <c:overlay val="0"/>
    </c:legend>
    <c:plotVisOnly val="1"/>
    <c:dispBlanksAs val="gap"/>
    <c:showDLblsOverMax val="0"/>
  </c:chart>
  <c:spPr>
    <a:ln>
      <a:noFill/>
    </a:ln>
  </c:spPr>
  <c:txPr>
    <a:bodyPr/>
    <a:lstStyle/>
    <a:p>
      <a:pPr>
        <a:defRPr sz="1050"/>
      </a:pPr>
      <a:endParaRPr lang="en-US"/>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A1EF05-9000-394A-8A0A-B084532CE5CA}" type="doc">
      <dgm:prSet loTypeId="urn:microsoft.com/office/officeart/2005/8/layout/process1" loCatId="process" qsTypeId="urn:microsoft.com/office/officeart/2005/8/quickstyle/simple4" qsCatId="simple" csTypeId="urn:microsoft.com/office/officeart/2005/8/colors/accent1_2" csCatId="accent1" phldr="1"/>
      <dgm:spPr/>
    </dgm:pt>
    <dgm:pt modelId="{D5071686-CF45-BC4D-A21D-9178A58D6307}">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US" sz="1400"/>
            <a:t>International Supplier </a:t>
          </a:r>
          <a:r>
            <a:rPr lang="en-US" sz="1000"/>
            <a:t>(shipments from Europe, India, China or Singapore)</a:t>
          </a:r>
        </a:p>
      </dgm:t>
    </dgm:pt>
    <dgm:pt modelId="{FB282032-E969-A849-B54A-C34320BBA252}" type="parTrans" cxnId="{9ACD3920-51CC-3544-9EED-A8FD9E8D52B7}">
      <dgm:prSet/>
      <dgm:spPr/>
      <dgm:t>
        <a:bodyPr/>
        <a:lstStyle/>
        <a:p>
          <a:endParaRPr lang="en-US"/>
        </a:p>
      </dgm:t>
    </dgm:pt>
    <dgm:pt modelId="{3F0D879C-DD93-A949-94FA-DA5645D9BCDF}" type="sibTrans" cxnId="{9ACD3920-51CC-3544-9EED-A8FD9E8D52B7}">
      <dgm:prSet/>
      <dgm:spPr/>
      <dgm:t>
        <a:bodyPr/>
        <a:lstStyle/>
        <a:p>
          <a:endParaRPr lang="en-US"/>
        </a:p>
      </dgm:t>
    </dgm:pt>
    <dgm:pt modelId="{19795EC7-D9D1-A741-ABB4-F9D9F22250A0}">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US" sz="1400"/>
            <a:t>PNG Port </a:t>
          </a:r>
        </a:p>
        <a:p>
          <a:r>
            <a:rPr lang="en-US" sz="1000"/>
            <a:t>(POM, Lae, Madang, Wewak or Rabaul)</a:t>
          </a:r>
        </a:p>
      </dgm:t>
    </dgm:pt>
    <dgm:pt modelId="{3B336A31-044E-7F41-B01E-DAA8C4A48CE1}" type="parTrans" cxnId="{A8C3AC79-30B5-EE47-924B-29CD62D5A0DF}">
      <dgm:prSet/>
      <dgm:spPr/>
      <dgm:t>
        <a:bodyPr/>
        <a:lstStyle/>
        <a:p>
          <a:endParaRPr lang="en-US"/>
        </a:p>
      </dgm:t>
    </dgm:pt>
    <dgm:pt modelId="{9E3B437A-DAE6-E742-9E18-840AE0FB8DB0}" type="sibTrans" cxnId="{A8C3AC79-30B5-EE47-924B-29CD62D5A0DF}">
      <dgm:prSet/>
      <dgm:spPr/>
      <dgm:t>
        <a:bodyPr/>
        <a:lstStyle/>
        <a:p>
          <a:endParaRPr lang="en-US"/>
        </a:p>
      </dgm:t>
    </dgm:pt>
    <dgm:pt modelId="{1B0CFB3D-8E02-DE47-A4C1-D1DE7BEE7BB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US" sz="1400"/>
            <a:t>Health facility or aid post    </a:t>
          </a:r>
          <a:r>
            <a:rPr lang="en-US" sz="1000"/>
            <a:t>(via transport contractor facilities)</a:t>
          </a:r>
        </a:p>
      </dgm:t>
    </dgm:pt>
    <dgm:pt modelId="{EE1D341C-EE14-3641-80A5-9EB57967F531}" type="parTrans" cxnId="{3CB0CCF6-D164-6648-84A6-15D29B2752B1}">
      <dgm:prSet/>
      <dgm:spPr/>
      <dgm:t>
        <a:bodyPr/>
        <a:lstStyle/>
        <a:p>
          <a:endParaRPr lang="en-US"/>
        </a:p>
      </dgm:t>
    </dgm:pt>
    <dgm:pt modelId="{E27BBD94-A9D4-2349-AE07-BBCB72504DCA}" type="sibTrans" cxnId="{3CB0CCF6-D164-6648-84A6-15D29B2752B1}">
      <dgm:prSet/>
      <dgm:spPr/>
      <dgm:t>
        <a:bodyPr/>
        <a:lstStyle/>
        <a:p>
          <a:endParaRPr lang="en-US"/>
        </a:p>
      </dgm:t>
    </dgm:pt>
    <dgm:pt modelId="{93EC0242-FE71-AD44-A381-22427A48351F}" type="pres">
      <dgm:prSet presAssocID="{13A1EF05-9000-394A-8A0A-B084532CE5CA}" presName="Name0" presStyleCnt="0">
        <dgm:presLayoutVars>
          <dgm:dir/>
          <dgm:resizeHandles val="exact"/>
        </dgm:presLayoutVars>
      </dgm:prSet>
      <dgm:spPr/>
    </dgm:pt>
    <dgm:pt modelId="{D396DE84-9D3E-A946-AC95-17AE715166EA}" type="pres">
      <dgm:prSet presAssocID="{D5071686-CF45-BC4D-A21D-9178A58D6307}" presName="node" presStyleLbl="node1" presStyleIdx="0" presStyleCnt="3">
        <dgm:presLayoutVars>
          <dgm:bulletEnabled val="1"/>
        </dgm:presLayoutVars>
      </dgm:prSet>
      <dgm:spPr/>
      <dgm:t>
        <a:bodyPr/>
        <a:lstStyle/>
        <a:p>
          <a:endParaRPr lang="en-US"/>
        </a:p>
      </dgm:t>
    </dgm:pt>
    <dgm:pt modelId="{9B7E869F-0127-8F42-B03F-F7F7745AB152}" type="pres">
      <dgm:prSet presAssocID="{3F0D879C-DD93-A949-94FA-DA5645D9BCDF}" presName="sibTrans" presStyleLbl="sibTrans2D1" presStyleIdx="0" presStyleCnt="2"/>
      <dgm:spPr/>
      <dgm:t>
        <a:bodyPr/>
        <a:lstStyle/>
        <a:p>
          <a:endParaRPr lang="en-AU"/>
        </a:p>
      </dgm:t>
    </dgm:pt>
    <dgm:pt modelId="{B0EB7A04-C7BD-EC41-9439-497E01CDCD42}" type="pres">
      <dgm:prSet presAssocID="{3F0D879C-DD93-A949-94FA-DA5645D9BCDF}" presName="connectorText" presStyleLbl="sibTrans2D1" presStyleIdx="0" presStyleCnt="2"/>
      <dgm:spPr/>
      <dgm:t>
        <a:bodyPr/>
        <a:lstStyle/>
        <a:p>
          <a:endParaRPr lang="en-AU"/>
        </a:p>
      </dgm:t>
    </dgm:pt>
    <dgm:pt modelId="{FCB7C92B-5C5A-E047-A554-99FAA8498833}" type="pres">
      <dgm:prSet presAssocID="{19795EC7-D9D1-A741-ABB4-F9D9F22250A0}" presName="node" presStyleLbl="node1" presStyleIdx="1" presStyleCnt="3">
        <dgm:presLayoutVars>
          <dgm:bulletEnabled val="1"/>
        </dgm:presLayoutVars>
      </dgm:prSet>
      <dgm:spPr/>
      <dgm:t>
        <a:bodyPr/>
        <a:lstStyle/>
        <a:p>
          <a:endParaRPr lang="en-US"/>
        </a:p>
      </dgm:t>
    </dgm:pt>
    <dgm:pt modelId="{AA2574F8-87F9-2348-8643-0F28F0453F9F}" type="pres">
      <dgm:prSet presAssocID="{9E3B437A-DAE6-E742-9E18-840AE0FB8DB0}" presName="sibTrans" presStyleLbl="sibTrans2D1" presStyleIdx="1" presStyleCnt="2"/>
      <dgm:spPr/>
      <dgm:t>
        <a:bodyPr/>
        <a:lstStyle/>
        <a:p>
          <a:endParaRPr lang="en-AU"/>
        </a:p>
      </dgm:t>
    </dgm:pt>
    <dgm:pt modelId="{DD1B05AA-8C76-DE45-92C3-F41DD7007765}" type="pres">
      <dgm:prSet presAssocID="{9E3B437A-DAE6-E742-9E18-840AE0FB8DB0}" presName="connectorText" presStyleLbl="sibTrans2D1" presStyleIdx="1" presStyleCnt="2"/>
      <dgm:spPr/>
      <dgm:t>
        <a:bodyPr/>
        <a:lstStyle/>
        <a:p>
          <a:endParaRPr lang="en-AU"/>
        </a:p>
      </dgm:t>
    </dgm:pt>
    <dgm:pt modelId="{FC31C278-C968-0C44-9ADE-25337C7511AB}" type="pres">
      <dgm:prSet presAssocID="{1B0CFB3D-8E02-DE47-A4C1-D1DE7BEE7BB1}" presName="node" presStyleLbl="node1" presStyleIdx="2" presStyleCnt="3">
        <dgm:presLayoutVars>
          <dgm:bulletEnabled val="1"/>
        </dgm:presLayoutVars>
      </dgm:prSet>
      <dgm:spPr/>
      <dgm:t>
        <a:bodyPr/>
        <a:lstStyle/>
        <a:p>
          <a:endParaRPr lang="en-US"/>
        </a:p>
      </dgm:t>
    </dgm:pt>
  </dgm:ptLst>
  <dgm:cxnLst>
    <dgm:cxn modelId="{110755EB-2ABA-4796-904A-9D40F73C0489}" type="presOf" srcId="{3F0D879C-DD93-A949-94FA-DA5645D9BCDF}" destId="{9B7E869F-0127-8F42-B03F-F7F7745AB152}" srcOrd="0" destOrd="0" presId="urn:microsoft.com/office/officeart/2005/8/layout/process1"/>
    <dgm:cxn modelId="{9ACD3920-51CC-3544-9EED-A8FD9E8D52B7}" srcId="{13A1EF05-9000-394A-8A0A-B084532CE5CA}" destId="{D5071686-CF45-BC4D-A21D-9178A58D6307}" srcOrd="0" destOrd="0" parTransId="{FB282032-E969-A849-B54A-C34320BBA252}" sibTransId="{3F0D879C-DD93-A949-94FA-DA5645D9BCDF}"/>
    <dgm:cxn modelId="{28C6417C-83BC-433C-B2CA-C51B6AE86580}" type="presOf" srcId="{9E3B437A-DAE6-E742-9E18-840AE0FB8DB0}" destId="{AA2574F8-87F9-2348-8643-0F28F0453F9F}" srcOrd="0" destOrd="0" presId="urn:microsoft.com/office/officeart/2005/8/layout/process1"/>
    <dgm:cxn modelId="{3CB0CCF6-D164-6648-84A6-15D29B2752B1}" srcId="{13A1EF05-9000-394A-8A0A-B084532CE5CA}" destId="{1B0CFB3D-8E02-DE47-A4C1-D1DE7BEE7BB1}" srcOrd="2" destOrd="0" parTransId="{EE1D341C-EE14-3641-80A5-9EB57967F531}" sibTransId="{E27BBD94-A9D4-2349-AE07-BBCB72504DCA}"/>
    <dgm:cxn modelId="{A8C3AC79-30B5-EE47-924B-29CD62D5A0DF}" srcId="{13A1EF05-9000-394A-8A0A-B084532CE5CA}" destId="{19795EC7-D9D1-A741-ABB4-F9D9F22250A0}" srcOrd="1" destOrd="0" parTransId="{3B336A31-044E-7F41-B01E-DAA8C4A48CE1}" sibTransId="{9E3B437A-DAE6-E742-9E18-840AE0FB8DB0}"/>
    <dgm:cxn modelId="{D9778D85-BD34-4C8C-AFA8-04D20FB754CB}" type="presOf" srcId="{3F0D879C-DD93-A949-94FA-DA5645D9BCDF}" destId="{B0EB7A04-C7BD-EC41-9439-497E01CDCD42}" srcOrd="1" destOrd="0" presId="urn:microsoft.com/office/officeart/2005/8/layout/process1"/>
    <dgm:cxn modelId="{6A1CC0DB-7A6F-446E-A3AC-08E0449C2A31}" type="presOf" srcId="{1B0CFB3D-8E02-DE47-A4C1-D1DE7BEE7BB1}" destId="{FC31C278-C968-0C44-9ADE-25337C7511AB}" srcOrd="0" destOrd="0" presId="urn:microsoft.com/office/officeart/2005/8/layout/process1"/>
    <dgm:cxn modelId="{8238F79B-34CE-459E-9C50-934929802A24}" type="presOf" srcId="{13A1EF05-9000-394A-8A0A-B084532CE5CA}" destId="{93EC0242-FE71-AD44-A381-22427A48351F}" srcOrd="0" destOrd="0" presId="urn:microsoft.com/office/officeart/2005/8/layout/process1"/>
    <dgm:cxn modelId="{84289DD3-D207-45DE-B544-B07C3CC945E9}" type="presOf" srcId="{9E3B437A-DAE6-E742-9E18-840AE0FB8DB0}" destId="{DD1B05AA-8C76-DE45-92C3-F41DD7007765}" srcOrd="1" destOrd="0" presId="urn:microsoft.com/office/officeart/2005/8/layout/process1"/>
    <dgm:cxn modelId="{B3AB6ECC-53ED-44B4-AE95-5CBEA3F0B147}" type="presOf" srcId="{D5071686-CF45-BC4D-A21D-9178A58D6307}" destId="{D396DE84-9D3E-A946-AC95-17AE715166EA}" srcOrd="0" destOrd="0" presId="urn:microsoft.com/office/officeart/2005/8/layout/process1"/>
    <dgm:cxn modelId="{CC75EBC8-4AE9-4CA1-A98A-8D08233E3CF5}" type="presOf" srcId="{19795EC7-D9D1-A741-ABB4-F9D9F22250A0}" destId="{FCB7C92B-5C5A-E047-A554-99FAA8498833}" srcOrd="0" destOrd="0" presId="urn:microsoft.com/office/officeart/2005/8/layout/process1"/>
    <dgm:cxn modelId="{019DC23B-24B7-42CF-BFA9-05EE242423E4}" type="presParOf" srcId="{93EC0242-FE71-AD44-A381-22427A48351F}" destId="{D396DE84-9D3E-A946-AC95-17AE715166EA}" srcOrd="0" destOrd="0" presId="urn:microsoft.com/office/officeart/2005/8/layout/process1"/>
    <dgm:cxn modelId="{172D1911-76B1-42AD-A3F3-945AE2C90299}" type="presParOf" srcId="{93EC0242-FE71-AD44-A381-22427A48351F}" destId="{9B7E869F-0127-8F42-B03F-F7F7745AB152}" srcOrd="1" destOrd="0" presId="urn:microsoft.com/office/officeart/2005/8/layout/process1"/>
    <dgm:cxn modelId="{A791B17A-F2C1-40D5-B604-F69082F1008E}" type="presParOf" srcId="{9B7E869F-0127-8F42-B03F-F7F7745AB152}" destId="{B0EB7A04-C7BD-EC41-9439-497E01CDCD42}" srcOrd="0" destOrd="0" presId="urn:microsoft.com/office/officeart/2005/8/layout/process1"/>
    <dgm:cxn modelId="{371EF2B3-83AA-4CF6-BAFD-E7C8A134C16E}" type="presParOf" srcId="{93EC0242-FE71-AD44-A381-22427A48351F}" destId="{FCB7C92B-5C5A-E047-A554-99FAA8498833}" srcOrd="2" destOrd="0" presId="urn:microsoft.com/office/officeart/2005/8/layout/process1"/>
    <dgm:cxn modelId="{934E96AB-F6B3-4332-9193-D085F5F0BC9B}" type="presParOf" srcId="{93EC0242-FE71-AD44-A381-22427A48351F}" destId="{AA2574F8-87F9-2348-8643-0F28F0453F9F}" srcOrd="3" destOrd="0" presId="urn:microsoft.com/office/officeart/2005/8/layout/process1"/>
    <dgm:cxn modelId="{E01C768D-2263-4A4E-BD08-1E7FF54D4BA7}" type="presParOf" srcId="{AA2574F8-87F9-2348-8643-0F28F0453F9F}" destId="{DD1B05AA-8C76-DE45-92C3-F41DD7007765}" srcOrd="0" destOrd="0" presId="urn:microsoft.com/office/officeart/2005/8/layout/process1"/>
    <dgm:cxn modelId="{A3352200-515A-4737-8213-7F5337B7A586}" type="presParOf" srcId="{93EC0242-FE71-AD44-A381-22427A48351F}" destId="{FC31C278-C968-0C44-9ADE-25337C7511AB}"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96DE84-9D3E-A946-AC95-17AE715166EA}">
      <dsp:nvSpPr>
        <dsp:cNvPr id="0" name=""/>
        <dsp:cNvSpPr/>
      </dsp:nvSpPr>
      <dsp:spPr>
        <a:xfrm>
          <a:off x="4393" y="181061"/>
          <a:ext cx="1313140" cy="1009476"/>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International Supplier </a:t>
          </a:r>
          <a:r>
            <a:rPr lang="en-US" sz="1000" kern="1200"/>
            <a:t>(shipments from Europe, India, China or Singapore)</a:t>
          </a:r>
        </a:p>
      </dsp:txBody>
      <dsp:txXfrm>
        <a:off x="33960" y="210628"/>
        <a:ext cx="1254006" cy="950342"/>
      </dsp:txXfrm>
    </dsp:sp>
    <dsp:sp modelId="{9B7E869F-0127-8F42-B03F-F7F7745AB152}">
      <dsp:nvSpPr>
        <dsp:cNvPr id="0" name=""/>
        <dsp:cNvSpPr/>
      </dsp:nvSpPr>
      <dsp:spPr>
        <a:xfrm>
          <a:off x="1448847" y="522970"/>
          <a:ext cx="278385" cy="32565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1448847" y="588102"/>
        <a:ext cx="194870" cy="195394"/>
      </dsp:txXfrm>
    </dsp:sp>
    <dsp:sp modelId="{FCB7C92B-5C5A-E047-A554-99FAA8498833}">
      <dsp:nvSpPr>
        <dsp:cNvPr id="0" name=""/>
        <dsp:cNvSpPr/>
      </dsp:nvSpPr>
      <dsp:spPr>
        <a:xfrm>
          <a:off x="1842789" y="181061"/>
          <a:ext cx="1313140" cy="1009476"/>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PNG Port </a:t>
          </a:r>
        </a:p>
        <a:p>
          <a:pPr lvl="0" algn="ctr" defTabSz="622300">
            <a:lnSpc>
              <a:spcPct val="90000"/>
            </a:lnSpc>
            <a:spcBef>
              <a:spcPct val="0"/>
            </a:spcBef>
            <a:spcAft>
              <a:spcPct val="35000"/>
            </a:spcAft>
          </a:pPr>
          <a:r>
            <a:rPr lang="en-US" sz="1000" kern="1200"/>
            <a:t>(POM, Lae, Madang, Wewak or Rabaul)</a:t>
          </a:r>
        </a:p>
      </dsp:txBody>
      <dsp:txXfrm>
        <a:off x="1872356" y="210628"/>
        <a:ext cx="1254006" cy="950342"/>
      </dsp:txXfrm>
    </dsp:sp>
    <dsp:sp modelId="{AA2574F8-87F9-2348-8643-0F28F0453F9F}">
      <dsp:nvSpPr>
        <dsp:cNvPr id="0" name=""/>
        <dsp:cNvSpPr/>
      </dsp:nvSpPr>
      <dsp:spPr>
        <a:xfrm>
          <a:off x="3287244" y="522970"/>
          <a:ext cx="278385" cy="32565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3287244" y="588102"/>
        <a:ext cx="194870" cy="195394"/>
      </dsp:txXfrm>
    </dsp:sp>
    <dsp:sp modelId="{FC31C278-C968-0C44-9ADE-25337C7511AB}">
      <dsp:nvSpPr>
        <dsp:cNvPr id="0" name=""/>
        <dsp:cNvSpPr/>
      </dsp:nvSpPr>
      <dsp:spPr>
        <a:xfrm>
          <a:off x="3681186" y="181061"/>
          <a:ext cx="1313140" cy="1009476"/>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Health facility or aid post    </a:t>
          </a:r>
          <a:r>
            <a:rPr lang="en-US" sz="1000" kern="1200"/>
            <a:t>(via transport contractor facilities)</a:t>
          </a:r>
        </a:p>
      </dsp:txBody>
      <dsp:txXfrm>
        <a:off x="3710753" y="210628"/>
        <a:ext cx="1254006" cy="9503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0.05615</cdr:x>
      <cdr:y>0.825</cdr:y>
    </cdr:from>
    <cdr:to>
      <cdr:x>0.77481</cdr:x>
      <cdr:y>1</cdr:y>
    </cdr:to>
    <cdr:sp macro="" textlink="">
      <cdr:nvSpPr>
        <cdr:cNvPr id="2" name="TextBox 1"/>
        <cdr:cNvSpPr txBox="1"/>
      </cdr:nvSpPr>
      <cdr:spPr>
        <a:xfrm xmlns:a="http://schemas.openxmlformats.org/drawingml/2006/main">
          <a:off x="349250" y="3771900"/>
          <a:ext cx="4470400" cy="800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t>+ Stock-out</a:t>
          </a:r>
          <a:r>
            <a:rPr lang="en-US" sz="900" baseline="0"/>
            <a:t> rates (%) = (number of stock-outs reported for each medicine)/(total number of stock-out reports collected) x 100</a:t>
          </a:r>
          <a:endParaRPr lang="en-US" sz="900" b="0" i="0" u="none" strike="noStrike">
            <a:solidFill>
              <a:srgbClr val="000000"/>
            </a:solidFill>
            <a:effectLst/>
            <a:latin typeface="+mn-lt"/>
          </a:endParaRPr>
        </a:p>
        <a:p xmlns:a="http://schemas.openxmlformats.org/drawingml/2006/main">
          <a:r>
            <a:rPr lang="en-US" sz="900" b="0" i="0" u="none" strike="noStrike">
              <a:solidFill>
                <a:srgbClr val="000000"/>
              </a:solidFill>
              <a:effectLst/>
              <a:latin typeface="+mn-lt"/>
            </a:rPr>
            <a:t>* Indicates medicines that are only part of the 'pull' distribution system</a:t>
          </a:r>
          <a:r>
            <a:rPr lang="en-US" sz="900"/>
            <a:t>                                                                                                ^ Indicates medicines that are part of the 'pull' and 'push' distribution system</a:t>
          </a:r>
        </a:p>
        <a:p xmlns:a="http://schemas.openxmlformats.org/drawingml/2006/main">
          <a:r>
            <a:rPr lang="en-US" sz="900"/>
            <a:t>#</a:t>
          </a:r>
          <a:r>
            <a:rPr lang="en-US" sz="900" b="0" i="0" u="none" strike="noStrike">
              <a:solidFill>
                <a:srgbClr val="000000"/>
              </a:solidFill>
              <a:effectLst/>
              <a:latin typeface="+mn-lt"/>
            </a:rPr>
            <a:t> Indicates medicines that are only part of the vertical malaria distribution program</a:t>
          </a:r>
          <a:r>
            <a:rPr lang="en-US" sz="900"/>
            <a:t>                                                                                                       </a:t>
          </a:r>
        </a:p>
      </cdr:txBody>
    </cdr:sp>
  </cdr:relSizeAnchor>
  <cdr:relSizeAnchor xmlns:cdr="http://schemas.openxmlformats.org/drawingml/2006/chartDrawing">
    <cdr:from>
      <cdr:x>0.05169</cdr:x>
      <cdr:y>0.80265</cdr:y>
    </cdr:from>
    <cdr:to>
      <cdr:x>0.93071</cdr:x>
      <cdr:y>0.87127</cdr:y>
    </cdr:to>
    <cdr:sp macro="" textlink="">
      <cdr:nvSpPr>
        <cdr:cNvPr id="3" name="TextBox 2"/>
        <cdr:cNvSpPr txBox="1"/>
      </cdr:nvSpPr>
      <cdr:spPr>
        <a:xfrm xmlns:a="http://schemas.openxmlformats.org/drawingml/2006/main">
          <a:off x="331724" y="3842487"/>
          <a:ext cx="5641502" cy="3285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725D8A-0DB3-4BA0-90C7-4655BF9DF948}"/>
</file>

<file path=customXml/itemProps2.xml><?xml version="1.0" encoding="utf-8"?>
<ds:datastoreItem xmlns:ds="http://schemas.openxmlformats.org/officeDocument/2006/customXml" ds:itemID="{8D84543D-F761-4C18-9F57-9601A000A56C}"/>
</file>

<file path=customXml/itemProps3.xml><?xml version="1.0" encoding="utf-8"?>
<ds:datastoreItem xmlns:ds="http://schemas.openxmlformats.org/officeDocument/2006/customXml" ds:itemID="{5B9CC9FE-B3C9-4D2E-B34C-534D7F8B53A5}"/>
</file>

<file path=customXml/itemProps4.xml><?xml version="1.0" encoding="utf-8"?>
<ds:datastoreItem xmlns:ds="http://schemas.openxmlformats.org/officeDocument/2006/customXml" ds:itemID="{54A4907C-6BF8-474B-88A9-FD022934DF0A}"/>
</file>

<file path=docProps/app.xml><?xml version="1.0" encoding="utf-8"?>
<Properties xmlns="http://schemas.openxmlformats.org/officeDocument/2006/extended-properties" xmlns:vt="http://schemas.openxmlformats.org/officeDocument/2006/docPropsVTypes">
  <Template>Normal.dotm</Template>
  <TotalTime>0</TotalTime>
  <Pages>80</Pages>
  <Words>42552</Words>
  <Characters>242550</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2014-03-02T23:37:00Z</dcterms:created>
  <dcterms:modified xsi:type="dcterms:W3CDTF">2014-03-02T23:37:00Z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