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BC593" w14:textId="77777777" w:rsidR="00230777" w:rsidRPr="00867443" w:rsidRDefault="00230777" w:rsidP="00230777">
      <w:pPr>
        <w:pStyle w:val="Title"/>
        <w:rPr>
          <w:sz w:val="16"/>
          <w:szCs w:val="16"/>
        </w:rPr>
      </w:pPr>
    </w:p>
    <w:p w14:paraId="579798C1" w14:textId="77777777" w:rsidR="00494F98" w:rsidRDefault="00494F98" w:rsidP="00EB398C">
      <w:pPr>
        <w:pStyle w:val="Title"/>
        <w:rPr>
          <w:sz w:val="36"/>
          <w:szCs w:val="36"/>
        </w:rPr>
      </w:pPr>
    </w:p>
    <w:p w14:paraId="6DCC03CB" w14:textId="044AA910" w:rsidR="00EB398C" w:rsidRDefault="00494F98" w:rsidP="00EB398C">
      <w:pPr>
        <w:pStyle w:val="Title"/>
        <w:rPr>
          <w:sz w:val="36"/>
          <w:szCs w:val="36"/>
        </w:rPr>
      </w:pPr>
      <w:r>
        <w:rPr>
          <w:sz w:val="36"/>
          <w:szCs w:val="36"/>
        </w:rPr>
        <w:t xml:space="preserve">2019-20 </w:t>
      </w:r>
      <w:r w:rsidR="00D72412">
        <w:rPr>
          <w:sz w:val="36"/>
          <w:szCs w:val="36"/>
        </w:rPr>
        <w:t>papua new guinea</w:t>
      </w:r>
      <w:r w:rsidR="00235EAB">
        <w:rPr>
          <w:sz w:val="36"/>
          <w:szCs w:val="36"/>
        </w:rPr>
        <w:t xml:space="preserve"> </w:t>
      </w:r>
      <w:r w:rsidR="004C5598">
        <w:rPr>
          <w:sz w:val="36"/>
          <w:szCs w:val="36"/>
        </w:rPr>
        <w:t>development program progress report</w:t>
      </w:r>
      <w:r w:rsidR="00660121">
        <w:rPr>
          <w:sz w:val="36"/>
          <w:szCs w:val="36"/>
        </w:rPr>
        <w:t xml:space="preserve">  </w:t>
      </w:r>
    </w:p>
    <w:p w14:paraId="46BA813A" w14:textId="15EC110B" w:rsidR="00452298" w:rsidRDefault="00230777" w:rsidP="00EB398C">
      <w:pPr>
        <w:pStyle w:val="Title"/>
        <w:rPr>
          <w:noProof/>
          <w:sz w:val="36"/>
          <w:szCs w:val="36"/>
          <w:lang w:val="en-AU" w:eastAsia="en-AU"/>
        </w:rPr>
        <w:sectPr w:rsidR="00452298" w:rsidSect="00B0340C">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418" w:type="dxa"/>
        <w:tblInd w:w="3"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512.3&#10;Regional – 49.7&#10;Global – 12.8&#10;Other Government Departments – 32.7&#10;Total Australian ODA – 607.5&#10;Note. Actual expenditure is expected to be available in December 2020&#10;"/>
      </w:tblPr>
      <w:tblGrid>
        <w:gridCol w:w="3853"/>
        <w:gridCol w:w="1565"/>
      </w:tblGrid>
      <w:tr w:rsidR="00D0665C" w14:paraId="60F133D5" w14:textId="77777777" w:rsidTr="00F857E7">
        <w:trPr>
          <w:trHeight w:hRule="exact" w:val="851"/>
        </w:trPr>
        <w:tc>
          <w:tcPr>
            <w:tcW w:w="3853" w:type="dxa"/>
            <w:shd w:val="clear" w:color="auto" w:fill="C1E7E0" w:themeFill="accent1" w:themeFillTint="66"/>
            <w:vAlign w:val="center"/>
          </w:tcPr>
          <w:p w14:paraId="40F8374E" w14:textId="77777777" w:rsidR="00D0665C" w:rsidRPr="003C134D" w:rsidRDefault="00D0665C"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3C134D">
              <w:rPr>
                <w:rFonts w:asciiTheme="minorHAnsi" w:hAnsiTheme="minorHAnsi"/>
                <w:b/>
                <w:sz w:val="22"/>
              </w:rPr>
              <w:t>Program Budget</w:t>
            </w:r>
          </w:p>
        </w:tc>
        <w:tc>
          <w:tcPr>
            <w:tcW w:w="1565" w:type="dxa"/>
            <w:shd w:val="clear" w:color="auto" w:fill="C1E7E0" w:themeFill="accent1" w:themeFillTint="66"/>
            <w:vAlign w:val="center"/>
          </w:tcPr>
          <w:p w14:paraId="0D6E70FC" w14:textId="77777777" w:rsidR="00D0665C" w:rsidRPr="00BB2BE4" w:rsidRDefault="00D0665C" w:rsidP="00F857E7">
            <w:pPr>
              <w:pStyle w:val="NormalWeb"/>
              <w:spacing w:before="120" w:beforeAutospacing="0" w:after="60" w:afterAutospacing="0" w:line="200" w:lineRule="exact"/>
              <w:jc w:val="center"/>
              <w:rPr>
                <w:rFonts w:asciiTheme="minorHAnsi" w:hAnsiTheme="minorHAnsi" w:cs="Calibri"/>
                <w:b/>
                <w:bCs/>
                <w:kern w:val="24"/>
                <w:sz w:val="20"/>
                <w:szCs w:val="20"/>
              </w:rPr>
            </w:pPr>
            <w:r w:rsidRPr="00BB2BE4">
              <w:rPr>
                <w:rFonts w:asciiTheme="minorHAnsi" w:hAnsiTheme="minorHAnsi" w:cs="Calibri"/>
                <w:b/>
                <w:bCs/>
                <w:kern w:val="24"/>
                <w:sz w:val="20"/>
                <w:szCs w:val="20"/>
              </w:rPr>
              <w:t>2019-20 Budget Estimate ($m)</w:t>
            </w:r>
            <w:r w:rsidRPr="00D0665C">
              <w:rPr>
                <w:rFonts w:asciiTheme="minorHAnsi" w:hAnsiTheme="minorHAnsi" w:cs="Calibri"/>
                <w:b/>
                <w:bCs/>
                <w:kern w:val="24"/>
                <w:sz w:val="20"/>
                <w:szCs w:val="20"/>
                <w:vertAlign w:val="superscript"/>
              </w:rPr>
              <w:t>*</w:t>
            </w:r>
          </w:p>
        </w:tc>
      </w:tr>
      <w:tr w:rsidR="00D0665C" w14:paraId="474B4164" w14:textId="77777777" w:rsidTr="00F857E7">
        <w:trPr>
          <w:trHeight w:hRule="exact" w:val="454"/>
        </w:trPr>
        <w:tc>
          <w:tcPr>
            <w:tcW w:w="3853" w:type="dxa"/>
            <w:shd w:val="clear" w:color="auto" w:fill="auto"/>
            <w:vAlign w:val="bottom"/>
          </w:tcPr>
          <w:p w14:paraId="205E6CBD" w14:textId="77777777" w:rsidR="00D0665C" w:rsidRDefault="00D0665C"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65" w:type="dxa"/>
            <w:vAlign w:val="bottom"/>
          </w:tcPr>
          <w:p w14:paraId="617E59E3" w14:textId="77777777" w:rsidR="00D0665C" w:rsidRDefault="00D0665C"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512.3</w:t>
            </w:r>
          </w:p>
        </w:tc>
      </w:tr>
      <w:tr w:rsidR="00D0665C" w14:paraId="580F123E" w14:textId="77777777" w:rsidTr="00F857E7">
        <w:trPr>
          <w:trHeight w:hRule="exact" w:val="454"/>
        </w:trPr>
        <w:tc>
          <w:tcPr>
            <w:tcW w:w="3853" w:type="dxa"/>
            <w:shd w:val="clear" w:color="auto" w:fill="auto"/>
            <w:vAlign w:val="bottom"/>
          </w:tcPr>
          <w:p w14:paraId="2D1870B2" w14:textId="77777777" w:rsidR="00D0665C" w:rsidRDefault="00D0665C"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65" w:type="dxa"/>
            <w:vAlign w:val="bottom"/>
          </w:tcPr>
          <w:p w14:paraId="1DA82E90" w14:textId="77777777" w:rsidR="00D0665C" w:rsidRDefault="00D0665C"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49.7</w:t>
            </w:r>
          </w:p>
        </w:tc>
      </w:tr>
      <w:tr w:rsidR="00D0665C" w14:paraId="6E9D87E6" w14:textId="77777777" w:rsidTr="00F857E7">
        <w:trPr>
          <w:trHeight w:hRule="exact" w:val="454"/>
        </w:trPr>
        <w:tc>
          <w:tcPr>
            <w:tcW w:w="3853" w:type="dxa"/>
            <w:shd w:val="clear" w:color="auto" w:fill="auto"/>
            <w:vAlign w:val="bottom"/>
          </w:tcPr>
          <w:p w14:paraId="553BBCBF" w14:textId="77777777" w:rsidR="00D0665C" w:rsidRDefault="00D0665C"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65" w:type="dxa"/>
            <w:vAlign w:val="bottom"/>
          </w:tcPr>
          <w:p w14:paraId="6FC4DEA0" w14:textId="77777777" w:rsidR="00D0665C" w:rsidRDefault="00D0665C"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12.8</w:t>
            </w:r>
          </w:p>
        </w:tc>
      </w:tr>
      <w:tr w:rsidR="00D0665C" w14:paraId="74DA24E6" w14:textId="77777777" w:rsidTr="00F857E7">
        <w:trPr>
          <w:trHeight w:hRule="exact" w:val="454"/>
        </w:trPr>
        <w:tc>
          <w:tcPr>
            <w:tcW w:w="3853" w:type="dxa"/>
            <w:shd w:val="clear" w:color="auto" w:fill="auto"/>
            <w:vAlign w:val="bottom"/>
          </w:tcPr>
          <w:p w14:paraId="2C73726D" w14:textId="77777777" w:rsidR="00D0665C" w:rsidRDefault="00D0665C"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65" w:type="dxa"/>
            <w:vAlign w:val="bottom"/>
          </w:tcPr>
          <w:p w14:paraId="63F97A6A" w14:textId="77777777" w:rsidR="00D0665C" w:rsidRDefault="00D0665C"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32.7</w:t>
            </w:r>
          </w:p>
        </w:tc>
      </w:tr>
      <w:tr w:rsidR="00D0665C" w14:paraId="59BD3851" w14:textId="77777777" w:rsidTr="00F857E7">
        <w:trPr>
          <w:trHeight w:hRule="exact" w:val="454"/>
        </w:trPr>
        <w:tc>
          <w:tcPr>
            <w:tcW w:w="3853" w:type="dxa"/>
            <w:tcBorders>
              <w:bottom w:val="single" w:sz="2" w:space="0" w:color="65C5B4" w:themeColor="accent1"/>
            </w:tcBorders>
            <w:shd w:val="clear" w:color="auto" w:fill="auto"/>
            <w:vAlign w:val="bottom"/>
          </w:tcPr>
          <w:p w14:paraId="6FC67713" w14:textId="77777777" w:rsidR="00D0665C" w:rsidRDefault="00D0665C"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Papua New Guinea</w:t>
            </w:r>
          </w:p>
        </w:tc>
        <w:tc>
          <w:tcPr>
            <w:tcW w:w="1565" w:type="dxa"/>
            <w:tcBorders>
              <w:bottom w:val="single" w:sz="2" w:space="0" w:color="65C5B4" w:themeColor="accent1"/>
            </w:tcBorders>
            <w:vAlign w:val="bottom"/>
          </w:tcPr>
          <w:p w14:paraId="2BD306EB" w14:textId="77777777" w:rsidR="00D0665C" w:rsidRPr="00BB2BE4" w:rsidRDefault="00D0665C" w:rsidP="00F857E7">
            <w:pPr>
              <w:pStyle w:val="NormalWeb"/>
              <w:spacing w:before="20" w:beforeAutospacing="0" w:after="20" w:afterAutospacing="0"/>
              <w:ind w:right="172"/>
              <w:jc w:val="right"/>
              <w:rPr>
                <w:rFonts w:ascii="Calibri" w:hAnsi="Calibri" w:cs="Calibri"/>
                <w:b/>
                <w:bCs/>
                <w:color w:val="000000" w:themeColor="dark1"/>
                <w:kern w:val="24"/>
                <w:sz w:val="20"/>
                <w:szCs w:val="20"/>
              </w:rPr>
            </w:pPr>
            <w:r w:rsidRPr="00BB2BE4">
              <w:rPr>
                <w:rFonts w:ascii="Calibri" w:hAnsi="Calibri" w:cs="Calibri"/>
                <w:b/>
                <w:bCs/>
                <w:color w:val="000000" w:themeColor="dark1"/>
                <w:kern w:val="24"/>
                <w:sz w:val="20"/>
                <w:szCs w:val="20"/>
              </w:rPr>
              <w:t>607.5</w:t>
            </w:r>
          </w:p>
        </w:tc>
      </w:tr>
    </w:tbl>
    <w:p w14:paraId="7DA97630" w14:textId="411E39F5" w:rsidR="00D0665C" w:rsidRPr="00AC26EF" w:rsidRDefault="00D0665C" w:rsidP="00D0665C">
      <w:pPr>
        <w:spacing w:before="0" w:line="240" w:lineRule="auto"/>
        <w:rPr>
          <w:rFonts w:cstheme="minorHAnsi"/>
        </w:rPr>
      </w:pPr>
      <w:r w:rsidRPr="00AC26EF">
        <w:rPr>
          <w:rFonts w:cstheme="minorHAnsi"/>
          <w:bCs/>
          <w:color w:val="000000" w:themeColor="dark1"/>
          <w:kern w:val="24"/>
          <w:sz w:val="16"/>
          <w:szCs w:val="20"/>
        </w:rPr>
        <w:t>*Actual expenditure is expected to be available in December 2020</w:t>
      </w:r>
    </w:p>
    <w:p w14:paraId="0D9681C2" w14:textId="59D0DBCE" w:rsidR="00E760D3" w:rsidRDefault="00D0665C" w:rsidP="00494F98">
      <w:pPr>
        <w:spacing w:before="0" w:after="0"/>
      </w:pPr>
      <w:r>
        <w:rPr>
          <w:noProof/>
          <w:lang w:val="en-AU" w:eastAsia="en-AU"/>
        </w:rPr>
        <w:drawing>
          <wp:inline distT="0" distB="0" distL="0" distR="0" wp14:anchorId="3C8D4B1F" wp14:editId="6D4DBD10">
            <wp:extent cx="3270250" cy="1835044"/>
            <wp:effectExtent l="0" t="0" r="6350" b="0"/>
            <wp:docPr id="1" name="Picture 1" descr="Infrastructure and trade – 28%&#10;Agriculture, fisheries and water – 2%&#10;Governance – 30%&#10;Education – 13%&#10;Health – 21%&#10;Building resilience – 4%&#10;General development support – 2%&#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4897" cy="1848874"/>
                    </a:xfrm>
                    <a:prstGeom prst="rect">
                      <a:avLst/>
                    </a:prstGeom>
                    <a:noFill/>
                  </pic:spPr>
                </pic:pic>
              </a:graphicData>
            </a:graphic>
          </wp:inline>
        </w:drawing>
      </w:r>
    </w:p>
    <w:p w14:paraId="447710BE" w14:textId="77777777" w:rsidR="00D0665C" w:rsidRDefault="00D0665C" w:rsidP="00494F98">
      <w:pPr>
        <w:spacing w:before="0" w:after="0"/>
      </w:pPr>
    </w:p>
    <w:p w14:paraId="61FC9564" w14:textId="77777777" w:rsidR="00E760D3" w:rsidRPr="00452298" w:rsidRDefault="00E760D3" w:rsidP="00494F98">
      <w:pPr>
        <w:spacing w:before="0" w:after="0"/>
        <w:sectPr w:rsidR="00E760D3" w:rsidRPr="00452298" w:rsidSect="00D0665C">
          <w:type w:val="continuous"/>
          <w:pgSz w:w="11906" w:h="16838" w:code="9"/>
          <w:pgMar w:top="1701" w:right="140" w:bottom="1418" w:left="709" w:header="142" w:footer="493" w:gutter="0"/>
          <w:cols w:num="2" w:space="397"/>
          <w:titlePg/>
          <w:docGrid w:linePitch="360"/>
        </w:sectPr>
      </w:pPr>
    </w:p>
    <w:p w14:paraId="31FC0ABA" w14:textId="77777777" w:rsidR="003500CF" w:rsidRPr="00C30105" w:rsidRDefault="00651213" w:rsidP="00C32299">
      <w:pPr>
        <w:rPr>
          <w:b/>
        </w:rPr>
      </w:pPr>
      <w:r w:rsidRPr="00C30105">
        <w:rPr>
          <w:b/>
          <w:sz w:val="24"/>
        </w:rPr>
        <w:t>COVID-19 Development Response</w:t>
      </w:r>
      <w:r w:rsidR="003500CF" w:rsidRPr="00C30105">
        <w:rPr>
          <w:b/>
        </w:rPr>
        <w:tab/>
      </w:r>
    </w:p>
    <w:p w14:paraId="403C92E0" w14:textId="0739BA7E" w:rsidR="00E27460" w:rsidRDefault="00E27460" w:rsidP="00696D99">
      <w:pPr>
        <w:pStyle w:val="ListParagraph"/>
        <w:numPr>
          <w:ilvl w:val="0"/>
          <w:numId w:val="39"/>
        </w:numPr>
      </w:pPr>
      <w:r>
        <w:t xml:space="preserve">In 2019-20, </w:t>
      </w:r>
      <w:r w:rsidR="00696D99" w:rsidRPr="00696D99">
        <w:t>our bilateral development program funding was reprioritised across all sectors to support PNG’s response to COVID-19. This support included</w:t>
      </w:r>
      <w:r>
        <w:t xml:space="preserve">: </w:t>
      </w:r>
    </w:p>
    <w:p w14:paraId="6EDB73B7" w14:textId="77777777" w:rsidR="00E27460" w:rsidRDefault="00E27460" w:rsidP="00C7181A">
      <w:pPr>
        <w:pStyle w:val="ListParagraph"/>
        <w:numPr>
          <w:ilvl w:val="0"/>
          <w:numId w:val="50"/>
        </w:numPr>
      </w:pPr>
      <w:r>
        <w:t>direct funding to provinces for COVID-19 preparation and response</w:t>
      </w:r>
    </w:p>
    <w:p w14:paraId="73F3133C" w14:textId="77777777" w:rsidR="00E27460" w:rsidRDefault="00E27460" w:rsidP="00C7181A">
      <w:pPr>
        <w:pStyle w:val="ListParagraph"/>
        <w:numPr>
          <w:ilvl w:val="0"/>
          <w:numId w:val="50"/>
        </w:numPr>
      </w:pPr>
      <w:r>
        <w:t xml:space="preserve">procurement of over two million pieces of personal protective equipment to protect PNG’s frontline workers </w:t>
      </w:r>
    </w:p>
    <w:p w14:paraId="4F35EA65" w14:textId="22211C01" w:rsidR="00E27460" w:rsidRDefault="00C943AF" w:rsidP="00C7181A">
      <w:pPr>
        <w:pStyle w:val="ListParagraph"/>
        <w:numPr>
          <w:ilvl w:val="0"/>
          <w:numId w:val="50"/>
        </w:numPr>
      </w:pPr>
      <w:r>
        <w:t xml:space="preserve">working with </w:t>
      </w:r>
      <w:r w:rsidR="00E27460">
        <w:t>PNG to strengthen its testing and surveillance capacity, through the provision of 20,000 sample collection kits, 15,000 rapid serology tests, four new Polymerase Chain Reaction testing machines, co-funding for 15,000 GeneXpert cartridges, and over 3,500 samples tested in Australia.</w:t>
      </w:r>
    </w:p>
    <w:p w14:paraId="0E565711" w14:textId="7E5DD9CB" w:rsidR="00E27460" w:rsidRDefault="003B77F8" w:rsidP="00F86A4F">
      <w:pPr>
        <w:pStyle w:val="ListParagraph"/>
        <w:numPr>
          <w:ilvl w:val="0"/>
          <w:numId w:val="39"/>
        </w:numPr>
        <w:ind w:left="284" w:hanging="284"/>
        <w:rPr>
          <w:lang w:val="en-AU"/>
        </w:rPr>
      </w:pPr>
      <w:r w:rsidRPr="00E760D3">
        <w:rPr>
          <w:lang w:val="en-AU"/>
        </w:rPr>
        <w:t xml:space="preserve">To improve </w:t>
      </w:r>
      <w:r w:rsidR="00CD41E5" w:rsidRPr="00E760D3">
        <w:rPr>
          <w:lang w:val="en-AU"/>
        </w:rPr>
        <w:t xml:space="preserve">COVID-19 </w:t>
      </w:r>
      <w:r w:rsidRPr="00E760D3">
        <w:rPr>
          <w:lang w:val="en-AU"/>
        </w:rPr>
        <w:t xml:space="preserve">public health messaging, we have provided significant support for information campaigns through multiple platforms </w:t>
      </w:r>
    </w:p>
    <w:p w14:paraId="6D5B5504" w14:textId="22F2F3DB" w:rsidR="004F661C" w:rsidRDefault="004537BB" w:rsidP="004F661C">
      <w:pPr>
        <w:pStyle w:val="ListParagraph"/>
        <w:numPr>
          <w:ilvl w:val="0"/>
          <w:numId w:val="50"/>
        </w:numPr>
        <w:rPr>
          <w:lang w:val="en-AU"/>
        </w:rPr>
      </w:pPr>
      <w:r>
        <w:t>f</w:t>
      </w:r>
      <w:r w:rsidR="003B77F8" w:rsidRPr="002C46D7">
        <w:t xml:space="preserve">or example, </w:t>
      </w:r>
      <w:r w:rsidR="002C46D7" w:rsidRPr="002C46D7">
        <w:t xml:space="preserve">our Church Partnership Program is supporting PNG’s churches to promote COVID-19 safe behaviours across the country, including through TV and radio programs, such as </w:t>
      </w:r>
      <w:r w:rsidR="002C46D7" w:rsidRPr="00C207BE">
        <w:rPr>
          <w:i/>
        </w:rPr>
        <w:t xml:space="preserve">PNG’s </w:t>
      </w:r>
      <w:r w:rsidR="002C46D7" w:rsidRPr="002C46D7">
        <w:rPr>
          <w:i/>
        </w:rPr>
        <w:t>Hour of Hope</w:t>
      </w:r>
      <w:r w:rsidR="003B77F8" w:rsidRPr="002C46D7">
        <w:t>.</w:t>
      </w:r>
      <w:r w:rsidR="00E27460" w:rsidRPr="002C46D7">
        <w:rPr>
          <w:lang w:val="en-AU"/>
        </w:rPr>
        <w:br/>
      </w:r>
      <w:r w:rsidR="00E27460" w:rsidRPr="002C46D7">
        <w:rPr>
          <w:lang w:val="en-AU"/>
        </w:rPr>
        <w:br/>
      </w:r>
    </w:p>
    <w:p w14:paraId="0C68A037" w14:textId="66780223" w:rsidR="004F661C" w:rsidRDefault="004F661C" w:rsidP="004F661C">
      <w:pPr>
        <w:pStyle w:val="ListParagraph"/>
        <w:rPr>
          <w:lang w:val="en-AU"/>
        </w:rPr>
      </w:pPr>
    </w:p>
    <w:p w14:paraId="24F6E314" w14:textId="77777777" w:rsidR="004F661C" w:rsidRPr="004F661C" w:rsidRDefault="004F661C" w:rsidP="004F661C">
      <w:pPr>
        <w:pStyle w:val="ListParagraph"/>
        <w:rPr>
          <w:lang w:val="en-AU"/>
        </w:rPr>
      </w:pPr>
    </w:p>
    <w:p w14:paraId="3FEB87F6" w14:textId="4EE61FB5" w:rsidR="00E27460" w:rsidRDefault="00E27460" w:rsidP="004F661C">
      <w:pPr>
        <w:pStyle w:val="ListParagraph"/>
        <w:numPr>
          <w:ilvl w:val="0"/>
          <w:numId w:val="39"/>
        </w:numPr>
        <w:ind w:left="284" w:hanging="284"/>
        <w:rPr>
          <w:lang w:val="en-AU"/>
        </w:rPr>
      </w:pPr>
      <w:r w:rsidRPr="00CB37B6">
        <w:t>We have launched a new internet-based program to provide health care workers with access to vital COVID-19 training and mentoring from Australian clinicians</w:t>
      </w:r>
      <w:r w:rsidRPr="00514C07">
        <w:t>.</w:t>
      </w:r>
    </w:p>
    <w:p w14:paraId="345D05DD" w14:textId="77777777" w:rsidR="00E760D3" w:rsidRPr="00E760D3" w:rsidRDefault="00514C07" w:rsidP="00F86A4F">
      <w:pPr>
        <w:pStyle w:val="ListParagraph"/>
        <w:numPr>
          <w:ilvl w:val="0"/>
          <w:numId w:val="39"/>
        </w:numPr>
        <w:ind w:left="284" w:hanging="284"/>
        <w:rPr>
          <w:lang w:val="en-AU"/>
        </w:rPr>
      </w:pPr>
      <w:r w:rsidRPr="00E760D3">
        <w:rPr>
          <w:lang w:val="en-AU"/>
        </w:rPr>
        <w:t xml:space="preserve">Through Australian support, </w:t>
      </w:r>
      <w:r w:rsidRPr="00E760D3">
        <w:rPr>
          <w:i/>
          <w:lang w:val="en-AU"/>
        </w:rPr>
        <w:t>Pacific Women</w:t>
      </w:r>
      <w:r w:rsidRPr="00E760D3">
        <w:rPr>
          <w:lang w:val="en-AU"/>
        </w:rPr>
        <w:t xml:space="preserve"> partners are supporting vital domestic violence crisis and counselling support services to continue in PNG during COVID-19.</w:t>
      </w:r>
    </w:p>
    <w:p w14:paraId="6FB6C7C6" w14:textId="77777777" w:rsidR="00E760D3" w:rsidRPr="00E760D3" w:rsidRDefault="003B77F8" w:rsidP="00F86A4F">
      <w:pPr>
        <w:pStyle w:val="ListParagraph"/>
        <w:numPr>
          <w:ilvl w:val="0"/>
          <w:numId w:val="39"/>
        </w:numPr>
        <w:ind w:left="284" w:hanging="284"/>
        <w:rPr>
          <w:lang w:val="en-AU"/>
        </w:rPr>
      </w:pPr>
      <w:r w:rsidRPr="00E760D3">
        <w:rPr>
          <w:lang w:val="en-AU"/>
        </w:rPr>
        <w:t>The Australian Defence Force is supporting PNG’s COVID-19 response with logistics, including flights for workers</w:t>
      </w:r>
      <w:r w:rsidR="00B0340C" w:rsidRPr="00E760D3">
        <w:rPr>
          <w:lang w:val="en-AU"/>
        </w:rPr>
        <w:t>, testing</w:t>
      </w:r>
      <w:r w:rsidRPr="00E760D3">
        <w:rPr>
          <w:lang w:val="en-AU"/>
        </w:rPr>
        <w:t xml:space="preserve"> and supplies, border security, and</w:t>
      </w:r>
      <w:r w:rsidR="00CD315C">
        <w:rPr>
          <w:lang w:val="en-AU"/>
        </w:rPr>
        <w:t xml:space="preserve"> the  </w:t>
      </w:r>
      <w:r w:rsidRPr="00E760D3">
        <w:rPr>
          <w:lang w:val="en-AU"/>
        </w:rPr>
        <w:t xml:space="preserve"> refurbishment of PNG Defence Force buildings for quarantine use.</w:t>
      </w:r>
    </w:p>
    <w:p w14:paraId="521AE4A0" w14:textId="14CCBA83" w:rsidR="00241DA0" w:rsidRPr="00E760D3" w:rsidRDefault="00CD315C" w:rsidP="00F86A4F">
      <w:pPr>
        <w:pStyle w:val="ListParagraph"/>
        <w:numPr>
          <w:ilvl w:val="0"/>
          <w:numId w:val="39"/>
        </w:numPr>
        <w:ind w:left="284" w:hanging="284"/>
        <w:rPr>
          <w:lang w:val="en-AU"/>
        </w:rPr>
      </w:pPr>
      <w:r w:rsidRPr="00B20133">
        <w:rPr>
          <w:lang w:val="en-AU"/>
        </w:rPr>
        <w:t>We are realigning the PNG-Australia Policing Partnership</w:t>
      </w:r>
      <w:r w:rsidRPr="00241DA0">
        <w:t xml:space="preserve"> </w:t>
      </w:r>
      <w:r w:rsidRPr="00B20133">
        <w:rPr>
          <w:lang w:val="en-AU"/>
        </w:rPr>
        <w:t>and broader law and justice programs to support Royal Papua New Guinea Constabulary (RPNGC)’s COVID-19 preparedness and response</w:t>
      </w:r>
      <w:r>
        <w:rPr>
          <w:lang w:val="en-AU"/>
        </w:rPr>
        <w:t>, including the</w:t>
      </w:r>
      <w:r w:rsidRPr="00B20133">
        <w:rPr>
          <w:lang w:val="en-AU"/>
        </w:rPr>
        <w:t xml:space="preserve"> implementation and enforcement of measures to prevent further community transmission. We are assisting RPNGC </w:t>
      </w:r>
      <w:r w:rsidR="00394108" w:rsidRPr="00394108">
        <w:rPr>
          <w:lang w:val="en-AU"/>
        </w:rPr>
        <w:t>and other law and justice agencies</w:t>
      </w:r>
      <w:r w:rsidR="00394108">
        <w:t xml:space="preserve"> </w:t>
      </w:r>
      <w:r w:rsidRPr="00B20133">
        <w:rPr>
          <w:lang w:val="en-AU"/>
        </w:rPr>
        <w:t>to continue to respond to Family and Sexual Violence cases</w:t>
      </w:r>
      <w:r w:rsidR="00241DA0" w:rsidRPr="00E760D3">
        <w:rPr>
          <w:lang w:val="en-AU"/>
        </w:rPr>
        <w:t>.</w:t>
      </w:r>
    </w:p>
    <w:p w14:paraId="331A6385" w14:textId="77777777" w:rsidR="00D0665C" w:rsidRDefault="00D0665C">
      <w:pPr>
        <w:suppressAutoHyphens w:val="0"/>
        <w:spacing w:before="0" w:after="120" w:line="440" w:lineRule="atLeast"/>
        <w:rPr>
          <w:b/>
          <w:sz w:val="24"/>
        </w:rPr>
      </w:pPr>
      <w:r>
        <w:rPr>
          <w:b/>
          <w:sz w:val="24"/>
        </w:rPr>
        <w:br w:type="page"/>
      </w:r>
    </w:p>
    <w:p w14:paraId="5BE28593" w14:textId="5060F817" w:rsidR="003500CF" w:rsidRPr="00F425CB" w:rsidRDefault="00651213" w:rsidP="00F86A4F">
      <w:pPr>
        <w:suppressAutoHyphens w:val="0"/>
        <w:spacing w:before="0" w:after="120" w:line="440" w:lineRule="atLeast"/>
        <w:rPr>
          <w:b/>
          <w:sz w:val="24"/>
        </w:rPr>
      </w:pPr>
      <w:r w:rsidRPr="00F425CB">
        <w:rPr>
          <w:b/>
          <w:sz w:val="24"/>
        </w:rPr>
        <w:lastRenderedPageBreak/>
        <w:t>Other program highlights</w:t>
      </w:r>
    </w:p>
    <w:p w14:paraId="41DCB30E" w14:textId="6C05DB17" w:rsidR="00EC63DD" w:rsidRPr="00C943AF" w:rsidRDefault="00EC63DD" w:rsidP="00F86A4F">
      <w:pPr>
        <w:pStyle w:val="ListParagraph"/>
        <w:numPr>
          <w:ilvl w:val="0"/>
          <w:numId w:val="39"/>
        </w:numPr>
        <w:ind w:left="284" w:hanging="284"/>
      </w:pPr>
      <w:r w:rsidRPr="00C943AF">
        <w:t xml:space="preserve">Australia and PNG successfully negotiated the Comprehensive Strategic and Economic Partnership (CSEP), signed </w:t>
      </w:r>
      <w:r w:rsidR="00ED50C8" w:rsidRPr="00C943AF">
        <w:t xml:space="preserve">by Prime Ministers </w:t>
      </w:r>
      <w:r w:rsidRPr="00C943AF">
        <w:t>on 5</w:t>
      </w:r>
      <w:r w:rsidR="001B5841" w:rsidRPr="00C943AF">
        <w:t xml:space="preserve"> </w:t>
      </w:r>
      <w:r w:rsidRPr="00C943AF">
        <w:t>August 2020. The CSEP provide</w:t>
      </w:r>
      <w:r w:rsidR="00E760D3" w:rsidRPr="00C943AF">
        <w:t>s</w:t>
      </w:r>
      <w:r w:rsidRPr="00C943AF">
        <w:t xml:space="preserve"> a framework to </w:t>
      </w:r>
      <w:r w:rsidR="00E760D3" w:rsidRPr="00C943AF">
        <w:t xml:space="preserve">deepen </w:t>
      </w:r>
      <w:r w:rsidR="001B5841" w:rsidRPr="00C943AF">
        <w:t>the PNG-Australia Partnership</w:t>
      </w:r>
      <w:r w:rsidRPr="00C943AF">
        <w:t xml:space="preserve"> </w:t>
      </w:r>
      <w:r w:rsidR="00E760D3" w:rsidRPr="00C943AF">
        <w:t xml:space="preserve">in </w:t>
      </w:r>
      <w:r w:rsidRPr="00C943AF">
        <w:t>key areas – security cooperation, trade and investment, governance, people-to-people and institutional links, social and human development and regional and multilateral cooperation.</w:t>
      </w:r>
      <w:r w:rsidR="00ED50C8" w:rsidRPr="00C943AF">
        <w:t xml:space="preserve"> These priorities are supported through Australia’s development program in PNG, </w:t>
      </w:r>
      <w:r w:rsidR="001B5841" w:rsidRPr="00C943AF">
        <w:t>and</w:t>
      </w:r>
      <w:r w:rsidR="00ED50C8" w:rsidRPr="00C943AF">
        <w:t xml:space="preserve"> whole-of-government partnerships including the Defence Cooperation Program and the PNG-Australia Policing Partnership. </w:t>
      </w:r>
    </w:p>
    <w:p w14:paraId="28BD9A1E" w14:textId="5679EC1D" w:rsidR="00ED50C8" w:rsidRPr="00C943AF" w:rsidRDefault="00ED50C8" w:rsidP="00ED50C8">
      <w:pPr>
        <w:pStyle w:val="ListParagraph"/>
        <w:numPr>
          <w:ilvl w:val="0"/>
          <w:numId w:val="39"/>
        </w:numPr>
        <w:ind w:left="284" w:hanging="284"/>
      </w:pPr>
      <w:r w:rsidRPr="00C943AF">
        <w:t xml:space="preserve">Australia’s development program in PNG supports objectives on infrastructure, health, education, governance and law and justice. Gender equality cuts across all sectors. </w:t>
      </w:r>
    </w:p>
    <w:p w14:paraId="4EB8F282" w14:textId="77777777" w:rsidR="00C943AF" w:rsidRPr="00C943AF" w:rsidRDefault="00C943AF" w:rsidP="00C943AF">
      <w:pPr>
        <w:pStyle w:val="ListParagraph"/>
        <w:numPr>
          <w:ilvl w:val="0"/>
          <w:numId w:val="39"/>
        </w:numPr>
        <w:ind w:left="284" w:hanging="284"/>
      </w:pPr>
      <w:r w:rsidRPr="00C943AF">
        <w:t>In November 2019, Australia provided PNG with a short-term loan of USD300 million following a request from the PNG Government to meet a financing shortfall and to help deliver economic reform. Over the past nine months, we have supported the PNG Government to advance this program of reform, which includes its participation in an IMF Staff Monitored Program to support macroeconomic and financial sector stability.</w:t>
      </w:r>
    </w:p>
    <w:p w14:paraId="4ACDFD5F" w14:textId="6CE9D4D8" w:rsidR="00EB4B7D" w:rsidRPr="00C943AF" w:rsidRDefault="00EB4B7D" w:rsidP="004537BB">
      <w:pPr>
        <w:pStyle w:val="ListParagraph"/>
        <w:numPr>
          <w:ilvl w:val="0"/>
          <w:numId w:val="39"/>
        </w:numPr>
        <w:ind w:left="284" w:hanging="284"/>
      </w:pPr>
      <w:r w:rsidRPr="00C943AF">
        <w:t xml:space="preserve">In 2019-20, </w:t>
      </w:r>
      <w:r w:rsidR="00E27460" w:rsidRPr="00C943AF">
        <w:t xml:space="preserve">more than 40 per cent of Australia’s bilateral Official Development Assistance was invested in infrastructure projects </w:t>
      </w:r>
      <w:r w:rsidRPr="00C943AF">
        <w:t xml:space="preserve">in PNG. Projects included the Coral Sea Cable, redevelopment of the </w:t>
      </w:r>
      <w:proofErr w:type="spellStart"/>
      <w:r w:rsidRPr="00C943AF">
        <w:t>Angau</w:t>
      </w:r>
      <w:proofErr w:type="spellEnd"/>
      <w:r w:rsidRPr="00C943AF">
        <w:t xml:space="preserve"> Hospital in </w:t>
      </w:r>
      <w:proofErr w:type="spellStart"/>
      <w:r w:rsidRPr="00C943AF">
        <w:t>Lae</w:t>
      </w:r>
      <w:proofErr w:type="spellEnd"/>
      <w:r w:rsidRPr="00C943AF">
        <w:t xml:space="preserve">, and </w:t>
      </w:r>
      <w:r w:rsidR="00A90847" w:rsidRPr="00C943AF">
        <w:t>maintenance support for 1,833km of PNG’s national priority roads across 11 provinces and the Autonomous Region of Bougainville.</w:t>
      </w:r>
      <w:r w:rsidRPr="00C943AF">
        <w:t xml:space="preserve"> </w:t>
      </w:r>
    </w:p>
    <w:p w14:paraId="5B7E04D2" w14:textId="156F1B23" w:rsidR="004B3711" w:rsidRPr="00C943AF" w:rsidRDefault="004B3711" w:rsidP="00F86A4F">
      <w:pPr>
        <w:pStyle w:val="ListParagraph"/>
        <w:numPr>
          <w:ilvl w:val="0"/>
          <w:numId w:val="39"/>
        </w:numPr>
        <w:ind w:left="284" w:hanging="284"/>
      </w:pPr>
      <w:r w:rsidRPr="00C943AF">
        <w:t xml:space="preserve">In February 2020, the Coral Sea Cable System </w:t>
      </w:r>
      <w:r w:rsidR="00E760D3" w:rsidRPr="00C943AF">
        <w:t>–</w:t>
      </w:r>
      <w:r w:rsidRPr="00C943AF">
        <w:t xml:space="preserve"> a 4,700km long fibre optic submarine cable linking Australia to Port Moresby and Honiara – began operating. The cable system provides PNG with more reliable and affordable international telecommunications access</w:t>
      </w:r>
      <w:r w:rsidR="00E760D3" w:rsidRPr="00C943AF">
        <w:t>.</w:t>
      </w:r>
      <w:r w:rsidRPr="00C943AF">
        <w:t xml:space="preserve"> With a capacity of up to 20 terabits per second, the new cable brings next-generation</w:t>
      </w:r>
      <w:r w:rsidR="00343598" w:rsidRPr="00C943AF">
        <w:t xml:space="preserve"> </w:t>
      </w:r>
      <w:r w:rsidRPr="00C943AF">
        <w:t>connectivity to PNG.</w:t>
      </w:r>
    </w:p>
    <w:p w14:paraId="0C8BC7EE" w14:textId="047736B9" w:rsidR="00E760D3" w:rsidRPr="00C943AF" w:rsidRDefault="00A71C67" w:rsidP="00F86A4F">
      <w:pPr>
        <w:pStyle w:val="ListParagraph"/>
        <w:numPr>
          <w:ilvl w:val="0"/>
          <w:numId w:val="39"/>
        </w:numPr>
        <w:ind w:left="284" w:hanging="284"/>
      </w:pPr>
      <w:r w:rsidRPr="00C943AF">
        <w:t xml:space="preserve">Australia </w:t>
      </w:r>
      <w:r w:rsidR="001B5841" w:rsidRPr="00C943AF">
        <w:t>has supported</w:t>
      </w:r>
      <w:r w:rsidRPr="00C943AF">
        <w:t xml:space="preserve"> the PNG National Agriculture &amp; Quarantine Inspection Authority</w:t>
      </w:r>
      <w:r w:rsidR="001B5841" w:rsidRPr="00C943AF">
        <w:t xml:space="preserve"> through awareness, surveillance and containment</w:t>
      </w:r>
      <w:r w:rsidRPr="00C943AF">
        <w:t xml:space="preserve"> to help slow the spread of African </w:t>
      </w:r>
      <w:r w:rsidRPr="00C943AF">
        <w:t xml:space="preserve">Swine Fever (ASF) in the Highlands. </w:t>
      </w:r>
      <w:r w:rsidR="001B5841" w:rsidRPr="00C943AF">
        <w:t xml:space="preserve">This is helping maintain </w:t>
      </w:r>
      <w:r w:rsidRPr="00C943AF">
        <w:t xml:space="preserve">livelihoods, food security and cultural traditions in PNG. </w:t>
      </w:r>
    </w:p>
    <w:p w14:paraId="54CA3D4F" w14:textId="4895F7F3" w:rsidR="0002362C" w:rsidRPr="00C943AF" w:rsidRDefault="007E55B7" w:rsidP="00F86A4F">
      <w:pPr>
        <w:pStyle w:val="ListParagraph"/>
        <w:numPr>
          <w:ilvl w:val="0"/>
          <w:numId w:val="39"/>
        </w:numPr>
        <w:ind w:left="284" w:hanging="284"/>
      </w:pPr>
      <w:r w:rsidRPr="00C943AF">
        <w:t>In</w:t>
      </w:r>
      <w:r w:rsidR="0026329C" w:rsidRPr="00C943AF">
        <w:t xml:space="preserve"> 2019</w:t>
      </w:r>
      <w:r w:rsidRPr="00C943AF">
        <w:t>,</w:t>
      </w:r>
      <w:r w:rsidR="0026329C" w:rsidRPr="00C943AF">
        <w:t xml:space="preserve"> </w:t>
      </w:r>
      <w:r w:rsidRPr="00C943AF">
        <w:t xml:space="preserve">the first </w:t>
      </w:r>
      <w:r w:rsidR="00EF6114" w:rsidRPr="00C943AF">
        <w:t>PNG workers arrived</w:t>
      </w:r>
      <w:r w:rsidRPr="00C943AF">
        <w:t xml:space="preserve"> in Australia </w:t>
      </w:r>
      <w:r w:rsidR="0026329C" w:rsidRPr="00C943AF">
        <w:t>und</w:t>
      </w:r>
      <w:r w:rsidR="00EF6114" w:rsidRPr="00C943AF">
        <w:t>er the Pacific Labour Scheme. As of June 2020 there were 141 PNG workers in Australia under the Seasonal Worker Programme and Pacific Labour Scheme. Australia continue</w:t>
      </w:r>
      <w:r w:rsidR="00881DDA" w:rsidRPr="00C943AF">
        <w:t>s</w:t>
      </w:r>
      <w:r w:rsidR="00EF6114" w:rsidRPr="00C943AF">
        <w:t xml:space="preserve"> to support PNG workers to keep earning during COVID-19. </w:t>
      </w:r>
    </w:p>
    <w:p w14:paraId="6D9ED245" w14:textId="6B3C13D9" w:rsidR="0040736B" w:rsidRPr="00C943AF" w:rsidRDefault="0040736B" w:rsidP="00F86A4F">
      <w:pPr>
        <w:pStyle w:val="ListParagraph"/>
        <w:numPr>
          <w:ilvl w:val="0"/>
          <w:numId w:val="39"/>
        </w:numPr>
        <w:ind w:left="284" w:hanging="284"/>
      </w:pPr>
      <w:r w:rsidRPr="00C943AF">
        <w:t xml:space="preserve">In 2019-20, we </w:t>
      </w:r>
      <w:r w:rsidR="00C943AF">
        <w:t>supported</w:t>
      </w:r>
      <w:r w:rsidRPr="00C943AF">
        <w:t xml:space="preserve"> PNG </w:t>
      </w:r>
      <w:r w:rsidR="00C943AF">
        <w:t xml:space="preserve">to </w:t>
      </w:r>
      <w:r w:rsidRPr="00C943AF">
        <w:t>secure a USD9.4million Global Partnership for Education grant</w:t>
      </w:r>
      <w:r w:rsidR="00292F0F" w:rsidRPr="00C943AF">
        <w:t xml:space="preserve"> which is helping</w:t>
      </w:r>
      <w:r w:rsidRPr="00C943AF">
        <w:t xml:space="preserve"> primary school children safely resume learning.  </w:t>
      </w:r>
    </w:p>
    <w:p w14:paraId="00F5815A" w14:textId="08541199" w:rsidR="0040736B" w:rsidRPr="00C943AF" w:rsidRDefault="00C7181A" w:rsidP="00F86A4F">
      <w:pPr>
        <w:pStyle w:val="ListParagraph"/>
        <w:numPr>
          <w:ilvl w:val="0"/>
          <w:numId w:val="39"/>
        </w:numPr>
        <w:ind w:left="284" w:hanging="284"/>
      </w:pPr>
      <w:r w:rsidRPr="00C943AF">
        <w:t xml:space="preserve">In 2019-20, </w:t>
      </w:r>
      <w:r w:rsidR="0040736B" w:rsidRPr="00C943AF">
        <w:t xml:space="preserve">406 Papua New Guineans were supported by long and short-term tertiary Australia Awards scholarships in Australia and PNG. In addition, </w:t>
      </w:r>
      <w:r w:rsidR="001B5841" w:rsidRPr="00C943AF">
        <w:t>we finalised plans to</w:t>
      </w:r>
      <w:r w:rsidR="0040736B" w:rsidRPr="00C943AF">
        <w:t xml:space="preserve"> scale</w:t>
      </w:r>
      <w:r w:rsidR="00343598" w:rsidRPr="00C943AF">
        <w:t>-</w:t>
      </w:r>
      <w:r w:rsidR="004537BB" w:rsidRPr="00C943AF">
        <w:t>up</w:t>
      </w:r>
      <w:r w:rsidR="0040736B" w:rsidRPr="00C943AF">
        <w:t xml:space="preserve"> our Technical and Vocational Education and Training (TVET) investment in support of PNG’s economic recovery, </w:t>
      </w:r>
      <w:r w:rsidR="001B5841" w:rsidRPr="00C943AF">
        <w:t>which will commence with an</w:t>
      </w:r>
      <w:r w:rsidR="0040736B" w:rsidRPr="00C943AF">
        <w:t xml:space="preserve"> additional 100 TVET scholarships next year. </w:t>
      </w:r>
    </w:p>
    <w:p w14:paraId="65701CE7" w14:textId="3822EA44" w:rsidR="0040736B" w:rsidRPr="00C943AF" w:rsidRDefault="00696D99" w:rsidP="00F86A4F">
      <w:pPr>
        <w:pStyle w:val="ListParagraph"/>
        <w:numPr>
          <w:ilvl w:val="0"/>
          <w:numId w:val="39"/>
        </w:numPr>
        <w:ind w:left="284" w:hanging="284"/>
      </w:pPr>
      <w:r w:rsidRPr="00C943AF">
        <w:t>Australia</w:t>
      </w:r>
      <w:r w:rsidR="001B5841" w:rsidRPr="00C943AF">
        <w:t xml:space="preserve">’s </w:t>
      </w:r>
      <w:r w:rsidRPr="00C943AF">
        <w:t xml:space="preserve">ongoing program of support to PNG’s health sector </w:t>
      </w:r>
      <w:r w:rsidR="001B5841" w:rsidRPr="00C943AF">
        <w:t xml:space="preserve">has continued to </w:t>
      </w:r>
      <w:r w:rsidRPr="00C943AF">
        <w:t xml:space="preserve">support maternal and child health, </w:t>
      </w:r>
      <w:r w:rsidR="001B5841" w:rsidRPr="00C943AF">
        <w:t xml:space="preserve">funded </w:t>
      </w:r>
      <w:r w:rsidRPr="00C943AF">
        <w:t xml:space="preserve">immunisations, </w:t>
      </w:r>
      <w:r w:rsidR="001B5841" w:rsidRPr="00C943AF">
        <w:t xml:space="preserve">helped </w:t>
      </w:r>
      <w:r w:rsidRPr="00C943AF">
        <w:t xml:space="preserve">combat communicable diseases (malaria, HIV, and TB), and </w:t>
      </w:r>
      <w:r w:rsidR="002A462F" w:rsidRPr="00C943AF">
        <w:t>continued the</w:t>
      </w:r>
      <w:r w:rsidRPr="00C943AF">
        <w:t xml:space="preserve"> redevelopment of ANGAU memorial hospital in </w:t>
      </w:r>
      <w:proofErr w:type="spellStart"/>
      <w:r w:rsidRPr="00C943AF">
        <w:t>Lae</w:t>
      </w:r>
      <w:proofErr w:type="spellEnd"/>
      <w:r w:rsidRPr="00C943AF">
        <w:t>. We are providing health sector support as part of the Government of PNG’s COVID-19 response</w:t>
      </w:r>
      <w:r w:rsidR="0040736B" w:rsidRPr="00C943AF">
        <w:t>.</w:t>
      </w:r>
    </w:p>
    <w:p w14:paraId="2E8213E3" w14:textId="0A256BFC" w:rsidR="002D5904" w:rsidRPr="00C943AF" w:rsidRDefault="002D5904" w:rsidP="004537BB">
      <w:pPr>
        <w:pStyle w:val="ListParagraph"/>
        <w:numPr>
          <w:ilvl w:val="0"/>
          <w:numId w:val="39"/>
        </w:numPr>
        <w:ind w:left="284" w:hanging="284"/>
      </w:pPr>
      <w:r w:rsidRPr="00C943AF">
        <w:t>Under the PNG Partnership Fund (PPF), we have provided over 246,000 people with family planning services and treated nearly 20,000 people for sexually transmitted infections and HIV.</w:t>
      </w:r>
    </w:p>
    <w:p w14:paraId="1911C780" w14:textId="38F57275" w:rsidR="003474B9" w:rsidRPr="00C943AF" w:rsidRDefault="00950631" w:rsidP="00F86A4F">
      <w:pPr>
        <w:pStyle w:val="ListParagraph"/>
        <w:numPr>
          <w:ilvl w:val="0"/>
          <w:numId w:val="39"/>
        </w:numPr>
        <w:ind w:left="284" w:hanging="284"/>
      </w:pPr>
      <w:r w:rsidRPr="00C943AF">
        <w:t xml:space="preserve">Australia </w:t>
      </w:r>
      <w:r w:rsidR="002A462F" w:rsidRPr="00C943AF">
        <w:t xml:space="preserve">has </w:t>
      </w:r>
      <w:r w:rsidRPr="00C943AF">
        <w:t>provided crisis support for almost 1000 women and girl survivors of violence, businesses management training to over 1000 women, and support to women to take on leadership roles in workplaces, communities, markets and government</w:t>
      </w:r>
      <w:r w:rsidR="00D67940" w:rsidRPr="00C943AF">
        <w:t>.</w:t>
      </w:r>
    </w:p>
    <w:p w14:paraId="5A1F48EC" w14:textId="667C205B" w:rsidR="002157C3" w:rsidRPr="00C943AF" w:rsidRDefault="002157C3" w:rsidP="00F86A4F">
      <w:pPr>
        <w:pStyle w:val="ListParagraph"/>
        <w:numPr>
          <w:ilvl w:val="0"/>
          <w:numId w:val="39"/>
        </w:numPr>
        <w:ind w:left="284" w:hanging="284"/>
      </w:pPr>
      <w:r w:rsidRPr="00C943AF">
        <w:t xml:space="preserve">Australia </w:t>
      </w:r>
      <w:r w:rsidR="002A462F" w:rsidRPr="00C943AF">
        <w:t xml:space="preserve">has also </w:t>
      </w:r>
      <w:r w:rsidRPr="00C943AF">
        <w:t xml:space="preserve">supported the successful conduct of a referendum on Bougainville’s future political status in November 2019. </w:t>
      </w:r>
    </w:p>
    <w:p w14:paraId="7D3D7440" w14:textId="72B53F9A" w:rsidR="00766556" w:rsidRPr="00C943AF" w:rsidRDefault="00CD1A44" w:rsidP="004537BB">
      <w:pPr>
        <w:pStyle w:val="ListParagraph"/>
        <w:numPr>
          <w:ilvl w:val="0"/>
          <w:numId w:val="39"/>
        </w:numPr>
        <w:ind w:left="284" w:hanging="284"/>
      </w:pPr>
      <w:r w:rsidRPr="00C943AF">
        <w:t>In 2019-20, we supported the trekking industry and new war history museums along the Kokoda Track before pivoting to support Kokoda Track communities cope with the loss of trekking incomes once COVID-19 led to the closure of the Track.</w:t>
      </w:r>
      <w:r w:rsidR="00766556" w:rsidRPr="00C943AF">
        <w:t xml:space="preserve"> </w:t>
      </w:r>
    </w:p>
    <w:p w14:paraId="556BAFC7" w14:textId="77777777" w:rsidR="00CD1A44" w:rsidRPr="000C444B" w:rsidRDefault="00CD1A44" w:rsidP="00F86A4F">
      <w:pPr>
        <w:pStyle w:val="ListParagraph"/>
        <w:numPr>
          <w:ilvl w:val="0"/>
          <w:numId w:val="39"/>
        </w:numPr>
        <w:ind w:left="284" w:hanging="284"/>
        <w:sectPr w:rsidR="00CD1A44" w:rsidRPr="000C444B"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39A1B862" w14:textId="1215043F" w:rsidR="004C5598" w:rsidRDefault="00D00153" w:rsidP="004C5598">
      <w:pPr>
        <w:pStyle w:val="Heading2"/>
        <w:spacing w:before="360" w:line="300" w:lineRule="exact"/>
        <w:contextualSpacing w:val="0"/>
        <w:rPr>
          <w:sz w:val="24"/>
          <w:szCs w:val="24"/>
        </w:rPr>
      </w:pPr>
      <w:r>
        <w:lastRenderedPageBreak/>
        <w:t>P</w:t>
      </w:r>
      <w:r w:rsidR="004C5598">
        <w:t>rogress against 2019-20 performance indicators</w:t>
      </w:r>
      <w:r w:rsidR="00C32299">
        <w:br/>
      </w:r>
    </w:p>
    <w:tbl>
      <w:tblPr>
        <w:tblStyle w:val="TableGrid"/>
        <w:tblW w:w="10491" w:type="dxa"/>
        <w:tblInd w:w="-431" w:type="dxa"/>
        <w:tblLook w:val="04A0" w:firstRow="1" w:lastRow="0" w:firstColumn="1" w:lastColumn="0" w:noHBand="0" w:noVBand="1"/>
        <w:tblCaption w:val="Performance Assessment Framework"/>
        <w:tblDescription w:val="This program has three strategic objectives, eight sub-objectives and twenty-three performance benchmark, indicators that are used to measure progress.  There is also one shared development objective for economic and strategic partnerships. "/>
      </w:tblPr>
      <w:tblGrid>
        <w:gridCol w:w="2553"/>
        <w:gridCol w:w="3260"/>
        <w:gridCol w:w="4678"/>
      </w:tblGrid>
      <w:tr w:rsidR="00256DC9" w:rsidRPr="00EB1D75" w14:paraId="7DC66835" w14:textId="77777777" w:rsidTr="00AE4F89">
        <w:trPr>
          <w:trHeight w:val="675"/>
          <w:tblHeader/>
        </w:trPr>
        <w:tc>
          <w:tcPr>
            <w:tcW w:w="2553" w:type="dxa"/>
            <w:shd w:val="clear" w:color="auto" w:fill="C1E7E0" w:themeFill="accent1" w:themeFillTint="66"/>
          </w:tcPr>
          <w:p w14:paraId="716ACEA7" w14:textId="77777777" w:rsidR="00256DC9" w:rsidRPr="00EB1D75" w:rsidRDefault="00256DC9" w:rsidP="005B7866">
            <w:pPr>
              <w:pStyle w:val="BodyText"/>
              <w:spacing w:before="40" w:after="40" w:line="240" w:lineRule="auto"/>
              <w:rPr>
                <w:rFonts w:asciiTheme="majorHAnsi" w:eastAsiaTheme="majorEastAsia" w:hAnsiTheme="majorHAnsi" w:cstheme="majorHAnsi"/>
                <w:b/>
                <w:caps/>
                <w:sz w:val="20"/>
                <w:szCs w:val="20"/>
              </w:rPr>
            </w:pPr>
            <w:r w:rsidRPr="00EB1D75">
              <w:rPr>
                <w:rFonts w:asciiTheme="majorHAnsi" w:eastAsiaTheme="majorEastAsia" w:hAnsiTheme="majorHAnsi" w:cstheme="majorHAnsi"/>
                <w:b/>
                <w:caps/>
                <w:sz w:val="20"/>
                <w:szCs w:val="20"/>
              </w:rPr>
              <w:t>strategic OBJECTIVE</w:t>
            </w:r>
          </w:p>
        </w:tc>
        <w:tc>
          <w:tcPr>
            <w:tcW w:w="3260" w:type="dxa"/>
            <w:shd w:val="clear" w:color="auto" w:fill="C1E7E0" w:themeFill="accent1" w:themeFillTint="66"/>
          </w:tcPr>
          <w:p w14:paraId="2986DEAC" w14:textId="77777777" w:rsidR="00256DC9" w:rsidRPr="00EB1D75" w:rsidRDefault="00256DC9" w:rsidP="005B7866">
            <w:pPr>
              <w:pStyle w:val="BodyText"/>
              <w:spacing w:before="40" w:after="40" w:line="240" w:lineRule="auto"/>
              <w:rPr>
                <w:rFonts w:asciiTheme="majorHAnsi" w:eastAsiaTheme="majorEastAsia" w:hAnsiTheme="majorHAnsi" w:cstheme="majorHAnsi"/>
                <w:b/>
                <w:caps/>
                <w:sz w:val="20"/>
                <w:szCs w:val="20"/>
              </w:rPr>
            </w:pPr>
            <w:r w:rsidRPr="00EB1D75">
              <w:rPr>
                <w:rFonts w:asciiTheme="majorHAnsi" w:eastAsiaTheme="majorEastAsia" w:hAnsiTheme="majorHAnsi" w:cstheme="majorHAnsi"/>
                <w:b/>
                <w:caps/>
                <w:sz w:val="20"/>
                <w:szCs w:val="20"/>
              </w:rPr>
              <w:t>Performance assessment framework indicator/ benchmark</w:t>
            </w:r>
          </w:p>
        </w:tc>
        <w:tc>
          <w:tcPr>
            <w:tcW w:w="4678" w:type="dxa"/>
            <w:shd w:val="clear" w:color="auto" w:fill="C1E7E0" w:themeFill="accent1" w:themeFillTint="66"/>
          </w:tcPr>
          <w:p w14:paraId="361925A8" w14:textId="77777777" w:rsidR="00256DC9" w:rsidRPr="00EB1D75" w:rsidRDefault="00256DC9" w:rsidP="005B7866">
            <w:pPr>
              <w:pStyle w:val="BodyText"/>
              <w:spacing w:before="40" w:after="40" w:line="240" w:lineRule="auto"/>
              <w:rPr>
                <w:rFonts w:asciiTheme="majorHAnsi" w:eastAsiaTheme="majorEastAsia" w:hAnsiTheme="majorHAnsi" w:cstheme="majorHAnsi"/>
                <w:b/>
                <w:caps/>
                <w:sz w:val="20"/>
                <w:szCs w:val="20"/>
              </w:rPr>
            </w:pPr>
            <w:r w:rsidRPr="00EB1D75">
              <w:rPr>
                <w:rFonts w:asciiTheme="majorHAnsi" w:eastAsiaTheme="majorEastAsia" w:hAnsiTheme="majorHAnsi" w:cstheme="majorHAnsi"/>
                <w:b/>
                <w:caps/>
                <w:sz w:val="20"/>
                <w:szCs w:val="20"/>
              </w:rPr>
              <w:t>Brief summary of progress against indicator/benchmark</w:t>
            </w:r>
          </w:p>
        </w:tc>
      </w:tr>
      <w:tr w:rsidR="00256DC9" w:rsidRPr="00EB1D75" w14:paraId="115000AF" w14:textId="77777777" w:rsidTr="00AE4F89">
        <w:tc>
          <w:tcPr>
            <w:tcW w:w="2553" w:type="dxa"/>
          </w:tcPr>
          <w:p w14:paraId="3F98B2B7" w14:textId="77777777" w:rsidR="00256DC9" w:rsidRPr="00EB1D75" w:rsidRDefault="00256DC9" w:rsidP="005B7866">
            <w:pPr>
              <w:pStyle w:val="BodyText"/>
              <w:spacing w:before="0" w:after="40" w:line="240" w:lineRule="auto"/>
              <w:rPr>
                <w:rFonts w:eastAsiaTheme="majorEastAsia" w:cstheme="minorHAnsi"/>
                <w:b/>
                <w:sz w:val="20"/>
                <w:szCs w:val="20"/>
              </w:rPr>
            </w:pPr>
            <w:r w:rsidRPr="00EB1D75">
              <w:rPr>
                <w:rFonts w:eastAsiaTheme="majorEastAsia" w:cstheme="minorHAnsi"/>
                <w:b/>
                <w:sz w:val="20"/>
                <w:szCs w:val="20"/>
              </w:rPr>
              <w:t xml:space="preserve">Objective 1: Promoting effective governance. </w:t>
            </w:r>
          </w:p>
          <w:p w14:paraId="600CDAE3" w14:textId="77777777" w:rsidR="00256DC9" w:rsidRPr="00EB1D75" w:rsidRDefault="00256DC9" w:rsidP="005B7866">
            <w:pPr>
              <w:pStyle w:val="BodyText"/>
              <w:spacing w:before="0" w:after="40" w:line="240" w:lineRule="auto"/>
              <w:rPr>
                <w:rFonts w:eastAsiaTheme="majorEastAsia" w:cstheme="minorHAnsi"/>
                <w:sz w:val="20"/>
                <w:szCs w:val="20"/>
              </w:rPr>
            </w:pPr>
          </w:p>
          <w:p w14:paraId="4811E67E" w14:textId="17B8747E" w:rsidR="00256DC9" w:rsidRDefault="00256DC9"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sidR="00CC0E64">
              <w:rPr>
                <w:rFonts w:eastAsiaTheme="majorEastAsia" w:cstheme="minorHAnsi"/>
                <w:sz w:val="20"/>
                <w:szCs w:val="20"/>
              </w:rPr>
              <w:t xml:space="preserve"> </w:t>
            </w:r>
            <w:r w:rsidR="00CC0E64" w:rsidRPr="00A26425">
              <w:rPr>
                <w:rFonts w:asciiTheme="majorHAnsi" w:eastAsiaTheme="majorEastAsia" w:hAnsiTheme="majorHAnsi" w:cstheme="majorHAnsi"/>
                <w:sz w:val="20"/>
                <w:szCs w:val="20"/>
              </w:rPr>
              <w:t>1.1</w:t>
            </w:r>
            <w:r w:rsidRPr="00EB1D75">
              <w:rPr>
                <w:rFonts w:eastAsiaTheme="majorEastAsia" w:cstheme="minorHAnsi"/>
                <w:sz w:val="20"/>
                <w:szCs w:val="20"/>
              </w:rPr>
              <w:t>: Developing public sector leadership</w:t>
            </w:r>
            <w:r w:rsidR="004E7318">
              <w:rPr>
                <w:rFonts w:eastAsiaTheme="majorEastAsia" w:cstheme="minorHAnsi"/>
                <w:sz w:val="20"/>
                <w:szCs w:val="20"/>
              </w:rPr>
              <w:t>.</w:t>
            </w:r>
          </w:p>
          <w:p w14:paraId="1A59D6B3" w14:textId="77777777" w:rsidR="00A26425" w:rsidRDefault="00A26425" w:rsidP="005B7866">
            <w:pPr>
              <w:pStyle w:val="BodyText"/>
              <w:spacing w:before="0" w:after="40" w:line="240" w:lineRule="auto"/>
              <w:rPr>
                <w:rFonts w:eastAsiaTheme="majorEastAsia" w:cstheme="minorHAnsi"/>
                <w:sz w:val="20"/>
                <w:szCs w:val="20"/>
              </w:rPr>
            </w:pPr>
          </w:p>
          <w:p w14:paraId="7487FC9E" w14:textId="672D48DE" w:rsidR="004E7318" w:rsidRDefault="004E7318"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Pr>
                <w:rFonts w:eastAsiaTheme="majorEastAsia" w:cstheme="minorHAnsi"/>
                <w:sz w:val="20"/>
                <w:szCs w:val="20"/>
              </w:rPr>
              <w:t xml:space="preserve"> </w:t>
            </w:r>
            <w:r w:rsidRPr="00A26425">
              <w:rPr>
                <w:rFonts w:asciiTheme="majorHAnsi" w:eastAsiaTheme="majorEastAsia" w:hAnsiTheme="majorHAnsi" w:cstheme="majorHAnsi"/>
                <w:sz w:val="20"/>
                <w:szCs w:val="20"/>
              </w:rPr>
              <w:t>1.2</w:t>
            </w:r>
            <w:r w:rsidRPr="00EB1D75">
              <w:rPr>
                <w:rFonts w:eastAsiaTheme="majorEastAsia" w:cstheme="minorHAnsi"/>
                <w:sz w:val="20"/>
                <w:szCs w:val="20"/>
              </w:rPr>
              <w:t>: Integrating partnerships to improve access to services</w:t>
            </w:r>
            <w:r>
              <w:rPr>
                <w:rFonts w:eastAsiaTheme="majorEastAsia" w:cstheme="minorHAnsi"/>
                <w:sz w:val="20"/>
                <w:szCs w:val="20"/>
              </w:rPr>
              <w:t>.</w:t>
            </w:r>
          </w:p>
          <w:p w14:paraId="4F5169DB" w14:textId="77777777" w:rsidR="00A26425" w:rsidRDefault="00A26425" w:rsidP="005B7866">
            <w:pPr>
              <w:pStyle w:val="BodyText"/>
              <w:spacing w:before="0" w:after="40" w:line="240" w:lineRule="auto"/>
              <w:rPr>
                <w:rFonts w:eastAsiaTheme="majorEastAsia" w:cstheme="minorHAnsi"/>
                <w:sz w:val="20"/>
                <w:szCs w:val="20"/>
              </w:rPr>
            </w:pPr>
          </w:p>
          <w:p w14:paraId="19862634" w14:textId="77777777" w:rsidR="004E7318"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Pr>
                <w:rFonts w:eastAsiaTheme="majorEastAsia" w:cstheme="minorHAnsi"/>
                <w:sz w:val="20"/>
                <w:szCs w:val="20"/>
              </w:rPr>
              <w:t xml:space="preserve"> </w:t>
            </w:r>
            <w:r w:rsidRPr="00A26425">
              <w:rPr>
                <w:rFonts w:asciiTheme="majorHAnsi" w:eastAsiaTheme="majorEastAsia" w:hAnsiTheme="majorHAnsi" w:cstheme="majorHAnsi"/>
                <w:sz w:val="20"/>
                <w:szCs w:val="20"/>
              </w:rPr>
              <w:t>1.3</w:t>
            </w:r>
            <w:r w:rsidRPr="00EB1D75">
              <w:rPr>
                <w:rFonts w:eastAsiaTheme="majorEastAsia" w:cstheme="minorHAnsi"/>
                <w:sz w:val="20"/>
                <w:szCs w:val="20"/>
              </w:rPr>
              <w:t xml:space="preserve">: </w:t>
            </w:r>
          </w:p>
          <w:p w14:paraId="68363072" w14:textId="4A74544F" w:rsidR="004E7318" w:rsidRPr="00EB1D75"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Effective law and justice system</w:t>
            </w:r>
          </w:p>
        </w:tc>
        <w:tc>
          <w:tcPr>
            <w:tcW w:w="3260" w:type="dxa"/>
          </w:tcPr>
          <w:p w14:paraId="5C8879F3" w14:textId="243A1AFE" w:rsidR="00256DC9" w:rsidRDefault="00256DC9" w:rsidP="005B7866">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w:t>
            </w:r>
            <w:r w:rsidR="00CC0E64">
              <w:rPr>
                <w:rFonts w:eastAsiaTheme="majorEastAsia" w:cstheme="minorHAnsi"/>
                <w:sz w:val="20"/>
                <w:szCs w:val="20"/>
              </w:rPr>
              <w:t>.</w:t>
            </w:r>
            <w:r w:rsidRPr="00EB1D75">
              <w:rPr>
                <w:rFonts w:eastAsiaTheme="majorEastAsia" w:cstheme="minorHAnsi"/>
                <w:sz w:val="20"/>
                <w:szCs w:val="20"/>
              </w:rPr>
              <w:t xml:space="preserve"> Number of women and men trained and engaged by Papua New Guinea in positions where they can practice new knowledge and skills</w:t>
            </w:r>
            <w:r w:rsidR="00CC0E64">
              <w:rPr>
                <w:rFonts w:eastAsiaTheme="majorEastAsia" w:cstheme="minorHAnsi"/>
                <w:sz w:val="20"/>
                <w:szCs w:val="20"/>
              </w:rPr>
              <w:t>.</w:t>
            </w:r>
          </w:p>
          <w:p w14:paraId="7D390DA9" w14:textId="77777777" w:rsidR="00CC0E64"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2</w:t>
            </w:r>
            <w:r>
              <w:rPr>
                <w:rFonts w:eastAsiaTheme="majorEastAsia" w:cstheme="minorHAnsi"/>
                <w:sz w:val="20"/>
                <w:szCs w:val="20"/>
              </w:rPr>
              <w:t>.</w:t>
            </w:r>
            <w:r w:rsidRPr="00EB1D75">
              <w:rPr>
                <w:rFonts w:eastAsiaTheme="majorEastAsia" w:cstheme="minorHAnsi"/>
                <w:sz w:val="20"/>
                <w:szCs w:val="20"/>
              </w:rPr>
              <w:t xml:space="preserve"> Number of women and men graduating from courses delivered by the Pacific Leadership and Governance Precinct</w:t>
            </w:r>
            <w:r>
              <w:rPr>
                <w:rFonts w:eastAsiaTheme="majorEastAsia" w:cstheme="minorHAnsi"/>
                <w:sz w:val="20"/>
                <w:szCs w:val="20"/>
              </w:rPr>
              <w:t>.</w:t>
            </w:r>
          </w:p>
          <w:p w14:paraId="19475E92" w14:textId="77777777" w:rsidR="004E7318" w:rsidRDefault="004E7318" w:rsidP="004E7318">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3</w:t>
            </w:r>
            <w:r>
              <w:rPr>
                <w:rFonts w:eastAsiaTheme="majorEastAsia" w:cstheme="minorHAnsi"/>
                <w:sz w:val="20"/>
                <w:szCs w:val="20"/>
              </w:rPr>
              <w:t>.</w:t>
            </w:r>
            <w:r w:rsidRPr="00EB1D75">
              <w:rPr>
                <w:rFonts w:eastAsiaTheme="majorEastAsia" w:cstheme="minorHAnsi"/>
                <w:sz w:val="20"/>
                <w:szCs w:val="20"/>
              </w:rPr>
              <w:t xml:space="preserve"> Number of partnerships</w:t>
            </w:r>
            <w:r>
              <w:rPr>
                <w:rFonts w:eastAsiaTheme="majorEastAsia" w:cstheme="minorHAnsi"/>
                <w:sz w:val="20"/>
                <w:szCs w:val="20"/>
              </w:rPr>
              <w:t>.</w:t>
            </w:r>
          </w:p>
          <w:p w14:paraId="29AD9264" w14:textId="77777777" w:rsidR="004E7318" w:rsidRDefault="004E7318" w:rsidP="004E7318">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4</w:t>
            </w:r>
            <w:r>
              <w:rPr>
                <w:rFonts w:eastAsiaTheme="majorEastAsia" w:cstheme="minorHAnsi"/>
                <w:sz w:val="20"/>
                <w:szCs w:val="20"/>
              </w:rPr>
              <w:t>.</w:t>
            </w:r>
            <w:r w:rsidRPr="00EB1D75">
              <w:rPr>
                <w:rFonts w:eastAsiaTheme="majorEastAsia" w:cstheme="minorHAnsi"/>
                <w:sz w:val="20"/>
                <w:szCs w:val="20"/>
              </w:rPr>
              <w:t xml:space="preserve"> Number of women, men and youth using improved services provided by civil society, private sector partners or sub-national governments</w:t>
            </w:r>
            <w:r>
              <w:rPr>
                <w:rFonts w:eastAsiaTheme="majorEastAsia" w:cstheme="minorHAnsi"/>
                <w:sz w:val="20"/>
                <w:szCs w:val="20"/>
              </w:rPr>
              <w:t>.</w:t>
            </w:r>
          </w:p>
          <w:p w14:paraId="01ED7A88" w14:textId="5D471B27" w:rsidR="004E7318" w:rsidRPr="00EB1D75" w:rsidRDefault="004E7318" w:rsidP="004E7318">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5</w:t>
            </w:r>
            <w:r>
              <w:rPr>
                <w:rFonts w:eastAsiaTheme="majorEastAsia" w:cstheme="minorHAnsi"/>
                <w:sz w:val="20"/>
                <w:szCs w:val="20"/>
              </w:rPr>
              <w:t>.</w:t>
            </w:r>
            <w:r w:rsidRPr="00EB1D75">
              <w:rPr>
                <w:rFonts w:eastAsiaTheme="majorEastAsia" w:cstheme="minorHAnsi"/>
                <w:sz w:val="20"/>
                <w:szCs w:val="20"/>
              </w:rPr>
              <w:t xml:space="preserve"> Number of women and men with greater awareness of legal rights and responsibilities</w:t>
            </w:r>
          </w:p>
        </w:tc>
        <w:tc>
          <w:tcPr>
            <w:tcW w:w="4678" w:type="dxa"/>
          </w:tcPr>
          <w:p w14:paraId="0E826337" w14:textId="77652280" w:rsidR="00256DC9" w:rsidRPr="00EB1D75" w:rsidRDefault="00CC0E64" w:rsidP="005B7866">
            <w:pPr>
              <w:pStyle w:val="BodyText"/>
              <w:spacing w:before="0" w:after="40"/>
              <w:rPr>
                <w:rFonts w:eastAsiaTheme="majorEastAsia" w:cstheme="minorHAnsi"/>
                <w:sz w:val="20"/>
                <w:szCs w:val="20"/>
              </w:rPr>
            </w:pPr>
            <w:r>
              <w:rPr>
                <w:rFonts w:eastAsiaTheme="majorEastAsia" w:cstheme="minorHAnsi"/>
                <w:sz w:val="20"/>
                <w:szCs w:val="20"/>
              </w:rPr>
              <w:t xml:space="preserve">~ </w:t>
            </w:r>
            <w:r w:rsidR="00256DC9" w:rsidRPr="00EB1D75">
              <w:rPr>
                <w:rFonts w:eastAsiaTheme="majorEastAsia" w:cstheme="minorHAnsi"/>
                <w:sz w:val="20"/>
                <w:szCs w:val="20"/>
              </w:rPr>
              <w:t>97,</w:t>
            </w:r>
            <w:r w:rsidR="00235EA0" w:rsidRPr="00EB1D75">
              <w:rPr>
                <w:rFonts w:eastAsiaTheme="majorEastAsia" w:cstheme="minorHAnsi"/>
                <w:sz w:val="20"/>
                <w:szCs w:val="20"/>
              </w:rPr>
              <w:t>3</w:t>
            </w:r>
            <w:r w:rsidR="00551219" w:rsidRPr="00EB1D75">
              <w:rPr>
                <w:rFonts w:eastAsiaTheme="majorEastAsia" w:cstheme="minorHAnsi"/>
                <w:sz w:val="20"/>
                <w:szCs w:val="20"/>
              </w:rPr>
              <w:t>42 (45,927 women, 51,415 men). T</w:t>
            </w:r>
            <w:r w:rsidR="00256DC9" w:rsidRPr="00EB1D75">
              <w:rPr>
                <w:rFonts w:eastAsiaTheme="majorEastAsia" w:cstheme="minorHAnsi"/>
                <w:sz w:val="20"/>
                <w:szCs w:val="20"/>
              </w:rPr>
              <w:t>arget was 33,062.</w:t>
            </w:r>
          </w:p>
          <w:p w14:paraId="6C746E41" w14:textId="77777777" w:rsidR="00256DC9" w:rsidRDefault="00256DC9" w:rsidP="005B7866">
            <w:pPr>
              <w:pStyle w:val="BodyText"/>
              <w:spacing w:before="0" w:after="40"/>
              <w:rPr>
                <w:rFonts w:eastAsiaTheme="majorEastAsia" w:cstheme="minorHAnsi"/>
                <w:sz w:val="20"/>
                <w:szCs w:val="20"/>
              </w:rPr>
            </w:pPr>
            <w:r w:rsidRPr="00EB1D75">
              <w:rPr>
                <w:rFonts w:eastAsiaTheme="majorEastAsia" w:cstheme="minorHAnsi"/>
                <w:sz w:val="20"/>
                <w:szCs w:val="20"/>
              </w:rPr>
              <w:t>This target was exceeded.</w:t>
            </w:r>
          </w:p>
          <w:p w14:paraId="68D8C92F" w14:textId="77777777" w:rsidR="00CC0E64" w:rsidRPr="00EB1D75" w:rsidRDefault="00CC0E64" w:rsidP="00CC0E64">
            <w:pPr>
              <w:spacing w:before="0" w:after="0" w:line="240" w:lineRule="auto"/>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697 (304 women, 393 men). Target was 840.</w:t>
            </w:r>
          </w:p>
          <w:p w14:paraId="508B2EF6" w14:textId="77777777" w:rsidR="00CC0E64" w:rsidRDefault="00CC0E64" w:rsidP="00CC0E64">
            <w:pPr>
              <w:pStyle w:val="BodyText"/>
              <w:spacing w:before="0" w:after="40"/>
              <w:rPr>
                <w:rFonts w:eastAsiaTheme="majorEastAsia" w:cstheme="minorHAnsi"/>
                <w:sz w:val="20"/>
                <w:szCs w:val="20"/>
              </w:rPr>
            </w:pPr>
            <w:r w:rsidRPr="00EB1D75">
              <w:rPr>
                <w:rFonts w:eastAsiaTheme="majorEastAsia" w:cstheme="minorHAnsi"/>
                <w:sz w:val="20"/>
                <w:szCs w:val="20"/>
              </w:rPr>
              <w:t>The target was not fully met as the Precinct’s activities were paused due to the COVID-19 pandemic.</w:t>
            </w:r>
          </w:p>
          <w:p w14:paraId="11DFA4E6" w14:textId="77777777" w:rsidR="004E7318" w:rsidRDefault="004E7318" w:rsidP="004E7318">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527. Target was 116.</w:t>
            </w:r>
            <w:r>
              <w:rPr>
                <w:rFonts w:eastAsiaTheme="majorEastAsia" w:cstheme="minorHAnsi"/>
                <w:sz w:val="20"/>
                <w:szCs w:val="20"/>
              </w:rPr>
              <w:t xml:space="preserve">  </w:t>
            </w:r>
            <w:r w:rsidRPr="00EB1D75">
              <w:rPr>
                <w:rFonts w:eastAsiaTheme="majorEastAsia" w:cstheme="minorHAnsi"/>
                <w:sz w:val="20"/>
                <w:szCs w:val="20"/>
              </w:rPr>
              <w:t>This target was significantly exceeded, as partnerships with farmer groups in Bougainville and SMEs (through EGIG) far exceeded their targets.</w:t>
            </w:r>
          </w:p>
          <w:p w14:paraId="334CD682" w14:textId="77777777" w:rsidR="004E7318" w:rsidRDefault="004E7318" w:rsidP="004E7318">
            <w:pPr>
              <w:pStyle w:val="BodyText"/>
              <w:spacing w:before="0" w:after="4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887,170 (438,652 women, 404,163 men, 38,097 youth, 6258 gender not specified). Target was 853,525 (incorrectly listed as 32,188 in 2018-19 APPR).</w:t>
            </w:r>
            <w:r>
              <w:rPr>
                <w:rFonts w:eastAsiaTheme="majorEastAsia" w:cstheme="minorHAnsi"/>
                <w:sz w:val="20"/>
                <w:szCs w:val="20"/>
              </w:rPr>
              <w:t xml:space="preserve"> </w:t>
            </w:r>
            <w:r w:rsidRPr="00EB1D75">
              <w:rPr>
                <w:rFonts w:eastAsiaTheme="majorEastAsia" w:cstheme="minorHAnsi"/>
                <w:sz w:val="20"/>
                <w:szCs w:val="20"/>
              </w:rPr>
              <w:t>This target was met.</w:t>
            </w:r>
          </w:p>
          <w:p w14:paraId="3B24E41D" w14:textId="2075B3B8" w:rsidR="004E7318" w:rsidRPr="00EB1D75" w:rsidRDefault="004E7318" w:rsidP="004E7318">
            <w:pPr>
              <w:pStyle w:val="BodyText"/>
              <w:spacing w:before="0" w:after="4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115,712 (1,403 women, 1,309 men, 113,000 no gender reported). Target was 140,000.</w:t>
            </w:r>
            <w:r>
              <w:rPr>
                <w:rFonts w:eastAsiaTheme="majorEastAsia" w:cstheme="minorHAnsi"/>
                <w:sz w:val="20"/>
                <w:szCs w:val="20"/>
              </w:rPr>
              <w:t xml:space="preserve"> </w:t>
            </w:r>
            <w:r w:rsidRPr="00EB1D75">
              <w:rPr>
                <w:rFonts w:eastAsiaTheme="majorEastAsia" w:cstheme="minorHAnsi"/>
                <w:sz w:val="20"/>
                <w:szCs w:val="20"/>
              </w:rPr>
              <w:t>Target not met as large group activities were postponed due to COVID-19.</w:t>
            </w:r>
          </w:p>
        </w:tc>
      </w:tr>
      <w:tr w:rsidR="00256DC9" w:rsidRPr="00EB1D75" w14:paraId="7AC90B06" w14:textId="77777777" w:rsidTr="00AE4F89">
        <w:tc>
          <w:tcPr>
            <w:tcW w:w="2553" w:type="dxa"/>
          </w:tcPr>
          <w:p w14:paraId="1E79167F" w14:textId="77777777" w:rsidR="00256DC9" w:rsidRPr="00EB1D75" w:rsidRDefault="00256DC9" w:rsidP="005B7866">
            <w:pPr>
              <w:pStyle w:val="BodyText"/>
              <w:spacing w:before="0" w:after="40" w:line="240" w:lineRule="auto"/>
              <w:rPr>
                <w:rFonts w:eastAsiaTheme="majorEastAsia" w:cstheme="minorHAnsi"/>
                <w:b/>
                <w:sz w:val="20"/>
                <w:szCs w:val="20"/>
              </w:rPr>
            </w:pPr>
            <w:r w:rsidRPr="00EB1D75">
              <w:rPr>
                <w:rFonts w:eastAsiaTheme="majorEastAsia" w:cstheme="minorHAnsi"/>
                <w:b/>
                <w:sz w:val="20"/>
                <w:szCs w:val="20"/>
              </w:rPr>
              <w:t>Strategic Objective 2: Enabling economic growth</w:t>
            </w:r>
          </w:p>
          <w:p w14:paraId="2660CD18" w14:textId="77777777" w:rsidR="00256DC9" w:rsidRPr="00EB1D75" w:rsidRDefault="00256DC9" w:rsidP="005B7866">
            <w:pPr>
              <w:pStyle w:val="BodyText"/>
              <w:spacing w:before="0" w:after="40" w:line="240" w:lineRule="auto"/>
              <w:rPr>
                <w:rFonts w:eastAsiaTheme="majorEastAsia" w:cstheme="minorHAnsi"/>
                <w:sz w:val="20"/>
                <w:szCs w:val="20"/>
              </w:rPr>
            </w:pPr>
          </w:p>
          <w:p w14:paraId="7BB158DD" w14:textId="5B355803" w:rsidR="00CC0E64" w:rsidRDefault="00256DC9"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sidR="00CC0E64">
              <w:rPr>
                <w:rFonts w:eastAsiaTheme="majorEastAsia" w:cstheme="minorHAnsi"/>
                <w:sz w:val="20"/>
                <w:szCs w:val="20"/>
              </w:rPr>
              <w:t xml:space="preserve"> </w:t>
            </w:r>
            <w:r w:rsidR="00CC0E64" w:rsidRPr="00A26425">
              <w:rPr>
                <w:rFonts w:asciiTheme="majorHAnsi" w:eastAsiaTheme="majorEastAsia" w:hAnsiTheme="majorHAnsi" w:cstheme="majorHAnsi"/>
                <w:sz w:val="20"/>
                <w:szCs w:val="20"/>
              </w:rPr>
              <w:t>2.1</w:t>
            </w:r>
            <w:r w:rsidRPr="00EB1D75">
              <w:rPr>
                <w:rFonts w:eastAsiaTheme="majorEastAsia" w:cstheme="minorHAnsi"/>
                <w:sz w:val="20"/>
                <w:szCs w:val="20"/>
              </w:rPr>
              <w:t>:</w:t>
            </w:r>
          </w:p>
          <w:p w14:paraId="240ED178" w14:textId="77777777" w:rsidR="004E7318" w:rsidRDefault="00256DC9"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Well-maintained economic and social infrastructure</w:t>
            </w:r>
            <w:r w:rsidR="004E7318">
              <w:rPr>
                <w:rFonts w:eastAsiaTheme="majorEastAsia" w:cstheme="minorHAnsi"/>
                <w:sz w:val="20"/>
                <w:szCs w:val="20"/>
              </w:rPr>
              <w:t>.</w:t>
            </w:r>
          </w:p>
          <w:p w14:paraId="4DE20EA9" w14:textId="77777777" w:rsidR="004E7318" w:rsidRDefault="004E7318" w:rsidP="005B7866">
            <w:pPr>
              <w:pStyle w:val="BodyText"/>
              <w:spacing w:before="0" w:after="40" w:line="240" w:lineRule="auto"/>
              <w:rPr>
                <w:rFonts w:eastAsiaTheme="majorEastAsia" w:cstheme="minorHAnsi"/>
                <w:sz w:val="20"/>
                <w:szCs w:val="20"/>
              </w:rPr>
            </w:pPr>
          </w:p>
          <w:p w14:paraId="2079B72C" w14:textId="77777777" w:rsidR="004E7318"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Pr>
                <w:rFonts w:eastAsiaTheme="majorEastAsia" w:cstheme="minorHAnsi"/>
                <w:sz w:val="20"/>
                <w:szCs w:val="20"/>
              </w:rPr>
              <w:t xml:space="preserve"> </w:t>
            </w:r>
            <w:r w:rsidRPr="00A26425">
              <w:rPr>
                <w:rFonts w:asciiTheme="majorHAnsi" w:eastAsiaTheme="majorEastAsia" w:hAnsiTheme="majorHAnsi" w:cstheme="majorHAnsi"/>
                <w:sz w:val="20"/>
                <w:szCs w:val="20"/>
              </w:rPr>
              <w:t>2.2</w:t>
            </w:r>
            <w:r w:rsidRPr="00EB1D75">
              <w:rPr>
                <w:rFonts w:eastAsiaTheme="majorEastAsia" w:cstheme="minorHAnsi"/>
                <w:sz w:val="20"/>
                <w:szCs w:val="20"/>
              </w:rPr>
              <w:t>:</w:t>
            </w:r>
          </w:p>
          <w:p w14:paraId="6AA8EC14" w14:textId="7874D6CB" w:rsidR="004E7318" w:rsidRPr="00EB1D75"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Catalyse inclusive economic growth</w:t>
            </w:r>
          </w:p>
        </w:tc>
        <w:tc>
          <w:tcPr>
            <w:tcW w:w="3260" w:type="dxa"/>
          </w:tcPr>
          <w:p w14:paraId="523D865D" w14:textId="77777777" w:rsidR="00256DC9"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6.</w:t>
            </w:r>
            <w:r w:rsidR="00256DC9" w:rsidRPr="00EB1D75">
              <w:rPr>
                <w:rFonts w:eastAsiaTheme="majorEastAsia" w:cstheme="minorHAnsi"/>
                <w:sz w:val="20"/>
                <w:szCs w:val="20"/>
              </w:rPr>
              <w:t xml:space="preserve"> Length of Papua New Guinea priority roads maintained</w:t>
            </w:r>
            <w:r>
              <w:rPr>
                <w:rFonts w:eastAsiaTheme="majorEastAsia" w:cstheme="minorHAnsi"/>
                <w:sz w:val="20"/>
                <w:szCs w:val="20"/>
              </w:rPr>
              <w:t>.</w:t>
            </w:r>
          </w:p>
          <w:p w14:paraId="721B169E" w14:textId="77777777" w:rsidR="00CC0E64"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7</w:t>
            </w:r>
            <w:r>
              <w:rPr>
                <w:rFonts w:eastAsiaTheme="majorEastAsia" w:cstheme="minorHAnsi"/>
                <w:sz w:val="20"/>
                <w:szCs w:val="20"/>
              </w:rPr>
              <w:t>.</w:t>
            </w:r>
            <w:r w:rsidRPr="00EB1D75">
              <w:rPr>
                <w:rFonts w:eastAsiaTheme="majorEastAsia" w:cstheme="minorHAnsi"/>
                <w:sz w:val="20"/>
                <w:szCs w:val="20"/>
              </w:rPr>
              <w:t xml:space="preserve"> Value of private sector investment leveraged (AUD)</w:t>
            </w:r>
            <w:r>
              <w:rPr>
                <w:rFonts w:eastAsiaTheme="majorEastAsia" w:cstheme="minorHAnsi"/>
                <w:sz w:val="20"/>
                <w:szCs w:val="20"/>
              </w:rPr>
              <w:t>.</w:t>
            </w:r>
          </w:p>
          <w:p w14:paraId="0D96E45F" w14:textId="77777777" w:rsidR="00CC0E64"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8</w:t>
            </w:r>
            <w:r>
              <w:rPr>
                <w:rFonts w:eastAsiaTheme="majorEastAsia" w:cstheme="minorHAnsi"/>
                <w:sz w:val="20"/>
                <w:szCs w:val="20"/>
              </w:rPr>
              <w:t xml:space="preserve">. </w:t>
            </w:r>
            <w:r w:rsidRPr="00EB1D75">
              <w:rPr>
                <w:rFonts w:eastAsiaTheme="majorEastAsia" w:cstheme="minorHAnsi"/>
                <w:sz w:val="20"/>
                <w:szCs w:val="20"/>
              </w:rPr>
              <w:t>Value of development investment attracted to PNG facilitated by or value-added to by Australia (AUD)</w:t>
            </w:r>
            <w:r>
              <w:rPr>
                <w:rFonts w:eastAsiaTheme="majorEastAsia" w:cstheme="minorHAnsi"/>
                <w:sz w:val="20"/>
                <w:szCs w:val="20"/>
              </w:rPr>
              <w:t>.</w:t>
            </w:r>
          </w:p>
          <w:p w14:paraId="6D62AB9A" w14:textId="77777777" w:rsidR="00CC0E64"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9</w:t>
            </w:r>
            <w:r>
              <w:rPr>
                <w:rFonts w:eastAsiaTheme="majorEastAsia" w:cstheme="minorHAnsi"/>
                <w:sz w:val="20"/>
                <w:szCs w:val="20"/>
              </w:rPr>
              <w:t>.</w:t>
            </w:r>
            <w:r w:rsidRPr="00EB1D75">
              <w:rPr>
                <w:rFonts w:eastAsiaTheme="majorEastAsia" w:cstheme="minorHAnsi"/>
                <w:sz w:val="20"/>
                <w:szCs w:val="20"/>
              </w:rPr>
              <w:t xml:space="preserve"> Number of women &amp; men with better access to financial services</w:t>
            </w:r>
            <w:r>
              <w:rPr>
                <w:rFonts w:eastAsiaTheme="majorEastAsia" w:cstheme="minorHAnsi"/>
                <w:sz w:val="20"/>
                <w:szCs w:val="20"/>
              </w:rPr>
              <w:t>.</w:t>
            </w:r>
          </w:p>
          <w:p w14:paraId="6D75BDB7" w14:textId="3FD91AAC" w:rsidR="00CC0E64" w:rsidRPr="00EB1D75" w:rsidRDefault="00CC0E64" w:rsidP="00CC0E64">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10</w:t>
            </w:r>
            <w:r w:rsidRPr="00EB1D75">
              <w:rPr>
                <w:rFonts w:eastAsiaTheme="majorEastAsia" w:cstheme="minorHAnsi"/>
                <w:sz w:val="20"/>
                <w:szCs w:val="20"/>
              </w:rPr>
              <w:t>. Number of women and men with better access to markets</w:t>
            </w:r>
          </w:p>
        </w:tc>
        <w:tc>
          <w:tcPr>
            <w:tcW w:w="4678" w:type="dxa"/>
          </w:tcPr>
          <w:p w14:paraId="67B04FFD" w14:textId="77777777" w:rsidR="00256DC9" w:rsidRDefault="00CC0E64" w:rsidP="00CC0E64">
            <w:pPr>
              <w:spacing w:before="0"/>
              <w:rPr>
                <w:rFonts w:eastAsiaTheme="majorEastAsia" w:cstheme="minorHAnsi"/>
                <w:sz w:val="20"/>
                <w:szCs w:val="20"/>
              </w:rPr>
            </w:pPr>
            <w:r>
              <w:rPr>
                <w:rFonts w:eastAsiaTheme="majorEastAsia" w:cstheme="minorHAnsi"/>
                <w:sz w:val="20"/>
                <w:szCs w:val="20"/>
              </w:rPr>
              <w:t xml:space="preserve">~ </w:t>
            </w:r>
            <w:r w:rsidR="00256DC9" w:rsidRPr="00EB1D75">
              <w:rPr>
                <w:rFonts w:eastAsiaTheme="majorEastAsia" w:cstheme="minorHAnsi"/>
                <w:sz w:val="20"/>
                <w:szCs w:val="20"/>
              </w:rPr>
              <w:t>1,833</w:t>
            </w:r>
            <w:r w:rsidR="00C80ECC" w:rsidRPr="00EB1D75">
              <w:rPr>
                <w:rFonts w:eastAsiaTheme="majorEastAsia" w:cstheme="minorHAnsi"/>
                <w:sz w:val="20"/>
                <w:szCs w:val="20"/>
              </w:rPr>
              <w:t>.</w:t>
            </w:r>
            <w:r w:rsidR="00256DC9" w:rsidRPr="00EB1D75">
              <w:rPr>
                <w:rFonts w:eastAsiaTheme="majorEastAsia" w:cstheme="minorHAnsi"/>
                <w:sz w:val="20"/>
                <w:szCs w:val="20"/>
              </w:rPr>
              <w:t xml:space="preserve"> Target was 1,500 km</w:t>
            </w:r>
            <w:r w:rsidR="00C80ECC" w:rsidRPr="00EB1D75">
              <w:rPr>
                <w:rFonts w:eastAsiaTheme="majorEastAsia" w:cstheme="minorHAnsi"/>
                <w:sz w:val="20"/>
                <w:szCs w:val="20"/>
              </w:rPr>
              <w:t>.</w:t>
            </w:r>
            <w:r>
              <w:rPr>
                <w:rFonts w:eastAsiaTheme="majorEastAsia" w:cstheme="minorHAnsi"/>
                <w:sz w:val="20"/>
                <w:szCs w:val="20"/>
              </w:rPr>
              <w:t xml:space="preserve"> </w:t>
            </w:r>
            <w:r w:rsidR="00256DC9" w:rsidRPr="00EB1D75">
              <w:rPr>
                <w:rFonts w:eastAsiaTheme="majorEastAsia" w:cstheme="minorHAnsi"/>
                <w:sz w:val="20"/>
                <w:szCs w:val="20"/>
              </w:rPr>
              <w:t>Australia invested in routine and periodic maintenance of 1,833 kilometres of roads defined by PNG as priority national highways, exceeding our target of 1,500 kilometres.</w:t>
            </w:r>
          </w:p>
          <w:p w14:paraId="513C7B95" w14:textId="77777777" w:rsidR="00CC0E64" w:rsidRDefault="00CC0E64" w:rsidP="00CC0E64">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$7,348,057. Target was $3,000,000.</w:t>
            </w:r>
            <w:r>
              <w:rPr>
                <w:rFonts w:eastAsiaTheme="majorEastAsia" w:cstheme="minorHAnsi"/>
                <w:sz w:val="20"/>
                <w:szCs w:val="20"/>
              </w:rPr>
              <w:t xml:space="preserve"> </w:t>
            </w:r>
            <w:r w:rsidRPr="00EB1D75">
              <w:rPr>
                <w:rFonts w:eastAsiaTheme="majorEastAsia" w:cstheme="minorHAnsi"/>
                <w:sz w:val="20"/>
                <w:szCs w:val="20"/>
              </w:rPr>
              <w:t>Australian ODA funds triggered substantial investment by the private sector in development outcomes. This target was significantly exceeded.</w:t>
            </w:r>
          </w:p>
          <w:p w14:paraId="7E815AEF" w14:textId="77777777" w:rsidR="00CC0E64" w:rsidRPr="00EB1D75" w:rsidRDefault="00CC0E64" w:rsidP="00CC0E64">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$1,140,331,035. Target was $90,000,000.</w:t>
            </w:r>
          </w:p>
          <w:p w14:paraId="0ADD3B1F" w14:textId="77777777" w:rsidR="00CC0E64" w:rsidRDefault="00CC0E64" w:rsidP="00CC0E64">
            <w:pPr>
              <w:spacing w:before="0"/>
              <w:rPr>
                <w:rFonts w:eastAsiaTheme="majorEastAsia" w:cstheme="minorHAnsi"/>
                <w:sz w:val="20"/>
                <w:szCs w:val="20"/>
              </w:rPr>
            </w:pPr>
            <w:r w:rsidRPr="00EB1D75">
              <w:rPr>
                <w:rFonts w:eastAsiaTheme="majorEastAsia" w:cstheme="minorHAnsi"/>
                <w:sz w:val="20"/>
                <w:szCs w:val="20"/>
              </w:rPr>
              <w:t>Australia has leveraged significant additional financing including AUD$527m in IMF financing under the Rapid Credit Facility. Development investment is well beyond target for this period.</w:t>
            </w:r>
          </w:p>
          <w:p w14:paraId="072893C2" w14:textId="3506F18F" w:rsidR="00CC0E64" w:rsidRDefault="00CC0E64" w:rsidP="00CC0E64">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9,579 (5,220 women, 4,359 men). Target was 6,440.</w:t>
            </w:r>
          </w:p>
          <w:p w14:paraId="5574BED0" w14:textId="68B5A4D6" w:rsidR="00CC0E64" w:rsidRPr="00EB1D75" w:rsidRDefault="004E7318" w:rsidP="004E7318">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1,091,678 (529,437 women, 562,241 men,). Target was 900,000.</w:t>
            </w:r>
            <w:r>
              <w:rPr>
                <w:rFonts w:eastAsiaTheme="majorEastAsia" w:cstheme="minorHAnsi"/>
                <w:sz w:val="20"/>
                <w:szCs w:val="20"/>
              </w:rPr>
              <w:t xml:space="preserve"> </w:t>
            </w:r>
            <w:r w:rsidRPr="00EB1D75">
              <w:rPr>
                <w:rFonts w:eastAsiaTheme="majorEastAsia" w:cstheme="minorHAnsi"/>
                <w:sz w:val="20"/>
                <w:szCs w:val="20"/>
              </w:rPr>
              <w:t>This target was exceeded with TSSP contributing over 90 per cent of beneficiaries.</w:t>
            </w:r>
          </w:p>
        </w:tc>
      </w:tr>
      <w:tr w:rsidR="00256DC9" w:rsidRPr="00EB1D75" w14:paraId="64503506" w14:textId="77777777" w:rsidTr="00AE4F89">
        <w:tc>
          <w:tcPr>
            <w:tcW w:w="2553" w:type="dxa"/>
          </w:tcPr>
          <w:p w14:paraId="1E334C42" w14:textId="77777777" w:rsidR="00256DC9" w:rsidRPr="00EB1D75" w:rsidRDefault="00256DC9" w:rsidP="005B7866">
            <w:pPr>
              <w:pStyle w:val="BodyText"/>
              <w:spacing w:before="0" w:after="40" w:line="240" w:lineRule="auto"/>
              <w:rPr>
                <w:rFonts w:eastAsiaTheme="majorEastAsia" w:cstheme="minorHAnsi"/>
                <w:b/>
                <w:sz w:val="20"/>
                <w:szCs w:val="20"/>
              </w:rPr>
            </w:pPr>
            <w:r w:rsidRPr="00EB1D75">
              <w:rPr>
                <w:rFonts w:eastAsiaTheme="majorEastAsia" w:cstheme="minorHAnsi"/>
                <w:b/>
                <w:sz w:val="20"/>
                <w:szCs w:val="20"/>
              </w:rPr>
              <w:t>Strategic Objective 3: Enhancing human development</w:t>
            </w:r>
          </w:p>
          <w:p w14:paraId="31014D61" w14:textId="77777777" w:rsidR="00256DC9" w:rsidRPr="00EB1D75" w:rsidRDefault="00256DC9" w:rsidP="005B7866">
            <w:pPr>
              <w:pStyle w:val="BodyText"/>
              <w:spacing w:before="0" w:after="40" w:line="240" w:lineRule="auto"/>
              <w:rPr>
                <w:rFonts w:eastAsiaTheme="majorEastAsia" w:cstheme="minorHAnsi"/>
                <w:b/>
                <w:sz w:val="20"/>
                <w:szCs w:val="20"/>
              </w:rPr>
            </w:pPr>
          </w:p>
          <w:p w14:paraId="6C1E9C20" w14:textId="77777777" w:rsidR="004E7318" w:rsidRDefault="00256DC9"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sidR="004E7318">
              <w:rPr>
                <w:rFonts w:eastAsiaTheme="majorEastAsia" w:cstheme="minorHAnsi"/>
                <w:sz w:val="20"/>
                <w:szCs w:val="20"/>
              </w:rPr>
              <w:t xml:space="preserve"> </w:t>
            </w:r>
            <w:r w:rsidR="004E7318" w:rsidRPr="00A26425">
              <w:rPr>
                <w:rFonts w:asciiTheme="majorHAnsi" w:eastAsiaTheme="majorEastAsia" w:hAnsiTheme="majorHAnsi" w:cstheme="majorHAnsi"/>
                <w:sz w:val="20"/>
                <w:szCs w:val="20"/>
              </w:rPr>
              <w:t>3.1</w:t>
            </w:r>
            <w:r w:rsidRPr="00EB1D75">
              <w:rPr>
                <w:rFonts w:eastAsiaTheme="majorEastAsia" w:cstheme="minorHAnsi"/>
                <w:sz w:val="20"/>
                <w:szCs w:val="20"/>
              </w:rPr>
              <w:t>:</w:t>
            </w:r>
          </w:p>
          <w:p w14:paraId="64899300" w14:textId="25FE304B" w:rsidR="00256DC9" w:rsidRDefault="00256DC9" w:rsidP="005B7866">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 xml:space="preserve"> More effective education service delivery system</w:t>
            </w:r>
            <w:r w:rsidR="004E7318">
              <w:rPr>
                <w:rFonts w:eastAsiaTheme="majorEastAsia" w:cstheme="minorHAnsi"/>
                <w:sz w:val="20"/>
                <w:szCs w:val="20"/>
              </w:rPr>
              <w:t>.</w:t>
            </w:r>
          </w:p>
          <w:p w14:paraId="238F78C7" w14:textId="77777777" w:rsidR="00A26425" w:rsidRDefault="00A26425" w:rsidP="005B7866">
            <w:pPr>
              <w:pStyle w:val="BodyText"/>
              <w:spacing w:before="0" w:after="40" w:line="240" w:lineRule="auto"/>
              <w:rPr>
                <w:rFonts w:eastAsiaTheme="majorEastAsia" w:cstheme="minorHAnsi"/>
                <w:sz w:val="20"/>
                <w:szCs w:val="20"/>
              </w:rPr>
            </w:pPr>
          </w:p>
          <w:p w14:paraId="6030F14C" w14:textId="77777777" w:rsidR="004E7318"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Pr>
                <w:rFonts w:eastAsiaTheme="majorEastAsia" w:cstheme="minorHAnsi"/>
                <w:sz w:val="20"/>
                <w:szCs w:val="20"/>
              </w:rPr>
              <w:t xml:space="preserve"> </w:t>
            </w:r>
            <w:r w:rsidRPr="00A26425">
              <w:rPr>
                <w:rFonts w:asciiTheme="majorHAnsi" w:eastAsiaTheme="majorEastAsia" w:hAnsiTheme="majorHAnsi" w:cstheme="majorHAnsi"/>
                <w:sz w:val="20"/>
                <w:szCs w:val="20"/>
              </w:rPr>
              <w:t>3.2</w:t>
            </w:r>
            <w:r w:rsidRPr="00EB1D75">
              <w:rPr>
                <w:rFonts w:eastAsiaTheme="majorEastAsia" w:cstheme="minorHAnsi"/>
                <w:sz w:val="20"/>
                <w:szCs w:val="20"/>
              </w:rPr>
              <w:t>:</w:t>
            </w:r>
          </w:p>
          <w:p w14:paraId="49A56BF7" w14:textId="720AC1C1" w:rsidR="004E7318"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 xml:space="preserve"> More effective health security systems and health services</w:t>
            </w:r>
            <w:r>
              <w:rPr>
                <w:rFonts w:eastAsiaTheme="majorEastAsia" w:cstheme="minorHAnsi"/>
                <w:sz w:val="20"/>
                <w:szCs w:val="20"/>
              </w:rPr>
              <w:t>.</w:t>
            </w:r>
          </w:p>
          <w:p w14:paraId="21B7F802" w14:textId="77777777" w:rsidR="00A26425" w:rsidRDefault="00A26425" w:rsidP="004E7318">
            <w:pPr>
              <w:pStyle w:val="BodyText"/>
              <w:spacing w:before="0" w:after="40" w:line="240" w:lineRule="auto"/>
              <w:rPr>
                <w:rFonts w:eastAsiaTheme="majorEastAsia" w:cstheme="minorHAnsi"/>
                <w:sz w:val="20"/>
                <w:szCs w:val="20"/>
              </w:rPr>
            </w:pPr>
          </w:p>
          <w:p w14:paraId="2F7A7100" w14:textId="77777777" w:rsidR="004E7318"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Sub-objective</w:t>
            </w:r>
            <w:r>
              <w:rPr>
                <w:rFonts w:eastAsiaTheme="majorEastAsia" w:cstheme="minorHAnsi"/>
                <w:sz w:val="20"/>
                <w:szCs w:val="20"/>
              </w:rPr>
              <w:t xml:space="preserve"> </w:t>
            </w:r>
            <w:r w:rsidRPr="00A26425">
              <w:rPr>
                <w:rFonts w:asciiTheme="majorHAnsi" w:eastAsiaTheme="majorEastAsia" w:hAnsiTheme="majorHAnsi" w:cstheme="majorHAnsi"/>
                <w:sz w:val="20"/>
                <w:szCs w:val="20"/>
              </w:rPr>
              <w:t>3.3</w:t>
            </w:r>
            <w:r w:rsidRPr="00EB1D75">
              <w:rPr>
                <w:rFonts w:eastAsiaTheme="majorEastAsia" w:cstheme="minorHAnsi"/>
                <w:sz w:val="20"/>
                <w:szCs w:val="20"/>
              </w:rPr>
              <w:t>:</w:t>
            </w:r>
          </w:p>
          <w:p w14:paraId="1A024E11" w14:textId="074DEC50" w:rsidR="004E7318" w:rsidRPr="00EB1D75" w:rsidRDefault="004E7318" w:rsidP="004E7318">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Gender equality and women’s empowerment</w:t>
            </w:r>
          </w:p>
        </w:tc>
        <w:tc>
          <w:tcPr>
            <w:tcW w:w="3260" w:type="dxa"/>
          </w:tcPr>
          <w:p w14:paraId="548F98B8" w14:textId="77777777" w:rsidR="00256DC9" w:rsidRDefault="00256DC9" w:rsidP="005B7866">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lastRenderedPageBreak/>
              <w:t>11</w:t>
            </w:r>
            <w:r w:rsidRPr="00EB1D75">
              <w:rPr>
                <w:rFonts w:eastAsiaTheme="majorEastAsia" w:cstheme="minorHAnsi"/>
                <w:sz w:val="20"/>
                <w:szCs w:val="20"/>
              </w:rPr>
              <w:t>. Number of women and men (by province) graduating from Australia Awards, APTC and Fellowships</w:t>
            </w:r>
            <w:r w:rsidR="004E7318">
              <w:rPr>
                <w:rFonts w:eastAsiaTheme="majorEastAsia" w:cstheme="minorHAnsi"/>
                <w:sz w:val="20"/>
                <w:szCs w:val="20"/>
              </w:rPr>
              <w:t>.</w:t>
            </w:r>
          </w:p>
          <w:p w14:paraId="4AF17D57" w14:textId="4B52C753" w:rsidR="004E7318" w:rsidRDefault="00A26425" w:rsidP="004E7318">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12</w:t>
            </w:r>
            <w:r w:rsidR="004E7318" w:rsidRPr="00EB1D75">
              <w:rPr>
                <w:rFonts w:eastAsiaTheme="majorEastAsia" w:cstheme="minorHAnsi"/>
                <w:sz w:val="20"/>
                <w:szCs w:val="20"/>
              </w:rPr>
              <w:t xml:space="preserve">. Couple years protection (i.e. protection provided by contraception in one year) in Eastern Highlands, Bougainville, </w:t>
            </w:r>
            <w:proofErr w:type="spellStart"/>
            <w:r w:rsidR="004E7318" w:rsidRPr="00EB1D75">
              <w:rPr>
                <w:rFonts w:eastAsiaTheme="majorEastAsia" w:cstheme="minorHAnsi"/>
                <w:sz w:val="20"/>
                <w:szCs w:val="20"/>
              </w:rPr>
              <w:t>Morobe</w:t>
            </w:r>
            <w:proofErr w:type="spellEnd"/>
            <w:r w:rsidR="004E7318" w:rsidRPr="00EB1D75">
              <w:rPr>
                <w:rFonts w:eastAsiaTheme="majorEastAsia" w:cstheme="minorHAnsi"/>
                <w:sz w:val="20"/>
                <w:szCs w:val="20"/>
              </w:rPr>
              <w:t xml:space="preserve"> and National Capital District</w:t>
            </w:r>
            <w:r w:rsidR="004E7318">
              <w:rPr>
                <w:rFonts w:eastAsiaTheme="majorEastAsia" w:cstheme="minorHAnsi"/>
                <w:sz w:val="20"/>
                <w:szCs w:val="20"/>
              </w:rPr>
              <w:t>.</w:t>
            </w:r>
          </w:p>
          <w:p w14:paraId="2D62434E" w14:textId="77777777" w:rsidR="004E7318" w:rsidRDefault="004E7318" w:rsidP="004E7318">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lastRenderedPageBreak/>
              <w:t>13</w:t>
            </w:r>
            <w:r w:rsidRPr="00EB1D75">
              <w:rPr>
                <w:rFonts w:eastAsiaTheme="majorEastAsia" w:cstheme="minorHAnsi"/>
                <w:sz w:val="20"/>
                <w:szCs w:val="20"/>
              </w:rPr>
              <w:t>. Percentage of tuberculosis patients in Western Province retained in treatment</w:t>
            </w:r>
            <w:r>
              <w:rPr>
                <w:rFonts w:eastAsiaTheme="majorEastAsia" w:cstheme="minorHAnsi"/>
                <w:sz w:val="20"/>
                <w:szCs w:val="20"/>
              </w:rPr>
              <w:t>.</w:t>
            </w:r>
          </w:p>
          <w:p w14:paraId="71824172"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14</w:t>
            </w:r>
            <w:r w:rsidRPr="00EB1D75">
              <w:rPr>
                <w:rFonts w:eastAsiaTheme="majorEastAsia" w:cstheme="minorHAnsi"/>
                <w:sz w:val="20"/>
                <w:szCs w:val="20"/>
              </w:rPr>
              <w:t>. Number of women and girls who have accessed crisis support services and family and sexual violence centres</w:t>
            </w:r>
            <w:r>
              <w:rPr>
                <w:rFonts w:eastAsiaTheme="majorEastAsia" w:cstheme="minorHAnsi"/>
                <w:sz w:val="20"/>
                <w:szCs w:val="20"/>
              </w:rPr>
              <w:t>.</w:t>
            </w:r>
          </w:p>
          <w:p w14:paraId="2D15B88A"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15</w:t>
            </w:r>
            <w:r w:rsidRPr="00EB1D75">
              <w:rPr>
                <w:rFonts w:eastAsiaTheme="majorEastAsia" w:cstheme="minorHAnsi"/>
                <w:sz w:val="20"/>
                <w:szCs w:val="20"/>
              </w:rPr>
              <w:t>. Number of women trained or mentored and engaged by Papua New Guinea in positions to influence decision-making, including through candidacy in elections and at the local government level</w:t>
            </w:r>
            <w:r>
              <w:rPr>
                <w:rFonts w:eastAsiaTheme="majorEastAsia" w:cstheme="minorHAnsi"/>
                <w:sz w:val="20"/>
                <w:szCs w:val="20"/>
              </w:rPr>
              <w:t>.</w:t>
            </w:r>
          </w:p>
          <w:p w14:paraId="35553F01" w14:textId="77777777" w:rsidR="00A26425" w:rsidRDefault="00A26425" w:rsidP="00A26425">
            <w:pPr>
              <w:pStyle w:val="BodyText"/>
              <w:spacing w:before="0" w:after="40" w:line="240" w:lineRule="auto"/>
              <w:rPr>
                <w:rFonts w:eastAsiaTheme="majorEastAsia" w:cstheme="minorHAnsi"/>
                <w:sz w:val="20"/>
                <w:szCs w:val="20"/>
              </w:rPr>
            </w:pPr>
            <w:r w:rsidRPr="00EB1D75">
              <w:rPr>
                <w:rFonts w:eastAsiaTheme="majorEastAsia" w:cstheme="minorHAnsi"/>
                <w:sz w:val="20"/>
                <w:szCs w:val="20"/>
              </w:rPr>
              <w:t>16. Aid effectiveness - DFAT delivers effective programs in Papua New Guinea</w:t>
            </w:r>
            <w:r>
              <w:rPr>
                <w:rFonts w:eastAsiaTheme="majorEastAsia" w:cstheme="minorHAnsi"/>
                <w:sz w:val="20"/>
                <w:szCs w:val="20"/>
              </w:rPr>
              <w:t>.</w:t>
            </w:r>
          </w:p>
          <w:p w14:paraId="6579B51F" w14:textId="1E378FAD" w:rsidR="004E7318" w:rsidRPr="00EB1D75" w:rsidRDefault="004E7318" w:rsidP="005B7866">
            <w:pPr>
              <w:pStyle w:val="BodyText"/>
              <w:spacing w:before="0" w:after="40" w:line="240" w:lineRule="auto"/>
              <w:rPr>
                <w:rFonts w:eastAsiaTheme="majorEastAsia" w:cstheme="minorHAnsi"/>
                <w:sz w:val="20"/>
                <w:szCs w:val="20"/>
              </w:rPr>
            </w:pPr>
          </w:p>
        </w:tc>
        <w:tc>
          <w:tcPr>
            <w:tcW w:w="4678" w:type="dxa"/>
          </w:tcPr>
          <w:p w14:paraId="09264307" w14:textId="15124775" w:rsidR="00256DC9" w:rsidRPr="00EB1D75" w:rsidRDefault="004E7318" w:rsidP="005B7866">
            <w:pPr>
              <w:spacing w:before="0"/>
              <w:rPr>
                <w:rFonts w:eastAsiaTheme="majorEastAsia" w:cstheme="minorHAnsi"/>
                <w:sz w:val="20"/>
                <w:szCs w:val="20"/>
              </w:rPr>
            </w:pPr>
            <w:r>
              <w:rPr>
                <w:rFonts w:eastAsiaTheme="majorEastAsia" w:cstheme="minorHAnsi"/>
                <w:sz w:val="20"/>
                <w:szCs w:val="20"/>
              </w:rPr>
              <w:lastRenderedPageBreak/>
              <w:t xml:space="preserve">~ </w:t>
            </w:r>
            <w:r w:rsidR="00256DC9" w:rsidRPr="00EB1D75">
              <w:rPr>
                <w:rFonts w:eastAsiaTheme="majorEastAsia" w:cstheme="minorHAnsi"/>
                <w:sz w:val="20"/>
                <w:szCs w:val="20"/>
              </w:rPr>
              <w:t>478 (222 women, 256 men)</w:t>
            </w:r>
            <w:r w:rsidR="001A00D6" w:rsidRPr="00EB1D75">
              <w:rPr>
                <w:rFonts w:eastAsiaTheme="majorEastAsia" w:cstheme="minorHAnsi"/>
                <w:sz w:val="20"/>
                <w:szCs w:val="20"/>
              </w:rPr>
              <w:t>.</w:t>
            </w:r>
            <w:r w:rsidR="00256DC9" w:rsidRPr="00EB1D75">
              <w:rPr>
                <w:rFonts w:eastAsiaTheme="majorEastAsia" w:cstheme="minorHAnsi"/>
                <w:sz w:val="20"/>
                <w:szCs w:val="20"/>
              </w:rPr>
              <w:t xml:space="preserve"> </w:t>
            </w:r>
            <w:r w:rsidR="001A00D6" w:rsidRPr="00EB1D75">
              <w:rPr>
                <w:rFonts w:eastAsiaTheme="majorEastAsia" w:cstheme="minorHAnsi"/>
                <w:sz w:val="20"/>
                <w:szCs w:val="20"/>
              </w:rPr>
              <w:t>T</w:t>
            </w:r>
            <w:r w:rsidR="00256DC9" w:rsidRPr="00EB1D75">
              <w:rPr>
                <w:rFonts w:eastAsiaTheme="majorEastAsia" w:cstheme="minorHAnsi"/>
                <w:sz w:val="20"/>
                <w:szCs w:val="20"/>
              </w:rPr>
              <w:t>arget was 90 graduates In-Australia long-term; 250 In-PNG graduates; 150 short course graduates</w:t>
            </w:r>
            <w:r w:rsidR="001A00D6" w:rsidRPr="00EB1D75">
              <w:rPr>
                <w:rFonts w:eastAsiaTheme="majorEastAsia" w:cstheme="minorHAnsi"/>
                <w:sz w:val="20"/>
                <w:szCs w:val="20"/>
              </w:rPr>
              <w:t>.</w:t>
            </w:r>
          </w:p>
          <w:p w14:paraId="4708ECAB" w14:textId="77777777" w:rsidR="00256DC9" w:rsidRDefault="00256DC9" w:rsidP="005B7866">
            <w:pPr>
              <w:spacing w:before="0"/>
              <w:rPr>
                <w:rFonts w:eastAsiaTheme="majorEastAsia" w:cstheme="minorHAnsi"/>
                <w:sz w:val="20"/>
                <w:szCs w:val="20"/>
              </w:rPr>
            </w:pPr>
            <w:r w:rsidRPr="00EB1D75">
              <w:rPr>
                <w:rFonts w:eastAsiaTheme="majorEastAsia" w:cstheme="minorHAnsi"/>
                <w:sz w:val="20"/>
                <w:szCs w:val="20"/>
              </w:rPr>
              <w:t>APTC Graduates:</w:t>
            </w:r>
            <w:r w:rsidR="0071059D" w:rsidRPr="00EB1D75">
              <w:rPr>
                <w:rFonts w:eastAsiaTheme="majorEastAsia" w:cstheme="minorHAnsi"/>
                <w:sz w:val="20"/>
                <w:szCs w:val="20"/>
              </w:rPr>
              <w:t xml:space="preserve"> </w:t>
            </w:r>
            <w:r w:rsidRPr="00EB1D75">
              <w:rPr>
                <w:rFonts w:eastAsiaTheme="majorEastAsia" w:cstheme="minorHAnsi"/>
                <w:sz w:val="20"/>
                <w:szCs w:val="20"/>
              </w:rPr>
              <w:t>199 (58 women,</w:t>
            </w:r>
            <w:r w:rsidR="0071059D" w:rsidRPr="00EB1D75">
              <w:rPr>
                <w:rFonts w:eastAsiaTheme="majorEastAsia" w:cstheme="minorHAnsi"/>
                <w:sz w:val="20"/>
                <w:szCs w:val="20"/>
              </w:rPr>
              <w:t xml:space="preserve"> </w:t>
            </w:r>
            <w:r w:rsidRPr="00EB1D75">
              <w:rPr>
                <w:rFonts w:eastAsiaTheme="majorEastAsia" w:cstheme="minorHAnsi"/>
                <w:sz w:val="20"/>
                <w:szCs w:val="20"/>
              </w:rPr>
              <w:t>141 men); Australia Awards: 279 (164 women, 115 men); In-PNG Scholarships 112(38 men,</w:t>
            </w:r>
            <w:r w:rsidR="0071059D" w:rsidRPr="00EB1D75">
              <w:rPr>
                <w:rFonts w:eastAsiaTheme="majorEastAsia" w:cstheme="minorHAnsi"/>
                <w:sz w:val="20"/>
                <w:szCs w:val="20"/>
              </w:rPr>
              <w:t xml:space="preserve"> </w:t>
            </w:r>
            <w:r w:rsidRPr="00EB1D75">
              <w:rPr>
                <w:rFonts w:eastAsiaTheme="majorEastAsia" w:cstheme="minorHAnsi"/>
                <w:sz w:val="20"/>
                <w:szCs w:val="20"/>
              </w:rPr>
              <w:t>74 women); Short Course Awards 98 (42 men,</w:t>
            </w:r>
            <w:r w:rsidR="0071059D" w:rsidRPr="00EB1D75">
              <w:rPr>
                <w:rFonts w:eastAsiaTheme="majorEastAsia" w:cstheme="minorHAnsi"/>
                <w:sz w:val="20"/>
                <w:szCs w:val="20"/>
              </w:rPr>
              <w:t xml:space="preserve"> </w:t>
            </w:r>
            <w:r w:rsidRPr="00EB1D75">
              <w:rPr>
                <w:rFonts w:eastAsiaTheme="majorEastAsia" w:cstheme="minorHAnsi"/>
                <w:sz w:val="20"/>
                <w:szCs w:val="20"/>
              </w:rPr>
              <w:t>56 women)</w:t>
            </w:r>
            <w:r w:rsidR="0071059D" w:rsidRPr="00EB1D75">
              <w:rPr>
                <w:rFonts w:eastAsiaTheme="majorEastAsia" w:cstheme="minorHAnsi"/>
                <w:sz w:val="20"/>
                <w:szCs w:val="20"/>
              </w:rPr>
              <w:t>.</w:t>
            </w:r>
          </w:p>
          <w:p w14:paraId="2A0F85C2" w14:textId="77777777" w:rsidR="00A26425" w:rsidRDefault="00A26425" w:rsidP="00A26425">
            <w:pPr>
              <w:spacing w:before="0"/>
              <w:rPr>
                <w:rFonts w:eastAsiaTheme="majorEastAsia" w:cstheme="minorHAnsi"/>
                <w:sz w:val="20"/>
                <w:szCs w:val="20"/>
              </w:rPr>
            </w:pPr>
            <w:r>
              <w:rPr>
                <w:rFonts w:eastAsiaTheme="majorEastAsia" w:cstheme="minorHAnsi"/>
                <w:sz w:val="20"/>
                <w:szCs w:val="20"/>
              </w:rPr>
              <w:lastRenderedPageBreak/>
              <w:t>~</w:t>
            </w:r>
            <w:r w:rsidRPr="00EB1D75">
              <w:rPr>
                <w:rFonts w:eastAsiaTheme="majorEastAsia" w:cstheme="minorHAnsi"/>
                <w:sz w:val="20"/>
                <w:szCs w:val="20"/>
              </w:rPr>
              <w:t>124,727. Target was 56,000.</w:t>
            </w:r>
            <w:r>
              <w:rPr>
                <w:rFonts w:eastAsiaTheme="majorEastAsia" w:cstheme="minorHAnsi"/>
                <w:sz w:val="20"/>
                <w:szCs w:val="20"/>
              </w:rPr>
              <w:t xml:space="preserve"> </w:t>
            </w:r>
            <w:r w:rsidRPr="00EB1D75">
              <w:rPr>
                <w:rFonts w:eastAsiaTheme="majorEastAsia" w:cstheme="minorHAnsi"/>
                <w:sz w:val="20"/>
                <w:szCs w:val="20"/>
              </w:rPr>
              <w:t>This target was significantly exceeded as 2019-20 targets for PPF were incomplete.</w:t>
            </w:r>
          </w:p>
          <w:p w14:paraId="308B26C3" w14:textId="77777777"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99 per cent. Target was 85 per cent.</w:t>
            </w:r>
            <w:r>
              <w:rPr>
                <w:rFonts w:eastAsiaTheme="majorEastAsia" w:cstheme="minorHAnsi"/>
                <w:sz w:val="20"/>
                <w:szCs w:val="20"/>
              </w:rPr>
              <w:t xml:space="preserve"> </w:t>
            </w:r>
            <w:r w:rsidRPr="00EB1D75">
              <w:rPr>
                <w:rFonts w:eastAsiaTheme="majorEastAsia" w:cstheme="minorHAnsi"/>
                <w:sz w:val="20"/>
                <w:szCs w:val="20"/>
              </w:rPr>
              <w:t>This target was exceeded. Western Province continues to have strong case identification and treatment success rates.</w:t>
            </w:r>
          </w:p>
          <w:p w14:paraId="297AD1DF" w14:textId="77777777"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3,738. No target was set.</w:t>
            </w:r>
            <w:r>
              <w:rPr>
                <w:rFonts w:eastAsiaTheme="majorEastAsia" w:cstheme="minorHAnsi"/>
                <w:sz w:val="20"/>
                <w:szCs w:val="20"/>
              </w:rPr>
              <w:t xml:space="preserve"> </w:t>
            </w:r>
            <w:r w:rsidRPr="00EB1D75">
              <w:rPr>
                <w:rFonts w:eastAsiaTheme="majorEastAsia" w:cstheme="minorHAnsi"/>
                <w:sz w:val="20"/>
                <w:szCs w:val="20"/>
              </w:rPr>
              <w:t>Through Australian support, Pacific Women partners provided vital crisis and counselling support services in PNG during COVID-19.</w:t>
            </w:r>
          </w:p>
          <w:p w14:paraId="67D21587" w14:textId="77777777"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792. Target was 650 (Target was incorrectly listed as 16,701 in 2018-19 APPR). This target was exceeded.</w:t>
            </w:r>
          </w:p>
          <w:p w14:paraId="0190BAC2" w14:textId="77777777" w:rsidR="00A26425" w:rsidRPr="00EB1D7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Target: COVID-19 Development Response Plan prepared.</w:t>
            </w:r>
          </w:p>
          <w:p w14:paraId="1BE61213" w14:textId="2859485E" w:rsidR="00A26425" w:rsidRPr="00EB1D75" w:rsidRDefault="00A26425" w:rsidP="00A26425">
            <w:pPr>
              <w:spacing w:before="0"/>
              <w:rPr>
                <w:rFonts w:eastAsiaTheme="majorEastAsia" w:cstheme="minorHAnsi"/>
                <w:sz w:val="20"/>
                <w:szCs w:val="20"/>
              </w:rPr>
            </w:pPr>
            <w:r w:rsidRPr="00EB1D75">
              <w:rPr>
                <w:rFonts w:eastAsiaTheme="majorEastAsia" w:cstheme="minorHAnsi"/>
                <w:sz w:val="20"/>
                <w:szCs w:val="20"/>
              </w:rPr>
              <w:t>Due to COVID-19 we have developed a COVID-19 Development Response Plan with a Performance Framework</w:t>
            </w:r>
          </w:p>
        </w:tc>
      </w:tr>
      <w:tr w:rsidR="00256DC9" w:rsidRPr="00EB1D75" w14:paraId="1F35C555" w14:textId="77777777" w:rsidTr="00AE4F89">
        <w:tc>
          <w:tcPr>
            <w:tcW w:w="2553" w:type="dxa"/>
          </w:tcPr>
          <w:p w14:paraId="3AD0DD07" w14:textId="77777777" w:rsidR="004E7318" w:rsidRPr="004E7318" w:rsidRDefault="00256DC9" w:rsidP="005B7866">
            <w:pPr>
              <w:pStyle w:val="BodyText"/>
              <w:spacing w:before="0" w:after="40" w:line="240" w:lineRule="auto"/>
              <w:rPr>
                <w:rFonts w:eastAsiaTheme="majorEastAsia" w:cstheme="minorHAnsi"/>
                <w:sz w:val="20"/>
                <w:szCs w:val="20"/>
              </w:rPr>
            </w:pPr>
            <w:r w:rsidRPr="004E7318">
              <w:rPr>
                <w:rFonts w:eastAsiaTheme="majorEastAsia" w:cstheme="minorHAnsi"/>
                <w:sz w:val="20"/>
                <w:szCs w:val="20"/>
              </w:rPr>
              <w:lastRenderedPageBreak/>
              <w:t>Shared Development Objective:</w:t>
            </w:r>
          </w:p>
          <w:p w14:paraId="5F6043E1" w14:textId="43895019" w:rsidR="00256DC9" w:rsidRPr="00EB1D75" w:rsidRDefault="00256DC9" w:rsidP="005B7866">
            <w:pPr>
              <w:pStyle w:val="BodyText"/>
              <w:spacing w:before="0" w:after="40" w:line="240" w:lineRule="auto"/>
              <w:rPr>
                <w:rFonts w:eastAsiaTheme="majorEastAsia" w:cstheme="minorHAnsi"/>
                <w:b/>
                <w:sz w:val="20"/>
                <w:szCs w:val="20"/>
              </w:rPr>
            </w:pPr>
            <w:r w:rsidRPr="00EB1D75">
              <w:rPr>
                <w:rFonts w:eastAsiaTheme="majorEastAsia" w:cstheme="minorHAnsi"/>
                <w:b/>
                <w:sz w:val="20"/>
                <w:szCs w:val="20"/>
              </w:rPr>
              <w:t>Economic and strategic partnership that contributes to sustained and inclusive economic growth in Papua New Guinea Broader Partnership Indicators</w:t>
            </w:r>
          </w:p>
        </w:tc>
        <w:tc>
          <w:tcPr>
            <w:tcW w:w="3260" w:type="dxa"/>
          </w:tcPr>
          <w:p w14:paraId="1FF7EE8E" w14:textId="77777777" w:rsidR="00256DC9" w:rsidRDefault="00256DC9" w:rsidP="005B7866">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17</w:t>
            </w:r>
            <w:r w:rsidRPr="00EB1D75">
              <w:rPr>
                <w:rFonts w:eastAsiaTheme="majorEastAsia" w:cstheme="minorHAnsi"/>
                <w:sz w:val="20"/>
                <w:szCs w:val="20"/>
              </w:rPr>
              <w:t>. Number of women and men travelling between Australia and Papua New Guinea (by class of visa)</w:t>
            </w:r>
            <w:r w:rsidR="00A26425">
              <w:rPr>
                <w:rFonts w:eastAsiaTheme="majorEastAsia" w:cstheme="minorHAnsi"/>
                <w:sz w:val="20"/>
                <w:szCs w:val="20"/>
              </w:rPr>
              <w:t>.</w:t>
            </w:r>
          </w:p>
          <w:p w14:paraId="13A68A91"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18</w:t>
            </w:r>
            <w:r w:rsidRPr="00EB1D75">
              <w:rPr>
                <w:rFonts w:eastAsiaTheme="majorEastAsia" w:cstheme="minorHAnsi"/>
                <w:sz w:val="20"/>
                <w:szCs w:val="20"/>
              </w:rPr>
              <w:t>. Number of women and men Australian tourists travelling to Papua New Guinea</w:t>
            </w:r>
            <w:r>
              <w:rPr>
                <w:rFonts w:eastAsiaTheme="majorEastAsia" w:cstheme="minorHAnsi"/>
                <w:sz w:val="20"/>
                <w:szCs w:val="20"/>
              </w:rPr>
              <w:t>.</w:t>
            </w:r>
          </w:p>
          <w:p w14:paraId="6A70406E"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19</w:t>
            </w:r>
            <w:r w:rsidRPr="00EB1D75">
              <w:rPr>
                <w:rFonts w:eastAsiaTheme="majorEastAsia" w:cstheme="minorHAnsi"/>
                <w:sz w:val="20"/>
                <w:szCs w:val="20"/>
              </w:rPr>
              <w:t>. Value of trade between Australia and Papua New Guinea (as goods, services)</w:t>
            </w:r>
            <w:r>
              <w:rPr>
                <w:rFonts w:eastAsiaTheme="majorEastAsia" w:cstheme="minorHAnsi"/>
                <w:sz w:val="20"/>
                <w:szCs w:val="20"/>
              </w:rPr>
              <w:t>.</w:t>
            </w:r>
          </w:p>
          <w:p w14:paraId="26469962"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20</w:t>
            </w:r>
            <w:r w:rsidRPr="00EB1D75">
              <w:rPr>
                <w:rFonts w:eastAsiaTheme="majorEastAsia" w:cstheme="minorHAnsi"/>
                <w:sz w:val="20"/>
                <w:szCs w:val="20"/>
              </w:rPr>
              <w:t>. Number of Australian companies doing business in Papua New Guinea, and number of transactions</w:t>
            </w:r>
            <w:r>
              <w:rPr>
                <w:rFonts w:eastAsiaTheme="majorEastAsia" w:cstheme="minorHAnsi"/>
                <w:sz w:val="20"/>
                <w:szCs w:val="20"/>
              </w:rPr>
              <w:t>.</w:t>
            </w:r>
          </w:p>
          <w:p w14:paraId="25F59FDF"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21</w:t>
            </w:r>
            <w:r w:rsidRPr="00EB1D75">
              <w:rPr>
                <w:rFonts w:eastAsiaTheme="majorEastAsia" w:cstheme="minorHAnsi"/>
                <w:sz w:val="20"/>
                <w:szCs w:val="20"/>
              </w:rPr>
              <w:t>. Foreign Investment Stock</w:t>
            </w:r>
            <w:r>
              <w:rPr>
                <w:rFonts w:eastAsiaTheme="majorEastAsia" w:cstheme="minorHAnsi"/>
                <w:sz w:val="20"/>
                <w:szCs w:val="20"/>
              </w:rPr>
              <w:t>.</w:t>
            </w:r>
          </w:p>
          <w:p w14:paraId="55367445" w14:textId="77777777" w:rsidR="00A26425" w:rsidRDefault="00A26425" w:rsidP="00A26425">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22</w:t>
            </w:r>
            <w:r w:rsidRPr="00EB1D75">
              <w:rPr>
                <w:rFonts w:eastAsiaTheme="majorEastAsia" w:cstheme="minorHAnsi"/>
                <w:sz w:val="20"/>
                <w:szCs w:val="20"/>
              </w:rPr>
              <w:t>. Number of institutional partnerships</w:t>
            </w:r>
            <w:r>
              <w:rPr>
                <w:rFonts w:eastAsiaTheme="majorEastAsia" w:cstheme="minorHAnsi"/>
                <w:sz w:val="20"/>
                <w:szCs w:val="20"/>
              </w:rPr>
              <w:t>.</w:t>
            </w:r>
          </w:p>
          <w:p w14:paraId="0B18F9E4" w14:textId="5B2C4B1A" w:rsidR="00A26425" w:rsidRPr="00EB1D75" w:rsidRDefault="00A26425" w:rsidP="005B7866">
            <w:pPr>
              <w:pStyle w:val="BodyText"/>
              <w:spacing w:before="0" w:after="40" w:line="240" w:lineRule="auto"/>
              <w:rPr>
                <w:rFonts w:eastAsiaTheme="majorEastAsia" w:cstheme="minorHAnsi"/>
                <w:sz w:val="20"/>
                <w:szCs w:val="20"/>
              </w:rPr>
            </w:pPr>
            <w:r w:rsidRPr="00A26425">
              <w:rPr>
                <w:rFonts w:asciiTheme="majorHAnsi" w:eastAsiaTheme="majorEastAsia" w:hAnsiTheme="majorHAnsi" w:cstheme="majorHAnsi"/>
                <w:sz w:val="20"/>
                <w:szCs w:val="20"/>
              </w:rPr>
              <w:t>23</w:t>
            </w:r>
            <w:r w:rsidRPr="00EB1D75">
              <w:rPr>
                <w:rFonts w:eastAsiaTheme="majorEastAsia" w:cstheme="minorHAnsi"/>
                <w:sz w:val="20"/>
                <w:szCs w:val="20"/>
              </w:rPr>
              <w:t>. Number of twinning/short term arrangements</w:t>
            </w:r>
          </w:p>
        </w:tc>
        <w:tc>
          <w:tcPr>
            <w:tcW w:w="4678" w:type="dxa"/>
          </w:tcPr>
          <w:p w14:paraId="5CD29954" w14:textId="7D329724" w:rsidR="00256DC9" w:rsidRDefault="00A26425" w:rsidP="004E7318">
            <w:pPr>
              <w:spacing w:before="0" w:after="0" w:line="240" w:lineRule="auto"/>
              <w:rPr>
                <w:rFonts w:eastAsiaTheme="majorEastAsia" w:cstheme="minorHAnsi"/>
                <w:sz w:val="20"/>
                <w:szCs w:val="20"/>
              </w:rPr>
            </w:pPr>
            <w:r>
              <w:rPr>
                <w:rFonts w:eastAsiaTheme="majorEastAsia" w:cstheme="minorHAnsi"/>
                <w:sz w:val="20"/>
                <w:szCs w:val="20"/>
              </w:rPr>
              <w:t xml:space="preserve">~ </w:t>
            </w:r>
            <w:r w:rsidR="00256DC9" w:rsidRPr="00EB1D75">
              <w:rPr>
                <w:rFonts w:eastAsiaTheme="majorEastAsia" w:cstheme="minorHAnsi"/>
                <w:sz w:val="20"/>
                <w:szCs w:val="20"/>
              </w:rPr>
              <w:t>30,056 Papua New Guinean arrivals in Australia (short term movements)</w:t>
            </w:r>
            <w:r w:rsidR="001A00D6" w:rsidRPr="00EB1D75">
              <w:rPr>
                <w:rFonts w:eastAsiaTheme="majorEastAsia" w:cstheme="minorHAnsi"/>
                <w:sz w:val="20"/>
                <w:szCs w:val="20"/>
              </w:rPr>
              <w:t>.</w:t>
            </w:r>
            <w:r w:rsidR="004E7318">
              <w:rPr>
                <w:rFonts w:eastAsiaTheme="majorEastAsia" w:cstheme="minorHAnsi"/>
                <w:sz w:val="20"/>
                <w:szCs w:val="20"/>
              </w:rPr>
              <w:t xml:space="preserve"> </w:t>
            </w:r>
            <w:r w:rsidR="00256DC9" w:rsidRPr="00EB1D75">
              <w:rPr>
                <w:rFonts w:eastAsiaTheme="majorEastAsia" w:cstheme="minorHAnsi"/>
                <w:sz w:val="20"/>
                <w:szCs w:val="20"/>
              </w:rPr>
              <w:t>Figure unavailable for Australian departures for PNG (short term movements)</w:t>
            </w:r>
            <w:r w:rsidR="00FF5B6D" w:rsidRPr="00EB1D75">
              <w:rPr>
                <w:rFonts w:eastAsiaTheme="majorEastAsia" w:cstheme="minorHAnsi"/>
                <w:sz w:val="20"/>
                <w:szCs w:val="20"/>
              </w:rPr>
              <w:t>.</w:t>
            </w:r>
          </w:p>
          <w:p w14:paraId="044A7808" w14:textId="77777777" w:rsidR="00A26425" w:rsidRDefault="00A26425" w:rsidP="004E7318">
            <w:pPr>
              <w:spacing w:before="0" w:after="0" w:line="240" w:lineRule="auto"/>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Figure unavailable at time of reporting</w:t>
            </w:r>
            <w:r>
              <w:rPr>
                <w:rFonts w:eastAsiaTheme="majorEastAsia" w:cstheme="minorHAnsi"/>
                <w:sz w:val="20"/>
                <w:szCs w:val="20"/>
              </w:rPr>
              <w:t>.</w:t>
            </w:r>
          </w:p>
          <w:p w14:paraId="4F031B5A" w14:textId="558529E4"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$7.5 billion in 2019</w:t>
            </w:r>
            <w:r>
              <w:rPr>
                <w:rFonts w:eastAsiaTheme="majorEastAsia" w:cstheme="minorHAnsi"/>
                <w:sz w:val="20"/>
                <w:szCs w:val="20"/>
              </w:rPr>
              <w:t>.</w:t>
            </w:r>
          </w:p>
          <w:p w14:paraId="422F2E4A" w14:textId="1A6D312E"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Figure unavailable at time of reporting</w:t>
            </w:r>
            <w:r>
              <w:rPr>
                <w:rFonts w:eastAsiaTheme="majorEastAsia" w:cstheme="minorHAnsi"/>
                <w:sz w:val="20"/>
                <w:szCs w:val="20"/>
              </w:rPr>
              <w:t>.</w:t>
            </w:r>
          </w:p>
          <w:p w14:paraId="6A046C14" w14:textId="5FD2B6E3"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$17.0 billion in 2019</w:t>
            </w:r>
          </w:p>
          <w:p w14:paraId="58063956" w14:textId="77777777" w:rsidR="00A26425" w:rsidRDefault="00A26425" w:rsidP="00A26425">
            <w:pPr>
              <w:spacing w:before="0"/>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20 partnerships between Australian and PNG Government agencies</w:t>
            </w:r>
            <w:r>
              <w:rPr>
                <w:rFonts w:eastAsiaTheme="majorEastAsia" w:cstheme="minorHAnsi"/>
                <w:sz w:val="20"/>
                <w:szCs w:val="20"/>
              </w:rPr>
              <w:t>.</w:t>
            </w:r>
          </w:p>
          <w:p w14:paraId="2B2A4279" w14:textId="77777777" w:rsidR="00A26425" w:rsidRDefault="00A26425" w:rsidP="00A26425">
            <w:pPr>
              <w:spacing w:before="0" w:after="0" w:line="240" w:lineRule="auto"/>
              <w:rPr>
                <w:rFonts w:eastAsiaTheme="majorEastAsia" w:cstheme="minorHAnsi"/>
                <w:sz w:val="20"/>
                <w:szCs w:val="20"/>
              </w:rPr>
            </w:pPr>
            <w:r>
              <w:rPr>
                <w:rFonts w:eastAsiaTheme="majorEastAsia" w:cstheme="minorHAnsi"/>
                <w:sz w:val="20"/>
                <w:szCs w:val="20"/>
              </w:rPr>
              <w:t xml:space="preserve">~ </w:t>
            </w:r>
            <w:r w:rsidRPr="00EB1D75">
              <w:rPr>
                <w:rFonts w:eastAsiaTheme="majorEastAsia" w:cstheme="minorHAnsi"/>
                <w:sz w:val="20"/>
                <w:szCs w:val="20"/>
              </w:rPr>
              <w:t>3</w:t>
            </w:r>
            <w:r>
              <w:rPr>
                <w:rFonts w:eastAsiaTheme="majorEastAsia" w:cstheme="minorHAnsi"/>
                <w:sz w:val="20"/>
                <w:szCs w:val="20"/>
              </w:rPr>
              <w:t>.</w:t>
            </w:r>
          </w:p>
          <w:p w14:paraId="5C0DF9D2" w14:textId="150F3AAB" w:rsidR="00A26425" w:rsidRPr="00EB1D75" w:rsidRDefault="00A26425" w:rsidP="004E7318">
            <w:pPr>
              <w:spacing w:before="0" w:after="0" w:line="240" w:lineRule="auto"/>
              <w:rPr>
                <w:rFonts w:eastAsiaTheme="majorEastAsia" w:cstheme="minorHAnsi"/>
                <w:sz w:val="20"/>
                <w:szCs w:val="20"/>
              </w:rPr>
            </w:pPr>
          </w:p>
        </w:tc>
      </w:tr>
    </w:tbl>
    <w:p w14:paraId="51BC71F0" w14:textId="716BA12A" w:rsidR="00390828" w:rsidRDefault="00390828" w:rsidP="00783EE6">
      <w:pPr>
        <w:pStyle w:val="Heading2"/>
        <w:spacing w:before="360" w:line="300" w:lineRule="exact"/>
        <w:contextualSpacing w:val="0"/>
      </w:pPr>
      <w:r w:rsidRPr="00B927C4">
        <w:rPr>
          <w:sz w:val="28"/>
          <w:szCs w:val="28"/>
        </w:rPr>
        <w:lastRenderedPageBreak/>
        <w:t>ANNEX A: Program Quality</w:t>
      </w:r>
      <w:r w:rsidR="00C37728">
        <w:rPr>
          <w:sz w:val="28"/>
          <w:szCs w:val="28"/>
        </w:rPr>
        <w:br/>
      </w:r>
      <w:r w:rsidR="00B927C4" w:rsidRPr="0023170D">
        <w:rPr>
          <w:caps w:val="0"/>
          <w:sz w:val="30"/>
        </w:rPr>
        <w:t>Investment Monitoring Report</w:t>
      </w:r>
      <w:r w:rsidRPr="0023170D">
        <w:rPr>
          <w:caps w:val="0"/>
          <w:sz w:val="30"/>
        </w:rPr>
        <w:t xml:space="preserve"> ratings</w:t>
      </w:r>
    </w:p>
    <w:p w14:paraId="3C6C739A" w14:textId="3D84FE8B" w:rsidR="00920DCC" w:rsidRDefault="006F2A05">
      <w:r>
        <w:rPr>
          <w:noProof/>
        </w:rPr>
        <w:drawing>
          <wp:inline distT="0" distB="0" distL="0" distR="0" wp14:anchorId="1B79B63C" wp14:editId="19263974">
            <wp:extent cx="5694045" cy="7894955"/>
            <wp:effectExtent l="0" t="0" r="1905" b="0"/>
            <wp:docPr id="8" name="Picture 8" descr="Investment Monitoring Report Ratings for 17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4045" cy="7894955"/>
                    </a:xfrm>
                    <a:prstGeom prst="rect">
                      <a:avLst/>
                    </a:prstGeom>
                    <a:noFill/>
                  </pic:spPr>
                </pic:pic>
              </a:graphicData>
            </a:graphic>
          </wp:inline>
        </w:drawing>
      </w:r>
    </w:p>
    <w:p w14:paraId="2118155B" w14:textId="2AF94D0D" w:rsidR="002D7B00" w:rsidRDefault="006F2A05" w:rsidP="005E0281">
      <w:pPr>
        <w:pStyle w:val="Heading3"/>
        <w:spacing w:before="240"/>
      </w:pPr>
      <w:r>
        <w:rPr>
          <w:noProof/>
        </w:rPr>
        <w:lastRenderedPageBreak/>
        <w:drawing>
          <wp:inline distT="0" distB="0" distL="0" distR="0" wp14:anchorId="519FE571" wp14:editId="5E39D71A">
            <wp:extent cx="5730875" cy="2176145"/>
            <wp:effectExtent l="0" t="0" r="3175" b="0"/>
            <wp:docPr id="2" name="Picture 2" descr="Investment Monitoring Report ratings for 5 inves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0875" cy="2176145"/>
                    </a:xfrm>
                    <a:prstGeom prst="rect">
                      <a:avLst/>
                    </a:prstGeom>
                    <a:noFill/>
                  </pic:spPr>
                </pic:pic>
              </a:graphicData>
            </a:graphic>
          </wp:inline>
        </w:drawing>
      </w:r>
    </w:p>
    <w:p w14:paraId="1A046C20" w14:textId="36B4B70E" w:rsidR="006F2A05" w:rsidRDefault="006F2A05" w:rsidP="006F2A05"/>
    <w:p w14:paraId="4DDF6D1A" w14:textId="77777777" w:rsidR="006F2A05" w:rsidRPr="006F2A05" w:rsidRDefault="006F2A05" w:rsidP="006F2A05"/>
    <w:p w14:paraId="33F7F6F0" w14:textId="77777777" w:rsidR="00390828" w:rsidRPr="00D03BF3" w:rsidRDefault="00390828" w:rsidP="005E0281">
      <w:pPr>
        <w:pStyle w:val="Heading3"/>
        <w:spacing w:before="240"/>
      </w:pPr>
      <w:r w:rsidRPr="00D03BF3">
        <w:t xml:space="preserve">Final </w:t>
      </w:r>
      <w:r w:rsidR="00B927C4">
        <w:t xml:space="preserve">Investment Monitoring Report </w:t>
      </w:r>
      <w:r>
        <w:t xml:space="preserve">ratings </w:t>
      </w:r>
    </w:p>
    <w:tbl>
      <w:tblPr>
        <w:tblStyle w:val="APPR"/>
        <w:tblW w:w="4616" w:type="pct"/>
        <w:tblLook w:val="0020" w:firstRow="1" w:lastRow="0" w:firstColumn="0" w:lastColumn="0" w:noHBand="0" w:noVBand="0"/>
      </w:tblPr>
      <w:tblGrid>
        <w:gridCol w:w="2950"/>
        <w:gridCol w:w="836"/>
        <w:gridCol w:w="1071"/>
        <w:gridCol w:w="640"/>
        <w:gridCol w:w="662"/>
        <w:gridCol w:w="645"/>
        <w:gridCol w:w="676"/>
        <w:gridCol w:w="740"/>
        <w:gridCol w:w="678"/>
      </w:tblGrid>
      <w:tr w:rsidR="00C943AF" w:rsidRPr="00812509" w14:paraId="31A26AEB" w14:textId="77777777" w:rsidTr="00C26D4E">
        <w:trPr>
          <w:cnfStyle w:val="100000000000" w:firstRow="1" w:lastRow="0" w:firstColumn="0" w:lastColumn="0" w:oddVBand="0" w:evenVBand="0" w:oddHBand="0" w:evenHBand="0" w:firstRowFirstColumn="0" w:firstRowLastColumn="0" w:lastRowFirstColumn="0" w:lastRowLastColumn="0"/>
          <w:trHeight w:val="1156"/>
        </w:trPr>
        <w:tc>
          <w:tcPr>
            <w:tcW w:w="1635" w:type="pct"/>
          </w:tcPr>
          <w:p w14:paraId="4AC9157A" w14:textId="62D1522F"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82816" behindDoc="0" locked="0" layoutInCell="1" allowOverlap="1" wp14:anchorId="15444FA0" wp14:editId="6781EF6B">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iCs/>
                <w:szCs w:val="17"/>
                <w:lang w:eastAsia="en-US"/>
              </w:rPr>
              <w:t>Investment name</w:t>
            </w:r>
          </w:p>
        </w:tc>
        <w:tc>
          <w:tcPr>
            <w:tcW w:w="454" w:type="pct"/>
            <w:textDirection w:val="btLr"/>
          </w:tcPr>
          <w:p w14:paraId="1F49BD51"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Approved budget </w:t>
            </w:r>
            <w:r>
              <w:rPr>
                <w:rFonts w:asciiTheme="minorHAnsi" w:eastAsia="Times New Roman" w:hAnsiTheme="minorHAnsi"/>
                <w:iCs/>
                <w:szCs w:val="17"/>
                <w:lang w:eastAsia="en-US"/>
              </w:rPr>
              <w:br/>
            </w:r>
            <w:r w:rsidRPr="00812509">
              <w:rPr>
                <w:rFonts w:asciiTheme="minorHAnsi" w:eastAsia="Times New Roman" w:hAnsiTheme="minorHAnsi"/>
                <w:iCs/>
                <w:szCs w:val="17"/>
                <w:lang w:eastAsia="en-US"/>
              </w:rPr>
              <w:t>and duration</w:t>
            </w:r>
          </w:p>
        </w:tc>
        <w:tc>
          <w:tcPr>
            <w:tcW w:w="586" w:type="pct"/>
            <w:textDirection w:val="btLr"/>
          </w:tcPr>
          <w:p w14:paraId="6AF097A7" w14:textId="77777777" w:rsidR="00C943AF" w:rsidRPr="00812509" w:rsidRDefault="00C943AF" w:rsidP="00390828">
            <w:pPr>
              <w:keepLines/>
              <w:spacing w:before="80" w:after="80" w:line="200" w:lineRule="atLeast"/>
              <w:rPr>
                <w:rFonts w:eastAsia="Times New Roman"/>
                <w:b w:val="0"/>
                <w:iCs/>
                <w:szCs w:val="17"/>
              </w:rPr>
            </w:pPr>
          </w:p>
        </w:tc>
        <w:tc>
          <w:tcPr>
            <w:tcW w:w="344" w:type="pct"/>
            <w:noWrap/>
            <w:textDirection w:val="btLr"/>
          </w:tcPr>
          <w:p w14:paraId="2AF6C998"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356" w:type="pct"/>
            <w:noWrap/>
            <w:textDirection w:val="btLr"/>
          </w:tcPr>
          <w:p w14:paraId="58A0A3A9"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47" w:type="pct"/>
            <w:noWrap/>
            <w:textDirection w:val="btLr"/>
          </w:tcPr>
          <w:p w14:paraId="25B36343"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364" w:type="pct"/>
            <w:noWrap/>
            <w:textDirection w:val="btLr"/>
          </w:tcPr>
          <w:p w14:paraId="6DF3C526"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400" w:type="pct"/>
            <w:noWrap/>
            <w:textDirection w:val="btLr"/>
          </w:tcPr>
          <w:p w14:paraId="7B90FE22"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357" w:type="pct"/>
            <w:noWrap/>
            <w:textDirection w:val="btLr"/>
          </w:tcPr>
          <w:p w14:paraId="047257E4" w14:textId="77777777" w:rsidR="00C943AF" w:rsidRPr="00812509" w:rsidRDefault="00C943A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r>
      <w:tr w:rsidR="00C943AF" w:rsidRPr="00812509" w14:paraId="69FF30E0" w14:textId="77777777" w:rsidTr="00C26D4E">
        <w:trPr>
          <w:cnfStyle w:val="100000000000" w:firstRow="1" w:lastRow="0" w:firstColumn="0" w:lastColumn="0" w:oddVBand="0" w:evenVBand="0" w:oddHBand="0" w:evenHBand="0" w:firstRowFirstColumn="0" w:firstRowLastColumn="0" w:lastRowFirstColumn="0" w:lastRowLastColumn="0"/>
          <w:trHeight w:val="275"/>
        </w:trPr>
        <w:tc>
          <w:tcPr>
            <w:tcW w:w="1635" w:type="pct"/>
            <w:tcBorders>
              <w:top w:val="single" w:sz="2" w:space="0" w:color="65C5B4" w:themeColor="accent1"/>
            </w:tcBorders>
          </w:tcPr>
          <w:p w14:paraId="3EEC8FD7" w14:textId="77777777" w:rsidR="00C943AF" w:rsidRPr="00812509" w:rsidRDefault="00C943AF" w:rsidP="00795EC8">
            <w:pPr>
              <w:keepLines/>
              <w:spacing w:before="40" w:after="40" w:line="200" w:lineRule="atLeast"/>
              <w:rPr>
                <w:rFonts w:asciiTheme="minorHAnsi" w:eastAsia="Times New Roman" w:hAnsiTheme="minorHAnsi"/>
                <w:iCs/>
                <w:szCs w:val="17"/>
                <w:lang w:eastAsia="en-US"/>
              </w:rPr>
            </w:pPr>
            <w:r w:rsidRPr="00FD5C7E">
              <w:rPr>
                <w:rFonts w:asciiTheme="minorHAnsi" w:eastAsia="Times New Roman" w:hAnsiTheme="minorHAnsi"/>
                <w:iCs/>
                <w:szCs w:val="17"/>
                <w:lang w:eastAsia="en-US"/>
              </w:rPr>
              <w:t>Sports for Development (INL684)</w:t>
            </w:r>
          </w:p>
        </w:tc>
        <w:tc>
          <w:tcPr>
            <w:tcW w:w="454" w:type="pct"/>
            <w:tcBorders>
              <w:top w:val="single" w:sz="2" w:space="0" w:color="65C5B4" w:themeColor="accent1"/>
            </w:tcBorders>
          </w:tcPr>
          <w:p w14:paraId="672C6331" w14:textId="2E9A9BB3" w:rsidR="00C943AF" w:rsidRPr="00812509" w:rsidRDefault="00C943AF" w:rsidP="006F2A05">
            <w:pPr>
              <w:autoSpaceDE w:val="0"/>
              <w:autoSpaceDN w:val="0"/>
              <w:adjustRightInd w:val="0"/>
              <w:spacing w:before="0"/>
              <w:rPr>
                <w:rFonts w:asciiTheme="minorHAnsi" w:eastAsia="Times New Roman" w:hAnsiTheme="minorHAnsi"/>
                <w:iCs/>
                <w:szCs w:val="17"/>
                <w:lang w:eastAsia="en-US"/>
              </w:rPr>
            </w:pPr>
            <w:r w:rsidRPr="00031BF3">
              <w:rPr>
                <w:rFonts w:asciiTheme="minorHAnsi" w:eastAsia="Times New Roman" w:hAnsiTheme="minorHAnsi"/>
                <w:iCs/>
                <w:szCs w:val="17"/>
                <w:lang w:eastAsia="en-US"/>
              </w:rPr>
              <w:t>$5.0m</w:t>
            </w:r>
          </w:p>
        </w:tc>
        <w:tc>
          <w:tcPr>
            <w:tcW w:w="586" w:type="pct"/>
            <w:tcBorders>
              <w:top w:val="single" w:sz="2" w:space="0" w:color="65C5B4" w:themeColor="accent1"/>
            </w:tcBorders>
          </w:tcPr>
          <w:p w14:paraId="2CE63288" w14:textId="77777777" w:rsidR="00C943AF" w:rsidRPr="00316D41" w:rsidRDefault="00C943AF" w:rsidP="00390828">
            <w:pPr>
              <w:keepLines/>
              <w:spacing w:before="40" w:after="40" w:line="200" w:lineRule="atLeast"/>
              <w:jc w:val="center"/>
              <w:rPr>
                <w:rFonts w:asciiTheme="minorHAnsi" w:eastAsia="Times New Roman" w:hAnsiTheme="minorHAnsi"/>
                <w:iCs/>
                <w:szCs w:val="17"/>
                <w:lang w:eastAsia="en-US"/>
              </w:rPr>
            </w:pPr>
            <w:r w:rsidRPr="00316D41">
              <w:rPr>
                <w:rFonts w:asciiTheme="minorHAnsi" w:eastAsia="Times New Roman" w:hAnsiTheme="minorHAnsi"/>
                <w:iCs/>
                <w:szCs w:val="17"/>
                <w:lang w:eastAsia="en-US"/>
              </w:rPr>
              <w:t>2019 AQC</w:t>
            </w:r>
          </w:p>
        </w:tc>
        <w:tc>
          <w:tcPr>
            <w:tcW w:w="344" w:type="pct"/>
            <w:tcBorders>
              <w:top w:val="single" w:sz="2" w:space="0" w:color="65C5B4" w:themeColor="accent1"/>
            </w:tcBorders>
            <w:shd w:val="clear" w:color="auto" w:fill="auto"/>
            <w:noWrap/>
          </w:tcPr>
          <w:p w14:paraId="162D5C2F"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tcBorders>
              <w:top w:val="single" w:sz="2" w:space="0" w:color="65C5B4" w:themeColor="accent1"/>
            </w:tcBorders>
            <w:shd w:val="clear" w:color="auto" w:fill="auto"/>
            <w:noWrap/>
          </w:tcPr>
          <w:p w14:paraId="65362334"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47" w:type="pct"/>
            <w:tcBorders>
              <w:top w:val="single" w:sz="2" w:space="0" w:color="65C5B4" w:themeColor="accent1"/>
            </w:tcBorders>
            <w:shd w:val="clear" w:color="auto" w:fill="auto"/>
            <w:noWrap/>
          </w:tcPr>
          <w:p w14:paraId="68F18191"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64" w:type="pct"/>
            <w:tcBorders>
              <w:top w:val="single" w:sz="2" w:space="0" w:color="65C5B4" w:themeColor="accent1"/>
            </w:tcBorders>
            <w:shd w:val="clear" w:color="auto" w:fill="auto"/>
            <w:noWrap/>
          </w:tcPr>
          <w:p w14:paraId="1404854D"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sidRPr="00EB6B0A">
              <w:rPr>
                <w:rFonts w:asciiTheme="minorHAnsi" w:eastAsia="Times New Roman" w:hAnsiTheme="minorHAnsi"/>
                <w:iCs/>
                <w:szCs w:val="17"/>
                <w:lang w:eastAsia="en-US"/>
              </w:rPr>
              <w:t>N/A</w:t>
            </w:r>
          </w:p>
        </w:tc>
        <w:tc>
          <w:tcPr>
            <w:tcW w:w="400" w:type="pct"/>
            <w:tcBorders>
              <w:top w:val="single" w:sz="2" w:space="0" w:color="65C5B4" w:themeColor="accent1"/>
            </w:tcBorders>
            <w:shd w:val="clear" w:color="auto" w:fill="auto"/>
            <w:noWrap/>
          </w:tcPr>
          <w:p w14:paraId="533954A6"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sidRPr="00EB6B0A">
              <w:rPr>
                <w:rFonts w:asciiTheme="minorHAnsi" w:eastAsia="Times New Roman" w:hAnsiTheme="minorHAnsi"/>
                <w:iCs/>
                <w:szCs w:val="17"/>
                <w:lang w:eastAsia="en-US"/>
              </w:rPr>
              <w:t>N/A</w:t>
            </w:r>
          </w:p>
        </w:tc>
        <w:tc>
          <w:tcPr>
            <w:tcW w:w="357" w:type="pct"/>
            <w:tcBorders>
              <w:top w:val="single" w:sz="2" w:space="0" w:color="65C5B4" w:themeColor="accent1"/>
            </w:tcBorders>
            <w:shd w:val="clear" w:color="auto" w:fill="auto"/>
            <w:noWrap/>
          </w:tcPr>
          <w:p w14:paraId="597148B5" w14:textId="77777777" w:rsidR="00C943AF" w:rsidRPr="00031BF3" w:rsidRDefault="00C943AF" w:rsidP="00390828">
            <w:pPr>
              <w:keepLines/>
              <w:spacing w:before="40" w:after="40" w:line="200" w:lineRule="atLeast"/>
              <w:jc w:val="center"/>
              <w:rPr>
                <w:rFonts w:asciiTheme="minorHAnsi" w:eastAsia="Times New Roman" w:hAnsiTheme="minorHAnsi"/>
                <w:iCs/>
                <w:szCs w:val="17"/>
                <w:lang w:eastAsia="en-US"/>
              </w:rPr>
            </w:pPr>
            <w:r w:rsidRPr="00EB6B0A">
              <w:rPr>
                <w:rFonts w:asciiTheme="minorHAnsi" w:eastAsia="Times New Roman" w:hAnsiTheme="minorHAnsi"/>
                <w:iCs/>
                <w:szCs w:val="17"/>
                <w:lang w:eastAsia="en-US"/>
              </w:rPr>
              <w:t>N/A</w:t>
            </w:r>
          </w:p>
        </w:tc>
      </w:tr>
      <w:tr w:rsidR="00C943AF" w:rsidRPr="00812509" w14:paraId="56A8791E" w14:textId="77777777" w:rsidTr="00C26D4E">
        <w:trPr>
          <w:cnfStyle w:val="100000000000" w:firstRow="1" w:lastRow="0" w:firstColumn="0" w:lastColumn="0" w:oddVBand="0" w:evenVBand="0" w:oddHBand="0" w:evenHBand="0" w:firstRowFirstColumn="0" w:firstRowLastColumn="0" w:lastRowFirstColumn="0" w:lastRowLastColumn="0"/>
          <w:trHeight w:val="275"/>
        </w:trPr>
        <w:tc>
          <w:tcPr>
            <w:tcW w:w="1635" w:type="pct"/>
          </w:tcPr>
          <w:p w14:paraId="7E02FB81" w14:textId="77777777" w:rsidR="00C943AF" w:rsidRPr="00FD5C7E" w:rsidRDefault="00C943AF" w:rsidP="00316D41">
            <w:pPr>
              <w:keepLines/>
              <w:spacing w:before="40" w:after="40" w:line="200" w:lineRule="atLeast"/>
              <w:rPr>
                <w:rFonts w:eastAsia="Times New Roman"/>
                <w:iCs/>
                <w:szCs w:val="17"/>
              </w:rPr>
            </w:pPr>
          </w:p>
        </w:tc>
        <w:tc>
          <w:tcPr>
            <w:tcW w:w="454" w:type="pct"/>
          </w:tcPr>
          <w:p w14:paraId="537786E9" w14:textId="0618DC73" w:rsidR="00C943AF" w:rsidRPr="00031BF3" w:rsidRDefault="006F2A05" w:rsidP="006F2A05">
            <w:pPr>
              <w:autoSpaceDE w:val="0"/>
              <w:autoSpaceDN w:val="0"/>
              <w:adjustRightInd w:val="0"/>
              <w:spacing w:before="0" w:line="240" w:lineRule="auto"/>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5</w:t>
            </w:r>
            <w:r w:rsidRPr="00812509">
              <w:rPr>
                <w:rFonts w:asciiTheme="minorHAnsi" w:eastAsia="Times New Roman" w:hAnsiTheme="minorHAnsi"/>
                <w:iCs/>
                <w:szCs w:val="17"/>
                <w:lang w:eastAsia="en-US"/>
              </w:rPr>
              <w:t>-1</w:t>
            </w:r>
            <w:r>
              <w:rPr>
                <w:rFonts w:asciiTheme="minorHAnsi" w:eastAsia="Times New Roman" w:hAnsiTheme="minorHAnsi"/>
                <w:iCs/>
                <w:szCs w:val="17"/>
                <w:lang w:eastAsia="en-US"/>
              </w:rPr>
              <w:t>9</w:t>
            </w:r>
          </w:p>
        </w:tc>
        <w:tc>
          <w:tcPr>
            <w:tcW w:w="586" w:type="pct"/>
            <w:shd w:val="clear" w:color="auto" w:fill="auto"/>
          </w:tcPr>
          <w:p w14:paraId="2B7F8D02" w14:textId="77777777" w:rsidR="00C943AF" w:rsidRPr="00316D41" w:rsidRDefault="00C943AF" w:rsidP="0031476E">
            <w:pPr>
              <w:keepLines/>
              <w:spacing w:before="40" w:after="40" w:line="200" w:lineRule="atLeast"/>
              <w:jc w:val="center"/>
              <w:rPr>
                <w:rFonts w:asciiTheme="minorHAnsi" w:eastAsia="Times New Roman" w:hAnsiTheme="minorHAnsi"/>
                <w:iCs/>
                <w:szCs w:val="17"/>
                <w:lang w:eastAsia="en-US"/>
              </w:rPr>
            </w:pPr>
            <w:r w:rsidRPr="00316D41">
              <w:rPr>
                <w:rFonts w:asciiTheme="minorHAnsi" w:eastAsia="Times New Roman" w:hAnsiTheme="minorHAnsi"/>
                <w:iCs/>
                <w:szCs w:val="17"/>
                <w:lang w:eastAsia="en-US"/>
              </w:rPr>
              <w:t xml:space="preserve">2020 </w:t>
            </w:r>
            <w:r>
              <w:rPr>
                <w:rFonts w:asciiTheme="minorHAnsi" w:eastAsia="Times New Roman" w:hAnsiTheme="minorHAnsi"/>
                <w:iCs/>
                <w:szCs w:val="17"/>
                <w:lang w:eastAsia="en-US"/>
              </w:rPr>
              <w:t>F</w:t>
            </w:r>
            <w:r w:rsidRPr="00316D41">
              <w:rPr>
                <w:rFonts w:asciiTheme="minorHAnsi" w:eastAsia="Times New Roman" w:hAnsiTheme="minorHAnsi"/>
                <w:iCs/>
                <w:szCs w:val="17"/>
                <w:lang w:eastAsia="en-US"/>
              </w:rPr>
              <w:t>AQC</w:t>
            </w:r>
          </w:p>
        </w:tc>
        <w:tc>
          <w:tcPr>
            <w:tcW w:w="344" w:type="pct"/>
            <w:shd w:val="clear" w:color="auto" w:fill="auto"/>
            <w:noWrap/>
          </w:tcPr>
          <w:p w14:paraId="575162F0" w14:textId="3D1C1514" w:rsidR="00C943AF" w:rsidRPr="00031BF3" w:rsidRDefault="00C943AF" w:rsidP="00316D4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56" w:type="pct"/>
            <w:shd w:val="clear" w:color="auto" w:fill="auto"/>
            <w:noWrap/>
          </w:tcPr>
          <w:p w14:paraId="684D6987" w14:textId="79617E73" w:rsidR="00C943AF" w:rsidRPr="00031BF3" w:rsidRDefault="00C943AF" w:rsidP="00316D4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47" w:type="pct"/>
            <w:shd w:val="clear" w:color="auto" w:fill="auto"/>
            <w:noWrap/>
          </w:tcPr>
          <w:p w14:paraId="7CD63FCC" w14:textId="2C3CE7FB" w:rsidR="00C943AF" w:rsidRPr="00031BF3" w:rsidRDefault="00C943AF" w:rsidP="00316D4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c>
          <w:tcPr>
            <w:tcW w:w="364" w:type="pct"/>
            <w:shd w:val="clear" w:color="auto" w:fill="auto"/>
            <w:noWrap/>
          </w:tcPr>
          <w:p w14:paraId="425A7A8F" w14:textId="77777777" w:rsidR="00C943AF" w:rsidRPr="00031BF3" w:rsidRDefault="00C943AF" w:rsidP="00316D41">
            <w:pPr>
              <w:keepLines/>
              <w:spacing w:before="40" w:after="40" w:line="200" w:lineRule="atLeast"/>
              <w:jc w:val="center"/>
              <w:rPr>
                <w:rFonts w:eastAsia="Times New Roman"/>
                <w:iCs/>
                <w:szCs w:val="17"/>
              </w:rPr>
            </w:pPr>
            <w:r w:rsidRPr="00031BF3">
              <w:rPr>
                <w:rFonts w:asciiTheme="minorHAnsi" w:eastAsia="Times New Roman" w:hAnsiTheme="minorHAnsi"/>
                <w:iCs/>
                <w:szCs w:val="17"/>
                <w:lang w:eastAsia="en-US"/>
              </w:rPr>
              <w:t>5</w:t>
            </w:r>
          </w:p>
        </w:tc>
        <w:tc>
          <w:tcPr>
            <w:tcW w:w="400" w:type="pct"/>
            <w:shd w:val="clear" w:color="auto" w:fill="auto"/>
            <w:noWrap/>
          </w:tcPr>
          <w:p w14:paraId="756A8CE7" w14:textId="379C58BB" w:rsidR="00C943AF" w:rsidRPr="00031BF3" w:rsidRDefault="00C943AF" w:rsidP="00316D4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2</w:t>
            </w:r>
          </w:p>
        </w:tc>
        <w:tc>
          <w:tcPr>
            <w:tcW w:w="357" w:type="pct"/>
            <w:shd w:val="clear" w:color="auto" w:fill="auto"/>
            <w:noWrap/>
          </w:tcPr>
          <w:p w14:paraId="13AC5E40" w14:textId="0404E1E4" w:rsidR="00C943AF" w:rsidRPr="00031BF3" w:rsidRDefault="00C943AF" w:rsidP="00316D41">
            <w:pPr>
              <w:keepLines/>
              <w:spacing w:before="40" w:after="40" w:line="200" w:lineRule="atLeast"/>
              <w:jc w:val="center"/>
              <w:rPr>
                <w:rFonts w:eastAsia="Times New Roman"/>
                <w:iCs/>
                <w:szCs w:val="17"/>
              </w:rPr>
            </w:pPr>
            <w:r>
              <w:rPr>
                <w:rFonts w:asciiTheme="minorHAnsi" w:eastAsia="Times New Roman" w:hAnsiTheme="minorHAnsi"/>
                <w:iCs/>
                <w:szCs w:val="17"/>
                <w:lang w:eastAsia="en-US"/>
              </w:rPr>
              <w:t>3</w:t>
            </w:r>
          </w:p>
        </w:tc>
      </w:tr>
    </w:tbl>
    <w:p w14:paraId="183B52C3" w14:textId="77777777" w:rsidR="002D7B00" w:rsidRDefault="002D7B00" w:rsidP="00390828">
      <w:pPr>
        <w:spacing w:before="20" w:after="20" w:line="180" w:lineRule="atLeast"/>
        <w:jc w:val="both"/>
        <w:rPr>
          <w:rFonts w:eastAsia="Times New Roman"/>
          <w:b/>
          <w:sz w:val="16"/>
          <w:szCs w:val="14"/>
        </w:rPr>
      </w:pPr>
    </w:p>
    <w:p w14:paraId="36E2B4AB" w14:textId="77777777" w:rsidR="00A05FF5" w:rsidRDefault="00390828" w:rsidP="00390828">
      <w:pPr>
        <w:spacing w:before="20" w:after="20" w:line="180" w:lineRule="atLeast"/>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3239D5F2" w14:textId="77777777" w:rsidR="00390828" w:rsidRPr="00787267" w:rsidRDefault="00390828" w:rsidP="00390828">
      <w:pPr>
        <w:spacing w:before="20" w:after="20" w:line="180" w:lineRule="atLeast"/>
        <w:jc w:val="both"/>
        <w:rPr>
          <w:rFonts w:eastAsia="Times New Roman"/>
          <w:sz w:val="17"/>
          <w:szCs w:val="17"/>
        </w:rPr>
      </w:pPr>
      <w:r w:rsidRPr="00787267">
        <w:rPr>
          <w:rFonts w:eastAsia="Times New Roman"/>
          <w:sz w:val="17"/>
          <w:szCs w:val="17"/>
          <w:u w:val="single"/>
        </w:rPr>
        <w:t>Satisfactory (4, 5 and 6)</w:t>
      </w:r>
      <w:bookmarkStart w:id="0" w:name="_GoBack"/>
      <w:bookmarkEnd w:id="0"/>
    </w:p>
    <w:p w14:paraId="4F3E2EB9" w14:textId="041E082F" w:rsidR="00390828" w:rsidRPr="00787267" w:rsidRDefault="00390828" w:rsidP="00787267">
      <w:pPr>
        <w:spacing w:line="240" w:lineRule="auto"/>
        <w:rPr>
          <w:sz w:val="16"/>
          <w:szCs w:val="16"/>
        </w:rPr>
      </w:pPr>
      <w:r w:rsidRPr="00787267">
        <w:rPr>
          <w:sz w:val="16"/>
          <w:szCs w:val="16"/>
        </w:rPr>
        <w:t xml:space="preserve">6 = Very good; satisfies criteria in all areas. </w:t>
      </w:r>
      <w:r w:rsidR="00787267">
        <w:rPr>
          <w:sz w:val="16"/>
          <w:szCs w:val="16"/>
        </w:rPr>
        <w:br/>
      </w:r>
      <w:r w:rsidRPr="00787267">
        <w:rPr>
          <w:sz w:val="16"/>
          <w:szCs w:val="16"/>
        </w:rPr>
        <w:t>5 = Good; satisfies criteria in almost all areas.</w:t>
      </w:r>
      <w:r w:rsidR="00787267">
        <w:rPr>
          <w:sz w:val="16"/>
          <w:szCs w:val="16"/>
        </w:rPr>
        <w:br/>
      </w:r>
      <w:r w:rsidRPr="00787267">
        <w:rPr>
          <w:sz w:val="16"/>
          <w:szCs w:val="16"/>
        </w:rPr>
        <w:t>4 = Adequate; on balance, satisfies criteria; does not fail in any major area.</w:t>
      </w:r>
    </w:p>
    <w:p w14:paraId="1F933BDC" w14:textId="77777777" w:rsidR="00390828" w:rsidRPr="00787267" w:rsidRDefault="00390828" w:rsidP="00787267">
      <w:pPr>
        <w:spacing w:line="240" w:lineRule="auto"/>
        <w:rPr>
          <w:sz w:val="16"/>
          <w:szCs w:val="16"/>
          <w:u w:val="single"/>
        </w:rPr>
      </w:pPr>
      <w:r w:rsidRPr="00787267">
        <w:rPr>
          <w:sz w:val="16"/>
          <w:szCs w:val="16"/>
          <w:u w:val="single"/>
        </w:rPr>
        <w:t>Less than satisfactory (1, 2 and 3)</w:t>
      </w:r>
    </w:p>
    <w:p w14:paraId="48F1F68A" w14:textId="12B94DE4" w:rsidR="00C915D9" w:rsidRPr="00A05FF5" w:rsidRDefault="00390828" w:rsidP="00787267">
      <w:pPr>
        <w:spacing w:before="0" w:after="0" w:line="240" w:lineRule="auto"/>
      </w:pPr>
      <w:r w:rsidRPr="00787267">
        <w:rPr>
          <w:sz w:val="16"/>
          <w:szCs w:val="16"/>
        </w:rPr>
        <w:t>3 = Less than adequate; on balance does not satisfy criteria and/or fails in at least one major area.</w:t>
      </w:r>
      <w:r w:rsidR="00787267">
        <w:rPr>
          <w:sz w:val="16"/>
          <w:szCs w:val="16"/>
        </w:rPr>
        <w:br/>
      </w:r>
      <w:r w:rsidRPr="00787267">
        <w:rPr>
          <w:sz w:val="16"/>
          <w:szCs w:val="16"/>
        </w:rPr>
        <w:t>2 = Poor; does not sa</w:t>
      </w:r>
      <w:r w:rsidR="00787267">
        <w:rPr>
          <w:sz w:val="16"/>
          <w:szCs w:val="16"/>
        </w:rPr>
        <w:t>tisfy criteria in major areas.</w:t>
      </w:r>
      <w:r w:rsidR="00787267">
        <w:rPr>
          <w:sz w:val="16"/>
          <w:szCs w:val="16"/>
        </w:rPr>
        <w:br/>
      </w:r>
      <w:r w:rsidRPr="00787267">
        <w:rPr>
          <w:sz w:val="16"/>
          <w:szCs w:val="16"/>
        </w:rPr>
        <w:t>1 = Very poor; does not satisfy criteria in many major area</w:t>
      </w:r>
      <w:r w:rsidRPr="00A05FF5">
        <w:t>.</w:t>
      </w:r>
      <w:r w:rsidR="00787267">
        <w:br/>
      </w:r>
    </w:p>
    <w:sectPr w:rsidR="00C915D9" w:rsidRPr="00A05FF5" w:rsidSect="00EC3C2D">
      <w:headerReference w:type="even" r:id="rId23"/>
      <w:headerReference w:type="default" r:id="rId24"/>
      <w:headerReference w:type="first" r:id="rId25"/>
      <w:footerReference w:type="first" r:id="rId26"/>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3850C" w14:textId="77777777" w:rsidR="00CC0E64" w:rsidRDefault="00CC0E64" w:rsidP="00D37B04">
      <w:r>
        <w:separator/>
      </w:r>
    </w:p>
  </w:endnote>
  <w:endnote w:type="continuationSeparator" w:id="0">
    <w:p w14:paraId="4CBDC050" w14:textId="77777777" w:rsidR="00CC0E64" w:rsidRDefault="00CC0E64"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13C49" w14:textId="77777777" w:rsidR="00CC0E64" w:rsidRPr="00FC322F" w:rsidRDefault="00CC0E64" w:rsidP="00FC322F">
    <w:pPr>
      <w:pStyle w:val="Footer"/>
      <w:rPr>
        <w:b/>
      </w:rPr>
    </w:pPr>
    <w:r w:rsidRPr="00FC322F">
      <w:rPr>
        <w:b/>
        <w:noProof/>
        <w:lang w:val="en-AU" w:eastAsia="en-AU"/>
      </w:rPr>
      <w:drawing>
        <wp:inline distT="0" distB="0" distL="0" distR="0" wp14:anchorId="7DC25794" wp14:editId="23A6C885">
          <wp:extent cx="108000" cy="87480"/>
          <wp:effectExtent l="0" t="0" r="6350" b="8255"/>
          <wp:docPr id="4" name="Picture 4"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935888"/>
      <w:docPartObj>
        <w:docPartGallery w:val="Page Numbers (Bottom of Page)"/>
        <w:docPartUnique/>
      </w:docPartObj>
    </w:sdtPr>
    <w:sdtEndPr>
      <w:rPr>
        <w:noProof/>
      </w:rPr>
    </w:sdtEndPr>
    <w:sdtContent>
      <w:p w14:paraId="6EB9D442" w14:textId="07C1B732" w:rsidR="00CC0E64" w:rsidRDefault="00CC0E64">
        <w:pPr>
          <w:pStyle w:val="Footer"/>
          <w:jc w:val="center"/>
        </w:pPr>
        <w:r>
          <w:fldChar w:fldCharType="begin"/>
        </w:r>
        <w:r>
          <w:instrText xml:space="preserve"> PAGE   \* MERGEFORMAT </w:instrText>
        </w:r>
        <w:r>
          <w:fldChar w:fldCharType="separate"/>
        </w:r>
        <w:r w:rsidR="00AE4F89">
          <w:rPr>
            <w:noProof/>
          </w:rPr>
          <w:t>1</w:t>
        </w:r>
        <w:r>
          <w:rPr>
            <w:noProof/>
          </w:rPr>
          <w:fldChar w:fldCharType="end"/>
        </w:r>
      </w:p>
    </w:sdtContent>
  </w:sdt>
  <w:p w14:paraId="381999EC" w14:textId="32AB3FC2" w:rsidR="00CC0E64" w:rsidRPr="00FC322F" w:rsidRDefault="00CC0E64"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050421"/>
      <w:docPartObj>
        <w:docPartGallery w:val="Page Numbers (Bottom of Page)"/>
        <w:docPartUnique/>
      </w:docPartObj>
    </w:sdtPr>
    <w:sdtEndPr>
      <w:rPr>
        <w:noProof/>
      </w:rPr>
    </w:sdtEndPr>
    <w:sdtContent>
      <w:p w14:paraId="2D1FA85E" w14:textId="79BDC904" w:rsidR="00CC0E64" w:rsidRDefault="00CC0E64">
        <w:pPr>
          <w:pStyle w:val="Footer"/>
          <w:jc w:val="center"/>
        </w:pPr>
        <w:r>
          <w:fldChar w:fldCharType="begin"/>
        </w:r>
        <w:r>
          <w:instrText xml:space="preserve"> PAGE   \* MERGEFORMAT </w:instrText>
        </w:r>
        <w:r>
          <w:fldChar w:fldCharType="separate"/>
        </w:r>
        <w:r w:rsidR="00AE4F89">
          <w:rPr>
            <w:noProof/>
          </w:rPr>
          <w:t>2</w:t>
        </w:r>
        <w:r>
          <w:rPr>
            <w:noProof/>
          </w:rPr>
          <w:fldChar w:fldCharType="end"/>
        </w:r>
      </w:p>
    </w:sdtContent>
  </w:sdt>
  <w:p w14:paraId="6109ED9D" w14:textId="77777777" w:rsidR="00CC0E64" w:rsidRPr="00FC322F" w:rsidRDefault="00CC0E64"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D1A4" w14:textId="77777777" w:rsidR="00CC0E64" w:rsidRPr="00FC322F" w:rsidRDefault="00CC0E64" w:rsidP="00FC322F">
    <w:pPr>
      <w:pStyle w:val="Footer"/>
      <w:rPr>
        <w:b/>
      </w:rPr>
    </w:pPr>
    <w:r w:rsidRPr="00FC322F">
      <w:rPr>
        <w:b/>
        <w:noProof/>
        <w:lang w:val="en-AU" w:eastAsia="en-AU"/>
      </w:rPr>
      <w:drawing>
        <wp:inline distT="0" distB="0" distL="0" distR="0" wp14:anchorId="686F9AC6" wp14:editId="1C919166">
          <wp:extent cx="108000" cy="87480"/>
          <wp:effectExtent l="0" t="0" r="6350" b="8255"/>
          <wp:docPr id="19" name="Picture 1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124869"/>
      <w:docPartObj>
        <w:docPartGallery w:val="Page Numbers (Bottom of Page)"/>
        <w:docPartUnique/>
      </w:docPartObj>
    </w:sdtPr>
    <w:sdtEndPr>
      <w:rPr>
        <w:noProof/>
      </w:rPr>
    </w:sdtEndPr>
    <w:sdtContent>
      <w:p w14:paraId="76502458" w14:textId="502A14CD" w:rsidR="00CC0E64" w:rsidRDefault="00CC0E64">
        <w:pPr>
          <w:pStyle w:val="Footer"/>
          <w:jc w:val="center"/>
        </w:pPr>
        <w:r>
          <w:fldChar w:fldCharType="begin"/>
        </w:r>
        <w:r>
          <w:instrText xml:space="preserve"> PAGE   \* MERGEFORMAT </w:instrText>
        </w:r>
        <w:r>
          <w:fldChar w:fldCharType="separate"/>
        </w:r>
        <w:r w:rsidR="00AE4F89">
          <w:rPr>
            <w:noProof/>
          </w:rPr>
          <w:t>3</w:t>
        </w:r>
        <w:r>
          <w:rPr>
            <w:noProof/>
          </w:rPr>
          <w:fldChar w:fldCharType="end"/>
        </w:r>
      </w:p>
    </w:sdtContent>
  </w:sdt>
  <w:p w14:paraId="34E55273" w14:textId="5A61D5B3" w:rsidR="00CC0E64" w:rsidRPr="00EC3C2D" w:rsidRDefault="00CC0E64"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94338" w14:textId="77777777" w:rsidR="00CC0E64" w:rsidRPr="008C5A0E" w:rsidRDefault="00CC0E64" w:rsidP="00D37B04">
      <w:pPr>
        <w:pStyle w:val="Footer"/>
      </w:pPr>
    </w:p>
  </w:footnote>
  <w:footnote w:type="continuationSeparator" w:id="0">
    <w:p w14:paraId="31D5D682" w14:textId="77777777" w:rsidR="00CC0E64" w:rsidRDefault="00CC0E64"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0DDB" w14:textId="77777777" w:rsidR="00CC0E64" w:rsidRPr="000854FD" w:rsidRDefault="00CC0E64" w:rsidP="002D5B25">
    <w:pPr>
      <w:pStyle w:val="Header"/>
    </w:pPr>
    <w:r w:rsidRPr="00943730">
      <w:rPr>
        <w:noProof/>
        <w:lang w:val="en-AU" w:eastAsia="en-AU"/>
      </w:rPr>
      <w:drawing>
        <wp:anchor distT="0" distB="0" distL="114300" distR="114300" simplePos="0" relativeHeight="251654656" behindDoc="1" locked="1" layoutInCell="1" allowOverlap="1" wp14:anchorId="1197015F" wp14:editId="7ECAC930">
          <wp:simplePos x="0" y="0"/>
          <wp:positionH relativeFrom="page">
            <wp:posOffset>12700</wp:posOffset>
          </wp:positionH>
          <wp:positionV relativeFrom="page">
            <wp:posOffset>0</wp:posOffset>
          </wp:positionV>
          <wp:extent cx="7559040" cy="1069276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1B8A7" w14:textId="01244FF9" w:rsidR="00CC0E64" w:rsidRPr="00943730" w:rsidRDefault="00CC0E64" w:rsidP="00B0340C">
    <w:pPr>
      <w:pStyle w:val="Header"/>
      <w:ind w:left="0"/>
    </w:pPr>
    <w:r w:rsidRPr="00252C04">
      <w:rPr>
        <w:noProof/>
        <w:lang w:val="en-AU" w:eastAsia="en-AU"/>
      </w:rPr>
      <w:drawing>
        <wp:anchor distT="0" distB="0" distL="114300" distR="114300" simplePos="0" relativeHeight="251655680" behindDoc="1" locked="1" layoutInCell="1" allowOverlap="1" wp14:anchorId="298BD41F" wp14:editId="4495372A">
          <wp:simplePos x="0" y="0"/>
          <wp:positionH relativeFrom="page">
            <wp:posOffset>5699125</wp:posOffset>
          </wp:positionH>
          <wp:positionV relativeFrom="topMargin">
            <wp:align>bottom</wp:align>
          </wp:positionV>
          <wp:extent cx="1115060" cy="512445"/>
          <wp:effectExtent l="0" t="0" r="8890" b="190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3632" behindDoc="1" locked="1" layoutInCell="1" allowOverlap="1" wp14:anchorId="0CE16D29" wp14:editId="2B72227F">
          <wp:simplePos x="0" y="0"/>
          <wp:positionH relativeFrom="page">
            <wp:posOffset>713740</wp:posOffset>
          </wp:positionH>
          <wp:positionV relativeFrom="topMargin">
            <wp:align>bottom</wp:align>
          </wp:positionV>
          <wp:extent cx="3166745" cy="55435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2608" behindDoc="1" locked="1" layoutInCell="1" allowOverlap="1" wp14:anchorId="192DAA30" wp14:editId="54A22C9D">
          <wp:simplePos x="0" y="0"/>
          <wp:positionH relativeFrom="page">
            <wp:posOffset>12700</wp:posOffset>
          </wp:positionH>
          <wp:positionV relativeFrom="page">
            <wp:posOffset>-68580</wp:posOffset>
          </wp:positionV>
          <wp:extent cx="7559040" cy="10692130"/>
          <wp:effectExtent l="0" t="0" r="381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F301" w14:textId="77777777" w:rsidR="00CC0E64" w:rsidRPr="000854FD" w:rsidRDefault="00CC0E64" w:rsidP="002D5B25">
    <w:pPr>
      <w:pStyle w:val="Header"/>
    </w:pPr>
    <w:r w:rsidRPr="00943730">
      <w:rPr>
        <w:noProof/>
        <w:lang w:val="en-AU" w:eastAsia="en-AU"/>
      </w:rPr>
      <w:drawing>
        <wp:anchor distT="0" distB="0" distL="114300" distR="114300" simplePos="0" relativeHeight="251660800" behindDoc="1" locked="1" layoutInCell="1" allowOverlap="1" wp14:anchorId="31835CCF" wp14:editId="6C967200">
          <wp:simplePos x="0" y="0"/>
          <wp:positionH relativeFrom="page">
            <wp:posOffset>12700</wp:posOffset>
          </wp:positionH>
          <wp:positionV relativeFrom="page">
            <wp:posOffset>0</wp:posOffset>
          </wp:positionV>
          <wp:extent cx="7559040" cy="10692765"/>
          <wp:effectExtent l="0" t="0" r="381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7513" w14:textId="3BAC566B" w:rsidR="00CC0E64" w:rsidRPr="00943730" w:rsidRDefault="00CC0E64" w:rsidP="00943730">
    <w:pPr>
      <w:pStyle w:val="Header"/>
    </w:pPr>
    <w:r w:rsidRPr="00943730">
      <w:fldChar w:fldCharType="begin"/>
    </w:r>
    <w:r w:rsidRPr="00943730">
      <w:instrText xml:space="preserve"> DATE  \@ "MMMM yyyy"  \* MERGEFORMAT </w:instrText>
    </w:r>
    <w:r w:rsidRPr="00943730">
      <w:fldChar w:fldCharType="separate"/>
    </w:r>
    <w:r w:rsidR="006F2A05">
      <w:rPr>
        <w:noProof/>
      </w:rPr>
      <w:t>November 2020</w:t>
    </w:r>
    <w:r w:rsidRPr="00943730">
      <w:fldChar w:fldCharType="end"/>
    </w:r>
    <w:r w:rsidRPr="00252C04">
      <w:rPr>
        <w:noProof/>
        <w:lang w:val="en-AU" w:eastAsia="en-AU"/>
      </w:rPr>
      <w:drawing>
        <wp:anchor distT="0" distB="0" distL="114300" distR="114300" simplePos="0" relativeHeight="251661824" behindDoc="1" locked="1" layoutInCell="1" allowOverlap="1" wp14:anchorId="79647B9E" wp14:editId="1C5C6528">
          <wp:simplePos x="0" y="0"/>
          <wp:positionH relativeFrom="page">
            <wp:posOffset>5724525</wp:posOffset>
          </wp:positionH>
          <wp:positionV relativeFrom="page">
            <wp:posOffset>720090</wp:posOffset>
          </wp:positionV>
          <wp:extent cx="1115060" cy="512445"/>
          <wp:effectExtent l="0" t="0" r="8890" b="190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9776" behindDoc="1" locked="1" layoutInCell="1" allowOverlap="1" wp14:anchorId="2BABEF3F" wp14:editId="3F257DEB">
          <wp:simplePos x="0" y="0"/>
          <wp:positionH relativeFrom="page">
            <wp:posOffset>720090</wp:posOffset>
          </wp:positionH>
          <wp:positionV relativeFrom="page">
            <wp:posOffset>683895</wp:posOffset>
          </wp:positionV>
          <wp:extent cx="3166745" cy="554355"/>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8752" behindDoc="1" locked="1" layoutInCell="1" allowOverlap="1" wp14:anchorId="48BB3C41" wp14:editId="62A06A93">
          <wp:simplePos x="0" y="0"/>
          <wp:positionH relativeFrom="page">
            <wp:posOffset>12700</wp:posOffset>
          </wp:positionH>
          <wp:positionV relativeFrom="page">
            <wp:posOffset>-69850</wp:posOffset>
          </wp:positionV>
          <wp:extent cx="10585450" cy="10692130"/>
          <wp:effectExtent l="0" t="0" r="635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64C3B" w14:textId="77777777" w:rsidR="00CC0E64" w:rsidRDefault="00CC0E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D604" w14:textId="77777777" w:rsidR="00CC0E64" w:rsidRPr="00333501" w:rsidRDefault="00CC0E64" w:rsidP="00B0340C">
    <w:pPr>
      <w:pStyle w:val="Header"/>
    </w:pPr>
    <w:r>
      <w:rPr>
        <w:noProof/>
        <w:lang w:val="en-AU" w:eastAsia="en-AU"/>
      </w:rPr>
      <w:drawing>
        <wp:anchor distT="0" distB="0" distL="114300" distR="114300" simplePos="0" relativeHeight="251657728" behindDoc="1" locked="1" layoutInCell="1" allowOverlap="1" wp14:anchorId="1783A603" wp14:editId="5F4A8E90">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35FC" w14:textId="77777777" w:rsidR="00CC0E64" w:rsidRPr="003D352D" w:rsidRDefault="00CC0E64" w:rsidP="00B0340C">
    <w:pPr>
      <w:pStyle w:val="Header"/>
    </w:pPr>
    <w:r>
      <w:rPr>
        <w:noProof/>
        <w:lang w:val="en-AU" w:eastAsia="en-AU"/>
      </w:rPr>
      <w:drawing>
        <wp:anchor distT="0" distB="0" distL="114300" distR="114300" simplePos="0" relativeHeight="251656704" behindDoc="1" locked="1" layoutInCell="1" allowOverlap="1" wp14:anchorId="65E89FCB" wp14:editId="4A4C0A5F">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DC537F1"/>
    <w:multiLevelType w:val="hybridMultilevel"/>
    <w:tmpl w:val="BD304B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79E1258"/>
    <w:multiLevelType w:val="hybridMultilevel"/>
    <w:tmpl w:val="5E369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3447CAA"/>
    <w:multiLevelType w:val="hybridMultilevel"/>
    <w:tmpl w:val="A5820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2512C0"/>
    <w:multiLevelType w:val="hybridMultilevel"/>
    <w:tmpl w:val="0372A9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6" w15:restartNumberingAfterBreak="0">
    <w:nsid w:val="52553D9F"/>
    <w:multiLevelType w:val="multilevel"/>
    <w:tmpl w:val="A6FA45D0"/>
    <w:numStyleLink w:val="BulletsList"/>
  </w:abstractNum>
  <w:abstractNum w:abstractNumId="27" w15:restartNumberingAfterBreak="0">
    <w:nsid w:val="58FE3EEF"/>
    <w:multiLevelType w:val="hybridMultilevel"/>
    <w:tmpl w:val="3050BA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D3C1EA7"/>
    <w:multiLevelType w:val="multilevel"/>
    <w:tmpl w:val="A6FA45D0"/>
    <w:numStyleLink w:val="BulletsList"/>
  </w:abstractNum>
  <w:abstractNum w:abstractNumId="30" w15:restartNumberingAfterBreak="0">
    <w:nsid w:val="5D874976"/>
    <w:multiLevelType w:val="hybridMultilevel"/>
    <w:tmpl w:val="3FAE7EE8"/>
    <w:lvl w:ilvl="0" w:tplc="6266694E">
      <w:start w:val="2019"/>
      <w:numFmt w:val="bullet"/>
      <w:lvlText w:val=""/>
      <w:lvlJc w:val="left"/>
      <w:pPr>
        <w:ind w:left="360" w:hanging="360"/>
      </w:pPr>
      <w:rPr>
        <w:rFonts w:ascii="Symbol" w:eastAsia="Times New Roman"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96492F"/>
    <w:multiLevelType w:val="hybridMultilevel"/>
    <w:tmpl w:val="9AD2EE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3"/>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8"/>
  </w:num>
  <w:num w:numId="10">
    <w:abstractNumId w:val="3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8"/>
  </w:num>
  <w:num w:numId="23">
    <w:abstractNumId w:val="18"/>
  </w:num>
  <w:num w:numId="24">
    <w:abstractNumId w:val="29"/>
  </w:num>
  <w:num w:numId="25">
    <w:abstractNumId w:val="29"/>
  </w:num>
  <w:num w:numId="26">
    <w:abstractNumId w:val="29"/>
  </w:num>
  <w:num w:numId="27">
    <w:abstractNumId w:val="28"/>
  </w:num>
  <w:num w:numId="28">
    <w:abstractNumId w:val="11"/>
  </w:num>
  <w:num w:numId="29">
    <w:abstractNumId w:val="11"/>
  </w:num>
  <w:num w:numId="30">
    <w:abstractNumId w:val="11"/>
  </w:num>
  <w:num w:numId="31">
    <w:abstractNumId w:val="14"/>
  </w:num>
  <w:num w:numId="32">
    <w:abstractNumId w:val="36"/>
  </w:num>
  <w:num w:numId="33">
    <w:abstractNumId w:val="2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2"/>
  </w:num>
  <w:num w:numId="37">
    <w:abstractNumId w:val="24"/>
  </w:num>
  <w:num w:numId="38">
    <w:abstractNumId w:val="23"/>
  </w:num>
  <w:num w:numId="39">
    <w:abstractNumId w:val="17"/>
  </w:num>
  <w:num w:numId="40">
    <w:abstractNumId w:val="12"/>
  </w:num>
  <w:num w:numId="41">
    <w:abstractNumId w:val="20"/>
  </w:num>
  <w:num w:numId="42">
    <w:abstractNumId w:val="16"/>
  </w:num>
  <w:num w:numId="43">
    <w:abstractNumId w:val="25"/>
  </w:num>
  <w:num w:numId="44">
    <w:abstractNumId w:val="22"/>
  </w:num>
  <w:num w:numId="45">
    <w:abstractNumId w:val="34"/>
  </w:num>
  <w:num w:numId="46">
    <w:abstractNumId w:val="30"/>
  </w:num>
  <w:num w:numId="47">
    <w:abstractNumId w:val="27"/>
  </w:num>
  <w:num w:numId="48">
    <w:abstractNumId w:val="19"/>
  </w:num>
  <w:num w:numId="49">
    <w:abstractNumId w:val="1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71F"/>
    <w:rsid w:val="00010BE6"/>
    <w:rsid w:val="00015783"/>
    <w:rsid w:val="000157B0"/>
    <w:rsid w:val="00016A8A"/>
    <w:rsid w:val="0002080A"/>
    <w:rsid w:val="0002362C"/>
    <w:rsid w:val="00023AE1"/>
    <w:rsid w:val="000250C7"/>
    <w:rsid w:val="0002782F"/>
    <w:rsid w:val="00031BF3"/>
    <w:rsid w:val="00035BBF"/>
    <w:rsid w:val="00037FFD"/>
    <w:rsid w:val="00040DF1"/>
    <w:rsid w:val="00050806"/>
    <w:rsid w:val="00050DB7"/>
    <w:rsid w:val="00051008"/>
    <w:rsid w:val="000546D9"/>
    <w:rsid w:val="00054AAA"/>
    <w:rsid w:val="00054E4D"/>
    <w:rsid w:val="00060073"/>
    <w:rsid w:val="000616C6"/>
    <w:rsid w:val="0006211D"/>
    <w:rsid w:val="00064588"/>
    <w:rsid w:val="00071788"/>
    <w:rsid w:val="00074C70"/>
    <w:rsid w:val="000854FD"/>
    <w:rsid w:val="000928FE"/>
    <w:rsid w:val="000A1EE2"/>
    <w:rsid w:val="000A3256"/>
    <w:rsid w:val="000A4AC2"/>
    <w:rsid w:val="000B37F5"/>
    <w:rsid w:val="000B7EDA"/>
    <w:rsid w:val="000C444B"/>
    <w:rsid w:val="000C5205"/>
    <w:rsid w:val="000D1C06"/>
    <w:rsid w:val="000D4DB4"/>
    <w:rsid w:val="000D66D6"/>
    <w:rsid w:val="000E7784"/>
    <w:rsid w:val="000F5BA4"/>
    <w:rsid w:val="000F6DD0"/>
    <w:rsid w:val="0010046B"/>
    <w:rsid w:val="00103626"/>
    <w:rsid w:val="0010413E"/>
    <w:rsid w:val="00105E3D"/>
    <w:rsid w:val="00110C81"/>
    <w:rsid w:val="00112E12"/>
    <w:rsid w:val="00113288"/>
    <w:rsid w:val="0011401F"/>
    <w:rsid w:val="001214BE"/>
    <w:rsid w:val="00130230"/>
    <w:rsid w:val="0013101C"/>
    <w:rsid w:val="001461D6"/>
    <w:rsid w:val="00151CB2"/>
    <w:rsid w:val="001541EA"/>
    <w:rsid w:val="00154542"/>
    <w:rsid w:val="00157867"/>
    <w:rsid w:val="001616D0"/>
    <w:rsid w:val="00162BE6"/>
    <w:rsid w:val="0017161E"/>
    <w:rsid w:val="00173146"/>
    <w:rsid w:val="00173DD8"/>
    <w:rsid w:val="00175BA5"/>
    <w:rsid w:val="00181D4C"/>
    <w:rsid w:val="00183B62"/>
    <w:rsid w:val="001907AA"/>
    <w:rsid w:val="001962F2"/>
    <w:rsid w:val="00197E85"/>
    <w:rsid w:val="001A00D6"/>
    <w:rsid w:val="001A0238"/>
    <w:rsid w:val="001A54DB"/>
    <w:rsid w:val="001A7296"/>
    <w:rsid w:val="001A7ED5"/>
    <w:rsid w:val="001B5841"/>
    <w:rsid w:val="001B7623"/>
    <w:rsid w:val="001C2199"/>
    <w:rsid w:val="001C50B3"/>
    <w:rsid w:val="001D663E"/>
    <w:rsid w:val="001E1DC0"/>
    <w:rsid w:val="001F236E"/>
    <w:rsid w:val="001F5300"/>
    <w:rsid w:val="001F71B5"/>
    <w:rsid w:val="002000C2"/>
    <w:rsid w:val="00201EC3"/>
    <w:rsid w:val="00203277"/>
    <w:rsid w:val="00203379"/>
    <w:rsid w:val="00204ED8"/>
    <w:rsid w:val="00205B2E"/>
    <w:rsid w:val="002068B7"/>
    <w:rsid w:val="00213A46"/>
    <w:rsid w:val="00214DD9"/>
    <w:rsid w:val="002157C3"/>
    <w:rsid w:val="00223692"/>
    <w:rsid w:val="0022631C"/>
    <w:rsid w:val="0022652A"/>
    <w:rsid w:val="002278B3"/>
    <w:rsid w:val="00230777"/>
    <w:rsid w:val="0023170D"/>
    <w:rsid w:val="00232368"/>
    <w:rsid w:val="00233AB6"/>
    <w:rsid w:val="00235EA0"/>
    <w:rsid w:val="00235EAB"/>
    <w:rsid w:val="00237DB8"/>
    <w:rsid w:val="00241DA0"/>
    <w:rsid w:val="0024377E"/>
    <w:rsid w:val="002458BA"/>
    <w:rsid w:val="00252C04"/>
    <w:rsid w:val="00254214"/>
    <w:rsid w:val="002562D3"/>
    <w:rsid w:val="00256DC9"/>
    <w:rsid w:val="0026219D"/>
    <w:rsid w:val="0026329C"/>
    <w:rsid w:val="002646C3"/>
    <w:rsid w:val="00265DDB"/>
    <w:rsid w:val="00266C3A"/>
    <w:rsid w:val="00274EE4"/>
    <w:rsid w:val="00276993"/>
    <w:rsid w:val="00276A54"/>
    <w:rsid w:val="00277797"/>
    <w:rsid w:val="00277ABF"/>
    <w:rsid w:val="0028602A"/>
    <w:rsid w:val="00292F0F"/>
    <w:rsid w:val="002A42BF"/>
    <w:rsid w:val="002A462F"/>
    <w:rsid w:val="002A5023"/>
    <w:rsid w:val="002A7B19"/>
    <w:rsid w:val="002A7F56"/>
    <w:rsid w:val="002B5E10"/>
    <w:rsid w:val="002C1995"/>
    <w:rsid w:val="002C46D7"/>
    <w:rsid w:val="002C7072"/>
    <w:rsid w:val="002C793D"/>
    <w:rsid w:val="002C79D2"/>
    <w:rsid w:val="002D138A"/>
    <w:rsid w:val="002D1E93"/>
    <w:rsid w:val="002D5904"/>
    <w:rsid w:val="002D5B25"/>
    <w:rsid w:val="002D7B00"/>
    <w:rsid w:val="002E50A1"/>
    <w:rsid w:val="002F2D34"/>
    <w:rsid w:val="002F4F2B"/>
    <w:rsid w:val="002F641F"/>
    <w:rsid w:val="003002C0"/>
    <w:rsid w:val="0030107B"/>
    <w:rsid w:val="00301144"/>
    <w:rsid w:val="003031C6"/>
    <w:rsid w:val="00304984"/>
    <w:rsid w:val="003102F3"/>
    <w:rsid w:val="00312BF8"/>
    <w:rsid w:val="00312FAD"/>
    <w:rsid w:val="0031476E"/>
    <w:rsid w:val="003148B7"/>
    <w:rsid w:val="003158C3"/>
    <w:rsid w:val="00315F49"/>
    <w:rsid w:val="00316D41"/>
    <w:rsid w:val="00320999"/>
    <w:rsid w:val="003220A3"/>
    <w:rsid w:val="003274CD"/>
    <w:rsid w:val="00330E12"/>
    <w:rsid w:val="00332E87"/>
    <w:rsid w:val="00333501"/>
    <w:rsid w:val="003365E4"/>
    <w:rsid w:val="00343598"/>
    <w:rsid w:val="003457C4"/>
    <w:rsid w:val="003474B9"/>
    <w:rsid w:val="003500CF"/>
    <w:rsid w:val="0035119D"/>
    <w:rsid w:val="003533C9"/>
    <w:rsid w:val="00354C10"/>
    <w:rsid w:val="00365569"/>
    <w:rsid w:val="00372FC5"/>
    <w:rsid w:val="00374BC3"/>
    <w:rsid w:val="003753EF"/>
    <w:rsid w:val="00376506"/>
    <w:rsid w:val="0038369B"/>
    <w:rsid w:val="00384D40"/>
    <w:rsid w:val="00390828"/>
    <w:rsid w:val="0039344A"/>
    <w:rsid w:val="00394108"/>
    <w:rsid w:val="00395163"/>
    <w:rsid w:val="003A2C43"/>
    <w:rsid w:val="003B4F12"/>
    <w:rsid w:val="003B77F8"/>
    <w:rsid w:val="003C134D"/>
    <w:rsid w:val="003C1E15"/>
    <w:rsid w:val="003C7CFE"/>
    <w:rsid w:val="003D438A"/>
    <w:rsid w:val="003D4C6F"/>
    <w:rsid w:val="003E1169"/>
    <w:rsid w:val="003E2028"/>
    <w:rsid w:val="003F2041"/>
    <w:rsid w:val="00402ACC"/>
    <w:rsid w:val="0040736B"/>
    <w:rsid w:val="00407AEC"/>
    <w:rsid w:val="004120EC"/>
    <w:rsid w:val="00414515"/>
    <w:rsid w:val="004161C5"/>
    <w:rsid w:val="00417E5A"/>
    <w:rsid w:val="0042348A"/>
    <w:rsid w:val="00423F31"/>
    <w:rsid w:val="00427581"/>
    <w:rsid w:val="00430D65"/>
    <w:rsid w:val="00431899"/>
    <w:rsid w:val="00432E28"/>
    <w:rsid w:val="00433F6B"/>
    <w:rsid w:val="00442055"/>
    <w:rsid w:val="00447777"/>
    <w:rsid w:val="00452298"/>
    <w:rsid w:val="004537BB"/>
    <w:rsid w:val="00455C51"/>
    <w:rsid w:val="00457BFF"/>
    <w:rsid w:val="00464860"/>
    <w:rsid w:val="004701F3"/>
    <w:rsid w:val="00477710"/>
    <w:rsid w:val="00480782"/>
    <w:rsid w:val="00482AE8"/>
    <w:rsid w:val="00483658"/>
    <w:rsid w:val="0048492D"/>
    <w:rsid w:val="00486804"/>
    <w:rsid w:val="004926B6"/>
    <w:rsid w:val="004939C4"/>
    <w:rsid w:val="00494F98"/>
    <w:rsid w:val="004A258D"/>
    <w:rsid w:val="004B0A0A"/>
    <w:rsid w:val="004B14CC"/>
    <w:rsid w:val="004B1618"/>
    <w:rsid w:val="004B30B4"/>
    <w:rsid w:val="004B3711"/>
    <w:rsid w:val="004B3775"/>
    <w:rsid w:val="004C1B43"/>
    <w:rsid w:val="004C5598"/>
    <w:rsid w:val="004C6342"/>
    <w:rsid w:val="004D0BA0"/>
    <w:rsid w:val="004D0F75"/>
    <w:rsid w:val="004D1663"/>
    <w:rsid w:val="004E058F"/>
    <w:rsid w:val="004E0BD7"/>
    <w:rsid w:val="004E3B87"/>
    <w:rsid w:val="004E4010"/>
    <w:rsid w:val="004E4273"/>
    <w:rsid w:val="004E7318"/>
    <w:rsid w:val="004F523E"/>
    <w:rsid w:val="004F661C"/>
    <w:rsid w:val="004F6B26"/>
    <w:rsid w:val="00505577"/>
    <w:rsid w:val="00510921"/>
    <w:rsid w:val="00510AD3"/>
    <w:rsid w:val="00512E92"/>
    <w:rsid w:val="00513348"/>
    <w:rsid w:val="00513AD8"/>
    <w:rsid w:val="00514C07"/>
    <w:rsid w:val="00517820"/>
    <w:rsid w:val="005204D2"/>
    <w:rsid w:val="00520607"/>
    <w:rsid w:val="00522396"/>
    <w:rsid w:val="00533B5D"/>
    <w:rsid w:val="005362FD"/>
    <w:rsid w:val="00541F82"/>
    <w:rsid w:val="00551219"/>
    <w:rsid w:val="00553EEF"/>
    <w:rsid w:val="00560B86"/>
    <w:rsid w:val="00564381"/>
    <w:rsid w:val="0057123A"/>
    <w:rsid w:val="005919C6"/>
    <w:rsid w:val="00591B5F"/>
    <w:rsid w:val="00593BF2"/>
    <w:rsid w:val="005A20F6"/>
    <w:rsid w:val="005B06E6"/>
    <w:rsid w:val="005B54F7"/>
    <w:rsid w:val="005B55E8"/>
    <w:rsid w:val="005B7866"/>
    <w:rsid w:val="005C1B49"/>
    <w:rsid w:val="005C4817"/>
    <w:rsid w:val="005D1082"/>
    <w:rsid w:val="005D3655"/>
    <w:rsid w:val="005D5200"/>
    <w:rsid w:val="005E0281"/>
    <w:rsid w:val="005E2875"/>
    <w:rsid w:val="005E4830"/>
    <w:rsid w:val="005E545E"/>
    <w:rsid w:val="005E5477"/>
    <w:rsid w:val="005F42E6"/>
    <w:rsid w:val="00601279"/>
    <w:rsid w:val="00602D7B"/>
    <w:rsid w:val="00603FB3"/>
    <w:rsid w:val="00610BE3"/>
    <w:rsid w:val="00613078"/>
    <w:rsid w:val="0061383C"/>
    <w:rsid w:val="00613E23"/>
    <w:rsid w:val="006229D5"/>
    <w:rsid w:val="00622B86"/>
    <w:rsid w:val="00623981"/>
    <w:rsid w:val="00623BA1"/>
    <w:rsid w:val="00625BC5"/>
    <w:rsid w:val="006346BC"/>
    <w:rsid w:val="0063604A"/>
    <w:rsid w:val="00636443"/>
    <w:rsid w:val="00644D95"/>
    <w:rsid w:val="00651213"/>
    <w:rsid w:val="00660121"/>
    <w:rsid w:val="0066652A"/>
    <w:rsid w:val="0066672F"/>
    <w:rsid w:val="00667907"/>
    <w:rsid w:val="0067151E"/>
    <w:rsid w:val="006719C3"/>
    <w:rsid w:val="006721E9"/>
    <w:rsid w:val="00676F4C"/>
    <w:rsid w:val="0067788C"/>
    <w:rsid w:val="00680522"/>
    <w:rsid w:val="00680993"/>
    <w:rsid w:val="00682167"/>
    <w:rsid w:val="006931CE"/>
    <w:rsid w:val="0069627E"/>
    <w:rsid w:val="00696D99"/>
    <w:rsid w:val="006A1BC6"/>
    <w:rsid w:val="006A1BF0"/>
    <w:rsid w:val="006B57AA"/>
    <w:rsid w:val="006C42AF"/>
    <w:rsid w:val="006D4631"/>
    <w:rsid w:val="006E716D"/>
    <w:rsid w:val="006E788C"/>
    <w:rsid w:val="006F2A05"/>
    <w:rsid w:val="006F4C2B"/>
    <w:rsid w:val="007031B5"/>
    <w:rsid w:val="0070423F"/>
    <w:rsid w:val="0071059D"/>
    <w:rsid w:val="00711163"/>
    <w:rsid w:val="00711D8E"/>
    <w:rsid w:val="00712672"/>
    <w:rsid w:val="00715351"/>
    <w:rsid w:val="00720E58"/>
    <w:rsid w:val="00734E3F"/>
    <w:rsid w:val="00736985"/>
    <w:rsid w:val="00736C33"/>
    <w:rsid w:val="00745DF5"/>
    <w:rsid w:val="00756858"/>
    <w:rsid w:val="00757F58"/>
    <w:rsid w:val="007606CE"/>
    <w:rsid w:val="0076250F"/>
    <w:rsid w:val="00762CA6"/>
    <w:rsid w:val="00765388"/>
    <w:rsid w:val="00766556"/>
    <w:rsid w:val="007706B8"/>
    <w:rsid w:val="00770F86"/>
    <w:rsid w:val="007723A2"/>
    <w:rsid w:val="00774EE4"/>
    <w:rsid w:val="00780FA5"/>
    <w:rsid w:val="0078167D"/>
    <w:rsid w:val="00783EE6"/>
    <w:rsid w:val="00787267"/>
    <w:rsid w:val="00790171"/>
    <w:rsid w:val="00793485"/>
    <w:rsid w:val="0079594E"/>
    <w:rsid w:val="00795D69"/>
    <w:rsid w:val="00795EC8"/>
    <w:rsid w:val="00796192"/>
    <w:rsid w:val="007A5328"/>
    <w:rsid w:val="007A6663"/>
    <w:rsid w:val="007A7028"/>
    <w:rsid w:val="007A737C"/>
    <w:rsid w:val="007B06DC"/>
    <w:rsid w:val="007B59BC"/>
    <w:rsid w:val="007B6200"/>
    <w:rsid w:val="007C3B04"/>
    <w:rsid w:val="007C441A"/>
    <w:rsid w:val="007C561E"/>
    <w:rsid w:val="007C7C1B"/>
    <w:rsid w:val="007D0BCB"/>
    <w:rsid w:val="007D2D8E"/>
    <w:rsid w:val="007E1F8F"/>
    <w:rsid w:val="007E3FF9"/>
    <w:rsid w:val="007E4969"/>
    <w:rsid w:val="007E55B7"/>
    <w:rsid w:val="007F1158"/>
    <w:rsid w:val="007F3395"/>
    <w:rsid w:val="007F3A1E"/>
    <w:rsid w:val="00801B9F"/>
    <w:rsid w:val="0080204D"/>
    <w:rsid w:val="008024AA"/>
    <w:rsid w:val="00805B9C"/>
    <w:rsid w:val="00805D37"/>
    <w:rsid w:val="00807A7C"/>
    <w:rsid w:val="00810213"/>
    <w:rsid w:val="00817DE6"/>
    <w:rsid w:val="00823B7F"/>
    <w:rsid w:val="00827351"/>
    <w:rsid w:val="008278B4"/>
    <w:rsid w:val="0083052F"/>
    <w:rsid w:val="00833E34"/>
    <w:rsid w:val="00837264"/>
    <w:rsid w:val="00840DFF"/>
    <w:rsid w:val="008475F0"/>
    <w:rsid w:val="00854659"/>
    <w:rsid w:val="008557A7"/>
    <w:rsid w:val="00860034"/>
    <w:rsid w:val="008619AA"/>
    <w:rsid w:val="00863B57"/>
    <w:rsid w:val="008655AC"/>
    <w:rsid w:val="00870928"/>
    <w:rsid w:val="00871D95"/>
    <w:rsid w:val="00880AFF"/>
    <w:rsid w:val="00881DDA"/>
    <w:rsid w:val="00885A62"/>
    <w:rsid w:val="00886570"/>
    <w:rsid w:val="0089405C"/>
    <w:rsid w:val="0089581A"/>
    <w:rsid w:val="00897FA2"/>
    <w:rsid w:val="008A276A"/>
    <w:rsid w:val="008A5AFE"/>
    <w:rsid w:val="008B007C"/>
    <w:rsid w:val="008B163F"/>
    <w:rsid w:val="008C48F9"/>
    <w:rsid w:val="008C5A0E"/>
    <w:rsid w:val="008D02E3"/>
    <w:rsid w:val="008D3010"/>
    <w:rsid w:val="008D4F25"/>
    <w:rsid w:val="008D7FB9"/>
    <w:rsid w:val="008E1A5F"/>
    <w:rsid w:val="008E3905"/>
    <w:rsid w:val="008E63B4"/>
    <w:rsid w:val="00901CBA"/>
    <w:rsid w:val="00905D2F"/>
    <w:rsid w:val="009125FC"/>
    <w:rsid w:val="00915FB7"/>
    <w:rsid w:val="00920AB0"/>
    <w:rsid w:val="00920DCC"/>
    <w:rsid w:val="00923F1A"/>
    <w:rsid w:val="00926213"/>
    <w:rsid w:val="00927172"/>
    <w:rsid w:val="0092776C"/>
    <w:rsid w:val="009278D2"/>
    <w:rsid w:val="00935114"/>
    <w:rsid w:val="00935ABC"/>
    <w:rsid w:val="00943730"/>
    <w:rsid w:val="00946A4F"/>
    <w:rsid w:val="0095053A"/>
    <w:rsid w:val="00950631"/>
    <w:rsid w:val="009578CD"/>
    <w:rsid w:val="00961E72"/>
    <w:rsid w:val="00962571"/>
    <w:rsid w:val="00963CEC"/>
    <w:rsid w:val="0096448E"/>
    <w:rsid w:val="00972D2C"/>
    <w:rsid w:val="00975CA5"/>
    <w:rsid w:val="00976F64"/>
    <w:rsid w:val="00977676"/>
    <w:rsid w:val="00980574"/>
    <w:rsid w:val="00981DFF"/>
    <w:rsid w:val="009828DB"/>
    <w:rsid w:val="00983AED"/>
    <w:rsid w:val="00986590"/>
    <w:rsid w:val="00991BC4"/>
    <w:rsid w:val="00992C1B"/>
    <w:rsid w:val="00992C76"/>
    <w:rsid w:val="00995945"/>
    <w:rsid w:val="00995C33"/>
    <w:rsid w:val="009969D6"/>
    <w:rsid w:val="009A0908"/>
    <w:rsid w:val="009A3DD2"/>
    <w:rsid w:val="009A65DB"/>
    <w:rsid w:val="009B4D3B"/>
    <w:rsid w:val="009B7942"/>
    <w:rsid w:val="009C4CFD"/>
    <w:rsid w:val="009C62EE"/>
    <w:rsid w:val="009D57C0"/>
    <w:rsid w:val="009D6870"/>
    <w:rsid w:val="009D7407"/>
    <w:rsid w:val="009D7B45"/>
    <w:rsid w:val="009E0866"/>
    <w:rsid w:val="009E2616"/>
    <w:rsid w:val="009E273C"/>
    <w:rsid w:val="009E3A88"/>
    <w:rsid w:val="009E77AA"/>
    <w:rsid w:val="009F1350"/>
    <w:rsid w:val="009F6423"/>
    <w:rsid w:val="009F713D"/>
    <w:rsid w:val="00A031E7"/>
    <w:rsid w:val="00A05FF5"/>
    <w:rsid w:val="00A10879"/>
    <w:rsid w:val="00A16099"/>
    <w:rsid w:val="00A175B3"/>
    <w:rsid w:val="00A24A62"/>
    <w:rsid w:val="00A24DE7"/>
    <w:rsid w:val="00A26425"/>
    <w:rsid w:val="00A2747D"/>
    <w:rsid w:val="00A3067D"/>
    <w:rsid w:val="00A312C0"/>
    <w:rsid w:val="00A31C9F"/>
    <w:rsid w:val="00A35285"/>
    <w:rsid w:val="00A40E7B"/>
    <w:rsid w:val="00A4144F"/>
    <w:rsid w:val="00A45F4C"/>
    <w:rsid w:val="00A61B4D"/>
    <w:rsid w:val="00A63917"/>
    <w:rsid w:val="00A71C67"/>
    <w:rsid w:val="00A804E9"/>
    <w:rsid w:val="00A80F95"/>
    <w:rsid w:val="00A81D06"/>
    <w:rsid w:val="00A82EEE"/>
    <w:rsid w:val="00A841EA"/>
    <w:rsid w:val="00A84ADA"/>
    <w:rsid w:val="00A90847"/>
    <w:rsid w:val="00A91795"/>
    <w:rsid w:val="00A940CA"/>
    <w:rsid w:val="00A97BF1"/>
    <w:rsid w:val="00AA14F8"/>
    <w:rsid w:val="00AA1A52"/>
    <w:rsid w:val="00AA298A"/>
    <w:rsid w:val="00AA315B"/>
    <w:rsid w:val="00AA6910"/>
    <w:rsid w:val="00AA7937"/>
    <w:rsid w:val="00AB376E"/>
    <w:rsid w:val="00AB4389"/>
    <w:rsid w:val="00AB583E"/>
    <w:rsid w:val="00AC164A"/>
    <w:rsid w:val="00AC26EF"/>
    <w:rsid w:val="00AC68FC"/>
    <w:rsid w:val="00AE0795"/>
    <w:rsid w:val="00AE091B"/>
    <w:rsid w:val="00AE23A0"/>
    <w:rsid w:val="00AE448A"/>
    <w:rsid w:val="00AE4F89"/>
    <w:rsid w:val="00AE7CA4"/>
    <w:rsid w:val="00AF0ABF"/>
    <w:rsid w:val="00AF1DBC"/>
    <w:rsid w:val="00AF2050"/>
    <w:rsid w:val="00B0340C"/>
    <w:rsid w:val="00B0385D"/>
    <w:rsid w:val="00B03CA8"/>
    <w:rsid w:val="00B04BF4"/>
    <w:rsid w:val="00B05089"/>
    <w:rsid w:val="00B1062C"/>
    <w:rsid w:val="00B11053"/>
    <w:rsid w:val="00B120ED"/>
    <w:rsid w:val="00B16FE3"/>
    <w:rsid w:val="00B33C0A"/>
    <w:rsid w:val="00B506BD"/>
    <w:rsid w:val="00B52D88"/>
    <w:rsid w:val="00B542EF"/>
    <w:rsid w:val="00B54939"/>
    <w:rsid w:val="00B55A30"/>
    <w:rsid w:val="00B55E19"/>
    <w:rsid w:val="00B6051A"/>
    <w:rsid w:val="00B637DD"/>
    <w:rsid w:val="00B6495A"/>
    <w:rsid w:val="00B66722"/>
    <w:rsid w:val="00B70B50"/>
    <w:rsid w:val="00B734C6"/>
    <w:rsid w:val="00B85994"/>
    <w:rsid w:val="00B927C4"/>
    <w:rsid w:val="00B93ADC"/>
    <w:rsid w:val="00B94758"/>
    <w:rsid w:val="00BA0284"/>
    <w:rsid w:val="00BA0538"/>
    <w:rsid w:val="00BA1F13"/>
    <w:rsid w:val="00BA3B19"/>
    <w:rsid w:val="00BA4B6D"/>
    <w:rsid w:val="00BA5CFA"/>
    <w:rsid w:val="00BB0EC5"/>
    <w:rsid w:val="00BB139C"/>
    <w:rsid w:val="00BB26C5"/>
    <w:rsid w:val="00BB2BE4"/>
    <w:rsid w:val="00BB2DF3"/>
    <w:rsid w:val="00BC29F3"/>
    <w:rsid w:val="00BC31BD"/>
    <w:rsid w:val="00BD2CB3"/>
    <w:rsid w:val="00BE1D93"/>
    <w:rsid w:val="00BE46F0"/>
    <w:rsid w:val="00BF4DE6"/>
    <w:rsid w:val="00BF70E9"/>
    <w:rsid w:val="00BF77A7"/>
    <w:rsid w:val="00C0403D"/>
    <w:rsid w:val="00C05791"/>
    <w:rsid w:val="00C06B13"/>
    <w:rsid w:val="00C12F4B"/>
    <w:rsid w:val="00C16BFB"/>
    <w:rsid w:val="00C207BE"/>
    <w:rsid w:val="00C23E06"/>
    <w:rsid w:val="00C26D4E"/>
    <w:rsid w:val="00C27D25"/>
    <w:rsid w:val="00C30105"/>
    <w:rsid w:val="00C30AD9"/>
    <w:rsid w:val="00C32299"/>
    <w:rsid w:val="00C32E24"/>
    <w:rsid w:val="00C3565A"/>
    <w:rsid w:val="00C35AAD"/>
    <w:rsid w:val="00C36393"/>
    <w:rsid w:val="00C37728"/>
    <w:rsid w:val="00C37C5C"/>
    <w:rsid w:val="00C42541"/>
    <w:rsid w:val="00C42CDE"/>
    <w:rsid w:val="00C479F5"/>
    <w:rsid w:val="00C5182A"/>
    <w:rsid w:val="00C51BB6"/>
    <w:rsid w:val="00C63EE9"/>
    <w:rsid w:val="00C7181A"/>
    <w:rsid w:val="00C74060"/>
    <w:rsid w:val="00C74901"/>
    <w:rsid w:val="00C774AD"/>
    <w:rsid w:val="00C80ECC"/>
    <w:rsid w:val="00C8131C"/>
    <w:rsid w:val="00C875DE"/>
    <w:rsid w:val="00C915D9"/>
    <w:rsid w:val="00C92A43"/>
    <w:rsid w:val="00C9306C"/>
    <w:rsid w:val="00C943AF"/>
    <w:rsid w:val="00CA16F3"/>
    <w:rsid w:val="00CA37B1"/>
    <w:rsid w:val="00CA66CA"/>
    <w:rsid w:val="00CA7308"/>
    <w:rsid w:val="00CB1959"/>
    <w:rsid w:val="00CB1E47"/>
    <w:rsid w:val="00CB22A0"/>
    <w:rsid w:val="00CB35AF"/>
    <w:rsid w:val="00CB37B6"/>
    <w:rsid w:val="00CB46D3"/>
    <w:rsid w:val="00CC0E64"/>
    <w:rsid w:val="00CC384B"/>
    <w:rsid w:val="00CC741B"/>
    <w:rsid w:val="00CD0E4B"/>
    <w:rsid w:val="00CD1A44"/>
    <w:rsid w:val="00CD29C1"/>
    <w:rsid w:val="00CD315C"/>
    <w:rsid w:val="00CD3EF8"/>
    <w:rsid w:val="00CD41E5"/>
    <w:rsid w:val="00CD58D7"/>
    <w:rsid w:val="00CE4C89"/>
    <w:rsid w:val="00CF07BA"/>
    <w:rsid w:val="00CF6C83"/>
    <w:rsid w:val="00D00153"/>
    <w:rsid w:val="00D0296C"/>
    <w:rsid w:val="00D0665C"/>
    <w:rsid w:val="00D12A8B"/>
    <w:rsid w:val="00D15245"/>
    <w:rsid w:val="00D206DA"/>
    <w:rsid w:val="00D31007"/>
    <w:rsid w:val="00D32D6F"/>
    <w:rsid w:val="00D37560"/>
    <w:rsid w:val="00D37B04"/>
    <w:rsid w:val="00D44528"/>
    <w:rsid w:val="00D540C6"/>
    <w:rsid w:val="00D64BD1"/>
    <w:rsid w:val="00D656F4"/>
    <w:rsid w:val="00D65749"/>
    <w:rsid w:val="00D67940"/>
    <w:rsid w:val="00D72412"/>
    <w:rsid w:val="00D75D4C"/>
    <w:rsid w:val="00D813DF"/>
    <w:rsid w:val="00D92254"/>
    <w:rsid w:val="00D92699"/>
    <w:rsid w:val="00D931C9"/>
    <w:rsid w:val="00D93BC6"/>
    <w:rsid w:val="00D93F48"/>
    <w:rsid w:val="00DB38B6"/>
    <w:rsid w:val="00DC1BB9"/>
    <w:rsid w:val="00DC2FC2"/>
    <w:rsid w:val="00DC386F"/>
    <w:rsid w:val="00DC51C5"/>
    <w:rsid w:val="00DD472E"/>
    <w:rsid w:val="00DD560C"/>
    <w:rsid w:val="00DE084C"/>
    <w:rsid w:val="00DE2DE9"/>
    <w:rsid w:val="00DE3513"/>
    <w:rsid w:val="00DE4601"/>
    <w:rsid w:val="00DF440F"/>
    <w:rsid w:val="00DF611B"/>
    <w:rsid w:val="00E00CCC"/>
    <w:rsid w:val="00E07BA8"/>
    <w:rsid w:val="00E10BFD"/>
    <w:rsid w:val="00E14F51"/>
    <w:rsid w:val="00E16160"/>
    <w:rsid w:val="00E20F94"/>
    <w:rsid w:val="00E234CD"/>
    <w:rsid w:val="00E26831"/>
    <w:rsid w:val="00E27460"/>
    <w:rsid w:val="00E31971"/>
    <w:rsid w:val="00E357B7"/>
    <w:rsid w:val="00E40E21"/>
    <w:rsid w:val="00E52AF5"/>
    <w:rsid w:val="00E53800"/>
    <w:rsid w:val="00E6081F"/>
    <w:rsid w:val="00E655FE"/>
    <w:rsid w:val="00E73B9E"/>
    <w:rsid w:val="00E760D3"/>
    <w:rsid w:val="00E81A7C"/>
    <w:rsid w:val="00E8296D"/>
    <w:rsid w:val="00E82D35"/>
    <w:rsid w:val="00E8457B"/>
    <w:rsid w:val="00E91FB7"/>
    <w:rsid w:val="00E922C3"/>
    <w:rsid w:val="00EA04B2"/>
    <w:rsid w:val="00EA20F3"/>
    <w:rsid w:val="00EB1D75"/>
    <w:rsid w:val="00EB398C"/>
    <w:rsid w:val="00EB43D4"/>
    <w:rsid w:val="00EB4B7D"/>
    <w:rsid w:val="00EB5FCD"/>
    <w:rsid w:val="00EB6B0A"/>
    <w:rsid w:val="00EC17DB"/>
    <w:rsid w:val="00EC3C2D"/>
    <w:rsid w:val="00EC53BA"/>
    <w:rsid w:val="00EC6117"/>
    <w:rsid w:val="00EC63DD"/>
    <w:rsid w:val="00ED2831"/>
    <w:rsid w:val="00ED43D1"/>
    <w:rsid w:val="00ED50C8"/>
    <w:rsid w:val="00EE1027"/>
    <w:rsid w:val="00EE25F4"/>
    <w:rsid w:val="00EE4EE1"/>
    <w:rsid w:val="00EF4574"/>
    <w:rsid w:val="00EF478B"/>
    <w:rsid w:val="00EF4CCA"/>
    <w:rsid w:val="00EF5FB3"/>
    <w:rsid w:val="00EF6114"/>
    <w:rsid w:val="00F11827"/>
    <w:rsid w:val="00F13796"/>
    <w:rsid w:val="00F1459B"/>
    <w:rsid w:val="00F242BA"/>
    <w:rsid w:val="00F25A93"/>
    <w:rsid w:val="00F2684E"/>
    <w:rsid w:val="00F30087"/>
    <w:rsid w:val="00F366DB"/>
    <w:rsid w:val="00F41480"/>
    <w:rsid w:val="00F425CB"/>
    <w:rsid w:val="00F505D5"/>
    <w:rsid w:val="00F5404C"/>
    <w:rsid w:val="00F617F9"/>
    <w:rsid w:val="00F63349"/>
    <w:rsid w:val="00F67112"/>
    <w:rsid w:val="00F6755A"/>
    <w:rsid w:val="00F721D3"/>
    <w:rsid w:val="00F729EF"/>
    <w:rsid w:val="00F744A2"/>
    <w:rsid w:val="00F74546"/>
    <w:rsid w:val="00F7707F"/>
    <w:rsid w:val="00F77CAE"/>
    <w:rsid w:val="00F82271"/>
    <w:rsid w:val="00F83428"/>
    <w:rsid w:val="00F85E10"/>
    <w:rsid w:val="00F860C7"/>
    <w:rsid w:val="00F86A4F"/>
    <w:rsid w:val="00F9281D"/>
    <w:rsid w:val="00F92FB7"/>
    <w:rsid w:val="00F94008"/>
    <w:rsid w:val="00F950F7"/>
    <w:rsid w:val="00F96BB9"/>
    <w:rsid w:val="00FA69AF"/>
    <w:rsid w:val="00FA7833"/>
    <w:rsid w:val="00FB39DD"/>
    <w:rsid w:val="00FB6D8C"/>
    <w:rsid w:val="00FC322F"/>
    <w:rsid w:val="00FC4D22"/>
    <w:rsid w:val="00FC7302"/>
    <w:rsid w:val="00FC7F94"/>
    <w:rsid w:val="00FD3123"/>
    <w:rsid w:val="00FD3981"/>
    <w:rsid w:val="00FD5C7E"/>
    <w:rsid w:val="00FE49E6"/>
    <w:rsid w:val="00FE53E1"/>
    <w:rsid w:val="00FE6D51"/>
    <w:rsid w:val="00FE6F2A"/>
    <w:rsid w:val="00FF0126"/>
    <w:rsid w:val="00FF228F"/>
    <w:rsid w:val="00FF4990"/>
    <w:rsid w:val="00FF5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D2D4E2D"/>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C26D4E"/>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26D4E"/>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26D4E"/>
    <w:pPr>
      <w:spacing w:before="0" w:after="0" w:line="240" w:lineRule="exact"/>
      <w:ind w:left="284" w:right="284"/>
    </w:pPr>
    <w:rPr>
      <w:color w:val="auto"/>
    </w:rPr>
  </w:style>
  <w:style w:type="character" w:customStyle="1" w:styleId="FooterChar">
    <w:name w:val="Footer Char"/>
    <w:basedOn w:val="DefaultParagraphFont"/>
    <w:link w:val="Footer"/>
    <w:uiPriority w:val="99"/>
    <w:rsid w:val="00C26D4E"/>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C26D4E"/>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EndnoteText">
    <w:name w:val="endnote text"/>
    <w:basedOn w:val="Normal"/>
    <w:link w:val="EndnoteTextChar"/>
    <w:uiPriority w:val="99"/>
    <w:semiHidden/>
    <w:unhideWhenUsed/>
    <w:rsid w:val="00625BC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625BC5"/>
    <w:rPr>
      <w:color w:val="495965" w:themeColor="text2"/>
      <w:sz w:val="20"/>
      <w:szCs w:val="20"/>
      <w:lang w:val="en-GB"/>
    </w:rPr>
  </w:style>
  <w:style w:type="character" w:styleId="EndnoteReference">
    <w:name w:val="endnote reference"/>
    <w:basedOn w:val="DefaultParagraphFont"/>
    <w:uiPriority w:val="99"/>
    <w:semiHidden/>
    <w:unhideWhenUsed/>
    <w:rsid w:val="00625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220138142">
      <w:bodyDiv w:val="1"/>
      <w:marLeft w:val="0"/>
      <w:marRight w:val="0"/>
      <w:marTop w:val="0"/>
      <w:marBottom w:val="0"/>
      <w:divBdr>
        <w:top w:val="none" w:sz="0" w:space="0" w:color="auto"/>
        <w:left w:val="none" w:sz="0" w:space="0" w:color="auto"/>
        <w:bottom w:val="none" w:sz="0" w:space="0" w:color="auto"/>
        <w:right w:val="none" w:sz="0" w:space="0" w:color="auto"/>
      </w:divBdr>
    </w:div>
    <w:div w:id="225990905">
      <w:bodyDiv w:val="1"/>
      <w:marLeft w:val="0"/>
      <w:marRight w:val="0"/>
      <w:marTop w:val="0"/>
      <w:marBottom w:val="0"/>
      <w:divBdr>
        <w:top w:val="none" w:sz="0" w:space="0" w:color="auto"/>
        <w:left w:val="none" w:sz="0" w:space="0" w:color="auto"/>
        <w:bottom w:val="none" w:sz="0" w:space="0" w:color="auto"/>
        <w:right w:val="none" w:sz="0" w:space="0" w:color="auto"/>
      </w:divBdr>
    </w:div>
    <w:div w:id="314846891">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10413883">
      <w:bodyDiv w:val="1"/>
      <w:marLeft w:val="0"/>
      <w:marRight w:val="0"/>
      <w:marTop w:val="0"/>
      <w:marBottom w:val="0"/>
      <w:divBdr>
        <w:top w:val="none" w:sz="0" w:space="0" w:color="auto"/>
        <w:left w:val="none" w:sz="0" w:space="0" w:color="auto"/>
        <w:bottom w:val="none" w:sz="0" w:space="0" w:color="auto"/>
        <w:right w:val="none" w:sz="0" w:space="0" w:color="auto"/>
      </w:divBdr>
    </w:div>
    <w:div w:id="73963961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78352510">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07737091">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483228962">
      <w:bodyDiv w:val="1"/>
      <w:marLeft w:val="0"/>
      <w:marRight w:val="0"/>
      <w:marTop w:val="0"/>
      <w:marBottom w:val="0"/>
      <w:divBdr>
        <w:top w:val="none" w:sz="0" w:space="0" w:color="auto"/>
        <w:left w:val="none" w:sz="0" w:space="0" w:color="auto"/>
        <w:bottom w:val="none" w:sz="0" w:space="0" w:color="auto"/>
        <w:right w:val="none" w:sz="0" w:space="0" w:color="auto"/>
      </w:divBdr>
      <w:divsChild>
        <w:div w:id="1894389094">
          <w:marLeft w:val="0"/>
          <w:marRight w:val="0"/>
          <w:marTop w:val="90"/>
          <w:marBottom w:val="0"/>
          <w:divBdr>
            <w:top w:val="none" w:sz="0" w:space="0" w:color="auto"/>
            <w:left w:val="none" w:sz="0" w:space="0" w:color="auto"/>
            <w:bottom w:val="none" w:sz="0" w:space="0" w:color="auto"/>
            <w:right w:val="none" w:sz="0" w:space="0" w:color="auto"/>
          </w:divBdr>
        </w:div>
        <w:div w:id="1557743917">
          <w:marLeft w:val="0"/>
          <w:marRight w:val="0"/>
          <w:marTop w:val="0"/>
          <w:marBottom w:val="0"/>
          <w:divBdr>
            <w:top w:val="none" w:sz="0" w:space="0" w:color="auto"/>
            <w:left w:val="none" w:sz="0" w:space="0" w:color="auto"/>
            <w:bottom w:val="none" w:sz="0" w:space="0" w:color="auto"/>
            <w:right w:val="none" w:sz="0" w:space="0" w:color="auto"/>
          </w:divBdr>
          <w:divsChild>
            <w:div w:id="109787352">
              <w:marLeft w:val="0"/>
              <w:marRight w:val="0"/>
              <w:marTop w:val="150"/>
              <w:marBottom w:val="0"/>
              <w:divBdr>
                <w:top w:val="none" w:sz="0" w:space="0" w:color="auto"/>
                <w:left w:val="none" w:sz="0" w:space="0" w:color="auto"/>
                <w:bottom w:val="none" w:sz="0" w:space="0" w:color="auto"/>
                <w:right w:val="none" w:sz="0" w:space="0" w:color="auto"/>
              </w:divBdr>
              <w:divsChild>
                <w:div w:id="210052324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05267990">
      <w:bodyDiv w:val="1"/>
      <w:marLeft w:val="0"/>
      <w:marRight w:val="0"/>
      <w:marTop w:val="0"/>
      <w:marBottom w:val="0"/>
      <w:divBdr>
        <w:top w:val="none" w:sz="0" w:space="0" w:color="auto"/>
        <w:left w:val="none" w:sz="0" w:space="0" w:color="auto"/>
        <w:bottom w:val="none" w:sz="0" w:space="0" w:color="auto"/>
        <w:right w:val="none" w:sz="0" w:space="0" w:color="auto"/>
      </w:divBdr>
    </w:div>
    <w:div w:id="1661155172">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13293046">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w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9.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b894c73-1921-4299-aefc-49f5a4cb1310"/>
    <ds:schemaRef ds:uri="http://purl.org/dc/elements/1.1/"/>
    <ds:schemaRef ds:uri="http://schemas.microsoft.com/office/2006/metadata/properties"/>
    <ds:schemaRef ds:uri="349e11ad-1311-4134-818c-bb844dbfed54"/>
    <ds:schemaRef ds:uri="http://www.w3.org/XML/1998/namespace"/>
  </ds:schemaRefs>
</ds:datastoreItem>
</file>

<file path=customXml/itemProps2.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3.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E9B5A-F6A3-4EB7-A1B7-56EA86EF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2020-10-19T03:37:00Z</cp:lastPrinted>
  <dcterms:created xsi:type="dcterms:W3CDTF">2020-11-04T01:00:00Z</dcterms:created>
  <dcterms:modified xsi:type="dcterms:W3CDTF">2020-11-17T22:34:00Z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e21539cc-172e-43cf-8257-4136365f2b0b</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