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D5B74" w14:textId="3C8468DB" w:rsidR="008F6C00" w:rsidRPr="008E4140" w:rsidRDefault="00AF4331" w:rsidP="00CC56A7">
      <w:pPr>
        <w:pStyle w:val="Heading1"/>
        <w:rPr>
          <w:b/>
          <w:bCs/>
          <w:color w:val="auto"/>
        </w:rPr>
      </w:pPr>
      <w:r>
        <w:rPr>
          <w:b/>
          <w:bCs/>
          <w:color w:val="auto"/>
        </w:rPr>
        <w:t xml:space="preserve">DFAT </w:t>
      </w:r>
      <w:r w:rsidR="008F6C00" w:rsidRPr="008E4140">
        <w:rPr>
          <w:b/>
          <w:bCs/>
          <w:color w:val="auto"/>
        </w:rPr>
        <w:t>MANAGEMENT RESPONSE</w:t>
      </w:r>
    </w:p>
    <w:p w14:paraId="4E490585" w14:textId="7C41C91E" w:rsidR="00205134" w:rsidRPr="008E4140" w:rsidRDefault="000D3772" w:rsidP="00CC56A7">
      <w:pPr>
        <w:pStyle w:val="Heading2"/>
        <w:rPr>
          <w:color w:val="auto"/>
        </w:rPr>
      </w:pPr>
      <w:r w:rsidRPr="008E4140">
        <w:rPr>
          <w:color w:val="auto"/>
        </w:rPr>
        <w:t xml:space="preserve">MID-TERM </w:t>
      </w:r>
      <w:r w:rsidR="00772CB5" w:rsidRPr="008E4140">
        <w:rPr>
          <w:color w:val="auto"/>
        </w:rPr>
        <w:t>REVIEW</w:t>
      </w:r>
      <w:r w:rsidR="00007663" w:rsidRPr="008E4140">
        <w:rPr>
          <w:color w:val="auto"/>
        </w:rPr>
        <w:t xml:space="preserve"> OF THE MULTIYEAR PREPOSITIONING AGREEMENT WITH THE PHILIPPINE RED CROSS</w:t>
      </w:r>
      <w:r w:rsidR="006B10BF" w:rsidRPr="008E4140">
        <w:rPr>
          <w:color w:val="auto"/>
        </w:rPr>
        <w:t xml:space="preserve"> </w:t>
      </w:r>
    </w:p>
    <w:p w14:paraId="19B2F127" w14:textId="77777777" w:rsidR="00A008E7" w:rsidRPr="008E4140" w:rsidRDefault="00A008E7" w:rsidP="00A008E7">
      <w:pPr>
        <w:suppressAutoHyphens/>
        <w:spacing w:before="120" w:after="60" w:line="260" w:lineRule="atLeast"/>
        <w:rPr>
          <w:rFonts w:ascii="Calibri Light" w:eastAsia="Calibri Light" w:hAnsi="Calibri Light" w:cs="Times New Roman"/>
          <w:lang w:val="en-GB"/>
        </w:rPr>
      </w:pPr>
    </w:p>
    <w:p w14:paraId="4F838577" w14:textId="4A7E56D2" w:rsidR="00404DDF" w:rsidRPr="008E4140" w:rsidRDefault="001A3FF2" w:rsidP="00CC56A7">
      <w:pPr>
        <w:pStyle w:val="Heading3"/>
        <w:rPr>
          <w:rFonts w:eastAsia="Calibri Light"/>
          <w:b/>
          <w:bCs/>
          <w:color w:val="auto"/>
          <w:lang w:val="en-GB"/>
        </w:rPr>
      </w:pPr>
      <w:r w:rsidRPr="008E4140">
        <w:rPr>
          <w:rFonts w:eastAsia="Calibri Light"/>
          <w:b/>
          <w:bCs/>
          <w:color w:val="auto"/>
          <w:lang w:val="en-GB"/>
        </w:rPr>
        <w:t>Overview</w:t>
      </w:r>
    </w:p>
    <w:p w14:paraId="05160E39" w14:textId="4CC0D8DE" w:rsidR="00C0347F" w:rsidRPr="008E4140" w:rsidRDefault="008B5C10" w:rsidP="00D820F0">
      <w:pPr>
        <w:jc w:val="both"/>
        <w:rPr>
          <w:rFonts w:ascii="Calibri Light" w:eastAsia="Calibri Light" w:hAnsi="Calibri Light" w:cs="Times New Roman"/>
          <w:lang w:val="en-GB"/>
        </w:rPr>
      </w:pPr>
      <w:r w:rsidRPr="008E4140">
        <w:rPr>
          <w:rFonts w:ascii="Calibri Light" w:eastAsia="Calibri Light" w:hAnsi="Calibri Light" w:cs="Times New Roman"/>
          <w:lang w:val="en-GB"/>
        </w:rPr>
        <w:t>The Department of Foreign Affairs and Trade (DFAT)</w:t>
      </w:r>
      <w:r>
        <w:rPr>
          <w:rFonts w:ascii="Calibri Light" w:eastAsia="Calibri Light" w:hAnsi="Calibri Light" w:cs="Times New Roman"/>
          <w:lang w:val="en-GB"/>
        </w:rPr>
        <w:t xml:space="preserve"> </w:t>
      </w:r>
      <w:r w:rsidR="00C0347F" w:rsidRPr="008E4140">
        <w:rPr>
          <w:rFonts w:ascii="Calibri Light" w:eastAsia="Calibri Light" w:hAnsi="Calibri Light" w:cs="Times New Roman"/>
          <w:lang w:val="en-GB"/>
        </w:rPr>
        <w:t>arrangement</w:t>
      </w:r>
      <w:r w:rsidR="00D318AF" w:rsidRPr="008E4140">
        <w:rPr>
          <w:rFonts w:ascii="Calibri Light" w:eastAsia="Calibri Light" w:hAnsi="Calibri Light" w:cs="Times New Roman"/>
          <w:lang w:val="en-GB"/>
        </w:rPr>
        <w:t xml:space="preserve"> </w:t>
      </w:r>
      <w:r w:rsidR="00007663" w:rsidRPr="008E4140">
        <w:rPr>
          <w:rFonts w:ascii="Calibri Light" w:eastAsia="Calibri Light" w:hAnsi="Calibri Light" w:cs="Times New Roman"/>
          <w:lang w:val="en-GB"/>
        </w:rPr>
        <w:t xml:space="preserve">with the Philippine Red Cross (PRC) </w:t>
      </w:r>
      <w:r w:rsidR="00D318AF" w:rsidRPr="008E4140">
        <w:rPr>
          <w:rFonts w:ascii="Calibri Light" w:eastAsia="Calibri Light" w:hAnsi="Calibri Light" w:cs="Times New Roman"/>
          <w:lang w:val="en-GB"/>
        </w:rPr>
        <w:t>entitled</w:t>
      </w:r>
      <w:r w:rsidR="00746490" w:rsidRPr="008E4140">
        <w:rPr>
          <w:rFonts w:ascii="Calibri Light" w:eastAsia="Calibri Light" w:hAnsi="Calibri Light" w:cs="Times New Roman"/>
          <w:lang w:val="en-GB"/>
        </w:rPr>
        <w:t xml:space="preserve"> </w:t>
      </w:r>
      <w:r w:rsidR="00BF41FB" w:rsidRPr="008E4140">
        <w:rPr>
          <w:rFonts w:ascii="Calibri Light" w:eastAsia="Calibri Light" w:hAnsi="Calibri Light" w:cs="Times New Roman"/>
          <w:lang w:val="en-GB"/>
        </w:rPr>
        <w:t>‘</w:t>
      </w:r>
      <w:r w:rsidR="00746490" w:rsidRPr="008E4140">
        <w:rPr>
          <w:rFonts w:ascii="Calibri Light" w:eastAsia="Calibri Light" w:hAnsi="Calibri Light" w:cs="Times New Roman"/>
          <w:lang w:val="en-GB"/>
        </w:rPr>
        <w:t xml:space="preserve">Responding to the Needs of the Most Vulnerable Population Affected by Disasters and </w:t>
      </w:r>
      <w:r w:rsidR="0099692D" w:rsidRPr="008E4140">
        <w:rPr>
          <w:rFonts w:ascii="Calibri Light" w:eastAsia="Calibri Light" w:hAnsi="Calibri Light" w:cs="Times New Roman"/>
          <w:lang w:val="en-GB"/>
        </w:rPr>
        <w:t>Conflict</w:t>
      </w:r>
      <w:r w:rsidR="00746490" w:rsidRPr="008E4140">
        <w:rPr>
          <w:rFonts w:ascii="Calibri Light" w:eastAsia="Calibri Light" w:hAnsi="Calibri Light" w:cs="Times New Roman"/>
          <w:lang w:val="en-GB"/>
        </w:rPr>
        <w:t xml:space="preserve"> Through Emergency Relief and Cash Assistance</w:t>
      </w:r>
      <w:r w:rsidR="00BF41FB" w:rsidRPr="008E4140">
        <w:rPr>
          <w:rFonts w:ascii="Calibri Light" w:eastAsia="Calibri Light" w:hAnsi="Calibri Light" w:cs="Times New Roman"/>
          <w:lang w:val="en-GB"/>
        </w:rPr>
        <w:t>’</w:t>
      </w:r>
      <w:r w:rsidR="00746490" w:rsidRPr="008E4140">
        <w:rPr>
          <w:rFonts w:ascii="Calibri Light" w:eastAsia="Calibri Light" w:hAnsi="Calibri Light" w:cs="Times New Roman"/>
          <w:lang w:val="en-GB"/>
        </w:rPr>
        <w:t xml:space="preserve"> </w:t>
      </w:r>
      <w:r w:rsidR="00FE74A7" w:rsidRPr="008E4140">
        <w:rPr>
          <w:rFonts w:ascii="Calibri Light" w:eastAsia="Calibri Light" w:hAnsi="Calibri Light" w:cs="Times New Roman"/>
          <w:lang w:val="en-GB"/>
        </w:rPr>
        <w:t xml:space="preserve">is a </w:t>
      </w:r>
      <w:r w:rsidR="002C1629">
        <w:rPr>
          <w:rFonts w:ascii="Calibri Light" w:eastAsia="Calibri Light" w:hAnsi="Calibri Light" w:cs="Times New Roman"/>
          <w:lang w:val="en-GB"/>
        </w:rPr>
        <w:t>multiyear</w:t>
      </w:r>
      <w:r w:rsidR="00A65488">
        <w:rPr>
          <w:rFonts w:ascii="Calibri Light" w:eastAsia="Calibri Light" w:hAnsi="Calibri Light" w:cs="Times New Roman"/>
          <w:lang w:val="en-GB"/>
        </w:rPr>
        <w:t xml:space="preserve"> prepositioning</w:t>
      </w:r>
      <w:r w:rsidR="002C1629">
        <w:rPr>
          <w:rFonts w:ascii="Calibri Light" w:eastAsia="Calibri Light" w:hAnsi="Calibri Light" w:cs="Times New Roman"/>
          <w:lang w:val="en-GB"/>
        </w:rPr>
        <w:t xml:space="preserve"> agreement</w:t>
      </w:r>
      <w:r w:rsidR="00FE74A7" w:rsidRPr="008E4140">
        <w:rPr>
          <w:rFonts w:ascii="Calibri Light" w:eastAsia="Calibri Light" w:hAnsi="Calibri Light" w:cs="Times New Roman"/>
          <w:lang w:val="en-GB"/>
        </w:rPr>
        <w:t xml:space="preserve"> (2020-2024) </w:t>
      </w:r>
      <w:r w:rsidR="00BF41FB" w:rsidRPr="008E4140">
        <w:rPr>
          <w:rFonts w:ascii="Calibri Light" w:eastAsia="Calibri Light" w:hAnsi="Calibri Light" w:cs="Times New Roman"/>
          <w:lang w:val="en-GB"/>
        </w:rPr>
        <w:t xml:space="preserve">which </w:t>
      </w:r>
      <w:r w:rsidR="00C0347F" w:rsidRPr="008E4140">
        <w:rPr>
          <w:rFonts w:ascii="Calibri Light" w:eastAsia="Calibri Light" w:hAnsi="Calibri Light" w:cs="Times New Roman"/>
          <w:lang w:val="en-GB"/>
        </w:rPr>
        <w:t>support</w:t>
      </w:r>
      <w:r w:rsidR="00BF41FB" w:rsidRPr="008E4140">
        <w:rPr>
          <w:rFonts w:ascii="Calibri Light" w:eastAsia="Calibri Light" w:hAnsi="Calibri Light" w:cs="Times New Roman"/>
          <w:lang w:val="en-GB"/>
        </w:rPr>
        <w:t>s</w:t>
      </w:r>
      <w:r w:rsidR="00C0347F" w:rsidRPr="008E4140">
        <w:rPr>
          <w:rFonts w:ascii="Calibri Light" w:eastAsia="Calibri Light" w:hAnsi="Calibri Light" w:cs="Times New Roman"/>
          <w:lang w:val="en-GB"/>
        </w:rPr>
        <w:t xml:space="preserve"> families </w:t>
      </w:r>
      <w:r w:rsidR="00007663" w:rsidRPr="008E4140">
        <w:rPr>
          <w:rFonts w:ascii="Calibri Light" w:eastAsia="Calibri Light" w:hAnsi="Calibri Light" w:cs="Times New Roman"/>
          <w:lang w:val="en-GB"/>
        </w:rPr>
        <w:t>affected by</w:t>
      </w:r>
      <w:r w:rsidR="00C0347F" w:rsidRPr="008E4140">
        <w:rPr>
          <w:rFonts w:ascii="Calibri Light" w:eastAsia="Calibri Light" w:hAnsi="Calibri Light" w:cs="Times New Roman"/>
          <w:lang w:val="en-GB"/>
        </w:rPr>
        <w:t xml:space="preserve"> humanitarian crises</w:t>
      </w:r>
      <w:r w:rsidR="000144B6" w:rsidRPr="008E4140">
        <w:rPr>
          <w:rFonts w:ascii="Calibri Light" w:eastAsia="Calibri Light" w:hAnsi="Calibri Light" w:cs="Times New Roman"/>
          <w:lang w:val="en-GB"/>
        </w:rPr>
        <w:t>,</w:t>
      </w:r>
      <w:r w:rsidR="00FE74A7" w:rsidRPr="008E4140">
        <w:rPr>
          <w:rFonts w:ascii="Calibri Light" w:eastAsia="Calibri Light" w:hAnsi="Calibri Light" w:cs="Times New Roman"/>
          <w:lang w:val="en-GB"/>
        </w:rPr>
        <w:t xml:space="preserve"> including </w:t>
      </w:r>
      <w:r w:rsidR="00ED0AE4" w:rsidRPr="008E4140">
        <w:rPr>
          <w:rFonts w:ascii="Calibri Light" w:eastAsia="Calibri Light" w:hAnsi="Calibri Light" w:cs="Times New Roman"/>
          <w:lang w:val="en-GB"/>
        </w:rPr>
        <w:t xml:space="preserve">support to </w:t>
      </w:r>
      <w:r w:rsidR="00007663" w:rsidRPr="008E4140">
        <w:rPr>
          <w:rFonts w:ascii="Calibri Light" w:eastAsia="Calibri Light" w:hAnsi="Calibri Light" w:cs="Times New Roman"/>
          <w:lang w:val="en-GB"/>
        </w:rPr>
        <w:t>the</w:t>
      </w:r>
      <w:r w:rsidR="00BF41FB" w:rsidRPr="008E4140">
        <w:rPr>
          <w:rFonts w:ascii="Calibri Light" w:eastAsia="Calibri Light" w:hAnsi="Calibri Light" w:cs="Times New Roman"/>
          <w:lang w:val="en-GB"/>
        </w:rPr>
        <w:t xml:space="preserve"> </w:t>
      </w:r>
      <w:r w:rsidR="00C0347F" w:rsidRPr="008E4140">
        <w:rPr>
          <w:rFonts w:ascii="Calibri Light" w:eastAsia="Calibri Light" w:hAnsi="Calibri Light" w:cs="Times New Roman"/>
          <w:lang w:val="en-GB"/>
        </w:rPr>
        <w:t xml:space="preserve">COVID-19 </w:t>
      </w:r>
      <w:r w:rsidR="00007663" w:rsidRPr="008E4140">
        <w:rPr>
          <w:rFonts w:ascii="Calibri Light" w:eastAsia="Calibri Light" w:hAnsi="Calibri Light" w:cs="Times New Roman"/>
          <w:lang w:val="en-GB"/>
        </w:rPr>
        <w:t>pandemic</w:t>
      </w:r>
      <w:r w:rsidR="00ED0AE4" w:rsidRPr="008E4140">
        <w:rPr>
          <w:rFonts w:ascii="Calibri Light" w:eastAsia="Calibri Light" w:hAnsi="Calibri Light" w:cs="Times New Roman"/>
          <w:lang w:val="en-GB"/>
        </w:rPr>
        <w:t xml:space="preserve"> response</w:t>
      </w:r>
      <w:r w:rsidR="00C0347F" w:rsidRPr="008E4140">
        <w:rPr>
          <w:rFonts w:ascii="Calibri Light" w:eastAsia="Calibri Light" w:hAnsi="Calibri Light" w:cs="Times New Roman"/>
          <w:lang w:val="en-GB"/>
        </w:rPr>
        <w:t>.</w:t>
      </w:r>
      <w:r w:rsidR="008C2541" w:rsidRPr="008E4140">
        <w:rPr>
          <w:rFonts w:ascii="Calibri Light" w:eastAsia="Calibri Light" w:hAnsi="Calibri Light" w:cs="Times New Roman"/>
          <w:lang w:val="en-GB"/>
        </w:rPr>
        <w:t xml:space="preserve"> </w:t>
      </w:r>
    </w:p>
    <w:p w14:paraId="70A06517" w14:textId="1C6A1FC7" w:rsidR="0013616A" w:rsidRPr="008E4140" w:rsidRDefault="007834EC" w:rsidP="00D820F0">
      <w:pPr>
        <w:jc w:val="both"/>
        <w:rPr>
          <w:rFonts w:ascii="Calibri Light" w:eastAsia="Calibri Light" w:hAnsi="Calibri Light" w:cs="Times New Roman"/>
          <w:lang w:val="en-GB"/>
        </w:rPr>
      </w:pPr>
      <w:r w:rsidRPr="008E4140">
        <w:rPr>
          <w:rFonts w:ascii="Calibri Light" w:eastAsia="Calibri Light" w:hAnsi="Calibri Light" w:cs="Times New Roman"/>
          <w:lang w:val="en-GB"/>
        </w:rPr>
        <w:t>DFAT</w:t>
      </w:r>
      <w:r w:rsidR="00007663" w:rsidRPr="008E4140">
        <w:rPr>
          <w:rFonts w:ascii="Calibri Light" w:eastAsia="Calibri Light" w:hAnsi="Calibri Light" w:cs="Times New Roman"/>
          <w:lang w:val="en-GB"/>
        </w:rPr>
        <w:t>, in close coordination with PRC, commissioned an independent mid-term review</w:t>
      </w:r>
      <w:r w:rsidR="006A6A0E" w:rsidRPr="008E4140">
        <w:rPr>
          <w:rFonts w:ascii="Calibri Light" w:eastAsia="Calibri Light" w:hAnsi="Calibri Light" w:cs="Times New Roman"/>
          <w:lang w:val="en-GB"/>
        </w:rPr>
        <w:t xml:space="preserve"> </w:t>
      </w:r>
      <w:r w:rsidR="0063608D" w:rsidRPr="008E4140">
        <w:rPr>
          <w:rFonts w:ascii="Calibri Light" w:eastAsia="Calibri Light" w:hAnsi="Calibri Light" w:cs="Times New Roman"/>
          <w:lang w:val="en-GB"/>
        </w:rPr>
        <w:t xml:space="preserve">(MTR) </w:t>
      </w:r>
      <w:r w:rsidR="006A6A0E" w:rsidRPr="008E4140">
        <w:rPr>
          <w:rFonts w:ascii="Calibri Light" w:eastAsia="Calibri Light" w:hAnsi="Calibri Light" w:cs="Times New Roman"/>
          <w:lang w:val="en-GB"/>
        </w:rPr>
        <w:t xml:space="preserve">of the project in </w:t>
      </w:r>
      <w:r w:rsidR="0063608D" w:rsidRPr="008E4140">
        <w:rPr>
          <w:rFonts w:ascii="Calibri Light" w:eastAsia="Calibri Light" w:hAnsi="Calibri Light" w:cs="Times New Roman"/>
          <w:lang w:val="en-GB"/>
        </w:rPr>
        <w:t xml:space="preserve">September </w:t>
      </w:r>
      <w:r w:rsidR="006A6A0E" w:rsidRPr="008E4140">
        <w:rPr>
          <w:rFonts w:ascii="Calibri Light" w:eastAsia="Calibri Light" w:hAnsi="Calibri Light" w:cs="Times New Roman"/>
          <w:lang w:val="en-GB"/>
        </w:rPr>
        <w:t xml:space="preserve">2022, </w:t>
      </w:r>
      <w:r w:rsidR="00007663" w:rsidRPr="008E4140">
        <w:rPr>
          <w:rFonts w:ascii="Calibri Light" w:eastAsia="Calibri Light" w:hAnsi="Calibri Light" w:cs="Times New Roman"/>
          <w:lang w:val="en-GB"/>
        </w:rPr>
        <w:t>covering the period of March 2020 to December 2022</w:t>
      </w:r>
      <w:r w:rsidR="009F717F" w:rsidRPr="008E4140">
        <w:rPr>
          <w:rFonts w:ascii="Calibri Light" w:eastAsia="Calibri Light" w:hAnsi="Calibri Light" w:cs="Times New Roman"/>
          <w:lang w:val="en-GB"/>
        </w:rPr>
        <w:t xml:space="preserve">, </w:t>
      </w:r>
      <w:r w:rsidR="00007663" w:rsidRPr="008E4140">
        <w:rPr>
          <w:rFonts w:ascii="Calibri Light" w:eastAsia="Calibri Light" w:hAnsi="Calibri Light" w:cs="Times New Roman"/>
          <w:lang w:val="en-GB"/>
        </w:rPr>
        <w:t xml:space="preserve">to </w:t>
      </w:r>
      <w:r w:rsidR="00FB3954" w:rsidRPr="008E4140">
        <w:rPr>
          <w:rFonts w:ascii="Calibri Light" w:eastAsia="Calibri Light" w:hAnsi="Calibri Light" w:cs="Times New Roman"/>
          <w:lang w:val="en-GB"/>
        </w:rPr>
        <w:t xml:space="preserve">assess the </w:t>
      </w:r>
      <w:r w:rsidR="003931AE" w:rsidRPr="008E4140">
        <w:rPr>
          <w:rFonts w:ascii="Calibri Light" w:eastAsia="Calibri Light" w:hAnsi="Calibri Light" w:cs="Times New Roman"/>
          <w:lang w:val="en-GB"/>
        </w:rPr>
        <w:t xml:space="preserve">achievements, progress, key challenges and opportunities </w:t>
      </w:r>
      <w:r w:rsidR="00007663" w:rsidRPr="008E4140">
        <w:rPr>
          <w:rFonts w:ascii="Calibri Light" w:eastAsia="Calibri Light" w:hAnsi="Calibri Light" w:cs="Times New Roman"/>
          <w:lang w:val="en-GB"/>
        </w:rPr>
        <w:t xml:space="preserve">towards the </w:t>
      </w:r>
      <w:r w:rsidR="00707961">
        <w:rPr>
          <w:rFonts w:ascii="Calibri Light" w:eastAsia="Calibri Light" w:hAnsi="Calibri Light" w:cs="Times New Roman"/>
          <w:lang w:val="en-GB"/>
        </w:rPr>
        <w:t xml:space="preserve">agreed </w:t>
      </w:r>
      <w:r w:rsidR="00007663" w:rsidRPr="008E4140">
        <w:rPr>
          <w:rFonts w:ascii="Calibri Light" w:eastAsia="Calibri Light" w:hAnsi="Calibri Light" w:cs="Times New Roman"/>
          <w:lang w:val="en-GB"/>
        </w:rPr>
        <w:t>goal and outcomes</w:t>
      </w:r>
      <w:r w:rsidR="00593E9B" w:rsidRPr="008E4140">
        <w:rPr>
          <w:rFonts w:ascii="Calibri Light" w:eastAsia="Calibri Light" w:hAnsi="Calibri Light" w:cs="Times New Roman"/>
          <w:lang w:val="en-GB"/>
        </w:rPr>
        <w:t xml:space="preserve">. </w:t>
      </w:r>
      <w:r w:rsidRPr="008E4140">
        <w:rPr>
          <w:rFonts w:ascii="Calibri Light" w:eastAsia="Calibri Light" w:hAnsi="Calibri Light" w:cs="Times New Roman"/>
          <w:lang w:val="en-GB"/>
        </w:rPr>
        <w:t xml:space="preserve">The MTR consulted key stakeholders, including PRC chapters, local government units, families supported by the project, and other organisations working with PRC. </w:t>
      </w:r>
      <w:r w:rsidR="00FB4D6B" w:rsidRPr="008E4140">
        <w:rPr>
          <w:rFonts w:ascii="Calibri Light" w:eastAsia="Calibri Light" w:hAnsi="Calibri Light" w:cs="Times New Roman"/>
          <w:lang w:val="en-GB"/>
        </w:rPr>
        <w:t xml:space="preserve">The final report was completed in </w:t>
      </w:r>
      <w:r w:rsidR="00346EC0" w:rsidRPr="008E4140">
        <w:rPr>
          <w:rFonts w:ascii="Calibri Light" w:eastAsia="Calibri Light" w:hAnsi="Calibri Light" w:cs="Times New Roman"/>
          <w:lang w:val="en-GB"/>
        </w:rPr>
        <w:t xml:space="preserve">March </w:t>
      </w:r>
      <w:r w:rsidR="00FB4D6B" w:rsidRPr="008E4140">
        <w:rPr>
          <w:rFonts w:ascii="Calibri Light" w:eastAsia="Calibri Light" w:hAnsi="Calibri Light" w:cs="Times New Roman"/>
          <w:lang w:val="en-GB"/>
        </w:rPr>
        <w:t xml:space="preserve">2023. </w:t>
      </w:r>
    </w:p>
    <w:p w14:paraId="0F84EDED" w14:textId="77777777" w:rsidR="00434A6F" w:rsidRPr="008E4140" w:rsidRDefault="00434A6F" w:rsidP="00D820F0">
      <w:pPr>
        <w:pStyle w:val="Heading3"/>
        <w:jc w:val="both"/>
        <w:rPr>
          <w:rFonts w:eastAsia="Calibri Light"/>
          <w:b/>
          <w:bCs/>
          <w:color w:val="auto"/>
          <w:lang w:val="en-GB"/>
        </w:rPr>
      </w:pPr>
    </w:p>
    <w:p w14:paraId="78C26DC8" w14:textId="522FD180" w:rsidR="001A3FF2" w:rsidRPr="008E4140" w:rsidRDefault="001A3FF2" w:rsidP="00D820F0">
      <w:pPr>
        <w:pStyle w:val="Heading3"/>
        <w:jc w:val="both"/>
        <w:rPr>
          <w:rFonts w:eastAsia="Calibri Light"/>
          <w:b/>
          <w:bCs/>
          <w:color w:val="auto"/>
          <w:lang w:val="en-GB"/>
        </w:rPr>
      </w:pPr>
      <w:r w:rsidRPr="008E4140">
        <w:rPr>
          <w:rFonts w:eastAsia="Calibri Light"/>
          <w:b/>
          <w:bCs/>
          <w:color w:val="auto"/>
          <w:lang w:val="en-GB"/>
        </w:rPr>
        <w:t>Summary of Management Response</w:t>
      </w:r>
    </w:p>
    <w:p w14:paraId="63620F30" w14:textId="51188896" w:rsidR="009366AD" w:rsidRDefault="003C013F" w:rsidP="00D820F0">
      <w:pPr>
        <w:jc w:val="both"/>
        <w:rPr>
          <w:rFonts w:ascii="Calibri Light" w:eastAsia="Calibri Light" w:hAnsi="Calibri Light" w:cs="Times New Roman"/>
          <w:lang w:val="en-GB"/>
        </w:rPr>
      </w:pPr>
      <w:r w:rsidRPr="008E4140">
        <w:rPr>
          <w:rFonts w:ascii="Calibri Light" w:eastAsia="Calibri Light" w:hAnsi="Calibri Light" w:cs="Times New Roman"/>
          <w:lang w:val="en-GB"/>
        </w:rPr>
        <w:t xml:space="preserve">The </w:t>
      </w:r>
      <w:r w:rsidR="0063608D" w:rsidRPr="008E4140">
        <w:rPr>
          <w:rFonts w:ascii="Calibri Light" w:eastAsia="Calibri Light" w:hAnsi="Calibri Light" w:cs="Times New Roman"/>
          <w:lang w:val="en-GB"/>
        </w:rPr>
        <w:t xml:space="preserve">mid-term </w:t>
      </w:r>
      <w:r w:rsidRPr="008E4140">
        <w:rPr>
          <w:rFonts w:ascii="Calibri Light" w:eastAsia="Calibri Light" w:hAnsi="Calibri Light" w:cs="Times New Roman"/>
          <w:lang w:val="en-GB"/>
        </w:rPr>
        <w:t xml:space="preserve">review identified various factors that contributed to the success of the </w:t>
      </w:r>
      <w:r w:rsidR="0063608D" w:rsidRPr="008E4140">
        <w:rPr>
          <w:rFonts w:ascii="Calibri Light" w:eastAsia="Calibri Light" w:hAnsi="Calibri Light" w:cs="Times New Roman"/>
          <w:lang w:val="en-GB"/>
        </w:rPr>
        <w:t>project</w:t>
      </w:r>
      <w:r w:rsidRPr="008E4140">
        <w:rPr>
          <w:rFonts w:ascii="Calibri Light" w:eastAsia="Calibri Light" w:hAnsi="Calibri Light" w:cs="Times New Roman"/>
          <w:lang w:val="en-GB"/>
        </w:rPr>
        <w:t xml:space="preserve"> and provided valuable recommendations to help improve implementation until </w:t>
      </w:r>
      <w:r w:rsidR="0063608D" w:rsidRPr="008E4140">
        <w:rPr>
          <w:rFonts w:ascii="Calibri Light" w:eastAsia="Calibri Light" w:hAnsi="Calibri Light" w:cs="Times New Roman"/>
          <w:lang w:val="en-GB"/>
        </w:rPr>
        <w:t xml:space="preserve">its completion in December 2024. </w:t>
      </w:r>
      <w:r w:rsidR="002A460A" w:rsidRPr="002A460A">
        <w:rPr>
          <w:rFonts w:ascii="Calibri Light" w:eastAsia="Calibri Light" w:hAnsi="Calibri Light" w:cs="Times New Roman"/>
          <w:lang w:val="en-GB"/>
        </w:rPr>
        <w:t>DFAT noted that some of the criterion and other recommendations were beyond the scope of the project.</w:t>
      </w:r>
    </w:p>
    <w:p w14:paraId="481709D1" w14:textId="4C078102" w:rsidR="00C66DCE" w:rsidRPr="00D820F0" w:rsidRDefault="002A460A" w:rsidP="00D820F0">
      <w:pPr>
        <w:jc w:val="both"/>
        <w:rPr>
          <w:rFonts w:ascii="Calibri Light" w:eastAsia="Calibri Light" w:hAnsi="Calibri Light" w:cs="Times New Roman"/>
          <w:lang w:val="en-GB"/>
        </w:rPr>
      </w:pPr>
      <w:r w:rsidRPr="002A460A">
        <w:rPr>
          <w:rFonts w:ascii="Calibri Light" w:eastAsia="Calibri Light" w:hAnsi="Calibri Light" w:cs="Times New Roman"/>
          <w:lang w:val="en-GB"/>
        </w:rPr>
        <w:t xml:space="preserve">The </w:t>
      </w:r>
      <w:r w:rsidRPr="00D820F0">
        <w:rPr>
          <w:rFonts w:ascii="Calibri Light" w:eastAsia="Calibri Light" w:hAnsi="Calibri Light" w:cs="Times New Roman"/>
          <w:lang w:val="en-GB"/>
        </w:rPr>
        <w:t>management response focused on the twelve key recommendations</w:t>
      </w:r>
      <w:r w:rsidR="008460C3" w:rsidRPr="00D820F0">
        <w:rPr>
          <w:rFonts w:ascii="Calibri Light" w:eastAsia="Calibri Light" w:hAnsi="Calibri Light" w:cs="Times New Roman"/>
          <w:lang w:val="en-GB"/>
        </w:rPr>
        <w:t xml:space="preserve"> </w:t>
      </w:r>
      <w:r w:rsidRPr="00D820F0">
        <w:rPr>
          <w:rFonts w:ascii="Calibri Light" w:eastAsia="Calibri Light" w:hAnsi="Calibri Light" w:cs="Times New Roman"/>
          <w:lang w:val="en-GB"/>
        </w:rPr>
        <w:t>for improv</w:t>
      </w:r>
      <w:r w:rsidR="00C66DCE" w:rsidRPr="00D820F0">
        <w:rPr>
          <w:rFonts w:ascii="Calibri Light" w:eastAsia="Calibri Light" w:hAnsi="Calibri Light" w:cs="Times New Roman"/>
          <w:lang w:val="en-GB"/>
        </w:rPr>
        <w:t>ing</w:t>
      </w:r>
      <w:r w:rsidRPr="00D820F0">
        <w:rPr>
          <w:rFonts w:ascii="Calibri Light" w:eastAsia="Calibri Light" w:hAnsi="Calibri Light" w:cs="Times New Roman"/>
          <w:lang w:val="en-GB"/>
        </w:rPr>
        <w:t xml:space="preserve"> the Multiyear Prepositioning Arrangement – including recommendations for future prepositioning engagements with PRC. </w:t>
      </w:r>
      <w:r w:rsidR="00EB1A14" w:rsidRPr="00D820F0">
        <w:rPr>
          <w:rFonts w:ascii="Calibri Light" w:eastAsia="Calibri Light" w:hAnsi="Calibri Light" w:cs="Times New Roman"/>
          <w:lang w:val="en-GB"/>
        </w:rPr>
        <w:t>The</w:t>
      </w:r>
      <w:r w:rsidR="000A61A5" w:rsidRPr="00D820F0">
        <w:rPr>
          <w:rFonts w:ascii="Calibri Light" w:eastAsia="Calibri Light" w:hAnsi="Calibri Light" w:cs="Times New Roman"/>
          <w:lang w:val="en-GB"/>
        </w:rPr>
        <w:t>se</w:t>
      </w:r>
      <w:r w:rsidR="00EB1A14" w:rsidRPr="00D820F0">
        <w:rPr>
          <w:rFonts w:ascii="Calibri Light" w:eastAsia="Calibri Light" w:hAnsi="Calibri Light" w:cs="Times New Roman"/>
          <w:lang w:val="en-GB"/>
        </w:rPr>
        <w:t xml:space="preserve"> twelve key recommendations consolidate</w:t>
      </w:r>
      <w:r w:rsidR="007A6580" w:rsidRPr="00D820F0">
        <w:rPr>
          <w:rFonts w:ascii="Calibri Light" w:eastAsia="Calibri Light" w:hAnsi="Calibri Light" w:cs="Times New Roman"/>
          <w:lang w:val="en-GB"/>
        </w:rPr>
        <w:t>d</w:t>
      </w:r>
      <w:r w:rsidR="00EB1A14" w:rsidRPr="00D820F0">
        <w:rPr>
          <w:rFonts w:ascii="Calibri Light" w:eastAsia="Calibri Light" w:hAnsi="Calibri Light" w:cs="Times New Roman"/>
          <w:lang w:val="en-GB"/>
        </w:rPr>
        <w:t xml:space="preserve"> all 33 recommendations discussed in the final report.</w:t>
      </w:r>
      <w:r w:rsidR="007A6580" w:rsidRPr="00D820F0">
        <w:rPr>
          <w:rFonts w:ascii="Calibri Light" w:eastAsia="Calibri Light" w:hAnsi="Calibri Light" w:cs="Times New Roman"/>
          <w:lang w:val="en-GB"/>
        </w:rPr>
        <w:t xml:space="preserve"> </w:t>
      </w:r>
    </w:p>
    <w:p w14:paraId="572CBA98" w14:textId="340BE9D9" w:rsidR="00A008E7" w:rsidRDefault="009366AD" w:rsidP="00D820F0">
      <w:pPr>
        <w:jc w:val="both"/>
        <w:rPr>
          <w:rFonts w:ascii="Calibri Light" w:eastAsia="Calibri Light" w:hAnsi="Calibri Light" w:cs="Times New Roman"/>
          <w:lang w:val="en-GB"/>
        </w:rPr>
      </w:pPr>
      <w:r w:rsidRPr="00450235">
        <w:rPr>
          <w:rFonts w:ascii="Calibri Light" w:eastAsia="Calibri Light" w:hAnsi="Calibri Light" w:cs="Times New Roman"/>
          <w:lang w:val="en-GB"/>
        </w:rPr>
        <w:t>DFAT welcomes the findings and</w:t>
      </w:r>
      <w:r w:rsidRPr="009366AD">
        <w:rPr>
          <w:rFonts w:ascii="Calibri Light" w:eastAsia="Calibri Light" w:hAnsi="Calibri Light" w:cs="Times New Roman"/>
          <w:lang w:val="en-GB"/>
        </w:rPr>
        <w:t xml:space="preserve"> key recommendations of the mid-term review. </w:t>
      </w:r>
      <w:r w:rsidR="004B3662">
        <w:rPr>
          <w:rFonts w:ascii="Calibri Light" w:eastAsia="Calibri Light" w:hAnsi="Calibri Light" w:cs="Times New Roman"/>
          <w:lang w:val="en-GB"/>
        </w:rPr>
        <w:t>DFAT</w:t>
      </w:r>
      <w:r w:rsidR="004B3662" w:rsidRPr="008E4140">
        <w:rPr>
          <w:rFonts w:ascii="Calibri Light" w:eastAsia="Calibri Light" w:hAnsi="Calibri Light" w:cs="Times New Roman"/>
          <w:lang w:val="en-GB"/>
        </w:rPr>
        <w:t xml:space="preserve"> </w:t>
      </w:r>
      <w:r w:rsidR="00C23C28" w:rsidRPr="008E4140">
        <w:rPr>
          <w:rFonts w:ascii="Calibri Light" w:eastAsia="Calibri Light" w:hAnsi="Calibri Light" w:cs="Times New Roman"/>
          <w:lang w:val="en-GB"/>
        </w:rPr>
        <w:t xml:space="preserve">agrees with </w:t>
      </w:r>
      <w:r w:rsidR="004C30DB">
        <w:rPr>
          <w:rFonts w:ascii="Calibri Light" w:eastAsia="Calibri Light" w:hAnsi="Calibri Light" w:cs="Times New Roman"/>
          <w:lang w:val="en-GB"/>
        </w:rPr>
        <w:t>s</w:t>
      </w:r>
      <w:r w:rsidR="00B239CA">
        <w:rPr>
          <w:rFonts w:ascii="Calibri Light" w:eastAsia="Calibri Light" w:hAnsi="Calibri Light" w:cs="Times New Roman"/>
          <w:lang w:val="en-GB"/>
        </w:rPr>
        <w:t>ix</w:t>
      </w:r>
      <w:r w:rsidR="004B3662">
        <w:rPr>
          <w:rFonts w:ascii="Calibri Light" w:eastAsia="Calibri Light" w:hAnsi="Calibri Light" w:cs="Times New Roman"/>
          <w:lang w:val="en-GB"/>
        </w:rPr>
        <w:t xml:space="preserve"> recommendations</w:t>
      </w:r>
      <w:r w:rsidR="00E3302D">
        <w:rPr>
          <w:rFonts w:ascii="Calibri Light" w:eastAsia="Calibri Light" w:hAnsi="Calibri Light" w:cs="Times New Roman"/>
          <w:lang w:val="en-GB"/>
        </w:rPr>
        <w:t>,</w:t>
      </w:r>
      <w:r w:rsidR="00C23C28" w:rsidRPr="008E4140">
        <w:rPr>
          <w:rFonts w:ascii="Calibri Light" w:eastAsia="Calibri Light" w:hAnsi="Calibri Light" w:cs="Times New Roman"/>
          <w:lang w:val="en-GB"/>
        </w:rPr>
        <w:t xml:space="preserve"> partially agrees with </w:t>
      </w:r>
      <w:r w:rsidR="004C30DB">
        <w:rPr>
          <w:rFonts w:ascii="Calibri Light" w:eastAsia="Calibri Light" w:hAnsi="Calibri Light" w:cs="Times New Roman"/>
          <w:lang w:val="en-GB"/>
        </w:rPr>
        <w:t>f</w:t>
      </w:r>
      <w:r w:rsidR="00B239CA">
        <w:rPr>
          <w:rFonts w:ascii="Calibri Light" w:eastAsia="Calibri Light" w:hAnsi="Calibri Light" w:cs="Times New Roman"/>
          <w:lang w:val="en-GB"/>
        </w:rPr>
        <w:t>ive</w:t>
      </w:r>
      <w:r w:rsidR="00E3302D">
        <w:rPr>
          <w:rFonts w:ascii="Calibri Light" w:eastAsia="Calibri Light" w:hAnsi="Calibri Light" w:cs="Times New Roman"/>
          <w:lang w:val="en-GB"/>
        </w:rPr>
        <w:t>, and disagrees with one</w:t>
      </w:r>
      <w:r w:rsidR="00C23C28" w:rsidRPr="008E4140">
        <w:rPr>
          <w:rFonts w:ascii="Calibri Light" w:eastAsia="Calibri Light" w:hAnsi="Calibri Light" w:cs="Times New Roman"/>
          <w:lang w:val="en-GB"/>
        </w:rPr>
        <w:t xml:space="preserve">. </w:t>
      </w:r>
      <w:r w:rsidR="00815236" w:rsidRPr="008E4140">
        <w:rPr>
          <w:rFonts w:ascii="Calibri Light" w:eastAsia="Calibri Light" w:hAnsi="Calibri Light" w:cs="Times New Roman"/>
          <w:lang w:val="en-GB"/>
        </w:rPr>
        <w:t>More detailed responses to each recommendation are included in the table</w:t>
      </w:r>
      <w:r w:rsidR="00E3302D">
        <w:rPr>
          <w:rFonts w:ascii="Calibri Light" w:eastAsia="Calibri Light" w:hAnsi="Calibri Light" w:cs="Times New Roman"/>
          <w:lang w:val="en-GB"/>
        </w:rPr>
        <w:t>s</w:t>
      </w:r>
      <w:r w:rsidR="00815236" w:rsidRPr="008E4140">
        <w:rPr>
          <w:rFonts w:ascii="Calibri Light" w:eastAsia="Calibri Light" w:hAnsi="Calibri Light" w:cs="Times New Roman"/>
          <w:lang w:val="en-GB"/>
        </w:rPr>
        <w:t xml:space="preserve"> below</w:t>
      </w:r>
      <w:r w:rsidR="006F52B1" w:rsidRPr="008E4140">
        <w:rPr>
          <w:rFonts w:ascii="Calibri Light" w:eastAsia="Calibri Light" w:hAnsi="Calibri Light" w:cs="Times New Roman"/>
          <w:lang w:val="en-GB"/>
        </w:rPr>
        <w:t>.</w:t>
      </w:r>
    </w:p>
    <w:p w14:paraId="04A54F5F" w14:textId="5CE135C8" w:rsidR="0086290F" w:rsidRPr="008E4140" w:rsidRDefault="0086290F" w:rsidP="00D820F0">
      <w:pPr>
        <w:jc w:val="both"/>
        <w:rPr>
          <w:rFonts w:ascii="Calibri Light" w:eastAsia="Calibri Light" w:hAnsi="Calibri Light" w:cs="Times New Roman"/>
          <w:lang w:val="en-GB"/>
        </w:rPr>
        <w:sectPr w:rsidR="0086290F" w:rsidRPr="008E4140" w:rsidSect="0086290F">
          <w:pgSz w:w="11906" w:h="16838"/>
          <w:pgMar w:top="1440" w:right="1440" w:bottom="1440" w:left="1440" w:header="709" w:footer="709" w:gutter="0"/>
          <w:cols w:space="708"/>
          <w:docGrid w:linePitch="360"/>
        </w:sectPr>
      </w:pPr>
      <w:r w:rsidRPr="008E4140">
        <w:rPr>
          <w:rFonts w:ascii="Calibri Light" w:eastAsia="Calibri Light" w:hAnsi="Calibri Light" w:cs="Times New Roman"/>
          <w:lang w:val="en-GB"/>
        </w:rPr>
        <w:br w:type="page"/>
      </w:r>
    </w:p>
    <w:p w14:paraId="671C349E" w14:textId="790261B6" w:rsidR="00A008E7" w:rsidRPr="00663980" w:rsidRDefault="00663980" w:rsidP="00A008E7">
      <w:pPr>
        <w:rPr>
          <w:rFonts w:ascii="Calibri Light" w:eastAsia="Calibri Light" w:hAnsi="Calibri Light" w:cs="Times New Roman"/>
          <w:b/>
          <w:bCs/>
          <w:lang w:val="en-GB"/>
        </w:rPr>
      </w:pPr>
      <w:r w:rsidRPr="00663980">
        <w:rPr>
          <w:rFonts w:ascii="Calibri Light" w:eastAsia="Calibri Light" w:hAnsi="Calibri Light" w:cs="Times New Roman"/>
          <w:b/>
          <w:bCs/>
          <w:lang w:val="en-GB"/>
        </w:rPr>
        <w:lastRenderedPageBreak/>
        <w:t>Key Recommendations for the Multiyear Agreement until 2024</w:t>
      </w:r>
    </w:p>
    <w:tbl>
      <w:tblPr>
        <w:tblStyle w:val="TableGrid"/>
        <w:tblW w:w="0" w:type="auto"/>
        <w:tblLayout w:type="fixed"/>
        <w:tblLook w:val="00A0" w:firstRow="1" w:lastRow="0" w:firstColumn="1" w:lastColumn="0" w:noHBand="0" w:noVBand="0"/>
      </w:tblPr>
      <w:tblGrid>
        <w:gridCol w:w="4390"/>
        <w:gridCol w:w="1275"/>
        <w:gridCol w:w="3402"/>
        <w:gridCol w:w="3969"/>
        <w:gridCol w:w="1418"/>
      </w:tblGrid>
      <w:tr w:rsidR="0063608D" w:rsidRPr="008E4140" w14:paraId="1521F304" w14:textId="77777777" w:rsidTr="00C6630F">
        <w:trPr>
          <w:tblHeader/>
        </w:trPr>
        <w:tc>
          <w:tcPr>
            <w:tcW w:w="4390" w:type="dxa"/>
            <w:shd w:val="clear" w:color="auto" w:fill="D9D9D9" w:themeFill="background1" w:themeFillShade="D9"/>
          </w:tcPr>
          <w:p w14:paraId="043589A7" w14:textId="69F143EC" w:rsidR="00A008E7" w:rsidRPr="008E4140" w:rsidRDefault="0063608D" w:rsidP="00957AF8">
            <w:pPr>
              <w:pStyle w:val="Heading4"/>
              <w:jc w:val="center"/>
              <w:rPr>
                <w:rFonts w:eastAsia="Calibri Light" w:cstheme="majorHAnsi"/>
                <w:b/>
                <w:bCs/>
                <w:i w:val="0"/>
                <w:iCs w:val="0"/>
                <w:color w:val="auto"/>
                <w:lang w:val="en-GB"/>
              </w:rPr>
            </w:pPr>
            <w:r w:rsidRPr="008E4140">
              <w:rPr>
                <w:rFonts w:eastAsia="Calibri Light" w:cstheme="majorHAnsi"/>
                <w:b/>
                <w:bCs/>
                <w:i w:val="0"/>
                <w:iCs w:val="0"/>
                <w:color w:val="auto"/>
                <w:lang w:val="en-GB"/>
              </w:rPr>
              <w:t>RECOMMENDATION</w:t>
            </w:r>
          </w:p>
        </w:tc>
        <w:tc>
          <w:tcPr>
            <w:tcW w:w="1275" w:type="dxa"/>
            <w:shd w:val="clear" w:color="auto" w:fill="D9D9D9" w:themeFill="background1" w:themeFillShade="D9"/>
          </w:tcPr>
          <w:p w14:paraId="14EE836B" w14:textId="394AB34A" w:rsidR="00A008E7" w:rsidRPr="008E4140" w:rsidRDefault="0063608D" w:rsidP="00957AF8">
            <w:pPr>
              <w:pStyle w:val="Heading4"/>
              <w:jc w:val="center"/>
              <w:rPr>
                <w:rFonts w:eastAsia="Calibri Light" w:cstheme="majorHAnsi"/>
                <w:b/>
                <w:bCs/>
                <w:i w:val="0"/>
                <w:iCs w:val="0"/>
                <w:color w:val="auto"/>
                <w:lang w:val="en-GB"/>
              </w:rPr>
            </w:pPr>
            <w:r w:rsidRPr="008E4140">
              <w:rPr>
                <w:rFonts w:eastAsia="Calibri Light" w:cstheme="majorHAnsi"/>
                <w:b/>
                <w:bCs/>
                <w:i w:val="0"/>
                <w:iCs w:val="0"/>
                <w:color w:val="auto"/>
                <w:lang w:val="en-GB"/>
              </w:rPr>
              <w:t>RESPONSE</w:t>
            </w:r>
          </w:p>
        </w:tc>
        <w:tc>
          <w:tcPr>
            <w:tcW w:w="3402" w:type="dxa"/>
            <w:shd w:val="clear" w:color="auto" w:fill="D9D9D9" w:themeFill="background1" w:themeFillShade="D9"/>
          </w:tcPr>
          <w:p w14:paraId="1D3458BE" w14:textId="2C208A39" w:rsidR="00A008E7" w:rsidRPr="008E4140" w:rsidRDefault="0063608D" w:rsidP="00957AF8">
            <w:pPr>
              <w:pStyle w:val="Heading4"/>
              <w:jc w:val="center"/>
              <w:rPr>
                <w:rFonts w:eastAsia="Calibri Light" w:cstheme="majorHAnsi"/>
                <w:b/>
                <w:bCs/>
                <w:i w:val="0"/>
                <w:iCs w:val="0"/>
                <w:color w:val="auto"/>
                <w:lang w:val="en-GB"/>
              </w:rPr>
            </w:pPr>
            <w:r w:rsidRPr="008E4140">
              <w:rPr>
                <w:rFonts w:eastAsia="Calibri Light" w:cstheme="majorHAnsi"/>
                <w:b/>
                <w:bCs/>
                <w:i w:val="0"/>
                <w:iCs w:val="0"/>
                <w:color w:val="auto"/>
                <w:lang w:val="en-GB"/>
              </w:rPr>
              <w:t>EXPLANATION</w:t>
            </w:r>
          </w:p>
        </w:tc>
        <w:tc>
          <w:tcPr>
            <w:tcW w:w="3969" w:type="dxa"/>
            <w:shd w:val="clear" w:color="auto" w:fill="D9D9D9" w:themeFill="background1" w:themeFillShade="D9"/>
          </w:tcPr>
          <w:p w14:paraId="7C3D45B0" w14:textId="3B6DA83D" w:rsidR="00A008E7" w:rsidRPr="008E4140" w:rsidRDefault="0063608D" w:rsidP="00957AF8">
            <w:pPr>
              <w:pStyle w:val="Heading4"/>
              <w:jc w:val="center"/>
              <w:rPr>
                <w:rFonts w:eastAsia="Calibri Light" w:cstheme="majorHAnsi"/>
                <w:b/>
                <w:bCs/>
                <w:i w:val="0"/>
                <w:iCs w:val="0"/>
                <w:color w:val="auto"/>
                <w:lang w:val="en-GB"/>
              </w:rPr>
            </w:pPr>
            <w:r w:rsidRPr="008E4140">
              <w:rPr>
                <w:rFonts w:eastAsia="Calibri Light" w:cstheme="majorHAnsi"/>
                <w:b/>
                <w:bCs/>
                <w:i w:val="0"/>
                <w:iCs w:val="0"/>
                <w:color w:val="auto"/>
                <w:lang w:val="en-GB"/>
              </w:rPr>
              <w:t>ACTION PLAN</w:t>
            </w:r>
          </w:p>
        </w:tc>
        <w:tc>
          <w:tcPr>
            <w:tcW w:w="1418" w:type="dxa"/>
            <w:shd w:val="clear" w:color="auto" w:fill="D9D9D9" w:themeFill="background1" w:themeFillShade="D9"/>
          </w:tcPr>
          <w:p w14:paraId="55A77AE1" w14:textId="2CFE72BE" w:rsidR="00A008E7" w:rsidRPr="008E4140" w:rsidRDefault="0063608D" w:rsidP="00957AF8">
            <w:pPr>
              <w:pStyle w:val="Heading4"/>
              <w:jc w:val="center"/>
              <w:rPr>
                <w:rFonts w:eastAsia="Calibri Light" w:cstheme="majorHAnsi"/>
                <w:b/>
                <w:bCs/>
                <w:i w:val="0"/>
                <w:iCs w:val="0"/>
                <w:color w:val="auto"/>
                <w:lang w:val="en-GB"/>
              </w:rPr>
            </w:pPr>
            <w:r w:rsidRPr="008E4140">
              <w:rPr>
                <w:rFonts w:eastAsia="Calibri Light" w:cstheme="majorHAnsi"/>
                <w:b/>
                <w:bCs/>
                <w:i w:val="0"/>
                <w:iCs w:val="0"/>
                <w:color w:val="auto"/>
                <w:lang w:val="en-GB"/>
              </w:rPr>
              <w:t>TIMEFRAME</w:t>
            </w:r>
          </w:p>
        </w:tc>
      </w:tr>
      <w:tr w:rsidR="0063608D" w:rsidRPr="008E4140" w14:paraId="7BA12183" w14:textId="77777777" w:rsidTr="00C6630F">
        <w:tc>
          <w:tcPr>
            <w:tcW w:w="4390" w:type="dxa"/>
          </w:tcPr>
          <w:p w14:paraId="4A67E8BC" w14:textId="77777777" w:rsidR="00B92CE5" w:rsidRDefault="00A1579F" w:rsidP="0067263E">
            <w:pPr>
              <w:pStyle w:val="ListParagraph"/>
              <w:numPr>
                <w:ilvl w:val="0"/>
                <w:numId w:val="4"/>
              </w:numPr>
              <w:suppressAutoHyphens/>
              <w:spacing w:before="120"/>
              <w:rPr>
                <w:rFonts w:asciiTheme="majorHAnsi" w:eastAsia="Calibri Light" w:hAnsiTheme="majorHAnsi" w:cstheme="majorHAnsi"/>
                <w:lang w:val="en-GB"/>
              </w:rPr>
            </w:pPr>
            <w:r w:rsidRPr="001962C6">
              <w:rPr>
                <w:rFonts w:asciiTheme="majorHAnsi" w:eastAsia="Calibri Light" w:hAnsiTheme="majorHAnsi" w:cstheme="majorHAnsi"/>
                <w:lang w:val="en-GB"/>
              </w:rPr>
              <w:t xml:space="preserve">PRC to consider a review of the content of the Shelter </w:t>
            </w:r>
            <w:r w:rsidR="004D4568" w:rsidRPr="001962C6">
              <w:rPr>
                <w:rFonts w:asciiTheme="majorHAnsi" w:eastAsia="Calibri Light" w:hAnsiTheme="majorHAnsi" w:cstheme="majorHAnsi"/>
                <w:lang w:val="en-GB"/>
              </w:rPr>
              <w:t>Tool</w:t>
            </w:r>
            <w:r w:rsidRPr="001962C6">
              <w:rPr>
                <w:rFonts w:asciiTheme="majorHAnsi" w:eastAsia="Calibri Light" w:hAnsiTheme="majorHAnsi" w:cstheme="majorHAnsi"/>
                <w:lang w:val="en-GB"/>
              </w:rPr>
              <w:t xml:space="preserve"> Kits (STK) and make it smaller with only the urgently needed tools. PRC to </w:t>
            </w:r>
            <w:r w:rsidR="006F2529" w:rsidRPr="001962C6">
              <w:rPr>
                <w:rFonts w:asciiTheme="majorHAnsi" w:eastAsia="Calibri Light" w:hAnsiTheme="majorHAnsi" w:cstheme="majorHAnsi"/>
                <w:lang w:val="en-GB"/>
              </w:rPr>
              <w:t xml:space="preserve">also </w:t>
            </w:r>
            <w:r w:rsidRPr="001962C6">
              <w:rPr>
                <w:rFonts w:asciiTheme="majorHAnsi" w:eastAsia="Calibri Light" w:hAnsiTheme="majorHAnsi" w:cstheme="majorHAnsi"/>
                <w:lang w:val="en-GB"/>
              </w:rPr>
              <w:t xml:space="preserve">study the effects of their new initiatives to distribute or lend tools at </w:t>
            </w:r>
            <w:r w:rsidR="006F2529" w:rsidRPr="001962C6">
              <w:rPr>
                <w:rFonts w:asciiTheme="majorHAnsi" w:eastAsia="Calibri Light" w:hAnsiTheme="majorHAnsi" w:cstheme="majorHAnsi"/>
                <w:lang w:val="en-GB"/>
              </w:rPr>
              <w:t xml:space="preserve">the </w:t>
            </w:r>
            <w:r w:rsidRPr="001962C6">
              <w:rPr>
                <w:rFonts w:asciiTheme="majorHAnsi" w:eastAsia="Calibri Light" w:hAnsiTheme="majorHAnsi" w:cstheme="majorHAnsi"/>
                <w:lang w:val="en-GB"/>
              </w:rPr>
              <w:t>community level.</w:t>
            </w:r>
            <w:r w:rsidR="006E5FA1">
              <w:rPr>
                <w:rFonts w:asciiTheme="majorHAnsi" w:eastAsia="Calibri Light" w:hAnsiTheme="majorHAnsi" w:cstheme="majorHAnsi"/>
                <w:lang w:val="en-GB"/>
              </w:rPr>
              <w:t xml:space="preserve"> </w:t>
            </w:r>
          </w:p>
          <w:p w14:paraId="52749BCC" w14:textId="5AD0A8D2" w:rsidR="00FF3498" w:rsidRPr="001962C6" w:rsidRDefault="00FF3498" w:rsidP="00C6630F">
            <w:pPr>
              <w:pStyle w:val="ListParagraph"/>
              <w:suppressAutoHyphens/>
              <w:spacing w:before="120"/>
              <w:rPr>
                <w:rFonts w:asciiTheme="majorHAnsi" w:eastAsia="Calibri Light" w:hAnsiTheme="majorHAnsi" w:cstheme="majorHAnsi"/>
                <w:lang w:val="en-GB"/>
              </w:rPr>
            </w:pPr>
          </w:p>
        </w:tc>
        <w:tc>
          <w:tcPr>
            <w:tcW w:w="1275" w:type="dxa"/>
          </w:tcPr>
          <w:p w14:paraId="5E89B58D" w14:textId="627F6908" w:rsidR="00A008E7" w:rsidRPr="008E4140" w:rsidRDefault="00D33513" w:rsidP="00A008E7">
            <w:pPr>
              <w:suppressAutoHyphens/>
              <w:spacing w:before="120"/>
              <w:rPr>
                <w:rFonts w:asciiTheme="majorHAnsi" w:eastAsia="Calibri Light" w:hAnsiTheme="majorHAnsi" w:cstheme="majorHAnsi"/>
                <w:b/>
                <w:bCs/>
                <w:lang w:val="en-GB"/>
              </w:rPr>
            </w:pPr>
            <w:r w:rsidRPr="008E4140">
              <w:rPr>
                <w:rFonts w:asciiTheme="majorHAnsi" w:eastAsia="Calibri Light" w:hAnsiTheme="majorHAnsi" w:cstheme="majorHAnsi"/>
                <w:b/>
                <w:bCs/>
                <w:lang w:val="en-GB"/>
              </w:rPr>
              <w:t>Partially a</w:t>
            </w:r>
            <w:r w:rsidR="00675A50" w:rsidRPr="008E4140">
              <w:rPr>
                <w:rFonts w:asciiTheme="majorHAnsi" w:eastAsia="Calibri Light" w:hAnsiTheme="majorHAnsi" w:cstheme="majorHAnsi"/>
                <w:b/>
                <w:bCs/>
                <w:lang w:val="en-GB"/>
              </w:rPr>
              <w:t>gree</w:t>
            </w:r>
          </w:p>
        </w:tc>
        <w:tc>
          <w:tcPr>
            <w:tcW w:w="3402" w:type="dxa"/>
          </w:tcPr>
          <w:p w14:paraId="273C96CD" w14:textId="77777777" w:rsidR="00A008E7" w:rsidRDefault="0092321D" w:rsidP="00A008E7">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 xml:space="preserve">DFAT </w:t>
            </w:r>
            <w:r w:rsidR="00A8198A" w:rsidRPr="008E4140">
              <w:rPr>
                <w:rFonts w:asciiTheme="majorHAnsi" w:eastAsia="Calibri Light" w:hAnsiTheme="majorHAnsi" w:cstheme="majorHAnsi"/>
                <w:lang w:val="en-GB"/>
              </w:rPr>
              <w:t xml:space="preserve">partially </w:t>
            </w:r>
            <w:r w:rsidR="000665F6" w:rsidRPr="008E4140">
              <w:rPr>
                <w:rFonts w:asciiTheme="majorHAnsi" w:eastAsia="Calibri Light" w:hAnsiTheme="majorHAnsi" w:cstheme="majorHAnsi"/>
                <w:lang w:val="en-GB"/>
              </w:rPr>
              <w:t>agrees with the recommendation</w:t>
            </w:r>
            <w:r w:rsidR="00E95E58" w:rsidRPr="008E4140">
              <w:rPr>
                <w:rFonts w:asciiTheme="majorHAnsi" w:eastAsia="Calibri Light" w:hAnsiTheme="majorHAnsi" w:cstheme="majorHAnsi"/>
                <w:lang w:val="en-GB"/>
              </w:rPr>
              <w:t>,</w:t>
            </w:r>
            <w:r w:rsidR="002A18B9" w:rsidRPr="008E4140">
              <w:rPr>
                <w:rFonts w:asciiTheme="majorHAnsi" w:eastAsia="Calibri Light" w:hAnsiTheme="majorHAnsi" w:cstheme="majorHAnsi"/>
                <w:lang w:val="en-GB"/>
              </w:rPr>
              <w:t xml:space="preserve"> noting</w:t>
            </w:r>
            <w:r w:rsidR="00A2708C" w:rsidRPr="008E4140">
              <w:rPr>
                <w:rFonts w:asciiTheme="majorHAnsi" w:eastAsia="Calibri Light" w:hAnsiTheme="majorHAnsi" w:cstheme="majorHAnsi"/>
                <w:lang w:val="en-GB"/>
              </w:rPr>
              <w:t xml:space="preserve"> that procurement for all STKs ha</w:t>
            </w:r>
            <w:r w:rsidR="006F2529" w:rsidRPr="008E4140">
              <w:rPr>
                <w:rFonts w:asciiTheme="majorHAnsi" w:eastAsia="Calibri Light" w:hAnsiTheme="majorHAnsi" w:cstheme="majorHAnsi"/>
                <w:lang w:val="en-GB"/>
              </w:rPr>
              <w:t>s</w:t>
            </w:r>
            <w:r w:rsidR="00A2708C" w:rsidRPr="008E4140">
              <w:rPr>
                <w:rFonts w:asciiTheme="majorHAnsi" w:eastAsia="Calibri Light" w:hAnsiTheme="majorHAnsi" w:cstheme="majorHAnsi"/>
                <w:lang w:val="en-GB"/>
              </w:rPr>
              <w:t xml:space="preserve"> been completed for the duration of the project</w:t>
            </w:r>
            <w:r w:rsidR="00B239CA">
              <w:rPr>
                <w:rFonts w:asciiTheme="majorHAnsi" w:eastAsia="Calibri Light" w:hAnsiTheme="majorHAnsi" w:cstheme="majorHAnsi"/>
                <w:lang w:val="en-GB"/>
              </w:rPr>
              <w:t xml:space="preserve">. </w:t>
            </w:r>
            <w:r w:rsidR="006E08AA">
              <w:rPr>
                <w:rFonts w:asciiTheme="majorHAnsi" w:eastAsia="Calibri Light" w:hAnsiTheme="majorHAnsi" w:cstheme="majorHAnsi"/>
                <w:lang w:val="en-GB"/>
              </w:rPr>
              <w:t>PRC will continue to use the existing STKs and t</w:t>
            </w:r>
            <w:r w:rsidR="00F5516D" w:rsidRPr="008E4140">
              <w:rPr>
                <w:rFonts w:asciiTheme="majorHAnsi" w:eastAsia="Calibri Light" w:hAnsiTheme="majorHAnsi" w:cstheme="majorHAnsi"/>
                <w:lang w:val="en-GB"/>
              </w:rPr>
              <w:t xml:space="preserve">he result of the review on its content </w:t>
            </w:r>
            <w:r w:rsidR="006F6969" w:rsidRPr="008E4140">
              <w:rPr>
                <w:rFonts w:asciiTheme="majorHAnsi" w:eastAsia="Calibri Light" w:hAnsiTheme="majorHAnsi" w:cstheme="majorHAnsi"/>
                <w:lang w:val="en-GB"/>
              </w:rPr>
              <w:t>could be applied in future agreement</w:t>
            </w:r>
            <w:r w:rsidR="008536D0" w:rsidRPr="008E4140">
              <w:rPr>
                <w:rFonts w:asciiTheme="majorHAnsi" w:eastAsia="Calibri Light" w:hAnsiTheme="majorHAnsi" w:cstheme="majorHAnsi"/>
                <w:lang w:val="en-GB"/>
              </w:rPr>
              <w:t>s</w:t>
            </w:r>
            <w:r w:rsidR="006F6969" w:rsidRPr="008E4140">
              <w:rPr>
                <w:rFonts w:asciiTheme="majorHAnsi" w:eastAsia="Calibri Light" w:hAnsiTheme="majorHAnsi" w:cstheme="majorHAnsi"/>
                <w:lang w:val="en-GB"/>
              </w:rPr>
              <w:t xml:space="preserve">. </w:t>
            </w:r>
          </w:p>
          <w:p w14:paraId="6406D742" w14:textId="72DD1A08" w:rsidR="00C6630F" w:rsidRPr="008E4140" w:rsidRDefault="00C6630F" w:rsidP="00A008E7">
            <w:pPr>
              <w:suppressAutoHyphens/>
              <w:spacing w:before="120"/>
              <w:rPr>
                <w:rFonts w:asciiTheme="majorHAnsi" w:eastAsia="Calibri Light" w:hAnsiTheme="majorHAnsi" w:cstheme="majorHAnsi"/>
                <w:lang w:val="en-GB"/>
              </w:rPr>
            </w:pPr>
          </w:p>
        </w:tc>
        <w:tc>
          <w:tcPr>
            <w:tcW w:w="3969" w:type="dxa"/>
          </w:tcPr>
          <w:p w14:paraId="757CF489" w14:textId="7C4E9724" w:rsidR="00A008E7" w:rsidRPr="008E4140" w:rsidRDefault="009D602A" w:rsidP="00A008E7">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 xml:space="preserve">PRC </w:t>
            </w:r>
            <w:r w:rsidR="00AF4331">
              <w:rPr>
                <w:rFonts w:asciiTheme="majorHAnsi" w:eastAsia="Calibri Light" w:hAnsiTheme="majorHAnsi" w:cstheme="majorHAnsi"/>
                <w:lang w:val="en-GB"/>
              </w:rPr>
              <w:t xml:space="preserve">is expected to </w:t>
            </w:r>
            <w:r w:rsidR="005C2A91" w:rsidRPr="008E4140">
              <w:rPr>
                <w:rFonts w:asciiTheme="majorHAnsi" w:eastAsia="Calibri Light" w:hAnsiTheme="majorHAnsi" w:cstheme="majorHAnsi"/>
                <w:lang w:val="en-GB"/>
              </w:rPr>
              <w:t xml:space="preserve">continue to </w:t>
            </w:r>
            <w:r w:rsidR="006F52B1" w:rsidRPr="008E4140">
              <w:rPr>
                <w:rFonts w:asciiTheme="majorHAnsi" w:eastAsia="Calibri Light" w:hAnsiTheme="majorHAnsi" w:cstheme="majorHAnsi"/>
                <w:lang w:val="en-GB"/>
              </w:rPr>
              <w:t>work</w:t>
            </w:r>
            <w:r w:rsidRPr="008E4140">
              <w:rPr>
                <w:rFonts w:asciiTheme="majorHAnsi" w:eastAsia="Calibri Light" w:hAnsiTheme="majorHAnsi" w:cstheme="majorHAnsi"/>
                <w:lang w:val="en-GB"/>
              </w:rPr>
              <w:t xml:space="preserve"> in consultation with</w:t>
            </w:r>
            <w:r w:rsidR="009E0962" w:rsidRPr="008E4140">
              <w:rPr>
                <w:rFonts w:asciiTheme="majorHAnsi" w:eastAsia="Calibri Light" w:hAnsiTheme="majorHAnsi" w:cstheme="majorHAnsi"/>
                <w:lang w:val="en-GB"/>
              </w:rPr>
              <w:t xml:space="preserve"> the </w:t>
            </w:r>
            <w:r w:rsidR="003E5B81" w:rsidRPr="008E4140">
              <w:rPr>
                <w:rFonts w:asciiTheme="majorHAnsi" w:eastAsia="Calibri Light" w:hAnsiTheme="majorHAnsi" w:cstheme="majorHAnsi"/>
                <w:lang w:val="en-GB"/>
              </w:rPr>
              <w:t xml:space="preserve">Shelter </w:t>
            </w:r>
            <w:r w:rsidR="00A5313E" w:rsidRPr="008E4140">
              <w:rPr>
                <w:rFonts w:asciiTheme="majorHAnsi" w:eastAsia="Calibri Light" w:hAnsiTheme="majorHAnsi" w:cstheme="majorHAnsi"/>
                <w:lang w:val="en-GB"/>
              </w:rPr>
              <w:t xml:space="preserve">Cluster </w:t>
            </w:r>
            <w:r w:rsidR="009E0962" w:rsidRPr="008E4140">
              <w:rPr>
                <w:rFonts w:asciiTheme="majorHAnsi" w:eastAsia="Calibri Light" w:hAnsiTheme="majorHAnsi" w:cstheme="majorHAnsi"/>
                <w:lang w:val="en-GB"/>
              </w:rPr>
              <w:t xml:space="preserve">team </w:t>
            </w:r>
            <w:r w:rsidR="00C62299" w:rsidRPr="008E4140">
              <w:rPr>
                <w:rFonts w:asciiTheme="majorHAnsi" w:eastAsia="Calibri Light" w:hAnsiTheme="majorHAnsi" w:cstheme="majorHAnsi"/>
                <w:lang w:val="en-GB"/>
              </w:rPr>
              <w:t>and consider the</w:t>
            </w:r>
            <w:r w:rsidR="000767C9" w:rsidRPr="008E4140">
              <w:rPr>
                <w:rFonts w:asciiTheme="majorHAnsi" w:eastAsia="Calibri Light" w:hAnsiTheme="majorHAnsi" w:cstheme="majorHAnsi"/>
                <w:lang w:val="en-GB"/>
              </w:rPr>
              <w:t xml:space="preserve"> result</w:t>
            </w:r>
            <w:r w:rsidR="009966E0" w:rsidRPr="008E4140">
              <w:rPr>
                <w:rFonts w:asciiTheme="majorHAnsi" w:eastAsia="Calibri Light" w:hAnsiTheme="majorHAnsi" w:cstheme="majorHAnsi"/>
                <w:lang w:val="en-GB"/>
              </w:rPr>
              <w:t>s</w:t>
            </w:r>
            <w:r w:rsidR="000767C9" w:rsidRPr="008E4140">
              <w:rPr>
                <w:rFonts w:asciiTheme="majorHAnsi" w:eastAsia="Calibri Light" w:hAnsiTheme="majorHAnsi" w:cstheme="majorHAnsi"/>
                <w:lang w:val="en-GB"/>
              </w:rPr>
              <w:t xml:space="preserve"> of the </w:t>
            </w:r>
            <w:r w:rsidR="006F52B1" w:rsidRPr="008E4140">
              <w:rPr>
                <w:rFonts w:asciiTheme="majorHAnsi" w:eastAsia="Calibri Light" w:hAnsiTheme="majorHAnsi" w:cstheme="majorHAnsi"/>
                <w:lang w:val="en-GB"/>
              </w:rPr>
              <w:t xml:space="preserve">post distribution monitoring </w:t>
            </w:r>
            <w:r w:rsidR="00346EC0" w:rsidRPr="008E4140">
              <w:rPr>
                <w:rFonts w:asciiTheme="majorHAnsi" w:eastAsia="Calibri Light" w:hAnsiTheme="majorHAnsi" w:cstheme="majorHAnsi"/>
                <w:lang w:val="en-GB"/>
              </w:rPr>
              <w:t xml:space="preserve">in </w:t>
            </w:r>
            <w:r w:rsidR="008536D0" w:rsidRPr="008E4140">
              <w:rPr>
                <w:rFonts w:asciiTheme="majorHAnsi" w:eastAsia="Calibri Light" w:hAnsiTheme="majorHAnsi" w:cstheme="majorHAnsi"/>
                <w:lang w:val="en-GB"/>
              </w:rPr>
              <w:t>identifying</w:t>
            </w:r>
            <w:r w:rsidR="00C62299" w:rsidRPr="008E4140">
              <w:rPr>
                <w:rFonts w:asciiTheme="majorHAnsi" w:eastAsia="Calibri Light" w:hAnsiTheme="majorHAnsi" w:cstheme="majorHAnsi"/>
                <w:lang w:val="en-GB"/>
              </w:rPr>
              <w:t>/improving</w:t>
            </w:r>
            <w:r w:rsidR="008536D0" w:rsidRPr="008E4140">
              <w:rPr>
                <w:rFonts w:asciiTheme="majorHAnsi" w:eastAsia="Calibri Light" w:hAnsiTheme="majorHAnsi" w:cstheme="majorHAnsi"/>
                <w:lang w:val="en-GB"/>
              </w:rPr>
              <w:t xml:space="preserve"> the contents of the STKs</w:t>
            </w:r>
            <w:r w:rsidR="00B2758D" w:rsidRPr="008E4140">
              <w:rPr>
                <w:rFonts w:asciiTheme="majorHAnsi" w:eastAsia="Calibri Light" w:hAnsiTheme="majorHAnsi" w:cstheme="majorHAnsi"/>
                <w:lang w:val="en-GB"/>
              </w:rPr>
              <w:t>.</w:t>
            </w:r>
            <w:r w:rsidR="00232130" w:rsidRPr="008E4140">
              <w:rPr>
                <w:rFonts w:asciiTheme="majorHAnsi" w:eastAsia="Calibri Light" w:hAnsiTheme="majorHAnsi" w:cstheme="majorHAnsi"/>
                <w:lang w:val="en-GB"/>
              </w:rPr>
              <w:t xml:space="preserve"> </w:t>
            </w:r>
            <w:r w:rsidR="00861F17" w:rsidRPr="008E4140">
              <w:rPr>
                <w:rFonts w:asciiTheme="majorHAnsi" w:eastAsia="Calibri Light" w:hAnsiTheme="majorHAnsi" w:cstheme="majorHAnsi"/>
                <w:lang w:val="en-GB"/>
              </w:rPr>
              <w:t xml:space="preserve"> </w:t>
            </w:r>
          </w:p>
        </w:tc>
        <w:tc>
          <w:tcPr>
            <w:tcW w:w="1418" w:type="dxa"/>
          </w:tcPr>
          <w:p w14:paraId="55BE2BBF" w14:textId="7408E2C7" w:rsidR="003C44F1" w:rsidRPr="008E4140" w:rsidRDefault="00346EC0" w:rsidP="00A008E7">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 xml:space="preserve">For future </w:t>
            </w:r>
            <w:r w:rsidR="008536D0" w:rsidRPr="008E4140">
              <w:rPr>
                <w:rFonts w:asciiTheme="majorHAnsi" w:eastAsia="Calibri Light" w:hAnsiTheme="majorHAnsi" w:cstheme="majorHAnsi"/>
                <w:lang w:val="en-GB"/>
              </w:rPr>
              <w:t>agreements</w:t>
            </w:r>
            <w:r w:rsidR="007F6080" w:rsidRPr="008E4140">
              <w:rPr>
                <w:rFonts w:asciiTheme="majorHAnsi" w:eastAsia="Calibri Light" w:hAnsiTheme="majorHAnsi" w:cstheme="majorHAnsi"/>
                <w:lang w:val="en-GB"/>
              </w:rPr>
              <w:t xml:space="preserve"> </w:t>
            </w:r>
          </w:p>
        </w:tc>
      </w:tr>
      <w:tr w:rsidR="0063608D" w:rsidRPr="008E4140" w14:paraId="0D4101E6" w14:textId="77777777" w:rsidTr="00C6630F">
        <w:tc>
          <w:tcPr>
            <w:tcW w:w="4390" w:type="dxa"/>
          </w:tcPr>
          <w:p w14:paraId="48F9CF0D" w14:textId="77777777" w:rsidR="00B92CE5" w:rsidRDefault="00A1579F" w:rsidP="00B93B80">
            <w:pPr>
              <w:pStyle w:val="ListParagraph"/>
              <w:numPr>
                <w:ilvl w:val="0"/>
                <w:numId w:val="4"/>
              </w:numPr>
              <w:suppressAutoHyphens/>
              <w:spacing w:before="120"/>
              <w:rPr>
                <w:rFonts w:asciiTheme="majorHAnsi" w:eastAsia="Calibri Light" w:hAnsiTheme="majorHAnsi" w:cstheme="majorHAnsi"/>
                <w:lang w:val="en-GB"/>
              </w:rPr>
            </w:pPr>
            <w:r w:rsidRPr="001962C6">
              <w:rPr>
                <w:rFonts w:asciiTheme="majorHAnsi" w:eastAsia="Calibri Light" w:hAnsiTheme="majorHAnsi" w:cstheme="majorHAnsi"/>
                <w:lang w:val="en-GB"/>
              </w:rPr>
              <w:t xml:space="preserve">Increase the cash grant amount to PHP5,000, in line with other agencies. The target number of beneficiary families </w:t>
            </w:r>
            <w:r w:rsidR="00405EC0" w:rsidRPr="001962C6">
              <w:rPr>
                <w:rFonts w:asciiTheme="majorHAnsi" w:eastAsia="Calibri Light" w:hAnsiTheme="majorHAnsi" w:cstheme="majorHAnsi"/>
                <w:lang w:val="en-GB"/>
              </w:rPr>
              <w:t>must</w:t>
            </w:r>
            <w:r w:rsidRPr="001962C6">
              <w:rPr>
                <w:rFonts w:asciiTheme="majorHAnsi" w:eastAsia="Calibri Light" w:hAnsiTheme="majorHAnsi" w:cstheme="majorHAnsi"/>
                <w:lang w:val="en-GB"/>
              </w:rPr>
              <w:t xml:space="preserve"> be adjusted accordingly.</w:t>
            </w:r>
            <w:r w:rsidR="006E5FA1">
              <w:rPr>
                <w:rFonts w:asciiTheme="majorHAnsi" w:eastAsia="Calibri Light" w:hAnsiTheme="majorHAnsi" w:cstheme="majorHAnsi"/>
                <w:lang w:val="en-GB"/>
              </w:rPr>
              <w:t xml:space="preserve"> </w:t>
            </w:r>
          </w:p>
          <w:p w14:paraId="6F8FAAB4" w14:textId="56ED3C00" w:rsidR="00A008E7" w:rsidRPr="001962C6" w:rsidRDefault="00A008E7" w:rsidP="00B92CE5">
            <w:pPr>
              <w:pStyle w:val="ListParagraph"/>
              <w:suppressAutoHyphens/>
              <w:spacing w:before="120"/>
              <w:rPr>
                <w:rFonts w:asciiTheme="majorHAnsi" w:eastAsia="Calibri Light" w:hAnsiTheme="majorHAnsi" w:cstheme="majorHAnsi"/>
                <w:lang w:val="en-GB"/>
              </w:rPr>
            </w:pPr>
          </w:p>
        </w:tc>
        <w:tc>
          <w:tcPr>
            <w:tcW w:w="1275" w:type="dxa"/>
          </w:tcPr>
          <w:p w14:paraId="7594AF01" w14:textId="73D4FD96" w:rsidR="00A008E7" w:rsidRPr="008E4140" w:rsidRDefault="006735BC" w:rsidP="00A008E7">
            <w:pPr>
              <w:suppressAutoHyphens/>
              <w:spacing w:before="120"/>
              <w:rPr>
                <w:rFonts w:asciiTheme="majorHAnsi" w:eastAsia="Calibri Light" w:hAnsiTheme="majorHAnsi" w:cstheme="majorHAnsi"/>
                <w:b/>
                <w:bCs/>
                <w:lang w:val="en-GB"/>
              </w:rPr>
            </w:pPr>
            <w:r w:rsidRPr="008E4140">
              <w:rPr>
                <w:rFonts w:asciiTheme="majorHAnsi" w:eastAsia="Calibri Light" w:hAnsiTheme="majorHAnsi" w:cstheme="majorHAnsi"/>
                <w:b/>
                <w:bCs/>
                <w:lang w:val="en-GB"/>
              </w:rPr>
              <w:t>Partially agree</w:t>
            </w:r>
          </w:p>
        </w:tc>
        <w:tc>
          <w:tcPr>
            <w:tcW w:w="3402" w:type="dxa"/>
          </w:tcPr>
          <w:p w14:paraId="68292E6C" w14:textId="6D396061" w:rsidR="00D9612F" w:rsidRDefault="004169E9" w:rsidP="00D9612F">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 xml:space="preserve">The </w:t>
            </w:r>
            <w:r w:rsidR="000A4748">
              <w:rPr>
                <w:rFonts w:asciiTheme="majorHAnsi" w:eastAsia="Calibri Light" w:hAnsiTheme="majorHAnsi" w:cstheme="majorHAnsi"/>
                <w:lang w:val="en-GB"/>
              </w:rPr>
              <w:t xml:space="preserve">current Philippine government </w:t>
            </w:r>
            <w:r w:rsidR="004C30DB">
              <w:rPr>
                <w:rFonts w:asciiTheme="majorHAnsi" w:eastAsia="Calibri Light" w:hAnsiTheme="majorHAnsi" w:cstheme="majorHAnsi"/>
                <w:lang w:val="en-GB"/>
              </w:rPr>
              <w:t>guidelines</w:t>
            </w:r>
            <w:r w:rsidR="000A4748">
              <w:rPr>
                <w:rFonts w:asciiTheme="majorHAnsi" w:eastAsia="Calibri Light" w:hAnsiTheme="majorHAnsi" w:cstheme="majorHAnsi"/>
                <w:lang w:val="en-GB"/>
              </w:rPr>
              <w:t xml:space="preserve"> on cash transfers</w:t>
            </w:r>
            <w:r w:rsidR="006F2FAF">
              <w:rPr>
                <w:rFonts w:asciiTheme="majorHAnsi" w:eastAsia="Calibri Light" w:hAnsiTheme="majorHAnsi" w:cstheme="majorHAnsi"/>
                <w:lang w:val="en-GB"/>
              </w:rPr>
              <w:t xml:space="preserve"> for disaster response</w:t>
            </w:r>
            <w:r w:rsidR="000A4748">
              <w:rPr>
                <w:rFonts w:asciiTheme="majorHAnsi" w:eastAsia="Calibri Light" w:hAnsiTheme="majorHAnsi" w:cstheme="majorHAnsi"/>
                <w:lang w:val="en-GB"/>
              </w:rPr>
              <w:t xml:space="preserve"> is </w:t>
            </w:r>
            <w:r w:rsidR="00D9612F">
              <w:rPr>
                <w:rFonts w:asciiTheme="majorHAnsi" w:eastAsia="Calibri Light" w:hAnsiTheme="majorHAnsi" w:cstheme="majorHAnsi"/>
                <w:lang w:val="en-GB"/>
              </w:rPr>
              <w:t>100</w:t>
            </w:r>
            <w:r w:rsidR="000A4748">
              <w:rPr>
                <w:rFonts w:asciiTheme="majorHAnsi" w:eastAsia="Calibri Light" w:hAnsiTheme="majorHAnsi" w:cstheme="majorHAnsi"/>
                <w:lang w:val="en-GB"/>
              </w:rPr>
              <w:t xml:space="preserve"> per cent of the regional daily minimum wage </w:t>
            </w:r>
            <w:r w:rsidR="00D9612F">
              <w:rPr>
                <w:rFonts w:asciiTheme="majorHAnsi" w:eastAsia="Calibri Light" w:hAnsiTheme="majorHAnsi" w:cstheme="majorHAnsi"/>
                <w:lang w:val="en-GB"/>
              </w:rPr>
              <w:t xml:space="preserve">based on the activities to be undertaken and assessment of the implementing partner. </w:t>
            </w:r>
          </w:p>
          <w:p w14:paraId="303B6D4E" w14:textId="77777777" w:rsidR="00A008E7" w:rsidRDefault="00D33513" w:rsidP="00D9612F">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 xml:space="preserve">DFAT </w:t>
            </w:r>
            <w:r w:rsidR="00463719" w:rsidRPr="008E4140">
              <w:rPr>
                <w:rFonts w:asciiTheme="majorHAnsi" w:eastAsia="Calibri Light" w:hAnsiTheme="majorHAnsi" w:cstheme="majorHAnsi"/>
                <w:lang w:val="en-GB"/>
              </w:rPr>
              <w:t xml:space="preserve">is </w:t>
            </w:r>
            <w:r w:rsidR="008536D0" w:rsidRPr="008E4140">
              <w:rPr>
                <w:rFonts w:asciiTheme="majorHAnsi" w:eastAsia="Calibri Light" w:hAnsiTheme="majorHAnsi" w:cstheme="majorHAnsi"/>
                <w:lang w:val="en-GB"/>
              </w:rPr>
              <w:t xml:space="preserve">open </w:t>
            </w:r>
            <w:r w:rsidR="00463719" w:rsidRPr="008E4140">
              <w:rPr>
                <w:rFonts w:asciiTheme="majorHAnsi" w:eastAsia="Calibri Light" w:hAnsiTheme="majorHAnsi" w:cstheme="majorHAnsi"/>
                <w:lang w:val="en-GB"/>
              </w:rPr>
              <w:t>to i</w:t>
            </w:r>
            <w:r w:rsidR="001219D4" w:rsidRPr="008E4140">
              <w:rPr>
                <w:rFonts w:asciiTheme="majorHAnsi" w:eastAsia="Calibri Light" w:hAnsiTheme="majorHAnsi" w:cstheme="majorHAnsi"/>
                <w:lang w:val="en-GB"/>
              </w:rPr>
              <w:t>mprov</w:t>
            </w:r>
            <w:r w:rsidR="008536D0" w:rsidRPr="008E4140">
              <w:rPr>
                <w:rFonts w:asciiTheme="majorHAnsi" w:eastAsia="Calibri Light" w:hAnsiTheme="majorHAnsi" w:cstheme="majorHAnsi"/>
                <w:lang w:val="en-GB"/>
              </w:rPr>
              <w:t>e</w:t>
            </w:r>
            <w:r w:rsidR="001219D4" w:rsidRPr="008E4140">
              <w:rPr>
                <w:rFonts w:asciiTheme="majorHAnsi" w:eastAsia="Calibri Light" w:hAnsiTheme="majorHAnsi" w:cstheme="majorHAnsi"/>
                <w:lang w:val="en-GB"/>
              </w:rPr>
              <w:t xml:space="preserve"> and </w:t>
            </w:r>
            <w:r w:rsidR="008536D0" w:rsidRPr="008E4140">
              <w:rPr>
                <w:rFonts w:asciiTheme="majorHAnsi" w:eastAsia="Calibri Light" w:hAnsiTheme="majorHAnsi" w:cstheme="majorHAnsi"/>
                <w:lang w:val="en-GB"/>
              </w:rPr>
              <w:t>adjust</w:t>
            </w:r>
            <w:r w:rsidR="001219D4" w:rsidRPr="008E4140">
              <w:rPr>
                <w:rFonts w:asciiTheme="majorHAnsi" w:eastAsia="Calibri Light" w:hAnsiTheme="majorHAnsi" w:cstheme="majorHAnsi"/>
                <w:lang w:val="en-GB"/>
              </w:rPr>
              <w:t xml:space="preserve"> the prepositioned </w:t>
            </w:r>
            <w:r w:rsidR="0014617A" w:rsidRPr="008E4140">
              <w:rPr>
                <w:rFonts w:asciiTheme="majorHAnsi" w:eastAsia="Calibri Light" w:hAnsiTheme="majorHAnsi" w:cstheme="majorHAnsi"/>
                <w:lang w:val="en-GB"/>
              </w:rPr>
              <w:t>cash transfer value</w:t>
            </w:r>
            <w:r w:rsidR="008536D0" w:rsidRPr="008E4140">
              <w:rPr>
                <w:rFonts w:asciiTheme="majorHAnsi" w:eastAsia="Calibri Light" w:hAnsiTheme="majorHAnsi" w:cstheme="majorHAnsi"/>
                <w:lang w:val="en-GB"/>
              </w:rPr>
              <w:t xml:space="preserve"> </w:t>
            </w:r>
            <w:r w:rsidR="00976945" w:rsidRPr="008E4140">
              <w:rPr>
                <w:rFonts w:asciiTheme="majorHAnsi" w:eastAsia="Calibri Light" w:hAnsiTheme="majorHAnsi" w:cstheme="majorHAnsi"/>
                <w:lang w:val="en-GB"/>
              </w:rPr>
              <w:t>as long as this is aligned with the polic</w:t>
            </w:r>
            <w:r w:rsidR="008536D0" w:rsidRPr="008E4140">
              <w:rPr>
                <w:rFonts w:asciiTheme="majorHAnsi" w:eastAsia="Calibri Light" w:hAnsiTheme="majorHAnsi" w:cstheme="majorHAnsi"/>
                <w:lang w:val="en-GB"/>
              </w:rPr>
              <w:t>ies</w:t>
            </w:r>
            <w:r w:rsidR="006606BC" w:rsidRPr="008E4140">
              <w:rPr>
                <w:rFonts w:asciiTheme="majorHAnsi" w:eastAsia="Calibri Light" w:hAnsiTheme="majorHAnsi" w:cstheme="majorHAnsi"/>
                <w:lang w:val="en-GB"/>
              </w:rPr>
              <w:t xml:space="preserve"> and guideline</w:t>
            </w:r>
            <w:r w:rsidR="008536D0" w:rsidRPr="008E4140">
              <w:rPr>
                <w:rFonts w:asciiTheme="majorHAnsi" w:eastAsia="Calibri Light" w:hAnsiTheme="majorHAnsi" w:cstheme="majorHAnsi"/>
                <w:lang w:val="en-GB"/>
              </w:rPr>
              <w:t>s</w:t>
            </w:r>
            <w:r w:rsidR="00976945" w:rsidRPr="008E4140">
              <w:rPr>
                <w:rFonts w:asciiTheme="majorHAnsi" w:eastAsia="Calibri Light" w:hAnsiTheme="majorHAnsi" w:cstheme="majorHAnsi"/>
                <w:lang w:val="en-GB"/>
              </w:rPr>
              <w:t xml:space="preserve"> </w:t>
            </w:r>
            <w:r w:rsidR="00C70D8F" w:rsidRPr="008E4140">
              <w:rPr>
                <w:rFonts w:asciiTheme="majorHAnsi" w:eastAsia="Calibri Light" w:hAnsiTheme="majorHAnsi" w:cstheme="majorHAnsi"/>
                <w:lang w:val="en-GB"/>
              </w:rPr>
              <w:t>set by the Philippine Government</w:t>
            </w:r>
            <w:r w:rsidR="006F52B1" w:rsidRPr="008E4140">
              <w:rPr>
                <w:rFonts w:asciiTheme="majorHAnsi" w:eastAsia="Calibri Light" w:hAnsiTheme="majorHAnsi" w:cstheme="majorHAnsi"/>
                <w:lang w:val="en-GB"/>
              </w:rPr>
              <w:t xml:space="preserve"> on emergency cash assistance</w:t>
            </w:r>
            <w:r w:rsidR="00A40C05" w:rsidRPr="008E4140">
              <w:rPr>
                <w:rFonts w:asciiTheme="majorHAnsi" w:eastAsia="Calibri Light" w:hAnsiTheme="majorHAnsi" w:cstheme="majorHAnsi"/>
                <w:lang w:val="en-GB"/>
              </w:rPr>
              <w:t>.</w:t>
            </w:r>
          </w:p>
          <w:p w14:paraId="640A9DB1" w14:textId="62569FC0" w:rsidR="00C6630F" w:rsidRPr="008E4140" w:rsidRDefault="00C6630F" w:rsidP="00D9612F">
            <w:pPr>
              <w:suppressAutoHyphens/>
              <w:spacing w:before="120"/>
              <w:rPr>
                <w:rFonts w:asciiTheme="majorHAnsi" w:eastAsia="Calibri Light" w:hAnsiTheme="majorHAnsi" w:cstheme="majorHAnsi"/>
                <w:lang w:val="en-GB"/>
              </w:rPr>
            </w:pPr>
          </w:p>
        </w:tc>
        <w:tc>
          <w:tcPr>
            <w:tcW w:w="3969" w:type="dxa"/>
          </w:tcPr>
          <w:p w14:paraId="43F2FF6A" w14:textId="5DBB19A4" w:rsidR="009E75A8" w:rsidRPr="008E4140" w:rsidRDefault="00170823" w:rsidP="00A008E7">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 xml:space="preserve">Both DFAT and PRC agree </w:t>
            </w:r>
            <w:r w:rsidR="00F63AE6" w:rsidRPr="008E4140">
              <w:rPr>
                <w:rFonts w:asciiTheme="majorHAnsi" w:eastAsia="Calibri Light" w:hAnsiTheme="majorHAnsi" w:cstheme="majorHAnsi"/>
                <w:lang w:val="en-GB"/>
              </w:rPr>
              <w:t xml:space="preserve">the </w:t>
            </w:r>
            <w:r w:rsidRPr="008E4140">
              <w:rPr>
                <w:rFonts w:asciiTheme="majorHAnsi" w:eastAsia="Calibri Light" w:hAnsiTheme="majorHAnsi" w:cstheme="majorHAnsi"/>
                <w:lang w:val="en-GB"/>
              </w:rPr>
              <w:t>cash transfer mechanism</w:t>
            </w:r>
            <w:r w:rsidR="005B4828">
              <w:rPr>
                <w:rFonts w:asciiTheme="majorHAnsi" w:eastAsia="Calibri Light" w:hAnsiTheme="majorHAnsi" w:cstheme="majorHAnsi"/>
                <w:lang w:val="en-GB"/>
              </w:rPr>
              <w:t xml:space="preserve"> and cash transfer value </w:t>
            </w:r>
            <w:r w:rsidRPr="008E4140">
              <w:rPr>
                <w:rFonts w:asciiTheme="majorHAnsi" w:eastAsia="Calibri Light" w:hAnsiTheme="majorHAnsi" w:cstheme="majorHAnsi"/>
                <w:lang w:val="en-GB"/>
              </w:rPr>
              <w:t xml:space="preserve">should </w:t>
            </w:r>
            <w:r w:rsidR="004B3662">
              <w:rPr>
                <w:rFonts w:asciiTheme="majorHAnsi" w:eastAsia="Calibri Light" w:hAnsiTheme="majorHAnsi" w:cstheme="majorHAnsi"/>
                <w:lang w:val="en-GB"/>
              </w:rPr>
              <w:t>be compliant with national</w:t>
            </w:r>
            <w:r w:rsidRPr="008E4140">
              <w:rPr>
                <w:rFonts w:asciiTheme="majorHAnsi" w:eastAsia="Calibri Light" w:hAnsiTheme="majorHAnsi" w:cstheme="majorHAnsi"/>
                <w:lang w:val="en-GB"/>
              </w:rPr>
              <w:t xml:space="preserve"> policies set by the Philippine Government</w:t>
            </w:r>
            <w:r w:rsidR="005B4828">
              <w:rPr>
                <w:rFonts w:asciiTheme="majorHAnsi" w:eastAsia="Calibri Light" w:hAnsiTheme="majorHAnsi" w:cstheme="majorHAnsi"/>
                <w:lang w:val="en-GB"/>
              </w:rPr>
              <w:t xml:space="preserve">, </w:t>
            </w:r>
            <w:r w:rsidR="00A65488">
              <w:rPr>
                <w:rFonts w:asciiTheme="majorHAnsi" w:eastAsia="Calibri Light" w:hAnsiTheme="majorHAnsi" w:cstheme="majorHAnsi"/>
                <w:lang w:val="en-GB"/>
              </w:rPr>
              <w:t xml:space="preserve">in consultation with </w:t>
            </w:r>
            <w:r w:rsidR="00A65488" w:rsidRPr="008E4140">
              <w:rPr>
                <w:rFonts w:asciiTheme="majorHAnsi" w:eastAsia="Calibri Light" w:hAnsiTheme="majorHAnsi" w:cstheme="majorHAnsi"/>
                <w:lang w:val="en-GB"/>
              </w:rPr>
              <w:t>Philippines Cash Working Group</w:t>
            </w:r>
            <w:r w:rsidRPr="008E4140">
              <w:rPr>
                <w:rFonts w:asciiTheme="majorHAnsi" w:eastAsia="Calibri Light" w:hAnsiTheme="majorHAnsi" w:cstheme="majorHAnsi"/>
                <w:lang w:val="en-GB"/>
              </w:rPr>
              <w:t xml:space="preserve">. </w:t>
            </w:r>
          </w:p>
          <w:p w14:paraId="263ADF0A" w14:textId="0884719F" w:rsidR="00C34F56" w:rsidRPr="008E4140" w:rsidRDefault="00695D0A" w:rsidP="00AC0842">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 xml:space="preserve">To date, the Philippines Cash Working Group (which includes PRC) is still liaising with the Department of Social Welfare and Development </w:t>
            </w:r>
            <w:r w:rsidR="00D64BD6">
              <w:rPr>
                <w:rFonts w:asciiTheme="majorHAnsi" w:eastAsia="Calibri Light" w:hAnsiTheme="majorHAnsi" w:cstheme="majorHAnsi"/>
                <w:lang w:val="en-GB"/>
              </w:rPr>
              <w:t xml:space="preserve">(DSWD) </w:t>
            </w:r>
            <w:r w:rsidRPr="008E4140">
              <w:rPr>
                <w:rFonts w:asciiTheme="majorHAnsi" w:eastAsia="Calibri Light" w:hAnsiTheme="majorHAnsi" w:cstheme="majorHAnsi"/>
                <w:lang w:val="en-GB"/>
              </w:rPr>
              <w:t>on the revised guidelines for emergency cash transfers.</w:t>
            </w:r>
          </w:p>
          <w:p w14:paraId="06507189" w14:textId="096AB183" w:rsidR="00A008E7" w:rsidRPr="008E4140" w:rsidRDefault="00A008E7" w:rsidP="00AC0842">
            <w:pPr>
              <w:suppressAutoHyphens/>
              <w:spacing w:before="120"/>
              <w:rPr>
                <w:rFonts w:asciiTheme="majorHAnsi" w:eastAsia="Calibri Light" w:hAnsiTheme="majorHAnsi" w:cstheme="majorHAnsi"/>
                <w:lang w:val="en-GB"/>
              </w:rPr>
            </w:pPr>
          </w:p>
        </w:tc>
        <w:tc>
          <w:tcPr>
            <w:tcW w:w="1418" w:type="dxa"/>
          </w:tcPr>
          <w:p w14:paraId="56909819" w14:textId="23871251" w:rsidR="00A008E7" w:rsidRPr="008E4140" w:rsidRDefault="00D90EEC" w:rsidP="00A008E7">
            <w:pPr>
              <w:suppressAutoHyphens/>
              <w:spacing w:before="120"/>
              <w:rPr>
                <w:rFonts w:asciiTheme="majorHAnsi" w:eastAsia="Calibri Light" w:hAnsiTheme="majorHAnsi" w:cstheme="majorHAnsi"/>
                <w:lang w:val="en-GB"/>
              </w:rPr>
            </w:pPr>
            <w:r>
              <w:rPr>
                <w:rFonts w:asciiTheme="majorHAnsi" w:eastAsia="Calibri Light" w:hAnsiTheme="majorHAnsi" w:cstheme="majorHAnsi"/>
                <w:lang w:val="en-GB"/>
              </w:rPr>
              <w:t>O</w:t>
            </w:r>
            <w:r w:rsidR="007F6080" w:rsidRPr="008E4140">
              <w:rPr>
                <w:rFonts w:asciiTheme="majorHAnsi" w:eastAsia="Calibri Light" w:hAnsiTheme="majorHAnsi" w:cstheme="majorHAnsi"/>
                <w:lang w:val="en-GB"/>
              </w:rPr>
              <w:t>ngoing</w:t>
            </w:r>
            <w:r w:rsidR="00D64BD6">
              <w:rPr>
                <w:rFonts w:asciiTheme="majorHAnsi" w:eastAsia="Calibri Light" w:hAnsiTheme="majorHAnsi" w:cstheme="majorHAnsi"/>
                <w:lang w:val="en-GB"/>
              </w:rPr>
              <w:t xml:space="preserve"> (depending on DSWD approval of the proposed new guidelines)</w:t>
            </w:r>
          </w:p>
          <w:p w14:paraId="57204D44" w14:textId="5BF4A3CA" w:rsidR="009758C9" w:rsidRPr="008E4140" w:rsidRDefault="009758C9" w:rsidP="00A008E7">
            <w:pPr>
              <w:suppressAutoHyphens/>
              <w:spacing w:before="120"/>
              <w:rPr>
                <w:rFonts w:asciiTheme="majorHAnsi" w:eastAsia="Calibri Light" w:hAnsiTheme="majorHAnsi" w:cstheme="majorHAnsi"/>
                <w:lang w:val="en-GB"/>
              </w:rPr>
            </w:pPr>
          </w:p>
        </w:tc>
      </w:tr>
      <w:tr w:rsidR="0063608D" w:rsidRPr="008E4140" w14:paraId="517BCD6C" w14:textId="77777777" w:rsidTr="00C6630F">
        <w:tc>
          <w:tcPr>
            <w:tcW w:w="4390" w:type="dxa"/>
          </w:tcPr>
          <w:p w14:paraId="11F28004" w14:textId="5A71ED8B" w:rsidR="006735BC" w:rsidRPr="00C6630F" w:rsidRDefault="00770DD6" w:rsidP="00C6630F">
            <w:pPr>
              <w:pStyle w:val="ListParagraph"/>
              <w:numPr>
                <w:ilvl w:val="0"/>
                <w:numId w:val="4"/>
              </w:numPr>
              <w:suppressAutoHyphens/>
              <w:spacing w:before="120"/>
              <w:rPr>
                <w:rFonts w:asciiTheme="majorHAnsi" w:eastAsia="Calibri Light" w:hAnsiTheme="majorHAnsi" w:cstheme="majorHAnsi"/>
                <w:lang w:val="en-GB"/>
              </w:rPr>
            </w:pPr>
            <w:r w:rsidRPr="00770DD6">
              <w:rPr>
                <w:rFonts w:asciiTheme="majorHAnsi" w:hAnsiTheme="majorHAnsi" w:cstheme="majorHAnsi"/>
              </w:rPr>
              <w:t>PRC to review its internal approval process to facilitate an earlier release of Cash for Relief (</w:t>
            </w:r>
            <w:proofErr w:type="spellStart"/>
            <w:r w:rsidRPr="00770DD6">
              <w:rPr>
                <w:rFonts w:asciiTheme="majorHAnsi" w:hAnsiTheme="majorHAnsi" w:cstheme="majorHAnsi"/>
              </w:rPr>
              <w:t>CfR</w:t>
            </w:r>
            <w:proofErr w:type="spellEnd"/>
            <w:r w:rsidRPr="00770DD6">
              <w:rPr>
                <w:rFonts w:asciiTheme="majorHAnsi" w:hAnsiTheme="majorHAnsi" w:cstheme="majorHAnsi"/>
              </w:rPr>
              <w:t xml:space="preserve">) funds during emergencies, including area selection, </w:t>
            </w:r>
            <w:r w:rsidRPr="00770DD6">
              <w:rPr>
                <w:rFonts w:asciiTheme="majorHAnsi" w:hAnsiTheme="majorHAnsi" w:cstheme="majorHAnsi"/>
              </w:rPr>
              <w:lastRenderedPageBreak/>
              <w:t xml:space="preserve">beneficiary criteria, and capacity assessment of chapters to implement </w:t>
            </w:r>
            <w:proofErr w:type="spellStart"/>
            <w:r w:rsidRPr="00770DD6">
              <w:rPr>
                <w:rFonts w:asciiTheme="majorHAnsi" w:hAnsiTheme="majorHAnsi" w:cstheme="majorHAnsi"/>
              </w:rPr>
              <w:t>CfR</w:t>
            </w:r>
            <w:proofErr w:type="spellEnd"/>
            <w:r w:rsidRPr="00770DD6">
              <w:rPr>
                <w:rFonts w:asciiTheme="majorHAnsi" w:hAnsiTheme="majorHAnsi" w:cstheme="majorHAnsi"/>
              </w:rPr>
              <w:t>. PRC should aim to deploy validation and beneficiary registration teams within a week after a disaster, where feasible, as specified in the agreement.</w:t>
            </w:r>
            <w:r w:rsidR="006E5FA1">
              <w:rPr>
                <w:rFonts w:asciiTheme="majorHAnsi" w:hAnsiTheme="majorHAnsi" w:cstheme="majorHAnsi"/>
              </w:rPr>
              <w:t xml:space="preserve"> </w:t>
            </w:r>
            <w:r w:rsidR="00C6630F">
              <w:rPr>
                <w:rFonts w:asciiTheme="majorHAnsi" w:hAnsiTheme="majorHAnsi" w:cstheme="majorHAnsi"/>
              </w:rPr>
              <w:br/>
            </w:r>
          </w:p>
        </w:tc>
        <w:tc>
          <w:tcPr>
            <w:tcW w:w="1275" w:type="dxa"/>
          </w:tcPr>
          <w:p w14:paraId="1F25DA6B" w14:textId="2E5576EC" w:rsidR="006735BC" w:rsidRPr="001354C6" w:rsidRDefault="007B78E3" w:rsidP="006735BC">
            <w:pPr>
              <w:suppressAutoHyphens/>
              <w:spacing w:before="120"/>
              <w:rPr>
                <w:rFonts w:asciiTheme="majorHAnsi" w:eastAsia="Calibri Light" w:hAnsiTheme="majorHAnsi" w:cstheme="majorHAnsi"/>
                <w:lang w:val="en-GB"/>
              </w:rPr>
            </w:pPr>
            <w:r w:rsidRPr="001354C6">
              <w:rPr>
                <w:rFonts w:asciiTheme="majorHAnsi" w:eastAsia="Calibri Light" w:hAnsiTheme="majorHAnsi" w:cstheme="majorHAnsi"/>
                <w:b/>
                <w:bCs/>
                <w:lang w:val="en-GB"/>
              </w:rPr>
              <w:lastRenderedPageBreak/>
              <w:t>Agree</w:t>
            </w:r>
          </w:p>
        </w:tc>
        <w:tc>
          <w:tcPr>
            <w:tcW w:w="3402" w:type="dxa"/>
          </w:tcPr>
          <w:p w14:paraId="0A3900DC" w14:textId="01BA3BE1" w:rsidR="004A5037" w:rsidRPr="001354C6" w:rsidRDefault="004A5037" w:rsidP="006735BC">
            <w:pPr>
              <w:suppressAutoHyphens/>
              <w:spacing w:before="120"/>
              <w:rPr>
                <w:rFonts w:asciiTheme="majorHAnsi" w:eastAsia="Calibri Light" w:hAnsiTheme="majorHAnsi" w:cstheme="majorHAnsi"/>
                <w:lang w:val="en-GB"/>
              </w:rPr>
            </w:pPr>
            <w:r w:rsidRPr="001354C6">
              <w:rPr>
                <w:rFonts w:asciiTheme="majorHAnsi" w:eastAsia="Calibri Light" w:hAnsiTheme="majorHAnsi" w:cstheme="majorHAnsi"/>
                <w:lang w:val="en-GB"/>
              </w:rPr>
              <w:t>DFAT recognises the importance of following response protocols to ensure appropriate targeting and timely distribution.</w:t>
            </w:r>
          </w:p>
        </w:tc>
        <w:tc>
          <w:tcPr>
            <w:tcW w:w="3969" w:type="dxa"/>
          </w:tcPr>
          <w:p w14:paraId="7FE86954" w14:textId="677B4651" w:rsidR="00E527CE" w:rsidRPr="001354C6" w:rsidRDefault="008E4140" w:rsidP="00727C78">
            <w:pPr>
              <w:suppressAutoHyphens/>
              <w:spacing w:before="120"/>
              <w:rPr>
                <w:rFonts w:asciiTheme="majorHAnsi" w:eastAsia="Calibri Light" w:hAnsiTheme="majorHAnsi" w:cstheme="majorHAnsi"/>
                <w:lang w:val="en-GB"/>
              </w:rPr>
            </w:pPr>
            <w:r w:rsidRPr="001354C6">
              <w:rPr>
                <w:rFonts w:asciiTheme="majorHAnsi" w:eastAsia="Calibri Light" w:hAnsiTheme="majorHAnsi" w:cstheme="majorHAnsi"/>
                <w:lang w:val="en-GB"/>
              </w:rPr>
              <w:t>PRC</w:t>
            </w:r>
            <w:r w:rsidR="007741AC">
              <w:rPr>
                <w:rFonts w:asciiTheme="majorHAnsi" w:eastAsia="Calibri Light" w:hAnsiTheme="majorHAnsi" w:cstheme="majorHAnsi"/>
                <w:lang w:val="en-GB"/>
              </w:rPr>
              <w:t xml:space="preserve"> is </w:t>
            </w:r>
            <w:r w:rsidR="00A062D1">
              <w:rPr>
                <w:rFonts w:asciiTheme="majorHAnsi" w:eastAsia="Calibri Light" w:hAnsiTheme="majorHAnsi" w:cstheme="majorHAnsi"/>
                <w:lang w:val="en-GB"/>
              </w:rPr>
              <w:t xml:space="preserve">encouraged to </w:t>
            </w:r>
            <w:r w:rsidRPr="001354C6">
              <w:rPr>
                <w:rFonts w:asciiTheme="majorHAnsi" w:eastAsia="Calibri Light" w:hAnsiTheme="majorHAnsi" w:cstheme="majorHAnsi"/>
                <w:lang w:val="en-GB"/>
              </w:rPr>
              <w:t xml:space="preserve">review their existing emergency protocol on cash transfers and improve internal procedures and coordination for deployment. </w:t>
            </w:r>
          </w:p>
          <w:p w14:paraId="47E29E0F" w14:textId="4D91CDAF" w:rsidR="004A5037" w:rsidRPr="001354C6" w:rsidRDefault="004A5037" w:rsidP="00727C78">
            <w:pPr>
              <w:suppressAutoHyphens/>
              <w:spacing w:before="120"/>
              <w:rPr>
                <w:rFonts w:asciiTheme="majorHAnsi" w:eastAsia="Calibri Light" w:hAnsiTheme="majorHAnsi" w:cstheme="majorHAnsi"/>
                <w:lang w:val="en-GB"/>
              </w:rPr>
            </w:pPr>
          </w:p>
        </w:tc>
        <w:tc>
          <w:tcPr>
            <w:tcW w:w="1418" w:type="dxa"/>
          </w:tcPr>
          <w:p w14:paraId="5BD690BF" w14:textId="262DD5FF" w:rsidR="00552FBC" w:rsidRPr="008E4140" w:rsidRDefault="00BC7917" w:rsidP="00192619">
            <w:pPr>
              <w:suppressAutoHyphens/>
              <w:spacing w:before="120"/>
              <w:rPr>
                <w:rFonts w:asciiTheme="majorHAnsi" w:eastAsia="Calibri Light" w:hAnsiTheme="majorHAnsi" w:cstheme="majorHAnsi"/>
                <w:lang w:val="en-GB"/>
              </w:rPr>
            </w:pPr>
            <w:r>
              <w:rPr>
                <w:rFonts w:asciiTheme="majorHAnsi" w:eastAsia="Calibri Light" w:hAnsiTheme="majorHAnsi" w:cstheme="majorHAnsi"/>
                <w:lang w:val="en-GB"/>
              </w:rPr>
              <w:lastRenderedPageBreak/>
              <w:t>April</w:t>
            </w:r>
            <w:r w:rsidRPr="008E4140">
              <w:rPr>
                <w:rFonts w:asciiTheme="majorHAnsi" w:eastAsia="Calibri Light" w:hAnsiTheme="majorHAnsi" w:cstheme="majorHAnsi"/>
                <w:lang w:val="en-GB"/>
              </w:rPr>
              <w:t xml:space="preserve"> </w:t>
            </w:r>
            <w:r w:rsidR="00192619" w:rsidRPr="008E4140">
              <w:rPr>
                <w:rFonts w:asciiTheme="majorHAnsi" w:eastAsia="Calibri Light" w:hAnsiTheme="majorHAnsi" w:cstheme="majorHAnsi"/>
                <w:lang w:val="en-GB"/>
              </w:rPr>
              <w:t xml:space="preserve">to </w:t>
            </w:r>
            <w:r w:rsidR="00BD2766">
              <w:rPr>
                <w:rFonts w:asciiTheme="majorHAnsi" w:eastAsia="Calibri Light" w:hAnsiTheme="majorHAnsi" w:cstheme="majorHAnsi"/>
                <w:lang w:val="en-GB"/>
              </w:rPr>
              <w:t>June</w:t>
            </w:r>
            <w:r w:rsidR="00BD2766" w:rsidRPr="008E4140">
              <w:rPr>
                <w:rFonts w:asciiTheme="majorHAnsi" w:eastAsia="Calibri Light" w:hAnsiTheme="majorHAnsi" w:cstheme="majorHAnsi"/>
                <w:lang w:val="en-GB"/>
              </w:rPr>
              <w:t xml:space="preserve"> </w:t>
            </w:r>
            <w:r w:rsidR="00192619" w:rsidRPr="008E4140">
              <w:rPr>
                <w:rFonts w:asciiTheme="majorHAnsi" w:eastAsia="Calibri Light" w:hAnsiTheme="majorHAnsi" w:cstheme="majorHAnsi"/>
                <w:lang w:val="en-GB"/>
              </w:rPr>
              <w:t>2023</w:t>
            </w:r>
            <w:r w:rsidR="007F6080" w:rsidRPr="008E4140">
              <w:rPr>
                <w:rFonts w:asciiTheme="majorHAnsi" w:eastAsia="Calibri Light" w:hAnsiTheme="majorHAnsi" w:cstheme="majorHAnsi"/>
                <w:lang w:val="en-GB"/>
              </w:rPr>
              <w:t xml:space="preserve"> </w:t>
            </w:r>
          </w:p>
        </w:tc>
      </w:tr>
      <w:tr w:rsidR="0063608D" w:rsidRPr="008E4140" w14:paraId="6417B76E" w14:textId="77777777" w:rsidTr="00C6630F">
        <w:tc>
          <w:tcPr>
            <w:tcW w:w="4390" w:type="dxa"/>
          </w:tcPr>
          <w:p w14:paraId="30AFCF51" w14:textId="77777777" w:rsidR="00B92CE5" w:rsidRPr="00B92CE5" w:rsidRDefault="00A1579F" w:rsidP="00B93B80">
            <w:pPr>
              <w:pStyle w:val="ListParagraph"/>
              <w:numPr>
                <w:ilvl w:val="0"/>
                <w:numId w:val="4"/>
              </w:numPr>
              <w:suppressAutoHyphens/>
              <w:spacing w:before="120"/>
              <w:rPr>
                <w:rFonts w:asciiTheme="majorHAnsi" w:eastAsia="Calibri Light" w:hAnsiTheme="majorHAnsi" w:cstheme="majorHAnsi"/>
                <w:lang w:val="en-GB"/>
              </w:rPr>
            </w:pPr>
            <w:r w:rsidRPr="001962C6">
              <w:rPr>
                <w:rFonts w:asciiTheme="majorHAnsi" w:hAnsiTheme="majorHAnsi" w:cstheme="majorHAnsi"/>
              </w:rPr>
              <w:t>PRC to address immediately the weak stock and inventory management, ensuring the inventory generates instantly the type of items, donors, and information on expiry dates. DFAT is recommended to accompany the roll out of the new inventory management system with the commissioning of a physical count of stored items.</w:t>
            </w:r>
          </w:p>
          <w:p w14:paraId="15848081" w14:textId="046F4ECF" w:rsidR="006735BC" w:rsidRPr="001962C6" w:rsidRDefault="006735BC" w:rsidP="00B92CE5">
            <w:pPr>
              <w:pStyle w:val="ListParagraph"/>
              <w:suppressAutoHyphens/>
              <w:spacing w:before="120"/>
              <w:rPr>
                <w:rFonts w:asciiTheme="majorHAnsi" w:eastAsia="Calibri Light" w:hAnsiTheme="majorHAnsi" w:cstheme="majorHAnsi"/>
                <w:lang w:val="en-GB"/>
              </w:rPr>
            </w:pPr>
          </w:p>
        </w:tc>
        <w:tc>
          <w:tcPr>
            <w:tcW w:w="1275" w:type="dxa"/>
          </w:tcPr>
          <w:p w14:paraId="1742874B" w14:textId="47775FCB" w:rsidR="006735BC" w:rsidRPr="008E4140" w:rsidRDefault="00707961" w:rsidP="006735BC">
            <w:pPr>
              <w:suppressAutoHyphens/>
              <w:spacing w:before="120"/>
              <w:rPr>
                <w:rFonts w:asciiTheme="majorHAnsi" w:eastAsia="Calibri Light" w:hAnsiTheme="majorHAnsi" w:cstheme="majorHAnsi"/>
                <w:lang w:val="en-GB"/>
              </w:rPr>
            </w:pPr>
            <w:r>
              <w:rPr>
                <w:rFonts w:asciiTheme="majorHAnsi" w:eastAsia="Calibri Light" w:hAnsiTheme="majorHAnsi" w:cstheme="majorHAnsi"/>
                <w:b/>
                <w:bCs/>
                <w:lang w:val="en-GB"/>
              </w:rPr>
              <w:t xml:space="preserve">Partially </w:t>
            </w:r>
            <w:r w:rsidR="006A5CCE" w:rsidRPr="008E4140">
              <w:rPr>
                <w:rFonts w:asciiTheme="majorHAnsi" w:eastAsia="Calibri Light" w:hAnsiTheme="majorHAnsi" w:cstheme="majorHAnsi"/>
                <w:b/>
                <w:bCs/>
                <w:lang w:val="en-GB"/>
              </w:rPr>
              <w:t>Agree</w:t>
            </w:r>
          </w:p>
        </w:tc>
        <w:tc>
          <w:tcPr>
            <w:tcW w:w="3402" w:type="dxa"/>
          </w:tcPr>
          <w:p w14:paraId="62526FBD" w14:textId="6792C82D" w:rsidR="00572377" w:rsidRPr="008E4140" w:rsidRDefault="000C0277" w:rsidP="009C6077">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 xml:space="preserve">DFAT </w:t>
            </w:r>
            <w:r w:rsidR="00073735" w:rsidRPr="008E4140">
              <w:rPr>
                <w:rFonts w:asciiTheme="majorHAnsi" w:eastAsia="Calibri Light" w:hAnsiTheme="majorHAnsi" w:cstheme="majorHAnsi"/>
                <w:lang w:val="en-GB"/>
              </w:rPr>
              <w:t>recognises the importance of i</w:t>
            </w:r>
            <w:r w:rsidR="00E1107C" w:rsidRPr="008E4140">
              <w:rPr>
                <w:rFonts w:asciiTheme="majorHAnsi" w:eastAsia="Calibri Light" w:hAnsiTheme="majorHAnsi" w:cstheme="majorHAnsi"/>
                <w:lang w:val="en-GB"/>
              </w:rPr>
              <w:t xml:space="preserve">mproving and ensuring that </w:t>
            </w:r>
            <w:r w:rsidR="00FC54E9" w:rsidRPr="008E4140">
              <w:rPr>
                <w:rFonts w:asciiTheme="majorHAnsi" w:eastAsia="Calibri Light" w:hAnsiTheme="majorHAnsi" w:cstheme="majorHAnsi"/>
                <w:lang w:val="en-GB"/>
              </w:rPr>
              <w:t>s</w:t>
            </w:r>
            <w:r w:rsidR="00E1107C" w:rsidRPr="008E4140">
              <w:rPr>
                <w:rFonts w:asciiTheme="majorHAnsi" w:eastAsia="Calibri Light" w:hAnsiTheme="majorHAnsi" w:cstheme="majorHAnsi"/>
                <w:lang w:val="en-GB"/>
              </w:rPr>
              <w:t xml:space="preserve">tock and </w:t>
            </w:r>
            <w:r w:rsidR="00F566AB" w:rsidRPr="008E4140">
              <w:rPr>
                <w:rFonts w:asciiTheme="majorHAnsi" w:eastAsia="Calibri Light" w:hAnsiTheme="majorHAnsi" w:cstheme="majorHAnsi"/>
                <w:lang w:val="en-GB"/>
              </w:rPr>
              <w:t>inventory management is accurate</w:t>
            </w:r>
            <w:r w:rsidR="00FC53D2" w:rsidRPr="008E4140">
              <w:rPr>
                <w:rFonts w:asciiTheme="majorHAnsi" w:eastAsia="Calibri Light" w:hAnsiTheme="majorHAnsi" w:cstheme="majorHAnsi"/>
                <w:lang w:val="en-GB"/>
              </w:rPr>
              <w:t xml:space="preserve">, updated, </w:t>
            </w:r>
            <w:r w:rsidR="00F566AB" w:rsidRPr="008E4140">
              <w:rPr>
                <w:rFonts w:asciiTheme="majorHAnsi" w:eastAsia="Calibri Light" w:hAnsiTheme="majorHAnsi" w:cstheme="majorHAnsi"/>
                <w:lang w:val="en-GB"/>
              </w:rPr>
              <w:t>and validated</w:t>
            </w:r>
            <w:r w:rsidR="00463CB2" w:rsidRPr="008E4140">
              <w:rPr>
                <w:rFonts w:asciiTheme="majorHAnsi" w:eastAsia="Calibri Light" w:hAnsiTheme="majorHAnsi" w:cstheme="majorHAnsi"/>
                <w:lang w:val="en-GB"/>
              </w:rPr>
              <w:t>.</w:t>
            </w:r>
          </w:p>
          <w:p w14:paraId="6E4D0516" w14:textId="1286BD49" w:rsidR="00BB13CD" w:rsidRPr="008E4140" w:rsidRDefault="00BB13CD" w:rsidP="007006AA">
            <w:pPr>
              <w:suppressAutoHyphens/>
              <w:spacing w:before="120"/>
              <w:rPr>
                <w:rFonts w:asciiTheme="majorHAnsi" w:eastAsia="Calibri Light" w:hAnsiTheme="majorHAnsi" w:cstheme="majorHAnsi"/>
                <w:lang w:val="en-GB"/>
              </w:rPr>
            </w:pPr>
          </w:p>
        </w:tc>
        <w:tc>
          <w:tcPr>
            <w:tcW w:w="3969" w:type="dxa"/>
          </w:tcPr>
          <w:p w14:paraId="1A0DCD01" w14:textId="39F66523" w:rsidR="00C42E28" w:rsidRPr="008E4140" w:rsidRDefault="00C855A7" w:rsidP="00026A19">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PRC is committed to</w:t>
            </w:r>
            <w:r w:rsidR="00A46163" w:rsidRPr="008E4140">
              <w:rPr>
                <w:rFonts w:asciiTheme="majorHAnsi" w:eastAsia="Calibri Light" w:hAnsiTheme="majorHAnsi" w:cstheme="majorHAnsi"/>
                <w:lang w:val="en-GB"/>
              </w:rPr>
              <w:t xml:space="preserve"> </w:t>
            </w:r>
            <w:r w:rsidR="008535D3" w:rsidRPr="008E4140">
              <w:rPr>
                <w:rFonts w:asciiTheme="majorHAnsi" w:eastAsia="Calibri Light" w:hAnsiTheme="majorHAnsi" w:cstheme="majorHAnsi"/>
                <w:lang w:val="en-GB"/>
              </w:rPr>
              <w:t>addres</w:t>
            </w:r>
            <w:r w:rsidR="00746317" w:rsidRPr="008E4140">
              <w:rPr>
                <w:rFonts w:asciiTheme="majorHAnsi" w:eastAsia="Calibri Light" w:hAnsiTheme="majorHAnsi" w:cstheme="majorHAnsi"/>
                <w:lang w:val="en-GB"/>
              </w:rPr>
              <w:t>s</w:t>
            </w:r>
            <w:r w:rsidR="008535D3" w:rsidRPr="008E4140">
              <w:rPr>
                <w:rFonts w:asciiTheme="majorHAnsi" w:eastAsia="Calibri Light" w:hAnsiTheme="majorHAnsi" w:cstheme="majorHAnsi"/>
                <w:lang w:val="en-GB"/>
              </w:rPr>
              <w:t xml:space="preserve"> this recommendation</w:t>
            </w:r>
            <w:r w:rsidR="006C5B41" w:rsidRPr="008E4140">
              <w:rPr>
                <w:rFonts w:asciiTheme="majorHAnsi" w:eastAsia="Calibri Light" w:hAnsiTheme="majorHAnsi" w:cstheme="majorHAnsi"/>
                <w:lang w:val="en-GB"/>
              </w:rPr>
              <w:t xml:space="preserve"> </w:t>
            </w:r>
            <w:r w:rsidR="00FB2D8C" w:rsidRPr="008E4140">
              <w:rPr>
                <w:rFonts w:asciiTheme="majorHAnsi" w:eastAsia="Calibri Light" w:hAnsiTheme="majorHAnsi" w:cstheme="majorHAnsi"/>
                <w:lang w:val="en-GB"/>
              </w:rPr>
              <w:t xml:space="preserve">by training </w:t>
            </w:r>
            <w:r w:rsidR="00D60FBA" w:rsidRPr="008E4140">
              <w:rPr>
                <w:rFonts w:asciiTheme="majorHAnsi" w:eastAsia="Calibri Light" w:hAnsiTheme="majorHAnsi" w:cstheme="majorHAnsi"/>
                <w:lang w:val="en-GB"/>
              </w:rPr>
              <w:t xml:space="preserve">staff </w:t>
            </w:r>
            <w:r w:rsidR="006C5B41" w:rsidRPr="008E4140">
              <w:rPr>
                <w:rFonts w:asciiTheme="majorHAnsi" w:eastAsia="Calibri Light" w:hAnsiTheme="majorHAnsi" w:cstheme="majorHAnsi"/>
                <w:lang w:val="en-GB"/>
              </w:rPr>
              <w:t>on stock inventory and management</w:t>
            </w:r>
            <w:r w:rsidR="00D60FBA" w:rsidRPr="008E4140">
              <w:rPr>
                <w:rFonts w:asciiTheme="majorHAnsi" w:eastAsia="Calibri Light" w:hAnsiTheme="majorHAnsi" w:cstheme="majorHAnsi"/>
                <w:lang w:val="en-GB"/>
              </w:rPr>
              <w:t xml:space="preserve">; and invest on </w:t>
            </w:r>
            <w:r w:rsidR="006F52B1" w:rsidRPr="008E4140">
              <w:rPr>
                <w:rFonts w:asciiTheme="majorHAnsi" w:eastAsia="Calibri Light" w:hAnsiTheme="majorHAnsi" w:cstheme="majorHAnsi"/>
                <w:lang w:val="en-GB"/>
              </w:rPr>
              <w:t xml:space="preserve">a </w:t>
            </w:r>
            <w:r w:rsidR="00FF3265" w:rsidRPr="008E4140">
              <w:rPr>
                <w:rFonts w:asciiTheme="majorHAnsi" w:eastAsia="Calibri Light" w:hAnsiTheme="majorHAnsi" w:cstheme="majorHAnsi"/>
                <w:lang w:val="en-GB"/>
              </w:rPr>
              <w:t xml:space="preserve">digital </w:t>
            </w:r>
            <w:r w:rsidR="002211EA" w:rsidRPr="008E4140">
              <w:rPr>
                <w:rFonts w:asciiTheme="majorHAnsi" w:eastAsia="Calibri Light" w:hAnsiTheme="majorHAnsi" w:cstheme="majorHAnsi"/>
                <w:lang w:val="en-GB"/>
              </w:rPr>
              <w:t>inven</w:t>
            </w:r>
            <w:r w:rsidR="00FF3265" w:rsidRPr="008E4140">
              <w:rPr>
                <w:rFonts w:asciiTheme="majorHAnsi" w:eastAsia="Calibri Light" w:hAnsiTheme="majorHAnsi" w:cstheme="majorHAnsi"/>
                <w:lang w:val="en-GB"/>
              </w:rPr>
              <w:t xml:space="preserve">tory management </w:t>
            </w:r>
            <w:r w:rsidR="006C5B41" w:rsidRPr="008E4140">
              <w:rPr>
                <w:rFonts w:asciiTheme="majorHAnsi" w:eastAsia="Calibri Light" w:hAnsiTheme="majorHAnsi" w:cstheme="majorHAnsi"/>
                <w:lang w:val="en-GB"/>
              </w:rPr>
              <w:t>application</w:t>
            </w:r>
            <w:r w:rsidR="00FF3265" w:rsidRPr="008E4140">
              <w:rPr>
                <w:rFonts w:asciiTheme="majorHAnsi" w:eastAsia="Calibri Light" w:hAnsiTheme="majorHAnsi" w:cstheme="majorHAnsi"/>
                <w:lang w:val="en-GB"/>
              </w:rPr>
              <w:t>/software</w:t>
            </w:r>
            <w:r w:rsidR="00FB2D8C" w:rsidRPr="008E4140">
              <w:rPr>
                <w:rFonts w:asciiTheme="majorHAnsi" w:eastAsia="Calibri Light" w:hAnsiTheme="majorHAnsi" w:cstheme="majorHAnsi"/>
                <w:lang w:val="en-GB"/>
              </w:rPr>
              <w:t xml:space="preserve">. </w:t>
            </w:r>
          </w:p>
          <w:p w14:paraId="1BC909B7" w14:textId="5FB2DABD" w:rsidR="00CF4002" w:rsidRPr="008E4140" w:rsidRDefault="002F6B3D" w:rsidP="00242CED">
            <w:pPr>
              <w:suppressAutoHyphens/>
              <w:spacing w:before="120"/>
              <w:rPr>
                <w:rFonts w:asciiTheme="majorHAnsi" w:eastAsia="Calibri Light" w:hAnsiTheme="majorHAnsi" w:cstheme="majorHAnsi"/>
                <w:lang w:val="en-GB"/>
              </w:rPr>
            </w:pPr>
            <w:r>
              <w:rPr>
                <w:rFonts w:asciiTheme="majorHAnsi" w:eastAsia="Calibri Light" w:hAnsiTheme="majorHAnsi" w:cstheme="majorHAnsi"/>
                <w:lang w:val="en-GB"/>
              </w:rPr>
              <w:t xml:space="preserve">DFAT will work with </w:t>
            </w:r>
            <w:r w:rsidR="00370A0D" w:rsidRPr="008E4140">
              <w:rPr>
                <w:rFonts w:asciiTheme="majorHAnsi" w:eastAsia="Calibri Light" w:hAnsiTheme="majorHAnsi" w:cstheme="majorHAnsi"/>
                <w:lang w:val="en-GB"/>
              </w:rPr>
              <w:t xml:space="preserve">PRC </w:t>
            </w:r>
            <w:r>
              <w:rPr>
                <w:rFonts w:asciiTheme="majorHAnsi" w:eastAsia="Calibri Light" w:hAnsiTheme="majorHAnsi" w:cstheme="majorHAnsi"/>
                <w:lang w:val="en-GB"/>
              </w:rPr>
              <w:t>to</w:t>
            </w:r>
            <w:r w:rsidRPr="008E4140">
              <w:rPr>
                <w:rFonts w:asciiTheme="majorHAnsi" w:eastAsia="Calibri Light" w:hAnsiTheme="majorHAnsi" w:cstheme="majorHAnsi"/>
                <w:lang w:val="en-GB"/>
              </w:rPr>
              <w:t xml:space="preserve"> </w:t>
            </w:r>
            <w:r w:rsidR="00370A0D" w:rsidRPr="008E4140">
              <w:rPr>
                <w:rFonts w:asciiTheme="majorHAnsi" w:eastAsia="Calibri Light" w:hAnsiTheme="majorHAnsi" w:cstheme="majorHAnsi"/>
                <w:lang w:val="en-GB"/>
              </w:rPr>
              <w:t xml:space="preserve">ensure the roll out of the new inventory management system </w:t>
            </w:r>
            <w:r w:rsidR="00D94B00" w:rsidRPr="008E4140">
              <w:rPr>
                <w:rFonts w:asciiTheme="majorHAnsi" w:eastAsia="Calibri Light" w:hAnsiTheme="majorHAnsi" w:cstheme="majorHAnsi"/>
                <w:lang w:val="en-GB"/>
              </w:rPr>
              <w:t xml:space="preserve">is </w:t>
            </w:r>
            <w:r w:rsidR="00A807F1">
              <w:rPr>
                <w:rFonts w:asciiTheme="majorHAnsi" w:eastAsia="Calibri Light" w:hAnsiTheme="majorHAnsi" w:cstheme="majorHAnsi"/>
                <w:lang w:val="en-GB"/>
              </w:rPr>
              <w:t>properly implemented and accounts for DFAT stocks. DFAT will</w:t>
            </w:r>
            <w:r w:rsidR="00A34AF1" w:rsidRPr="008E4140">
              <w:rPr>
                <w:rFonts w:asciiTheme="majorHAnsi" w:eastAsia="Calibri Light" w:hAnsiTheme="majorHAnsi" w:cstheme="majorHAnsi"/>
                <w:lang w:val="en-GB"/>
              </w:rPr>
              <w:t xml:space="preserve"> </w:t>
            </w:r>
            <w:r w:rsidR="00A807F1">
              <w:rPr>
                <w:rFonts w:asciiTheme="majorHAnsi" w:eastAsia="Calibri Light" w:hAnsiTheme="majorHAnsi" w:cstheme="majorHAnsi"/>
                <w:lang w:val="en-GB"/>
              </w:rPr>
              <w:t xml:space="preserve">encourage the </w:t>
            </w:r>
            <w:r w:rsidR="00A34AF1" w:rsidRPr="008E4140">
              <w:rPr>
                <w:rFonts w:asciiTheme="majorHAnsi" w:eastAsia="Calibri Light" w:hAnsiTheme="majorHAnsi" w:cstheme="majorHAnsi"/>
                <w:lang w:val="en-GB"/>
              </w:rPr>
              <w:t>commission</w:t>
            </w:r>
            <w:r w:rsidR="00A807F1">
              <w:rPr>
                <w:rFonts w:asciiTheme="majorHAnsi" w:eastAsia="Calibri Light" w:hAnsiTheme="majorHAnsi" w:cstheme="majorHAnsi"/>
                <w:lang w:val="en-GB"/>
              </w:rPr>
              <w:t>ing of</w:t>
            </w:r>
            <w:r w:rsidR="00A34AF1" w:rsidRPr="008E4140">
              <w:rPr>
                <w:rFonts w:asciiTheme="majorHAnsi" w:eastAsia="Calibri Light" w:hAnsiTheme="majorHAnsi" w:cstheme="majorHAnsi"/>
                <w:lang w:val="en-GB"/>
              </w:rPr>
              <w:t xml:space="preserve"> an independent audit of the </w:t>
            </w:r>
            <w:r w:rsidR="00A807F1">
              <w:rPr>
                <w:rFonts w:asciiTheme="majorHAnsi" w:eastAsia="Calibri Light" w:hAnsiTheme="majorHAnsi" w:cstheme="majorHAnsi"/>
                <w:lang w:val="en-GB"/>
              </w:rPr>
              <w:t xml:space="preserve">transfer of </w:t>
            </w:r>
            <w:r w:rsidR="00B941C9">
              <w:rPr>
                <w:rFonts w:asciiTheme="majorHAnsi" w:eastAsia="Calibri Light" w:hAnsiTheme="majorHAnsi" w:cstheme="majorHAnsi"/>
                <w:lang w:val="en-GB"/>
              </w:rPr>
              <w:t>stocks, including DFAT’s,</w:t>
            </w:r>
            <w:r w:rsidR="00A807F1">
              <w:rPr>
                <w:rFonts w:asciiTheme="majorHAnsi" w:eastAsia="Calibri Light" w:hAnsiTheme="majorHAnsi" w:cstheme="majorHAnsi"/>
                <w:lang w:val="en-GB"/>
              </w:rPr>
              <w:t xml:space="preserve"> into the new digital system.</w:t>
            </w:r>
            <w:r w:rsidR="00C6630F">
              <w:rPr>
                <w:rFonts w:asciiTheme="majorHAnsi" w:eastAsia="Calibri Light" w:hAnsiTheme="majorHAnsi" w:cstheme="majorHAnsi"/>
                <w:lang w:val="en-GB"/>
              </w:rPr>
              <w:br/>
            </w:r>
          </w:p>
        </w:tc>
        <w:tc>
          <w:tcPr>
            <w:tcW w:w="1418" w:type="dxa"/>
          </w:tcPr>
          <w:p w14:paraId="0A867A8A" w14:textId="5E200329" w:rsidR="00E85675" w:rsidRPr="008E4140" w:rsidRDefault="00BC7917" w:rsidP="007F6080">
            <w:pPr>
              <w:suppressAutoHyphens/>
              <w:spacing w:before="120"/>
              <w:rPr>
                <w:rFonts w:asciiTheme="majorHAnsi" w:eastAsia="Calibri Light" w:hAnsiTheme="majorHAnsi" w:cstheme="majorHAnsi"/>
                <w:lang w:val="en-GB"/>
              </w:rPr>
            </w:pPr>
            <w:r w:rsidRPr="00BC7917">
              <w:rPr>
                <w:rFonts w:asciiTheme="majorHAnsi" w:eastAsia="Calibri Light" w:hAnsiTheme="majorHAnsi" w:cstheme="majorHAnsi"/>
                <w:lang w:val="en-GB"/>
              </w:rPr>
              <w:t>April</w:t>
            </w:r>
            <w:r w:rsidR="00192619" w:rsidRPr="008E4140">
              <w:rPr>
                <w:rFonts w:asciiTheme="majorHAnsi" w:eastAsia="Calibri Light" w:hAnsiTheme="majorHAnsi" w:cstheme="majorHAnsi"/>
                <w:lang w:val="en-GB"/>
              </w:rPr>
              <w:t xml:space="preserve"> to June 2023 </w:t>
            </w:r>
          </w:p>
        </w:tc>
      </w:tr>
      <w:tr w:rsidR="0063608D" w:rsidRPr="008E4140" w14:paraId="4787043F" w14:textId="77777777" w:rsidTr="00C6630F">
        <w:tc>
          <w:tcPr>
            <w:tcW w:w="4390" w:type="dxa"/>
          </w:tcPr>
          <w:p w14:paraId="7CE4D2BF" w14:textId="6B7E7E6B" w:rsidR="00020AF8" w:rsidRPr="00C6630F" w:rsidRDefault="00020AF8" w:rsidP="00C6630F">
            <w:pPr>
              <w:pStyle w:val="ListParagraph"/>
              <w:numPr>
                <w:ilvl w:val="0"/>
                <w:numId w:val="4"/>
              </w:numPr>
              <w:suppressAutoHyphens/>
              <w:spacing w:before="120"/>
              <w:rPr>
                <w:rFonts w:asciiTheme="majorHAnsi" w:eastAsia="Calibri Light" w:hAnsiTheme="majorHAnsi" w:cstheme="majorHAnsi"/>
                <w:lang w:val="en-GB"/>
              </w:rPr>
            </w:pPr>
            <w:r w:rsidRPr="001962C6">
              <w:rPr>
                <w:rFonts w:asciiTheme="majorHAnsi" w:eastAsia="Calibri Light" w:hAnsiTheme="majorHAnsi" w:cstheme="majorHAnsi"/>
                <w:lang w:val="en-GB"/>
              </w:rPr>
              <w:t xml:space="preserve">PRC and DFAT to establish a standard process to ensure due diligence in the delivery of relief support. </w:t>
            </w:r>
            <w:r w:rsidR="00DA14E5" w:rsidRPr="001962C6">
              <w:rPr>
                <w:rFonts w:asciiTheme="majorHAnsi" w:hAnsiTheme="majorHAnsi" w:cstheme="majorHAnsi"/>
              </w:rPr>
              <w:t>PRC to develop a beneficiary selection checklist for the team leaders and members that helps them in the conduct of due diligence</w:t>
            </w:r>
            <w:r w:rsidR="0076004C">
              <w:rPr>
                <w:rFonts w:asciiTheme="majorHAnsi" w:hAnsiTheme="majorHAnsi" w:cstheme="majorHAnsi"/>
              </w:rPr>
              <w:t xml:space="preserve"> and </w:t>
            </w:r>
            <w:r w:rsidR="00DA14E5" w:rsidRPr="001962C6">
              <w:rPr>
                <w:rFonts w:asciiTheme="majorHAnsi" w:hAnsiTheme="majorHAnsi" w:cstheme="majorHAnsi"/>
              </w:rPr>
              <w:t xml:space="preserve">document </w:t>
            </w:r>
            <w:r w:rsidR="00DA14E5" w:rsidRPr="00E44514">
              <w:rPr>
                <w:rFonts w:asciiTheme="majorHAnsi" w:hAnsiTheme="majorHAnsi" w:cstheme="majorHAnsi"/>
              </w:rPr>
              <w:t xml:space="preserve">the procedures and </w:t>
            </w:r>
            <w:r w:rsidR="00DA14E5" w:rsidRPr="00E44514">
              <w:rPr>
                <w:rFonts w:asciiTheme="majorHAnsi" w:hAnsiTheme="majorHAnsi" w:cstheme="majorHAnsi"/>
              </w:rPr>
              <w:lastRenderedPageBreak/>
              <w:t>deviations from the process.</w:t>
            </w:r>
            <w:r w:rsidR="00DA14E5">
              <w:rPr>
                <w:rFonts w:asciiTheme="majorHAnsi" w:hAnsiTheme="majorHAnsi" w:cstheme="majorHAnsi"/>
              </w:rPr>
              <w:t xml:space="preserve"> </w:t>
            </w:r>
            <w:r w:rsidR="00DA14E5">
              <w:rPr>
                <w:rFonts w:asciiTheme="majorHAnsi" w:eastAsia="Calibri Light" w:hAnsiTheme="majorHAnsi" w:cstheme="majorHAnsi"/>
                <w:lang w:val="en-GB"/>
              </w:rPr>
              <w:t xml:space="preserve">PRC </w:t>
            </w:r>
            <w:r w:rsidR="00DA14E5" w:rsidRPr="001962C6">
              <w:rPr>
                <w:rFonts w:asciiTheme="majorHAnsi" w:eastAsia="Calibri Light" w:hAnsiTheme="majorHAnsi" w:cstheme="majorHAnsi"/>
                <w:lang w:val="en-GB"/>
              </w:rPr>
              <w:t xml:space="preserve">needs to </w:t>
            </w:r>
            <w:r w:rsidR="00DA14E5">
              <w:rPr>
                <w:rFonts w:asciiTheme="majorHAnsi" w:eastAsia="Calibri Light" w:hAnsiTheme="majorHAnsi" w:cstheme="majorHAnsi"/>
                <w:lang w:val="en-GB"/>
              </w:rPr>
              <w:t>ensure</w:t>
            </w:r>
            <w:r w:rsidR="00DA14E5" w:rsidRPr="001962C6">
              <w:rPr>
                <w:rFonts w:asciiTheme="majorHAnsi" w:eastAsia="Calibri Light" w:hAnsiTheme="majorHAnsi" w:cstheme="majorHAnsi"/>
                <w:lang w:val="en-GB"/>
              </w:rPr>
              <w:t xml:space="preserve"> </w:t>
            </w:r>
            <w:r w:rsidR="00DA14E5">
              <w:rPr>
                <w:rFonts w:asciiTheme="majorHAnsi" w:eastAsia="Calibri Light" w:hAnsiTheme="majorHAnsi" w:cstheme="majorHAnsi"/>
                <w:lang w:val="en-GB"/>
              </w:rPr>
              <w:t xml:space="preserve">compliance </w:t>
            </w:r>
            <w:r w:rsidR="00322F2F">
              <w:rPr>
                <w:rFonts w:asciiTheme="majorHAnsi" w:eastAsia="Calibri Light" w:hAnsiTheme="majorHAnsi" w:cstheme="majorHAnsi"/>
                <w:lang w:val="en-GB"/>
              </w:rPr>
              <w:t>with</w:t>
            </w:r>
            <w:r w:rsidR="00DA14E5">
              <w:rPr>
                <w:rFonts w:asciiTheme="majorHAnsi" w:eastAsia="Calibri Light" w:hAnsiTheme="majorHAnsi" w:cstheme="majorHAnsi"/>
                <w:lang w:val="en-GB"/>
              </w:rPr>
              <w:t xml:space="preserve"> </w:t>
            </w:r>
            <w:r w:rsidR="00322F2F">
              <w:rPr>
                <w:rFonts w:asciiTheme="majorHAnsi" w:eastAsia="Calibri Light" w:hAnsiTheme="majorHAnsi" w:cstheme="majorHAnsi"/>
                <w:lang w:val="en-GB"/>
              </w:rPr>
              <w:t xml:space="preserve">its </w:t>
            </w:r>
            <w:r w:rsidR="00DA14E5">
              <w:rPr>
                <w:rFonts w:asciiTheme="majorHAnsi" w:eastAsia="Calibri Light" w:hAnsiTheme="majorHAnsi" w:cstheme="majorHAnsi"/>
                <w:lang w:val="en-GB"/>
              </w:rPr>
              <w:t>internal protocols to facilitate DFAT support and help</w:t>
            </w:r>
            <w:r w:rsidR="004A3448">
              <w:rPr>
                <w:rFonts w:asciiTheme="majorHAnsi" w:eastAsia="Calibri Light" w:hAnsiTheme="majorHAnsi" w:cstheme="majorHAnsi"/>
                <w:lang w:val="en-GB"/>
              </w:rPr>
              <w:t xml:space="preserve"> </w:t>
            </w:r>
            <w:r w:rsidR="00DA14E5">
              <w:rPr>
                <w:rFonts w:asciiTheme="majorHAnsi" w:eastAsia="Calibri Light" w:hAnsiTheme="majorHAnsi" w:cstheme="majorHAnsi"/>
                <w:lang w:val="en-GB"/>
              </w:rPr>
              <w:t>affected population</w:t>
            </w:r>
            <w:r w:rsidR="00322F2F">
              <w:rPr>
                <w:rFonts w:asciiTheme="majorHAnsi" w:eastAsia="Calibri Light" w:hAnsiTheme="majorHAnsi" w:cstheme="majorHAnsi"/>
                <w:lang w:val="en-GB"/>
              </w:rPr>
              <w:t>s as soon as reasonably possible</w:t>
            </w:r>
            <w:r w:rsidR="00DA14E5">
              <w:rPr>
                <w:rFonts w:asciiTheme="majorHAnsi" w:eastAsia="Calibri Light" w:hAnsiTheme="majorHAnsi" w:cstheme="majorHAnsi"/>
                <w:lang w:val="en-GB"/>
              </w:rPr>
              <w:t>.</w:t>
            </w:r>
            <w:r w:rsidR="00C6630F">
              <w:rPr>
                <w:rFonts w:asciiTheme="majorHAnsi" w:eastAsia="Calibri Light" w:hAnsiTheme="majorHAnsi" w:cstheme="majorHAnsi"/>
                <w:lang w:val="en-GB"/>
              </w:rPr>
              <w:br/>
            </w:r>
          </w:p>
        </w:tc>
        <w:tc>
          <w:tcPr>
            <w:tcW w:w="1275" w:type="dxa"/>
          </w:tcPr>
          <w:p w14:paraId="7175D6C8" w14:textId="680E27F1" w:rsidR="006735BC" w:rsidRPr="008E4140" w:rsidRDefault="006C08D8" w:rsidP="006735BC">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b/>
                <w:bCs/>
                <w:lang w:val="en-GB"/>
              </w:rPr>
              <w:lastRenderedPageBreak/>
              <w:t xml:space="preserve">Partially </w:t>
            </w:r>
            <w:r w:rsidR="006735BC" w:rsidRPr="008E4140">
              <w:rPr>
                <w:rFonts w:asciiTheme="majorHAnsi" w:eastAsia="Calibri Light" w:hAnsiTheme="majorHAnsi" w:cstheme="majorHAnsi"/>
                <w:b/>
                <w:bCs/>
                <w:lang w:val="en-GB"/>
              </w:rPr>
              <w:t>Agree</w:t>
            </w:r>
          </w:p>
        </w:tc>
        <w:tc>
          <w:tcPr>
            <w:tcW w:w="3402" w:type="dxa"/>
          </w:tcPr>
          <w:p w14:paraId="2352CEF0" w14:textId="17634408" w:rsidR="00254033" w:rsidRPr="008E4140" w:rsidRDefault="00831CFA" w:rsidP="00831CFA">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 xml:space="preserve">DFAT </w:t>
            </w:r>
            <w:r w:rsidR="00A34AF1" w:rsidRPr="008E4140">
              <w:rPr>
                <w:rFonts w:asciiTheme="majorHAnsi" w:eastAsia="Calibri Light" w:hAnsiTheme="majorHAnsi" w:cstheme="majorHAnsi"/>
                <w:lang w:val="en-GB"/>
              </w:rPr>
              <w:t>relies on PRC</w:t>
            </w:r>
            <w:r w:rsidR="00254033" w:rsidRPr="008E4140">
              <w:rPr>
                <w:rFonts w:asciiTheme="majorHAnsi" w:eastAsia="Calibri Light" w:hAnsiTheme="majorHAnsi" w:cstheme="majorHAnsi"/>
                <w:lang w:val="en-GB"/>
              </w:rPr>
              <w:t xml:space="preserve"> to have established minimum standards of assessment t</w:t>
            </w:r>
            <w:r w:rsidR="00192619" w:rsidRPr="008E4140">
              <w:rPr>
                <w:rFonts w:asciiTheme="majorHAnsi" w:eastAsia="Calibri Light" w:hAnsiTheme="majorHAnsi" w:cstheme="majorHAnsi"/>
                <w:lang w:val="en-GB"/>
              </w:rPr>
              <w:t>hat support their request for deployment, including target groups.</w:t>
            </w:r>
          </w:p>
          <w:p w14:paraId="50BD97FD" w14:textId="08BD6D5B" w:rsidR="006735BC" w:rsidRPr="008E4140" w:rsidRDefault="006735BC" w:rsidP="00831CFA">
            <w:pPr>
              <w:suppressAutoHyphens/>
              <w:spacing w:before="120"/>
              <w:rPr>
                <w:rFonts w:asciiTheme="majorHAnsi" w:eastAsia="Calibri Light" w:hAnsiTheme="majorHAnsi" w:cstheme="majorHAnsi"/>
                <w:lang w:val="en-GB"/>
              </w:rPr>
            </w:pPr>
          </w:p>
        </w:tc>
        <w:tc>
          <w:tcPr>
            <w:tcW w:w="3969" w:type="dxa"/>
          </w:tcPr>
          <w:p w14:paraId="46A6BFBC" w14:textId="6618F501" w:rsidR="00192619" w:rsidRPr="008E4140" w:rsidRDefault="00521AA0" w:rsidP="00192619">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 xml:space="preserve">PRC </w:t>
            </w:r>
            <w:r w:rsidR="00320A1C" w:rsidRPr="008E4140">
              <w:rPr>
                <w:rFonts w:asciiTheme="majorHAnsi" w:eastAsia="Calibri Light" w:hAnsiTheme="majorHAnsi" w:cstheme="majorHAnsi"/>
                <w:lang w:val="en-GB"/>
              </w:rPr>
              <w:t>is</w:t>
            </w:r>
            <w:r w:rsidR="00F030A7" w:rsidRPr="008E4140">
              <w:rPr>
                <w:rFonts w:asciiTheme="majorHAnsi" w:eastAsia="Calibri Light" w:hAnsiTheme="majorHAnsi" w:cstheme="majorHAnsi"/>
                <w:lang w:val="en-GB"/>
              </w:rPr>
              <w:t xml:space="preserve"> </w:t>
            </w:r>
            <w:r w:rsidR="00A062D1">
              <w:rPr>
                <w:rFonts w:asciiTheme="majorHAnsi" w:eastAsia="Calibri Light" w:hAnsiTheme="majorHAnsi" w:cstheme="majorHAnsi"/>
                <w:lang w:val="en-GB"/>
              </w:rPr>
              <w:t xml:space="preserve">expected to </w:t>
            </w:r>
            <w:r w:rsidR="00A65394" w:rsidRPr="008E4140">
              <w:rPr>
                <w:rFonts w:asciiTheme="majorHAnsi" w:eastAsia="Calibri Light" w:hAnsiTheme="majorHAnsi" w:cstheme="majorHAnsi"/>
                <w:lang w:val="en-GB"/>
              </w:rPr>
              <w:t>strictly implement</w:t>
            </w:r>
            <w:r w:rsidR="00F030A7" w:rsidRPr="008E4140">
              <w:rPr>
                <w:rFonts w:asciiTheme="majorHAnsi" w:eastAsia="Calibri Light" w:hAnsiTheme="majorHAnsi" w:cstheme="majorHAnsi"/>
                <w:lang w:val="en-GB"/>
              </w:rPr>
              <w:t xml:space="preserve"> the existing minimum standards of assessment for targeting</w:t>
            </w:r>
            <w:r w:rsidR="00E16FD1" w:rsidRPr="008E4140">
              <w:rPr>
                <w:rFonts w:asciiTheme="majorHAnsi" w:eastAsia="Calibri Light" w:hAnsiTheme="majorHAnsi" w:cstheme="majorHAnsi"/>
                <w:lang w:val="en-GB"/>
              </w:rPr>
              <w:t>, delivery mechanism, and distribution activities</w:t>
            </w:r>
            <w:r w:rsidR="00DA14E5">
              <w:rPr>
                <w:rFonts w:asciiTheme="majorHAnsi" w:eastAsia="Calibri Light" w:hAnsiTheme="majorHAnsi" w:cstheme="majorHAnsi"/>
                <w:lang w:val="en-GB"/>
              </w:rPr>
              <w:t xml:space="preserve">; and </w:t>
            </w:r>
            <w:r w:rsidR="00DA14E5" w:rsidRPr="008E4140">
              <w:rPr>
                <w:rFonts w:asciiTheme="majorHAnsi" w:eastAsia="Calibri Light" w:hAnsiTheme="majorHAnsi" w:cstheme="majorHAnsi"/>
                <w:lang w:val="en-GB"/>
              </w:rPr>
              <w:t>ensur</w:t>
            </w:r>
            <w:r w:rsidR="00DA14E5">
              <w:rPr>
                <w:rFonts w:asciiTheme="majorHAnsi" w:eastAsia="Calibri Light" w:hAnsiTheme="majorHAnsi" w:cstheme="majorHAnsi"/>
                <w:lang w:val="en-GB"/>
              </w:rPr>
              <w:t>e</w:t>
            </w:r>
            <w:r w:rsidR="00DA14E5" w:rsidRPr="008E4140">
              <w:rPr>
                <w:rFonts w:asciiTheme="majorHAnsi" w:eastAsia="Calibri Light" w:hAnsiTheme="majorHAnsi" w:cstheme="majorHAnsi"/>
                <w:lang w:val="en-GB"/>
              </w:rPr>
              <w:t xml:space="preserve"> proper documentation of the procedure.</w:t>
            </w:r>
          </w:p>
          <w:p w14:paraId="147C9CF4" w14:textId="1D07FBEA" w:rsidR="00ED3B09" w:rsidRPr="008E4140" w:rsidRDefault="00ED3B09" w:rsidP="00192619">
            <w:pPr>
              <w:suppressAutoHyphens/>
              <w:spacing w:before="120"/>
              <w:rPr>
                <w:rFonts w:asciiTheme="majorHAnsi" w:eastAsia="Calibri Light" w:hAnsiTheme="majorHAnsi" w:cstheme="majorHAnsi"/>
                <w:lang w:val="en-GB"/>
              </w:rPr>
            </w:pPr>
          </w:p>
        </w:tc>
        <w:tc>
          <w:tcPr>
            <w:tcW w:w="1418" w:type="dxa"/>
          </w:tcPr>
          <w:p w14:paraId="0B9E0087" w14:textId="56580936" w:rsidR="006735BC" w:rsidRPr="008E4140" w:rsidRDefault="00BC7917" w:rsidP="006735BC">
            <w:pPr>
              <w:suppressAutoHyphens/>
              <w:spacing w:before="120"/>
              <w:rPr>
                <w:rFonts w:asciiTheme="majorHAnsi" w:eastAsia="Calibri Light" w:hAnsiTheme="majorHAnsi" w:cstheme="majorHAnsi"/>
                <w:lang w:val="en-GB"/>
              </w:rPr>
            </w:pPr>
            <w:r w:rsidRPr="00BC7917">
              <w:rPr>
                <w:rFonts w:asciiTheme="majorHAnsi" w:eastAsia="Calibri Light" w:hAnsiTheme="majorHAnsi" w:cstheme="majorHAnsi"/>
                <w:lang w:val="en-GB"/>
              </w:rPr>
              <w:t>April</w:t>
            </w:r>
            <w:r w:rsidR="00192619" w:rsidRPr="008E4140">
              <w:rPr>
                <w:rFonts w:asciiTheme="majorHAnsi" w:eastAsia="Calibri Light" w:hAnsiTheme="majorHAnsi" w:cstheme="majorHAnsi"/>
                <w:lang w:val="en-GB"/>
              </w:rPr>
              <w:t xml:space="preserve"> </w:t>
            </w:r>
            <w:r w:rsidR="00770DD6">
              <w:rPr>
                <w:rFonts w:asciiTheme="majorHAnsi" w:eastAsia="Calibri Light" w:hAnsiTheme="majorHAnsi" w:cstheme="majorHAnsi"/>
                <w:lang w:val="en-GB"/>
              </w:rPr>
              <w:t xml:space="preserve">to June </w:t>
            </w:r>
            <w:r w:rsidR="00192619" w:rsidRPr="008E4140">
              <w:rPr>
                <w:rFonts w:asciiTheme="majorHAnsi" w:eastAsia="Calibri Light" w:hAnsiTheme="majorHAnsi" w:cstheme="majorHAnsi"/>
                <w:lang w:val="en-GB"/>
              </w:rPr>
              <w:t xml:space="preserve">2023 </w:t>
            </w:r>
          </w:p>
        </w:tc>
      </w:tr>
      <w:tr w:rsidR="0063608D" w:rsidRPr="008E4140" w14:paraId="16F79792" w14:textId="77777777" w:rsidTr="00C6630F">
        <w:tc>
          <w:tcPr>
            <w:tcW w:w="4390" w:type="dxa"/>
          </w:tcPr>
          <w:p w14:paraId="1251E365" w14:textId="29B3DAD0" w:rsidR="006735BC" w:rsidRPr="00C6630F" w:rsidRDefault="00A1579F" w:rsidP="00C6630F">
            <w:pPr>
              <w:pStyle w:val="ListParagraph"/>
              <w:numPr>
                <w:ilvl w:val="0"/>
                <w:numId w:val="4"/>
              </w:numPr>
              <w:suppressAutoHyphens/>
              <w:spacing w:before="120"/>
              <w:rPr>
                <w:rFonts w:asciiTheme="majorHAnsi" w:eastAsia="Calibri Light" w:hAnsiTheme="majorHAnsi" w:cstheme="majorHAnsi"/>
                <w:lang w:val="en-GB"/>
              </w:rPr>
            </w:pPr>
            <w:r w:rsidRPr="001962C6">
              <w:rPr>
                <w:rFonts w:asciiTheme="majorHAnsi" w:hAnsiTheme="majorHAnsi" w:cstheme="majorHAnsi"/>
              </w:rPr>
              <w:t>DFAT and PRC to replenish and expand the prepositioned stocks from Cebu and Luzon to smaller warehouses, in particular Cagayan de Oro and possibly in Leyte</w:t>
            </w:r>
            <w:r w:rsidR="00C50319" w:rsidRPr="001962C6">
              <w:rPr>
                <w:rFonts w:asciiTheme="majorHAnsi" w:hAnsiTheme="majorHAnsi" w:cstheme="majorHAnsi"/>
              </w:rPr>
              <w:t>,</w:t>
            </w:r>
            <w:r w:rsidRPr="001962C6">
              <w:rPr>
                <w:rFonts w:asciiTheme="majorHAnsi" w:hAnsiTheme="majorHAnsi" w:cstheme="majorHAnsi"/>
              </w:rPr>
              <w:t xml:space="preserve"> to allow for quicker responses.</w:t>
            </w:r>
          </w:p>
        </w:tc>
        <w:tc>
          <w:tcPr>
            <w:tcW w:w="1275" w:type="dxa"/>
          </w:tcPr>
          <w:p w14:paraId="6A8D49DE" w14:textId="09DC5420" w:rsidR="006735BC" w:rsidRPr="008E4140" w:rsidRDefault="00727C78" w:rsidP="006735BC">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b/>
                <w:bCs/>
                <w:lang w:val="en-GB"/>
              </w:rPr>
              <w:t xml:space="preserve">Partially </w:t>
            </w:r>
            <w:r w:rsidR="006735BC" w:rsidRPr="008E4140">
              <w:rPr>
                <w:rFonts w:asciiTheme="majorHAnsi" w:eastAsia="Calibri Light" w:hAnsiTheme="majorHAnsi" w:cstheme="majorHAnsi"/>
                <w:b/>
                <w:bCs/>
                <w:lang w:val="en-GB"/>
              </w:rPr>
              <w:t>Agree</w:t>
            </w:r>
          </w:p>
        </w:tc>
        <w:tc>
          <w:tcPr>
            <w:tcW w:w="3402" w:type="dxa"/>
          </w:tcPr>
          <w:p w14:paraId="4957C1FC" w14:textId="2352B82C" w:rsidR="006735BC" w:rsidRPr="008E4140" w:rsidRDefault="00AC2CFA" w:rsidP="006735BC">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 xml:space="preserve">PRC </w:t>
            </w:r>
            <w:r w:rsidR="007741AC">
              <w:rPr>
                <w:rFonts w:asciiTheme="majorHAnsi" w:eastAsia="Calibri Light" w:hAnsiTheme="majorHAnsi" w:cstheme="majorHAnsi"/>
                <w:lang w:val="en-GB"/>
              </w:rPr>
              <w:t xml:space="preserve">is expected to </w:t>
            </w:r>
            <w:r w:rsidR="007741AC" w:rsidRPr="008E4140">
              <w:rPr>
                <w:rFonts w:asciiTheme="majorHAnsi" w:eastAsia="Calibri Light" w:hAnsiTheme="majorHAnsi" w:cstheme="majorHAnsi"/>
                <w:lang w:val="en-GB"/>
              </w:rPr>
              <w:t>ensure</w:t>
            </w:r>
            <w:r w:rsidR="001370B2" w:rsidRPr="008E4140">
              <w:rPr>
                <w:rFonts w:asciiTheme="majorHAnsi" w:eastAsia="Calibri Light" w:hAnsiTheme="majorHAnsi" w:cstheme="majorHAnsi"/>
                <w:lang w:val="en-GB"/>
              </w:rPr>
              <w:t xml:space="preserve"> </w:t>
            </w:r>
            <w:r w:rsidR="00F76305" w:rsidRPr="008E4140">
              <w:rPr>
                <w:rFonts w:asciiTheme="majorHAnsi" w:eastAsia="Calibri Light" w:hAnsiTheme="majorHAnsi" w:cstheme="majorHAnsi"/>
                <w:lang w:val="en-GB"/>
              </w:rPr>
              <w:t xml:space="preserve">availability of prepositioned supplies across </w:t>
            </w:r>
            <w:r w:rsidR="00FB7E09">
              <w:rPr>
                <w:rFonts w:asciiTheme="majorHAnsi" w:eastAsia="Calibri Light" w:hAnsiTheme="majorHAnsi" w:cstheme="majorHAnsi"/>
                <w:lang w:val="en-GB"/>
              </w:rPr>
              <w:t xml:space="preserve">their warehouses in </w:t>
            </w:r>
            <w:r w:rsidR="00F76305" w:rsidRPr="008E4140">
              <w:rPr>
                <w:rFonts w:asciiTheme="majorHAnsi" w:eastAsia="Calibri Light" w:hAnsiTheme="majorHAnsi" w:cstheme="majorHAnsi"/>
                <w:lang w:val="en-GB"/>
              </w:rPr>
              <w:t>the Philippines for quick</w:t>
            </w:r>
            <w:r w:rsidR="002772AE" w:rsidRPr="008E4140">
              <w:rPr>
                <w:rFonts w:asciiTheme="majorHAnsi" w:eastAsia="Calibri Light" w:hAnsiTheme="majorHAnsi" w:cstheme="majorHAnsi"/>
                <w:lang w:val="en-GB"/>
              </w:rPr>
              <w:t xml:space="preserve"> deploy</w:t>
            </w:r>
            <w:r w:rsidR="00F76305" w:rsidRPr="008E4140">
              <w:rPr>
                <w:rFonts w:asciiTheme="majorHAnsi" w:eastAsia="Calibri Light" w:hAnsiTheme="majorHAnsi" w:cstheme="majorHAnsi"/>
                <w:lang w:val="en-GB"/>
              </w:rPr>
              <w:t>ment</w:t>
            </w:r>
            <w:r w:rsidR="007741AC">
              <w:rPr>
                <w:rFonts w:asciiTheme="majorHAnsi" w:eastAsia="Calibri Light" w:hAnsiTheme="majorHAnsi" w:cstheme="majorHAnsi"/>
                <w:lang w:val="en-GB"/>
              </w:rPr>
              <w:t xml:space="preserve"> as defined under the partnership with DFAT.</w:t>
            </w:r>
          </w:p>
        </w:tc>
        <w:tc>
          <w:tcPr>
            <w:tcW w:w="3969" w:type="dxa"/>
          </w:tcPr>
          <w:p w14:paraId="46B9AF72" w14:textId="6EC4AF14" w:rsidR="000A2B96" w:rsidRPr="008E4140" w:rsidRDefault="00727C78" w:rsidP="00663980">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 xml:space="preserve">PRC </w:t>
            </w:r>
            <w:r w:rsidR="00A642E9" w:rsidRPr="008E4140">
              <w:rPr>
                <w:rFonts w:asciiTheme="majorHAnsi" w:eastAsia="Calibri Light" w:hAnsiTheme="majorHAnsi" w:cstheme="majorHAnsi"/>
                <w:lang w:val="en-GB"/>
              </w:rPr>
              <w:t>commits to conduct</w:t>
            </w:r>
            <w:r w:rsidR="00820036" w:rsidRPr="008E4140">
              <w:rPr>
                <w:rFonts w:asciiTheme="majorHAnsi" w:eastAsia="Calibri Light" w:hAnsiTheme="majorHAnsi" w:cstheme="majorHAnsi"/>
                <w:lang w:val="en-GB"/>
              </w:rPr>
              <w:t xml:space="preserve"> proper inventory of items in all warehouses to monitor </w:t>
            </w:r>
            <w:r w:rsidR="0064658D" w:rsidRPr="008E4140">
              <w:rPr>
                <w:rFonts w:asciiTheme="majorHAnsi" w:eastAsia="Calibri Light" w:hAnsiTheme="majorHAnsi" w:cstheme="majorHAnsi"/>
                <w:lang w:val="en-GB"/>
              </w:rPr>
              <w:t>availability and shelf life</w:t>
            </w:r>
            <w:r w:rsidR="00C50319" w:rsidRPr="008E4140">
              <w:rPr>
                <w:rFonts w:asciiTheme="majorHAnsi" w:eastAsia="Calibri Light" w:hAnsiTheme="majorHAnsi" w:cstheme="majorHAnsi"/>
                <w:lang w:val="en-GB"/>
              </w:rPr>
              <w:t xml:space="preserve">, </w:t>
            </w:r>
            <w:r w:rsidR="00A642E9" w:rsidRPr="008E4140">
              <w:rPr>
                <w:rFonts w:asciiTheme="majorHAnsi" w:eastAsia="Calibri Light" w:hAnsiTheme="majorHAnsi" w:cstheme="majorHAnsi"/>
                <w:lang w:val="en-GB"/>
              </w:rPr>
              <w:t xml:space="preserve">including </w:t>
            </w:r>
            <w:r w:rsidR="000A2B96" w:rsidRPr="008E4140">
              <w:rPr>
                <w:rFonts w:asciiTheme="majorHAnsi" w:eastAsia="Calibri Light" w:hAnsiTheme="majorHAnsi" w:cstheme="majorHAnsi"/>
                <w:lang w:val="en-GB"/>
              </w:rPr>
              <w:t>replenishment</w:t>
            </w:r>
            <w:r w:rsidR="00C8537C" w:rsidRPr="008E4140">
              <w:rPr>
                <w:rFonts w:asciiTheme="majorHAnsi" w:eastAsia="Calibri Light" w:hAnsiTheme="majorHAnsi" w:cstheme="majorHAnsi"/>
                <w:lang w:val="en-GB"/>
              </w:rPr>
              <w:t xml:space="preserve"> </w:t>
            </w:r>
            <w:r w:rsidR="005D58FD" w:rsidRPr="008E4140">
              <w:rPr>
                <w:rFonts w:asciiTheme="majorHAnsi" w:eastAsia="Calibri Light" w:hAnsiTheme="majorHAnsi" w:cstheme="majorHAnsi"/>
                <w:lang w:val="en-GB"/>
              </w:rPr>
              <w:t xml:space="preserve">of expired items </w:t>
            </w:r>
            <w:r w:rsidR="00C8537C" w:rsidRPr="008E4140">
              <w:rPr>
                <w:rFonts w:asciiTheme="majorHAnsi" w:eastAsia="Calibri Light" w:hAnsiTheme="majorHAnsi" w:cstheme="majorHAnsi"/>
                <w:lang w:val="en-GB"/>
              </w:rPr>
              <w:t>and availability</w:t>
            </w:r>
            <w:r w:rsidR="000A2B96" w:rsidRPr="008E4140">
              <w:rPr>
                <w:rFonts w:asciiTheme="majorHAnsi" w:eastAsia="Calibri Light" w:hAnsiTheme="majorHAnsi" w:cstheme="majorHAnsi"/>
                <w:lang w:val="en-GB"/>
              </w:rPr>
              <w:t xml:space="preserve"> of </w:t>
            </w:r>
            <w:r w:rsidR="008C6E67" w:rsidRPr="008E4140">
              <w:rPr>
                <w:rFonts w:asciiTheme="majorHAnsi" w:eastAsia="Calibri Light" w:hAnsiTheme="majorHAnsi" w:cstheme="majorHAnsi"/>
                <w:lang w:val="en-GB"/>
              </w:rPr>
              <w:t xml:space="preserve">stocks </w:t>
            </w:r>
            <w:r w:rsidR="00C8537C" w:rsidRPr="008E4140">
              <w:rPr>
                <w:rFonts w:asciiTheme="majorHAnsi" w:eastAsia="Calibri Light" w:hAnsiTheme="majorHAnsi" w:cstheme="majorHAnsi"/>
                <w:lang w:val="en-GB"/>
              </w:rPr>
              <w:t>in</w:t>
            </w:r>
            <w:r w:rsidR="000A2B96" w:rsidRPr="008E4140">
              <w:rPr>
                <w:rFonts w:asciiTheme="majorHAnsi" w:eastAsia="Calibri Light" w:hAnsiTheme="majorHAnsi" w:cstheme="majorHAnsi"/>
                <w:lang w:val="en-GB"/>
              </w:rPr>
              <w:t xml:space="preserve"> strategic</w:t>
            </w:r>
            <w:r w:rsidR="00C8537C" w:rsidRPr="008E4140">
              <w:rPr>
                <w:rFonts w:asciiTheme="majorHAnsi" w:eastAsia="Calibri Light" w:hAnsiTheme="majorHAnsi" w:cstheme="majorHAnsi"/>
                <w:lang w:val="en-GB"/>
              </w:rPr>
              <w:t xml:space="preserve"> warehouse</w:t>
            </w:r>
            <w:r w:rsidR="00970210" w:rsidRPr="008E4140">
              <w:rPr>
                <w:rFonts w:asciiTheme="majorHAnsi" w:eastAsia="Calibri Light" w:hAnsiTheme="majorHAnsi" w:cstheme="majorHAnsi"/>
                <w:lang w:val="en-GB"/>
              </w:rPr>
              <w:t>s</w:t>
            </w:r>
            <w:r w:rsidR="00C8537C" w:rsidRPr="008E4140">
              <w:rPr>
                <w:rFonts w:asciiTheme="majorHAnsi" w:eastAsia="Calibri Light" w:hAnsiTheme="majorHAnsi" w:cstheme="majorHAnsi"/>
                <w:lang w:val="en-GB"/>
              </w:rPr>
              <w:t>/</w:t>
            </w:r>
            <w:r w:rsidR="000A2B96" w:rsidRPr="008E4140">
              <w:rPr>
                <w:rFonts w:asciiTheme="majorHAnsi" w:eastAsia="Calibri Light" w:hAnsiTheme="majorHAnsi" w:cstheme="majorHAnsi"/>
                <w:lang w:val="en-GB"/>
              </w:rPr>
              <w:t>location</w:t>
            </w:r>
            <w:r w:rsidR="00102E60" w:rsidRPr="008E4140">
              <w:rPr>
                <w:rFonts w:asciiTheme="majorHAnsi" w:eastAsia="Calibri Light" w:hAnsiTheme="majorHAnsi" w:cstheme="majorHAnsi"/>
                <w:lang w:val="en-GB"/>
              </w:rPr>
              <w:t>s</w:t>
            </w:r>
            <w:r w:rsidR="000A2B96" w:rsidRPr="008E4140">
              <w:rPr>
                <w:rFonts w:asciiTheme="majorHAnsi" w:eastAsia="Calibri Light" w:hAnsiTheme="majorHAnsi" w:cstheme="majorHAnsi"/>
                <w:lang w:val="en-GB"/>
              </w:rPr>
              <w:t>.</w:t>
            </w:r>
            <w:r w:rsidR="00C6630F">
              <w:rPr>
                <w:rFonts w:asciiTheme="majorHAnsi" w:eastAsia="Calibri Light" w:hAnsiTheme="majorHAnsi" w:cstheme="majorHAnsi"/>
                <w:lang w:val="en-GB"/>
              </w:rPr>
              <w:br/>
            </w:r>
          </w:p>
        </w:tc>
        <w:tc>
          <w:tcPr>
            <w:tcW w:w="1418" w:type="dxa"/>
          </w:tcPr>
          <w:p w14:paraId="28B6CEF8" w14:textId="2905F363" w:rsidR="00A92398" w:rsidRPr="008E4140" w:rsidRDefault="00BC7917" w:rsidP="006735BC">
            <w:pPr>
              <w:suppressAutoHyphens/>
              <w:spacing w:before="120"/>
              <w:rPr>
                <w:rFonts w:asciiTheme="majorHAnsi" w:eastAsia="Calibri Light" w:hAnsiTheme="majorHAnsi" w:cstheme="majorHAnsi"/>
                <w:lang w:val="en-GB"/>
              </w:rPr>
            </w:pPr>
            <w:r w:rsidRPr="00BC7917">
              <w:rPr>
                <w:rFonts w:asciiTheme="majorHAnsi" w:eastAsia="Calibri Light" w:hAnsiTheme="majorHAnsi" w:cstheme="majorHAnsi"/>
                <w:lang w:val="en-GB"/>
              </w:rPr>
              <w:t>April</w:t>
            </w:r>
            <w:r w:rsidR="002A57BA" w:rsidRPr="008E4140">
              <w:rPr>
                <w:rFonts w:asciiTheme="majorHAnsi" w:eastAsia="Calibri Light" w:hAnsiTheme="majorHAnsi" w:cstheme="majorHAnsi"/>
                <w:lang w:val="en-GB"/>
              </w:rPr>
              <w:t xml:space="preserve"> 2023 to December 2024</w:t>
            </w:r>
          </w:p>
          <w:p w14:paraId="5C8C8C84" w14:textId="4FBD5C06" w:rsidR="006735BC" w:rsidRPr="008E4140" w:rsidRDefault="006735BC" w:rsidP="006735BC">
            <w:pPr>
              <w:suppressAutoHyphens/>
              <w:spacing w:before="120"/>
              <w:rPr>
                <w:rFonts w:asciiTheme="majorHAnsi" w:eastAsia="Calibri Light" w:hAnsiTheme="majorHAnsi" w:cstheme="majorHAnsi"/>
                <w:lang w:val="en-GB"/>
              </w:rPr>
            </w:pPr>
          </w:p>
        </w:tc>
      </w:tr>
      <w:tr w:rsidR="0063608D" w:rsidRPr="008E4140" w14:paraId="028C7636" w14:textId="77777777" w:rsidTr="00C6630F">
        <w:tc>
          <w:tcPr>
            <w:tcW w:w="4390" w:type="dxa"/>
          </w:tcPr>
          <w:p w14:paraId="337E79EE" w14:textId="592E0684" w:rsidR="00117696" w:rsidRPr="00C6630F" w:rsidRDefault="00A1579F" w:rsidP="00C6630F">
            <w:pPr>
              <w:pStyle w:val="ListParagraph"/>
              <w:numPr>
                <w:ilvl w:val="0"/>
                <w:numId w:val="4"/>
              </w:numPr>
              <w:suppressAutoHyphens/>
              <w:spacing w:before="120"/>
              <w:rPr>
                <w:rFonts w:asciiTheme="majorHAnsi" w:eastAsia="Calibri Light" w:hAnsiTheme="majorHAnsi" w:cstheme="majorHAnsi"/>
                <w:lang w:val="en-GB"/>
              </w:rPr>
            </w:pPr>
            <w:r w:rsidRPr="00117696">
              <w:rPr>
                <w:rFonts w:asciiTheme="majorHAnsi" w:hAnsiTheme="majorHAnsi" w:cstheme="majorHAnsi"/>
              </w:rPr>
              <w:t xml:space="preserve">PRC to define and propose </w:t>
            </w:r>
            <w:r w:rsidR="00117696" w:rsidRPr="00117696">
              <w:rPr>
                <w:rFonts w:asciiTheme="majorHAnsi" w:hAnsiTheme="majorHAnsi" w:cstheme="majorHAnsi"/>
              </w:rPr>
              <w:t xml:space="preserve">the </w:t>
            </w:r>
            <w:r w:rsidRPr="00117696">
              <w:rPr>
                <w:rFonts w:asciiTheme="majorHAnsi" w:hAnsiTheme="majorHAnsi" w:cstheme="majorHAnsi"/>
              </w:rPr>
              <w:t>target number of beneficiaries, disaggregated by sex, gender and disability</w:t>
            </w:r>
            <w:r w:rsidR="00957AF8" w:rsidRPr="00117696">
              <w:rPr>
                <w:rFonts w:asciiTheme="majorHAnsi" w:hAnsiTheme="majorHAnsi" w:cstheme="majorHAnsi"/>
              </w:rPr>
              <w:t xml:space="preserve"> both in their </w:t>
            </w:r>
            <w:r w:rsidR="00117696">
              <w:rPr>
                <w:rFonts w:asciiTheme="majorHAnsi" w:hAnsiTheme="majorHAnsi" w:cstheme="majorHAnsi"/>
              </w:rPr>
              <w:t>proposal (</w:t>
            </w:r>
            <w:r w:rsidR="00957AF8" w:rsidRPr="00117696">
              <w:rPr>
                <w:rFonts w:asciiTheme="majorHAnsi" w:hAnsiTheme="majorHAnsi" w:cstheme="majorHAnsi"/>
              </w:rPr>
              <w:t>concept note</w:t>
            </w:r>
            <w:r w:rsidR="00117696">
              <w:rPr>
                <w:rFonts w:asciiTheme="majorHAnsi" w:hAnsiTheme="majorHAnsi" w:cstheme="majorHAnsi"/>
              </w:rPr>
              <w:t>)</w:t>
            </w:r>
            <w:r w:rsidR="00957AF8" w:rsidRPr="00117696">
              <w:rPr>
                <w:rFonts w:asciiTheme="majorHAnsi" w:hAnsiTheme="majorHAnsi" w:cstheme="majorHAnsi"/>
              </w:rPr>
              <w:t xml:space="preserve"> and project reporting</w:t>
            </w:r>
            <w:r w:rsidRPr="00117696">
              <w:rPr>
                <w:rFonts w:asciiTheme="majorHAnsi" w:hAnsiTheme="majorHAnsi" w:cstheme="majorHAnsi"/>
              </w:rPr>
              <w:t xml:space="preserve">. The existing data collection tools and methods need to be aligned with the DFAT </w:t>
            </w:r>
            <w:r w:rsidR="00727C78" w:rsidRPr="00117696">
              <w:rPr>
                <w:rFonts w:asciiTheme="majorHAnsi" w:hAnsiTheme="majorHAnsi" w:cstheme="majorHAnsi"/>
              </w:rPr>
              <w:t>reporting template</w:t>
            </w:r>
            <w:r w:rsidRPr="00117696">
              <w:rPr>
                <w:rFonts w:asciiTheme="majorHAnsi" w:hAnsiTheme="majorHAnsi" w:cstheme="majorHAnsi"/>
              </w:rPr>
              <w:t>.</w:t>
            </w:r>
            <w:r w:rsidR="00117696" w:rsidRPr="00117696">
              <w:rPr>
                <w:rFonts w:asciiTheme="majorHAnsi" w:hAnsiTheme="majorHAnsi" w:cstheme="majorHAnsi"/>
              </w:rPr>
              <w:t xml:space="preserve"> </w:t>
            </w:r>
            <w:r w:rsidR="00117696">
              <w:rPr>
                <w:rFonts w:asciiTheme="majorHAnsi" w:hAnsiTheme="majorHAnsi" w:cstheme="majorHAnsi"/>
              </w:rPr>
              <w:t>Q</w:t>
            </w:r>
            <w:r w:rsidR="00117696" w:rsidRPr="00117696">
              <w:rPr>
                <w:rFonts w:asciiTheme="majorHAnsi" w:hAnsiTheme="majorHAnsi" w:cstheme="majorHAnsi"/>
              </w:rPr>
              <w:t>uarterly and annual report</w:t>
            </w:r>
            <w:r w:rsidR="00117696">
              <w:rPr>
                <w:rFonts w:asciiTheme="majorHAnsi" w:hAnsiTheme="majorHAnsi" w:cstheme="majorHAnsi"/>
              </w:rPr>
              <w:t>s should</w:t>
            </w:r>
            <w:r w:rsidR="00117696" w:rsidRPr="00117696">
              <w:rPr>
                <w:rFonts w:asciiTheme="majorHAnsi" w:hAnsiTheme="majorHAnsi" w:cstheme="majorHAnsi"/>
              </w:rPr>
              <w:t xml:space="preserve"> include a summary and reflection on the </w:t>
            </w:r>
            <w:r w:rsidR="00117696">
              <w:rPr>
                <w:rFonts w:asciiTheme="majorHAnsi" w:hAnsiTheme="majorHAnsi" w:cstheme="majorHAnsi"/>
              </w:rPr>
              <w:t>implementation</w:t>
            </w:r>
            <w:r w:rsidR="00117696" w:rsidRPr="00117696">
              <w:rPr>
                <w:rFonts w:asciiTheme="majorHAnsi" w:hAnsiTheme="majorHAnsi" w:cstheme="majorHAnsi"/>
              </w:rPr>
              <w:t xml:space="preserve"> </w:t>
            </w:r>
            <w:r w:rsidR="00117696">
              <w:rPr>
                <w:rFonts w:asciiTheme="majorHAnsi" w:hAnsiTheme="majorHAnsi" w:cstheme="majorHAnsi"/>
              </w:rPr>
              <w:t>of</w:t>
            </w:r>
            <w:r w:rsidR="00117696" w:rsidRPr="00117696">
              <w:rPr>
                <w:rFonts w:asciiTheme="majorHAnsi" w:hAnsiTheme="majorHAnsi" w:cstheme="majorHAnsi"/>
              </w:rPr>
              <w:t xml:space="preserve"> DFAT support</w:t>
            </w:r>
            <w:r w:rsidR="00117696">
              <w:rPr>
                <w:rFonts w:asciiTheme="majorHAnsi" w:hAnsiTheme="majorHAnsi" w:cstheme="majorHAnsi"/>
              </w:rPr>
              <w:t>, including</w:t>
            </w:r>
            <w:r w:rsidR="00117696" w:rsidRPr="00117696">
              <w:rPr>
                <w:rFonts w:asciiTheme="majorHAnsi" w:hAnsiTheme="majorHAnsi" w:cstheme="majorHAnsi"/>
              </w:rPr>
              <w:t xml:space="preserve"> target </w:t>
            </w:r>
            <w:r w:rsidR="00117696">
              <w:rPr>
                <w:rFonts w:asciiTheme="majorHAnsi" w:hAnsiTheme="majorHAnsi" w:cstheme="majorHAnsi"/>
              </w:rPr>
              <w:t>vs</w:t>
            </w:r>
            <w:r w:rsidR="00117696" w:rsidRPr="00117696">
              <w:rPr>
                <w:rFonts w:asciiTheme="majorHAnsi" w:hAnsiTheme="majorHAnsi" w:cstheme="majorHAnsi"/>
              </w:rPr>
              <w:t xml:space="preserve"> </w:t>
            </w:r>
            <w:r w:rsidR="00117696">
              <w:rPr>
                <w:rFonts w:asciiTheme="majorHAnsi" w:hAnsiTheme="majorHAnsi" w:cstheme="majorHAnsi"/>
              </w:rPr>
              <w:t>actual</w:t>
            </w:r>
            <w:r w:rsidR="00117696" w:rsidRPr="00117696">
              <w:rPr>
                <w:rFonts w:asciiTheme="majorHAnsi" w:hAnsiTheme="majorHAnsi" w:cstheme="majorHAnsi"/>
              </w:rPr>
              <w:t xml:space="preserve"> number of beneficiaries with sex, age, and disability disaggregated data (SADDD)</w:t>
            </w:r>
            <w:r w:rsidR="00117696">
              <w:rPr>
                <w:rFonts w:asciiTheme="majorHAnsi" w:hAnsiTheme="majorHAnsi" w:cstheme="majorHAnsi"/>
              </w:rPr>
              <w:t xml:space="preserve">, and an updated stock inventory </w:t>
            </w:r>
            <w:r w:rsidR="00901132">
              <w:rPr>
                <w:rFonts w:asciiTheme="majorHAnsi" w:hAnsiTheme="majorHAnsi" w:cstheme="majorHAnsi"/>
              </w:rPr>
              <w:t>and its</w:t>
            </w:r>
            <w:r w:rsidR="00117696" w:rsidRPr="00117696">
              <w:rPr>
                <w:rFonts w:asciiTheme="majorHAnsi" w:hAnsiTheme="majorHAnsi" w:cstheme="majorHAnsi"/>
              </w:rPr>
              <w:t xml:space="preserve"> location</w:t>
            </w:r>
            <w:r w:rsidR="00117696">
              <w:rPr>
                <w:rFonts w:asciiTheme="majorHAnsi" w:hAnsiTheme="majorHAnsi" w:cstheme="majorHAnsi"/>
              </w:rPr>
              <w:t>.</w:t>
            </w:r>
            <w:r w:rsidR="00C6630F">
              <w:rPr>
                <w:rFonts w:asciiTheme="majorHAnsi" w:hAnsiTheme="majorHAnsi" w:cstheme="majorHAnsi"/>
              </w:rPr>
              <w:br/>
            </w:r>
          </w:p>
        </w:tc>
        <w:tc>
          <w:tcPr>
            <w:tcW w:w="1275" w:type="dxa"/>
          </w:tcPr>
          <w:p w14:paraId="16187AA7" w14:textId="7D0E6978" w:rsidR="006735BC" w:rsidRPr="008E4140" w:rsidRDefault="006735BC" w:rsidP="006735BC">
            <w:pPr>
              <w:suppressAutoHyphens/>
              <w:spacing w:before="120"/>
              <w:rPr>
                <w:rFonts w:asciiTheme="majorHAnsi" w:eastAsia="Calibri Light" w:hAnsiTheme="majorHAnsi" w:cstheme="majorHAnsi"/>
                <w:b/>
                <w:bCs/>
                <w:lang w:val="en-GB"/>
              </w:rPr>
            </w:pPr>
            <w:r w:rsidRPr="008E4140">
              <w:rPr>
                <w:rFonts w:asciiTheme="majorHAnsi" w:eastAsia="Calibri Light" w:hAnsiTheme="majorHAnsi" w:cstheme="majorHAnsi"/>
                <w:b/>
                <w:bCs/>
                <w:lang w:val="en-GB"/>
              </w:rPr>
              <w:t>Agree</w:t>
            </w:r>
          </w:p>
        </w:tc>
        <w:tc>
          <w:tcPr>
            <w:tcW w:w="3402" w:type="dxa"/>
          </w:tcPr>
          <w:p w14:paraId="0E2D17A9" w14:textId="77777777" w:rsidR="006735BC" w:rsidRDefault="005A435D" w:rsidP="006735BC">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DFAT</w:t>
            </w:r>
            <w:r w:rsidR="002174FA" w:rsidRPr="008E4140">
              <w:rPr>
                <w:rFonts w:asciiTheme="majorHAnsi" w:eastAsia="Calibri Light" w:hAnsiTheme="majorHAnsi" w:cstheme="majorHAnsi"/>
                <w:lang w:val="en-GB"/>
              </w:rPr>
              <w:t xml:space="preserve"> recognises the importance of having </w:t>
            </w:r>
            <w:r w:rsidR="004716A3" w:rsidRPr="008E4140">
              <w:rPr>
                <w:rFonts w:asciiTheme="majorHAnsi" w:eastAsia="Calibri Light" w:hAnsiTheme="majorHAnsi" w:cstheme="majorHAnsi"/>
                <w:lang w:val="en-GB"/>
              </w:rPr>
              <w:t xml:space="preserve">an </w:t>
            </w:r>
            <w:r w:rsidR="002174FA" w:rsidRPr="008E4140">
              <w:rPr>
                <w:rFonts w:asciiTheme="majorHAnsi" w:eastAsia="Calibri Light" w:hAnsiTheme="majorHAnsi" w:cstheme="majorHAnsi"/>
                <w:lang w:val="en-GB"/>
              </w:rPr>
              <w:t xml:space="preserve">evidence-based </w:t>
            </w:r>
            <w:r w:rsidR="00004BEA" w:rsidRPr="008E4140">
              <w:rPr>
                <w:rFonts w:asciiTheme="majorHAnsi" w:eastAsia="Calibri Light" w:hAnsiTheme="majorHAnsi" w:cstheme="majorHAnsi"/>
                <w:lang w:val="en-GB"/>
              </w:rPr>
              <w:t xml:space="preserve">project documentation and </w:t>
            </w:r>
            <w:r w:rsidR="003B3759" w:rsidRPr="008E4140">
              <w:rPr>
                <w:rFonts w:asciiTheme="majorHAnsi" w:eastAsia="Calibri Light" w:hAnsiTheme="majorHAnsi" w:cstheme="majorHAnsi"/>
                <w:lang w:val="en-GB"/>
              </w:rPr>
              <w:t>reporting</w:t>
            </w:r>
            <w:r w:rsidR="007566F1" w:rsidRPr="008E4140">
              <w:rPr>
                <w:rFonts w:asciiTheme="majorHAnsi" w:eastAsia="Calibri Light" w:hAnsiTheme="majorHAnsi" w:cstheme="majorHAnsi"/>
                <w:lang w:val="en-GB"/>
              </w:rPr>
              <w:t>,</w:t>
            </w:r>
            <w:r w:rsidR="003B3759" w:rsidRPr="008E4140">
              <w:rPr>
                <w:rFonts w:asciiTheme="majorHAnsi" w:eastAsia="Calibri Light" w:hAnsiTheme="majorHAnsi" w:cstheme="majorHAnsi"/>
                <w:lang w:val="en-GB"/>
              </w:rPr>
              <w:t xml:space="preserve"> </w:t>
            </w:r>
            <w:r w:rsidR="00004BEA" w:rsidRPr="008E4140">
              <w:rPr>
                <w:rFonts w:asciiTheme="majorHAnsi" w:eastAsia="Calibri Light" w:hAnsiTheme="majorHAnsi" w:cstheme="majorHAnsi"/>
                <w:lang w:val="en-GB"/>
              </w:rPr>
              <w:t xml:space="preserve">including the </w:t>
            </w:r>
            <w:r w:rsidR="00184347" w:rsidRPr="008E4140">
              <w:rPr>
                <w:rFonts w:asciiTheme="majorHAnsi" w:eastAsia="Calibri Light" w:hAnsiTheme="majorHAnsi" w:cstheme="majorHAnsi"/>
                <w:lang w:val="en-GB"/>
              </w:rPr>
              <w:t>disaggregated data by sex, gender and disability</w:t>
            </w:r>
            <w:r w:rsidR="002174FA" w:rsidRPr="008E4140">
              <w:rPr>
                <w:rFonts w:asciiTheme="majorHAnsi" w:eastAsia="Calibri Light" w:hAnsiTheme="majorHAnsi" w:cstheme="majorHAnsi"/>
                <w:lang w:val="en-GB"/>
              </w:rPr>
              <w:t>,</w:t>
            </w:r>
            <w:r w:rsidR="00184347" w:rsidRPr="008E4140">
              <w:rPr>
                <w:rFonts w:asciiTheme="majorHAnsi" w:eastAsia="Calibri Light" w:hAnsiTheme="majorHAnsi" w:cstheme="majorHAnsi"/>
                <w:lang w:val="en-GB"/>
              </w:rPr>
              <w:t xml:space="preserve"> </w:t>
            </w:r>
            <w:r w:rsidR="002174FA" w:rsidRPr="008E4140">
              <w:rPr>
                <w:rFonts w:asciiTheme="majorHAnsi" w:eastAsia="Calibri Light" w:hAnsiTheme="majorHAnsi" w:cstheme="majorHAnsi"/>
                <w:lang w:val="en-GB"/>
              </w:rPr>
              <w:t>and</w:t>
            </w:r>
            <w:r w:rsidR="00184347" w:rsidRPr="008E4140">
              <w:rPr>
                <w:rFonts w:asciiTheme="majorHAnsi" w:eastAsia="Calibri Light" w:hAnsiTheme="majorHAnsi" w:cstheme="majorHAnsi"/>
                <w:lang w:val="en-GB"/>
              </w:rPr>
              <w:t xml:space="preserve"> </w:t>
            </w:r>
            <w:r w:rsidR="00CD213E" w:rsidRPr="008E4140">
              <w:rPr>
                <w:rFonts w:asciiTheme="majorHAnsi" w:eastAsia="Calibri Light" w:hAnsiTheme="majorHAnsi" w:cstheme="majorHAnsi"/>
                <w:lang w:val="en-GB"/>
              </w:rPr>
              <w:t xml:space="preserve">beneficiary targeting. </w:t>
            </w:r>
          </w:p>
          <w:p w14:paraId="44260E51" w14:textId="6918C44C" w:rsidR="00117696" w:rsidRPr="008E4140" w:rsidRDefault="00117696" w:rsidP="006735BC">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 xml:space="preserve">DFAT agrees that the quarterly and annual reports must provide reflection and learning to inform adjustments in programming/operations. </w:t>
            </w:r>
            <w:r w:rsidR="00322F2F">
              <w:rPr>
                <w:rFonts w:asciiTheme="majorHAnsi" w:eastAsia="Calibri Light" w:hAnsiTheme="majorHAnsi" w:cstheme="majorHAnsi"/>
                <w:lang w:val="en-GB"/>
              </w:rPr>
              <w:t>DFAT</w:t>
            </w:r>
            <w:r w:rsidRPr="008E4140">
              <w:rPr>
                <w:rFonts w:asciiTheme="majorHAnsi" w:eastAsia="Calibri Light" w:hAnsiTheme="majorHAnsi" w:cstheme="majorHAnsi"/>
                <w:lang w:val="en-GB"/>
              </w:rPr>
              <w:t xml:space="preserve"> has provided a reporting template to implementing partners which include SADDD, outcome and analysis/learning.</w:t>
            </w:r>
          </w:p>
        </w:tc>
        <w:tc>
          <w:tcPr>
            <w:tcW w:w="3969" w:type="dxa"/>
          </w:tcPr>
          <w:p w14:paraId="0AAB4491" w14:textId="6456D66F" w:rsidR="006735BC" w:rsidRDefault="00CD213E" w:rsidP="006735BC">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 xml:space="preserve">PRC </w:t>
            </w:r>
            <w:r w:rsidR="00A062D1">
              <w:rPr>
                <w:rFonts w:asciiTheme="majorHAnsi" w:eastAsia="Calibri Light" w:hAnsiTheme="majorHAnsi" w:cstheme="majorHAnsi"/>
                <w:lang w:val="en-GB"/>
              </w:rPr>
              <w:t xml:space="preserve">will continue to </w:t>
            </w:r>
            <w:r w:rsidRPr="008E4140">
              <w:rPr>
                <w:rFonts w:asciiTheme="majorHAnsi" w:eastAsia="Calibri Light" w:hAnsiTheme="majorHAnsi" w:cstheme="majorHAnsi"/>
                <w:lang w:val="en-GB"/>
              </w:rPr>
              <w:t>organis</w:t>
            </w:r>
            <w:r w:rsidR="005D58FD" w:rsidRPr="008E4140">
              <w:rPr>
                <w:rFonts w:asciiTheme="majorHAnsi" w:eastAsia="Calibri Light" w:hAnsiTheme="majorHAnsi" w:cstheme="majorHAnsi"/>
                <w:lang w:val="en-GB"/>
              </w:rPr>
              <w:t>e</w:t>
            </w:r>
            <w:r w:rsidRPr="008E4140">
              <w:rPr>
                <w:rFonts w:asciiTheme="majorHAnsi" w:eastAsia="Calibri Light" w:hAnsiTheme="majorHAnsi" w:cstheme="majorHAnsi"/>
                <w:lang w:val="en-GB"/>
              </w:rPr>
              <w:t xml:space="preserve"> </w:t>
            </w:r>
            <w:r w:rsidR="005D58FD" w:rsidRPr="008E4140">
              <w:rPr>
                <w:rFonts w:asciiTheme="majorHAnsi" w:eastAsia="Calibri Light" w:hAnsiTheme="majorHAnsi" w:cstheme="majorHAnsi"/>
                <w:lang w:val="en-GB"/>
              </w:rPr>
              <w:t xml:space="preserve">their </w:t>
            </w:r>
            <w:r w:rsidRPr="008E4140">
              <w:rPr>
                <w:rFonts w:asciiTheme="majorHAnsi" w:eastAsia="Calibri Light" w:hAnsiTheme="majorHAnsi" w:cstheme="majorHAnsi"/>
                <w:lang w:val="en-GB"/>
              </w:rPr>
              <w:t xml:space="preserve">system </w:t>
            </w:r>
            <w:r w:rsidR="00C50319" w:rsidRPr="008E4140">
              <w:rPr>
                <w:rFonts w:asciiTheme="majorHAnsi" w:eastAsia="Calibri Light" w:hAnsiTheme="majorHAnsi" w:cstheme="majorHAnsi"/>
                <w:lang w:val="en-GB"/>
              </w:rPr>
              <w:t>for</w:t>
            </w:r>
            <w:r w:rsidR="008F413E" w:rsidRPr="008E4140">
              <w:rPr>
                <w:rFonts w:asciiTheme="majorHAnsi" w:eastAsia="Calibri Light" w:hAnsiTheme="majorHAnsi" w:cstheme="majorHAnsi"/>
                <w:lang w:val="en-GB"/>
              </w:rPr>
              <w:t xml:space="preserve"> data management</w:t>
            </w:r>
            <w:r w:rsidR="00E86A5F" w:rsidRPr="008E4140">
              <w:rPr>
                <w:rFonts w:asciiTheme="majorHAnsi" w:eastAsia="Calibri Light" w:hAnsiTheme="majorHAnsi" w:cstheme="majorHAnsi"/>
                <w:lang w:val="en-GB"/>
              </w:rPr>
              <w:t xml:space="preserve">, </w:t>
            </w:r>
            <w:r w:rsidR="005D58FD" w:rsidRPr="008E4140">
              <w:rPr>
                <w:rFonts w:asciiTheme="majorHAnsi" w:eastAsia="Calibri Light" w:hAnsiTheme="majorHAnsi" w:cstheme="majorHAnsi"/>
                <w:lang w:val="en-GB"/>
              </w:rPr>
              <w:t xml:space="preserve">including </w:t>
            </w:r>
            <w:r w:rsidR="00B01469" w:rsidRPr="008E4140">
              <w:rPr>
                <w:rFonts w:asciiTheme="majorHAnsi" w:eastAsia="Calibri Light" w:hAnsiTheme="majorHAnsi" w:cstheme="majorHAnsi"/>
                <w:lang w:val="en-GB"/>
              </w:rPr>
              <w:t xml:space="preserve">needs </w:t>
            </w:r>
            <w:r w:rsidR="00E86A5F" w:rsidRPr="008E4140">
              <w:rPr>
                <w:rFonts w:asciiTheme="majorHAnsi" w:eastAsia="Calibri Light" w:hAnsiTheme="majorHAnsi" w:cstheme="majorHAnsi"/>
                <w:lang w:val="en-GB"/>
              </w:rPr>
              <w:t>assessment</w:t>
            </w:r>
            <w:r w:rsidR="00970210" w:rsidRPr="008E4140">
              <w:rPr>
                <w:rFonts w:asciiTheme="majorHAnsi" w:eastAsia="Calibri Light" w:hAnsiTheme="majorHAnsi" w:cstheme="majorHAnsi"/>
                <w:lang w:val="en-GB"/>
              </w:rPr>
              <w:t>,</w:t>
            </w:r>
            <w:r w:rsidR="00B01469" w:rsidRPr="008E4140">
              <w:rPr>
                <w:rFonts w:asciiTheme="majorHAnsi" w:eastAsia="Calibri Light" w:hAnsiTheme="majorHAnsi" w:cstheme="majorHAnsi"/>
                <w:lang w:val="en-GB"/>
              </w:rPr>
              <w:t xml:space="preserve"> and align</w:t>
            </w:r>
            <w:r w:rsidR="00C50319" w:rsidRPr="008E4140">
              <w:rPr>
                <w:rFonts w:asciiTheme="majorHAnsi" w:eastAsia="Calibri Light" w:hAnsiTheme="majorHAnsi" w:cstheme="majorHAnsi"/>
                <w:lang w:val="en-GB"/>
              </w:rPr>
              <w:t>ing</w:t>
            </w:r>
            <w:r w:rsidR="00B01469" w:rsidRPr="008E4140">
              <w:rPr>
                <w:rFonts w:asciiTheme="majorHAnsi" w:eastAsia="Calibri Light" w:hAnsiTheme="majorHAnsi" w:cstheme="majorHAnsi"/>
                <w:lang w:val="en-GB"/>
              </w:rPr>
              <w:t xml:space="preserve"> project reporting with DFAT</w:t>
            </w:r>
            <w:r w:rsidR="00970210" w:rsidRPr="008E4140">
              <w:rPr>
                <w:rFonts w:asciiTheme="majorHAnsi" w:eastAsia="Calibri Light" w:hAnsiTheme="majorHAnsi" w:cstheme="majorHAnsi"/>
                <w:lang w:val="en-GB"/>
              </w:rPr>
              <w:t>’s</w:t>
            </w:r>
            <w:r w:rsidR="00E86A5F" w:rsidRPr="008E4140">
              <w:rPr>
                <w:rFonts w:asciiTheme="majorHAnsi" w:eastAsia="Calibri Light" w:hAnsiTheme="majorHAnsi" w:cstheme="majorHAnsi"/>
                <w:lang w:val="en-GB"/>
              </w:rPr>
              <w:t xml:space="preserve"> </w:t>
            </w:r>
            <w:r w:rsidR="00B01469" w:rsidRPr="008E4140">
              <w:rPr>
                <w:rFonts w:asciiTheme="majorHAnsi" w:eastAsia="Calibri Light" w:hAnsiTheme="majorHAnsi" w:cstheme="majorHAnsi"/>
                <w:lang w:val="en-GB"/>
              </w:rPr>
              <w:t>template</w:t>
            </w:r>
            <w:r w:rsidR="008F413E" w:rsidRPr="008E4140">
              <w:rPr>
                <w:rFonts w:asciiTheme="majorHAnsi" w:eastAsia="Calibri Light" w:hAnsiTheme="majorHAnsi" w:cstheme="majorHAnsi"/>
                <w:lang w:val="en-GB"/>
              </w:rPr>
              <w:t xml:space="preserve">. </w:t>
            </w:r>
          </w:p>
          <w:p w14:paraId="4D8D4059" w14:textId="78EAAE93" w:rsidR="00117696" w:rsidRDefault="00117696" w:rsidP="00117696">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 xml:space="preserve">PRC has already used the </w:t>
            </w:r>
            <w:r w:rsidR="00B7676B">
              <w:rPr>
                <w:rFonts w:asciiTheme="majorHAnsi" w:eastAsia="Calibri Light" w:hAnsiTheme="majorHAnsi" w:cstheme="majorHAnsi"/>
                <w:lang w:val="en-GB"/>
              </w:rPr>
              <w:t>DFAT r</w:t>
            </w:r>
            <w:r w:rsidRPr="008E4140">
              <w:rPr>
                <w:rFonts w:asciiTheme="majorHAnsi" w:eastAsia="Calibri Light" w:hAnsiTheme="majorHAnsi" w:cstheme="majorHAnsi"/>
                <w:lang w:val="en-GB"/>
              </w:rPr>
              <w:t xml:space="preserve">eporting template in the submission of the 2022 Multiyear Prepositioning Arrangement (MYA) Annual Report. </w:t>
            </w:r>
          </w:p>
          <w:p w14:paraId="6E735776" w14:textId="726D4660" w:rsidR="004A3448" w:rsidRDefault="004A3448" w:rsidP="00117696">
            <w:pPr>
              <w:suppressAutoHyphens/>
              <w:spacing w:before="120"/>
              <w:rPr>
                <w:rFonts w:asciiTheme="majorHAnsi" w:eastAsia="Calibri Light" w:hAnsiTheme="majorHAnsi" w:cstheme="majorHAnsi"/>
                <w:lang w:val="en-GB"/>
              </w:rPr>
            </w:pPr>
            <w:r w:rsidRPr="004A3448">
              <w:rPr>
                <w:rFonts w:asciiTheme="majorHAnsi" w:eastAsia="Calibri Light" w:hAnsiTheme="majorHAnsi" w:cstheme="majorHAnsi"/>
                <w:lang w:val="en-GB"/>
              </w:rPr>
              <w:t xml:space="preserve">PRC </w:t>
            </w:r>
            <w:r w:rsidR="00A062D1">
              <w:rPr>
                <w:rFonts w:asciiTheme="majorHAnsi" w:eastAsia="Calibri Light" w:hAnsiTheme="majorHAnsi" w:cstheme="majorHAnsi"/>
                <w:lang w:val="en-GB"/>
              </w:rPr>
              <w:t xml:space="preserve">is expected to </w:t>
            </w:r>
            <w:r w:rsidRPr="004A3448">
              <w:rPr>
                <w:rFonts w:asciiTheme="majorHAnsi" w:eastAsia="Calibri Light" w:hAnsiTheme="majorHAnsi" w:cstheme="majorHAnsi"/>
                <w:lang w:val="en-GB"/>
              </w:rPr>
              <w:t>strictly conduct post-distribution monitoring (PDM) a month after major disasters, including an after-action review.</w:t>
            </w:r>
          </w:p>
          <w:p w14:paraId="0300155E" w14:textId="0EECBE4E" w:rsidR="00936CEC" w:rsidRPr="008E4140" w:rsidRDefault="00936CEC" w:rsidP="00663980">
            <w:pPr>
              <w:suppressAutoHyphens/>
              <w:spacing w:before="120"/>
              <w:rPr>
                <w:rFonts w:asciiTheme="majorHAnsi" w:eastAsia="Calibri Light" w:hAnsiTheme="majorHAnsi" w:cstheme="majorHAnsi"/>
                <w:lang w:val="en-GB"/>
              </w:rPr>
            </w:pPr>
          </w:p>
        </w:tc>
        <w:tc>
          <w:tcPr>
            <w:tcW w:w="1418" w:type="dxa"/>
          </w:tcPr>
          <w:p w14:paraId="354065C1" w14:textId="6531B9D9" w:rsidR="006735BC" w:rsidRPr="008E4140" w:rsidRDefault="00BC7917" w:rsidP="006735BC">
            <w:pPr>
              <w:suppressAutoHyphens/>
              <w:spacing w:before="120"/>
              <w:rPr>
                <w:rFonts w:asciiTheme="majorHAnsi" w:eastAsia="Calibri Light" w:hAnsiTheme="majorHAnsi" w:cstheme="majorHAnsi"/>
                <w:lang w:val="en-GB"/>
              </w:rPr>
            </w:pPr>
            <w:r w:rsidRPr="00BC7917">
              <w:rPr>
                <w:rFonts w:asciiTheme="majorHAnsi" w:eastAsia="Calibri Light" w:hAnsiTheme="majorHAnsi" w:cstheme="majorHAnsi"/>
                <w:lang w:val="en-GB"/>
              </w:rPr>
              <w:t>April</w:t>
            </w:r>
            <w:r w:rsidR="005D58FD" w:rsidRPr="008E4140">
              <w:rPr>
                <w:rFonts w:asciiTheme="majorHAnsi" w:eastAsia="Calibri Light" w:hAnsiTheme="majorHAnsi" w:cstheme="majorHAnsi"/>
                <w:lang w:val="en-GB"/>
              </w:rPr>
              <w:t xml:space="preserve"> 2023 to December 2024</w:t>
            </w:r>
          </w:p>
        </w:tc>
      </w:tr>
      <w:tr w:rsidR="0063608D" w:rsidRPr="008E4140" w14:paraId="414BCF0E" w14:textId="77777777" w:rsidTr="00C6630F">
        <w:tc>
          <w:tcPr>
            <w:tcW w:w="4390" w:type="dxa"/>
          </w:tcPr>
          <w:p w14:paraId="619F989B" w14:textId="0A7D74CD" w:rsidR="00DA14E5" w:rsidRPr="001962C6" w:rsidRDefault="00DA14E5" w:rsidP="00B93B80">
            <w:pPr>
              <w:pStyle w:val="ListParagraph"/>
              <w:numPr>
                <w:ilvl w:val="0"/>
                <w:numId w:val="4"/>
              </w:numPr>
              <w:suppressAutoHyphens/>
              <w:spacing w:before="120"/>
              <w:rPr>
                <w:rFonts w:asciiTheme="majorHAnsi" w:eastAsia="Calibri Light" w:hAnsiTheme="majorHAnsi" w:cstheme="majorHAnsi"/>
                <w:lang w:val="en-GB"/>
              </w:rPr>
            </w:pPr>
            <w:r w:rsidRPr="001962C6">
              <w:rPr>
                <w:rFonts w:asciiTheme="majorHAnsi" w:hAnsiTheme="majorHAnsi" w:cstheme="majorHAnsi"/>
              </w:rPr>
              <w:lastRenderedPageBreak/>
              <w:t xml:space="preserve">The number of </w:t>
            </w:r>
            <w:r w:rsidR="00B7676B">
              <w:rPr>
                <w:rFonts w:asciiTheme="majorHAnsi" w:hAnsiTheme="majorHAnsi" w:cstheme="majorHAnsi"/>
              </w:rPr>
              <w:t xml:space="preserve">stocks supplied to Chapters should be better aligned with the number </w:t>
            </w:r>
            <w:r w:rsidR="0076004C">
              <w:rPr>
                <w:rFonts w:asciiTheme="majorHAnsi" w:hAnsiTheme="majorHAnsi" w:cstheme="majorHAnsi"/>
              </w:rPr>
              <w:t xml:space="preserve">of </w:t>
            </w:r>
            <w:r w:rsidRPr="001962C6">
              <w:rPr>
                <w:rFonts w:asciiTheme="majorHAnsi" w:hAnsiTheme="majorHAnsi" w:cstheme="majorHAnsi"/>
              </w:rPr>
              <w:t>target</w:t>
            </w:r>
            <w:r w:rsidR="00B7676B">
              <w:rPr>
                <w:rFonts w:asciiTheme="majorHAnsi" w:hAnsiTheme="majorHAnsi" w:cstheme="majorHAnsi"/>
              </w:rPr>
              <w:t xml:space="preserve"> beneficiaries indicated in their requests, where stocks are available.</w:t>
            </w:r>
            <w:r w:rsidR="00C6630F">
              <w:rPr>
                <w:rFonts w:asciiTheme="majorHAnsi" w:hAnsiTheme="majorHAnsi" w:cstheme="majorHAnsi"/>
              </w:rPr>
              <w:br/>
            </w:r>
            <w:r w:rsidR="006E5FA1">
              <w:rPr>
                <w:rFonts w:asciiTheme="majorHAnsi" w:hAnsiTheme="majorHAnsi" w:cstheme="majorHAnsi"/>
              </w:rPr>
              <w:t xml:space="preserve"> </w:t>
            </w:r>
          </w:p>
        </w:tc>
        <w:tc>
          <w:tcPr>
            <w:tcW w:w="1275" w:type="dxa"/>
          </w:tcPr>
          <w:p w14:paraId="42AE6BD8" w14:textId="55E9941E" w:rsidR="006735BC" w:rsidRPr="008E4140" w:rsidRDefault="00692BC5" w:rsidP="006735BC">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b/>
                <w:bCs/>
                <w:lang w:val="en-GB"/>
              </w:rPr>
              <w:t>Agree</w:t>
            </w:r>
          </w:p>
        </w:tc>
        <w:tc>
          <w:tcPr>
            <w:tcW w:w="3402" w:type="dxa"/>
          </w:tcPr>
          <w:p w14:paraId="386C1FC7" w14:textId="2CE60C9C" w:rsidR="006735BC" w:rsidRPr="008E4140" w:rsidRDefault="006735BC" w:rsidP="006735BC">
            <w:pPr>
              <w:suppressAutoHyphens/>
              <w:spacing w:before="120"/>
              <w:rPr>
                <w:rFonts w:asciiTheme="majorHAnsi" w:eastAsia="Calibri Light" w:hAnsiTheme="majorHAnsi" w:cstheme="majorHAnsi"/>
                <w:lang w:val="en-GB"/>
              </w:rPr>
            </w:pPr>
          </w:p>
        </w:tc>
        <w:tc>
          <w:tcPr>
            <w:tcW w:w="3969" w:type="dxa"/>
          </w:tcPr>
          <w:p w14:paraId="270BD4C2" w14:textId="183B1A64" w:rsidR="00F06F6D" w:rsidRPr="008E4140" w:rsidRDefault="004A3448" w:rsidP="00117696">
            <w:pPr>
              <w:suppressAutoHyphens/>
              <w:spacing w:before="120"/>
              <w:rPr>
                <w:rFonts w:asciiTheme="majorHAnsi" w:eastAsia="Calibri Light" w:hAnsiTheme="majorHAnsi" w:cstheme="majorHAnsi"/>
                <w:lang w:val="en-GB"/>
              </w:rPr>
            </w:pPr>
            <w:r>
              <w:rPr>
                <w:rFonts w:asciiTheme="majorHAnsi" w:eastAsia="Calibri Light" w:hAnsiTheme="majorHAnsi" w:cstheme="majorHAnsi"/>
                <w:lang w:val="en-GB"/>
              </w:rPr>
              <w:t xml:space="preserve">PRC </w:t>
            </w:r>
            <w:r w:rsidR="00A062D1">
              <w:rPr>
                <w:rFonts w:asciiTheme="majorHAnsi" w:eastAsia="Calibri Light" w:hAnsiTheme="majorHAnsi" w:cstheme="majorHAnsi"/>
                <w:lang w:val="en-GB"/>
              </w:rPr>
              <w:t xml:space="preserve">commits </w:t>
            </w:r>
            <w:r>
              <w:rPr>
                <w:rFonts w:asciiTheme="majorHAnsi" w:eastAsia="Calibri Light" w:hAnsiTheme="majorHAnsi" w:cstheme="majorHAnsi"/>
                <w:lang w:val="en-GB"/>
              </w:rPr>
              <w:t xml:space="preserve">to release the requested items based on the </w:t>
            </w:r>
            <w:r w:rsidR="00566EE2">
              <w:rPr>
                <w:rFonts w:asciiTheme="majorHAnsi" w:eastAsia="Calibri Light" w:hAnsiTheme="majorHAnsi" w:cstheme="majorHAnsi"/>
                <w:lang w:val="en-GB"/>
              </w:rPr>
              <w:t xml:space="preserve">confirmed </w:t>
            </w:r>
            <w:r>
              <w:rPr>
                <w:rFonts w:asciiTheme="majorHAnsi" w:eastAsia="Calibri Light" w:hAnsiTheme="majorHAnsi" w:cstheme="majorHAnsi"/>
                <w:lang w:val="en-GB"/>
              </w:rPr>
              <w:t>needs</w:t>
            </w:r>
            <w:r w:rsidR="00566EE2">
              <w:rPr>
                <w:rFonts w:asciiTheme="majorHAnsi" w:eastAsia="Calibri Light" w:hAnsiTheme="majorHAnsi" w:cstheme="majorHAnsi"/>
                <w:lang w:val="en-GB"/>
              </w:rPr>
              <w:t xml:space="preserve"> assessment vis-a-vis</w:t>
            </w:r>
            <w:r>
              <w:rPr>
                <w:rFonts w:asciiTheme="majorHAnsi" w:eastAsia="Calibri Light" w:hAnsiTheme="majorHAnsi" w:cstheme="majorHAnsi"/>
                <w:lang w:val="en-GB"/>
              </w:rPr>
              <w:t xml:space="preserve"> available </w:t>
            </w:r>
            <w:r w:rsidR="00566EE2">
              <w:rPr>
                <w:rFonts w:asciiTheme="majorHAnsi" w:eastAsia="Calibri Light" w:hAnsiTheme="majorHAnsi" w:cstheme="majorHAnsi"/>
                <w:lang w:val="en-GB"/>
              </w:rPr>
              <w:t xml:space="preserve">DFAT </w:t>
            </w:r>
            <w:r>
              <w:rPr>
                <w:rFonts w:asciiTheme="majorHAnsi" w:eastAsia="Calibri Light" w:hAnsiTheme="majorHAnsi" w:cstheme="majorHAnsi"/>
                <w:lang w:val="en-GB"/>
              </w:rPr>
              <w:t xml:space="preserve">stocks. </w:t>
            </w:r>
          </w:p>
        </w:tc>
        <w:tc>
          <w:tcPr>
            <w:tcW w:w="1418" w:type="dxa"/>
          </w:tcPr>
          <w:p w14:paraId="0BEDEA8D" w14:textId="3FB3A61B" w:rsidR="006735BC" w:rsidRPr="008E4140" w:rsidRDefault="00BC7917" w:rsidP="006735BC">
            <w:pPr>
              <w:suppressAutoHyphens/>
              <w:spacing w:before="120"/>
              <w:rPr>
                <w:rFonts w:asciiTheme="majorHAnsi" w:eastAsia="Calibri Light" w:hAnsiTheme="majorHAnsi" w:cstheme="majorHAnsi"/>
                <w:lang w:val="en-GB"/>
              </w:rPr>
            </w:pPr>
            <w:r w:rsidRPr="00BC7917">
              <w:rPr>
                <w:rFonts w:asciiTheme="majorHAnsi" w:eastAsia="Calibri Light" w:hAnsiTheme="majorHAnsi" w:cstheme="majorHAnsi"/>
                <w:lang w:val="en-GB"/>
              </w:rPr>
              <w:t>April</w:t>
            </w:r>
            <w:r w:rsidR="000132FB" w:rsidRPr="008E4140">
              <w:rPr>
                <w:rFonts w:asciiTheme="majorHAnsi" w:eastAsia="Calibri Light" w:hAnsiTheme="majorHAnsi" w:cstheme="majorHAnsi"/>
                <w:lang w:val="en-GB"/>
              </w:rPr>
              <w:t xml:space="preserve"> 2023 to December 2024</w:t>
            </w:r>
          </w:p>
        </w:tc>
      </w:tr>
      <w:tr w:rsidR="0063608D" w:rsidRPr="00F90D5A" w14:paraId="4F66DFF9" w14:textId="77777777" w:rsidTr="00C6630F">
        <w:tc>
          <w:tcPr>
            <w:tcW w:w="4390" w:type="dxa"/>
          </w:tcPr>
          <w:p w14:paraId="0FF00E50" w14:textId="77777777" w:rsidR="00B92CE5" w:rsidRPr="00B92CE5" w:rsidRDefault="00A1579F" w:rsidP="00B93B80">
            <w:pPr>
              <w:pStyle w:val="ListParagraph"/>
              <w:numPr>
                <w:ilvl w:val="0"/>
                <w:numId w:val="4"/>
              </w:numPr>
              <w:suppressAutoHyphens/>
              <w:spacing w:before="120"/>
              <w:rPr>
                <w:rFonts w:asciiTheme="majorHAnsi" w:eastAsia="Calibri Light" w:hAnsiTheme="majorHAnsi" w:cstheme="majorHAnsi"/>
                <w:lang w:val="en-GB"/>
              </w:rPr>
            </w:pPr>
            <w:r w:rsidRPr="001962C6">
              <w:rPr>
                <w:rFonts w:asciiTheme="majorHAnsi" w:hAnsiTheme="majorHAnsi" w:cstheme="majorHAnsi"/>
              </w:rPr>
              <w:t>PRC to explore framework agreements with new Financial Services Providers</w:t>
            </w:r>
            <w:r w:rsidR="002174FA" w:rsidRPr="001962C6">
              <w:rPr>
                <w:rFonts w:asciiTheme="majorHAnsi" w:hAnsiTheme="majorHAnsi" w:cstheme="majorHAnsi"/>
              </w:rPr>
              <w:t xml:space="preserve"> (FSPs)</w:t>
            </w:r>
            <w:r w:rsidR="00901132">
              <w:rPr>
                <w:rFonts w:asciiTheme="majorHAnsi" w:hAnsiTheme="majorHAnsi" w:cstheme="majorHAnsi"/>
              </w:rPr>
              <w:t xml:space="preserve"> and </w:t>
            </w:r>
            <w:r w:rsidRPr="001962C6">
              <w:rPr>
                <w:rFonts w:asciiTheme="majorHAnsi" w:hAnsiTheme="majorHAnsi" w:cstheme="majorHAnsi"/>
              </w:rPr>
              <w:t>transport services</w:t>
            </w:r>
            <w:r w:rsidR="00901132">
              <w:rPr>
                <w:rFonts w:asciiTheme="majorHAnsi" w:hAnsiTheme="majorHAnsi" w:cstheme="majorHAnsi"/>
              </w:rPr>
              <w:t>.</w:t>
            </w:r>
          </w:p>
          <w:p w14:paraId="14532FE5" w14:textId="27107FAF" w:rsidR="006735BC" w:rsidRPr="001962C6" w:rsidRDefault="006735BC" w:rsidP="00B92CE5">
            <w:pPr>
              <w:pStyle w:val="ListParagraph"/>
              <w:suppressAutoHyphens/>
              <w:spacing w:before="120"/>
              <w:rPr>
                <w:rFonts w:asciiTheme="majorHAnsi" w:eastAsia="Calibri Light" w:hAnsiTheme="majorHAnsi" w:cstheme="majorHAnsi"/>
                <w:lang w:val="en-GB"/>
              </w:rPr>
            </w:pPr>
          </w:p>
        </w:tc>
        <w:tc>
          <w:tcPr>
            <w:tcW w:w="1275" w:type="dxa"/>
          </w:tcPr>
          <w:p w14:paraId="56611591" w14:textId="6521E5ED" w:rsidR="006735BC" w:rsidRPr="008E4140" w:rsidRDefault="006735BC" w:rsidP="006735BC">
            <w:pPr>
              <w:suppressAutoHyphens/>
              <w:spacing w:before="120"/>
              <w:rPr>
                <w:rFonts w:asciiTheme="majorHAnsi" w:eastAsia="Calibri Light" w:hAnsiTheme="majorHAnsi" w:cstheme="majorHAnsi"/>
                <w:b/>
                <w:bCs/>
                <w:lang w:val="en-GB"/>
              </w:rPr>
            </w:pPr>
            <w:r w:rsidRPr="008E4140">
              <w:rPr>
                <w:rFonts w:asciiTheme="majorHAnsi" w:eastAsia="Calibri Light" w:hAnsiTheme="majorHAnsi" w:cstheme="majorHAnsi"/>
                <w:b/>
                <w:bCs/>
                <w:lang w:val="en-GB"/>
              </w:rPr>
              <w:t>Agree</w:t>
            </w:r>
          </w:p>
        </w:tc>
        <w:tc>
          <w:tcPr>
            <w:tcW w:w="3402" w:type="dxa"/>
          </w:tcPr>
          <w:p w14:paraId="443AF680" w14:textId="24CB9E48" w:rsidR="009B16D9" w:rsidRPr="008E4140" w:rsidRDefault="0092321D" w:rsidP="006735BC">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DFAT</w:t>
            </w:r>
            <w:r w:rsidR="00777920" w:rsidRPr="008E4140">
              <w:rPr>
                <w:rFonts w:asciiTheme="majorHAnsi" w:eastAsia="Calibri Light" w:hAnsiTheme="majorHAnsi" w:cstheme="majorHAnsi"/>
                <w:lang w:val="en-GB"/>
              </w:rPr>
              <w:t xml:space="preserve"> </w:t>
            </w:r>
            <w:r w:rsidR="0056074A" w:rsidRPr="008E4140">
              <w:rPr>
                <w:rFonts w:asciiTheme="majorHAnsi" w:eastAsia="Calibri Light" w:hAnsiTheme="majorHAnsi" w:cstheme="majorHAnsi"/>
                <w:lang w:val="en-GB"/>
              </w:rPr>
              <w:t xml:space="preserve">is committed </w:t>
            </w:r>
            <w:r w:rsidR="002E3EE4" w:rsidRPr="008E4140">
              <w:rPr>
                <w:rFonts w:asciiTheme="majorHAnsi" w:eastAsia="Calibri Light" w:hAnsiTheme="majorHAnsi" w:cstheme="majorHAnsi"/>
                <w:lang w:val="en-GB"/>
              </w:rPr>
              <w:t>to improvin</w:t>
            </w:r>
            <w:r w:rsidR="009B16D9" w:rsidRPr="008E4140">
              <w:rPr>
                <w:rFonts w:asciiTheme="majorHAnsi" w:eastAsia="Calibri Light" w:hAnsiTheme="majorHAnsi" w:cstheme="majorHAnsi"/>
                <w:lang w:val="en-GB"/>
              </w:rPr>
              <w:t xml:space="preserve">g and increasing the </w:t>
            </w:r>
            <w:r w:rsidR="002174FA" w:rsidRPr="008E4140">
              <w:rPr>
                <w:rFonts w:asciiTheme="majorHAnsi" w:eastAsia="Calibri Light" w:hAnsiTheme="majorHAnsi" w:cstheme="majorHAnsi"/>
                <w:lang w:val="en-GB"/>
              </w:rPr>
              <w:t>timely and appropriat</w:t>
            </w:r>
            <w:r w:rsidR="00B73532" w:rsidRPr="008E4140">
              <w:rPr>
                <w:rFonts w:asciiTheme="majorHAnsi" w:eastAsia="Calibri Light" w:hAnsiTheme="majorHAnsi" w:cstheme="majorHAnsi"/>
                <w:lang w:val="en-GB"/>
              </w:rPr>
              <w:t>e distribution</w:t>
            </w:r>
            <w:r w:rsidR="009B16D9" w:rsidRPr="008E4140">
              <w:rPr>
                <w:rFonts w:asciiTheme="majorHAnsi" w:eastAsia="Calibri Light" w:hAnsiTheme="majorHAnsi" w:cstheme="majorHAnsi"/>
                <w:lang w:val="en-GB"/>
              </w:rPr>
              <w:t xml:space="preserve"> of </w:t>
            </w:r>
            <w:r w:rsidR="00410945" w:rsidRPr="008E4140">
              <w:rPr>
                <w:rFonts w:asciiTheme="majorHAnsi" w:eastAsia="Calibri Light" w:hAnsiTheme="majorHAnsi" w:cstheme="majorHAnsi"/>
                <w:lang w:val="en-GB"/>
              </w:rPr>
              <w:t xml:space="preserve">prepositioned </w:t>
            </w:r>
            <w:r w:rsidR="00B73532" w:rsidRPr="008E4140">
              <w:rPr>
                <w:rFonts w:asciiTheme="majorHAnsi" w:eastAsia="Calibri Light" w:hAnsiTheme="majorHAnsi" w:cstheme="majorHAnsi"/>
                <w:lang w:val="en-GB"/>
              </w:rPr>
              <w:t xml:space="preserve">cash and non-food </w:t>
            </w:r>
            <w:r w:rsidR="00410945" w:rsidRPr="008E4140">
              <w:rPr>
                <w:rFonts w:asciiTheme="majorHAnsi" w:eastAsia="Calibri Light" w:hAnsiTheme="majorHAnsi" w:cstheme="majorHAnsi"/>
                <w:lang w:val="en-GB"/>
              </w:rPr>
              <w:t>items</w:t>
            </w:r>
            <w:r w:rsidR="00B73532" w:rsidRPr="008E4140">
              <w:rPr>
                <w:rFonts w:asciiTheme="majorHAnsi" w:eastAsia="Calibri Light" w:hAnsiTheme="majorHAnsi" w:cstheme="majorHAnsi"/>
                <w:lang w:val="en-GB"/>
              </w:rPr>
              <w:t xml:space="preserve">. </w:t>
            </w:r>
            <w:r w:rsidR="002174FA" w:rsidRPr="008E4140">
              <w:rPr>
                <w:rFonts w:asciiTheme="majorHAnsi" w:eastAsia="Calibri Light" w:hAnsiTheme="majorHAnsi" w:cstheme="majorHAnsi"/>
                <w:lang w:val="en-GB"/>
              </w:rPr>
              <w:t xml:space="preserve"> </w:t>
            </w:r>
          </w:p>
          <w:p w14:paraId="65855069" w14:textId="14046592" w:rsidR="006735BC" w:rsidRPr="008E4140" w:rsidRDefault="006735BC" w:rsidP="006735BC">
            <w:pPr>
              <w:suppressAutoHyphens/>
              <w:spacing w:before="120"/>
              <w:rPr>
                <w:rFonts w:asciiTheme="majorHAnsi" w:eastAsia="Calibri Light" w:hAnsiTheme="majorHAnsi" w:cstheme="majorHAnsi"/>
                <w:lang w:val="en-GB"/>
              </w:rPr>
            </w:pPr>
          </w:p>
        </w:tc>
        <w:tc>
          <w:tcPr>
            <w:tcW w:w="3969" w:type="dxa"/>
          </w:tcPr>
          <w:p w14:paraId="29731D38" w14:textId="6ED73C05" w:rsidR="006735BC" w:rsidRPr="008E4140" w:rsidRDefault="006C464B" w:rsidP="006735BC">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PRC</w:t>
            </w:r>
            <w:r w:rsidR="00A062D1">
              <w:rPr>
                <w:rFonts w:asciiTheme="majorHAnsi" w:eastAsia="Calibri Light" w:hAnsiTheme="majorHAnsi" w:cstheme="majorHAnsi"/>
                <w:lang w:val="en-GB"/>
              </w:rPr>
              <w:t xml:space="preserve"> is encouraged to </w:t>
            </w:r>
            <w:r w:rsidR="000132FB" w:rsidRPr="008E4140">
              <w:rPr>
                <w:rFonts w:asciiTheme="majorHAnsi" w:eastAsia="Calibri Light" w:hAnsiTheme="majorHAnsi" w:cstheme="majorHAnsi"/>
                <w:lang w:val="en-GB"/>
              </w:rPr>
              <w:t>explore</w:t>
            </w:r>
            <w:r w:rsidR="00AA55BA" w:rsidRPr="008E4140">
              <w:rPr>
                <w:rFonts w:asciiTheme="majorHAnsi" w:eastAsia="Calibri Light" w:hAnsiTheme="majorHAnsi" w:cstheme="majorHAnsi"/>
                <w:lang w:val="en-GB"/>
              </w:rPr>
              <w:t xml:space="preserve"> opportunities to establish framework agreement</w:t>
            </w:r>
            <w:r w:rsidR="00B73532" w:rsidRPr="008E4140">
              <w:rPr>
                <w:rFonts w:asciiTheme="majorHAnsi" w:eastAsia="Calibri Light" w:hAnsiTheme="majorHAnsi" w:cstheme="majorHAnsi"/>
                <w:lang w:val="en-GB"/>
              </w:rPr>
              <w:t>s</w:t>
            </w:r>
            <w:r w:rsidR="00AA55BA" w:rsidRPr="008E4140">
              <w:rPr>
                <w:rFonts w:asciiTheme="majorHAnsi" w:eastAsia="Calibri Light" w:hAnsiTheme="majorHAnsi" w:cstheme="majorHAnsi"/>
                <w:lang w:val="en-GB"/>
              </w:rPr>
              <w:t xml:space="preserve"> with</w:t>
            </w:r>
            <w:r w:rsidR="002174FA" w:rsidRPr="008E4140">
              <w:rPr>
                <w:rFonts w:asciiTheme="majorHAnsi" w:eastAsia="Calibri Light" w:hAnsiTheme="majorHAnsi" w:cstheme="majorHAnsi"/>
                <w:lang w:val="en-GB"/>
              </w:rPr>
              <w:t xml:space="preserve"> </w:t>
            </w:r>
            <w:r w:rsidR="00B73532" w:rsidRPr="008E4140">
              <w:rPr>
                <w:rFonts w:asciiTheme="majorHAnsi" w:eastAsia="Calibri Light" w:hAnsiTheme="majorHAnsi" w:cstheme="majorHAnsi"/>
                <w:lang w:val="en-GB"/>
              </w:rPr>
              <w:t xml:space="preserve">additional </w:t>
            </w:r>
            <w:r w:rsidR="002174FA" w:rsidRPr="008E4140">
              <w:rPr>
                <w:rFonts w:asciiTheme="majorHAnsi" w:eastAsia="Calibri Light" w:hAnsiTheme="majorHAnsi" w:cstheme="majorHAnsi"/>
                <w:lang w:val="en-GB"/>
              </w:rPr>
              <w:t>FSPs</w:t>
            </w:r>
            <w:r w:rsidR="00B73532" w:rsidRPr="008E4140">
              <w:rPr>
                <w:rFonts w:asciiTheme="majorHAnsi" w:eastAsia="Calibri Light" w:hAnsiTheme="majorHAnsi" w:cstheme="majorHAnsi"/>
                <w:lang w:val="en-GB"/>
              </w:rPr>
              <w:t xml:space="preserve"> and transport services fo</w:t>
            </w:r>
            <w:r w:rsidR="00AA55BA" w:rsidRPr="008E4140">
              <w:rPr>
                <w:rFonts w:asciiTheme="majorHAnsi" w:eastAsia="Calibri Light" w:hAnsiTheme="majorHAnsi" w:cstheme="majorHAnsi"/>
                <w:lang w:val="en-GB"/>
              </w:rPr>
              <w:t xml:space="preserve">r </w:t>
            </w:r>
            <w:r w:rsidR="00C04A0F" w:rsidRPr="008E4140">
              <w:rPr>
                <w:rFonts w:asciiTheme="majorHAnsi" w:eastAsia="Calibri Light" w:hAnsiTheme="majorHAnsi" w:cstheme="majorHAnsi"/>
                <w:lang w:val="en-GB"/>
              </w:rPr>
              <w:t>the timely delivery of</w:t>
            </w:r>
            <w:r w:rsidR="00B73532" w:rsidRPr="008E4140">
              <w:rPr>
                <w:rFonts w:asciiTheme="majorHAnsi" w:eastAsia="Calibri Light" w:hAnsiTheme="majorHAnsi" w:cstheme="majorHAnsi"/>
                <w:lang w:val="en-GB"/>
              </w:rPr>
              <w:t xml:space="preserve"> assistance. </w:t>
            </w:r>
          </w:p>
          <w:p w14:paraId="466ACC32" w14:textId="09F68A8F" w:rsidR="00727C78" w:rsidRPr="008E4140" w:rsidRDefault="00727C78" w:rsidP="006735BC">
            <w:pPr>
              <w:suppressAutoHyphens/>
              <w:spacing w:before="120"/>
              <w:rPr>
                <w:rFonts w:asciiTheme="majorHAnsi" w:eastAsia="Calibri Light" w:hAnsiTheme="majorHAnsi" w:cstheme="majorHAnsi"/>
                <w:lang w:val="en-GB"/>
              </w:rPr>
            </w:pPr>
            <w:r w:rsidRPr="008E4140">
              <w:rPr>
                <w:rFonts w:asciiTheme="majorHAnsi" w:eastAsia="Calibri Light" w:hAnsiTheme="majorHAnsi" w:cstheme="majorHAnsi"/>
                <w:lang w:val="en-GB"/>
              </w:rPr>
              <w:t xml:space="preserve">PRC has an existing agreement with </w:t>
            </w:r>
            <w:proofErr w:type="spellStart"/>
            <w:r w:rsidRPr="008E4140">
              <w:rPr>
                <w:rFonts w:asciiTheme="majorHAnsi" w:eastAsia="Calibri Light" w:hAnsiTheme="majorHAnsi" w:cstheme="majorHAnsi"/>
                <w:lang w:val="en-GB"/>
              </w:rPr>
              <w:t>PhilPost</w:t>
            </w:r>
            <w:proofErr w:type="spellEnd"/>
            <w:r w:rsidRPr="008E4140">
              <w:rPr>
                <w:rFonts w:asciiTheme="majorHAnsi" w:eastAsia="Calibri Light" w:hAnsiTheme="majorHAnsi" w:cstheme="majorHAnsi"/>
                <w:lang w:val="en-GB"/>
              </w:rPr>
              <w:t xml:space="preserve"> as a Financial Service Provider (FSP). PRC </w:t>
            </w:r>
            <w:r w:rsidR="008D67D0">
              <w:rPr>
                <w:rFonts w:asciiTheme="majorHAnsi" w:eastAsia="Calibri Light" w:hAnsiTheme="majorHAnsi" w:cstheme="majorHAnsi"/>
                <w:lang w:val="en-GB"/>
              </w:rPr>
              <w:t xml:space="preserve">should </w:t>
            </w:r>
            <w:r w:rsidRPr="008E4140">
              <w:rPr>
                <w:rFonts w:asciiTheme="majorHAnsi" w:eastAsia="Calibri Light" w:hAnsiTheme="majorHAnsi" w:cstheme="majorHAnsi"/>
                <w:lang w:val="en-GB"/>
              </w:rPr>
              <w:t xml:space="preserve">explore opportunities with additional FSPs (i.e., </w:t>
            </w:r>
            <w:proofErr w:type="spellStart"/>
            <w:r w:rsidRPr="008E4140">
              <w:rPr>
                <w:rFonts w:asciiTheme="majorHAnsi" w:eastAsia="Calibri Light" w:hAnsiTheme="majorHAnsi" w:cstheme="majorHAnsi"/>
                <w:lang w:val="en-GB"/>
              </w:rPr>
              <w:t>GCash</w:t>
            </w:r>
            <w:proofErr w:type="spellEnd"/>
            <w:r w:rsidRPr="008E4140">
              <w:rPr>
                <w:rFonts w:asciiTheme="majorHAnsi" w:eastAsia="Calibri Light" w:hAnsiTheme="majorHAnsi" w:cstheme="majorHAnsi"/>
                <w:lang w:val="en-GB"/>
              </w:rPr>
              <w:t xml:space="preserve"> and </w:t>
            </w:r>
            <w:proofErr w:type="spellStart"/>
            <w:r w:rsidRPr="008E4140">
              <w:rPr>
                <w:rFonts w:asciiTheme="majorHAnsi" w:eastAsia="Calibri Light" w:hAnsiTheme="majorHAnsi" w:cstheme="majorHAnsi"/>
                <w:lang w:val="en-GB"/>
              </w:rPr>
              <w:t>PayMaya</w:t>
            </w:r>
            <w:proofErr w:type="spellEnd"/>
            <w:r w:rsidRPr="008E4140">
              <w:rPr>
                <w:rFonts w:asciiTheme="majorHAnsi" w:eastAsia="Calibri Light" w:hAnsiTheme="majorHAnsi" w:cstheme="majorHAnsi"/>
                <w:lang w:val="en-GB"/>
              </w:rPr>
              <w:t xml:space="preserve">) in consultation with other members of the Cash Working Group (UN agencies and NGOs). </w:t>
            </w:r>
            <w:r w:rsidR="00C6630F">
              <w:rPr>
                <w:rFonts w:asciiTheme="majorHAnsi" w:eastAsia="Calibri Light" w:hAnsiTheme="majorHAnsi" w:cstheme="majorHAnsi"/>
                <w:lang w:val="en-GB"/>
              </w:rPr>
              <w:br/>
            </w:r>
          </w:p>
        </w:tc>
        <w:tc>
          <w:tcPr>
            <w:tcW w:w="1418" w:type="dxa"/>
          </w:tcPr>
          <w:p w14:paraId="0A288444" w14:textId="544005F7" w:rsidR="006735BC" w:rsidRPr="00957AF8" w:rsidRDefault="00BC7917" w:rsidP="006735BC">
            <w:pPr>
              <w:suppressAutoHyphens/>
              <w:spacing w:before="120"/>
              <w:rPr>
                <w:rFonts w:asciiTheme="majorHAnsi" w:eastAsia="Calibri Light" w:hAnsiTheme="majorHAnsi" w:cstheme="majorHAnsi"/>
                <w:lang w:val="en-GB"/>
              </w:rPr>
            </w:pPr>
            <w:r w:rsidRPr="00BC7917">
              <w:rPr>
                <w:rFonts w:asciiTheme="majorHAnsi" w:eastAsia="Calibri Light" w:hAnsiTheme="majorHAnsi" w:cstheme="majorHAnsi"/>
                <w:lang w:val="en-GB"/>
              </w:rPr>
              <w:t>April</w:t>
            </w:r>
            <w:r w:rsidR="000132FB" w:rsidRPr="008E4140">
              <w:rPr>
                <w:rFonts w:asciiTheme="majorHAnsi" w:eastAsia="Calibri Light" w:hAnsiTheme="majorHAnsi" w:cstheme="majorHAnsi"/>
                <w:lang w:val="en-GB"/>
              </w:rPr>
              <w:t xml:space="preserve"> to June 2023 </w:t>
            </w:r>
          </w:p>
        </w:tc>
      </w:tr>
    </w:tbl>
    <w:p w14:paraId="2904E5CC" w14:textId="3BF09262" w:rsidR="00A008E7" w:rsidRPr="00957AF8" w:rsidRDefault="00A008E7" w:rsidP="00A008E7">
      <w:pPr>
        <w:rPr>
          <w:rFonts w:asciiTheme="majorHAnsi" w:eastAsia="Calibri Light" w:hAnsiTheme="majorHAnsi" w:cstheme="majorHAnsi"/>
          <w:lang w:val="en-GB"/>
        </w:rPr>
      </w:pPr>
    </w:p>
    <w:p w14:paraId="5FD34DD4" w14:textId="77777777" w:rsidR="00B92CE5" w:rsidRDefault="00B92CE5">
      <w:pPr>
        <w:rPr>
          <w:rFonts w:ascii="Calibri Light" w:eastAsia="Calibri Light" w:hAnsi="Calibri Light" w:cs="Times New Roman"/>
          <w:b/>
          <w:bCs/>
          <w:lang w:val="en-GB"/>
        </w:rPr>
      </w:pPr>
      <w:r>
        <w:rPr>
          <w:rFonts w:ascii="Calibri Light" w:eastAsia="Calibri Light" w:hAnsi="Calibri Light" w:cs="Times New Roman"/>
          <w:b/>
          <w:bCs/>
          <w:lang w:val="en-GB"/>
        </w:rPr>
        <w:br w:type="page"/>
      </w:r>
    </w:p>
    <w:p w14:paraId="172C9A30" w14:textId="6AE149A6" w:rsidR="00A008E7" w:rsidRPr="00663980" w:rsidRDefault="00976CBB" w:rsidP="00A008E7">
      <w:pPr>
        <w:rPr>
          <w:rFonts w:ascii="Calibri Light" w:eastAsia="Calibri Light" w:hAnsi="Calibri Light" w:cs="Times New Roman"/>
          <w:b/>
          <w:bCs/>
          <w:lang w:val="en-GB"/>
        </w:rPr>
      </w:pPr>
      <w:r w:rsidRPr="00663980">
        <w:rPr>
          <w:rFonts w:ascii="Calibri Light" w:eastAsia="Calibri Light" w:hAnsi="Calibri Light" w:cs="Times New Roman"/>
          <w:b/>
          <w:bCs/>
          <w:lang w:val="en-GB"/>
        </w:rPr>
        <w:lastRenderedPageBreak/>
        <w:t xml:space="preserve">Key Recommendations </w:t>
      </w:r>
      <w:r w:rsidR="00434AA3">
        <w:rPr>
          <w:rFonts w:ascii="Calibri Light" w:eastAsia="Calibri Light" w:hAnsi="Calibri Light" w:cs="Times New Roman"/>
          <w:b/>
          <w:bCs/>
          <w:lang w:val="en-GB"/>
        </w:rPr>
        <w:t>B</w:t>
      </w:r>
      <w:r w:rsidRPr="00663980">
        <w:rPr>
          <w:rFonts w:ascii="Calibri Light" w:eastAsia="Calibri Light" w:hAnsi="Calibri Light" w:cs="Times New Roman"/>
          <w:b/>
          <w:bCs/>
          <w:lang w:val="en-GB"/>
        </w:rPr>
        <w:t>eyond 2024</w:t>
      </w:r>
    </w:p>
    <w:tbl>
      <w:tblPr>
        <w:tblStyle w:val="TableGrid1"/>
        <w:tblW w:w="0" w:type="auto"/>
        <w:tblLayout w:type="fixed"/>
        <w:tblLook w:val="00A0" w:firstRow="1" w:lastRow="0" w:firstColumn="1" w:lastColumn="0" w:noHBand="0" w:noVBand="0"/>
      </w:tblPr>
      <w:tblGrid>
        <w:gridCol w:w="4248"/>
        <w:gridCol w:w="1276"/>
        <w:gridCol w:w="3118"/>
        <w:gridCol w:w="4394"/>
        <w:gridCol w:w="1418"/>
      </w:tblGrid>
      <w:tr w:rsidR="00976CBB" w:rsidRPr="00976CBB" w14:paraId="4DB751D9" w14:textId="77777777" w:rsidTr="00C6630F">
        <w:tc>
          <w:tcPr>
            <w:tcW w:w="4248" w:type="dxa"/>
            <w:shd w:val="clear" w:color="auto" w:fill="D9D9D9" w:themeFill="background1" w:themeFillShade="D9"/>
            <w:vAlign w:val="center"/>
          </w:tcPr>
          <w:p w14:paraId="2CF6023B" w14:textId="024E9650" w:rsidR="00976CBB" w:rsidRPr="00976CBB" w:rsidRDefault="00976CBB" w:rsidP="00144D9F">
            <w:pPr>
              <w:suppressAutoHyphens/>
              <w:spacing w:before="120"/>
              <w:contextualSpacing/>
              <w:jc w:val="center"/>
              <w:rPr>
                <w:rFonts w:asciiTheme="majorHAnsi" w:hAnsiTheme="majorHAnsi" w:cstheme="majorHAnsi"/>
              </w:rPr>
            </w:pPr>
            <w:r w:rsidRPr="008E4140">
              <w:rPr>
                <w:rFonts w:eastAsia="Calibri Light" w:cstheme="majorHAnsi"/>
                <w:b/>
                <w:bCs/>
                <w:lang w:val="en-GB"/>
              </w:rPr>
              <w:t>RECOMMENDATION</w:t>
            </w:r>
          </w:p>
        </w:tc>
        <w:tc>
          <w:tcPr>
            <w:tcW w:w="1276" w:type="dxa"/>
            <w:shd w:val="clear" w:color="auto" w:fill="D9D9D9" w:themeFill="background1" w:themeFillShade="D9"/>
            <w:vAlign w:val="center"/>
          </w:tcPr>
          <w:p w14:paraId="74C06533" w14:textId="1BE925ED" w:rsidR="00976CBB" w:rsidRPr="00144D9F" w:rsidRDefault="00976CBB" w:rsidP="00144D9F">
            <w:pPr>
              <w:suppressAutoHyphens/>
              <w:spacing w:before="120"/>
              <w:contextualSpacing/>
              <w:jc w:val="center"/>
              <w:rPr>
                <w:rFonts w:eastAsia="Calibri Light" w:cstheme="majorHAnsi"/>
                <w:b/>
                <w:bCs/>
                <w:lang w:val="en-GB"/>
              </w:rPr>
            </w:pPr>
            <w:r w:rsidRPr="00144D9F">
              <w:rPr>
                <w:rFonts w:eastAsia="Calibri Light" w:cstheme="majorHAnsi"/>
                <w:b/>
                <w:bCs/>
                <w:lang w:val="en-GB"/>
              </w:rPr>
              <w:t>RESPONSE</w:t>
            </w:r>
          </w:p>
        </w:tc>
        <w:tc>
          <w:tcPr>
            <w:tcW w:w="3118" w:type="dxa"/>
            <w:shd w:val="clear" w:color="auto" w:fill="D9D9D9" w:themeFill="background1" w:themeFillShade="D9"/>
            <w:vAlign w:val="center"/>
          </w:tcPr>
          <w:p w14:paraId="13F75894" w14:textId="5A60A4AE" w:rsidR="00976CBB" w:rsidRPr="00144D9F" w:rsidRDefault="00976CBB" w:rsidP="00144D9F">
            <w:pPr>
              <w:suppressAutoHyphens/>
              <w:spacing w:before="120"/>
              <w:contextualSpacing/>
              <w:jc w:val="center"/>
              <w:rPr>
                <w:rFonts w:eastAsia="Calibri Light" w:cstheme="majorHAnsi"/>
                <w:b/>
                <w:bCs/>
                <w:lang w:val="en-GB"/>
              </w:rPr>
            </w:pPr>
            <w:r w:rsidRPr="00144D9F">
              <w:rPr>
                <w:rFonts w:eastAsia="Calibri Light" w:cstheme="majorHAnsi"/>
                <w:b/>
                <w:bCs/>
                <w:lang w:val="en-GB"/>
              </w:rPr>
              <w:t>EXPLANATION</w:t>
            </w:r>
          </w:p>
        </w:tc>
        <w:tc>
          <w:tcPr>
            <w:tcW w:w="4394" w:type="dxa"/>
            <w:shd w:val="clear" w:color="auto" w:fill="D9D9D9" w:themeFill="background1" w:themeFillShade="D9"/>
            <w:vAlign w:val="center"/>
          </w:tcPr>
          <w:p w14:paraId="130DF3C5" w14:textId="489A7ECD" w:rsidR="00976CBB" w:rsidRPr="00144D9F" w:rsidRDefault="00976CBB" w:rsidP="00144D9F">
            <w:pPr>
              <w:suppressAutoHyphens/>
              <w:spacing w:before="120"/>
              <w:contextualSpacing/>
              <w:jc w:val="center"/>
              <w:rPr>
                <w:rFonts w:eastAsia="Calibri Light" w:cstheme="majorHAnsi"/>
                <w:b/>
                <w:bCs/>
                <w:lang w:val="en-GB"/>
              </w:rPr>
            </w:pPr>
            <w:r w:rsidRPr="00144D9F">
              <w:rPr>
                <w:rFonts w:eastAsia="Calibri Light" w:cstheme="majorHAnsi"/>
                <w:b/>
                <w:bCs/>
                <w:lang w:val="en-GB"/>
              </w:rPr>
              <w:t>ACTION PLAN</w:t>
            </w:r>
          </w:p>
        </w:tc>
        <w:tc>
          <w:tcPr>
            <w:tcW w:w="1418" w:type="dxa"/>
            <w:shd w:val="clear" w:color="auto" w:fill="D9D9D9" w:themeFill="background1" w:themeFillShade="D9"/>
            <w:vAlign w:val="center"/>
          </w:tcPr>
          <w:p w14:paraId="194D836B" w14:textId="69FF6546" w:rsidR="00976CBB" w:rsidRPr="00144D9F" w:rsidRDefault="00976CBB" w:rsidP="00144D9F">
            <w:pPr>
              <w:suppressAutoHyphens/>
              <w:spacing w:before="120"/>
              <w:contextualSpacing/>
              <w:jc w:val="center"/>
              <w:rPr>
                <w:rFonts w:eastAsia="Calibri Light" w:cstheme="majorHAnsi"/>
                <w:b/>
                <w:bCs/>
                <w:lang w:val="en-GB"/>
              </w:rPr>
            </w:pPr>
            <w:r w:rsidRPr="00144D9F">
              <w:rPr>
                <w:rFonts w:eastAsia="Calibri Light" w:cstheme="majorHAnsi"/>
                <w:b/>
                <w:bCs/>
                <w:lang w:val="en-GB"/>
              </w:rPr>
              <w:t>TIMEFRAME</w:t>
            </w:r>
          </w:p>
        </w:tc>
      </w:tr>
      <w:tr w:rsidR="00976CBB" w:rsidRPr="00976CBB" w14:paraId="74A69E6E" w14:textId="77777777" w:rsidTr="00C6630F">
        <w:tc>
          <w:tcPr>
            <w:tcW w:w="4248" w:type="dxa"/>
          </w:tcPr>
          <w:p w14:paraId="4D580A50" w14:textId="77777777" w:rsidR="00B92CE5" w:rsidRDefault="00976CBB" w:rsidP="00144D9F">
            <w:pPr>
              <w:pStyle w:val="ListParagraph"/>
              <w:numPr>
                <w:ilvl w:val="0"/>
                <w:numId w:val="4"/>
              </w:numPr>
              <w:suppressAutoHyphens/>
              <w:spacing w:before="120"/>
              <w:rPr>
                <w:rFonts w:asciiTheme="majorHAnsi" w:eastAsia="Calibri Light" w:hAnsiTheme="majorHAnsi" w:cstheme="majorHAnsi"/>
                <w:lang w:val="en-GB"/>
              </w:rPr>
            </w:pPr>
            <w:r w:rsidRPr="00144D9F">
              <w:rPr>
                <w:rFonts w:asciiTheme="majorHAnsi" w:eastAsia="Calibri Light" w:hAnsiTheme="majorHAnsi" w:cstheme="majorHAnsi"/>
                <w:lang w:val="en-GB"/>
              </w:rPr>
              <w:t xml:space="preserve">DFAT to provide financial support to implement the PRC strategy to establish 17 additional logistical hubs throughout the Philippines. </w:t>
            </w:r>
          </w:p>
          <w:p w14:paraId="2C9D9D80" w14:textId="3EFF28B4" w:rsidR="00976CBB" w:rsidRPr="00144D9F" w:rsidRDefault="00976CBB" w:rsidP="00B92CE5">
            <w:pPr>
              <w:pStyle w:val="ListParagraph"/>
              <w:suppressAutoHyphens/>
              <w:spacing w:before="120"/>
              <w:rPr>
                <w:rFonts w:asciiTheme="majorHAnsi" w:eastAsia="Calibri Light" w:hAnsiTheme="majorHAnsi" w:cstheme="majorHAnsi"/>
                <w:lang w:val="en-GB"/>
              </w:rPr>
            </w:pPr>
          </w:p>
        </w:tc>
        <w:tc>
          <w:tcPr>
            <w:tcW w:w="1276" w:type="dxa"/>
          </w:tcPr>
          <w:p w14:paraId="35AFFF22" w14:textId="34CF7FF5" w:rsidR="00976CBB" w:rsidRPr="00976CBB" w:rsidRDefault="00976CBB" w:rsidP="00976CBB">
            <w:pPr>
              <w:suppressAutoHyphens/>
              <w:spacing w:before="120"/>
              <w:rPr>
                <w:rFonts w:asciiTheme="majorHAnsi" w:eastAsia="Calibri Light" w:hAnsiTheme="majorHAnsi" w:cstheme="majorHAnsi"/>
                <w:b/>
                <w:bCs/>
                <w:lang w:val="en-GB"/>
              </w:rPr>
            </w:pPr>
            <w:r>
              <w:rPr>
                <w:rFonts w:asciiTheme="majorHAnsi" w:eastAsia="Calibri Light" w:hAnsiTheme="majorHAnsi" w:cstheme="majorHAnsi"/>
                <w:b/>
                <w:bCs/>
                <w:lang w:val="en-GB"/>
              </w:rPr>
              <w:t>Disagree</w:t>
            </w:r>
          </w:p>
        </w:tc>
        <w:tc>
          <w:tcPr>
            <w:tcW w:w="3118" w:type="dxa"/>
          </w:tcPr>
          <w:p w14:paraId="6FF1E1C0" w14:textId="423933D3" w:rsidR="00976CBB" w:rsidRPr="00976CBB" w:rsidRDefault="00976CBB" w:rsidP="00976CBB">
            <w:pPr>
              <w:suppressAutoHyphens/>
              <w:spacing w:before="120"/>
              <w:rPr>
                <w:rFonts w:asciiTheme="majorHAnsi" w:eastAsia="Calibri Light" w:hAnsiTheme="majorHAnsi" w:cstheme="majorHAnsi"/>
                <w:lang w:val="en-GB"/>
              </w:rPr>
            </w:pPr>
            <w:r>
              <w:rPr>
                <w:rFonts w:asciiTheme="majorHAnsi" w:eastAsia="Calibri Light" w:hAnsiTheme="majorHAnsi" w:cstheme="majorHAnsi"/>
                <w:lang w:val="en-GB"/>
              </w:rPr>
              <w:t xml:space="preserve">DFAT </w:t>
            </w:r>
            <w:r w:rsidR="00434AA3">
              <w:rPr>
                <w:rFonts w:asciiTheme="majorHAnsi" w:eastAsia="Calibri Light" w:hAnsiTheme="majorHAnsi" w:cstheme="majorHAnsi"/>
                <w:lang w:val="en-GB"/>
              </w:rPr>
              <w:t>support to PRC is focused on preposition</w:t>
            </w:r>
            <w:r w:rsidR="00BD2766">
              <w:rPr>
                <w:rFonts w:asciiTheme="majorHAnsi" w:eastAsia="Calibri Light" w:hAnsiTheme="majorHAnsi" w:cstheme="majorHAnsi"/>
                <w:lang w:val="en-GB"/>
              </w:rPr>
              <w:t>ing</w:t>
            </w:r>
            <w:r w:rsidR="00434AA3">
              <w:rPr>
                <w:rFonts w:asciiTheme="majorHAnsi" w:eastAsia="Calibri Light" w:hAnsiTheme="majorHAnsi" w:cstheme="majorHAnsi"/>
                <w:lang w:val="en-GB"/>
              </w:rPr>
              <w:t xml:space="preserve"> non-food items and cash; and is not amenable to funding infrastructure under its humanitarian portfolio. </w:t>
            </w:r>
          </w:p>
        </w:tc>
        <w:tc>
          <w:tcPr>
            <w:tcW w:w="4394" w:type="dxa"/>
          </w:tcPr>
          <w:p w14:paraId="052B4428" w14:textId="522E3843" w:rsidR="00976CBB" w:rsidRPr="00976CBB" w:rsidRDefault="008D67D0" w:rsidP="00976CBB">
            <w:pPr>
              <w:suppressAutoHyphens/>
              <w:spacing w:before="120"/>
              <w:rPr>
                <w:rFonts w:asciiTheme="majorHAnsi" w:eastAsia="Calibri Light" w:hAnsiTheme="majorHAnsi" w:cstheme="majorHAnsi"/>
                <w:lang w:val="en-GB"/>
              </w:rPr>
            </w:pPr>
            <w:r>
              <w:rPr>
                <w:rFonts w:asciiTheme="majorHAnsi" w:eastAsia="Calibri Light" w:hAnsiTheme="majorHAnsi" w:cstheme="majorHAnsi"/>
                <w:lang w:val="en-GB"/>
              </w:rPr>
              <w:t xml:space="preserve">DFAT to encourage </w:t>
            </w:r>
            <w:r w:rsidR="00976CBB">
              <w:rPr>
                <w:rFonts w:asciiTheme="majorHAnsi" w:eastAsia="Calibri Light" w:hAnsiTheme="majorHAnsi" w:cstheme="majorHAnsi"/>
                <w:lang w:val="en-GB"/>
              </w:rPr>
              <w:t xml:space="preserve">PRC </w:t>
            </w:r>
            <w:r>
              <w:rPr>
                <w:rFonts w:asciiTheme="majorHAnsi" w:eastAsia="Calibri Light" w:hAnsiTheme="majorHAnsi" w:cstheme="majorHAnsi"/>
                <w:lang w:val="en-GB"/>
              </w:rPr>
              <w:t xml:space="preserve">to consider </w:t>
            </w:r>
            <w:r w:rsidR="00976CBB">
              <w:rPr>
                <w:rFonts w:asciiTheme="majorHAnsi" w:eastAsia="Calibri Light" w:hAnsiTheme="majorHAnsi" w:cstheme="majorHAnsi"/>
                <w:lang w:val="en-GB"/>
              </w:rPr>
              <w:t>invest</w:t>
            </w:r>
            <w:r>
              <w:rPr>
                <w:rFonts w:asciiTheme="majorHAnsi" w:eastAsia="Calibri Light" w:hAnsiTheme="majorHAnsi" w:cstheme="majorHAnsi"/>
                <w:lang w:val="en-GB"/>
              </w:rPr>
              <w:t>ing</w:t>
            </w:r>
            <w:r w:rsidR="00976CBB">
              <w:rPr>
                <w:rFonts w:asciiTheme="majorHAnsi" w:eastAsia="Calibri Light" w:hAnsiTheme="majorHAnsi" w:cstheme="majorHAnsi"/>
                <w:lang w:val="en-GB"/>
              </w:rPr>
              <w:t xml:space="preserve"> on their warehouse and logistics capacities to</w:t>
            </w:r>
            <w:r>
              <w:rPr>
                <w:rFonts w:asciiTheme="majorHAnsi" w:eastAsia="Calibri Light" w:hAnsiTheme="majorHAnsi" w:cstheme="majorHAnsi"/>
                <w:lang w:val="en-GB"/>
              </w:rPr>
              <w:t xml:space="preserve"> improve </w:t>
            </w:r>
            <w:r w:rsidR="00976CBB">
              <w:rPr>
                <w:rFonts w:asciiTheme="majorHAnsi" w:eastAsia="Calibri Light" w:hAnsiTheme="majorHAnsi" w:cstheme="majorHAnsi"/>
                <w:lang w:val="en-GB"/>
              </w:rPr>
              <w:t>deliver</w:t>
            </w:r>
            <w:r>
              <w:rPr>
                <w:rFonts w:asciiTheme="majorHAnsi" w:eastAsia="Calibri Light" w:hAnsiTheme="majorHAnsi" w:cstheme="majorHAnsi"/>
                <w:lang w:val="en-GB"/>
              </w:rPr>
              <w:t>y</w:t>
            </w:r>
            <w:r w:rsidR="00976CBB">
              <w:rPr>
                <w:rFonts w:asciiTheme="majorHAnsi" w:eastAsia="Calibri Light" w:hAnsiTheme="majorHAnsi" w:cstheme="majorHAnsi"/>
                <w:lang w:val="en-GB"/>
              </w:rPr>
              <w:t xml:space="preserve"> </w:t>
            </w:r>
            <w:r>
              <w:rPr>
                <w:rFonts w:asciiTheme="majorHAnsi" w:eastAsia="Calibri Light" w:hAnsiTheme="majorHAnsi" w:cstheme="majorHAnsi"/>
                <w:lang w:val="en-GB"/>
              </w:rPr>
              <w:t xml:space="preserve">of </w:t>
            </w:r>
            <w:r w:rsidR="00976CBB">
              <w:rPr>
                <w:rFonts w:asciiTheme="majorHAnsi" w:eastAsia="Calibri Light" w:hAnsiTheme="majorHAnsi" w:cstheme="majorHAnsi"/>
                <w:lang w:val="en-GB"/>
              </w:rPr>
              <w:t xml:space="preserve">relief services to disaster affected areas. </w:t>
            </w:r>
            <w:r>
              <w:rPr>
                <w:rFonts w:asciiTheme="majorHAnsi" w:eastAsia="Calibri Light" w:hAnsiTheme="majorHAnsi" w:cstheme="majorHAnsi"/>
                <w:lang w:val="en-GB"/>
              </w:rPr>
              <w:t xml:space="preserve">This could </w:t>
            </w:r>
            <w:r w:rsidR="00976CBB">
              <w:rPr>
                <w:rFonts w:asciiTheme="majorHAnsi" w:eastAsia="Calibri Light" w:hAnsiTheme="majorHAnsi" w:cstheme="majorHAnsi"/>
                <w:lang w:val="en-GB"/>
              </w:rPr>
              <w:t xml:space="preserve">include training, active coordination with the </w:t>
            </w:r>
            <w:r w:rsidR="00BD2766">
              <w:rPr>
                <w:rFonts w:asciiTheme="majorHAnsi" w:eastAsia="Calibri Light" w:hAnsiTheme="majorHAnsi" w:cstheme="majorHAnsi"/>
                <w:lang w:val="en-GB"/>
              </w:rPr>
              <w:t xml:space="preserve">Philippine Government </w:t>
            </w:r>
            <w:r w:rsidR="00976CBB">
              <w:rPr>
                <w:rFonts w:asciiTheme="majorHAnsi" w:eastAsia="Calibri Light" w:hAnsiTheme="majorHAnsi" w:cstheme="majorHAnsi"/>
                <w:lang w:val="en-GB"/>
              </w:rPr>
              <w:t xml:space="preserve">Logistics Cluster, and partnership with key stakeholders. </w:t>
            </w:r>
            <w:r w:rsidR="00C6630F">
              <w:rPr>
                <w:rFonts w:asciiTheme="majorHAnsi" w:eastAsia="Calibri Light" w:hAnsiTheme="majorHAnsi" w:cstheme="majorHAnsi"/>
                <w:lang w:val="en-GB"/>
              </w:rPr>
              <w:br/>
            </w:r>
          </w:p>
        </w:tc>
        <w:tc>
          <w:tcPr>
            <w:tcW w:w="1418" w:type="dxa"/>
          </w:tcPr>
          <w:p w14:paraId="67E26E19" w14:textId="35F43BD6" w:rsidR="00976CBB" w:rsidRPr="005F3125" w:rsidRDefault="00976CBB" w:rsidP="00FB7E09">
            <w:pPr>
              <w:suppressAutoHyphens/>
              <w:spacing w:before="120"/>
              <w:rPr>
                <w:rFonts w:asciiTheme="majorHAnsi" w:eastAsia="Calibri Light" w:hAnsiTheme="majorHAnsi" w:cstheme="majorHAnsi"/>
                <w:strike/>
                <w:lang w:val="en-GB"/>
              </w:rPr>
            </w:pPr>
          </w:p>
        </w:tc>
      </w:tr>
      <w:tr w:rsidR="00976CBB" w:rsidRPr="00976CBB" w14:paraId="589AEF24" w14:textId="77777777" w:rsidTr="00C6630F">
        <w:tc>
          <w:tcPr>
            <w:tcW w:w="4248" w:type="dxa"/>
          </w:tcPr>
          <w:p w14:paraId="13FBA276" w14:textId="5231318A" w:rsidR="006C27AE" w:rsidRPr="00C6630F" w:rsidRDefault="00976CBB" w:rsidP="00C6630F">
            <w:pPr>
              <w:pStyle w:val="ListParagraph"/>
              <w:numPr>
                <w:ilvl w:val="0"/>
                <w:numId w:val="4"/>
              </w:numPr>
              <w:suppressAutoHyphens/>
              <w:spacing w:before="120"/>
              <w:rPr>
                <w:rFonts w:asciiTheme="majorHAnsi" w:eastAsia="Calibri Light" w:hAnsiTheme="majorHAnsi" w:cstheme="majorHAnsi"/>
                <w:lang w:val="en-GB"/>
              </w:rPr>
            </w:pPr>
            <w:r w:rsidRPr="00976CBB">
              <w:rPr>
                <w:rFonts w:asciiTheme="majorHAnsi" w:eastAsia="Calibri Light" w:hAnsiTheme="majorHAnsi" w:cstheme="majorHAnsi"/>
                <w:lang w:val="en-GB"/>
              </w:rPr>
              <w:t xml:space="preserve">The </w:t>
            </w:r>
            <w:r w:rsidR="006C27AE">
              <w:rPr>
                <w:rFonts w:asciiTheme="majorHAnsi" w:eastAsia="Calibri Light" w:hAnsiTheme="majorHAnsi" w:cstheme="majorHAnsi"/>
                <w:lang w:val="en-GB"/>
              </w:rPr>
              <w:t>prepositioning of non-food items</w:t>
            </w:r>
            <w:r w:rsidRPr="00976CBB">
              <w:rPr>
                <w:rFonts w:asciiTheme="majorHAnsi" w:eastAsia="Calibri Light" w:hAnsiTheme="majorHAnsi" w:cstheme="majorHAnsi"/>
                <w:lang w:val="en-GB"/>
              </w:rPr>
              <w:t xml:space="preserve"> </w:t>
            </w:r>
            <w:r w:rsidR="006C27AE">
              <w:rPr>
                <w:rFonts w:asciiTheme="majorHAnsi" w:eastAsia="Calibri Light" w:hAnsiTheme="majorHAnsi" w:cstheme="majorHAnsi"/>
                <w:lang w:val="en-GB"/>
              </w:rPr>
              <w:t>(</w:t>
            </w:r>
            <w:r w:rsidRPr="00976CBB">
              <w:rPr>
                <w:rFonts w:asciiTheme="majorHAnsi" w:eastAsia="Calibri Light" w:hAnsiTheme="majorHAnsi" w:cstheme="majorHAnsi"/>
                <w:lang w:val="en-GB"/>
              </w:rPr>
              <w:t>NFIs</w:t>
            </w:r>
            <w:r w:rsidR="006C27AE">
              <w:rPr>
                <w:rFonts w:asciiTheme="majorHAnsi" w:eastAsia="Calibri Light" w:hAnsiTheme="majorHAnsi" w:cstheme="majorHAnsi"/>
                <w:lang w:val="en-GB"/>
              </w:rPr>
              <w:t>)</w:t>
            </w:r>
            <w:r w:rsidRPr="00976CBB">
              <w:rPr>
                <w:rFonts w:asciiTheme="majorHAnsi" w:eastAsia="Calibri Light" w:hAnsiTheme="majorHAnsi" w:cstheme="majorHAnsi"/>
                <w:lang w:val="en-GB"/>
              </w:rPr>
              <w:t xml:space="preserve"> needs to be based </w:t>
            </w:r>
            <w:r w:rsidR="00565C50">
              <w:rPr>
                <w:rFonts w:asciiTheme="majorHAnsi" w:eastAsia="Calibri Light" w:hAnsiTheme="majorHAnsi" w:cstheme="majorHAnsi"/>
                <w:lang w:val="en-GB"/>
              </w:rPr>
              <w:t xml:space="preserve">on </w:t>
            </w:r>
            <w:r w:rsidRPr="00976CBB">
              <w:rPr>
                <w:rFonts w:asciiTheme="majorHAnsi" w:eastAsia="Calibri Light" w:hAnsiTheme="majorHAnsi" w:cstheme="majorHAnsi"/>
                <w:lang w:val="en-GB"/>
              </w:rPr>
              <w:t xml:space="preserve">historical use </w:t>
            </w:r>
            <w:r w:rsidR="006C27AE">
              <w:rPr>
                <w:rFonts w:asciiTheme="majorHAnsi" w:eastAsia="Calibri Light" w:hAnsiTheme="majorHAnsi" w:cstheme="majorHAnsi"/>
                <w:lang w:val="en-GB"/>
              </w:rPr>
              <w:t>and projected utilisation</w:t>
            </w:r>
            <w:r w:rsidRPr="00976CBB">
              <w:rPr>
                <w:rFonts w:asciiTheme="majorHAnsi" w:eastAsia="Calibri Light" w:hAnsiTheme="majorHAnsi" w:cstheme="majorHAnsi"/>
                <w:lang w:val="en-GB"/>
              </w:rPr>
              <w:t>.</w:t>
            </w:r>
            <w:r>
              <w:rPr>
                <w:rFonts w:asciiTheme="majorHAnsi" w:eastAsia="Calibri Light" w:hAnsiTheme="majorHAnsi" w:cstheme="majorHAnsi"/>
                <w:lang w:val="en-GB"/>
              </w:rPr>
              <w:t xml:space="preserve"> </w:t>
            </w:r>
            <w:r w:rsidR="006C27AE" w:rsidRPr="00566EE2">
              <w:rPr>
                <w:rFonts w:asciiTheme="majorHAnsi" w:hAnsiTheme="majorHAnsi" w:cstheme="majorHAnsi"/>
              </w:rPr>
              <w:t xml:space="preserve">PRC to </w:t>
            </w:r>
            <w:r w:rsidR="006C27AE">
              <w:rPr>
                <w:rFonts w:asciiTheme="majorHAnsi" w:hAnsiTheme="majorHAnsi" w:cstheme="majorHAnsi"/>
              </w:rPr>
              <w:t>expand list of</w:t>
            </w:r>
            <w:r w:rsidR="006C27AE" w:rsidRPr="00566EE2">
              <w:rPr>
                <w:rFonts w:asciiTheme="majorHAnsi" w:hAnsiTheme="majorHAnsi" w:cstheme="majorHAnsi"/>
              </w:rPr>
              <w:t xml:space="preserve"> suppliers </w:t>
            </w:r>
            <w:r w:rsidR="006C27AE">
              <w:rPr>
                <w:rFonts w:asciiTheme="majorHAnsi" w:hAnsiTheme="majorHAnsi" w:cstheme="majorHAnsi"/>
              </w:rPr>
              <w:t>that can pr</w:t>
            </w:r>
            <w:r w:rsidR="00565C50">
              <w:rPr>
                <w:rFonts w:asciiTheme="majorHAnsi" w:hAnsiTheme="majorHAnsi" w:cstheme="majorHAnsi"/>
              </w:rPr>
              <w:t xml:space="preserve">ovide NFIs </w:t>
            </w:r>
            <w:r w:rsidR="006C27AE" w:rsidRPr="00566EE2">
              <w:rPr>
                <w:rFonts w:asciiTheme="majorHAnsi" w:eastAsia="Calibri Light" w:hAnsiTheme="majorHAnsi" w:cstheme="majorHAnsi"/>
                <w:lang w:val="en-GB"/>
              </w:rPr>
              <w:t xml:space="preserve">with expiry dates (e.g., soaps) </w:t>
            </w:r>
            <w:r w:rsidR="00565C50" w:rsidRPr="00566EE2">
              <w:rPr>
                <w:rFonts w:asciiTheme="majorHAnsi" w:eastAsia="Calibri Light" w:hAnsiTheme="majorHAnsi" w:cstheme="majorHAnsi"/>
                <w:lang w:val="en-GB"/>
              </w:rPr>
              <w:t xml:space="preserve">and schedule </w:t>
            </w:r>
            <w:r w:rsidR="006C27AE" w:rsidRPr="00566EE2">
              <w:rPr>
                <w:rFonts w:asciiTheme="majorHAnsi" w:eastAsia="Calibri Light" w:hAnsiTheme="majorHAnsi" w:cstheme="majorHAnsi"/>
                <w:lang w:val="en-GB"/>
              </w:rPr>
              <w:t xml:space="preserve">deliveries </w:t>
            </w:r>
            <w:r w:rsidR="00565C50" w:rsidRPr="00566EE2">
              <w:rPr>
                <w:rFonts w:asciiTheme="majorHAnsi" w:eastAsia="Calibri Light" w:hAnsiTheme="majorHAnsi" w:cstheme="majorHAnsi"/>
                <w:lang w:val="en-GB"/>
              </w:rPr>
              <w:t>in</w:t>
            </w:r>
            <w:r w:rsidR="00565C50" w:rsidRPr="00566EE2">
              <w:rPr>
                <w:rFonts w:asciiTheme="majorHAnsi" w:hAnsiTheme="majorHAnsi" w:cstheme="majorHAnsi"/>
              </w:rPr>
              <w:t xml:space="preserve"> </w:t>
            </w:r>
            <w:r w:rsidR="00565C50">
              <w:rPr>
                <w:rFonts w:asciiTheme="majorHAnsi" w:hAnsiTheme="majorHAnsi" w:cstheme="majorHAnsi"/>
              </w:rPr>
              <w:t>tranches depending on current inventory and projected needs</w:t>
            </w:r>
            <w:r w:rsidR="006C27AE" w:rsidRPr="00566EE2">
              <w:rPr>
                <w:rFonts w:asciiTheme="majorHAnsi" w:hAnsiTheme="majorHAnsi" w:cstheme="majorHAnsi"/>
              </w:rPr>
              <w:t>.</w:t>
            </w:r>
            <w:r w:rsidR="00C6630F">
              <w:rPr>
                <w:rFonts w:asciiTheme="majorHAnsi" w:hAnsiTheme="majorHAnsi" w:cstheme="majorHAnsi"/>
              </w:rPr>
              <w:br/>
            </w:r>
            <w:r w:rsidR="006C27AE" w:rsidRPr="00566EE2">
              <w:rPr>
                <w:rFonts w:asciiTheme="majorHAnsi" w:hAnsiTheme="majorHAnsi" w:cstheme="majorHAnsi"/>
              </w:rPr>
              <w:t xml:space="preserve">  </w:t>
            </w:r>
          </w:p>
        </w:tc>
        <w:tc>
          <w:tcPr>
            <w:tcW w:w="1276" w:type="dxa"/>
          </w:tcPr>
          <w:p w14:paraId="37944A0E" w14:textId="39619423" w:rsidR="00976CBB" w:rsidRPr="00976CBB" w:rsidRDefault="00976CBB" w:rsidP="00976CBB">
            <w:pPr>
              <w:suppressAutoHyphens/>
              <w:spacing w:before="120"/>
              <w:rPr>
                <w:rFonts w:asciiTheme="majorHAnsi" w:eastAsia="Calibri Light" w:hAnsiTheme="majorHAnsi" w:cstheme="majorHAnsi"/>
                <w:b/>
                <w:bCs/>
                <w:lang w:val="en-GB"/>
              </w:rPr>
            </w:pPr>
            <w:r>
              <w:rPr>
                <w:rFonts w:asciiTheme="majorHAnsi" w:eastAsia="Calibri Light" w:hAnsiTheme="majorHAnsi" w:cstheme="majorHAnsi"/>
                <w:b/>
                <w:bCs/>
                <w:lang w:val="en-GB"/>
              </w:rPr>
              <w:t>Agree</w:t>
            </w:r>
          </w:p>
        </w:tc>
        <w:tc>
          <w:tcPr>
            <w:tcW w:w="3118" w:type="dxa"/>
          </w:tcPr>
          <w:p w14:paraId="4EE9D5F9" w14:textId="6559252E" w:rsidR="00976CBB" w:rsidRPr="00976CBB" w:rsidRDefault="00334F20" w:rsidP="00976CBB">
            <w:pPr>
              <w:suppressAutoHyphens/>
              <w:spacing w:before="120"/>
              <w:rPr>
                <w:rFonts w:asciiTheme="majorHAnsi" w:eastAsia="Calibri Light" w:hAnsiTheme="majorHAnsi" w:cstheme="majorHAnsi"/>
                <w:lang w:val="en-GB"/>
              </w:rPr>
            </w:pPr>
            <w:r>
              <w:rPr>
                <w:rFonts w:asciiTheme="majorHAnsi" w:eastAsia="Calibri Light" w:hAnsiTheme="majorHAnsi" w:cstheme="majorHAnsi"/>
                <w:lang w:val="en-GB"/>
              </w:rPr>
              <w:t xml:space="preserve">The current </w:t>
            </w:r>
            <w:r w:rsidR="0049698C">
              <w:rPr>
                <w:rFonts w:asciiTheme="majorHAnsi" w:eastAsia="Calibri Light" w:hAnsiTheme="majorHAnsi" w:cstheme="majorHAnsi"/>
                <w:lang w:val="en-GB"/>
              </w:rPr>
              <w:t>project</w:t>
            </w:r>
            <w:r>
              <w:rPr>
                <w:rFonts w:asciiTheme="majorHAnsi" w:eastAsia="Calibri Light" w:hAnsiTheme="majorHAnsi" w:cstheme="majorHAnsi"/>
                <w:lang w:val="en-GB"/>
              </w:rPr>
              <w:t xml:space="preserve"> includes an independent completion review at the end of the program</w:t>
            </w:r>
            <w:r w:rsidR="0049698C">
              <w:rPr>
                <w:rFonts w:asciiTheme="majorHAnsi" w:eastAsia="Calibri Light" w:hAnsiTheme="majorHAnsi" w:cstheme="majorHAnsi"/>
                <w:lang w:val="en-GB"/>
              </w:rPr>
              <w:t xml:space="preserve"> which can</w:t>
            </w:r>
            <w:r w:rsidR="00FC178D">
              <w:rPr>
                <w:rFonts w:asciiTheme="majorHAnsi" w:eastAsia="Calibri Light" w:hAnsiTheme="majorHAnsi" w:cstheme="majorHAnsi"/>
                <w:lang w:val="en-GB"/>
              </w:rPr>
              <w:t xml:space="preserve"> identify lessons learned</w:t>
            </w:r>
            <w:r w:rsidR="0049698C">
              <w:rPr>
                <w:rFonts w:asciiTheme="majorHAnsi" w:eastAsia="Calibri Light" w:hAnsiTheme="majorHAnsi" w:cstheme="majorHAnsi"/>
                <w:lang w:val="en-GB"/>
              </w:rPr>
              <w:t xml:space="preserve"> </w:t>
            </w:r>
            <w:r w:rsidR="00BD2766">
              <w:rPr>
                <w:rFonts w:asciiTheme="majorHAnsi" w:eastAsia="Calibri Light" w:hAnsiTheme="majorHAnsi" w:cstheme="majorHAnsi"/>
                <w:lang w:val="en-GB"/>
              </w:rPr>
              <w:t xml:space="preserve">and </w:t>
            </w:r>
            <w:r w:rsidR="0049698C">
              <w:rPr>
                <w:rFonts w:asciiTheme="majorHAnsi" w:eastAsia="Calibri Light" w:hAnsiTheme="majorHAnsi" w:cstheme="majorHAnsi"/>
                <w:lang w:val="en-GB"/>
              </w:rPr>
              <w:t>further define</w:t>
            </w:r>
            <w:r w:rsidR="00FC178D">
              <w:rPr>
                <w:rFonts w:asciiTheme="majorHAnsi" w:eastAsia="Calibri Light" w:hAnsiTheme="majorHAnsi" w:cstheme="majorHAnsi"/>
                <w:lang w:val="en-GB"/>
              </w:rPr>
              <w:t xml:space="preserve"> the particulars of future agreements with PRC</w:t>
            </w:r>
            <w:r w:rsidR="0049698C">
              <w:rPr>
                <w:rFonts w:asciiTheme="majorHAnsi" w:eastAsia="Calibri Light" w:hAnsiTheme="majorHAnsi" w:cstheme="majorHAnsi"/>
                <w:lang w:val="en-GB"/>
              </w:rPr>
              <w:t>.</w:t>
            </w:r>
          </w:p>
        </w:tc>
        <w:tc>
          <w:tcPr>
            <w:tcW w:w="4394" w:type="dxa"/>
          </w:tcPr>
          <w:p w14:paraId="7BC297F5" w14:textId="4C7D4CC9" w:rsidR="00976CBB" w:rsidRPr="00976CBB" w:rsidRDefault="00334F20" w:rsidP="00976CBB">
            <w:pPr>
              <w:suppressAutoHyphens/>
              <w:spacing w:before="120"/>
              <w:rPr>
                <w:rFonts w:asciiTheme="majorHAnsi" w:eastAsia="Calibri Light" w:hAnsiTheme="majorHAnsi" w:cstheme="majorHAnsi"/>
                <w:lang w:val="en-GB"/>
              </w:rPr>
            </w:pPr>
            <w:r>
              <w:rPr>
                <w:rFonts w:asciiTheme="majorHAnsi" w:eastAsia="Calibri Light" w:hAnsiTheme="majorHAnsi" w:cstheme="majorHAnsi"/>
                <w:lang w:val="en-GB"/>
              </w:rPr>
              <w:t xml:space="preserve">DFAT and </w:t>
            </w:r>
            <w:r w:rsidR="00663980">
              <w:rPr>
                <w:rFonts w:asciiTheme="majorHAnsi" w:eastAsia="Calibri Light" w:hAnsiTheme="majorHAnsi" w:cstheme="majorHAnsi"/>
                <w:lang w:val="en-GB"/>
              </w:rPr>
              <w:t xml:space="preserve">PRC </w:t>
            </w:r>
            <w:r>
              <w:rPr>
                <w:rFonts w:asciiTheme="majorHAnsi" w:eastAsia="Calibri Light" w:hAnsiTheme="majorHAnsi" w:cstheme="majorHAnsi"/>
                <w:lang w:val="en-GB"/>
              </w:rPr>
              <w:t xml:space="preserve">will </w:t>
            </w:r>
            <w:r w:rsidR="00565C50">
              <w:rPr>
                <w:rFonts w:asciiTheme="majorHAnsi" w:eastAsia="Calibri Light" w:hAnsiTheme="majorHAnsi" w:cstheme="majorHAnsi"/>
                <w:lang w:val="en-GB"/>
              </w:rPr>
              <w:t>ad</w:t>
            </w:r>
            <w:r w:rsidR="00566EE2">
              <w:rPr>
                <w:rFonts w:asciiTheme="majorHAnsi" w:eastAsia="Calibri Light" w:hAnsiTheme="majorHAnsi" w:cstheme="majorHAnsi"/>
                <w:lang w:val="en-GB"/>
              </w:rPr>
              <w:t>o</w:t>
            </w:r>
            <w:r w:rsidR="00565C50">
              <w:rPr>
                <w:rFonts w:asciiTheme="majorHAnsi" w:eastAsia="Calibri Light" w:hAnsiTheme="majorHAnsi" w:cstheme="majorHAnsi"/>
                <w:lang w:val="en-GB"/>
              </w:rPr>
              <w:t>pt</w:t>
            </w:r>
            <w:r>
              <w:rPr>
                <w:rFonts w:asciiTheme="majorHAnsi" w:eastAsia="Calibri Light" w:hAnsiTheme="majorHAnsi" w:cstheme="majorHAnsi"/>
                <w:lang w:val="en-GB"/>
              </w:rPr>
              <w:t xml:space="preserve"> lessons learned from the multiyear prepositioning arrangement when</w:t>
            </w:r>
            <w:r w:rsidR="00905A33">
              <w:rPr>
                <w:rFonts w:asciiTheme="majorHAnsi" w:eastAsia="Calibri Light" w:hAnsiTheme="majorHAnsi" w:cstheme="majorHAnsi"/>
                <w:lang w:val="en-GB"/>
              </w:rPr>
              <w:t xml:space="preserve"> considering future agreements.</w:t>
            </w:r>
          </w:p>
        </w:tc>
        <w:tc>
          <w:tcPr>
            <w:tcW w:w="1418" w:type="dxa"/>
          </w:tcPr>
          <w:p w14:paraId="734C7E6C" w14:textId="6342DD03" w:rsidR="00976CBB" w:rsidRPr="00976CBB" w:rsidRDefault="00565C50" w:rsidP="00976CBB">
            <w:pPr>
              <w:suppressAutoHyphens/>
              <w:spacing w:before="120"/>
              <w:rPr>
                <w:rFonts w:asciiTheme="majorHAnsi" w:eastAsia="Calibri Light" w:hAnsiTheme="majorHAnsi" w:cstheme="majorHAnsi"/>
                <w:lang w:val="en-GB"/>
              </w:rPr>
            </w:pPr>
            <w:r>
              <w:rPr>
                <w:rFonts w:asciiTheme="majorHAnsi" w:eastAsia="Calibri Light" w:hAnsiTheme="majorHAnsi" w:cstheme="majorHAnsi"/>
                <w:lang w:val="en-GB"/>
              </w:rPr>
              <w:t>Future partnership beyond 2024</w:t>
            </w:r>
          </w:p>
        </w:tc>
      </w:tr>
      <w:tr w:rsidR="00976CBB" w:rsidRPr="00976CBB" w14:paraId="4E765DB5" w14:textId="77777777" w:rsidTr="00C6630F">
        <w:tc>
          <w:tcPr>
            <w:tcW w:w="4248" w:type="dxa"/>
          </w:tcPr>
          <w:p w14:paraId="516DA001" w14:textId="444654BF" w:rsidR="00976CBB" w:rsidRPr="00C6630F" w:rsidRDefault="00976CBB" w:rsidP="00C6630F">
            <w:pPr>
              <w:pStyle w:val="ListParagraph"/>
              <w:numPr>
                <w:ilvl w:val="0"/>
                <w:numId w:val="4"/>
              </w:numPr>
              <w:suppressAutoHyphens/>
              <w:spacing w:before="120"/>
              <w:rPr>
                <w:rFonts w:asciiTheme="majorHAnsi" w:eastAsia="Calibri Light" w:hAnsiTheme="majorHAnsi" w:cstheme="majorHAnsi"/>
                <w:lang w:val="en-GB"/>
              </w:rPr>
            </w:pPr>
            <w:r w:rsidRPr="00707961">
              <w:rPr>
                <w:rFonts w:asciiTheme="majorHAnsi" w:eastAsia="Calibri Light" w:hAnsiTheme="majorHAnsi" w:cstheme="majorHAnsi"/>
                <w:lang w:val="en-GB"/>
              </w:rPr>
              <w:t>Partnerships between DFAT and PRC to move from output based to the inclusion of outcomes that describe a change in gender equality and disability inclusion. Strategies that are practical within an early response activity should be explored with PRC and possibly drawing on experiences from other organizations and countries.</w:t>
            </w:r>
            <w:r w:rsidR="00C6630F">
              <w:rPr>
                <w:rFonts w:asciiTheme="majorHAnsi" w:eastAsia="Calibri Light" w:hAnsiTheme="majorHAnsi" w:cstheme="majorHAnsi"/>
                <w:lang w:val="en-GB"/>
              </w:rPr>
              <w:br/>
            </w:r>
          </w:p>
        </w:tc>
        <w:tc>
          <w:tcPr>
            <w:tcW w:w="1276" w:type="dxa"/>
          </w:tcPr>
          <w:p w14:paraId="75A03268" w14:textId="0DCC076F" w:rsidR="00976CBB" w:rsidRPr="00976CBB" w:rsidRDefault="00976CBB" w:rsidP="00976CBB">
            <w:pPr>
              <w:suppressAutoHyphens/>
              <w:spacing w:before="120"/>
              <w:rPr>
                <w:rFonts w:asciiTheme="majorHAnsi" w:eastAsia="Calibri Light" w:hAnsiTheme="majorHAnsi" w:cstheme="majorHAnsi"/>
                <w:b/>
                <w:bCs/>
                <w:lang w:val="en-GB"/>
              </w:rPr>
            </w:pPr>
            <w:r>
              <w:rPr>
                <w:rFonts w:asciiTheme="majorHAnsi" w:eastAsia="Calibri Light" w:hAnsiTheme="majorHAnsi" w:cstheme="majorHAnsi"/>
                <w:b/>
                <w:bCs/>
                <w:lang w:val="en-GB"/>
              </w:rPr>
              <w:t>Agree</w:t>
            </w:r>
          </w:p>
        </w:tc>
        <w:tc>
          <w:tcPr>
            <w:tcW w:w="3118" w:type="dxa"/>
          </w:tcPr>
          <w:p w14:paraId="1DBABD24" w14:textId="0D32790E" w:rsidR="00976CBB" w:rsidRPr="00976CBB" w:rsidRDefault="00A62DBC" w:rsidP="00976CBB">
            <w:pPr>
              <w:suppressAutoHyphens/>
              <w:spacing w:before="120"/>
              <w:rPr>
                <w:rFonts w:asciiTheme="majorHAnsi" w:eastAsia="Calibri Light" w:hAnsiTheme="majorHAnsi" w:cstheme="majorHAnsi"/>
                <w:lang w:val="en-GB"/>
              </w:rPr>
            </w:pPr>
            <w:r>
              <w:rPr>
                <w:rFonts w:asciiTheme="majorHAnsi" w:eastAsia="Calibri Light" w:hAnsiTheme="majorHAnsi" w:cstheme="majorHAnsi"/>
                <w:lang w:val="en-GB"/>
              </w:rPr>
              <w:t xml:space="preserve">DFAT agrees to the inclusion of outcomes on gender equality and disability inclusion in </w:t>
            </w:r>
            <w:r w:rsidR="00707961">
              <w:rPr>
                <w:rFonts w:asciiTheme="majorHAnsi" w:eastAsia="Calibri Light" w:hAnsiTheme="majorHAnsi" w:cstheme="majorHAnsi"/>
                <w:lang w:val="en-GB"/>
              </w:rPr>
              <w:t>project implementation.</w:t>
            </w:r>
            <w:r>
              <w:rPr>
                <w:rFonts w:asciiTheme="majorHAnsi" w:eastAsia="Calibri Light" w:hAnsiTheme="majorHAnsi" w:cstheme="majorHAnsi"/>
                <w:lang w:val="en-GB"/>
              </w:rPr>
              <w:t xml:space="preserve">  </w:t>
            </w:r>
          </w:p>
        </w:tc>
        <w:tc>
          <w:tcPr>
            <w:tcW w:w="4394" w:type="dxa"/>
          </w:tcPr>
          <w:p w14:paraId="1FF6BD36" w14:textId="1F079317" w:rsidR="00976CBB" w:rsidRPr="00976CBB" w:rsidRDefault="00637975" w:rsidP="00976CBB">
            <w:pPr>
              <w:suppressAutoHyphens/>
              <w:spacing w:before="120"/>
              <w:rPr>
                <w:rFonts w:asciiTheme="majorHAnsi" w:eastAsia="Calibri Light" w:hAnsiTheme="majorHAnsi" w:cstheme="majorHAnsi"/>
                <w:lang w:val="en-GB"/>
              </w:rPr>
            </w:pPr>
            <w:r>
              <w:rPr>
                <w:rFonts w:asciiTheme="majorHAnsi" w:eastAsia="Calibri Light" w:hAnsiTheme="majorHAnsi" w:cstheme="majorHAnsi"/>
                <w:lang w:val="en-GB"/>
              </w:rPr>
              <w:t xml:space="preserve">DFAT </w:t>
            </w:r>
            <w:r w:rsidR="00707961">
              <w:rPr>
                <w:rFonts w:asciiTheme="majorHAnsi" w:eastAsia="Calibri Light" w:hAnsiTheme="majorHAnsi" w:cstheme="majorHAnsi"/>
                <w:lang w:val="en-GB"/>
              </w:rPr>
              <w:t>will work with PRC to develop a strategy to include outcomes on gender equality and disability inclusion under the current multiyear prepositioning arrangement.</w:t>
            </w:r>
          </w:p>
        </w:tc>
        <w:tc>
          <w:tcPr>
            <w:tcW w:w="1418" w:type="dxa"/>
          </w:tcPr>
          <w:p w14:paraId="57C57DC2" w14:textId="00A2A76F" w:rsidR="00976CBB" w:rsidRPr="00976CBB" w:rsidRDefault="00707961" w:rsidP="00976CBB">
            <w:pPr>
              <w:suppressAutoHyphens/>
              <w:spacing w:before="120"/>
              <w:rPr>
                <w:rFonts w:asciiTheme="majorHAnsi" w:eastAsia="Calibri Light" w:hAnsiTheme="majorHAnsi" w:cstheme="majorHAnsi"/>
                <w:lang w:val="en-GB"/>
              </w:rPr>
            </w:pPr>
            <w:r>
              <w:rPr>
                <w:rFonts w:asciiTheme="majorHAnsi" w:eastAsia="Calibri Light" w:hAnsiTheme="majorHAnsi" w:cstheme="majorHAnsi"/>
                <w:lang w:val="en-GB"/>
              </w:rPr>
              <w:t>April to July 202</w:t>
            </w:r>
            <w:r w:rsidR="00BC7917">
              <w:rPr>
                <w:rFonts w:asciiTheme="majorHAnsi" w:eastAsia="Calibri Light" w:hAnsiTheme="majorHAnsi" w:cstheme="majorHAnsi"/>
                <w:lang w:val="en-GB"/>
              </w:rPr>
              <w:t>4</w:t>
            </w:r>
          </w:p>
        </w:tc>
      </w:tr>
    </w:tbl>
    <w:p w14:paraId="07497719" w14:textId="77777777" w:rsidR="00976CBB" w:rsidRPr="00957AF8" w:rsidRDefault="00976CBB" w:rsidP="00A008E7">
      <w:pPr>
        <w:rPr>
          <w:rFonts w:ascii="Calibri Light" w:eastAsia="Calibri Light" w:hAnsi="Calibri Light" w:cs="Times New Roman"/>
          <w:lang w:val="en-GB"/>
        </w:rPr>
      </w:pPr>
    </w:p>
    <w:sectPr w:rsidR="00976CBB" w:rsidRPr="00957AF8" w:rsidSect="00957AF8">
      <w:pgSz w:w="16838" w:h="11906" w:orient="landscape"/>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4FCC" w14:textId="77777777" w:rsidR="003E7D58" w:rsidRDefault="003E7D58" w:rsidP="00675A50">
      <w:pPr>
        <w:spacing w:after="0" w:line="240" w:lineRule="auto"/>
      </w:pPr>
      <w:r>
        <w:separator/>
      </w:r>
    </w:p>
  </w:endnote>
  <w:endnote w:type="continuationSeparator" w:id="0">
    <w:p w14:paraId="0FD98140" w14:textId="77777777" w:rsidR="003E7D58" w:rsidRDefault="003E7D58" w:rsidP="00675A50">
      <w:pPr>
        <w:spacing w:after="0" w:line="240" w:lineRule="auto"/>
      </w:pPr>
      <w:r>
        <w:continuationSeparator/>
      </w:r>
    </w:p>
  </w:endnote>
  <w:endnote w:type="continuationNotice" w:id="1">
    <w:p w14:paraId="0629DD48" w14:textId="77777777" w:rsidR="003E7D58" w:rsidRDefault="003E7D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7CC5" w14:textId="77777777" w:rsidR="003E7D58" w:rsidRDefault="003E7D58" w:rsidP="00675A50">
      <w:pPr>
        <w:spacing w:after="0" w:line="240" w:lineRule="auto"/>
      </w:pPr>
      <w:r>
        <w:separator/>
      </w:r>
    </w:p>
  </w:footnote>
  <w:footnote w:type="continuationSeparator" w:id="0">
    <w:p w14:paraId="3D32403F" w14:textId="77777777" w:rsidR="003E7D58" w:rsidRDefault="003E7D58" w:rsidP="00675A50">
      <w:pPr>
        <w:spacing w:after="0" w:line="240" w:lineRule="auto"/>
      </w:pPr>
      <w:r>
        <w:continuationSeparator/>
      </w:r>
    </w:p>
  </w:footnote>
  <w:footnote w:type="continuationNotice" w:id="1">
    <w:p w14:paraId="25FA9E5E" w14:textId="77777777" w:rsidR="003E7D58" w:rsidRDefault="003E7D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CC4"/>
    <w:multiLevelType w:val="hybridMultilevel"/>
    <w:tmpl w:val="5482614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897E23"/>
    <w:multiLevelType w:val="hybridMultilevel"/>
    <w:tmpl w:val="B5CCED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9D6582"/>
    <w:multiLevelType w:val="hybridMultilevel"/>
    <w:tmpl w:val="B5CCED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EF5DD4"/>
    <w:multiLevelType w:val="hybridMultilevel"/>
    <w:tmpl w:val="31BC649E"/>
    <w:lvl w:ilvl="0" w:tplc="6C8A645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E5A08"/>
    <w:multiLevelType w:val="hybridMultilevel"/>
    <w:tmpl w:val="837A7E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0BE741C"/>
    <w:multiLevelType w:val="hybridMultilevel"/>
    <w:tmpl w:val="C28607D0"/>
    <w:lvl w:ilvl="0" w:tplc="8BA0FC5A">
      <w:numFmt w:val="bullet"/>
      <w:lvlText w:val=""/>
      <w:lvlJc w:val="left"/>
      <w:pPr>
        <w:ind w:left="360" w:hanging="360"/>
      </w:pPr>
      <w:rPr>
        <w:rFonts w:ascii="Symbol" w:eastAsia="Calibri Light"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8A06F77"/>
    <w:multiLevelType w:val="hybridMultilevel"/>
    <w:tmpl w:val="05ACE0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9170757">
    <w:abstractNumId w:val="0"/>
  </w:num>
  <w:num w:numId="2" w16cid:durableId="1121267496">
    <w:abstractNumId w:val="5"/>
  </w:num>
  <w:num w:numId="3" w16cid:durableId="1920824731">
    <w:abstractNumId w:val="4"/>
  </w:num>
  <w:num w:numId="4" w16cid:durableId="919489725">
    <w:abstractNumId w:val="1"/>
  </w:num>
  <w:num w:numId="5" w16cid:durableId="406194871">
    <w:abstractNumId w:val="2"/>
  </w:num>
  <w:num w:numId="6" w16cid:durableId="1485926743">
    <w:abstractNumId w:val="6"/>
  </w:num>
  <w:num w:numId="7" w16cid:durableId="1907177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E7"/>
    <w:rsid w:val="00004BEA"/>
    <w:rsid w:val="00007663"/>
    <w:rsid w:val="00010034"/>
    <w:rsid w:val="000107F7"/>
    <w:rsid w:val="000132FB"/>
    <w:rsid w:val="00014066"/>
    <w:rsid w:val="000144B6"/>
    <w:rsid w:val="0001581D"/>
    <w:rsid w:val="00020AF8"/>
    <w:rsid w:val="00025CF0"/>
    <w:rsid w:val="00026A19"/>
    <w:rsid w:val="0002703E"/>
    <w:rsid w:val="00034999"/>
    <w:rsid w:val="00047471"/>
    <w:rsid w:val="00047B40"/>
    <w:rsid w:val="00051243"/>
    <w:rsid w:val="00053190"/>
    <w:rsid w:val="00057F2F"/>
    <w:rsid w:val="00063905"/>
    <w:rsid w:val="00065629"/>
    <w:rsid w:val="000665F6"/>
    <w:rsid w:val="00070BFD"/>
    <w:rsid w:val="00073735"/>
    <w:rsid w:val="000767C9"/>
    <w:rsid w:val="00080566"/>
    <w:rsid w:val="00087C45"/>
    <w:rsid w:val="00093FAC"/>
    <w:rsid w:val="000965DD"/>
    <w:rsid w:val="000A0B51"/>
    <w:rsid w:val="000A2B96"/>
    <w:rsid w:val="000A4748"/>
    <w:rsid w:val="000A61A5"/>
    <w:rsid w:val="000B217C"/>
    <w:rsid w:val="000B336B"/>
    <w:rsid w:val="000B6253"/>
    <w:rsid w:val="000C0277"/>
    <w:rsid w:val="000C7437"/>
    <w:rsid w:val="000D287A"/>
    <w:rsid w:val="000D3772"/>
    <w:rsid w:val="000D490C"/>
    <w:rsid w:val="000F6212"/>
    <w:rsid w:val="00102E60"/>
    <w:rsid w:val="00113DD4"/>
    <w:rsid w:val="00117696"/>
    <w:rsid w:val="00117730"/>
    <w:rsid w:val="00121222"/>
    <w:rsid w:val="001219D4"/>
    <w:rsid w:val="00124F30"/>
    <w:rsid w:val="001325BC"/>
    <w:rsid w:val="00134D13"/>
    <w:rsid w:val="001354C6"/>
    <w:rsid w:val="0013616A"/>
    <w:rsid w:val="001370B2"/>
    <w:rsid w:val="0014014F"/>
    <w:rsid w:val="001427FE"/>
    <w:rsid w:val="00144D9F"/>
    <w:rsid w:val="00145CC6"/>
    <w:rsid w:val="0014617A"/>
    <w:rsid w:val="00153A73"/>
    <w:rsid w:val="001643E5"/>
    <w:rsid w:val="001644B3"/>
    <w:rsid w:val="00167859"/>
    <w:rsid w:val="00170823"/>
    <w:rsid w:val="00173EB4"/>
    <w:rsid w:val="00181AA4"/>
    <w:rsid w:val="00184347"/>
    <w:rsid w:val="00192619"/>
    <w:rsid w:val="00193C23"/>
    <w:rsid w:val="001962C6"/>
    <w:rsid w:val="0019696D"/>
    <w:rsid w:val="001A07F0"/>
    <w:rsid w:val="001A3FF2"/>
    <w:rsid w:val="001B314B"/>
    <w:rsid w:val="001B4A64"/>
    <w:rsid w:val="001C0EFA"/>
    <w:rsid w:val="001D575F"/>
    <w:rsid w:val="001E497E"/>
    <w:rsid w:val="001E5678"/>
    <w:rsid w:val="001F0C0D"/>
    <w:rsid w:val="001F2D4C"/>
    <w:rsid w:val="001F4DC2"/>
    <w:rsid w:val="001F5023"/>
    <w:rsid w:val="0020115B"/>
    <w:rsid w:val="00210796"/>
    <w:rsid w:val="00212D4B"/>
    <w:rsid w:val="002146AC"/>
    <w:rsid w:val="00214D39"/>
    <w:rsid w:val="002174FA"/>
    <w:rsid w:val="002211EA"/>
    <w:rsid w:val="002235DE"/>
    <w:rsid w:val="00224AD0"/>
    <w:rsid w:val="00231BFA"/>
    <w:rsid w:val="00232130"/>
    <w:rsid w:val="00242CED"/>
    <w:rsid w:val="00244EFF"/>
    <w:rsid w:val="00246B34"/>
    <w:rsid w:val="002479E1"/>
    <w:rsid w:val="00252AE4"/>
    <w:rsid w:val="00254033"/>
    <w:rsid w:val="00263630"/>
    <w:rsid w:val="00264C62"/>
    <w:rsid w:val="0027417A"/>
    <w:rsid w:val="002772AE"/>
    <w:rsid w:val="00285BFB"/>
    <w:rsid w:val="00287080"/>
    <w:rsid w:val="00287C57"/>
    <w:rsid w:val="00290C98"/>
    <w:rsid w:val="002959EE"/>
    <w:rsid w:val="00295E3A"/>
    <w:rsid w:val="00295F5C"/>
    <w:rsid w:val="002A18B9"/>
    <w:rsid w:val="002A460A"/>
    <w:rsid w:val="002A57BA"/>
    <w:rsid w:val="002A67D0"/>
    <w:rsid w:val="002B1824"/>
    <w:rsid w:val="002C1629"/>
    <w:rsid w:val="002C3678"/>
    <w:rsid w:val="002C4292"/>
    <w:rsid w:val="002C6E9B"/>
    <w:rsid w:val="002D371F"/>
    <w:rsid w:val="002D716D"/>
    <w:rsid w:val="002D71AE"/>
    <w:rsid w:val="002E0F75"/>
    <w:rsid w:val="002E2855"/>
    <w:rsid w:val="002E3EE4"/>
    <w:rsid w:val="002E6206"/>
    <w:rsid w:val="002F1624"/>
    <w:rsid w:val="002F1762"/>
    <w:rsid w:val="002F6B3D"/>
    <w:rsid w:val="0030220D"/>
    <w:rsid w:val="0030506A"/>
    <w:rsid w:val="00320A1C"/>
    <w:rsid w:val="00321A6E"/>
    <w:rsid w:val="00322F2F"/>
    <w:rsid w:val="0032404D"/>
    <w:rsid w:val="00324129"/>
    <w:rsid w:val="003319B2"/>
    <w:rsid w:val="0033227B"/>
    <w:rsid w:val="00334F20"/>
    <w:rsid w:val="00344428"/>
    <w:rsid w:val="00346EC0"/>
    <w:rsid w:val="00357BCB"/>
    <w:rsid w:val="00366CE3"/>
    <w:rsid w:val="00370A0D"/>
    <w:rsid w:val="00382A17"/>
    <w:rsid w:val="003931AE"/>
    <w:rsid w:val="003A3005"/>
    <w:rsid w:val="003A4FA2"/>
    <w:rsid w:val="003A515D"/>
    <w:rsid w:val="003B3759"/>
    <w:rsid w:val="003B39C8"/>
    <w:rsid w:val="003B5FCB"/>
    <w:rsid w:val="003C013F"/>
    <w:rsid w:val="003C44F1"/>
    <w:rsid w:val="003C549C"/>
    <w:rsid w:val="003C559D"/>
    <w:rsid w:val="003D1A0B"/>
    <w:rsid w:val="003D50CA"/>
    <w:rsid w:val="003D5DAC"/>
    <w:rsid w:val="003E302F"/>
    <w:rsid w:val="003E5B81"/>
    <w:rsid w:val="003E68ED"/>
    <w:rsid w:val="003E7D58"/>
    <w:rsid w:val="003F104B"/>
    <w:rsid w:val="003F1E6B"/>
    <w:rsid w:val="00404DDF"/>
    <w:rsid w:val="00405B0D"/>
    <w:rsid w:val="00405EC0"/>
    <w:rsid w:val="00410945"/>
    <w:rsid w:val="00415C0E"/>
    <w:rsid w:val="004169E9"/>
    <w:rsid w:val="00421DD6"/>
    <w:rsid w:val="00433517"/>
    <w:rsid w:val="00433D73"/>
    <w:rsid w:val="00434A6F"/>
    <w:rsid w:val="00434AA3"/>
    <w:rsid w:val="004357E8"/>
    <w:rsid w:val="0043635F"/>
    <w:rsid w:val="00442763"/>
    <w:rsid w:val="0044665B"/>
    <w:rsid w:val="004472FE"/>
    <w:rsid w:val="0044793E"/>
    <w:rsid w:val="00450235"/>
    <w:rsid w:val="0045724F"/>
    <w:rsid w:val="00463719"/>
    <w:rsid w:val="00463CB2"/>
    <w:rsid w:val="00463F92"/>
    <w:rsid w:val="00465CB5"/>
    <w:rsid w:val="00466D79"/>
    <w:rsid w:val="00467901"/>
    <w:rsid w:val="004716A3"/>
    <w:rsid w:val="00471931"/>
    <w:rsid w:val="00476254"/>
    <w:rsid w:val="00476FA5"/>
    <w:rsid w:val="0048214D"/>
    <w:rsid w:val="0049098E"/>
    <w:rsid w:val="00493D02"/>
    <w:rsid w:val="004955C8"/>
    <w:rsid w:val="0049698C"/>
    <w:rsid w:val="00496E59"/>
    <w:rsid w:val="004A15DB"/>
    <w:rsid w:val="004A3448"/>
    <w:rsid w:val="004A5037"/>
    <w:rsid w:val="004B3662"/>
    <w:rsid w:val="004B5CDA"/>
    <w:rsid w:val="004B5E08"/>
    <w:rsid w:val="004B613F"/>
    <w:rsid w:val="004C30DB"/>
    <w:rsid w:val="004C683E"/>
    <w:rsid w:val="004C7A72"/>
    <w:rsid w:val="004D4568"/>
    <w:rsid w:val="004E14D3"/>
    <w:rsid w:val="004E3129"/>
    <w:rsid w:val="004F0DDE"/>
    <w:rsid w:val="00502F6A"/>
    <w:rsid w:val="0050589F"/>
    <w:rsid w:val="005060E8"/>
    <w:rsid w:val="00511824"/>
    <w:rsid w:val="00521AA0"/>
    <w:rsid w:val="0052735B"/>
    <w:rsid w:val="00550484"/>
    <w:rsid w:val="00552FBC"/>
    <w:rsid w:val="005548AE"/>
    <w:rsid w:val="005553C5"/>
    <w:rsid w:val="005605BC"/>
    <w:rsid w:val="0056074A"/>
    <w:rsid w:val="0056453C"/>
    <w:rsid w:val="00565C50"/>
    <w:rsid w:val="00566EE2"/>
    <w:rsid w:val="00572377"/>
    <w:rsid w:val="00572B9F"/>
    <w:rsid w:val="00574531"/>
    <w:rsid w:val="00581416"/>
    <w:rsid w:val="0058249C"/>
    <w:rsid w:val="00583DAF"/>
    <w:rsid w:val="00593E9B"/>
    <w:rsid w:val="005967B6"/>
    <w:rsid w:val="005A435D"/>
    <w:rsid w:val="005B4828"/>
    <w:rsid w:val="005B7998"/>
    <w:rsid w:val="005C2A91"/>
    <w:rsid w:val="005D58FD"/>
    <w:rsid w:val="005D697B"/>
    <w:rsid w:val="005E1FE3"/>
    <w:rsid w:val="005E4932"/>
    <w:rsid w:val="005E540F"/>
    <w:rsid w:val="005E6068"/>
    <w:rsid w:val="005E64B6"/>
    <w:rsid w:val="005F2D0E"/>
    <w:rsid w:val="005F3125"/>
    <w:rsid w:val="005F6A67"/>
    <w:rsid w:val="0060314B"/>
    <w:rsid w:val="00605BA9"/>
    <w:rsid w:val="00607BB1"/>
    <w:rsid w:val="00611AD9"/>
    <w:rsid w:val="00612B0F"/>
    <w:rsid w:val="00614CBB"/>
    <w:rsid w:val="00616A65"/>
    <w:rsid w:val="006202D5"/>
    <w:rsid w:val="0063008A"/>
    <w:rsid w:val="0063081B"/>
    <w:rsid w:val="006323A7"/>
    <w:rsid w:val="0063608D"/>
    <w:rsid w:val="00637975"/>
    <w:rsid w:val="00645078"/>
    <w:rsid w:val="0064658D"/>
    <w:rsid w:val="00655580"/>
    <w:rsid w:val="006606BC"/>
    <w:rsid w:val="00662B48"/>
    <w:rsid w:val="00663980"/>
    <w:rsid w:val="0066654F"/>
    <w:rsid w:val="0067263E"/>
    <w:rsid w:val="006735BC"/>
    <w:rsid w:val="006735FA"/>
    <w:rsid w:val="00675A50"/>
    <w:rsid w:val="0067627F"/>
    <w:rsid w:val="00676D20"/>
    <w:rsid w:val="00681497"/>
    <w:rsid w:val="006927F1"/>
    <w:rsid w:val="00692BC5"/>
    <w:rsid w:val="006940A1"/>
    <w:rsid w:val="00695D0A"/>
    <w:rsid w:val="00696334"/>
    <w:rsid w:val="006A26A4"/>
    <w:rsid w:val="006A5CCE"/>
    <w:rsid w:val="006A6108"/>
    <w:rsid w:val="006A6A0E"/>
    <w:rsid w:val="006A788A"/>
    <w:rsid w:val="006B10BF"/>
    <w:rsid w:val="006C08D8"/>
    <w:rsid w:val="006C27AE"/>
    <w:rsid w:val="006C464B"/>
    <w:rsid w:val="006C5B41"/>
    <w:rsid w:val="006C7916"/>
    <w:rsid w:val="006C7EE5"/>
    <w:rsid w:val="006D3817"/>
    <w:rsid w:val="006D3ACC"/>
    <w:rsid w:val="006D7846"/>
    <w:rsid w:val="006E08AA"/>
    <w:rsid w:val="006E5FA1"/>
    <w:rsid w:val="006F0142"/>
    <w:rsid w:val="006F165E"/>
    <w:rsid w:val="006F2529"/>
    <w:rsid w:val="006F2FAF"/>
    <w:rsid w:val="006F3D84"/>
    <w:rsid w:val="006F52B1"/>
    <w:rsid w:val="006F6969"/>
    <w:rsid w:val="007006AA"/>
    <w:rsid w:val="00702DD1"/>
    <w:rsid w:val="00703C67"/>
    <w:rsid w:val="00704509"/>
    <w:rsid w:val="00706809"/>
    <w:rsid w:val="00707961"/>
    <w:rsid w:val="0071643A"/>
    <w:rsid w:val="00717AFC"/>
    <w:rsid w:val="00727C78"/>
    <w:rsid w:val="00735956"/>
    <w:rsid w:val="00737BFA"/>
    <w:rsid w:val="00746317"/>
    <w:rsid w:val="00746490"/>
    <w:rsid w:val="0075519B"/>
    <w:rsid w:val="00755280"/>
    <w:rsid w:val="007566F1"/>
    <w:rsid w:val="0076004C"/>
    <w:rsid w:val="00766A4B"/>
    <w:rsid w:val="00767BF4"/>
    <w:rsid w:val="00770DD6"/>
    <w:rsid w:val="00772CB5"/>
    <w:rsid w:val="007741AC"/>
    <w:rsid w:val="00775F9D"/>
    <w:rsid w:val="00777920"/>
    <w:rsid w:val="007804EB"/>
    <w:rsid w:val="007834EC"/>
    <w:rsid w:val="00791AF5"/>
    <w:rsid w:val="00791DD3"/>
    <w:rsid w:val="00794C70"/>
    <w:rsid w:val="0079513C"/>
    <w:rsid w:val="00797A58"/>
    <w:rsid w:val="007A1BBA"/>
    <w:rsid w:val="007A2B9B"/>
    <w:rsid w:val="007A6580"/>
    <w:rsid w:val="007B6770"/>
    <w:rsid w:val="007B72FF"/>
    <w:rsid w:val="007B78E3"/>
    <w:rsid w:val="007C4F86"/>
    <w:rsid w:val="007C59ED"/>
    <w:rsid w:val="007D1ACA"/>
    <w:rsid w:val="007D550C"/>
    <w:rsid w:val="007E3C8A"/>
    <w:rsid w:val="007F0995"/>
    <w:rsid w:val="007F2330"/>
    <w:rsid w:val="007F3521"/>
    <w:rsid w:val="007F560C"/>
    <w:rsid w:val="007F6080"/>
    <w:rsid w:val="00802C10"/>
    <w:rsid w:val="00803B5B"/>
    <w:rsid w:val="008047CB"/>
    <w:rsid w:val="00807297"/>
    <w:rsid w:val="00815236"/>
    <w:rsid w:val="00815C7D"/>
    <w:rsid w:val="00820036"/>
    <w:rsid w:val="00831157"/>
    <w:rsid w:val="00831AF2"/>
    <w:rsid w:val="00831CFA"/>
    <w:rsid w:val="00834B3C"/>
    <w:rsid w:val="0083654A"/>
    <w:rsid w:val="008460C3"/>
    <w:rsid w:val="008465C4"/>
    <w:rsid w:val="00851F2C"/>
    <w:rsid w:val="0085353E"/>
    <w:rsid w:val="008535D3"/>
    <w:rsid w:val="008536D0"/>
    <w:rsid w:val="00856415"/>
    <w:rsid w:val="00857997"/>
    <w:rsid w:val="00861F17"/>
    <w:rsid w:val="0086290F"/>
    <w:rsid w:val="00862CF9"/>
    <w:rsid w:val="00866441"/>
    <w:rsid w:val="008879BF"/>
    <w:rsid w:val="008937D4"/>
    <w:rsid w:val="00897FF8"/>
    <w:rsid w:val="008A6FD7"/>
    <w:rsid w:val="008B27D5"/>
    <w:rsid w:val="008B523A"/>
    <w:rsid w:val="008B5C10"/>
    <w:rsid w:val="008C043A"/>
    <w:rsid w:val="008C0587"/>
    <w:rsid w:val="008C2541"/>
    <w:rsid w:val="008C6E67"/>
    <w:rsid w:val="008C7C2B"/>
    <w:rsid w:val="008D1A3F"/>
    <w:rsid w:val="008D3A4A"/>
    <w:rsid w:val="008D67D0"/>
    <w:rsid w:val="008E03E1"/>
    <w:rsid w:val="008E15B3"/>
    <w:rsid w:val="008E4140"/>
    <w:rsid w:val="008E5BB2"/>
    <w:rsid w:val="008F413E"/>
    <w:rsid w:val="008F6C00"/>
    <w:rsid w:val="008F7116"/>
    <w:rsid w:val="00900515"/>
    <w:rsid w:val="00901132"/>
    <w:rsid w:val="0090160E"/>
    <w:rsid w:val="00903687"/>
    <w:rsid w:val="0090472E"/>
    <w:rsid w:val="00905A33"/>
    <w:rsid w:val="00912296"/>
    <w:rsid w:val="00912A94"/>
    <w:rsid w:val="00917005"/>
    <w:rsid w:val="0092321D"/>
    <w:rsid w:val="00926156"/>
    <w:rsid w:val="009271A9"/>
    <w:rsid w:val="00927700"/>
    <w:rsid w:val="00932D0E"/>
    <w:rsid w:val="00932F17"/>
    <w:rsid w:val="00934E33"/>
    <w:rsid w:val="009366AD"/>
    <w:rsid w:val="00936CEC"/>
    <w:rsid w:val="00944C27"/>
    <w:rsid w:val="00945B19"/>
    <w:rsid w:val="009512F7"/>
    <w:rsid w:val="00953F92"/>
    <w:rsid w:val="00955718"/>
    <w:rsid w:val="00957AF8"/>
    <w:rsid w:val="00957D42"/>
    <w:rsid w:val="00961E72"/>
    <w:rsid w:val="0096262A"/>
    <w:rsid w:val="00963E70"/>
    <w:rsid w:val="00970210"/>
    <w:rsid w:val="009709C7"/>
    <w:rsid w:val="009758C9"/>
    <w:rsid w:val="00976945"/>
    <w:rsid w:val="00976CBB"/>
    <w:rsid w:val="00981E64"/>
    <w:rsid w:val="0098435A"/>
    <w:rsid w:val="00986040"/>
    <w:rsid w:val="00991743"/>
    <w:rsid w:val="009966E0"/>
    <w:rsid w:val="0099692D"/>
    <w:rsid w:val="00996D7B"/>
    <w:rsid w:val="0099756E"/>
    <w:rsid w:val="009A133C"/>
    <w:rsid w:val="009A290A"/>
    <w:rsid w:val="009A71E3"/>
    <w:rsid w:val="009B16D9"/>
    <w:rsid w:val="009C6077"/>
    <w:rsid w:val="009C6609"/>
    <w:rsid w:val="009D17D8"/>
    <w:rsid w:val="009D346B"/>
    <w:rsid w:val="009D4E0A"/>
    <w:rsid w:val="009D602A"/>
    <w:rsid w:val="009E0962"/>
    <w:rsid w:val="009E75A8"/>
    <w:rsid w:val="009F11EE"/>
    <w:rsid w:val="009F717F"/>
    <w:rsid w:val="00A008E7"/>
    <w:rsid w:val="00A062D1"/>
    <w:rsid w:val="00A10097"/>
    <w:rsid w:val="00A11E45"/>
    <w:rsid w:val="00A1579F"/>
    <w:rsid w:val="00A203EE"/>
    <w:rsid w:val="00A24A68"/>
    <w:rsid w:val="00A265C7"/>
    <w:rsid w:val="00A2708C"/>
    <w:rsid w:val="00A31D6B"/>
    <w:rsid w:val="00A32881"/>
    <w:rsid w:val="00A32F63"/>
    <w:rsid w:val="00A34AF1"/>
    <w:rsid w:val="00A40C05"/>
    <w:rsid w:val="00A46163"/>
    <w:rsid w:val="00A4780D"/>
    <w:rsid w:val="00A52DC0"/>
    <w:rsid w:val="00A5313E"/>
    <w:rsid w:val="00A562D7"/>
    <w:rsid w:val="00A62DBC"/>
    <w:rsid w:val="00A642E9"/>
    <w:rsid w:val="00A65394"/>
    <w:rsid w:val="00A65488"/>
    <w:rsid w:val="00A73D04"/>
    <w:rsid w:val="00A807F1"/>
    <w:rsid w:val="00A8198A"/>
    <w:rsid w:val="00A8683F"/>
    <w:rsid w:val="00A92398"/>
    <w:rsid w:val="00A93847"/>
    <w:rsid w:val="00A97FE9"/>
    <w:rsid w:val="00AA55BA"/>
    <w:rsid w:val="00AB165F"/>
    <w:rsid w:val="00AB1B94"/>
    <w:rsid w:val="00AB2DA4"/>
    <w:rsid w:val="00AB2DE0"/>
    <w:rsid w:val="00AC0842"/>
    <w:rsid w:val="00AC2CFA"/>
    <w:rsid w:val="00AC7F6E"/>
    <w:rsid w:val="00AD37D4"/>
    <w:rsid w:val="00AD3E32"/>
    <w:rsid w:val="00AD518D"/>
    <w:rsid w:val="00AE796D"/>
    <w:rsid w:val="00AF2C2C"/>
    <w:rsid w:val="00AF4331"/>
    <w:rsid w:val="00AF63A6"/>
    <w:rsid w:val="00AF6496"/>
    <w:rsid w:val="00B01469"/>
    <w:rsid w:val="00B239CA"/>
    <w:rsid w:val="00B26C90"/>
    <w:rsid w:val="00B2758D"/>
    <w:rsid w:val="00B308A5"/>
    <w:rsid w:val="00B34BAA"/>
    <w:rsid w:val="00B40FE4"/>
    <w:rsid w:val="00B45272"/>
    <w:rsid w:val="00B54D88"/>
    <w:rsid w:val="00B57884"/>
    <w:rsid w:val="00B6244F"/>
    <w:rsid w:val="00B64E18"/>
    <w:rsid w:val="00B67535"/>
    <w:rsid w:val="00B67AA3"/>
    <w:rsid w:val="00B72BBF"/>
    <w:rsid w:val="00B73202"/>
    <w:rsid w:val="00B73532"/>
    <w:rsid w:val="00B75438"/>
    <w:rsid w:val="00B75D0D"/>
    <w:rsid w:val="00B7676B"/>
    <w:rsid w:val="00B81E2D"/>
    <w:rsid w:val="00B92C64"/>
    <w:rsid w:val="00B92CE5"/>
    <w:rsid w:val="00B93B80"/>
    <w:rsid w:val="00B941C9"/>
    <w:rsid w:val="00BA027C"/>
    <w:rsid w:val="00BA6F74"/>
    <w:rsid w:val="00BA7E4D"/>
    <w:rsid w:val="00BB06F2"/>
    <w:rsid w:val="00BB13CD"/>
    <w:rsid w:val="00BB1F76"/>
    <w:rsid w:val="00BB5FA9"/>
    <w:rsid w:val="00BB75F5"/>
    <w:rsid w:val="00BB7F3C"/>
    <w:rsid w:val="00BC12FF"/>
    <w:rsid w:val="00BC1C4B"/>
    <w:rsid w:val="00BC7917"/>
    <w:rsid w:val="00BD21E1"/>
    <w:rsid w:val="00BD2766"/>
    <w:rsid w:val="00BD6D6C"/>
    <w:rsid w:val="00BD720F"/>
    <w:rsid w:val="00BF26BD"/>
    <w:rsid w:val="00BF41FB"/>
    <w:rsid w:val="00C0347F"/>
    <w:rsid w:val="00C04A0F"/>
    <w:rsid w:val="00C0739A"/>
    <w:rsid w:val="00C128A4"/>
    <w:rsid w:val="00C12C8A"/>
    <w:rsid w:val="00C20EA1"/>
    <w:rsid w:val="00C23C28"/>
    <w:rsid w:val="00C34F56"/>
    <w:rsid w:val="00C37B98"/>
    <w:rsid w:val="00C42E28"/>
    <w:rsid w:val="00C50319"/>
    <w:rsid w:val="00C52216"/>
    <w:rsid w:val="00C5599A"/>
    <w:rsid w:val="00C561A2"/>
    <w:rsid w:val="00C62299"/>
    <w:rsid w:val="00C6630F"/>
    <w:rsid w:val="00C66DCE"/>
    <w:rsid w:val="00C700BA"/>
    <w:rsid w:val="00C70D8F"/>
    <w:rsid w:val="00C724CC"/>
    <w:rsid w:val="00C72E77"/>
    <w:rsid w:val="00C73724"/>
    <w:rsid w:val="00C759D1"/>
    <w:rsid w:val="00C8358E"/>
    <w:rsid w:val="00C83786"/>
    <w:rsid w:val="00C8537C"/>
    <w:rsid w:val="00C855A7"/>
    <w:rsid w:val="00C869FE"/>
    <w:rsid w:val="00C91BA7"/>
    <w:rsid w:val="00C958FB"/>
    <w:rsid w:val="00C969C2"/>
    <w:rsid w:val="00CA1C18"/>
    <w:rsid w:val="00CA32B2"/>
    <w:rsid w:val="00CB46D6"/>
    <w:rsid w:val="00CC36D0"/>
    <w:rsid w:val="00CC4221"/>
    <w:rsid w:val="00CC56A7"/>
    <w:rsid w:val="00CD213E"/>
    <w:rsid w:val="00CD46AD"/>
    <w:rsid w:val="00CD5DFC"/>
    <w:rsid w:val="00CE229C"/>
    <w:rsid w:val="00CE2BA3"/>
    <w:rsid w:val="00CE7A59"/>
    <w:rsid w:val="00CF39E1"/>
    <w:rsid w:val="00CF4002"/>
    <w:rsid w:val="00D05400"/>
    <w:rsid w:val="00D13AFF"/>
    <w:rsid w:val="00D1685D"/>
    <w:rsid w:val="00D17844"/>
    <w:rsid w:val="00D318AF"/>
    <w:rsid w:val="00D33513"/>
    <w:rsid w:val="00D3468C"/>
    <w:rsid w:val="00D35680"/>
    <w:rsid w:val="00D3749D"/>
    <w:rsid w:val="00D4006B"/>
    <w:rsid w:val="00D415C6"/>
    <w:rsid w:val="00D433AF"/>
    <w:rsid w:val="00D45D18"/>
    <w:rsid w:val="00D526E6"/>
    <w:rsid w:val="00D52C5B"/>
    <w:rsid w:val="00D5472A"/>
    <w:rsid w:val="00D60FBA"/>
    <w:rsid w:val="00D64BD6"/>
    <w:rsid w:val="00D741B3"/>
    <w:rsid w:val="00D820F0"/>
    <w:rsid w:val="00D82E1C"/>
    <w:rsid w:val="00D858A2"/>
    <w:rsid w:val="00D90EEC"/>
    <w:rsid w:val="00D931BE"/>
    <w:rsid w:val="00D94B00"/>
    <w:rsid w:val="00D9612F"/>
    <w:rsid w:val="00DA14E5"/>
    <w:rsid w:val="00DA1AA5"/>
    <w:rsid w:val="00DA2AE4"/>
    <w:rsid w:val="00DB0FAF"/>
    <w:rsid w:val="00DC1D1E"/>
    <w:rsid w:val="00DD7EBF"/>
    <w:rsid w:val="00DE296F"/>
    <w:rsid w:val="00DE39A7"/>
    <w:rsid w:val="00DE4930"/>
    <w:rsid w:val="00DE7401"/>
    <w:rsid w:val="00DF6AAB"/>
    <w:rsid w:val="00E0144F"/>
    <w:rsid w:val="00E0603C"/>
    <w:rsid w:val="00E06632"/>
    <w:rsid w:val="00E1107C"/>
    <w:rsid w:val="00E11B11"/>
    <w:rsid w:val="00E136C5"/>
    <w:rsid w:val="00E13778"/>
    <w:rsid w:val="00E16FD1"/>
    <w:rsid w:val="00E17898"/>
    <w:rsid w:val="00E3057B"/>
    <w:rsid w:val="00E3302D"/>
    <w:rsid w:val="00E36871"/>
    <w:rsid w:val="00E40D97"/>
    <w:rsid w:val="00E44514"/>
    <w:rsid w:val="00E44E09"/>
    <w:rsid w:val="00E527CE"/>
    <w:rsid w:val="00E60EB8"/>
    <w:rsid w:val="00E6646A"/>
    <w:rsid w:val="00E71DC0"/>
    <w:rsid w:val="00E7716E"/>
    <w:rsid w:val="00E84A40"/>
    <w:rsid w:val="00E853FA"/>
    <w:rsid w:val="00E85675"/>
    <w:rsid w:val="00E86A5F"/>
    <w:rsid w:val="00E90583"/>
    <w:rsid w:val="00E92261"/>
    <w:rsid w:val="00E95E58"/>
    <w:rsid w:val="00EA681F"/>
    <w:rsid w:val="00EB0E3A"/>
    <w:rsid w:val="00EB1A14"/>
    <w:rsid w:val="00EB66D7"/>
    <w:rsid w:val="00ED06E1"/>
    <w:rsid w:val="00ED0AE4"/>
    <w:rsid w:val="00ED1FB8"/>
    <w:rsid w:val="00ED3B09"/>
    <w:rsid w:val="00EF13D8"/>
    <w:rsid w:val="00EF3453"/>
    <w:rsid w:val="00F030A7"/>
    <w:rsid w:val="00F06F6D"/>
    <w:rsid w:val="00F11463"/>
    <w:rsid w:val="00F30372"/>
    <w:rsid w:val="00F36D17"/>
    <w:rsid w:val="00F37989"/>
    <w:rsid w:val="00F5100D"/>
    <w:rsid w:val="00F5516D"/>
    <w:rsid w:val="00F566AB"/>
    <w:rsid w:val="00F5702C"/>
    <w:rsid w:val="00F60F36"/>
    <w:rsid w:val="00F63AE6"/>
    <w:rsid w:val="00F76305"/>
    <w:rsid w:val="00F76B72"/>
    <w:rsid w:val="00F8070B"/>
    <w:rsid w:val="00F81338"/>
    <w:rsid w:val="00F85AE2"/>
    <w:rsid w:val="00F90D5A"/>
    <w:rsid w:val="00F9327D"/>
    <w:rsid w:val="00F95030"/>
    <w:rsid w:val="00F95DED"/>
    <w:rsid w:val="00F97BE2"/>
    <w:rsid w:val="00FA1113"/>
    <w:rsid w:val="00FB12C4"/>
    <w:rsid w:val="00FB2D8C"/>
    <w:rsid w:val="00FB3954"/>
    <w:rsid w:val="00FB4D6B"/>
    <w:rsid w:val="00FB7E09"/>
    <w:rsid w:val="00FC178D"/>
    <w:rsid w:val="00FC29A7"/>
    <w:rsid w:val="00FC53D2"/>
    <w:rsid w:val="00FC54E9"/>
    <w:rsid w:val="00FC59AA"/>
    <w:rsid w:val="00FD037F"/>
    <w:rsid w:val="00FD710B"/>
    <w:rsid w:val="00FE0D9D"/>
    <w:rsid w:val="00FE74A7"/>
    <w:rsid w:val="00FF3265"/>
    <w:rsid w:val="00FF3498"/>
    <w:rsid w:val="00FF4C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B4E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6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56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56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E14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A008E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DFATTable1">
    <w:name w:val="DFAT Table 1"/>
    <w:basedOn w:val="TableNormal"/>
    <w:uiPriority w:val="99"/>
    <w:rsid w:val="00A008E7"/>
    <w:pPr>
      <w:spacing w:before="60" w:after="60" w:line="260" w:lineRule="atLeast"/>
    </w:pPr>
    <w:rPr>
      <w:rFonts w:ascii="Calibri" w:hAnsi="Calibri"/>
      <w:color w:val="49596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rPr>
        <w:tblHeader/>
      </w:tr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paragraph" w:styleId="Header">
    <w:name w:val="header"/>
    <w:basedOn w:val="Normal"/>
    <w:link w:val="HeaderChar"/>
    <w:uiPriority w:val="99"/>
    <w:unhideWhenUsed/>
    <w:rsid w:val="00D93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1BE"/>
  </w:style>
  <w:style w:type="paragraph" w:styleId="Footer">
    <w:name w:val="footer"/>
    <w:basedOn w:val="Normal"/>
    <w:link w:val="FooterChar"/>
    <w:uiPriority w:val="99"/>
    <w:unhideWhenUsed/>
    <w:rsid w:val="00D93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1BE"/>
  </w:style>
  <w:style w:type="character" w:customStyle="1" w:styleId="Heading1Char">
    <w:name w:val="Heading 1 Char"/>
    <w:basedOn w:val="DefaultParagraphFont"/>
    <w:link w:val="Heading1"/>
    <w:uiPriority w:val="9"/>
    <w:rsid w:val="00CC56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56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56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E14D3"/>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897FF8"/>
    <w:pPr>
      <w:ind w:left="720"/>
      <w:contextualSpacing/>
    </w:pPr>
  </w:style>
  <w:style w:type="paragraph" w:styleId="Revision">
    <w:name w:val="Revision"/>
    <w:hidden/>
    <w:uiPriority w:val="99"/>
    <w:semiHidden/>
    <w:rsid w:val="00BF41FB"/>
    <w:pPr>
      <w:spacing w:after="0" w:line="240" w:lineRule="auto"/>
    </w:pPr>
  </w:style>
  <w:style w:type="character" w:styleId="CommentReference">
    <w:name w:val="annotation reference"/>
    <w:basedOn w:val="DefaultParagraphFont"/>
    <w:uiPriority w:val="99"/>
    <w:semiHidden/>
    <w:unhideWhenUsed/>
    <w:rsid w:val="00C34F56"/>
    <w:rPr>
      <w:sz w:val="16"/>
      <w:szCs w:val="16"/>
    </w:rPr>
  </w:style>
  <w:style w:type="paragraph" w:styleId="CommentText">
    <w:name w:val="annotation text"/>
    <w:basedOn w:val="Normal"/>
    <w:link w:val="CommentTextChar"/>
    <w:uiPriority w:val="99"/>
    <w:unhideWhenUsed/>
    <w:rsid w:val="00C34F56"/>
    <w:pPr>
      <w:spacing w:line="240" w:lineRule="auto"/>
    </w:pPr>
    <w:rPr>
      <w:sz w:val="20"/>
      <w:szCs w:val="20"/>
    </w:rPr>
  </w:style>
  <w:style w:type="character" w:customStyle="1" w:styleId="CommentTextChar">
    <w:name w:val="Comment Text Char"/>
    <w:basedOn w:val="DefaultParagraphFont"/>
    <w:link w:val="CommentText"/>
    <w:uiPriority w:val="99"/>
    <w:rsid w:val="00C34F56"/>
    <w:rPr>
      <w:sz w:val="20"/>
      <w:szCs w:val="20"/>
    </w:rPr>
  </w:style>
  <w:style w:type="paragraph" w:styleId="CommentSubject">
    <w:name w:val="annotation subject"/>
    <w:basedOn w:val="CommentText"/>
    <w:next w:val="CommentText"/>
    <w:link w:val="CommentSubjectChar"/>
    <w:uiPriority w:val="99"/>
    <w:semiHidden/>
    <w:unhideWhenUsed/>
    <w:rsid w:val="00C34F56"/>
    <w:rPr>
      <w:b/>
      <w:bCs/>
    </w:rPr>
  </w:style>
  <w:style w:type="character" w:customStyle="1" w:styleId="CommentSubjectChar">
    <w:name w:val="Comment Subject Char"/>
    <w:basedOn w:val="CommentTextChar"/>
    <w:link w:val="CommentSubject"/>
    <w:uiPriority w:val="99"/>
    <w:semiHidden/>
    <w:rsid w:val="00C34F56"/>
    <w:rPr>
      <w:b/>
      <w:bCs/>
      <w:sz w:val="20"/>
      <w:szCs w:val="20"/>
    </w:rPr>
  </w:style>
  <w:style w:type="table" w:customStyle="1" w:styleId="TableGrid1">
    <w:name w:val="Table Grid1"/>
    <w:basedOn w:val="TableNormal"/>
    <w:next w:val="TableGrid"/>
    <w:uiPriority w:val="39"/>
    <w:rsid w:val="00976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3A73"/>
    <w:pPr>
      <w:spacing w:after="0" w:line="240" w:lineRule="auto"/>
    </w:pPr>
  </w:style>
  <w:style w:type="paragraph" w:styleId="BalloonText">
    <w:name w:val="Balloon Text"/>
    <w:basedOn w:val="Normal"/>
    <w:link w:val="BalloonTextChar"/>
    <w:uiPriority w:val="99"/>
    <w:semiHidden/>
    <w:unhideWhenUsed/>
    <w:rsid w:val="009271A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71A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094DC-D325-1E4A-81F3-1CB6D0C4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1652</Words>
  <Characters>9551</Characters>
  <Application>Microsoft Office Word</Application>
  <DocSecurity>0</DocSecurity>
  <Lines>380</Lines>
  <Paragraphs>86</Paragraphs>
  <ScaleCrop>false</ScaleCrop>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Program for Disaster Response - Independent Completion Review DFAT Management Response</dc:title>
  <dc:subject/>
  <dc:creator/>
  <cp:keywords>[SEC=OFFICIAL]</cp:keywords>
  <dc:description/>
  <cp:lastModifiedBy/>
  <cp:revision>1</cp:revision>
  <dcterms:created xsi:type="dcterms:W3CDTF">2023-07-28T01:36:00Z</dcterms:created>
  <dcterms:modified xsi:type="dcterms:W3CDTF">2023-07-28T01:36:00Z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v=2022.1;a=SHA256;h=57A283E52CD2D559C737EA39A8B0DE86210396AC7419C512C96367570D3F3FD3</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AC878737FF9E4360B03CA45EC001C5A4</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2023-04-03T09:51:46Z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30D5D3291592F85F7600A329C4F1429D</vt:lpwstr>
  </property>
  <property fmtid="{D5CDD505-2E9C-101B-9397-08002B2CF9AE}" pid="22" name="PM_Hash_Salt">
    <vt:lpwstr>394328703A6C94D40849E603C493FBC5</vt:lpwstr>
  </property>
  <property fmtid="{D5CDD505-2E9C-101B-9397-08002B2CF9AE}" pid="23" name="PM_Hash_SHA1">
    <vt:lpwstr>AA51F8EAB14B12BDB4473E450F72D5692FC54DAA</vt:lpwstr>
  </property>
  <property fmtid="{D5CDD505-2E9C-101B-9397-08002B2CF9AE}" pid="24" name="PM_OriginatorUserAccountName_SHA256">
    <vt:lpwstr>3F6D732A650B4EC715B623E0D837FB2B96AB69551124ACFE30889A7938FDE719</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