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67E6" w14:textId="49E23FA9" w:rsidR="00152E73" w:rsidRPr="00023114" w:rsidRDefault="00152E73" w:rsidP="00023114">
      <w:pPr>
        <w:pStyle w:val="Heading1"/>
      </w:pPr>
      <w:r w:rsidRPr="00023114">
        <w:t>DFAT Management Response to the End of Program Review of the</w:t>
      </w:r>
      <w:r w:rsidR="0003284F">
        <w:br/>
      </w:r>
      <w:r w:rsidRPr="00023114">
        <w:t>Provincial Road Improvement and Maintenance (PRIM)</w:t>
      </w:r>
    </w:p>
    <w:p w14:paraId="5A44742F" w14:textId="34202231" w:rsidR="00E019DC" w:rsidRPr="001E02DB" w:rsidRDefault="464855D0" w:rsidP="54C0A861">
      <w:pPr>
        <w:jc w:val="center"/>
        <w:rPr>
          <w:b/>
          <w:bCs/>
          <w:color w:val="auto"/>
          <w:sz w:val="24"/>
          <w:szCs w:val="24"/>
          <w:lang w:val="en-AU"/>
        </w:rPr>
      </w:pPr>
      <w:r w:rsidRPr="54C0A861">
        <w:rPr>
          <w:b/>
          <w:bCs/>
          <w:color w:val="auto"/>
          <w:sz w:val="24"/>
          <w:szCs w:val="24"/>
          <w:lang w:val="en-AU"/>
        </w:rPr>
        <w:t>February</w:t>
      </w:r>
      <w:r w:rsidR="00152E73" w:rsidRPr="54C0A861">
        <w:rPr>
          <w:b/>
          <w:bCs/>
          <w:color w:val="auto"/>
          <w:sz w:val="24"/>
          <w:szCs w:val="24"/>
          <w:lang w:val="en-AU"/>
        </w:rPr>
        <w:t xml:space="preserve"> 2024</w:t>
      </w:r>
    </w:p>
    <w:p w14:paraId="60C76C73" w14:textId="77777777" w:rsidR="0038608B" w:rsidRPr="00CA3EA1" w:rsidRDefault="0038608B" w:rsidP="00CA3EA1">
      <w:pPr>
        <w:spacing w:before="0" w:after="0"/>
        <w:rPr>
          <w:b/>
          <w:color w:val="auto"/>
          <w:sz w:val="20"/>
          <w:szCs w:val="20"/>
          <w:lang w:val="en-AU"/>
        </w:rPr>
      </w:pPr>
    </w:p>
    <w:p w14:paraId="747C6169" w14:textId="7F59D0CF" w:rsidR="0093664A" w:rsidRDefault="00EC3BD3" w:rsidP="0038608B">
      <w:pPr>
        <w:rPr>
          <w:color w:val="auto"/>
        </w:rPr>
      </w:pPr>
      <w:r w:rsidRPr="233908CD">
        <w:rPr>
          <w:color w:val="auto"/>
        </w:rPr>
        <w:t xml:space="preserve">The Department of Foreign Affairs and Trade (DFAT) commissioned an </w:t>
      </w:r>
      <w:r w:rsidR="0046015D" w:rsidRPr="233908CD">
        <w:rPr>
          <w:color w:val="auto"/>
        </w:rPr>
        <w:t xml:space="preserve">end of program review </w:t>
      </w:r>
      <w:r w:rsidR="007A1252" w:rsidRPr="233908CD">
        <w:rPr>
          <w:color w:val="auto"/>
        </w:rPr>
        <w:t>(EPR) of the Provincial Road Improvement and Maintenance (PRIM)</w:t>
      </w:r>
      <w:r w:rsidR="005E328B" w:rsidRPr="233908CD">
        <w:rPr>
          <w:color w:val="auto"/>
        </w:rPr>
        <w:t xml:space="preserve">, conducted between </w:t>
      </w:r>
      <w:r w:rsidR="00B3352A" w:rsidRPr="233908CD">
        <w:rPr>
          <w:color w:val="auto"/>
        </w:rPr>
        <w:t>December</w:t>
      </w:r>
      <w:r w:rsidR="005E328B" w:rsidRPr="233908CD">
        <w:rPr>
          <w:color w:val="auto"/>
        </w:rPr>
        <w:t xml:space="preserve"> 2022 – </w:t>
      </w:r>
      <w:r w:rsidR="00D41EB6" w:rsidRPr="233908CD">
        <w:rPr>
          <w:color w:val="auto"/>
        </w:rPr>
        <w:t xml:space="preserve">February </w:t>
      </w:r>
      <w:r w:rsidR="005E328B" w:rsidRPr="233908CD">
        <w:rPr>
          <w:color w:val="auto"/>
        </w:rPr>
        <w:t xml:space="preserve">2023. </w:t>
      </w:r>
      <w:r w:rsidR="0080673F" w:rsidRPr="233908CD">
        <w:rPr>
          <w:color w:val="auto"/>
        </w:rPr>
        <w:t xml:space="preserve">The purpose of EPR is to </w:t>
      </w:r>
      <w:r w:rsidR="21735D5E" w:rsidRPr="233908CD">
        <w:rPr>
          <w:color w:val="auto"/>
        </w:rPr>
        <w:t>assess the</w:t>
      </w:r>
      <w:r w:rsidR="0080673F" w:rsidRPr="233908CD">
        <w:rPr>
          <w:color w:val="auto"/>
        </w:rPr>
        <w:t xml:space="preserve"> </w:t>
      </w:r>
      <w:r w:rsidR="32577A7A" w:rsidRPr="233908CD">
        <w:rPr>
          <w:color w:val="auto"/>
        </w:rPr>
        <w:t xml:space="preserve">success of the </w:t>
      </w:r>
      <w:r w:rsidR="262DA624" w:rsidRPr="233908CD">
        <w:rPr>
          <w:color w:val="auto"/>
        </w:rPr>
        <w:t xml:space="preserve">PRIM </w:t>
      </w:r>
      <w:r w:rsidR="32577A7A" w:rsidRPr="233908CD">
        <w:rPr>
          <w:color w:val="auto"/>
        </w:rPr>
        <w:t>program,</w:t>
      </w:r>
      <w:r w:rsidR="0080673F" w:rsidRPr="233908CD">
        <w:rPr>
          <w:color w:val="auto"/>
        </w:rPr>
        <w:t xml:space="preserve"> identify lessons learned and provide recommendations for future interventions.</w:t>
      </w:r>
    </w:p>
    <w:p w14:paraId="4CD87606" w14:textId="01B5D774" w:rsidR="0090075D" w:rsidRDefault="00CB71B7" w:rsidP="0038608B">
      <w:pPr>
        <w:rPr>
          <w:color w:val="auto"/>
        </w:rPr>
      </w:pPr>
      <w:r w:rsidRPr="648D7D43">
        <w:rPr>
          <w:color w:val="auto"/>
        </w:rPr>
        <w:t>The report</w:t>
      </w:r>
      <w:r w:rsidR="5E7707D3" w:rsidRPr="648D7D43">
        <w:rPr>
          <w:color w:val="auto"/>
        </w:rPr>
        <w:t xml:space="preserve"> identifies lessons to support the continued roll-out of the PRIM model in Indonesia</w:t>
      </w:r>
      <w:r w:rsidRPr="648D7D43">
        <w:rPr>
          <w:color w:val="auto"/>
        </w:rPr>
        <w:t xml:space="preserve"> </w:t>
      </w:r>
      <w:r w:rsidR="6360ABFB" w:rsidRPr="648D7D43">
        <w:rPr>
          <w:color w:val="auto"/>
        </w:rPr>
        <w:t xml:space="preserve">and </w:t>
      </w:r>
      <w:r w:rsidRPr="648D7D43">
        <w:rPr>
          <w:color w:val="auto"/>
        </w:rPr>
        <w:t>provide</w:t>
      </w:r>
      <w:r w:rsidR="739DA724" w:rsidRPr="648D7D43">
        <w:rPr>
          <w:color w:val="auto"/>
        </w:rPr>
        <w:t>s</w:t>
      </w:r>
      <w:r w:rsidRPr="648D7D43">
        <w:rPr>
          <w:color w:val="auto"/>
        </w:rPr>
        <w:t xml:space="preserve"> a</w:t>
      </w:r>
      <w:r w:rsidR="1CFFECED" w:rsidRPr="648D7D43">
        <w:rPr>
          <w:color w:val="auto"/>
        </w:rPr>
        <w:t>n</w:t>
      </w:r>
      <w:r w:rsidRPr="648D7D43">
        <w:rPr>
          <w:color w:val="auto"/>
        </w:rPr>
        <w:t xml:space="preserve"> evidence</w:t>
      </w:r>
      <w:r w:rsidR="02881F34" w:rsidRPr="648D7D43">
        <w:rPr>
          <w:color w:val="auto"/>
        </w:rPr>
        <w:t xml:space="preserve"> </w:t>
      </w:r>
      <w:r w:rsidRPr="648D7D43">
        <w:rPr>
          <w:color w:val="auto"/>
        </w:rPr>
        <w:t xml:space="preserve">base for the design of future investments in the road and infrastructure sectors both within Indonesia and more broadly across the region. </w:t>
      </w:r>
      <w:r w:rsidR="7C2BDAB0" w:rsidRPr="648D7D43">
        <w:rPr>
          <w:color w:val="auto"/>
        </w:rPr>
        <w:t>While t</w:t>
      </w:r>
      <w:r w:rsidR="006B5011" w:rsidRPr="648D7D43">
        <w:rPr>
          <w:color w:val="auto"/>
        </w:rPr>
        <w:t>he</w:t>
      </w:r>
      <w:r w:rsidR="00103150" w:rsidRPr="648D7D43">
        <w:rPr>
          <w:color w:val="auto"/>
        </w:rPr>
        <w:t xml:space="preserve"> lesson</w:t>
      </w:r>
      <w:r w:rsidR="1A53C31D" w:rsidRPr="648D7D43">
        <w:rPr>
          <w:color w:val="auto"/>
        </w:rPr>
        <w:t>s</w:t>
      </w:r>
      <w:r w:rsidR="00103150" w:rsidRPr="648D7D43">
        <w:rPr>
          <w:color w:val="auto"/>
        </w:rPr>
        <w:t xml:space="preserve"> </w:t>
      </w:r>
      <w:r w:rsidR="001A2590" w:rsidRPr="648D7D43">
        <w:rPr>
          <w:color w:val="auto"/>
        </w:rPr>
        <w:t xml:space="preserve">from the </w:t>
      </w:r>
      <w:r w:rsidR="00A97A98" w:rsidRPr="648D7D43">
        <w:rPr>
          <w:color w:val="auto"/>
        </w:rPr>
        <w:t xml:space="preserve">EPR report </w:t>
      </w:r>
      <w:r w:rsidR="00103150" w:rsidRPr="648D7D43">
        <w:rPr>
          <w:color w:val="auto"/>
        </w:rPr>
        <w:t>are broad</w:t>
      </w:r>
      <w:r w:rsidR="4644BF16" w:rsidRPr="648D7D43">
        <w:rPr>
          <w:color w:val="auto"/>
        </w:rPr>
        <w:t>ly applicable,</w:t>
      </w:r>
      <w:r w:rsidR="009C1DE1" w:rsidRPr="648D7D43">
        <w:rPr>
          <w:color w:val="auto"/>
        </w:rPr>
        <w:t xml:space="preserve"> DFAT’s management response </w:t>
      </w:r>
      <w:r w:rsidR="21D33033" w:rsidRPr="648D7D43">
        <w:rPr>
          <w:color w:val="auto"/>
        </w:rPr>
        <w:t xml:space="preserve">is focused on how the lessons will be implemented in the context of bilateral </w:t>
      </w:r>
      <w:r w:rsidR="00290FFD" w:rsidRPr="648D7D43">
        <w:rPr>
          <w:color w:val="auto"/>
        </w:rPr>
        <w:t xml:space="preserve">cooperation between Australia </w:t>
      </w:r>
      <w:r w:rsidR="5BF7CAAF" w:rsidRPr="648D7D43">
        <w:rPr>
          <w:color w:val="auto"/>
        </w:rPr>
        <w:t>and</w:t>
      </w:r>
      <w:r w:rsidR="00290FFD" w:rsidRPr="648D7D43">
        <w:rPr>
          <w:color w:val="auto"/>
        </w:rPr>
        <w:t xml:space="preserve"> Indonesia </w:t>
      </w:r>
      <w:r w:rsidR="006E39BD" w:rsidRPr="648D7D43">
        <w:rPr>
          <w:color w:val="auto"/>
        </w:rPr>
        <w:t xml:space="preserve">on infrastructure development. </w:t>
      </w:r>
    </w:p>
    <w:p w14:paraId="6E65FA1C" w14:textId="112A7CEA" w:rsidR="000B76C6" w:rsidRDefault="0093664A" w:rsidP="0038608B">
      <w:pPr>
        <w:rPr>
          <w:color w:val="auto"/>
        </w:rPr>
      </w:pPr>
      <w:r>
        <w:rPr>
          <w:color w:val="auto"/>
        </w:rPr>
        <w:t xml:space="preserve">DFAT thanks those who participated </w:t>
      </w:r>
      <w:r w:rsidR="00CE7538">
        <w:rPr>
          <w:color w:val="auto"/>
        </w:rPr>
        <w:t xml:space="preserve">in the EPR process. DFAT’s response to the </w:t>
      </w:r>
      <w:r w:rsidR="00F8345A">
        <w:rPr>
          <w:color w:val="auto"/>
        </w:rPr>
        <w:t>key lesson</w:t>
      </w:r>
      <w:r w:rsidR="00A33F69">
        <w:rPr>
          <w:color w:val="auto"/>
        </w:rPr>
        <w:t xml:space="preserve">s and </w:t>
      </w:r>
      <w:r w:rsidR="00CE7538">
        <w:rPr>
          <w:color w:val="auto"/>
        </w:rPr>
        <w:t>recommendation</w:t>
      </w:r>
      <w:r w:rsidR="00A33F69">
        <w:rPr>
          <w:color w:val="auto"/>
        </w:rPr>
        <w:t>s</w:t>
      </w:r>
      <w:r w:rsidR="00CE7538">
        <w:rPr>
          <w:color w:val="auto"/>
        </w:rPr>
        <w:t xml:space="preserve"> </w:t>
      </w:r>
      <w:r w:rsidR="00BA72B9">
        <w:rPr>
          <w:color w:val="auto"/>
        </w:rPr>
        <w:t xml:space="preserve">are as follow. </w:t>
      </w:r>
    </w:p>
    <w:p w14:paraId="52BC6D07" w14:textId="77777777" w:rsidR="00CA3EA1" w:rsidRPr="00CA3EA1" w:rsidRDefault="00CA3EA1" w:rsidP="00CA3EA1">
      <w:pPr>
        <w:spacing w:before="0" w:after="0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306"/>
        <w:gridCol w:w="1638"/>
        <w:gridCol w:w="3592"/>
      </w:tblGrid>
      <w:tr w:rsidR="00A71DDF" w14:paraId="6264DDB5" w14:textId="77777777" w:rsidTr="000B76C6">
        <w:trPr>
          <w:tblHeader/>
        </w:trPr>
        <w:tc>
          <w:tcPr>
            <w:tcW w:w="421" w:type="dxa"/>
          </w:tcPr>
          <w:p w14:paraId="603EC662" w14:textId="7170BC36" w:rsidR="00A71DDF" w:rsidRPr="00F8345A" w:rsidRDefault="00F8345A" w:rsidP="00F8345A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 w:rsidRPr="00F8345A">
              <w:rPr>
                <w:b/>
                <w:bCs/>
                <w:color w:val="auto"/>
              </w:rPr>
              <w:t>No</w:t>
            </w:r>
          </w:p>
        </w:tc>
        <w:tc>
          <w:tcPr>
            <w:tcW w:w="3328" w:type="dxa"/>
          </w:tcPr>
          <w:p w14:paraId="634D8513" w14:textId="58874A18" w:rsidR="00A71DDF" w:rsidRPr="00F8345A" w:rsidRDefault="00A33F69" w:rsidP="00F8345A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Key Lesson/Recommendation</w:t>
            </w:r>
          </w:p>
        </w:tc>
        <w:tc>
          <w:tcPr>
            <w:tcW w:w="1654" w:type="dxa"/>
          </w:tcPr>
          <w:p w14:paraId="2FF72430" w14:textId="51A7212F" w:rsidR="00A71DDF" w:rsidRPr="00F8345A" w:rsidRDefault="00A33F69" w:rsidP="00F8345A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Response</w:t>
            </w:r>
          </w:p>
        </w:tc>
        <w:tc>
          <w:tcPr>
            <w:tcW w:w="3613" w:type="dxa"/>
          </w:tcPr>
          <w:p w14:paraId="373409B3" w14:textId="7580C289" w:rsidR="00A71DDF" w:rsidRPr="00F8345A" w:rsidRDefault="00A33F69" w:rsidP="00F8345A"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Explanation</w:t>
            </w:r>
          </w:p>
        </w:tc>
      </w:tr>
      <w:tr w:rsidR="00283850" w14:paraId="45DE99B2" w14:textId="77777777" w:rsidTr="000B76C6">
        <w:tc>
          <w:tcPr>
            <w:tcW w:w="421" w:type="dxa"/>
            <w:shd w:val="clear" w:color="auto" w:fill="FFFFFF" w:themeFill="background1"/>
          </w:tcPr>
          <w:p w14:paraId="529A661C" w14:textId="5AD5E668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t>1</w:t>
            </w:r>
          </w:p>
        </w:tc>
        <w:tc>
          <w:tcPr>
            <w:tcW w:w="3328" w:type="dxa"/>
            <w:shd w:val="clear" w:color="auto" w:fill="FFFFFF" w:themeFill="background1"/>
          </w:tcPr>
          <w:p w14:paraId="084C1598" w14:textId="2FAF3B2F" w:rsidR="00A71DDF" w:rsidRDefault="00FE5D6D" w:rsidP="00A71DDF">
            <w:pPr>
              <w:spacing w:before="0" w:after="0"/>
              <w:rPr>
                <w:color w:val="auto"/>
              </w:rPr>
            </w:pPr>
            <w:r w:rsidRPr="00FE5D6D">
              <w:rPr>
                <w:color w:val="auto"/>
              </w:rPr>
              <w:t>Program designs should be based upon a root cause analysis</w:t>
            </w:r>
          </w:p>
        </w:tc>
        <w:tc>
          <w:tcPr>
            <w:tcW w:w="1654" w:type="dxa"/>
            <w:shd w:val="clear" w:color="auto" w:fill="FFFFFF" w:themeFill="background1"/>
          </w:tcPr>
          <w:p w14:paraId="3B0BDEA4" w14:textId="3625AE08" w:rsidR="008D3FA8" w:rsidRDefault="008D3FA8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54FDAEA6" w:rsidRPr="3EC05FE0">
              <w:rPr>
                <w:color w:val="auto"/>
              </w:rPr>
              <w:t>d</w:t>
            </w:r>
          </w:p>
          <w:p w14:paraId="69E51E64" w14:textId="0671C2E2" w:rsidR="008D3FA8" w:rsidRDefault="008D3FA8" w:rsidP="008B453C">
            <w:p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613" w:type="dxa"/>
            <w:shd w:val="clear" w:color="auto" w:fill="FFFFFF" w:themeFill="background1"/>
          </w:tcPr>
          <w:p w14:paraId="15CBC8AF" w14:textId="30511E7C" w:rsidR="00A71DDF" w:rsidRDefault="5DB69CEB" w:rsidP="00A71DDF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 xml:space="preserve">DFAT </w:t>
            </w:r>
            <w:r w:rsidR="1E94E347" w:rsidRPr="25E560CC">
              <w:rPr>
                <w:color w:val="auto"/>
              </w:rPr>
              <w:t xml:space="preserve">designs follow the </w:t>
            </w:r>
            <w:r w:rsidR="1E94E347" w:rsidRPr="25E560CC">
              <w:rPr>
                <w:i/>
                <w:iCs/>
                <w:color w:val="auto"/>
              </w:rPr>
              <w:t>DFAT Design</w:t>
            </w:r>
            <w:r w:rsidR="2B970C19" w:rsidRPr="25E560CC">
              <w:rPr>
                <w:i/>
                <w:iCs/>
                <w:color w:val="auto"/>
              </w:rPr>
              <w:t>,</w:t>
            </w:r>
            <w:r w:rsidR="1E94E347" w:rsidRPr="25E560CC">
              <w:rPr>
                <w:i/>
                <w:iCs/>
                <w:color w:val="auto"/>
              </w:rPr>
              <w:t xml:space="preserve"> Monitoring</w:t>
            </w:r>
            <w:r w:rsidR="2B970C19" w:rsidRPr="25E560CC">
              <w:rPr>
                <w:i/>
                <w:iCs/>
                <w:color w:val="auto"/>
              </w:rPr>
              <w:t xml:space="preserve"> and</w:t>
            </w:r>
            <w:r w:rsidR="1E94E347" w:rsidRPr="25E560CC">
              <w:rPr>
                <w:i/>
                <w:iCs/>
                <w:color w:val="auto"/>
              </w:rPr>
              <w:t xml:space="preserve"> Evaluation</w:t>
            </w:r>
            <w:r w:rsidR="2B970C19" w:rsidRPr="25E560CC">
              <w:rPr>
                <w:i/>
                <w:iCs/>
                <w:color w:val="auto"/>
              </w:rPr>
              <w:t xml:space="preserve"> </w:t>
            </w:r>
            <w:r w:rsidR="1E94E347" w:rsidRPr="25E560CC">
              <w:rPr>
                <w:i/>
                <w:iCs/>
                <w:color w:val="auto"/>
              </w:rPr>
              <w:t>Standards</w:t>
            </w:r>
            <w:r w:rsidR="5E7CE820" w:rsidRPr="25E560CC">
              <w:rPr>
                <w:i/>
                <w:iCs/>
                <w:color w:val="auto"/>
              </w:rPr>
              <w:t xml:space="preserve">. </w:t>
            </w:r>
            <w:r w:rsidR="20B8DB0A" w:rsidRPr="000B76C6">
              <w:rPr>
                <w:color w:val="auto"/>
              </w:rPr>
              <w:t xml:space="preserve">The design of </w:t>
            </w:r>
            <w:r w:rsidR="20B8DB0A" w:rsidRPr="25E560CC">
              <w:rPr>
                <w:color w:val="auto"/>
              </w:rPr>
              <w:t>any future infrastructure program in Indonesia</w:t>
            </w:r>
            <w:r w:rsidR="271F716E" w:rsidRPr="25E560CC">
              <w:rPr>
                <w:color w:val="auto"/>
              </w:rPr>
              <w:t xml:space="preserve"> will be </w:t>
            </w:r>
            <w:r w:rsidR="6C2AED03" w:rsidRPr="25E560CC">
              <w:rPr>
                <w:color w:val="auto"/>
              </w:rPr>
              <w:t xml:space="preserve">also </w:t>
            </w:r>
            <w:r w:rsidR="271F716E" w:rsidRPr="25E560CC">
              <w:rPr>
                <w:color w:val="auto"/>
              </w:rPr>
              <w:t>informed by d</w:t>
            </w:r>
            <w:r w:rsidR="2D8607D2" w:rsidRPr="25E560CC">
              <w:rPr>
                <w:color w:val="auto"/>
              </w:rPr>
              <w:t xml:space="preserve">etailed </w:t>
            </w:r>
            <w:r w:rsidR="722F724B" w:rsidRPr="25E560CC">
              <w:rPr>
                <w:color w:val="auto"/>
              </w:rPr>
              <w:t>analysis, including root cause analysis.</w:t>
            </w:r>
          </w:p>
        </w:tc>
      </w:tr>
      <w:tr w:rsidR="00283850" w14:paraId="267BB23E" w14:textId="77777777" w:rsidTr="000B76C6">
        <w:tc>
          <w:tcPr>
            <w:tcW w:w="421" w:type="dxa"/>
            <w:shd w:val="clear" w:color="auto" w:fill="FFFFFF" w:themeFill="background1"/>
          </w:tcPr>
          <w:p w14:paraId="07BB1D61" w14:textId="6DC44437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328" w:type="dxa"/>
            <w:shd w:val="clear" w:color="auto" w:fill="FFFFFF" w:themeFill="background1"/>
          </w:tcPr>
          <w:p w14:paraId="1FF01F71" w14:textId="54654609" w:rsidR="23513438" w:rsidRDefault="23513438" w:rsidP="171310BE">
            <w:pPr>
              <w:spacing w:before="0" w:after="0"/>
              <w:rPr>
                <w:color w:val="auto"/>
              </w:rPr>
            </w:pPr>
            <w:r w:rsidRPr="171310BE">
              <w:rPr>
                <w:color w:val="auto"/>
              </w:rPr>
              <w:t>The long-term pilot program led to replication.</w:t>
            </w:r>
          </w:p>
          <w:p w14:paraId="3062D24E" w14:textId="78050433" w:rsidR="00A71DDF" w:rsidRDefault="6E6ACEE5" w:rsidP="3EC05FE0">
            <w:pPr>
              <w:spacing w:before="0" w:after="0"/>
              <w:rPr>
                <w:color w:val="auto"/>
              </w:rPr>
            </w:pPr>
            <w:r w:rsidRPr="171310BE">
              <w:rPr>
                <w:color w:val="auto"/>
              </w:rPr>
              <w:t>Pilot projects or programs need to be well implemented over a sustained period, together with strong and continual counterpart collaboration</w:t>
            </w:r>
            <w:r w:rsidR="7B26B9CE" w:rsidRPr="171310BE">
              <w:rPr>
                <w:color w:val="auto"/>
              </w:rPr>
              <w:t>. C</w:t>
            </w:r>
            <w:r w:rsidRPr="171310BE">
              <w:rPr>
                <w:color w:val="auto"/>
              </w:rPr>
              <w:t>lear reporting of benefits and results can influence national policy dialogue and lead to lasting sector reform</w:t>
            </w:r>
            <w:r w:rsidR="347B5F3A" w:rsidRPr="171310BE">
              <w:rPr>
                <w:color w:val="auto"/>
              </w:rPr>
              <w:t>.</w:t>
            </w:r>
          </w:p>
        </w:tc>
        <w:tc>
          <w:tcPr>
            <w:tcW w:w="1654" w:type="dxa"/>
            <w:shd w:val="clear" w:color="auto" w:fill="FFFFFF" w:themeFill="background1"/>
          </w:tcPr>
          <w:p w14:paraId="5A2AB96D" w14:textId="6D8938A7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2FC09DBD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34186231" w14:textId="17C01DCF" w:rsidR="00A71DDF" w:rsidRDefault="72CE61B6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>DFAT recognise</w:t>
            </w:r>
            <w:r w:rsidR="69148252" w:rsidRPr="648D7D43">
              <w:rPr>
                <w:color w:val="auto"/>
              </w:rPr>
              <w:t>s</w:t>
            </w:r>
            <w:r w:rsidRPr="648D7D43">
              <w:rPr>
                <w:color w:val="auto"/>
              </w:rPr>
              <w:t xml:space="preserve"> the need </w:t>
            </w:r>
            <w:r w:rsidR="264D25E7" w:rsidRPr="648D7D43">
              <w:rPr>
                <w:color w:val="auto"/>
              </w:rPr>
              <w:t>for</w:t>
            </w:r>
            <w:r w:rsidRPr="648D7D43">
              <w:rPr>
                <w:color w:val="auto"/>
              </w:rPr>
              <w:t xml:space="preserve"> </w:t>
            </w:r>
            <w:r w:rsidR="7E47510B" w:rsidRPr="648D7D43">
              <w:rPr>
                <w:color w:val="auto"/>
              </w:rPr>
              <w:t xml:space="preserve">long-term commitment and </w:t>
            </w:r>
            <w:r w:rsidR="5E6DC955" w:rsidRPr="648D7D43">
              <w:rPr>
                <w:color w:val="auto"/>
              </w:rPr>
              <w:t xml:space="preserve">engagement to support </w:t>
            </w:r>
            <w:r w:rsidR="7E47510B" w:rsidRPr="648D7D43">
              <w:rPr>
                <w:color w:val="auto"/>
              </w:rPr>
              <w:t>replication of</w:t>
            </w:r>
            <w:r w:rsidR="500994A1" w:rsidRPr="648D7D43">
              <w:rPr>
                <w:color w:val="auto"/>
              </w:rPr>
              <w:t xml:space="preserve"> a successful</w:t>
            </w:r>
            <w:r w:rsidR="7E47510B" w:rsidRPr="648D7D43">
              <w:rPr>
                <w:color w:val="auto"/>
              </w:rPr>
              <w:t xml:space="preserve"> pilot project.</w:t>
            </w:r>
            <w:r w:rsidR="0304C5DE" w:rsidRPr="648D7D43">
              <w:rPr>
                <w:color w:val="auto"/>
              </w:rPr>
              <w:t xml:space="preserve"> DFAT has continued to remain actively engaged on these issues in the aftermath of the PRIM program</w:t>
            </w:r>
            <w:r w:rsidR="0C2426B1" w:rsidRPr="648D7D43">
              <w:rPr>
                <w:color w:val="auto"/>
              </w:rPr>
              <w:t xml:space="preserve">, including through the bilateral infrastructure program, the </w:t>
            </w:r>
            <w:proofErr w:type="spellStart"/>
            <w:r w:rsidR="0C2426B1" w:rsidRPr="648D7D43">
              <w:rPr>
                <w:color w:val="auto"/>
              </w:rPr>
              <w:t>Kemitraan</w:t>
            </w:r>
            <w:proofErr w:type="spellEnd"/>
            <w:r w:rsidR="0C2426B1" w:rsidRPr="648D7D43">
              <w:rPr>
                <w:color w:val="auto"/>
              </w:rPr>
              <w:t xml:space="preserve"> Indonesia-Australia </w:t>
            </w:r>
            <w:proofErr w:type="spellStart"/>
            <w:r w:rsidR="0C2426B1" w:rsidRPr="648D7D43">
              <w:rPr>
                <w:color w:val="auto"/>
              </w:rPr>
              <w:t>untuk</w:t>
            </w:r>
            <w:proofErr w:type="spellEnd"/>
            <w:r w:rsidR="0C2426B1" w:rsidRPr="648D7D43">
              <w:rPr>
                <w:color w:val="auto"/>
              </w:rPr>
              <w:t xml:space="preserve"> </w:t>
            </w:r>
            <w:proofErr w:type="spellStart"/>
            <w:r w:rsidR="0C2426B1" w:rsidRPr="648D7D43">
              <w:rPr>
                <w:color w:val="auto"/>
              </w:rPr>
              <w:t>Infrastruktur</w:t>
            </w:r>
            <w:proofErr w:type="spellEnd"/>
            <w:r w:rsidR="0C2426B1" w:rsidRPr="648D7D43">
              <w:rPr>
                <w:color w:val="auto"/>
              </w:rPr>
              <w:t xml:space="preserve"> (KIAT).</w:t>
            </w:r>
          </w:p>
        </w:tc>
      </w:tr>
      <w:tr w:rsidR="00283850" w14:paraId="721E267A" w14:textId="77777777" w:rsidTr="000B76C6">
        <w:tc>
          <w:tcPr>
            <w:tcW w:w="421" w:type="dxa"/>
            <w:shd w:val="clear" w:color="auto" w:fill="FFFFFF" w:themeFill="background1"/>
          </w:tcPr>
          <w:p w14:paraId="7271B017" w14:textId="08053CA6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t>3</w:t>
            </w:r>
          </w:p>
        </w:tc>
        <w:tc>
          <w:tcPr>
            <w:tcW w:w="3328" w:type="dxa"/>
            <w:shd w:val="clear" w:color="auto" w:fill="FFFFFF" w:themeFill="background1"/>
          </w:tcPr>
          <w:p w14:paraId="0E7D4BB5" w14:textId="37A57698" w:rsidR="00A71DDF" w:rsidRDefault="00995E16" w:rsidP="00A71DDF">
            <w:pPr>
              <w:spacing w:before="0" w:after="0"/>
              <w:rPr>
                <w:color w:val="auto"/>
              </w:rPr>
            </w:pPr>
            <w:r w:rsidRPr="3EC05FE0">
              <w:rPr>
                <w:color w:val="auto"/>
              </w:rPr>
              <w:t>Performance-based gran</w:t>
            </w:r>
            <w:r w:rsidR="001D1912">
              <w:rPr>
                <w:color w:val="auto"/>
              </w:rPr>
              <w:t>ting</w:t>
            </w:r>
            <w:r w:rsidRPr="3EC05FE0">
              <w:rPr>
                <w:color w:val="auto"/>
              </w:rPr>
              <w:t xml:space="preserve"> encourage</w:t>
            </w:r>
            <w:r w:rsidR="223FF0EC" w:rsidRPr="3EC05FE0">
              <w:rPr>
                <w:color w:val="auto"/>
              </w:rPr>
              <w:t>s</w:t>
            </w:r>
            <w:r w:rsidRPr="3EC05FE0">
              <w:rPr>
                <w:color w:val="auto"/>
              </w:rPr>
              <w:t xml:space="preserve"> improved performance and changed behaviours</w:t>
            </w:r>
          </w:p>
        </w:tc>
        <w:tc>
          <w:tcPr>
            <w:tcW w:w="1654" w:type="dxa"/>
            <w:shd w:val="clear" w:color="auto" w:fill="FFFFFF" w:themeFill="background1"/>
          </w:tcPr>
          <w:p w14:paraId="77CE2136" w14:textId="6FFAB847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6EA11B0A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5E586E05" w14:textId="23BDFF7E" w:rsidR="00F104E4" w:rsidRDefault="58E72673" w:rsidP="3EC05FE0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 xml:space="preserve">When designing </w:t>
            </w:r>
            <w:r w:rsidR="79A6EF0B" w:rsidRPr="648D7D43">
              <w:rPr>
                <w:color w:val="auto"/>
              </w:rPr>
              <w:t xml:space="preserve">any </w:t>
            </w:r>
            <w:r w:rsidRPr="648D7D43">
              <w:rPr>
                <w:color w:val="auto"/>
              </w:rPr>
              <w:t xml:space="preserve">future infrastructure development program, DFAT will </w:t>
            </w:r>
            <w:r w:rsidR="0136CC43" w:rsidRPr="648D7D43">
              <w:rPr>
                <w:color w:val="auto"/>
              </w:rPr>
              <w:t xml:space="preserve">explore the </w:t>
            </w:r>
            <w:r w:rsidRPr="648D7D43">
              <w:rPr>
                <w:color w:val="auto"/>
              </w:rPr>
              <w:t>us</w:t>
            </w:r>
            <w:r w:rsidR="5E2F0747" w:rsidRPr="648D7D43">
              <w:rPr>
                <w:color w:val="auto"/>
              </w:rPr>
              <w:t>e of</w:t>
            </w:r>
            <w:r w:rsidRPr="648D7D43">
              <w:rPr>
                <w:color w:val="auto"/>
              </w:rPr>
              <w:t xml:space="preserve"> performance-based grant</w:t>
            </w:r>
            <w:r w:rsidR="49CDFB68" w:rsidRPr="648D7D43">
              <w:rPr>
                <w:color w:val="auto"/>
              </w:rPr>
              <w:t>s</w:t>
            </w:r>
            <w:r w:rsidRPr="648D7D43">
              <w:rPr>
                <w:color w:val="auto"/>
              </w:rPr>
              <w:t xml:space="preserve"> </w:t>
            </w:r>
            <w:r w:rsidR="3172E844" w:rsidRPr="648D7D43">
              <w:rPr>
                <w:color w:val="auto"/>
              </w:rPr>
              <w:t>as a delivery mechanism where appropriate</w:t>
            </w:r>
            <w:r w:rsidRPr="648D7D43">
              <w:rPr>
                <w:color w:val="auto"/>
              </w:rPr>
              <w:t xml:space="preserve">. </w:t>
            </w:r>
          </w:p>
          <w:p w14:paraId="4ADE9D2A" w14:textId="77777777" w:rsidR="00F104E4" w:rsidRDefault="00F104E4" w:rsidP="3EC05FE0">
            <w:pPr>
              <w:spacing w:before="0" w:after="0"/>
              <w:rPr>
                <w:color w:val="auto"/>
              </w:rPr>
            </w:pPr>
          </w:p>
          <w:p w14:paraId="39DD193E" w14:textId="3FB87769" w:rsidR="00A909F2" w:rsidRDefault="0F185C4D" w:rsidP="00F104E4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>DFAT acknowledges that incentivising improved performance through performance-based grant</w:t>
            </w:r>
            <w:r w:rsidR="0F25BD45" w:rsidRPr="25E560CC">
              <w:rPr>
                <w:color w:val="auto"/>
              </w:rPr>
              <w:t>s</w:t>
            </w:r>
            <w:r w:rsidRPr="25E560CC">
              <w:rPr>
                <w:color w:val="auto"/>
              </w:rPr>
              <w:t xml:space="preserve"> work</w:t>
            </w:r>
            <w:r w:rsidR="7AB8DBBC" w:rsidRPr="25E560CC">
              <w:rPr>
                <w:color w:val="auto"/>
              </w:rPr>
              <w:t>ed</w:t>
            </w:r>
            <w:r w:rsidRPr="25E560CC">
              <w:rPr>
                <w:color w:val="auto"/>
              </w:rPr>
              <w:t xml:space="preserve"> well</w:t>
            </w:r>
            <w:r w:rsidR="1E202579">
              <w:t xml:space="preserve"> </w:t>
            </w:r>
            <w:r w:rsidR="1E202579" w:rsidRPr="25E560CC">
              <w:rPr>
                <w:color w:val="auto"/>
              </w:rPr>
              <w:t xml:space="preserve">and </w:t>
            </w:r>
            <w:r w:rsidR="6DDF8ECD" w:rsidRPr="25E560CC">
              <w:rPr>
                <w:color w:val="auto"/>
              </w:rPr>
              <w:t>strengthened the</w:t>
            </w:r>
            <w:r w:rsidR="1E202579" w:rsidRPr="25E560CC">
              <w:rPr>
                <w:color w:val="auto"/>
              </w:rPr>
              <w:t xml:space="preserve"> results</w:t>
            </w:r>
            <w:r w:rsidR="415A7DEA" w:rsidRPr="25E560CC">
              <w:rPr>
                <w:color w:val="auto"/>
              </w:rPr>
              <w:t xml:space="preserve"> achieved through the program</w:t>
            </w:r>
            <w:r w:rsidR="00B8330E" w:rsidRPr="25E560CC">
              <w:rPr>
                <w:color w:val="auto"/>
              </w:rPr>
              <w:t xml:space="preserve">, </w:t>
            </w:r>
            <w:r w:rsidR="3FD14951" w:rsidRPr="25E560CC">
              <w:rPr>
                <w:color w:val="auto"/>
              </w:rPr>
              <w:t xml:space="preserve">both </w:t>
            </w:r>
            <w:r w:rsidR="780F981E" w:rsidRPr="25E560CC">
              <w:rPr>
                <w:color w:val="auto"/>
              </w:rPr>
              <w:t xml:space="preserve">in </w:t>
            </w:r>
            <w:r w:rsidR="3FD14951" w:rsidRPr="25E560CC">
              <w:rPr>
                <w:color w:val="auto"/>
              </w:rPr>
              <w:t xml:space="preserve">the quality of </w:t>
            </w:r>
            <w:r w:rsidR="00B8330E" w:rsidRPr="25E560CC">
              <w:rPr>
                <w:color w:val="auto"/>
              </w:rPr>
              <w:t xml:space="preserve">road infrastructure </w:t>
            </w:r>
            <w:r w:rsidR="000C3861" w:rsidRPr="25E560CC">
              <w:rPr>
                <w:color w:val="auto"/>
              </w:rPr>
              <w:lastRenderedPageBreak/>
              <w:t>and</w:t>
            </w:r>
            <w:r w:rsidR="00B8330E" w:rsidRPr="25E560CC">
              <w:rPr>
                <w:color w:val="auto"/>
              </w:rPr>
              <w:t xml:space="preserve"> </w:t>
            </w:r>
            <w:r w:rsidR="791F2E67" w:rsidRPr="25E560CC">
              <w:rPr>
                <w:color w:val="auto"/>
              </w:rPr>
              <w:t xml:space="preserve">in </w:t>
            </w:r>
            <w:r w:rsidR="00B8330E" w:rsidRPr="25E560CC">
              <w:rPr>
                <w:color w:val="auto"/>
              </w:rPr>
              <w:t xml:space="preserve">the governance of </w:t>
            </w:r>
            <w:r w:rsidR="007412AC" w:rsidRPr="25E560CC">
              <w:rPr>
                <w:color w:val="auto"/>
              </w:rPr>
              <w:t>road management</w:t>
            </w:r>
            <w:r w:rsidR="67614992" w:rsidRPr="25E560CC">
              <w:rPr>
                <w:color w:val="auto"/>
              </w:rPr>
              <w:t>.</w:t>
            </w:r>
          </w:p>
        </w:tc>
      </w:tr>
      <w:tr w:rsidR="00283850" w14:paraId="119C2017" w14:textId="77777777" w:rsidTr="000B76C6">
        <w:tc>
          <w:tcPr>
            <w:tcW w:w="421" w:type="dxa"/>
            <w:shd w:val="clear" w:color="auto" w:fill="FFFFFF" w:themeFill="background1"/>
          </w:tcPr>
          <w:p w14:paraId="09B7170D" w14:textId="4BF4519E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lastRenderedPageBreak/>
              <w:t>4</w:t>
            </w:r>
          </w:p>
        </w:tc>
        <w:tc>
          <w:tcPr>
            <w:tcW w:w="3328" w:type="dxa"/>
            <w:shd w:val="clear" w:color="auto" w:fill="FFFFFF" w:themeFill="background1"/>
          </w:tcPr>
          <w:p w14:paraId="4FFC0398" w14:textId="6965A0DB" w:rsidR="00A71DDF" w:rsidRDefault="36D95E24" w:rsidP="2ECDCA32">
            <w:pPr>
              <w:spacing w:before="0" w:after="0"/>
              <w:rPr>
                <w:color w:val="auto"/>
              </w:rPr>
            </w:pPr>
            <w:r w:rsidRPr="2ECDCA32">
              <w:rPr>
                <w:color w:val="auto"/>
              </w:rPr>
              <w:t>Non-technical project ancillary costs (such as</w:t>
            </w:r>
            <w:r w:rsidR="76BE055A" w:rsidRPr="2ECDCA32">
              <w:rPr>
                <w:color w:val="auto"/>
              </w:rPr>
              <w:t xml:space="preserve"> surveys, planning, preparation, design, and construction supervision services)</w:t>
            </w:r>
            <w:r w:rsidRPr="2ECDCA32">
              <w:rPr>
                <w:color w:val="auto"/>
              </w:rPr>
              <w:t xml:space="preserve"> are a good investment and improve overall value for money. </w:t>
            </w:r>
          </w:p>
        </w:tc>
        <w:tc>
          <w:tcPr>
            <w:tcW w:w="1654" w:type="dxa"/>
            <w:shd w:val="clear" w:color="auto" w:fill="FFFFFF" w:themeFill="background1"/>
          </w:tcPr>
          <w:p w14:paraId="1222CF10" w14:textId="14E5B5EC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51A0B2C5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1B34A130" w14:textId="3F4C23D0" w:rsidR="006901A9" w:rsidRDefault="006901A9" w:rsidP="3EC05FE0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>DFAT</w:t>
            </w:r>
            <w:r w:rsidR="76632C49" w:rsidRPr="25E560CC">
              <w:rPr>
                <w:color w:val="auto"/>
              </w:rPr>
              <w:t xml:space="preserve"> procurements</w:t>
            </w:r>
            <w:r w:rsidRPr="25E560CC">
              <w:rPr>
                <w:color w:val="auto"/>
              </w:rPr>
              <w:t xml:space="preserve"> </w:t>
            </w:r>
            <w:r w:rsidR="5D141996" w:rsidRPr="25E560CC">
              <w:rPr>
                <w:color w:val="auto"/>
              </w:rPr>
              <w:t xml:space="preserve">must </w:t>
            </w:r>
            <w:r w:rsidRPr="25E560CC">
              <w:rPr>
                <w:color w:val="auto"/>
              </w:rPr>
              <w:t xml:space="preserve">follow value for money principles and </w:t>
            </w:r>
            <w:r w:rsidR="7080C807" w:rsidRPr="25E560CC">
              <w:rPr>
                <w:color w:val="auto"/>
              </w:rPr>
              <w:t xml:space="preserve">therefore </w:t>
            </w:r>
            <w:r w:rsidRPr="25E560CC">
              <w:rPr>
                <w:color w:val="auto"/>
              </w:rPr>
              <w:t xml:space="preserve">DFAT will seek the most cost-effective option to achieve the target results and impact. </w:t>
            </w:r>
          </w:p>
          <w:p w14:paraId="78613AAD" w14:textId="77777777" w:rsidR="009D1DCE" w:rsidRDefault="009D1DCE" w:rsidP="3EC05FE0">
            <w:pPr>
              <w:spacing w:before="0" w:after="0"/>
              <w:rPr>
                <w:color w:val="auto"/>
              </w:rPr>
            </w:pPr>
          </w:p>
          <w:p w14:paraId="5C6E616B" w14:textId="0F2F3BBA" w:rsidR="00A71DDF" w:rsidRDefault="7AD76889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>For any future infrastructure investment</w:t>
            </w:r>
            <w:r w:rsidR="31B9540F" w:rsidRPr="648D7D43">
              <w:rPr>
                <w:color w:val="auto"/>
              </w:rPr>
              <w:t xml:space="preserve"> and as part of the policy dialogue</w:t>
            </w:r>
            <w:r w:rsidR="10F70037" w:rsidRPr="648D7D43">
              <w:rPr>
                <w:color w:val="auto"/>
              </w:rPr>
              <w:t xml:space="preserve"> with the Government of Indonesia</w:t>
            </w:r>
            <w:r w:rsidRPr="648D7D43">
              <w:rPr>
                <w:color w:val="auto"/>
              </w:rPr>
              <w:t xml:space="preserve">, </w:t>
            </w:r>
            <w:r w:rsidR="31B9540F" w:rsidRPr="648D7D43">
              <w:rPr>
                <w:color w:val="auto"/>
              </w:rPr>
              <w:t xml:space="preserve">DFAT will </w:t>
            </w:r>
            <w:r w:rsidR="0A64F15C" w:rsidRPr="648D7D43">
              <w:rPr>
                <w:color w:val="auto"/>
              </w:rPr>
              <w:t xml:space="preserve">consider </w:t>
            </w:r>
            <w:r w:rsidR="4A5D344B" w:rsidRPr="648D7D43">
              <w:rPr>
                <w:color w:val="auto"/>
              </w:rPr>
              <w:t>sharing</w:t>
            </w:r>
            <w:r w:rsidR="0A64F15C" w:rsidRPr="648D7D43">
              <w:rPr>
                <w:color w:val="auto"/>
              </w:rPr>
              <w:t xml:space="preserve"> PRIM</w:t>
            </w:r>
            <w:r w:rsidR="282F353C" w:rsidRPr="648D7D43">
              <w:rPr>
                <w:color w:val="auto"/>
              </w:rPr>
              <w:t>’s</w:t>
            </w:r>
            <w:r w:rsidR="0A64F15C" w:rsidRPr="648D7D43">
              <w:rPr>
                <w:color w:val="auto"/>
              </w:rPr>
              <w:t xml:space="preserve"> experience</w:t>
            </w:r>
            <w:r w:rsidR="1A102BF2" w:rsidRPr="648D7D43">
              <w:rPr>
                <w:color w:val="auto"/>
              </w:rPr>
              <w:t xml:space="preserve"> </w:t>
            </w:r>
            <w:r w:rsidR="10F70037" w:rsidRPr="648D7D43">
              <w:rPr>
                <w:color w:val="auto"/>
              </w:rPr>
              <w:t>on the importance</w:t>
            </w:r>
            <w:r w:rsidR="282F353C" w:rsidRPr="648D7D43">
              <w:rPr>
                <w:color w:val="auto"/>
              </w:rPr>
              <w:t xml:space="preserve"> of </w:t>
            </w:r>
            <w:r w:rsidR="1E965383" w:rsidRPr="648D7D43">
              <w:rPr>
                <w:color w:val="auto"/>
              </w:rPr>
              <w:t>adequate</w:t>
            </w:r>
            <w:r w:rsidR="55766820" w:rsidRPr="648D7D43">
              <w:rPr>
                <w:color w:val="auto"/>
              </w:rPr>
              <w:t xml:space="preserve"> </w:t>
            </w:r>
            <w:r w:rsidR="282F353C" w:rsidRPr="648D7D43">
              <w:rPr>
                <w:color w:val="auto"/>
              </w:rPr>
              <w:t>non-technical project ancillary costs</w:t>
            </w:r>
            <w:r w:rsidR="55766820" w:rsidRPr="648D7D43">
              <w:rPr>
                <w:color w:val="auto"/>
              </w:rPr>
              <w:t xml:space="preserve"> to support project implementation. </w:t>
            </w:r>
          </w:p>
        </w:tc>
      </w:tr>
      <w:tr w:rsidR="00283850" w14:paraId="7FE24707" w14:textId="77777777" w:rsidTr="000B76C6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2D87BA25" w14:textId="76EC05C5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328" w:type="dxa"/>
            <w:shd w:val="clear" w:color="auto" w:fill="FFFFFF" w:themeFill="background1"/>
          </w:tcPr>
          <w:p w14:paraId="4AFCE23A" w14:textId="5F17AA56" w:rsidR="00A71DDF" w:rsidRDefault="0D4F4EE5" w:rsidP="00A71DDF">
            <w:pPr>
              <w:spacing w:before="0" w:after="0"/>
              <w:rPr>
                <w:color w:val="auto"/>
              </w:rPr>
            </w:pPr>
            <w:r w:rsidRPr="2ECDCA32">
              <w:rPr>
                <w:color w:val="auto"/>
              </w:rPr>
              <w:t>C</w:t>
            </w:r>
            <w:r w:rsidR="00995E16" w:rsidRPr="2ECDCA32">
              <w:rPr>
                <w:color w:val="auto"/>
              </w:rPr>
              <w:t xml:space="preserve">ommitment </w:t>
            </w:r>
            <w:r w:rsidR="4388CBD8" w:rsidRPr="2ECDCA32">
              <w:rPr>
                <w:color w:val="auto"/>
              </w:rPr>
              <w:t xml:space="preserve">from </w:t>
            </w:r>
            <w:r w:rsidR="33228FDF" w:rsidRPr="2ECDCA32">
              <w:rPr>
                <w:color w:val="auto"/>
              </w:rPr>
              <w:t xml:space="preserve">senior local government officials </w:t>
            </w:r>
            <w:r w:rsidR="5BA1448C" w:rsidRPr="2ECDCA32">
              <w:rPr>
                <w:color w:val="auto"/>
              </w:rPr>
              <w:t xml:space="preserve">is </w:t>
            </w:r>
            <w:r w:rsidR="00995E16" w:rsidRPr="2ECDCA32">
              <w:rPr>
                <w:color w:val="auto"/>
              </w:rPr>
              <w:t xml:space="preserve">essential for </w:t>
            </w:r>
            <w:r w:rsidR="5DE1934C" w:rsidRPr="2ECDCA32">
              <w:rPr>
                <w:color w:val="auto"/>
              </w:rPr>
              <w:t xml:space="preserve">the </w:t>
            </w:r>
            <w:r w:rsidR="00995E16" w:rsidRPr="2ECDCA32">
              <w:rPr>
                <w:color w:val="auto"/>
              </w:rPr>
              <w:t>success</w:t>
            </w:r>
            <w:r w:rsidR="6CF5823C" w:rsidRPr="2ECDCA32">
              <w:rPr>
                <w:color w:val="auto"/>
              </w:rPr>
              <w:t xml:space="preserve"> of the program.</w:t>
            </w:r>
          </w:p>
        </w:tc>
        <w:tc>
          <w:tcPr>
            <w:tcW w:w="1654" w:type="dxa"/>
            <w:shd w:val="clear" w:color="auto" w:fill="FFFFFF" w:themeFill="background1"/>
          </w:tcPr>
          <w:p w14:paraId="627F9B2B" w14:textId="01C0B01E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22FB8D1C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61B20A39" w14:textId="77777777" w:rsidR="00E14F55" w:rsidRDefault="2162B684" w:rsidP="00A71DDF">
            <w:pPr>
              <w:spacing w:before="0" w:after="0"/>
              <w:rPr>
                <w:color w:val="auto"/>
              </w:rPr>
            </w:pPr>
            <w:r w:rsidRPr="233908CD">
              <w:rPr>
                <w:color w:val="auto"/>
              </w:rPr>
              <w:t xml:space="preserve">Ongoing engagement with government officials, including at the local level, is part of Australia’s approach of working in genuine partnership with </w:t>
            </w:r>
            <w:r w:rsidR="62BDD152" w:rsidRPr="233908CD">
              <w:rPr>
                <w:color w:val="auto"/>
              </w:rPr>
              <w:t xml:space="preserve">partner governments in support of their development goals. </w:t>
            </w:r>
          </w:p>
          <w:p w14:paraId="6E9399BC" w14:textId="77777777" w:rsidR="00E14F55" w:rsidRDefault="00E14F55" w:rsidP="00A71DDF">
            <w:pPr>
              <w:spacing w:before="0" w:after="0"/>
              <w:rPr>
                <w:color w:val="auto"/>
              </w:rPr>
            </w:pPr>
          </w:p>
          <w:p w14:paraId="5470A121" w14:textId="2213026C" w:rsidR="00D44156" w:rsidRDefault="3061E6C7" w:rsidP="00A71DDF">
            <w:pPr>
              <w:spacing w:before="0" w:after="0"/>
              <w:rPr>
                <w:color w:val="auto"/>
              </w:rPr>
            </w:pPr>
            <w:r w:rsidRPr="233908CD">
              <w:rPr>
                <w:color w:val="auto"/>
              </w:rPr>
              <w:t>This</w:t>
            </w:r>
            <w:r w:rsidR="5B74EFE4" w:rsidRPr="233908CD">
              <w:rPr>
                <w:color w:val="auto"/>
              </w:rPr>
              <w:t xml:space="preserve"> dialogue</w:t>
            </w:r>
            <w:r w:rsidR="794DE837" w:rsidRPr="233908CD">
              <w:rPr>
                <w:color w:val="auto"/>
              </w:rPr>
              <w:t xml:space="preserve"> </w:t>
            </w:r>
            <w:r w:rsidR="785C4DFF" w:rsidRPr="233908CD">
              <w:rPr>
                <w:color w:val="auto"/>
              </w:rPr>
              <w:t>build</w:t>
            </w:r>
            <w:r w:rsidR="6FB87E6C" w:rsidRPr="233908CD">
              <w:rPr>
                <w:color w:val="auto"/>
              </w:rPr>
              <w:t>s</w:t>
            </w:r>
            <w:r w:rsidR="785C4DFF" w:rsidRPr="233908CD">
              <w:rPr>
                <w:color w:val="auto"/>
              </w:rPr>
              <w:t xml:space="preserve"> trust, understanding and commitment to the program</w:t>
            </w:r>
            <w:r w:rsidR="370A5197" w:rsidRPr="233908CD">
              <w:rPr>
                <w:color w:val="auto"/>
              </w:rPr>
              <w:t xml:space="preserve">. </w:t>
            </w:r>
            <w:r w:rsidR="0C882ABB" w:rsidRPr="233908CD">
              <w:rPr>
                <w:color w:val="auto"/>
              </w:rPr>
              <w:t xml:space="preserve">Supporting </w:t>
            </w:r>
            <w:r w:rsidR="00E14F55" w:rsidRPr="233908CD">
              <w:rPr>
                <w:color w:val="auto"/>
              </w:rPr>
              <w:t>locally led</w:t>
            </w:r>
            <w:r w:rsidR="0C882ABB" w:rsidRPr="233908CD">
              <w:rPr>
                <w:color w:val="auto"/>
              </w:rPr>
              <w:t xml:space="preserve"> development is a particular priority under Australia’s international development policy.</w:t>
            </w:r>
          </w:p>
        </w:tc>
      </w:tr>
      <w:tr w:rsidR="00283850" w14:paraId="00752BAB" w14:textId="77777777" w:rsidTr="000B76C6">
        <w:trPr>
          <w:trHeight w:val="2580"/>
        </w:trPr>
        <w:tc>
          <w:tcPr>
            <w:tcW w:w="421" w:type="dxa"/>
            <w:shd w:val="clear" w:color="auto" w:fill="FFFFFF" w:themeFill="background1"/>
          </w:tcPr>
          <w:p w14:paraId="26CBC1CB" w14:textId="57A63B92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t>6</w:t>
            </w:r>
          </w:p>
        </w:tc>
        <w:tc>
          <w:tcPr>
            <w:tcW w:w="3328" w:type="dxa"/>
            <w:shd w:val="clear" w:color="auto" w:fill="FFFFFF" w:themeFill="background1"/>
          </w:tcPr>
          <w:p w14:paraId="71D65219" w14:textId="4085148B" w:rsidR="00A71DDF" w:rsidRDefault="00995E16" w:rsidP="00A71DDF">
            <w:pPr>
              <w:spacing w:before="0" w:after="0"/>
              <w:rPr>
                <w:color w:val="auto"/>
              </w:rPr>
            </w:pPr>
            <w:r w:rsidRPr="00995E16">
              <w:rPr>
                <w:color w:val="auto"/>
              </w:rPr>
              <w:t>Formal institutionalisation of approaches and practices is required for sustainability</w:t>
            </w:r>
          </w:p>
        </w:tc>
        <w:tc>
          <w:tcPr>
            <w:tcW w:w="1654" w:type="dxa"/>
            <w:shd w:val="clear" w:color="auto" w:fill="FFFFFF" w:themeFill="background1"/>
          </w:tcPr>
          <w:p w14:paraId="4618829E" w14:textId="4E50B762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075531F7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2E7FF53B" w14:textId="099815C1" w:rsidR="00921DCB" w:rsidRDefault="0BB0CA3C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 xml:space="preserve">DFAT agrees with the importance of high-level institutionalisation of </w:t>
            </w:r>
            <w:r w:rsidR="55E18E21" w:rsidRPr="648D7D43">
              <w:rPr>
                <w:color w:val="auto"/>
              </w:rPr>
              <w:t>approaches and practises</w:t>
            </w:r>
            <w:r w:rsidRPr="648D7D43">
              <w:rPr>
                <w:color w:val="auto"/>
              </w:rPr>
              <w:t xml:space="preserve"> within relevant national development plans</w:t>
            </w:r>
            <w:r w:rsidR="42BA87CC" w:rsidRPr="648D7D43">
              <w:rPr>
                <w:color w:val="auto"/>
              </w:rPr>
              <w:t xml:space="preserve"> to ensure sustainability and transitioning process.</w:t>
            </w:r>
            <w:r w:rsidR="55C57853" w:rsidRPr="648D7D43">
              <w:rPr>
                <w:color w:val="auto"/>
              </w:rPr>
              <w:t xml:space="preserve"> </w:t>
            </w:r>
          </w:p>
          <w:p w14:paraId="0D801F19" w14:textId="77777777" w:rsidR="00921DCB" w:rsidRDefault="00921DCB" w:rsidP="00A71DDF">
            <w:pPr>
              <w:spacing w:before="0" w:after="0"/>
              <w:rPr>
                <w:color w:val="auto"/>
              </w:rPr>
            </w:pPr>
          </w:p>
          <w:p w14:paraId="0E219935" w14:textId="389CF8A6" w:rsidR="00921DCB" w:rsidRDefault="3AE4DC4A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>Any f</w:t>
            </w:r>
            <w:r w:rsidR="5FE7E878" w:rsidRPr="648D7D43">
              <w:rPr>
                <w:color w:val="auto"/>
              </w:rPr>
              <w:t>uture designs</w:t>
            </w:r>
            <w:r w:rsidR="767FCC0C" w:rsidRPr="648D7D43">
              <w:rPr>
                <w:color w:val="auto"/>
              </w:rPr>
              <w:t xml:space="preserve"> will consider the likelihood of formal institutionalisation of proposed reforms in the sector. </w:t>
            </w:r>
            <w:r w:rsidR="5FE7E878" w:rsidRPr="648D7D43">
              <w:rPr>
                <w:color w:val="auto"/>
              </w:rPr>
              <w:t xml:space="preserve">     </w:t>
            </w:r>
          </w:p>
          <w:p w14:paraId="387BC6E5" w14:textId="6C6F6D01" w:rsidR="009324B6" w:rsidRDefault="5FE7E878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 xml:space="preserve">           </w:t>
            </w:r>
          </w:p>
          <w:p w14:paraId="3557B2DA" w14:textId="6E739825" w:rsidR="006C2A81" w:rsidRDefault="004C1895" w:rsidP="00A71DDF">
            <w:pPr>
              <w:spacing w:before="0" w:after="0"/>
              <w:rPr>
                <w:color w:val="auto"/>
              </w:rPr>
            </w:pPr>
            <w:r w:rsidRPr="1BB44728">
              <w:rPr>
                <w:color w:val="auto"/>
              </w:rPr>
              <w:t>In relation to this finding, KIAT has developed Engagement Strategies that include measures</w:t>
            </w:r>
            <w:r w:rsidR="7F0DC76C" w:rsidRPr="1BB44728">
              <w:rPr>
                <w:color w:val="auto"/>
              </w:rPr>
              <w:t xml:space="preserve"> </w:t>
            </w:r>
            <w:r w:rsidR="0F64BA45" w:rsidRPr="1BB44728">
              <w:rPr>
                <w:color w:val="auto"/>
              </w:rPr>
              <w:t>to support</w:t>
            </w:r>
            <w:r w:rsidRPr="1BB44728">
              <w:rPr>
                <w:color w:val="auto"/>
              </w:rPr>
              <w:t xml:space="preserve"> formalisation of approaches </w:t>
            </w:r>
            <w:r w:rsidR="7A689017" w:rsidRPr="1BB44728">
              <w:rPr>
                <w:color w:val="auto"/>
              </w:rPr>
              <w:t xml:space="preserve">and practises </w:t>
            </w:r>
            <w:r w:rsidRPr="1BB44728">
              <w:rPr>
                <w:color w:val="auto"/>
              </w:rPr>
              <w:t>through</w:t>
            </w:r>
            <w:r w:rsidR="5755064A" w:rsidRPr="1BB44728">
              <w:rPr>
                <w:color w:val="auto"/>
              </w:rPr>
              <w:t xml:space="preserve"> the </w:t>
            </w:r>
            <w:r w:rsidRPr="1BB44728">
              <w:rPr>
                <w:color w:val="auto"/>
              </w:rPr>
              <w:t>issuance of GOI</w:t>
            </w:r>
            <w:r w:rsidR="1FBB54D4" w:rsidRPr="1BB44728">
              <w:rPr>
                <w:color w:val="auto"/>
              </w:rPr>
              <w:t xml:space="preserve"> </w:t>
            </w:r>
            <w:r w:rsidRPr="1BB44728">
              <w:rPr>
                <w:color w:val="auto"/>
              </w:rPr>
              <w:t xml:space="preserve">policy/decrees/regulations as necessary to </w:t>
            </w:r>
            <w:r w:rsidR="5B340B60" w:rsidRPr="1BB44728">
              <w:rPr>
                <w:color w:val="auto"/>
              </w:rPr>
              <w:t xml:space="preserve">support the </w:t>
            </w:r>
            <w:r w:rsidRPr="1BB44728">
              <w:rPr>
                <w:color w:val="auto"/>
              </w:rPr>
              <w:t>continu</w:t>
            </w:r>
            <w:r w:rsidR="1D425CAA" w:rsidRPr="1BB44728">
              <w:rPr>
                <w:color w:val="auto"/>
              </w:rPr>
              <w:t>ation of reforms</w:t>
            </w:r>
            <w:r w:rsidRPr="1BB44728">
              <w:rPr>
                <w:color w:val="auto"/>
              </w:rPr>
              <w:t xml:space="preserve"> once KIAT support has ended. </w:t>
            </w:r>
          </w:p>
        </w:tc>
      </w:tr>
      <w:tr w:rsidR="00283850" w14:paraId="7EBFD7C3" w14:textId="77777777" w:rsidTr="003426E8">
        <w:trPr>
          <w:cantSplit/>
        </w:trPr>
        <w:tc>
          <w:tcPr>
            <w:tcW w:w="421" w:type="dxa"/>
            <w:shd w:val="clear" w:color="auto" w:fill="FFFFFF" w:themeFill="background1"/>
          </w:tcPr>
          <w:p w14:paraId="2A18E3C3" w14:textId="2B9F983E" w:rsidR="00A71DDF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lastRenderedPageBreak/>
              <w:t>7</w:t>
            </w:r>
          </w:p>
        </w:tc>
        <w:tc>
          <w:tcPr>
            <w:tcW w:w="3328" w:type="dxa"/>
            <w:shd w:val="clear" w:color="auto" w:fill="FFFFFF" w:themeFill="background1"/>
          </w:tcPr>
          <w:p w14:paraId="17E682DD" w14:textId="64D7B111" w:rsidR="00A71DDF" w:rsidRDefault="00995E16" w:rsidP="00A71DDF">
            <w:pPr>
              <w:spacing w:before="0" w:after="0"/>
              <w:rPr>
                <w:color w:val="auto"/>
              </w:rPr>
            </w:pPr>
            <w:r w:rsidRPr="00995E16">
              <w:rPr>
                <w:color w:val="auto"/>
              </w:rPr>
              <w:t>Sustaining GEDSI initiatives and processes is challenging and requires long-term commitment, adopting strategies that can be feasibly integrated into regular processes</w:t>
            </w:r>
          </w:p>
        </w:tc>
        <w:tc>
          <w:tcPr>
            <w:tcW w:w="1654" w:type="dxa"/>
            <w:shd w:val="clear" w:color="auto" w:fill="FFFFFF" w:themeFill="background1"/>
          </w:tcPr>
          <w:p w14:paraId="01372128" w14:textId="6CE02E1F" w:rsidR="00A71DDF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63297629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2D9178C8" w14:textId="2662F63D" w:rsidR="00CC22B7" w:rsidRDefault="75188713" w:rsidP="233908CD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 xml:space="preserve">The design of </w:t>
            </w:r>
            <w:r w:rsidR="1D7EE866" w:rsidRPr="25E560CC">
              <w:rPr>
                <w:color w:val="auto"/>
              </w:rPr>
              <w:t>any future infrastructure development program</w:t>
            </w:r>
            <w:r w:rsidR="00672F65">
              <w:rPr>
                <w:color w:val="auto"/>
              </w:rPr>
              <w:t xml:space="preserve"> </w:t>
            </w:r>
            <w:r w:rsidR="7B7F1D77" w:rsidRPr="25E560CC">
              <w:rPr>
                <w:color w:val="auto"/>
              </w:rPr>
              <w:t xml:space="preserve">will include a gender equality objective and comply with </w:t>
            </w:r>
            <w:r w:rsidR="130FDEDE" w:rsidRPr="25E560CC">
              <w:rPr>
                <w:i/>
                <w:iCs/>
                <w:color w:val="auto"/>
              </w:rPr>
              <w:t>D</w:t>
            </w:r>
            <w:r w:rsidR="00DC5409" w:rsidRPr="000B76C6">
              <w:rPr>
                <w:i/>
                <w:iCs/>
                <w:color w:val="auto"/>
              </w:rPr>
              <w:t xml:space="preserve">FAT’s Gender Equality </w:t>
            </w:r>
            <w:r w:rsidR="002A79A0" w:rsidRPr="000B76C6">
              <w:rPr>
                <w:i/>
                <w:iCs/>
                <w:color w:val="auto"/>
              </w:rPr>
              <w:t>and Women’s Empowerment Strategy, the upcoming DFAT</w:t>
            </w:r>
            <w:r w:rsidR="008566D0" w:rsidRPr="000B76C6">
              <w:rPr>
                <w:i/>
                <w:iCs/>
                <w:color w:val="auto"/>
              </w:rPr>
              <w:t>’s Disability Strategy</w:t>
            </w:r>
            <w:r w:rsidR="008566D0" w:rsidRPr="25E560CC">
              <w:rPr>
                <w:color w:val="auto"/>
              </w:rPr>
              <w:t>, and</w:t>
            </w:r>
            <w:r w:rsidR="00CC22B7" w:rsidRPr="25E560CC">
              <w:rPr>
                <w:color w:val="auto"/>
              </w:rPr>
              <w:t xml:space="preserve"> </w:t>
            </w:r>
            <w:r w:rsidR="00CC22B7" w:rsidRPr="25E560CC">
              <w:rPr>
                <w:i/>
                <w:iCs/>
                <w:color w:val="auto"/>
              </w:rPr>
              <w:t>DFAT’s Design, Monitoring and Evaluation Standards</w:t>
            </w:r>
            <w:r w:rsidR="002D6820" w:rsidRPr="25E560CC">
              <w:rPr>
                <w:i/>
                <w:iCs/>
                <w:color w:val="auto"/>
              </w:rPr>
              <w:t>.</w:t>
            </w:r>
          </w:p>
          <w:p w14:paraId="2BDD4652" w14:textId="77777777" w:rsidR="005C2685" w:rsidRDefault="005C2685" w:rsidP="233908CD">
            <w:pPr>
              <w:spacing w:before="0" w:after="0"/>
              <w:rPr>
                <w:color w:val="auto"/>
              </w:rPr>
            </w:pPr>
          </w:p>
          <w:p w14:paraId="3AFFB497" w14:textId="036C0CD9" w:rsidR="005C2685" w:rsidRDefault="42E4255A" w:rsidP="233908CD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 xml:space="preserve">DFAT has amended the End of Facility Outcomes of the </w:t>
            </w:r>
            <w:r w:rsidR="1DE93C71" w:rsidRPr="648D7D43">
              <w:rPr>
                <w:color w:val="auto"/>
              </w:rPr>
              <w:t xml:space="preserve">KIAT </w:t>
            </w:r>
            <w:r w:rsidR="15E871BB" w:rsidRPr="648D7D43">
              <w:rPr>
                <w:color w:val="auto"/>
              </w:rPr>
              <w:t xml:space="preserve">program to include </w:t>
            </w:r>
            <w:r w:rsidR="0FE88AD1" w:rsidRPr="648D7D43">
              <w:rPr>
                <w:color w:val="auto"/>
              </w:rPr>
              <w:t>a</w:t>
            </w:r>
            <w:r w:rsidR="1DE93C71" w:rsidRPr="648D7D43">
              <w:rPr>
                <w:color w:val="auto"/>
              </w:rPr>
              <w:t xml:space="preserve"> GEDSI </w:t>
            </w:r>
            <w:proofErr w:type="gramStart"/>
            <w:r w:rsidR="02A5D2E4" w:rsidRPr="648D7D43">
              <w:rPr>
                <w:color w:val="auto"/>
              </w:rPr>
              <w:t>a</w:t>
            </w:r>
            <w:proofErr w:type="gramEnd"/>
            <w:r w:rsidR="02A5D2E4" w:rsidRPr="648D7D43">
              <w:rPr>
                <w:color w:val="auto"/>
              </w:rPr>
              <w:t xml:space="preserve"> </w:t>
            </w:r>
            <w:r w:rsidR="3046CF81" w:rsidRPr="648D7D43">
              <w:rPr>
                <w:color w:val="auto"/>
              </w:rPr>
              <w:t>o</w:t>
            </w:r>
            <w:r w:rsidR="02A5D2E4" w:rsidRPr="648D7D43">
              <w:rPr>
                <w:color w:val="auto"/>
              </w:rPr>
              <w:t xml:space="preserve">utcome. KIAT has developed a </w:t>
            </w:r>
            <w:r w:rsidR="1DE93C71" w:rsidRPr="648D7D43">
              <w:rPr>
                <w:color w:val="auto"/>
              </w:rPr>
              <w:t>GEDSI Strategy 2022-2026 that outlines KIAT</w:t>
            </w:r>
            <w:r w:rsidR="23F9CD64" w:rsidRPr="648D7D43">
              <w:rPr>
                <w:color w:val="auto"/>
              </w:rPr>
              <w:t>’s</w:t>
            </w:r>
            <w:r w:rsidR="1DE93C71" w:rsidRPr="648D7D43">
              <w:rPr>
                <w:color w:val="auto"/>
              </w:rPr>
              <w:t xml:space="preserve"> approach to addressing GEDSI in infrastructure in Indonesia.  </w:t>
            </w:r>
          </w:p>
        </w:tc>
      </w:tr>
      <w:tr w:rsidR="00283850" w14:paraId="6B41B5B4" w14:textId="77777777" w:rsidTr="000B76C6">
        <w:tc>
          <w:tcPr>
            <w:tcW w:w="421" w:type="dxa"/>
            <w:shd w:val="clear" w:color="auto" w:fill="FFFFFF" w:themeFill="background1"/>
          </w:tcPr>
          <w:p w14:paraId="6B7E196A" w14:textId="52E49DAB" w:rsidR="00A33F69" w:rsidRDefault="00A33F69" w:rsidP="00A33F69">
            <w:p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328" w:type="dxa"/>
            <w:shd w:val="clear" w:color="auto" w:fill="FFFFFF" w:themeFill="background1"/>
          </w:tcPr>
          <w:p w14:paraId="5FA1E3A1" w14:textId="4C887222" w:rsidR="00A33F69" w:rsidRDefault="00FC0555" w:rsidP="00A71DDF">
            <w:pPr>
              <w:spacing w:before="0" w:after="0"/>
              <w:rPr>
                <w:color w:val="auto"/>
              </w:rPr>
            </w:pPr>
            <w:r w:rsidRPr="00FC0555">
              <w:rPr>
                <w:color w:val="auto"/>
              </w:rPr>
              <w:t>Disability inclusion strategies need to be strengths-based and assessed based on the quality of engagement for people with disability</w:t>
            </w:r>
          </w:p>
        </w:tc>
        <w:tc>
          <w:tcPr>
            <w:tcW w:w="1654" w:type="dxa"/>
            <w:shd w:val="clear" w:color="auto" w:fill="FFFFFF" w:themeFill="background1"/>
          </w:tcPr>
          <w:p w14:paraId="60A67586" w14:textId="63ACAD10" w:rsidR="00A33F69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66825360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75DA49C1" w14:textId="77777777" w:rsidR="00672F65" w:rsidRDefault="2C319192" w:rsidP="00A71DDF">
            <w:pPr>
              <w:spacing w:before="0" w:after="0"/>
              <w:rPr>
                <w:color w:val="auto"/>
              </w:rPr>
            </w:pPr>
            <w:r w:rsidRPr="233908CD">
              <w:rPr>
                <w:color w:val="auto"/>
              </w:rPr>
              <w:t>DFAT assesses the quality of disability inclusion in development programs</w:t>
            </w:r>
            <w:r w:rsidR="69A34828" w:rsidRPr="233908CD">
              <w:rPr>
                <w:color w:val="auto"/>
              </w:rPr>
              <w:t xml:space="preserve"> across multiple indicators, including</w:t>
            </w:r>
            <w:r w:rsidRPr="233908CD">
              <w:rPr>
                <w:color w:val="auto"/>
              </w:rPr>
              <w:t xml:space="preserve"> the extent to which people living with disabilities and </w:t>
            </w:r>
            <w:r w:rsidR="52C1833B" w:rsidRPr="233908CD">
              <w:rPr>
                <w:color w:val="auto"/>
              </w:rPr>
              <w:t>their representative organisations are meaningfully engaged through the program.</w:t>
            </w:r>
            <w:r w:rsidR="3F5C742E" w:rsidRPr="233908CD">
              <w:rPr>
                <w:color w:val="auto"/>
              </w:rPr>
              <w:t xml:space="preserve"> </w:t>
            </w:r>
          </w:p>
          <w:p w14:paraId="3EBB6898" w14:textId="77777777" w:rsidR="00672F65" w:rsidRDefault="00672F65" w:rsidP="00A71DDF">
            <w:pPr>
              <w:spacing w:before="0" w:after="0"/>
              <w:rPr>
                <w:color w:val="auto"/>
              </w:rPr>
            </w:pPr>
          </w:p>
          <w:p w14:paraId="6CF76DF1" w14:textId="3FEE9448" w:rsidR="00A33F69" w:rsidRDefault="7BE465C4" w:rsidP="00A71DDF">
            <w:pPr>
              <w:spacing w:before="0" w:after="0"/>
              <w:rPr>
                <w:color w:val="auto"/>
              </w:rPr>
            </w:pPr>
            <w:r w:rsidRPr="233908CD">
              <w:rPr>
                <w:color w:val="auto"/>
              </w:rPr>
              <w:t xml:space="preserve">Disability inclusion </w:t>
            </w:r>
            <w:r w:rsidR="562D7D0F" w:rsidRPr="233908CD">
              <w:rPr>
                <w:color w:val="auto"/>
              </w:rPr>
              <w:t xml:space="preserve">strategy </w:t>
            </w:r>
            <w:r w:rsidRPr="233908CD">
              <w:rPr>
                <w:color w:val="auto"/>
              </w:rPr>
              <w:t>in any future infrastructure development program will be required to meet DFAT’s standard</w:t>
            </w:r>
            <w:r w:rsidR="1A754F28" w:rsidRPr="233908CD">
              <w:rPr>
                <w:color w:val="auto"/>
              </w:rPr>
              <w:t>s</w:t>
            </w:r>
            <w:r w:rsidRPr="233908CD">
              <w:rPr>
                <w:color w:val="auto"/>
              </w:rPr>
              <w:t>.</w:t>
            </w:r>
          </w:p>
        </w:tc>
      </w:tr>
      <w:tr w:rsidR="00283850" w14:paraId="4C12472F" w14:textId="77777777" w:rsidTr="000B76C6">
        <w:tc>
          <w:tcPr>
            <w:tcW w:w="421" w:type="dxa"/>
            <w:shd w:val="clear" w:color="auto" w:fill="FFFFFF" w:themeFill="background1"/>
          </w:tcPr>
          <w:p w14:paraId="5BE44934" w14:textId="7441B348" w:rsidR="00A33F69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t>9</w:t>
            </w:r>
          </w:p>
        </w:tc>
        <w:tc>
          <w:tcPr>
            <w:tcW w:w="3328" w:type="dxa"/>
            <w:shd w:val="clear" w:color="auto" w:fill="FFFFFF" w:themeFill="background1"/>
          </w:tcPr>
          <w:p w14:paraId="5FD94860" w14:textId="2F2D4D88" w:rsidR="00A33F69" w:rsidRDefault="00FC0555" w:rsidP="00A71DDF">
            <w:pPr>
              <w:spacing w:before="0" w:after="0"/>
              <w:rPr>
                <w:color w:val="auto"/>
              </w:rPr>
            </w:pPr>
            <w:r w:rsidRPr="00FC0555">
              <w:rPr>
                <w:color w:val="auto"/>
              </w:rPr>
              <w:t>An agreed Monitoring and Evaluation framework (and team) should be established at program start-up and maintained throughout</w:t>
            </w:r>
            <w:r w:rsidR="008905C5">
              <w:rPr>
                <w:color w:val="auto"/>
              </w:rPr>
              <w:t xml:space="preserve"> the program</w:t>
            </w:r>
          </w:p>
        </w:tc>
        <w:tc>
          <w:tcPr>
            <w:tcW w:w="1654" w:type="dxa"/>
            <w:shd w:val="clear" w:color="auto" w:fill="FFFFFF" w:themeFill="background1"/>
          </w:tcPr>
          <w:p w14:paraId="2DBA67B6" w14:textId="3F0BA7A6" w:rsidR="00A33F69" w:rsidRDefault="00FB3F19" w:rsidP="00FB3F19">
            <w:pPr>
              <w:spacing w:before="0" w:after="0"/>
              <w:jc w:val="center"/>
              <w:rPr>
                <w:color w:val="auto"/>
              </w:rPr>
            </w:pPr>
            <w:r w:rsidRPr="3EC05FE0">
              <w:rPr>
                <w:color w:val="auto"/>
              </w:rPr>
              <w:t>Agree</w:t>
            </w:r>
            <w:r w:rsidR="11DE080C" w:rsidRPr="3EC05FE0">
              <w:rPr>
                <w:color w:val="auto"/>
              </w:rPr>
              <w:t>d</w:t>
            </w:r>
          </w:p>
        </w:tc>
        <w:tc>
          <w:tcPr>
            <w:tcW w:w="3613" w:type="dxa"/>
            <w:shd w:val="clear" w:color="auto" w:fill="FFFFFF" w:themeFill="background1"/>
          </w:tcPr>
          <w:p w14:paraId="38EE94A4" w14:textId="16DE2B06" w:rsidR="00A33F69" w:rsidRDefault="5D5828A1" w:rsidP="00A71DDF">
            <w:pPr>
              <w:spacing w:before="0" w:after="0"/>
              <w:rPr>
                <w:color w:val="auto"/>
              </w:rPr>
            </w:pPr>
            <w:r w:rsidRPr="648D7D43">
              <w:rPr>
                <w:color w:val="auto"/>
              </w:rPr>
              <w:t xml:space="preserve">Monitoring, Evaluation and Learning </w:t>
            </w:r>
            <w:r w:rsidR="77821331" w:rsidRPr="648D7D43">
              <w:rPr>
                <w:color w:val="auto"/>
              </w:rPr>
              <w:t>is</w:t>
            </w:r>
            <w:r w:rsidRPr="648D7D43">
              <w:rPr>
                <w:color w:val="auto"/>
              </w:rPr>
              <w:t xml:space="preserve"> required</w:t>
            </w:r>
            <w:r w:rsidR="029332EE" w:rsidRPr="648D7D43">
              <w:rPr>
                <w:color w:val="auto"/>
              </w:rPr>
              <w:t xml:space="preserve"> as part of the </w:t>
            </w:r>
            <w:r w:rsidR="1594A84C" w:rsidRPr="648D7D43">
              <w:rPr>
                <w:color w:val="auto"/>
              </w:rPr>
              <w:t xml:space="preserve">DFAT </w:t>
            </w:r>
            <w:r w:rsidR="029332EE" w:rsidRPr="648D7D43">
              <w:rPr>
                <w:color w:val="auto"/>
              </w:rPr>
              <w:t xml:space="preserve">design </w:t>
            </w:r>
            <w:r w:rsidR="1B7FB22F" w:rsidRPr="648D7D43">
              <w:rPr>
                <w:color w:val="auto"/>
              </w:rPr>
              <w:t xml:space="preserve">process </w:t>
            </w:r>
            <w:r w:rsidR="0C4F24E3" w:rsidRPr="648D7D43">
              <w:rPr>
                <w:color w:val="auto"/>
              </w:rPr>
              <w:t>and</w:t>
            </w:r>
            <w:r w:rsidR="4D068D8E" w:rsidRPr="648D7D43">
              <w:rPr>
                <w:color w:val="auto"/>
              </w:rPr>
              <w:t xml:space="preserve"> </w:t>
            </w:r>
            <w:r w:rsidR="3B2C357F" w:rsidRPr="648D7D43">
              <w:rPr>
                <w:color w:val="auto"/>
              </w:rPr>
              <w:t xml:space="preserve">must be </w:t>
            </w:r>
            <w:r w:rsidR="0C4F24E3" w:rsidRPr="648D7D43">
              <w:rPr>
                <w:color w:val="auto"/>
              </w:rPr>
              <w:t xml:space="preserve">maintained throughout the </w:t>
            </w:r>
            <w:r w:rsidR="6B27E5BD" w:rsidRPr="648D7D43">
              <w:rPr>
                <w:color w:val="auto"/>
              </w:rPr>
              <w:t xml:space="preserve">implementation period </w:t>
            </w:r>
            <w:r w:rsidR="54FB00EA" w:rsidRPr="648D7D43">
              <w:rPr>
                <w:color w:val="auto"/>
              </w:rPr>
              <w:t xml:space="preserve">to meet </w:t>
            </w:r>
            <w:r w:rsidR="54FB00EA" w:rsidRPr="648D7D43">
              <w:rPr>
                <w:i/>
                <w:iCs/>
                <w:color w:val="auto"/>
              </w:rPr>
              <w:t xml:space="preserve">DFAT’s </w:t>
            </w:r>
            <w:r w:rsidR="4DB30529" w:rsidRPr="648D7D43">
              <w:rPr>
                <w:i/>
                <w:iCs/>
                <w:color w:val="auto"/>
              </w:rPr>
              <w:t>Design</w:t>
            </w:r>
            <w:r w:rsidR="22200F14" w:rsidRPr="648D7D43">
              <w:rPr>
                <w:i/>
                <w:iCs/>
                <w:color w:val="auto"/>
              </w:rPr>
              <w:t>, Monitoring and Evaluation</w:t>
            </w:r>
            <w:r w:rsidR="54FB00EA" w:rsidRPr="648D7D43">
              <w:rPr>
                <w:i/>
                <w:iCs/>
                <w:color w:val="auto"/>
              </w:rPr>
              <w:t xml:space="preserve"> </w:t>
            </w:r>
            <w:r w:rsidR="22200F14" w:rsidRPr="648D7D43">
              <w:rPr>
                <w:i/>
                <w:iCs/>
                <w:color w:val="auto"/>
              </w:rPr>
              <w:t>S</w:t>
            </w:r>
            <w:r w:rsidR="54FB00EA" w:rsidRPr="648D7D43">
              <w:rPr>
                <w:i/>
                <w:iCs/>
                <w:color w:val="auto"/>
              </w:rPr>
              <w:t>tandard</w:t>
            </w:r>
            <w:r w:rsidR="5620DF9A" w:rsidRPr="648D7D43">
              <w:rPr>
                <w:i/>
                <w:iCs/>
                <w:color w:val="auto"/>
              </w:rPr>
              <w:t>s</w:t>
            </w:r>
            <w:r w:rsidR="2D3CD497" w:rsidRPr="648D7D43">
              <w:rPr>
                <w:color w:val="auto"/>
              </w:rPr>
              <w:t xml:space="preserve">. </w:t>
            </w:r>
          </w:p>
          <w:p w14:paraId="0F00383D" w14:textId="77777777" w:rsidR="00353FA4" w:rsidRDefault="00353FA4" w:rsidP="00A71DDF">
            <w:pPr>
              <w:spacing w:before="0" w:after="0"/>
              <w:rPr>
                <w:color w:val="auto"/>
              </w:rPr>
            </w:pPr>
          </w:p>
          <w:p w14:paraId="63298CFA" w14:textId="1A10F7DB" w:rsidR="00353FA4" w:rsidRDefault="00353FA4" w:rsidP="25E560CC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>As per the Standard</w:t>
            </w:r>
            <w:r w:rsidR="00DD0D6B" w:rsidRPr="25E560CC">
              <w:rPr>
                <w:color w:val="auto"/>
              </w:rPr>
              <w:t>,</w:t>
            </w:r>
            <w:r w:rsidRPr="25E560CC">
              <w:rPr>
                <w:color w:val="auto"/>
              </w:rPr>
              <w:t xml:space="preserve"> </w:t>
            </w:r>
            <w:r w:rsidR="4BAB747A" w:rsidRPr="25E560CC">
              <w:rPr>
                <w:color w:val="auto"/>
              </w:rPr>
              <w:t>a</w:t>
            </w:r>
            <w:r w:rsidR="007D2245" w:rsidRPr="25E560CC">
              <w:rPr>
                <w:color w:val="auto"/>
              </w:rPr>
              <w:t xml:space="preserve"> </w:t>
            </w:r>
            <w:r w:rsidR="002E4C90" w:rsidRPr="25E560CC">
              <w:rPr>
                <w:color w:val="auto"/>
              </w:rPr>
              <w:t>Monitoring and Evaluation</w:t>
            </w:r>
            <w:r w:rsidR="007D2245" w:rsidRPr="25E560CC">
              <w:rPr>
                <w:color w:val="auto"/>
              </w:rPr>
              <w:t xml:space="preserve"> Plan is required within 6 months of mobilisation, and the </w:t>
            </w:r>
            <w:r w:rsidR="002E4C90" w:rsidRPr="25E560CC">
              <w:rPr>
                <w:color w:val="auto"/>
              </w:rPr>
              <w:t>Monitoring and Evaluation</w:t>
            </w:r>
            <w:r w:rsidR="0016482E" w:rsidRPr="25E560CC">
              <w:rPr>
                <w:color w:val="auto"/>
              </w:rPr>
              <w:t xml:space="preserve"> System should be fully operational with complete baseline within 12 months of mobilisation. </w:t>
            </w:r>
          </w:p>
        </w:tc>
      </w:tr>
      <w:tr w:rsidR="00283850" w14:paraId="1C1B3996" w14:textId="77777777" w:rsidTr="000B76C6">
        <w:tc>
          <w:tcPr>
            <w:tcW w:w="421" w:type="dxa"/>
            <w:shd w:val="clear" w:color="auto" w:fill="FFFFFF" w:themeFill="background1"/>
          </w:tcPr>
          <w:p w14:paraId="73ADBBB4" w14:textId="64FEA904" w:rsidR="00A33F69" w:rsidRDefault="00A33F69" w:rsidP="00A33F69">
            <w:pPr>
              <w:spacing w:before="0" w:after="0"/>
              <w:jc w:val="center"/>
              <w:rPr>
                <w:color w:val="auto"/>
              </w:rPr>
            </w:pPr>
            <w:r w:rsidRPr="54C0A861">
              <w:rPr>
                <w:color w:val="auto"/>
              </w:rPr>
              <w:t>10</w:t>
            </w:r>
          </w:p>
        </w:tc>
        <w:tc>
          <w:tcPr>
            <w:tcW w:w="3328" w:type="dxa"/>
            <w:shd w:val="clear" w:color="auto" w:fill="FFFFFF" w:themeFill="background1"/>
          </w:tcPr>
          <w:p w14:paraId="6B06D45C" w14:textId="09291BC3" w:rsidR="00A33F69" w:rsidRDefault="00FC0555" w:rsidP="00A71DDF">
            <w:pPr>
              <w:spacing w:before="0" w:after="0"/>
              <w:rPr>
                <w:color w:val="auto"/>
              </w:rPr>
            </w:pPr>
            <w:r w:rsidRPr="00FC0555">
              <w:rPr>
                <w:color w:val="auto"/>
              </w:rPr>
              <w:t>Ongoing program reform can lead to program complexity which constrains practical replication</w:t>
            </w:r>
            <w:r w:rsidR="008B4AC9">
              <w:rPr>
                <w:color w:val="auto"/>
              </w:rPr>
              <w:t xml:space="preserve">, especially related to the Program Management </w:t>
            </w:r>
            <w:r w:rsidR="00F75B24">
              <w:rPr>
                <w:color w:val="auto"/>
              </w:rPr>
              <w:t>Manual (PMM) development</w:t>
            </w:r>
            <w:r w:rsidR="00AE35F7">
              <w:rPr>
                <w:color w:val="auto"/>
              </w:rPr>
              <w:t xml:space="preserve"> </w:t>
            </w:r>
          </w:p>
        </w:tc>
        <w:tc>
          <w:tcPr>
            <w:tcW w:w="1654" w:type="dxa"/>
            <w:shd w:val="clear" w:color="auto" w:fill="FFFFFF" w:themeFill="background1"/>
          </w:tcPr>
          <w:p w14:paraId="000DC3E3" w14:textId="18015564" w:rsidR="00A33F69" w:rsidRDefault="00D15EBD" w:rsidP="3EC05FE0">
            <w:pPr>
              <w:spacing w:before="0" w:after="0"/>
              <w:jc w:val="center"/>
            </w:pPr>
            <w:r>
              <w:rPr>
                <w:color w:val="auto"/>
              </w:rPr>
              <w:t>Agreed</w:t>
            </w:r>
          </w:p>
        </w:tc>
        <w:tc>
          <w:tcPr>
            <w:tcW w:w="3613" w:type="dxa"/>
            <w:shd w:val="clear" w:color="auto" w:fill="FFFFFF" w:themeFill="background1"/>
          </w:tcPr>
          <w:p w14:paraId="4B2AC5BA" w14:textId="53315BC7" w:rsidR="00A33F69" w:rsidRDefault="00DA6F35" w:rsidP="3EC05FE0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DFAT agree</w:t>
            </w:r>
            <w:r w:rsidR="009E3E05">
              <w:rPr>
                <w:color w:val="auto"/>
              </w:rPr>
              <w:t>s</w:t>
            </w:r>
            <w:r>
              <w:rPr>
                <w:color w:val="auto"/>
              </w:rPr>
              <w:t xml:space="preserve"> with the finding that t</w:t>
            </w:r>
            <w:r w:rsidR="07F75E85" w:rsidRPr="2ECDCA32">
              <w:rPr>
                <w:color w:val="auto"/>
              </w:rPr>
              <w:t>he ongoing reform of a program needs to balance the expected benefits of the proposed reform</w:t>
            </w:r>
            <w:r w:rsidR="00817B27">
              <w:rPr>
                <w:color w:val="auto"/>
              </w:rPr>
              <w:t>,</w:t>
            </w:r>
            <w:r w:rsidR="07F75E85" w:rsidRPr="2ECDCA32">
              <w:rPr>
                <w:color w:val="auto"/>
              </w:rPr>
              <w:t xml:space="preserve"> with </w:t>
            </w:r>
            <w:r w:rsidR="133F2545" w:rsidRPr="2ECDCA32">
              <w:rPr>
                <w:color w:val="auto"/>
              </w:rPr>
              <w:t xml:space="preserve">the risks of becoming too complex and </w:t>
            </w:r>
            <w:r w:rsidR="133F2545" w:rsidRPr="2ECDCA32">
              <w:rPr>
                <w:color w:val="auto"/>
              </w:rPr>
              <w:lastRenderedPageBreak/>
              <w:t xml:space="preserve">burdensome </w:t>
            </w:r>
            <w:r w:rsidR="054128E8" w:rsidRPr="2ECDCA32">
              <w:rPr>
                <w:color w:val="auto"/>
              </w:rPr>
              <w:t>to achieve these benefits.</w:t>
            </w:r>
          </w:p>
          <w:p w14:paraId="0F470571" w14:textId="77777777" w:rsidR="00AA0ED6" w:rsidRDefault="00AA0ED6" w:rsidP="3EC05FE0">
            <w:pPr>
              <w:spacing w:before="0" w:after="0"/>
              <w:rPr>
                <w:color w:val="auto"/>
              </w:rPr>
            </w:pPr>
          </w:p>
          <w:p w14:paraId="2B2095B0" w14:textId="0F313D05" w:rsidR="00AA0ED6" w:rsidRDefault="6A108581" w:rsidP="25E560CC">
            <w:pPr>
              <w:spacing w:before="0" w:after="0"/>
              <w:rPr>
                <w:color w:val="auto"/>
              </w:rPr>
            </w:pPr>
            <w:r w:rsidRPr="25E560CC">
              <w:rPr>
                <w:color w:val="auto"/>
              </w:rPr>
              <w:t>If</w:t>
            </w:r>
            <w:r w:rsidR="00AA0ED6" w:rsidRPr="25E560CC">
              <w:rPr>
                <w:color w:val="auto"/>
              </w:rPr>
              <w:t xml:space="preserve"> </w:t>
            </w:r>
            <w:r w:rsidR="28430DA6" w:rsidRPr="25E560CC">
              <w:rPr>
                <w:color w:val="auto"/>
              </w:rPr>
              <w:t>a</w:t>
            </w:r>
            <w:r w:rsidR="00AA0ED6" w:rsidRPr="25E560CC">
              <w:rPr>
                <w:color w:val="auto"/>
              </w:rPr>
              <w:t xml:space="preserve"> program management document (manual/guidelines</w:t>
            </w:r>
            <w:r w:rsidR="00283850" w:rsidRPr="25E560CC">
              <w:rPr>
                <w:color w:val="auto"/>
              </w:rPr>
              <w:t>/modules</w:t>
            </w:r>
            <w:r w:rsidR="00AA0ED6" w:rsidRPr="25E560CC">
              <w:rPr>
                <w:color w:val="auto"/>
              </w:rPr>
              <w:t xml:space="preserve">) </w:t>
            </w:r>
            <w:r w:rsidR="605F9C33" w:rsidRPr="25E560CC">
              <w:rPr>
                <w:color w:val="auto"/>
              </w:rPr>
              <w:t xml:space="preserve">is required </w:t>
            </w:r>
            <w:r w:rsidR="00AA0ED6" w:rsidRPr="25E560CC">
              <w:rPr>
                <w:color w:val="auto"/>
              </w:rPr>
              <w:t xml:space="preserve">for any future infrastructure development program, DFAT will </w:t>
            </w:r>
            <w:r w:rsidR="006F2297" w:rsidRPr="25E560CC">
              <w:rPr>
                <w:color w:val="auto"/>
              </w:rPr>
              <w:t>monitor</w:t>
            </w:r>
            <w:r w:rsidR="00A12C96" w:rsidRPr="25E560CC">
              <w:rPr>
                <w:color w:val="auto"/>
              </w:rPr>
              <w:t xml:space="preserve"> </w:t>
            </w:r>
            <w:r w:rsidR="58E65A7F" w:rsidRPr="25E560CC">
              <w:rPr>
                <w:color w:val="auto"/>
              </w:rPr>
              <w:t xml:space="preserve">the </w:t>
            </w:r>
            <w:r w:rsidR="178B3FB1" w:rsidRPr="25E560CC">
              <w:rPr>
                <w:color w:val="auto"/>
              </w:rPr>
              <w:t>implementation</w:t>
            </w:r>
            <w:r w:rsidR="58E65A7F" w:rsidRPr="25E560CC">
              <w:rPr>
                <w:color w:val="auto"/>
              </w:rPr>
              <w:t xml:space="preserve"> of </w:t>
            </w:r>
            <w:r w:rsidR="00AA0ED6" w:rsidRPr="25E560CC">
              <w:rPr>
                <w:color w:val="auto"/>
              </w:rPr>
              <w:t xml:space="preserve">program documents </w:t>
            </w:r>
            <w:r w:rsidR="5E4BBCFD" w:rsidRPr="25E560CC">
              <w:rPr>
                <w:color w:val="auto"/>
              </w:rPr>
              <w:t xml:space="preserve">to ensure </w:t>
            </w:r>
            <w:r w:rsidR="00AA0ED6" w:rsidRPr="25E560CC">
              <w:rPr>
                <w:color w:val="auto"/>
              </w:rPr>
              <w:t>t</w:t>
            </w:r>
            <w:r w:rsidR="3BB7E6A7" w:rsidRPr="25E560CC">
              <w:rPr>
                <w:color w:val="auto"/>
              </w:rPr>
              <w:t xml:space="preserve">hey </w:t>
            </w:r>
            <w:r w:rsidR="530F9831" w:rsidRPr="25E560CC">
              <w:rPr>
                <w:color w:val="auto"/>
              </w:rPr>
              <w:t xml:space="preserve">efficiently </w:t>
            </w:r>
            <w:r w:rsidR="3BB7E6A7" w:rsidRPr="25E560CC">
              <w:rPr>
                <w:color w:val="auto"/>
              </w:rPr>
              <w:t>support</w:t>
            </w:r>
            <w:r w:rsidR="00AA0ED6" w:rsidRPr="25E560CC">
              <w:rPr>
                <w:color w:val="auto"/>
              </w:rPr>
              <w:t xml:space="preserve"> sustainability and replication</w:t>
            </w:r>
            <w:r w:rsidR="0FD65B59" w:rsidRPr="25E560CC">
              <w:rPr>
                <w:color w:val="auto"/>
              </w:rPr>
              <w:t xml:space="preserve"> in the program.</w:t>
            </w:r>
          </w:p>
        </w:tc>
      </w:tr>
    </w:tbl>
    <w:p w14:paraId="1971880D" w14:textId="4EE83BAB" w:rsidR="005516FD" w:rsidRDefault="005516FD" w:rsidP="00B943CE">
      <w:pPr>
        <w:rPr>
          <w:color w:val="auto"/>
        </w:rPr>
      </w:pPr>
    </w:p>
    <w:sectPr w:rsidR="005516FD" w:rsidSect="00B943CE">
      <w:footerReference w:type="default" r:id="rId7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6E9C" w14:textId="77777777" w:rsidR="00BB63B2" w:rsidRDefault="00BB63B2" w:rsidP="00152E73">
      <w:pPr>
        <w:spacing w:before="0" w:after="0" w:line="240" w:lineRule="auto"/>
      </w:pPr>
      <w:r>
        <w:separator/>
      </w:r>
    </w:p>
  </w:endnote>
  <w:endnote w:type="continuationSeparator" w:id="0">
    <w:p w14:paraId="0EA6B7D0" w14:textId="77777777" w:rsidR="00BB63B2" w:rsidRDefault="00BB63B2" w:rsidP="00152E73">
      <w:pPr>
        <w:spacing w:before="0" w:after="0" w:line="240" w:lineRule="auto"/>
      </w:pPr>
      <w:r>
        <w:continuationSeparator/>
      </w:r>
    </w:p>
  </w:endnote>
  <w:endnote w:type="continuationNotice" w:id="1">
    <w:p w14:paraId="1B7DCA4A" w14:textId="77777777" w:rsidR="00BB63B2" w:rsidRDefault="00BB63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9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30FE6" w14:textId="68877E3C" w:rsidR="002B6CFA" w:rsidRDefault="002B6C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A3687" w14:textId="77777777" w:rsidR="002B6CFA" w:rsidRDefault="002B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2FE9" w14:textId="77777777" w:rsidR="00BB63B2" w:rsidRDefault="00BB63B2" w:rsidP="00152E73">
      <w:pPr>
        <w:spacing w:before="0" w:after="0" w:line="240" w:lineRule="auto"/>
      </w:pPr>
      <w:r>
        <w:separator/>
      </w:r>
    </w:p>
  </w:footnote>
  <w:footnote w:type="continuationSeparator" w:id="0">
    <w:p w14:paraId="4D14B4B7" w14:textId="77777777" w:rsidR="00BB63B2" w:rsidRDefault="00BB63B2" w:rsidP="00152E73">
      <w:pPr>
        <w:spacing w:before="0" w:after="0" w:line="240" w:lineRule="auto"/>
      </w:pPr>
      <w:r>
        <w:continuationSeparator/>
      </w:r>
    </w:p>
  </w:footnote>
  <w:footnote w:type="continuationNotice" w:id="1">
    <w:p w14:paraId="0E1E53A3" w14:textId="77777777" w:rsidR="00BB63B2" w:rsidRDefault="00BB63B2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73"/>
    <w:rsid w:val="000069C5"/>
    <w:rsid w:val="00006AF9"/>
    <w:rsid w:val="0000714D"/>
    <w:rsid w:val="00012A31"/>
    <w:rsid w:val="00016A79"/>
    <w:rsid w:val="000170CB"/>
    <w:rsid w:val="00023114"/>
    <w:rsid w:val="000236B7"/>
    <w:rsid w:val="00023A29"/>
    <w:rsid w:val="000322E3"/>
    <w:rsid w:val="0003284F"/>
    <w:rsid w:val="00042A30"/>
    <w:rsid w:val="000446BC"/>
    <w:rsid w:val="0005572F"/>
    <w:rsid w:val="000575F0"/>
    <w:rsid w:val="00064159"/>
    <w:rsid w:val="000760F7"/>
    <w:rsid w:val="0009326C"/>
    <w:rsid w:val="00097CA7"/>
    <w:rsid w:val="000A09E9"/>
    <w:rsid w:val="000A32BA"/>
    <w:rsid w:val="000B76C6"/>
    <w:rsid w:val="000C3861"/>
    <w:rsid w:val="000C5163"/>
    <w:rsid w:val="000E4993"/>
    <w:rsid w:val="000F00E2"/>
    <w:rsid w:val="000F0B60"/>
    <w:rsid w:val="000F28CC"/>
    <w:rsid w:val="000F2B91"/>
    <w:rsid w:val="000F5089"/>
    <w:rsid w:val="00100764"/>
    <w:rsid w:val="00101966"/>
    <w:rsid w:val="0010304F"/>
    <w:rsid w:val="00103150"/>
    <w:rsid w:val="00103170"/>
    <w:rsid w:val="00103FA1"/>
    <w:rsid w:val="00104C38"/>
    <w:rsid w:val="00104F9B"/>
    <w:rsid w:val="00106894"/>
    <w:rsid w:val="00107EF2"/>
    <w:rsid w:val="0012210B"/>
    <w:rsid w:val="0012319A"/>
    <w:rsid w:val="00132CF9"/>
    <w:rsid w:val="00133B96"/>
    <w:rsid w:val="00133E5F"/>
    <w:rsid w:val="00135ED9"/>
    <w:rsid w:val="001364DA"/>
    <w:rsid w:val="00137661"/>
    <w:rsid w:val="00140E04"/>
    <w:rsid w:val="001450AC"/>
    <w:rsid w:val="00145643"/>
    <w:rsid w:val="00152E73"/>
    <w:rsid w:val="0016190F"/>
    <w:rsid w:val="0016482E"/>
    <w:rsid w:val="00165B36"/>
    <w:rsid w:val="00186088"/>
    <w:rsid w:val="00187A98"/>
    <w:rsid w:val="001915A8"/>
    <w:rsid w:val="00193B79"/>
    <w:rsid w:val="00197A1C"/>
    <w:rsid w:val="001A15F8"/>
    <w:rsid w:val="001A2590"/>
    <w:rsid w:val="001B1C88"/>
    <w:rsid w:val="001B40E3"/>
    <w:rsid w:val="001C10BE"/>
    <w:rsid w:val="001C4046"/>
    <w:rsid w:val="001D1912"/>
    <w:rsid w:val="001D303D"/>
    <w:rsid w:val="001D7204"/>
    <w:rsid w:val="001E02DB"/>
    <w:rsid w:val="001E7707"/>
    <w:rsid w:val="001F0B14"/>
    <w:rsid w:val="001F2DE8"/>
    <w:rsid w:val="001F2FC9"/>
    <w:rsid w:val="001F43DA"/>
    <w:rsid w:val="001F4425"/>
    <w:rsid w:val="001F4522"/>
    <w:rsid w:val="001F5155"/>
    <w:rsid w:val="00202598"/>
    <w:rsid w:val="002034C6"/>
    <w:rsid w:val="00230753"/>
    <w:rsid w:val="00232516"/>
    <w:rsid w:val="002339D9"/>
    <w:rsid w:val="00240CD9"/>
    <w:rsid w:val="00240D7D"/>
    <w:rsid w:val="00255318"/>
    <w:rsid w:val="00261804"/>
    <w:rsid w:val="00262C8E"/>
    <w:rsid w:val="002646BF"/>
    <w:rsid w:val="002678E2"/>
    <w:rsid w:val="002739B6"/>
    <w:rsid w:val="00274356"/>
    <w:rsid w:val="00274896"/>
    <w:rsid w:val="002816C2"/>
    <w:rsid w:val="00283850"/>
    <w:rsid w:val="002843FD"/>
    <w:rsid w:val="00285BAA"/>
    <w:rsid w:val="00287B5F"/>
    <w:rsid w:val="00290FFD"/>
    <w:rsid w:val="0029345A"/>
    <w:rsid w:val="002A0D40"/>
    <w:rsid w:val="002A79A0"/>
    <w:rsid w:val="002B00B1"/>
    <w:rsid w:val="002B0EF8"/>
    <w:rsid w:val="002B1A3D"/>
    <w:rsid w:val="002B6CFA"/>
    <w:rsid w:val="002C1251"/>
    <w:rsid w:val="002C1387"/>
    <w:rsid w:val="002D50EC"/>
    <w:rsid w:val="002D6820"/>
    <w:rsid w:val="002E21BC"/>
    <w:rsid w:val="002E4C90"/>
    <w:rsid w:val="002E6E42"/>
    <w:rsid w:val="002F5F4F"/>
    <w:rsid w:val="00300EAE"/>
    <w:rsid w:val="00325DD0"/>
    <w:rsid w:val="00327364"/>
    <w:rsid w:val="00335B77"/>
    <w:rsid w:val="0034201E"/>
    <w:rsid w:val="003426E8"/>
    <w:rsid w:val="003537A0"/>
    <w:rsid w:val="00353FA4"/>
    <w:rsid w:val="00376601"/>
    <w:rsid w:val="00377C5D"/>
    <w:rsid w:val="003812F5"/>
    <w:rsid w:val="0038278F"/>
    <w:rsid w:val="0038608B"/>
    <w:rsid w:val="0038755F"/>
    <w:rsid w:val="00390E2B"/>
    <w:rsid w:val="00392CF0"/>
    <w:rsid w:val="0039784A"/>
    <w:rsid w:val="003A0EA9"/>
    <w:rsid w:val="003A12E3"/>
    <w:rsid w:val="003A506D"/>
    <w:rsid w:val="003A5E79"/>
    <w:rsid w:val="003B2908"/>
    <w:rsid w:val="003B6217"/>
    <w:rsid w:val="003B643E"/>
    <w:rsid w:val="003C6D29"/>
    <w:rsid w:val="003F0FE5"/>
    <w:rsid w:val="003F3EA3"/>
    <w:rsid w:val="0041143F"/>
    <w:rsid w:val="004173BB"/>
    <w:rsid w:val="004228BE"/>
    <w:rsid w:val="00426EE4"/>
    <w:rsid w:val="00431F3B"/>
    <w:rsid w:val="004419C6"/>
    <w:rsid w:val="00444572"/>
    <w:rsid w:val="00455715"/>
    <w:rsid w:val="0046015D"/>
    <w:rsid w:val="00484368"/>
    <w:rsid w:val="00484441"/>
    <w:rsid w:val="0049392F"/>
    <w:rsid w:val="004A469A"/>
    <w:rsid w:val="004A5A9C"/>
    <w:rsid w:val="004A62B7"/>
    <w:rsid w:val="004B1D0B"/>
    <w:rsid w:val="004B25A4"/>
    <w:rsid w:val="004B424D"/>
    <w:rsid w:val="004C1895"/>
    <w:rsid w:val="004C3F6E"/>
    <w:rsid w:val="004C72FB"/>
    <w:rsid w:val="004D3B87"/>
    <w:rsid w:val="004D4C26"/>
    <w:rsid w:val="004D4C68"/>
    <w:rsid w:val="004D6EAD"/>
    <w:rsid w:val="004D71FE"/>
    <w:rsid w:val="004E04C7"/>
    <w:rsid w:val="004E1E2D"/>
    <w:rsid w:val="005015AD"/>
    <w:rsid w:val="005019F7"/>
    <w:rsid w:val="00505B4E"/>
    <w:rsid w:val="00506A95"/>
    <w:rsid w:val="005075D2"/>
    <w:rsid w:val="00526FE3"/>
    <w:rsid w:val="005450F2"/>
    <w:rsid w:val="00545C57"/>
    <w:rsid w:val="005516FD"/>
    <w:rsid w:val="00551B53"/>
    <w:rsid w:val="00553C73"/>
    <w:rsid w:val="005570BA"/>
    <w:rsid w:val="00560E47"/>
    <w:rsid w:val="005616E5"/>
    <w:rsid w:val="00565A74"/>
    <w:rsid w:val="005661B5"/>
    <w:rsid w:val="00571F6A"/>
    <w:rsid w:val="00572997"/>
    <w:rsid w:val="00573B43"/>
    <w:rsid w:val="005758DD"/>
    <w:rsid w:val="00583422"/>
    <w:rsid w:val="00584134"/>
    <w:rsid w:val="00585E72"/>
    <w:rsid w:val="00586017"/>
    <w:rsid w:val="005875E1"/>
    <w:rsid w:val="005957DC"/>
    <w:rsid w:val="00596BBA"/>
    <w:rsid w:val="005A080D"/>
    <w:rsid w:val="005A6CA4"/>
    <w:rsid w:val="005A78B2"/>
    <w:rsid w:val="005B233B"/>
    <w:rsid w:val="005B2886"/>
    <w:rsid w:val="005B2961"/>
    <w:rsid w:val="005B3408"/>
    <w:rsid w:val="005C2685"/>
    <w:rsid w:val="005C2F35"/>
    <w:rsid w:val="005C6151"/>
    <w:rsid w:val="005D11B5"/>
    <w:rsid w:val="005D233E"/>
    <w:rsid w:val="005D5CF3"/>
    <w:rsid w:val="005D5F1E"/>
    <w:rsid w:val="005E0365"/>
    <w:rsid w:val="005E328B"/>
    <w:rsid w:val="005E587D"/>
    <w:rsid w:val="005E5A07"/>
    <w:rsid w:val="005E6288"/>
    <w:rsid w:val="005F0980"/>
    <w:rsid w:val="005F6F1F"/>
    <w:rsid w:val="006006B0"/>
    <w:rsid w:val="0060311D"/>
    <w:rsid w:val="00607AE2"/>
    <w:rsid w:val="00610776"/>
    <w:rsid w:val="00612BE8"/>
    <w:rsid w:val="006213D2"/>
    <w:rsid w:val="00626DCF"/>
    <w:rsid w:val="00634956"/>
    <w:rsid w:val="00646D69"/>
    <w:rsid w:val="00662DE0"/>
    <w:rsid w:val="00672F65"/>
    <w:rsid w:val="00674090"/>
    <w:rsid w:val="00680752"/>
    <w:rsid w:val="00681963"/>
    <w:rsid w:val="006901A9"/>
    <w:rsid w:val="00694201"/>
    <w:rsid w:val="006A1978"/>
    <w:rsid w:val="006A2250"/>
    <w:rsid w:val="006A5829"/>
    <w:rsid w:val="006A6A9A"/>
    <w:rsid w:val="006B5011"/>
    <w:rsid w:val="006B536B"/>
    <w:rsid w:val="006C2A81"/>
    <w:rsid w:val="006D4E9C"/>
    <w:rsid w:val="006D6468"/>
    <w:rsid w:val="006E0EA3"/>
    <w:rsid w:val="006E19E2"/>
    <w:rsid w:val="006E39BD"/>
    <w:rsid w:val="006E6289"/>
    <w:rsid w:val="006F2297"/>
    <w:rsid w:val="006F2353"/>
    <w:rsid w:val="006F5900"/>
    <w:rsid w:val="00705D7F"/>
    <w:rsid w:val="00712EA3"/>
    <w:rsid w:val="0073158C"/>
    <w:rsid w:val="00734980"/>
    <w:rsid w:val="00734B6B"/>
    <w:rsid w:val="007412AC"/>
    <w:rsid w:val="007471AC"/>
    <w:rsid w:val="00751C45"/>
    <w:rsid w:val="0075407F"/>
    <w:rsid w:val="00755359"/>
    <w:rsid w:val="00757984"/>
    <w:rsid w:val="00762022"/>
    <w:rsid w:val="00762DD0"/>
    <w:rsid w:val="007752BB"/>
    <w:rsid w:val="007760D9"/>
    <w:rsid w:val="00777976"/>
    <w:rsid w:val="007843DA"/>
    <w:rsid w:val="007851A3"/>
    <w:rsid w:val="00790DBC"/>
    <w:rsid w:val="00796977"/>
    <w:rsid w:val="00796C4E"/>
    <w:rsid w:val="007A040B"/>
    <w:rsid w:val="007A1252"/>
    <w:rsid w:val="007A1D79"/>
    <w:rsid w:val="007B12A6"/>
    <w:rsid w:val="007B18E4"/>
    <w:rsid w:val="007C53C8"/>
    <w:rsid w:val="007D1AC0"/>
    <w:rsid w:val="007D2245"/>
    <w:rsid w:val="007E151F"/>
    <w:rsid w:val="007E5DB9"/>
    <w:rsid w:val="007F128F"/>
    <w:rsid w:val="007F3843"/>
    <w:rsid w:val="007F46BD"/>
    <w:rsid w:val="00804257"/>
    <w:rsid w:val="0080673F"/>
    <w:rsid w:val="00810E98"/>
    <w:rsid w:val="008137F7"/>
    <w:rsid w:val="00817B27"/>
    <w:rsid w:val="008212F8"/>
    <w:rsid w:val="00825872"/>
    <w:rsid w:val="008300A6"/>
    <w:rsid w:val="00831EBD"/>
    <w:rsid w:val="008322CC"/>
    <w:rsid w:val="00834580"/>
    <w:rsid w:val="00834914"/>
    <w:rsid w:val="00836040"/>
    <w:rsid w:val="008521FD"/>
    <w:rsid w:val="008523D2"/>
    <w:rsid w:val="008562BA"/>
    <w:rsid w:val="008566D0"/>
    <w:rsid w:val="008608C3"/>
    <w:rsid w:val="00860E92"/>
    <w:rsid w:val="00861C79"/>
    <w:rsid w:val="00862DE1"/>
    <w:rsid w:val="008643D3"/>
    <w:rsid w:val="0087142A"/>
    <w:rsid w:val="00872FB8"/>
    <w:rsid w:val="00876819"/>
    <w:rsid w:val="00880D26"/>
    <w:rsid w:val="00886BE3"/>
    <w:rsid w:val="008905C5"/>
    <w:rsid w:val="00893F68"/>
    <w:rsid w:val="008948E6"/>
    <w:rsid w:val="008964EB"/>
    <w:rsid w:val="008B21EF"/>
    <w:rsid w:val="008B25AE"/>
    <w:rsid w:val="008B2A7F"/>
    <w:rsid w:val="008B453C"/>
    <w:rsid w:val="008B4AC9"/>
    <w:rsid w:val="008B602C"/>
    <w:rsid w:val="008D3FA8"/>
    <w:rsid w:val="008E0F34"/>
    <w:rsid w:val="008E47A6"/>
    <w:rsid w:val="008F369C"/>
    <w:rsid w:val="0090075D"/>
    <w:rsid w:val="009073A7"/>
    <w:rsid w:val="0091317A"/>
    <w:rsid w:val="00913F35"/>
    <w:rsid w:val="00921DCB"/>
    <w:rsid w:val="00925C10"/>
    <w:rsid w:val="0092671D"/>
    <w:rsid w:val="0093097B"/>
    <w:rsid w:val="0093200E"/>
    <w:rsid w:val="009324B6"/>
    <w:rsid w:val="00934C49"/>
    <w:rsid w:val="0093664A"/>
    <w:rsid w:val="00941C26"/>
    <w:rsid w:val="00944963"/>
    <w:rsid w:val="00947B1C"/>
    <w:rsid w:val="009632C3"/>
    <w:rsid w:val="00963880"/>
    <w:rsid w:val="009657F9"/>
    <w:rsid w:val="0096770C"/>
    <w:rsid w:val="0098045A"/>
    <w:rsid w:val="00981410"/>
    <w:rsid w:val="00995E16"/>
    <w:rsid w:val="0099668E"/>
    <w:rsid w:val="009972AB"/>
    <w:rsid w:val="009A02C5"/>
    <w:rsid w:val="009A133F"/>
    <w:rsid w:val="009A61D6"/>
    <w:rsid w:val="009B2E24"/>
    <w:rsid w:val="009B6281"/>
    <w:rsid w:val="009B67D1"/>
    <w:rsid w:val="009B7906"/>
    <w:rsid w:val="009C1DE1"/>
    <w:rsid w:val="009C39FC"/>
    <w:rsid w:val="009D1DCE"/>
    <w:rsid w:val="009D472A"/>
    <w:rsid w:val="009E3E05"/>
    <w:rsid w:val="009F2371"/>
    <w:rsid w:val="009F445B"/>
    <w:rsid w:val="009F7909"/>
    <w:rsid w:val="00A0249C"/>
    <w:rsid w:val="00A039B0"/>
    <w:rsid w:val="00A065E3"/>
    <w:rsid w:val="00A10FAD"/>
    <w:rsid w:val="00A11026"/>
    <w:rsid w:val="00A12C96"/>
    <w:rsid w:val="00A1587E"/>
    <w:rsid w:val="00A1591A"/>
    <w:rsid w:val="00A162D3"/>
    <w:rsid w:val="00A17C71"/>
    <w:rsid w:val="00A255E5"/>
    <w:rsid w:val="00A25CB1"/>
    <w:rsid w:val="00A307AD"/>
    <w:rsid w:val="00A33703"/>
    <w:rsid w:val="00A33F69"/>
    <w:rsid w:val="00A46DB8"/>
    <w:rsid w:val="00A54B3D"/>
    <w:rsid w:val="00A71DDF"/>
    <w:rsid w:val="00A83300"/>
    <w:rsid w:val="00A83CA0"/>
    <w:rsid w:val="00A84325"/>
    <w:rsid w:val="00A84C4A"/>
    <w:rsid w:val="00A85787"/>
    <w:rsid w:val="00A85E5D"/>
    <w:rsid w:val="00A869F7"/>
    <w:rsid w:val="00A87347"/>
    <w:rsid w:val="00A87C61"/>
    <w:rsid w:val="00A909F2"/>
    <w:rsid w:val="00A97A98"/>
    <w:rsid w:val="00A97B34"/>
    <w:rsid w:val="00AA0ED6"/>
    <w:rsid w:val="00AA6F98"/>
    <w:rsid w:val="00AB730A"/>
    <w:rsid w:val="00AC692E"/>
    <w:rsid w:val="00AD21E7"/>
    <w:rsid w:val="00AD3B89"/>
    <w:rsid w:val="00AD417E"/>
    <w:rsid w:val="00AD5D3B"/>
    <w:rsid w:val="00AD7959"/>
    <w:rsid w:val="00AE14FC"/>
    <w:rsid w:val="00AE2E19"/>
    <w:rsid w:val="00AE35F7"/>
    <w:rsid w:val="00AE6F3A"/>
    <w:rsid w:val="00AF40A1"/>
    <w:rsid w:val="00AF56BE"/>
    <w:rsid w:val="00B01F5F"/>
    <w:rsid w:val="00B02CFC"/>
    <w:rsid w:val="00B03896"/>
    <w:rsid w:val="00B04E2A"/>
    <w:rsid w:val="00B1505D"/>
    <w:rsid w:val="00B17719"/>
    <w:rsid w:val="00B17974"/>
    <w:rsid w:val="00B17C0E"/>
    <w:rsid w:val="00B25463"/>
    <w:rsid w:val="00B312D4"/>
    <w:rsid w:val="00B3352A"/>
    <w:rsid w:val="00B35B5F"/>
    <w:rsid w:val="00B41B90"/>
    <w:rsid w:val="00B44183"/>
    <w:rsid w:val="00B51106"/>
    <w:rsid w:val="00B51D10"/>
    <w:rsid w:val="00B56A79"/>
    <w:rsid w:val="00B7166D"/>
    <w:rsid w:val="00B8330E"/>
    <w:rsid w:val="00B83AE8"/>
    <w:rsid w:val="00B868DD"/>
    <w:rsid w:val="00B92EFD"/>
    <w:rsid w:val="00B93BD6"/>
    <w:rsid w:val="00B943CE"/>
    <w:rsid w:val="00B95F78"/>
    <w:rsid w:val="00BA30CF"/>
    <w:rsid w:val="00BA398A"/>
    <w:rsid w:val="00BA72B9"/>
    <w:rsid w:val="00BB0469"/>
    <w:rsid w:val="00BB480A"/>
    <w:rsid w:val="00BB63B2"/>
    <w:rsid w:val="00BC3629"/>
    <w:rsid w:val="00BC6CBD"/>
    <w:rsid w:val="00BD24A9"/>
    <w:rsid w:val="00BD2ED6"/>
    <w:rsid w:val="00BD7B4C"/>
    <w:rsid w:val="00BE51B1"/>
    <w:rsid w:val="00BF2849"/>
    <w:rsid w:val="00BF4059"/>
    <w:rsid w:val="00BF4EF1"/>
    <w:rsid w:val="00BF5CA9"/>
    <w:rsid w:val="00BF5E51"/>
    <w:rsid w:val="00C00F72"/>
    <w:rsid w:val="00C068FC"/>
    <w:rsid w:val="00C10BFE"/>
    <w:rsid w:val="00C12E05"/>
    <w:rsid w:val="00C13C38"/>
    <w:rsid w:val="00C25A8A"/>
    <w:rsid w:val="00C27AEC"/>
    <w:rsid w:val="00C32841"/>
    <w:rsid w:val="00C379B2"/>
    <w:rsid w:val="00C43B30"/>
    <w:rsid w:val="00C525A6"/>
    <w:rsid w:val="00C5362C"/>
    <w:rsid w:val="00C61EF4"/>
    <w:rsid w:val="00C73854"/>
    <w:rsid w:val="00C74B1F"/>
    <w:rsid w:val="00C75D52"/>
    <w:rsid w:val="00C76940"/>
    <w:rsid w:val="00C80BAB"/>
    <w:rsid w:val="00C973BA"/>
    <w:rsid w:val="00CA1190"/>
    <w:rsid w:val="00CA3EA1"/>
    <w:rsid w:val="00CB1896"/>
    <w:rsid w:val="00CB452A"/>
    <w:rsid w:val="00CB5467"/>
    <w:rsid w:val="00CB71B7"/>
    <w:rsid w:val="00CC1581"/>
    <w:rsid w:val="00CC22B7"/>
    <w:rsid w:val="00CC2C20"/>
    <w:rsid w:val="00CE434B"/>
    <w:rsid w:val="00CE5918"/>
    <w:rsid w:val="00CE7538"/>
    <w:rsid w:val="00CF18DB"/>
    <w:rsid w:val="00CF76E4"/>
    <w:rsid w:val="00D0359D"/>
    <w:rsid w:val="00D121D6"/>
    <w:rsid w:val="00D13C3B"/>
    <w:rsid w:val="00D142D7"/>
    <w:rsid w:val="00D14383"/>
    <w:rsid w:val="00D15081"/>
    <w:rsid w:val="00D15EBD"/>
    <w:rsid w:val="00D17EB9"/>
    <w:rsid w:val="00D20F7E"/>
    <w:rsid w:val="00D31E97"/>
    <w:rsid w:val="00D32E5A"/>
    <w:rsid w:val="00D34F22"/>
    <w:rsid w:val="00D41EB6"/>
    <w:rsid w:val="00D44156"/>
    <w:rsid w:val="00D515F1"/>
    <w:rsid w:val="00D57A81"/>
    <w:rsid w:val="00D74741"/>
    <w:rsid w:val="00D77B21"/>
    <w:rsid w:val="00D869BB"/>
    <w:rsid w:val="00D95767"/>
    <w:rsid w:val="00D96A3A"/>
    <w:rsid w:val="00D97E8F"/>
    <w:rsid w:val="00DA1D2B"/>
    <w:rsid w:val="00DA305B"/>
    <w:rsid w:val="00DA5503"/>
    <w:rsid w:val="00DA5980"/>
    <w:rsid w:val="00DA6F35"/>
    <w:rsid w:val="00DB4155"/>
    <w:rsid w:val="00DB4F40"/>
    <w:rsid w:val="00DB62DB"/>
    <w:rsid w:val="00DB73E3"/>
    <w:rsid w:val="00DC3904"/>
    <w:rsid w:val="00DC50AA"/>
    <w:rsid w:val="00DC5409"/>
    <w:rsid w:val="00DC7F69"/>
    <w:rsid w:val="00DD0199"/>
    <w:rsid w:val="00DD0D6B"/>
    <w:rsid w:val="00DD194A"/>
    <w:rsid w:val="00DD7485"/>
    <w:rsid w:val="00DE3139"/>
    <w:rsid w:val="00DE5FCA"/>
    <w:rsid w:val="00DF22DE"/>
    <w:rsid w:val="00E019DC"/>
    <w:rsid w:val="00E02758"/>
    <w:rsid w:val="00E06E27"/>
    <w:rsid w:val="00E12374"/>
    <w:rsid w:val="00E14F55"/>
    <w:rsid w:val="00E16840"/>
    <w:rsid w:val="00E23780"/>
    <w:rsid w:val="00E24661"/>
    <w:rsid w:val="00E24E34"/>
    <w:rsid w:val="00E3157B"/>
    <w:rsid w:val="00E40B31"/>
    <w:rsid w:val="00E50BB5"/>
    <w:rsid w:val="00E50E7E"/>
    <w:rsid w:val="00E523DA"/>
    <w:rsid w:val="00E52E86"/>
    <w:rsid w:val="00E57E75"/>
    <w:rsid w:val="00E65BA1"/>
    <w:rsid w:val="00E66EAE"/>
    <w:rsid w:val="00E70B3C"/>
    <w:rsid w:val="00E750E1"/>
    <w:rsid w:val="00E76996"/>
    <w:rsid w:val="00E82794"/>
    <w:rsid w:val="00E8743B"/>
    <w:rsid w:val="00E87A75"/>
    <w:rsid w:val="00EA2E5A"/>
    <w:rsid w:val="00EA339A"/>
    <w:rsid w:val="00EA4830"/>
    <w:rsid w:val="00EB592C"/>
    <w:rsid w:val="00EB6BDD"/>
    <w:rsid w:val="00EC3BD3"/>
    <w:rsid w:val="00EC7DE3"/>
    <w:rsid w:val="00ED31F0"/>
    <w:rsid w:val="00ED58AA"/>
    <w:rsid w:val="00EE7A03"/>
    <w:rsid w:val="00EF2842"/>
    <w:rsid w:val="00F0004D"/>
    <w:rsid w:val="00F01042"/>
    <w:rsid w:val="00F059C9"/>
    <w:rsid w:val="00F06EB0"/>
    <w:rsid w:val="00F104E4"/>
    <w:rsid w:val="00F10EA6"/>
    <w:rsid w:val="00F20978"/>
    <w:rsid w:val="00F20FF7"/>
    <w:rsid w:val="00F25C40"/>
    <w:rsid w:val="00F260F5"/>
    <w:rsid w:val="00F27585"/>
    <w:rsid w:val="00F32C49"/>
    <w:rsid w:val="00F33C31"/>
    <w:rsid w:val="00F33DA3"/>
    <w:rsid w:val="00F361EF"/>
    <w:rsid w:val="00F37A5D"/>
    <w:rsid w:val="00F56E9E"/>
    <w:rsid w:val="00F63EEC"/>
    <w:rsid w:val="00F75B24"/>
    <w:rsid w:val="00F80CC4"/>
    <w:rsid w:val="00F80E92"/>
    <w:rsid w:val="00F8345A"/>
    <w:rsid w:val="00F95E71"/>
    <w:rsid w:val="00FA60BF"/>
    <w:rsid w:val="00FB2608"/>
    <w:rsid w:val="00FB3F19"/>
    <w:rsid w:val="00FC0555"/>
    <w:rsid w:val="00FC2726"/>
    <w:rsid w:val="00FC4163"/>
    <w:rsid w:val="00FC50A9"/>
    <w:rsid w:val="00FC5C38"/>
    <w:rsid w:val="00FC7744"/>
    <w:rsid w:val="00FD3E79"/>
    <w:rsid w:val="00FD41BB"/>
    <w:rsid w:val="00FE4248"/>
    <w:rsid w:val="00FE5D6D"/>
    <w:rsid w:val="0110861B"/>
    <w:rsid w:val="0136CC43"/>
    <w:rsid w:val="015880FB"/>
    <w:rsid w:val="01DD3943"/>
    <w:rsid w:val="0228A0A2"/>
    <w:rsid w:val="022D9DF7"/>
    <w:rsid w:val="024CBAA1"/>
    <w:rsid w:val="026DDBBC"/>
    <w:rsid w:val="02881F34"/>
    <w:rsid w:val="02899AF3"/>
    <w:rsid w:val="029332EE"/>
    <w:rsid w:val="02A5D2E4"/>
    <w:rsid w:val="02C50EFC"/>
    <w:rsid w:val="0304C5DE"/>
    <w:rsid w:val="032C96BA"/>
    <w:rsid w:val="047DEC43"/>
    <w:rsid w:val="054128E8"/>
    <w:rsid w:val="061539AD"/>
    <w:rsid w:val="075531F7"/>
    <w:rsid w:val="07F75E85"/>
    <w:rsid w:val="08C04C21"/>
    <w:rsid w:val="09CA82B6"/>
    <w:rsid w:val="0A51EBD9"/>
    <w:rsid w:val="0A64F15C"/>
    <w:rsid w:val="0AED2DC7"/>
    <w:rsid w:val="0BB0CA3C"/>
    <w:rsid w:val="0BEBB10A"/>
    <w:rsid w:val="0BF7ECE3"/>
    <w:rsid w:val="0C2426B1"/>
    <w:rsid w:val="0C4F24E3"/>
    <w:rsid w:val="0C7B0D47"/>
    <w:rsid w:val="0C882ABB"/>
    <w:rsid w:val="0D3BFD74"/>
    <w:rsid w:val="0D4F4EE5"/>
    <w:rsid w:val="0DF5A2A3"/>
    <w:rsid w:val="0E1AB5EB"/>
    <w:rsid w:val="0E7E7B14"/>
    <w:rsid w:val="0E98D166"/>
    <w:rsid w:val="0EF228C7"/>
    <w:rsid w:val="0EFE4991"/>
    <w:rsid w:val="0F185C4D"/>
    <w:rsid w:val="0F2282E8"/>
    <w:rsid w:val="0F25BD45"/>
    <w:rsid w:val="0F64BA45"/>
    <w:rsid w:val="0FD65B59"/>
    <w:rsid w:val="0FE88AD1"/>
    <w:rsid w:val="1085869A"/>
    <w:rsid w:val="108754E6"/>
    <w:rsid w:val="10F70037"/>
    <w:rsid w:val="114D29E6"/>
    <w:rsid w:val="11DE080C"/>
    <w:rsid w:val="12F399B9"/>
    <w:rsid w:val="130FDEDE"/>
    <w:rsid w:val="133F2545"/>
    <w:rsid w:val="13E73C1D"/>
    <w:rsid w:val="13EC266E"/>
    <w:rsid w:val="14895F69"/>
    <w:rsid w:val="149BFD93"/>
    <w:rsid w:val="152CFCBB"/>
    <w:rsid w:val="156F4C56"/>
    <w:rsid w:val="1594A84C"/>
    <w:rsid w:val="15E871BB"/>
    <w:rsid w:val="1637CDF4"/>
    <w:rsid w:val="16556CB9"/>
    <w:rsid w:val="1695FFB6"/>
    <w:rsid w:val="171310BE"/>
    <w:rsid w:val="178B3FB1"/>
    <w:rsid w:val="18DA4535"/>
    <w:rsid w:val="194256D6"/>
    <w:rsid w:val="196C7A8D"/>
    <w:rsid w:val="1A102BF2"/>
    <w:rsid w:val="1A53C31D"/>
    <w:rsid w:val="1A56478C"/>
    <w:rsid w:val="1A754F28"/>
    <w:rsid w:val="1A7923F5"/>
    <w:rsid w:val="1B7FB22F"/>
    <w:rsid w:val="1BB44728"/>
    <w:rsid w:val="1BED664B"/>
    <w:rsid w:val="1C37B853"/>
    <w:rsid w:val="1C4A4847"/>
    <w:rsid w:val="1C74F165"/>
    <w:rsid w:val="1CFFECED"/>
    <w:rsid w:val="1D425CAA"/>
    <w:rsid w:val="1D7EE866"/>
    <w:rsid w:val="1DBFD157"/>
    <w:rsid w:val="1DE93C71"/>
    <w:rsid w:val="1E202579"/>
    <w:rsid w:val="1E307327"/>
    <w:rsid w:val="1E60CC6E"/>
    <w:rsid w:val="1E94E347"/>
    <w:rsid w:val="1E965383"/>
    <w:rsid w:val="1E9C6323"/>
    <w:rsid w:val="1EFDAC09"/>
    <w:rsid w:val="1F15496F"/>
    <w:rsid w:val="1FBB54D4"/>
    <w:rsid w:val="1FD7BD57"/>
    <w:rsid w:val="2040FE76"/>
    <w:rsid w:val="20B8DB0A"/>
    <w:rsid w:val="212EA0F9"/>
    <w:rsid w:val="2162B684"/>
    <w:rsid w:val="21735D5E"/>
    <w:rsid w:val="21986D30"/>
    <w:rsid w:val="21B033CC"/>
    <w:rsid w:val="21B3E1A6"/>
    <w:rsid w:val="21D33033"/>
    <w:rsid w:val="21F87C40"/>
    <w:rsid w:val="22200F14"/>
    <w:rsid w:val="223FF0EC"/>
    <w:rsid w:val="22551B31"/>
    <w:rsid w:val="22FB8D1C"/>
    <w:rsid w:val="233908CD"/>
    <w:rsid w:val="23513438"/>
    <w:rsid w:val="23F0EB92"/>
    <w:rsid w:val="23F9CD64"/>
    <w:rsid w:val="24015BF6"/>
    <w:rsid w:val="24D00DF2"/>
    <w:rsid w:val="25737AAA"/>
    <w:rsid w:val="258F6F9F"/>
    <w:rsid w:val="25952926"/>
    <w:rsid w:val="25E560CC"/>
    <w:rsid w:val="262DA624"/>
    <w:rsid w:val="264D25E7"/>
    <w:rsid w:val="26CF21BE"/>
    <w:rsid w:val="271F716E"/>
    <w:rsid w:val="272D4FD5"/>
    <w:rsid w:val="27340F22"/>
    <w:rsid w:val="27C97685"/>
    <w:rsid w:val="282F353C"/>
    <w:rsid w:val="28430DA6"/>
    <w:rsid w:val="28472EB5"/>
    <w:rsid w:val="28AAC1AE"/>
    <w:rsid w:val="28CFDF83"/>
    <w:rsid w:val="29D58B1D"/>
    <w:rsid w:val="29E04C10"/>
    <w:rsid w:val="2A214B3A"/>
    <w:rsid w:val="2A6BAFE4"/>
    <w:rsid w:val="2ACC426D"/>
    <w:rsid w:val="2ADCBFF6"/>
    <w:rsid w:val="2AFA9277"/>
    <w:rsid w:val="2B7C1C71"/>
    <w:rsid w:val="2B970C19"/>
    <w:rsid w:val="2BAB0023"/>
    <w:rsid w:val="2BE110F3"/>
    <w:rsid w:val="2C04A4B0"/>
    <w:rsid w:val="2C078045"/>
    <w:rsid w:val="2C319192"/>
    <w:rsid w:val="2CCB7E0B"/>
    <w:rsid w:val="2D3CD497"/>
    <w:rsid w:val="2D8607D2"/>
    <w:rsid w:val="2DB69B0E"/>
    <w:rsid w:val="2DFB2D56"/>
    <w:rsid w:val="2E9A94D6"/>
    <w:rsid w:val="2E9E3CF8"/>
    <w:rsid w:val="2ECDCA32"/>
    <w:rsid w:val="2F1FB612"/>
    <w:rsid w:val="2F9FB390"/>
    <w:rsid w:val="2FAD4589"/>
    <w:rsid w:val="2FB4B041"/>
    <w:rsid w:val="2FC09DBD"/>
    <w:rsid w:val="3004CD6D"/>
    <w:rsid w:val="303C0EFA"/>
    <w:rsid w:val="3046CF81"/>
    <w:rsid w:val="3051D993"/>
    <w:rsid w:val="3061E6C7"/>
    <w:rsid w:val="3072F04F"/>
    <w:rsid w:val="30AEDB08"/>
    <w:rsid w:val="3104600C"/>
    <w:rsid w:val="310537F6"/>
    <w:rsid w:val="3172E844"/>
    <w:rsid w:val="31B6C110"/>
    <w:rsid w:val="31B9540F"/>
    <w:rsid w:val="32577A7A"/>
    <w:rsid w:val="328A0C31"/>
    <w:rsid w:val="32B5B9D3"/>
    <w:rsid w:val="32F35693"/>
    <w:rsid w:val="3300F5E4"/>
    <w:rsid w:val="33228FDF"/>
    <w:rsid w:val="33529171"/>
    <w:rsid w:val="33BD6C45"/>
    <w:rsid w:val="33C0F1F0"/>
    <w:rsid w:val="346B8E27"/>
    <w:rsid w:val="347B5F3A"/>
    <w:rsid w:val="3585EEB2"/>
    <w:rsid w:val="35FAD078"/>
    <w:rsid w:val="361CD9BD"/>
    <w:rsid w:val="36D95E24"/>
    <w:rsid w:val="3702FA20"/>
    <w:rsid w:val="370A5197"/>
    <w:rsid w:val="370C920B"/>
    <w:rsid w:val="373EB01E"/>
    <w:rsid w:val="374454F7"/>
    <w:rsid w:val="375CB03D"/>
    <w:rsid w:val="3796A0D9"/>
    <w:rsid w:val="380706B4"/>
    <w:rsid w:val="381E2C54"/>
    <w:rsid w:val="38511E5C"/>
    <w:rsid w:val="38853F1B"/>
    <w:rsid w:val="3898885B"/>
    <w:rsid w:val="38F86D14"/>
    <w:rsid w:val="39838890"/>
    <w:rsid w:val="39906891"/>
    <w:rsid w:val="39C1D2F5"/>
    <w:rsid w:val="39ECEEBD"/>
    <w:rsid w:val="3A2F0715"/>
    <w:rsid w:val="3A7BF5B9"/>
    <w:rsid w:val="3ACFFD6B"/>
    <w:rsid w:val="3AE4DC4A"/>
    <w:rsid w:val="3AEC7ECC"/>
    <w:rsid w:val="3B1F58F1"/>
    <w:rsid w:val="3B2C357F"/>
    <w:rsid w:val="3B99E90F"/>
    <w:rsid w:val="3BB7E6A7"/>
    <w:rsid w:val="3C055EF0"/>
    <w:rsid w:val="3C5F23B2"/>
    <w:rsid w:val="3C699EFB"/>
    <w:rsid w:val="3CBB2952"/>
    <w:rsid w:val="3EC05FE0"/>
    <w:rsid w:val="3EC4C374"/>
    <w:rsid w:val="3F3871E9"/>
    <w:rsid w:val="3F5C742E"/>
    <w:rsid w:val="3FA36E8E"/>
    <w:rsid w:val="3FD14951"/>
    <w:rsid w:val="3FD747CC"/>
    <w:rsid w:val="401E9FD7"/>
    <w:rsid w:val="40704E62"/>
    <w:rsid w:val="415A7DEA"/>
    <w:rsid w:val="42B2DB62"/>
    <w:rsid w:val="42BA87CC"/>
    <w:rsid w:val="42D5FBBE"/>
    <w:rsid w:val="42E4255A"/>
    <w:rsid w:val="4388CBD8"/>
    <w:rsid w:val="44194302"/>
    <w:rsid w:val="445EC459"/>
    <w:rsid w:val="45FA94BA"/>
    <w:rsid w:val="45FE3CDC"/>
    <w:rsid w:val="461F890B"/>
    <w:rsid w:val="4644BF16"/>
    <w:rsid w:val="464855D0"/>
    <w:rsid w:val="46A31841"/>
    <w:rsid w:val="47439911"/>
    <w:rsid w:val="47961947"/>
    <w:rsid w:val="483EE8A2"/>
    <w:rsid w:val="487D1084"/>
    <w:rsid w:val="49CDFB68"/>
    <w:rsid w:val="4A17BD21"/>
    <w:rsid w:val="4A5D344B"/>
    <w:rsid w:val="4B242D0C"/>
    <w:rsid w:val="4B35E10C"/>
    <w:rsid w:val="4BAB747A"/>
    <w:rsid w:val="4D068D8E"/>
    <w:rsid w:val="4D0EEF4F"/>
    <w:rsid w:val="4D311781"/>
    <w:rsid w:val="4D53CAC0"/>
    <w:rsid w:val="4D944FBC"/>
    <w:rsid w:val="4DB30529"/>
    <w:rsid w:val="4E23F3AD"/>
    <w:rsid w:val="4F54BA38"/>
    <w:rsid w:val="500994A1"/>
    <w:rsid w:val="507A4191"/>
    <w:rsid w:val="5136D910"/>
    <w:rsid w:val="513D4761"/>
    <w:rsid w:val="5191C587"/>
    <w:rsid w:val="51A0B2C5"/>
    <w:rsid w:val="521611F2"/>
    <w:rsid w:val="523CD648"/>
    <w:rsid w:val="52C1833B"/>
    <w:rsid w:val="52F9E8F3"/>
    <w:rsid w:val="530F9831"/>
    <w:rsid w:val="53E62402"/>
    <w:rsid w:val="54221C19"/>
    <w:rsid w:val="5449DBED"/>
    <w:rsid w:val="545D6B22"/>
    <w:rsid w:val="54C0A861"/>
    <w:rsid w:val="54FB00EA"/>
    <w:rsid w:val="54FDAEA6"/>
    <w:rsid w:val="55766820"/>
    <w:rsid w:val="55767AB0"/>
    <w:rsid w:val="55959CCE"/>
    <w:rsid w:val="55C57853"/>
    <w:rsid w:val="55E18E21"/>
    <w:rsid w:val="55FE5E7E"/>
    <w:rsid w:val="5618A60A"/>
    <w:rsid w:val="5620DF9A"/>
    <w:rsid w:val="562D7D0F"/>
    <w:rsid w:val="563F6FA0"/>
    <w:rsid w:val="571DC4C4"/>
    <w:rsid w:val="573A8E7F"/>
    <w:rsid w:val="5752C9F8"/>
    <w:rsid w:val="5755064A"/>
    <w:rsid w:val="577ED1DE"/>
    <w:rsid w:val="5888235F"/>
    <w:rsid w:val="58A7B716"/>
    <w:rsid w:val="58E65A7F"/>
    <w:rsid w:val="58E72673"/>
    <w:rsid w:val="5990431C"/>
    <w:rsid w:val="5A556586"/>
    <w:rsid w:val="5A859AD2"/>
    <w:rsid w:val="5B340B60"/>
    <w:rsid w:val="5B74EFE4"/>
    <w:rsid w:val="5BA1448C"/>
    <w:rsid w:val="5BF135E7"/>
    <w:rsid w:val="5BF7CAAF"/>
    <w:rsid w:val="5C6C7306"/>
    <w:rsid w:val="5D141996"/>
    <w:rsid w:val="5D5828A1"/>
    <w:rsid w:val="5D669F08"/>
    <w:rsid w:val="5D6766F7"/>
    <w:rsid w:val="5D7608FA"/>
    <w:rsid w:val="5DB69CEB"/>
    <w:rsid w:val="5DBE1D7E"/>
    <w:rsid w:val="5DE1934C"/>
    <w:rsid w:val="5E031825"/>
    <w:rsid w:val="5E23B7EF"/>
    <w:rsid w:val="5E2F0747"/>
    <w:rsid w:val="5E4BBCFD"/>
    <w:rsid w:val="5E6DC955"/>
    <w:rsid w:val="5E7707D3"/>
    <w:rsid w:val="5E7CE820"/>
    <w:rsid w:val="5EA398F5"/>
    <w:rsid w:val="5F72A75E"/>
    <w:rsid w:val="5FE7E878"/>
    <w:rsid w:val="5FF77DF1"/>
    <w:rsid w:val="6058C6D7"/>
    <w:rsid w:val="605F9C33"/>
    <w:rsid w:val="6064A161"/>
    <w:rsid w:val="606CD288"/>
    <w:rsid w:val="607705F7"/>
    <w:rsid w:val="60ADA9BC"/>
    <w:rsid w:val="60C7658C"/>
    <w:rsid w:val="615B58B1"/>
    <w:rsid w:val="622CF8BC"/>
    <w:rsid w:val="62BDD152"/>
    <w:rsid w:val="630C8EA7"/>
    <w:rsid w:val="63297629"/>
    <w:rsid w:val="6360ABFB"/>
    <w:rsid w:val="63770A18"/>
    <w:rsid w:val="6384F57C"/>
    <w:rsid w:val="639C4223"/>
    <w:rsid w:val="6417F449"/>
    <w:rsid w:val="64393A86"/>
    <w:rsid w:val="646D2D12"/>
    <w:rsid w:val="647259A9"/>
    <w:rsid w:val="647784EB"/>
    <w:rsid w:val="64883880"/>
    <w:rsid w:val="648D7D43"/>
    <w:rsid w:val="64C6D069"/>
    <w:rsid w:val="64D5B31C"/>
    <w:rsid w:val="6512DA79"/>
    <w:rsid w:val="655FBDC9"/>
    <w:rsid w:val="6564997E"/>
    <w:rsid w:val="65D50AE7"/>
    <w:rsid w:val="65F52F9A"/>
    <w:rsid w:val="6613554C"/>
    <w:rsid w:val="6639352F"/>
    <w:rsid w:val="66825360"/>
    <w:rsid w:val="66BF5D3B"/>
    <w:rsid w:val="67144858"/>
    <w:rsid w:val="67614992"/>
    <w:rsid w:val="6790FFFB"/>
    <w:rsid w:val="687A5DC7"/>
    <w:rsid w:val="687AF287"/>
    <w:rsid w:val="68C732A6"/>
    <w:rsid w:val="69148252"/>
    <w:rsid w:val="692467B6"/>
    <w:rsid w:val="694AF60E"/>
    <w:rsid w:val="69A34828"/>
    <w:rsid w:val="69E64B9C"/>
    <w:rsid w:val="6A0518D2"/>
    <w:rsid w:val="6A108581"/>
    <w:rsid w:val="6B27E5BD"/>
    <w:rsid w:val="6B306DA9"/>
    <w:rsid w:val="6B4BE885"/>
    <w:rsid w:val="6BDA9D53"/>
    <w:rsid w:val="6C2AED03"/>
    <w:rsid w:val="6CC1D0B9"/>
    <w:rsid w:val="6CF5823C"/>
    <w:rsid w:val="6D4366B6"/>
    <w:rsid w:val="6D550150"/>
    <w:rsid w:val="6D56DA58"/>
    <w:rsid w:val="6D5FBF7E"/>
    <w:rsid w:val="6DDF8ECD"/>
    <w:rsid w:val="6E67487A"/>
    <w:rsid w:val="6E6ACEE5"/>
    <w:rsid w:val="6EA11B0A"/>
    <w:rsid w:val="6F34B7C7"/>
    <w:rsid w:val="6FB87E6C"/>
    <w:rsid w:val="700318DB"/>
    <w:rsid w:val="7080C807"/>
    <w:rsid w:val="70B046B0"/>
    <w:rsid w:val="71604C3C"/>
    <w:rsid w:val="719729C8"/>
    <w:rsid w:val="719EE93C"/>
    <w:rsid w:val="722F724B"/>
    <w:rsid w:val="72CE61B6"/>
    <w:rsid w:val="734B9B60"/>
    <w:rsid w:val="739DA724"/>
    <w:rsid w:val="73C0633E"/>
    <w:rsid w:val="743BF9B4"/>
    <w:rsid w:val="747838DC"/>
    <w:rsid w:val="7497ECFE"/>
    <w:rsid w:val="74D16549"/>
    <w:rsid w:val="75188713"/>
    <w:rsid w:val="7546EAD8"/>
    <w:rsid w:val="76632C49"/>
    <w:rsid w:val="767FCC0C"/>
    <w:rsid w:val="76ABEBE5"/>
    <w:rsid w:val="76BE055A"/>
    <w:rsid w:val="76ECFD07"/>
    <w:rsid w:val="776DA65B"/>
    <w:rsid w:val="77821331"/>
    <w:rsid w:val="77879AE6"/>
    <w:rsid w:val="77C4A145"/>
    <w:rsid w:val="780F981E"/>
    <w:rsid w:val="785C4DFF"/>
    <w:rsid w:val="78DDBF9E"/>
    <w:rsid w:val="791F2E67"/>
    <w:rsid w:val="794DE837"/>
    <w:rsid w:val="79A6EF0B"/>
    <w:rsid w:val="79CD8414"/>
    <w:rsid w:val="7A23B09A"/>
    <w:rsid w:val="7A689017"/>
    <w:rsid w:val="7AB8DBBC"/>
    <w:rsid w:val="7AD709FC"/>
    <w:rsid w:val="7AD76889"/>
    <w:rsid w:val="7ADC581B"/>
    <w:rsid w:val="7B26B9CE"/>
    <w:rsid w:val="7B332839"/>
    <w:rsid w:val="7B7F1D77"/>
    <w:rsid w:val="7B987CAD"/>
    <w:rsid w:val="7BD784CF"/>
    <w:rsid w:val="7BE465C4"/>
    <w:rsid w:val="7C2BDAB0"/>
    <w:rsid w:val="7CD639DB"/>
    <w:rsid w:val="7E47510B"/>
    <w:rsid w:val="7E720A3C"/>
    <w:rsid w:val="7F0DC76C"/>
    <w:rsid w:val="7F90A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D6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73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114"/>
    <w:pPr>
      <w:suppressAutoHyphens w:val="0"/>
      <w:spacing w:before="0" w:after="0" w:line="256" w:lineRule="auto"/>
      <w:jc w:val="center"/>
      <w:outlineLvl w:val="0"/>
    </w:pPr>
    <w:rPr>
      <w:b/>
      <w:color w:val="auto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C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FA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6C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FA"/>
    <w:rPr>
      <w:color w:val="44546A" w:themeColor="text2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44546A" w:themeColor="text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80"/>
    <w:rPr>
      <w:b/>
      <w:bCs/>
      <w:color w:val="44546A" w:themeColor="text2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AD79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B5011"/>
    <w:pPr>
      <w:spacing w:after="0" w:line="240" w:lineRule="auto"/>
    </w:pPr>
    <w:rPr>
      <w:color w:val="44546A" w:themeColor="text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2311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2ECD-F594-4C10-B0C3-90D5EA47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5816</Characters>
  <Application>Microsoft Office Word</Application>
  <DocSecurity>0</DocSecurity>
  <Lines>234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2024-02-20T04:23:00Z</dcterms:created>
  <dcterms:modified xsi:type="dcterms:W3CDTF">2024-02-20T04:23:00Z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</Properties>
</file>