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65C5B4" w:themeColor="accent1"/>
  <w:body>
    <w:p w14:paraId="21757630" w14:textId="77777777" w:rsidR="00FE6F2A" w:rsidRPr="00433F80" w:rsidRDefault="00FE6F2A" w:rsidP="005E6171">
      <w:pPr>
        <w:pStyle w:val="SpacebeforeTitle"/>
        <w:spacing w:line="360" w:lineRule="auto"/>
        <w:rPr>
          <w:color w:val="auto"/>
          <w:lang w:val="en-AU"/>
        </w:rPr>
      </w:pPr>
    </w:p>
    <w:p w14:paraId="3243C16A" w14:textId="673D81E6" w:rsidR="00C231FF" w:rsidRPr="00433F80" w:rsidRDefault="00B622F2" w:rsidP="005E6171">
      <w:pPr>
        <w:pStyle w:val="Heading1"/>
        <w:spacing w:line="360" w:lineRule="auto"/>
        <w:rPr>
          <w:color w:val="auto"/>
          <w:sz w:val="36"/>
          <w:szCs w:val="36"/>
          <w:lang w:val="en-AU"/>
        </w:rPr>
      </w:pPr>
      <w:bookmarkStart w:id="0" w:name="_Toc414445534"/>
      <w:bookmarkStart w:id="1" w:name="_Toc401147273"/>
      <w:r w:rsidRPr="00433F80">
        <w:rPr>
          <w:color w:val="auto"/>
          <w:sz w:val="36"/>
          <w:szCs w:val="36"/>
          <w:lang w:val="en-AU"/>
        </w:rPr>
        <w:t>pa</w:t>
      </w:r>
      <w:r w:rsidR="008A2ECD" w:rsidRPr="00433F80">
        <w:rPr>
          <w:color w:val="auto"/>
          <w:sz w:val="36"/>
          <w:szCs w:val="36"/>
          <w:lang w:val="en-AU"/>
        </w:rPr>
        <w:t xml:space="preserve">rtner-led design - </w:t>
      </w:r>
      <w:r w:rsidR="00C231FF" w:rsidRPr="00433F80">
        <w:rPr>
          <w:color w:val="auto"/>
          <w:sz w:val="36"/>
          <w:szCs w:val="36"/>
          <w:lang w:val="en-AU"/>
        </w:rPr>
        <w:t xml:space="preserve">Investment Design Summary </w:t>
      </w:r>
      <w:bookmarkEnd w:id="0"/>
      <w:bookmarkEnd w:id="1"/>
    </w:p>
    <w:p w14:paraId="30188C7E" w14:textId="56BE1571" w:rsidR="00431826" w:rsidRPr="00433F80" w:rsidRDefault="002D4DE7" w:rsidP="005E6171">
      <w:pPr>
        <w:pStyle w:val="BodyText"/>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spacing w:line="360" w:lineRule="auto"/>
        <w:rPr>
          <w:color w:val="auto"/>
          <w:lang w:val="en-AU"/>
        </w:rPr>
      </w:pPr>
      <w:r w:rsidRPr="00433F80">
        <w:rPr>
          <w:b/>
          <w:color w:val="auto"/>
          <w:lang w:val="en-AU"/>
        </w:rPr>
        <w:t>Investment Design Title:</w:t>
      </w:r>
      <w:r w:rsidRPr="00433F80">
        <w:rPr>
          <w:b/>
          <w:color w:val="auto"/>
          <w:lang w:val="en-AU"/>
        </w:rPr>
        <w:tab/>
      </w:r>
      <w:r w:rsidR="00E21FBE" w:rsidRPr="00433F80">
        <w:rPr>
          <w:b/>
          <w:color w:val="auto"/>
          <w:lang w:val="en-AU"/>
        </w:rPr>
        <w:t xml:space="preserve"> </w:t>
      </w:r>
      <w:bookmarkStart w:id="2" w:name="_Hlk57124660"/>
      <w:r w:rsidR="00D65911" w:rsidRPr="00433F80">
        <w:rPr>
          <w:color w:val="auto"/>
          <w:lang w:val="en-AU"/>
        </w:rPr>
        <w:t xml:space="preserve">Australia-World Bank </w:t>
      </w:r>
      <w:r w:rsidR="00721E70" w:rsidRPr="00433F80">
        <w:rPr>
          <w:color w:val="auto"/>
          <w:lang w:val="en-AU"/>
        </w:rPr>
        <w:t>Partnership for Promoting Inclusion, Sustainability and Equality in Cambodia</w:t>
      </w:r>
      <w:r w:rsidR="00721E70" w:rsidRPr="00433F80" w:rsidDel="00721E70">
        <w:rPr>
          <w:color w:val="auto"/>
          <w:lang w:val="en-AU"/>
        </w:rPr>
        <w:t xml:space="preserve"> </w:t>
      </w:r>
      <w:bookmarkEnd w:id="2"/>
      <w:r w:rsidR="00C80103" w:rsidRPr="00433F80">
        <w:rPr>
          <w:color w:val="auto"/>
          <w:lang w:val="en-AU"/>
        </w:rPr>
        <w:t>(the PROMISE Partnership)</w:t>
      </w:r>
    </w:p>
    <w:p w14:paraId="0DC24901" w14:textId="77777777" w:rsidR="00237DD9" w:rsidRDefault="002D4DE7" w:rsidP="005E6171">
      <w:pPr>
        <w:pStyle w:val="BodyText"/>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spacing w:line="360" w:lineRule="auto"/>
        <w:rPr>
          <w:b/>
          <w:color w:val="auto"/>
          <w:lang w:val="en-AU"/>
        </w:rPr>
      </w:pPr>
      <w:r w:rsidRPr="00433F80">
        <w:rPr>
          <w:b/>
          <w:color w:val="auto"/>
          <w:lang w:val="en-AU"/>
        </w:rPr>
        <w:t>Start date:</w:t>
      </w:r>
      <w:r w:rsidR="00E21FBE" w:rsidRPr="00433F80">
        <w:rPr>
          <w:b/>
          <w:color w:val="auto"/>
          <w:lang w:val="en-AU"/>
        </w:rPr>
        <w:t xml:space="preserve"> </w:t>
      </w:r>
      <w:r w:rsidR="00E21FBE" w:rsidRPr="00433F80">
        <w:rPr>
          <w:color w:val="auto"/>
          <w:lang w:val="en-AU"/>
        </w:rPr>
        <w:t>January 2021</w:t>
      </w:r>
      <w:r w:rsidR="002E080B" w:rsidRPr="00433F80">
        <w:rPr>
          <w:color w:val="auto"/>
          <w:lang w:val="en-AU"/>
        </w:rPr>
        <w:tab/>
      </w:r>
      <w:r w:rsidR="002E080B" w:rsidRPr="00433F80">
        <w:rPr>
          <w:color w:val="auto"/>
          <w:lang w:val="en-AU"/>
        </w:rPr>
        <w:tab/>
      </w:r>
      <w:r w:rsidR="002E080B" w:rsidRPr="00433F80">
        <w:rPr>
          <w:color w:val="auto"/>
          <w:lang w:val="en-AU"/>
        </w:rPr>
        <w:tab/>
      </w:r>
      <w:r w:rsidRPr="00433F80">
        <w:rPr>
          <w:b/>
          <w:color w:val="auto"/>
          <w:lang w:val="en-AU"/>
        </w:rPr>
        <w:tab/>
      </w:r>
      <w:r w:rsidRPr="00433F80">
        <w:rPr>
          <w:b/>
          <w:color w:val="auto"/>
          <w:lang w:val="en-AU"/>
        </w:rPr>
        <w:tab/>
      </w:r>
      <w:r w:rsidRPr="00433F80">
        <w:rPr>
          <w:b/>
          <w:color w:val="auto"/>
          <w:lang w:val="en-AU"/>
        </w:rPr>
        <w:tab/>
      </w:r>
      <w:r w:rsidRPr="00433F80">
        <w:rPr>
          <w:b/>
          <w:color w:val="auto"/>
          <w:lang w:val="en-AU"/>
        </w:rPr>
        <w:tab/>
      </w:r>
    </w:p>
    <w:p w14:paraId="1EAE9631" w14:textId="272D3E78" w:rsidR="002D4DE7" w:rsidRPr="00433F80" w:rsidRDefault="002D4DE7" w:rsidP="005E6171">
      <w:pPr>
        <w:pStyle w:val="BodyText"/>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spacing w:line="360" w:lineRule="auto"/>
        <w:rPr>
          <w:b/>
          <w:color w:val="auto"/>
          <w:lang w:val="en-AU"/>
        </w:rPr>
      </w:pPr>
      <w:r w:rsidRPr="00433F80">
        <w:rPr>
          <w:b/>
          <w:color w:val="auto"/>
          <w:lang w:val="en-AU"/>
        </w:rPr>
        <w:t xml:space="preserve">End date: </w:t>
      </w:r>
      <w:r w:rsidR="00E21FBE" w:rsidRPr="00433F80">
        <w:rPr>
          <w:b/>
          <w:color w:val="auto"/>
          <w:lang w:val="en-AU"/>
        </w:rPr>
        <w:t xml:space="preserve"> </w:t>
      </w:r>
      <w:r w:rsidR="00E21FBE" w:rsidRPr="00433F80">
        <w:rPr>
          <w:color w:val="auto"/>
          <w:lang w:val="en-AU"/>
        </w:rPr>
        <w:t>December 2025</w:t>
      </w:r>
      <w:r w:rsidRPr="00433F80">
        <w:rPr>
          <w:b/>
          <w:color w:val="auto"/>
          <w:lang w:val="en-AU"/>
        </w:rPr>
        <w:tab/>
      </w:r>
    </w:p>
    <w:p w14:paraId="7ACBE057" w14:textId="55497F18" w:rsidR="00E21FBE" w:rsidRPr="00433F80" w:rsidRDefault="002D4DE7" w:rsidP="005E6171">
      <w:pPr>
        <w:pStyle w:val="BodyText"/>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spacing w:line="360" w:lineRule="auto"/>
        <w:rPr>
          <w:color w:val="auto"/>
          <w:lang w:val="en-AU"/>
        </w:rPr>
      </w:pPr>
      <w:r w:rsidRPr="00433F80">
        <w:rPr>
          <w:b/>
          <w:color w:val="auto"/>
          <w:lang w:val="en-AU"/>
        </w:rPr>
        <w:t xml:space="preserve">Total proposed DFAT funding: </w:t>
      </w:r>
      <w:r w:rsidRPr="00433F80">
        <w:rPr>
          <w:color w:val="auto"/>
          <w:lang w:val="en-AU"/>
        </w:rPr>
        <w:t>AUD</w:t>
      </w:r>
      <w:r w:rsidR="00E21FBE" w:rsidRPr="00433F80">
        <w:rPr>
          <w:color w:val="auto"/>
          <w:lang w:val="en-AU"/>
        </w:rPr>
        <w:t xml:space="preserve">50 million </w:t>
      </w:r>
      <w:r w:rsidR="00096682" w:rsidRPr="00433F80">
        <w:rPr>
          <w:color w:val="auto"/>
          <w:lang w:val="en-AU"/>
        </w:rPr>
        <w:t xml:space="preserve">(with option to extend for five years and up to </w:t>
      </w:r>
      <w:r w:rsidR="0037779A" w:rsidRPr="00433F80">
        <w:rPr>
          <w:color w:val="auto"/>
          <w:lang w:val="en-AU"/>
        </w:rPr>
        <w:t>AUD</w:t>
      </w:r>
      <w:r w:rsidR="00096682" w:rsidRPr="00433F80">
        <w:rPr>
          <w:color w:val="auto"/>
          <w:lang w:val="en-AU"/>
        </w:rPr>
        <w:t>90</w:t>
      </w:r>
      <w:r w:rsidR="0037779A" w:rsidRPr="00433F80">
        <w:rPr>
          <w:color w:val="auto"/>
          <w:lang w:val="en-AU"/>
        </w:rPr>
        <w:t xml:space="preserve"> </w:t>
      </w:r>
      <w:r w:rsidR="00096682" w:rsidRPr="00433F80">
        <w:rPr>
          <w:color w:val="auto"/>
          <w:lang w:val="en-AU"/>
        </w:rPr>
        <w:t>m</w:t>
      </w:r>
      <w:r w:rsidR="0037779A" w:rsidRPr="00433F80">
        <w:rPr>
          <w:color w:val="auto"/>
          <w:lang w:val="en-AU"/>
        </w:rPr>
        <w:t>illion</w:t>
      </w:r>
      <w:r w:rsidR="00096682" w:rsidRPr="00433F80">
        <w:rPr>
          <w:color w:val="auto"/>
          <w:lang w:val="en-AU"/>
        </w:rPr>
        <w:t>)</w:t>
      </w:r>
    </w:p>
    <w:p w14:paraId="2AC4A23B" w14:textId="7F9D9CE6" w:rsidR="002D4DE7" w:rsidRPr="00433F80" w:rsidRDefault="002D4DE7" w:rsidP="005E6171">
      <w:pPr>
        <w:pStyle w:val="BodyText"/>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spacing w:line="360" w:lineRule="auto"/>
        <w:rPr>
          <w:color w:val="auto"/>
          <w:lang w:val="en-AU"/>
        </w:rPr>
      </w:pPr>
      <w:r w:rsidRPr="00433F80">
        <w:rPr>
          <w:b/>
          <w:color w:val="auto"/>
          <w:lang w:val="en-AU"/>
        </w:rPr>
        <w:t xml:space="preserve">Total proposed funding from all donor/s: </w:t>
      </w:r>
      <w:r w:rsidR="004E35EB" w:rsidRPr="00433F80">
        <w:rPr>
          <w:color w:val="auto"/>
          <w:lang w:val="en-AU"/>
        </w:rPr>
        <w:t xml:space="preserve">None </w:t>
      </w:r>
      <w:r w:rsidR="00270794" w:rsidRPr="00433F80">
        <w:rPr>
          <w:color w:val="auto"/>
          <w:lang w:val="en-AU"/>
        </w:rPr>
        <w:t>to the Partnership</w:t>
      </w:r>
      <w:r w:rsidR="004E35EB" w:rsidRPr="00433F80">
        <w:rPr>
          <w:color w:val="auto"/>
          <w:lang w:val="en-AU"/>
        </w:rPr>
        <w:t xml:space="preserve">, but at least USD40 </w:t>
      </w:r>
      <w:r w:rsidR="00E21FBE" w:rsidRPr="00433F80">
        <w:rPr>
          <w:color w:val="auto"/>
          <w:lang w:val="en-AU"/>
        </w:rPr>
        <w:t xml:space="preserve">million </w:t>
      </w:r>
      <w:r w:rsidR="004E35EB" w:rsidRPr="00433F80">
        <w:rPr>
          <w:color w:val="auto"/>
          <w:lang w:val="en-AU"/>
        </w:rPr>
        <w:t xml:space="preserve">in co-contributions are anticipated </w:t>
      </w:r>
      <w:r w:rsidR="003E2092" w:rsidRPr="00433F80">
        <w:rPr>
          <w:color w:val="auto"/>
          <w:lang w:val="en-AU"/>
        </w:rPr>
        <w:t xml:space="preserve">(from Germany, Korea, Switzerland) </w:t>
      </w:r>
      <w:r w:rsidR="00096682" w:rsidRPr="00433F80">
        <w:rPr>
          <w:color w:val="auto"/>
          <w:lang w:val="en-AU"/>
        </w:rPr>
        <w:t xml:space="preserve">plus Cambodian Government contributions and IDA loans </w:t>
      </w:r>
      <w:r w:rsidR="004E35EB" w:rsidRPr="00433F80">
        <w:rPr>
          <w:color w:val="auto"/>
          <w:lang w:val="en-AU"/>
        </w:rPr>
        <w:t xml:space="preserve">for two </w:t>
      </w:r>
      <w:r w:rsidR="00096682" w:rsidRPr="00433F80">
        <w:rPr>
          <w:color w:val="auto"/>
          <w:lang w:val="en-AU"/>
        </w:rPr>
        <w:t xml:space="preserve">major </w:t>
      </w:r>
      <w:r w:rsidR="004E35EB" w:rsidRPr="00433F80">
        <w:rPr>
          <w:color w:val="auto"/>
          <w:lang w:val="en-AU"/>
        </w:rPr>
        <w:t>multi-donor projects</w:t>
      </w:r>
      <w:r w:rsidR="00096682" w:rsidRPr="00433F80">
        <w:rPr>
          <w:color w:val="auto"/>
          <w:lang w:val="en-AU"/>
        </w:rPr>
        <w:t xml:space="preserve"> funded under the partnership</w:t>
      </w:r>
      <w:r w:rsidR="00270794" w:rsidRPr="00433F80">
        <w:rPr>
          <w:color w:val="auto"/>
          <w:lang w:val="en-AU"/>
        </w:rPr>
        <w:t>.</w:t>
      </w:r>
      <w:r w:rsidR="004E35EB" w:rsidRPr="00433F80">
        <w:rPr>
          <w:color w:val="auto"/>
          <w:lang w:val="en-AU"/>
        </w:rPr>
        <w:t xml:space="preserve"> </w:t>
      </w:r>
    </w:p>
    <w:p w14:paraId="0C1688ED" w14:textId="77777777" w:rsidR="00237DD9" w:rsidRDefault="002D4DE7" w:rsidP="005E6171">
      <w:pPr>
        <w:pStyle w:val="BodyText"/>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spacing w:line="360" w:lineRule="auto"/>
        <w:rPr>
          <w:rFonts w:cs="Arial"/>
          <w:b/>
          <w:color w:val="auto"/>
          <w:sz w:val="21"/>
          <w:szCs w:val="21"/>
          <w:lang w:val="en-AU"/>
        </w:rPr>
      </w:pPr>
      <w:r w:rsidRPr="00433F80">
        <w:rPr>
          <w:rFonts w:cs="Arial"/>
          <w:b/>
          <w:color w:val="auto"/>
          <w:sz w:val="21"/>
          <w:szCs w:val="21"/>
          <w:lang w:val="en-AU"/>
        </w:rPr>
        <w:t xml:space="preserve">Current program fund annual allocation: </w:t>
      </w:r>
      <w:r w:rsidRPr="00433F80">
        <w:rPr>
          <w:rFonts w:cs="Arial"/>
          <w:color w:val="auto"/>
          <w:sz w:val="21"/>
          <w:szCs w:val="21"/>
          <w:lang w:val="en-AU"/>
        </w:rPr>
        <w:t>AUD</w:t>
      </w:r>
      <w:r w:rsidR="00040CE8" w:rsidRPr="00433F80">
        <w:rPr>
          <w:rFonts w:cs="Arial"/>
          <w:color w:val="auto"/>
          <w:sz w:val="21"/>
          <w:szCs w:val="21"/>
          <w:lang w:val="en-AU"/>
        </w:rPr>
        <w:t>4</w:t>
      </w:r>
      <w:r w:rsidR="00762B24" w:rsidRPr="00433F80">
        <w:rPr>
          <w:rFonts w:cs="Arial"/>
          <w:color w:val="auto"/>
          <w:sz w:val="21"/>
          <w:szCs w:val="21"/>
          <w:lang w:val="en-AU"/>
        </w:rPr>
        <w:t>3</w:t>
      </w:r>
      <w:r w:rsidR="00040CE8" w:rsidRPr="00433F80">
        <w:rPr>
          <w:rFonts w:cs="Arial"/>
          <w:color w:val="auto"/>
          <w:sz w:val="21"/>
          <w:szCs w:val="21"/>
          <w:lang w:val="en-AU"/>
        </w:rPr>
        <w:t>.</w:t>
      </w:r>
      <w:r w:rsidR="00762B24" w:rsidRPr="00433F80">
        <w:rPr>
          <w:rFonts w:cs="Arial"/>
          <w:color w:val="auto"/>
          <w:sz w:val="21"/>
          <w:szCs w:val="21"/>
          <w:lang w:val="en-AU"/>
        </w:rPr>
        <w:t>4</w:t>
      </w:r>
      <w:r w:rsidR="005B4236" w:rsidRPr="00433F80">
        <w:rPr>
          <w:rFonts w:cs="Arial"/>
          <w:color w:val="auto"/>
          <w:sz w:val="21"/>
          <w:szCs w:val="21"/>
          <w:lang w:val="en-AU"/>
        </w:rPr>
        <w:t xml:space="preserve"> million</w:t>
      </w:r>
      <w:r w:rsidRPr="00433F80">
        <w:rPr>
          <w:rFonts w:cs="Arial"/>
          <w:b/>
          <w:color w:val="auto"/>
          <w:sz w:val="21"/>
          <w:szCs w:val="21"/>
          <w:lang w:val="en-AU"/>
        </w:rPr>
        <w:tab/>
      </w:r>
      <w:r w:rsidRPr="00433F80">
        <w:rPr>
          <w:rFonts w:cs="Arial"/>
          <w:b/>
          <w:color w:val="auto"/>
          <w:sz w:val="21"/>
          <w:szCs w:val="21"/>
          <w:lang w:val="en-AU"/>
        </w:rPr>
        <w:tab/>
      </w:r>
    </w:p>
    <w:p w14:paraId="54906F66" w14:textId="717762CF" w:rsidR="002D4DE7" w:rsidRPr="00433F80" w:rsidRDefault="002D4DE7" w:rsidP="005E6171">
      <w:pPr>
        <w:pStyle w:val="BodyText"/>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spacing w:line="360" w:lineRule="auto"/>
        <w:rPr>
          <w:color w:val="auto"/>
          <w:sz w:val="21"/>
          <w:szCs w:val="21"/>
          <w:lang w:val="en-AU"/>
        </w:rPr>
      </w:pPr>
      <w:proofErr w:type="spellStart"/>
      <w:r w:rsidRPr="00433F80">
        <w:rPr>
          <w:b/>
          <w:color w:val="auto"/>
          <w:sz w:val="21"/>
          <w:szCs w:val="21"/>
          <w:lang w:val="en-AU"/>
        </w:rPr>
        <w:t>AidWorks</w:t>
      </w:r>
      <w:proofErr w:type="spellEnd"/>
      <w:r w:rsidRPr="00433F80">
        <w:rPr>
          <w:b/>
          <w:color w:val="auto"/>
          <w:sz w:val="21"/>
          <w:szCs w:val="21"/>
          <w:lang w:val="en-AU"/>
        </w:rPr>
        <w:t xml:space="preserve"> investment </w:t>
      </w:r>
      <w:r w:rsidRPr="00433F80">
        <w:rPr>
          <w:b/>
          <w:color w:val="auto"/>
          <w:lang w:val="en-AU"/>
        </w:rPr>
        <w:t>number:</w:t>
      </w:r>
      <w:r w:rsidR="005B4236" w:rsidRPr="00433F80">
        <w:rPr>
          <w:b/>
          <w:color w:val="auto"/>
          <w:lang w:val="en-AU"/>
        </w:rPr>
        <w:t xml:space="preserve"> </w:t>
      </w:r>
      <w:r w:rsidR="005B4236" w:rsidRPr="00433F80">
        <w:rPr>
          <w:color w:val="auto"/>
          <w:lang w:val="en-AU"/>
        </w:rPr>
        <w:t>INN072</w:t>
      </w:r>
    </w:p>
    <w:p w14:paraId="440E7E36" w14:textId="725BA523" w:rsidR="002D4DE7" w:rsidRPr="00433F80" w:rsidRDefault="00E66A2A" w:rsidP="005E6171">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spacing w:line="360" w:lineRule="auto"/>
        <w:rPr>
          <w:color w:val="auto"/>
          <w:sz w:val="21"/>
          <w:szCs w:val="21"/>
          <w:lang w:val="en-AU"/>
        </w:rPr>
      </w:pPr>
      <w:r w:rsidRPr="00433F80">
        <w:rPr>
          <w:b/>
          <w:color w:val="auto"/>
          <w:sz w:val="21"/>
          <w:szCs w:val="21"/>
          <w:lang w:val="en-AU"/>
        </w:rPr>
        <w:t>Overall Risk Profile</w:t>
      </w:r>
      <w:r w:rsidRPr="00433F80">
        <w:rPr>
          <w:color w:val="auto"/>
          <w:sz w:val="21"/>
          <w:szCs w:val="21"/>
          <w:lang w:val="en-AU"/>
        </w:rPr>
        <w:t xml:space="preserve">: </w:t>
      </w:r>
      <w:r w:rsidR="005B4236" w:rsidRPr="00433F80">
        <w:rPr>
          <w:color w:val="auto"/>
          <w:sz w:val="21"/>
          <w:szCs w:val="21"/>
          <w:lang w:val="en-AU"/>
        </w:rPr>
        <w:t>Medium</w:t>
      </w:r>
      <w:r w:rsidRPr="00433F80">
        <w:rPr>
          <w:b/>
          <w:color w:val="auto"/>
          <w:sz w:val="21"/>
          <w:szCs w:val="21"/>
          <w:lang w:val="en-AU"/>
        </w:rPr>
        <w:t xml:space="preserve">    </w:t>
      </w:r>
      <w:r w:rsidR="005B4236" w:rsidRPr="00433F80">
        <w:rPr>
          <w:b/>
          <w:color w:val="auto"/>
          <w:sz w:val="21"/>
          <w:szCs w:val="21"/>
          <w:lang w:val="en-AU"/>
        </w:rPr>
        <w:tab/>
      </w:r>
      <w:r w:rsidR="0092239F" w:rsidRPr="00433F80">
        <w:rPr>
          <w:b/>
          <w:color w:val="auto"/>
          <w:sz w:val="21"/>
          <w:szCs w:val="21"/>
          <w:lang w:val="en-AU"/>
        </w:rPr>
        <w:tab/>
      </w:r>
      <w:r w:rsidRPr="00433F80">
        <w:rPr>
          <w:b/>
          <w:color w:val="auto"/>
          <w:sz w:val="21"/>
          <w:szCs w:val="21"/>
          <w:lang w:val="en-AU"/>
        </w:rPr>
        <w:t xml:space="preserve">Risk </w:t>
      </w:r>
      <w:r w:rsidR="0092239F" w:rsidRPr="00433F80">
        <w:rPr>
          <w:b/>
          <w:color w:val="auto"/>
          <w:sz w:val="21"/>
          <w:szCs w:val="21"/>
          <w:lang w:val="en-AU"/>
        </w:rPr>
        <w:t xml:space="preserve">    </w:t>
      </w:r>
      <w:r w:rsidR="005B4236" w:rsidRPr="00433F80">
        <w:rPr>
          <w:color w:val="auto"/>
          <w:sz w:val="21"/>
          <w:szCs w:val="21"/>
          <w:lang w:val="en-AU"/>
        </w:rPr>
        <w:t>Low</w:t>
      </w:r>
      <w:r w:rsidRPr="00433F80">
        <w:rPr>
          <w:b/>
          <w:color w:val="auto"/>
          <w:sz w:val="21"/>
          <w:szCs w:val="21"/>
          <w:lang w:val="en-AU"/>
        </w:rPr>
        <w:t xml:space="preserve">     </w:t>
      </w:r>
      <w:r w:rsidR="005B4236" w:rsidRPr="00433F80">
        <w:rPr>
          <w:b/>
          <w:color w:val="auto"/>
          <w:sz w:val="21"/>
          <w:szCs w:val="21"/>
          <w:lang w:val="en-AU"/>
        </w:rPr>
        <w:tab/>
      </w:r>
      <w:r w:rsidR="0092239F" w:rsidRPr="00433F80">
        <w:rPr>
          <w:b/>
          <w:color w:val="auto"/>
          <w:sz w:val="21"/>
          <w:szCs w:val="21"/>
          <w:lang w:val="en-AU"/>
        </w:rPr>
        <w:tab/>
      </w:r>
      <w:r w:rsidRPr="00433F80">
        <w:rPr>
          <w:b/>
          <w:color w:val="auto"/>
          <w:sz w:val="21"/>
          <w:szCs w:val="21"/>
          <w:lang w:val="en-AU"/>
        </w:rPr>
        <w:t>Value</w:t>
      </w:r>
      <w:r w:rsidRPr="00433F80">
        <w:rPr>
          <w:b/>
          <w:color w:val="auto"/>
          <w:sz w:val="21"/>
          <w:szCs w:val="21"/>
          <w:lang w:val="en-AU"/>
        </w:rPr>
        <w:tab/>
      </w:r>
      <w:r w:rsidR="005B4236" w:rsidRPr="00433F80">
        <w:rPr>
          <w:color w:val="auto"/>
          <w:sz w:val="21"/>
          <w:szCs w:val="21"/>
          <w:lang w:val="en-AU"/>
        </w:rPr>
        <w:t>Low</w:t>
      </w:r>
    </w:p>
    <w:p w14:paraId="44ED24FA" w14:textId="441B2F34" w:rsidR="00F759CA" w:rsidRPr="00433F80" w:rsidRDefault="002D4DE7" w:rsidP="005E6171">
      <w:pPr>
        <w:pStyle w:val="BodyText"/>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spacing w:line="360" w:lineRule="auto"/>
        <w:rPr>
          <w:b/>
          <w:color w:val="auto"/>
          <w:sz w:val="21"/>
          <w:szCs w:val="21"/>
          <w:lang w:val="en-AU"/>
        </w:rPr>
      </w:pPr>
      <w:r w:rsidRPr="00433F80">
        <w:rPr>
          <w:b/>
          <w:color w:val="auto"/>
          <w:sz w:val="21"/>
          <w:szCs w:val="21"/>
          <w:lang w:val="en-AU"/>
        </w:rPr>
        <w:t xml:space="preserve">Concept approved by: </w:t>
      </w:r>
      <w:r w:rsidR="005B4236" w:rsidRPr="00433F80">
        <w:rPr>
          <w:color w:val="auto"/>
          <w:sz w:val="21"/>
          <w:szCs w:val="21"/>
          <w:lang w:val="en-AU"/>
        </w:rPr>
        <w:t>Arnold (</w:t>
      </w:r>
      <w:r w:rsidR="00F759CA" w:rsidRPr="00433F80">
        <w:rPr>
          <w:color w:val="auto"/>
          <w:sz w:val="21"/>
          <w:szCs w:val="21"/>
          <w:lang w:val="en-AU"/>
        </w:rPr>
        <w:t xml:space="preserve">Charge </w:t>
      </w:r>
      <w:proofErr w:type="spellStart"/>
      <w:r w:rsidR="00F759CA" w:rsidRPr="00433F80">
        <w:rPr>
          <w:color w:val="auto"/>
          <w:sz w:val="21"/>
          <w:szCs w:val="21"/>
          <w:lang w:val="en-AU"/>
        </w:rPr>
        <w:t>d’Affairs</w:t>
      </w:r>
      <w:proofErr w:type="spellEnd"/>
      <w:r w:rsidR="00F759CA" w:rsidRPr="00433F80">
        <w:rPr>
          <w:color w:val="auto"/>
          <w:sz w:val="21"/>
          <w:szCs w:val="21"/>
          <w:lang w:val="en-AU"/>
        </w:rPr>
        <w:t>, Phnom Penh</w:t>
      </w:r>
      <w:r w:rsidR="005B4236" w:rsidRPr="00433F80">
        <w:rPr>
          <w:color w:val="auto"/>
          <w:sz w:val="21"/>
          <w:szCs w:val="21"/>
          <w:lang w:val="en-AU"/>
        </w:rPr>
        <w:t xml:space="preserve">), </w:t>
      </w:r>
      <w:r w:rsidR="00257C75" w:rsidRPr="00433F80">
        <w:rPr>
          <w:color w:val="auto"/>
          <w:sz w:val="21"/>
          <w:szCs w:val="21"/>
          <w:lang w:val="en-AU"/>
        </w:rPr>
        <w:t>McIntyre (</w:t>
      </w:r>
      <w:r w:rsidR="005B4236" w:rsidRPr="00433F80">
        <w:rPr>
          <w:color w:val="auto"/>
          <w:sz w:val="21"/>
          <w:szCs w:val="21"/>
          <w:lang w:val="en-AU"/>
        </w:rPr>
        <w:t xml:space="preserve">a/g FAS SED) </w:t>
      </w:r>
      <w:r w:rsidR="003E2092" w:rsidRPr="00433F80">
        <w:rPr>
          <w:color w:val="auto"/>
          <w:sz w:val="21"/>
          <w:szCs w:val="21"/>
          <w:lang w:val="en-AU"/>
        </w:rPr>
        <w:t>in Dec 2019</w:t>
      </w:r>
      <w:r w:rsidR="003E2092" w:rsidRPr="00433F80">
        <w:rPr>
          <w:b/>
          <w:color w:val="auto"/>
          <w:sz w:val="21"/>
          <w:szCs w:val="21"/>
          <w:lang w:val="en-AU"/>
        </w:rPr>
        <w:t xml:space="preserve">    </w:t>
      </w:r>
    </w:p>
    <w:p w14:paraId="7B0CB581" w14:textId="139116A5" w:rsidR="002D4DE7" w:rsidRPr="00433F80" w:rsidRDefault="002D4DE7" w:rsidP="005E6171">
      <w:pPr>
        <w:pStyle w:val="BodyText"/>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spacing w:line="360" w:lineRule="auto"/>
        <w:rPr>
          <w:color w:val="auto"/>
          <w:sz w:val="21"/>
          <w:szCs w:val="21"/>
          <w:lang w:val="en-AU"/>
        </w:rPr>
      </w:pPr>
      <w:r w:rsidRPr="00433F80">
        <w:rPr>
          <w:b/>
          <w:color w:val="auto"/>
          <w:sz w:val="21"/>
          <w:szCs w:val="21"/>
          <w:lang w:val="en-AU"/>
        </w:rPr>
        <w:t xml:space="preserve">Concept endorsed by AGB: </w:t>
      </w:r>
      <w:r w:rsidRPr="00433F80">
        <w:rPr>
          <w:color w:val="auto"/>
          <w:sz w:val="21"/>
          <w:szCs w:val="21"/>
          <w:lang w:val="en-AU"/>
        </w:rPr>
        <w:t>N</w:t>
      </w:r>
      <w:r w:rsidR="00F759CA" w:rsidRPr="00433F80">
        <w:rPr>
          <w:color w:val="auto"/>
          <w:sz w:val="21"/>
          <w:szCs w:val="21"/>
          <w:lang w:val="en-AU"/>
        </w:rPr>
        <w:t>ot applicable</w:t>
      </w:r>
    </w:p>
    <w:p w14:paraId="319C188A" w14:textId="5C9913F2" w:rsidR="002D4DE7" w:rsidRPr="00433F80" w:rsidRDefault="002D4DE7" w:rsidP="005E6171">
      <w:pPr>
        <w:pStyle w:val="BodyText"/>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spacing w:line="360" w:lineRule="auto"/>
        <w:rPr>
          <w:color w:val="auto"/>
          <w:sz w:val="21"/>
          <w:szCs w:val="21"/>
          <w:lang w:val="en-AU"/>
        </w:rPr>
      </w:pPr>
      <w:r w:rsidRPr="00433F80">
        <w:rPr>
          <w:b/>
          <w:color w:val="auto"/>
          <w:sz w:val="21"/>
          <w:szCs w:val="21"/>
          <w:lang w:val="en-AU"/>
        </w:rPr>
        <w:t xml:space="preserve">Quality Assurance completed: </w:t>
      </w:r>
      <w:r w:rsidR="005B4236" w:rsidRPr="00433F80">
        <w:rPr>
          <w:color w:val="auto"/>
          <w:sz w:val="21"/>
          <w:szCs w:val="21"/>
          <w:lang w:val="en-AU"/>
        </w:rPr>
        <w:t>Independent appraisal and peer review</w:t>
      </w:r>
    </w:p>
    <w:p w14:paraId="3D9E886B" w14:textId="77777777" w:rsidR="00237DD9" w:rsidRDefault="002D4DE7" w:rsidP="005E6171">
      <w:pPr>
        <w:pStyle w:val="BodyText"/>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spacing w:line="360" w:lineRule="auto"/>
        <w:rPr>
          <w:b/>
          <w:color w:val="auto"/>
          <w:sz w:val="21"/>
          <w:szCs w:val="21"/>
          <w:lang w:val="en-AU"/>
        </w:rPr>
      </w:pPr>
      <w:r w:rsidRPr="00433F80">
        <w:rPr>
          <w:b/>
          <w:color w:val="auto"/>
          <w:lang w:val="en-AU"/>
        </w:rPr>
        <w:t xml:space="preserve">Approval: </w:t>
      </w:r>
      <w:r w:rsidR="005B4236" w:rsidRPr="00433F80">
        <w:rPr>
          <w:b/>
          <w:color w:val="auto"/>
          <w:sz w:val="21"/>
          <w:szCs w:val="21"/>
          <w:lang w:val="en-AU"/>
        </w:rPr>
        <w:t xml:space="preserve">Delegate at Post: </w:t>
      </w:r>
      <w:r w:rsidR="005B4236" w:rsidRPr="00433F80">
        <w:rPr>
          <w:color w:val="auto"/>
          <w:sz w:val="21"/>
          <w:szCs w:val="21"/>
          <w:lang w:val="en-AU"/>
        </w:rPr>
        <w:t>Pablo Kang, HOM</w:t>
      </w:r>
      <w:r w:rsidR="003E2092" w:rsidRPr="00433F80">
        <w:rPr>
          <w:color w:val="auto"/>
          <w:sz w:val="21"/>
          <w:szCs w:val="21"/>
          <w:lang w:val="en-AU"/>
        </w:rPr>
        <w:t xml:space="preserve"> Phnom Penh</w:t>
      </w:r>
      <w:r w:rsidR="005B4236" w:rsidRPr="00433F80">
        <w:rPr>
          <w:b/>
          <w:color w:val="auto"/>
          <w:sz w:val="21"/>
          <w:szCs w:val="21"/>
          <w:lang w:val="en-AU"/>
        </w:rPr>
        <w:t xml:space="preserve"> </w:t>
      </w:r>
      <w:r w:rsidR="005B4236" w:rsidRPr="00433F80">
        <w:rPr>
          <w:b/>
          <w:color w:val="auto"/>
          <w:sz w:val="21"/>
          <w:szCs w:val="21"/>
          <w:lang w:val="en-AU"/>
        </w:rPr>
        <w:tab/>
      </w:r>
    </w:p>
    <w:p w14:paraId="4C663794" w14:textId="2381254F" w:rsidR="003C3B6A" w:rsidRDefault="005B4236" w:rsidP="005E6171">
      <w:pPr>
        <w:pStyle w:val="BodyText"/>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spacing w:line="360" w:lineRule="auto"/>
        <w:rPr>
          <w:color w:val="auto"/>
          <w:sz w:val="21"/>
          <w:szCs w:val="21"/>
          <w:lang w:val="en-AU"/>
        </w:rPr>
      </w:pPr>
      <w:r w:rsidRPr="00433F80">
        <w:rPr>
          <w:b/>
          <w:color w:val="auto"/>
          <w:sz w:val="21"/>
          <w:szCs w:val="21"/>
          <w:lang w:val="en-AU"/>
        </w:rPr>
        <w:t xml:space="preserve">Delegate in Canberra: </w:t>
      </w:r>
      <w:r w:rsidR="003E2092" w:rsidRPr="00433F80">
        <w:rPr>
          <w:color w:val="auto"/>
          <w:sz w:val="21"/>
          <w:szCs w:val="21"/>
          <w:lang w:val="en-AU"/>
        </w:rPr>
        <w:t>Tom Connor</w:t>
      </w:r>
      <w:r w:rsidRPr="00433F80">
        <w:rPr>
          <w:color w:val="auto"/>
          <w:sz w:val="21"/>
          <w:szCs w:val="21"/>
          <w:lang w:val="en-AU"/>
        </w:rPr>
        <w:t xml:space="preserve">, </w:t>
      </w:r>
      <w:r w:rsidR="003E2092" w:rsidRPr="00433F80">
        <w:rPr>
          <w:color w:val="auto"/>
          <w:sz w:val="21"/>
          <w:szCs w:val="21"/>
          <w:lang w:val="en-AU"/>
        </w:rPr>
        <w:t xml:space="preserve">a/g </w:t>
      </w:r>
      <w:r w:rsidRPr="00433F80">
        <w:rPr>
          <w:color w:val="auto"/>
          <w:sz w:val="21"/>
          <w:szCs w:val="21"/>
          <w:lang w:val="en-AU"/>
        </w:rPr>
        <w:t>FAS SED</w:t>
      </w:r>
    </w:p>
    <w:p w14:paraId="2C811BC5" w14:textId="77777777" w:rsidR="003C3B6A" w:rsidRDefault="003C3B6A">
      <w:pPr>
        <w:suppressAutoHyphens w:val="0"/>
        <w:spacing w:before="0" w:after="120" w:line="440" w:lineRule="atLeast"/>
        <w:rPr>
          <w:color w:val="auto"/>
          <w:sz w:val="21"/>
          <w:szCs w:val="21"/>
          <w:lang w:val="en-AU"/>
        </w:rPr>
      </w:pPr>
      <w:r>
        <w:rPr>
          <w:color w:val="auto"/>
          <w:sz w:val="21"/>
          <w:szCs w:val="21"/>
          <w:lang w:val="en-AU"/>
        </w:rPr>
        <w:br w:type="page"/>
      </w:r>
    </w:p>
    <w:p w14:paraId="086F139E" w14:textId="77777777" w:rsidR="002D4DE7" w:rsidRPr="00433F80" w:rsidRDefault="002D4DE7" w:rsidP="005E6171">
      <w:pPr>
        <w:numPr>
          <w:ilvl w:val="0"/>
          <w:numId w:val="11"/>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line="360" w:lineRule="auto"/>
        <w:ind w:left="284" w:hanging="284"/>
        <w:rPr>
          <w:rFonts w:asciiTheme="majorHAnsi" w:hAnsiTheme="majorHAnsi"/>
          <w:b/>
          <w:color w:val="auto"/>
          <w:szCs w:val="21"/>
          <w:lang w:val="en-AU"/>
        </w:rPr>
      </w:pPr>
      <w:r w:rsidRPr="00433F80">
        <w:rPr>
          <w:rFonts w:asciiTheme="majorHAnsi" w:hAnsiTheme="majorHAnsi"/>
          <w:b/>
          <w:color w:val="auto"/>
          <w:szCs w:val="21"/>
          <w:lang w:val="en-AU"/>
        </w:rPr>
        <w:lastRenderedPageBreak/>
        <w:t>Executive Summary</w:t>
      </w:r>
    </w:p>
    <w:p w14:paraId="30B93C84" w14:textId="289878E2" w:rsidR="00FE3F4C" w:rsidRPr="005E6171" w:rsidRDefault="00FE3F4C" w:rsidP="005E6171">
      <w:pPr>
        <w:suppressAutoHyphens w:val="0"/>
        <w:spacing w:before="0" w:line="360" w:lineRule="auto"/>
        <w:jc w:val="both"/>
        <w:rPr>
          <w:rFonts w:eastAsia="Times New Roman" w:cs="Arial"/>
          <w:color w:val="auto"/>
          <w:sz w:val="21"/>
          <w:szCs w:val="21"/>
          <w:lang w:val="en-AU" w:eastAsia="en-AU"/>
        </w:rPr>
      </w:pPr>
      <w:r w:rsidRPr="005E6171">
        <w:rPr>
          <w:rFonts w:eastAsia="Times New Roman" w:cs="Arial"/>
          <w:color w:val="auto"/>
          <w:sz w:val="21"/>
          <w:szCs w:val="21"/>
          <w:lang w:val="en-AU" w:eastAsia="en-AU"/>
        </w:rPr>
        <w:t xml:space="preserve">Cambodia has made impressive reductions in poverty in the past decade, with the poverty rate decreasing from around 40 percent to closer to 10 percent (depending on the measure). This is thanks to </w:t>
      </w:r>
      <w:r w:rsidR="00280204" w:rsidRPr="005E6171">
        <w:rPr>
          <w:rFonts w:eastAsia="Times New Roman" w:cs="Arial"/>
          <w:color w:val="auto"/>
          <w:sz w:val="21"/>
          <w:szCs w:val="21"/>
          <w:lang w:val="en-AU" w:eastAsia="en-AU"/>
        </w:rPr>
        <w:t>consistent</w:t>
      </w:r>
      <w:r w:rsidRPr="005E6171">
        <w:rPr>
          <w:rFonts w:eastAsia="Times New Roman" w:cs="Arial"/>
          <w:color w:val="auto"/>
          <w:sz w:val="21"/>
          <w:szCs w:val="21"/>
          <w:lang w:val="en-AU" w:eastAsia="en-AU"/>
        </w:rPr>
        <w:t xml:space="preserve"> economic growth </w:t>
      </w:r>
      <w:r w:rsidR="009B3754" w:rsidRPr="005E6171">
        <w:rPr>
          <w:rFonts w:eastAsia="Times New Roman" w:cs="Arial"/>
          <w:color w:val="auto"/>
          <w:sz w:val="21"/>
          <w:szCs w:val="21"/>
          <w:lang w:val="en-AU" w:eastAsia="en-AU"/>
        </w:rPr>
        <w:t>of around seven per cent</w:t>
      </w:r>
      <w:r w:rsidR="004E35EB" w:rsidRPr="005E6171">
        <w:rPr>
          <w:rFonts w:eastAsia="Times New Roman" w:cs="Arial"/>
          <w:color w:val="auto"/>
          <w:sz w:val="21"/>
          <w:szCs w:val="21"/>
          <w:lang w:val="en-AU" w:eastAsia="en-AU"/>
        </w:rPr>
        <w:t xml:space="preserve"> annually</w:t>
      </w:r>
      <w:r w:rsidR="00F759CA" w:rsidRPr="005E6171">
        <w:rPr>
          <w:rFonts w:eastAsia="Times New Roman" w:cs="Arial"/>
          <w:color w:val="auto"/>
          <w:sz w:val="21"/>
          <w:szCs w:val="21"/>
          <w:lang w:val="en-AU" w:eastAsia="en-AU"/>
        </w:rPr>
        <w:t xml:space="preserve"> and</w:t>
      </w:r>
      <w:r w:rsidRPr="005E6171">
        <w:rPr>
          <w:rFonts w:eastAsia="Times New Roman" w:cs="Arial"/>
          <w:color w:val="auto"/>
          <w:sz w:val="21"/>
          <w:szCs w:val="21"/>
          <w:lang w:val="en-AU" w:eastAsia="en-AU"/>
        </w:rPr>
        <w:t xml:space="preserve"> sustained investment</w:t>
      </w:r>
      <w:r w:rsidR="000C6914" w:rsidRPr="005E6171">
        <w:rPr>
          <w:rFonts w:eastAsia="Times New Roman" w:cs="Arial"/>
          <w:color w:val="auto"/>
          <w:sz w:val="21"/>
          <w:szCs w:val="21"/>
          <w:lang w:val="en-AU" w:eastAsia="en-AU"/>
        </w:rPr>
        <w:t xml:space="preserve"> in human development through social services such as health and education. This investment </w:t>
      </w:r>
      <w:r w:rsidR="004E35EB" w:rsidRPr="005E6171">
        <w:rPr>
          <w:rFonts w:eastAsia="Times New Roman" w:cs="Arial"/>
          <w:color w:val="auto"/>
          <w:sz w:val="21"/>
          <w:szCs w:val="21"/>
          <w:lang w:val="en-AU" w:eastAsia="en-AU"/>
        </w:rPr>
        <w:t xml:space="preserve">in services </w:t>
      </w:r>
      <w:r w:rsidR="000C6914" w:rsidRPr="005E6171">
        <w:rPr>
          <w:rFonts w:eastAsia="Times New Roman" w:cs="Arial"/>
          <w:color w:val="auto"/>
          <w:sz w:val="21"/>
          <w:szCs w:val="21"/>
          <w:lang w:val="en-AU" w:eastAsia="en-AU"/>
        </w:rPr>
        <w:t xml:space="preserve">was </w:t>
      </w:r>
      <w:r w:rsidR="00280204" w:rsidRPr="005E6171">
        <w:rPr>
          <w:rFonts w:eastAsia="Times New Roman" w:cs="Arial"/>
          <w:color w:val="auto"/>
          <w:sz w:val="21"/>
          <w:szCs w:val="21"/>
          <w:lang w:val="en-AU" w:eastAsia="en-AU"/>
        </w:rPr>
        <w:t xml:space="preserve">initially </w:t>
      </w:r>
      <w:r w:rsidR="000C6914" w:rsidRPr="005E6171">
        <w:rPr>
          <w:rFonts w:eastAsia="Times New Roman" w:cs="Arial"/>
          <w:color w:val="auto"/>
          <w:sz w:val="21"/>
          <w:szCs w:val="21"/>
          <w:lang w:val="en-AU" w:eastAsia="en-AU"/>
        </w:rPr>
        <w:t xml:space="preserve">made </w:t>
      </w:r>
      <w:r w:rsidR="00280204" w:rsidRPr="005E6171">
        <w:rPr>
          <w:rFonts w:eastAsia="Times New Roman" w:cs="Arial"/>
          <w:color w:val="auto"/>
          <w:sz w:val="21"/>
          <w:szCs w:val="21"/>
          <w:lang w:val="en-AU" w:eastAsia="en-AU"/>
        </w:rPr>
        <w:t>by development partners such as Australia</w:t>
      </w:r>
      <w:r w:rsidR="000C6914" w:rsidRPr="005E6171">
        <w:rPr>
          <w:rFonts w:eastAsia="Times New Roman" w:cs="Arial"/>
          <w:color w:val="auto"/>
          <w:sz w:val="21"/>
          <w:szCs w:val="21"/>
          <w:lang w:val="en-AU" w:eastAsia="en-AU"/>
        </w:rPr>
        <w:t>,</w:t>
      </w:r>
      <w:r w:rsidR="00270794" w:rsidRPr="005E6171">
        <w:rPr>
          <w:rFonts w:eastAsia="Times New Roman" w:cs="Arial"/>
          <w:color w:val="auto"/>
          <w:sz w:val="21"/>
          <w:szCs w:val="21"/>
          <w:lang w:val="en-AU" w:eastAsia="en-AU"/>
        </w:rPr>
        <w:t xml:space="preserve"> and delivered through international partners,</w:t>
      </w:r>
      <w:r w:rsidR="000C6914" w:rsidRPr="005E6171">
        <w:rPr>
          <w:rFonts w:eastAsia="Times New Roman" w:cs="Arial"/>
          <w:color w:val="auto"/>
          <w:sz w:val="21"/>
          <w:szCs w:val="21"/>
          <w:lang w:val="en-AU" w:eastAsia="en-AU"/>
        </w:rPr>
        <w:t xml:space="preserve"> but recently it has increasingly been funded</w:t>
      </w:r>
      <w:r w:rsidR="00270794" w:rsidRPr="005E6171">
        <w:rPr>
          <w:rFonts w:eastAsia="Times New Roman" w:cs="Arial"/>
          <w:color w:val="auto"/>
          <w:sz w:val="21"/>
          <w:szCs w:val="21"/>
          <w:lang w:val="en-AU" w:eastAsia="en-AU"/>
        </w:rPr>
        <w:t xml:space="preserve"> </w:t>
      </w:r>
      <w:r w:rsidR="000C6914" w:rsidRPr="005E6171">
        <w:rPr>
          <w:rFonts w:eastAsia="Times New Roman" w:cs="Arial"/>
          <w:color w:val="auto"/>
          <w:sz w:val="21"/>
          <w:szCs w:val="21"/>
          <w:lang w:val="en-AU" w:eastAsia="en-AU"/>
        </w:rPr>
        <w:t>by the</w:t>
      </w:r>
      <w:r w:rsidR="00280204" w:rsidRPr="005E6171">
        <w:rPr>
          <w:rFonts w:eastAsia="Times New Roman" w:cs="Arial"/>
          <w:color w:val="auto"/>
          <w:sz w:val="21"/>
          <w:szCs w:val="21"/>
          <w:lang w:val="en-AU" w:eastAsia="en-AU"/>
        </w:rPr>
        <w:t xml:space="preserve"> Cambodian Government</w:t>
      </w:r>
      <w:r w:rsidR="000C6914" w:rsidRPr="005E6171">
        <w:rPr>
          <w:rFonts w:eastAsia="Times New Roman" w:cs="Arial"/>
          <w:color w:val="auto"/>
          <w:sz w:val="21"/>
          <w:szCs w:val="21"/>
          <w:lang w:val="en-AU" w:eastAsia="en-AU"/>
        </w:rPr>
        <w:t xml:space="preserve"> through domestic finance and low interest loans</w:t>
      </w:r>
      <w:r w:rsidR="009F7A98" w:rsidRPr="005E6171">
        <w:rPr>
          <w:rFonts w:eastAsia="Times New Roman" w:cs="Arial"/>
          <w:color w:val="auto"/>
          <w:sz w:val="21"/>
          <w:szCs w:val="21"/>
          <w:lang w:val="en-AU" w:eastAsia="en-AU"/>
        </w:rPr>
        <w:t xml:space="preserve">. There has also been a shift toward greater direct delivery </w:t>
      </w:r>
      <w:r w:rsidR="000F170E" w:rsidRPr="005E6171">
        <w:rPr>
          <w:rFonts w:eastAsia="Times New Roman" w:cs="Arial"/>
          <w:color w:val="auto"/>
          <w:sz w:val="21"/>
          <w:szCs w:val="21"/>
          <w:lang w:val="en-AU" w:eastAsia="en-AU"/>
        </w:rPr>
        <w:t xml:space="preserve">of services </w:t>
      </w:r>
      <w:r w:rsidR="00587E5B" w:rsidRPr="005E6171">
        <w:rPr>
          <w:rFonts w:eastAsia="Times New Roman" w:cs="Arial"/>
          <w:color w:val="auto"/>
          <w:sz w:val="21"/>
          <w:szCs w:val="21"/>
          <w:lang w:val="en-AU" w:eastAsia="en-AU"/>
        </w:rPr>
        <w:t xml:space="preserve">by </w:t>
      </w:r>
      <w:r w:rsidR="009F7A98" w:rsidRPr="005E6171">
        <w:rPr>
          <w:rFonts w:eastAsia="Times New Roman" w:cs="Arial"/>
          <w:color w:val="auto"/>
          <w:sz w:val="21"/>
          <w:szCs w:val="21"/>
          <w:lang w:val="en-AU" w:eastAsia="en-AU"/>
        </w:rPr>
        <w:t xml:space="preserve">the </w:t>
      </w:r>
      <w:r w:rsidR="00587E5B" w:rsidRPr="005E6171">
        <w:rPr>
          <w:rFonts w:eastAsia="Times New Roman" w:cs="Arial"/>
          <w:color w:val="auto"/>
          <w:sz w:val="21"/>
          <w:szCs w:val="21"/>
          <w:lang w:val="en-AU" w:eastAsia="en-AU"/>
        </w:rPr>
        <w:t>government.</w:t>
      </w:r>
    </w:p>
    <w:p w14:paraId="26DF2417" w14:textId="6971CAF6" w:rsidR="000F170E" w:rsidRPr="00433F80" w:rsidRDefault="00933823" w:rsidP="005E6171">
      <w:pPr>
        <w:suppressAutoHyphens w:val="0"/>
        <w:spacing w:before="0" w:line="360" w:lineRule="auto"/>
        <w:jc w:val="both"/>
        <w:rPr>
          <w:rFonts w:eastAsia="Times New Roman" w:cs="Arial"/>
          <w:color w:val="auto"/>
          <w:sz w:val="21"/>
          <w:szCs w:val="21"/>
          <w:lang w:val="en-AU" w:eastAsia="en-AU"/>
        </w:rPr>
      </w:pPr>
      <w:r w:rsidRPr="00433F80">
        <w:rPr>
          <w:rFonts w:eastAsia="Times New Roman" w:cs="Arial"/>
          <w:color w:val="auto"/>
          <w:sz w:val="21"/>
          <w:szCs w:val="21"/>
          <w:lang w:val="en-AU" w:eastAsia="en-AU"/>
        </w:rPr>
        <w:t xml:space="preserve">The COVID-19 pandemic could </w:t>
      </w:r>
      <w:r w:rsidR="00A30DF3" w:rsidRPr="00433F80">
        <w:rPr>
          <w:rFonts w:eastAsia="Times New Roman" w:cs="Arial"/>
          <w:color w:val="auto"/>
          <w:sz w:val="21"/>
          <w:szCs w:val="21"/>
          <w:lang w:val="en-AU" w:eastAsia="en-AU"/>
        </w:rPr>
        <w:t xml:space="preserve">undo </w:t>
      </w:r>
      <w:r w:rsidR="00280204" w:rsidRPr="00433F80">
        <w:rPr>
          <w:rFonts w:eastAsia="Times New Roman" w:cs="Arial"/>
          <w:color w:val="auto"/>
          <w:sz w:val="21"/>
          <w:szCs w:val="21"/>
          <w:lang w:val="en-AU" w:eastAsia="en-AU"/>
        </w:rPr>
        <w:t>ten years of hard</w:t>
      </w:r>
      <w:r w:rsidR="00ED4415" w:rsidRPr="00433F80">
        <w:rPr>
          <w:rFonts w:eastAsia="Times New Roman" w:cs="Arial"/>
          <w:color w:val="auto"/>
          <w:sz w:val="21"/>
          <w:szCs w:val="21"/>
          <w:lang w:val="en-AU" w:eastAsia="en-AU"/>
        </w:rPr>
        <w:t>-</w:t>
      </w:r>
      <w:r w:rsidR="00280204" w:rsidRPr="00433F80">
        <w:rPr>
          <w:rFonts w:eastAsia="Times New Roman" w:cs="Arial"/>
          <w:color w:val="auto"/>
          <w:sz w:val="21"/>
          <w:szCs w:val="21"/>
          <w:lang w:val="en-AU" w:eastAsia="en-AU"/>
        </w:rPr>
        <w:t xml:space="preserve">won development gains. </w:t>
      </w:r>
      <w:r w:rsidR="00BC5326" w:rsidRPr="00433F80">
        <w:rPr>
          <w:rFonts w:eastAsia="Times New Roman" w:cs="Arial"/>
          <w:color w:val="auto"/>
          <w:sz w:val="21"/>
          <w:szCs w:val="21"/>
          <w:lang w:val="en-AU" w:eastAsia="en-AU"/>
        </w:rPr>
        <w:t>Thirty</w:t>
      </w:r>
      <w:r w:rsidR="00280204" w:rsidRPr="00433F80">
        <w:rPr>
          <w:rFonts w:eastAsia="Times New Roman" w:cs="Arial"/>
          <w:color w:val="auto"/>
          <w:sz w:val="21"/>
          <w:szCs w:val="21"/>
          <w:lang w:val="en-AU" w:eastAsia="en-AU"/>
        </w:rPr>
        <w:t xml:space="preserve"> percent of </w:t>
      </w:r>
      <w:r w:rsidRPr="00433F80">
        <w:rPr>
          <w:rFonts w:eastAsia="Times New Roman" w:cs="Arial"/>
          <w:color w:val="auto"/>
          <w:sz w:val="21"/>
          <w:szCs w:val="21"/>
          <w:lang w:val="en-AU" w:eastAsia="en-AU"/>
        </w:rPr>
        <w:t xml:space="preserve">Cambodia’s </w:t>
      </w:r>
      <w:r w:rsidR="00280204" w:rsidRPr="00433F80">
        <w:rPr>
          <w:rFonts w:eastAsia="Times New Roman" w:cs="Arial"/>
          <w:color w:val="auto"/>
          <w:sz w:val="21"/>
          <w:szCs w:val="21"/>
          <w:lang w:val="en-AU" w:eastAsia="en-AU"/>
        </w:rPr>
        <w:t xml:space="preserve">population are </w:t>
      </w:r>
      <w:r w:rsidRPr="00433F80">
        <w:rPr>
          <w:rFonts w:eastAsia="Times New Roman" w:cs="Arial"/>
          <w:color w:val="auto"/>
          <w:sz w:val="21"/>
          <w:szCs w:val="21"/>
          <w:lang w:val="en-AU" w:eastAsia="en-AU"/>
        </w:rPr>
        <w:t xml:space="preserve">“near poor” </w:t>
      </w:r>
      <w:r w:rsidR="00280204" w:rsidRPr="00433F80">
        <w:rPr>
          <w:rFonts w:eastAsia="Times New Roman" w:cs="Arial"/>
          <w:color w:val="auto"/>
          <w:sz w:val="21"/>
          <w:szCs w:val="21"/>
          <w:lang w:val="en-AU" w:eastAsia="en-AU"/>
        </w:rPr>
        <w:t xml:space="preserve">and at risk of falling </w:t>
      </w:r>
      <w:r w:rsidRPr="00433F80">
        <w:rPr>
          <w:rFonts w:eastAsia="Times New Roman" w:cs="Arial"/>
          <w:color w:val="auto"/>
          <w:sz w:val="21"/>
          <w:szCs w:val="21"/>
          <w:lang w:val="en-AU" w:eastAsia="en-AU"/>
        </w:rPr>
        <w:t>below the official poverty line</w:t>
      </w:r>
      <w:r w:rsidR="00CF46AB" w:rsidRPr="00433F80">
        <w:rPr>
          <w:rFonts w:eastAsia="Times New Roman" w:cs="Arial"/>
          <w:color w:val="auto"/>
          <w:sz w:val="21"/>
          <w:szCs w:val="21"/>
          <w:lang w:val="en-AU" w:eastAsia="en-AU"/>
        </w:rPr>
        <w:t xml:space="preserve">. Due to widespread job losses in key economic sectors (garments, tourism), the World Bank has estimated </w:t>
      </w:r>
      <w:r w:rsidR="00900146" w:rsidRPr="00433F80">
        <w:rPr>
          <w:rFonts w:eastAsia="Times New Roman" w:cs="Arial"/>
          <w:color w:val="auto"/>
          <w:sz w:val="21"/>
          <w:szCs w:val="21"/>
          <w:lang w:val="en-AU" w:eastAsia="en-AU"/>
        </w:rPr>
        <w:t xml:space="preserve">that </w:t>
      </w:r>
      <w:r w:rsidR="00CF46AB" w:rsidRPr="00433F80">
        <w:rPr>
          <w:rFonts w:eastAsia="Times New Roman" w:cs="Arial"/>
          <w:color w:val="auto"/>
          <w:sz w:val="21"/>
          <w:szCs w:val="21"/>
          <w:lang w:val="en-AU" w:eastAsia="en-AU"/>
        </w:rPr>
        <w:t xml:space="preserve">the poverty rate </w:t>
      </w:r>
      <w:r w:rsidR="00900146" w:rsidRPr="00433F80">
        <w:rPr>
          <w:rFonts w:eastAsia="Times New Roman" w:cs="Arial"/>
          <w:color w:val="auto"/>
          <w:sz w:val="21"/>
          <w:szCs w:val="21"/>
          <w:lang w:val="en-AU" w:eastAsia="en-AU"/>
        </w:rPr>
        <w:t xml:space="preserve">could increase </w:t>
      </w:r>
      <w:r w:rsidR="00CF46AB" w:rsidRPr="00433F80">
        <w:rPr>
          <w:rFonts w:eastAsia="Times New Roman" w:cs="Arial"/>
          <w:color w:val="auto"/>
          <w:sz w:val="21"/>
          <w:szCs w:val="21"/>
          <w:lang w:val="en-AU" w:eastAsia="en-AU"/>
        </w:rPr>
        <w:t>by 11 percent</w:t>
      </w:r>
      <w:r w:rsidR="00900146" w:rsidRPr="00433F80">
        <w:rPr>
          <w:rFonts w:eastAsia="Times New Roman" w:cs="Arial"/>
          <w:color w:val="auto"/>
          <w:sz w:val="21"/>
          <w:szCs w:val="21"/>
          <w:lang w:val="en-AU" w:eastAsia="en-AU"/>
        </w:rPr>
        <w:t>age points</w:t>
      </w:r>
      <w:r w:rsidR="00CA0C7D" w:rsidRPr="00433F80">
        <w:rPr>
          <w:rFonts w:eastAsia="Times New Roman" w:cs="Arial"/>
          <w:color w:val="auto"/>
          <w:sz w:val="21"/>
          <w:szCs w:val="21"/>
          <w:lang w:val="en-AU" w:eastAsia="en-AU"/>
        </w:rPr>
        <w:t xml:space="preserve"> — </w:t>
      </w:r>
      <w:r w:rsidR="00900146" w:rsidRPr="00433F80">
        <w:rPr>
          <w:rFonts w:eastAsia="Times New Roman" w:cs="Arial"/>
          <w:color w:val="auto"/>
          <w:sz w:val="21"/>
          <w:szCs w:val="21"/>
          <w:lang w:val="en-AU" w:eastAsia="en-AU"/>
        </w:rPr>
        <w:t xml:space="preserve">effectively </w:t>
      </w:r>
      <w:r w:rsidR="00CF46AB" w:rsidRPr="00433F80">
        <w:rPr>
          <w:rFonts w:eastAsia="Times New Roman" w:cs="Arial"/>
          <w:color w:val="auto"/>
          <w:sz w:val="21"/>
          <w:szCs w:val="21"/>
          <w:lang w:val="en-AU" w:eastAsia="en-AU"/>
        </w:rPr>
        <w:t>doubling</w:t>
      </w:r>
      <w:r w:rsidRPr="00433F80">
        <w:rPr>
          <w:rFonts w:eastAsia="Times New Roman" w:cs="Arial"/>
          <w:color w:val="auto"/>
          <w:sz w:val="21"/>
          <w:szCs w:val="21"/>
          <w:lang w:val="en-AU" w:eastAsia="en-AU"/>
        </w:rPr>
        <w:t xml:space="preserve">. </w:t>
      </w:r>
      <w:r w:rsidR="00900146" w:rsidRPr="00433F80">
        <w:rPr>
          <w:rFonts w:eastAsia="Times New Roman" w:cs="Arial"/>
          <w:color w:val="auto"/>
          <w:sz w:val="21"/>
          <w:szCs w:val="21"/>
          <w:lang w:val="en-AU" w:eastAsia="en-AU"/>
        </w:rPr>
        <w:t xml:space="preserve">The strain is </w:t>
      </w:r>
      <w:proofErr w:type="gramStart"/>
      <w:r w:rsidR="00900146" w:rsidRPr="00433F80">
        <w:rPr>
          <w:rFonts w:eastAsia="Times New Roman" w:cs="Arial"/>
          <w:color w:val="auto"/>
          <w:sz w:val="21"/>
          <w:szCs w:val="21"/>
          <w:lang w:val="en-AU" w:eastAsia="en-AU"/>
        </w:rPr>
        <w:t>showing:</w:t>
      </w:r>
      <w:proofErr w:type="gramEnd"/>
      <w:r w:rsidR="00900146" w:rsidRPr="00433F80">
        <w:rPr>
          <w:rFonts w:eastAsia="Times New Roman" w:cs="Arial"/>
          <w:color w:val="auto"/>
          <w:sz w:val="21"/>
          <w:szCs w:val="21"/>
          <w:lang w:val="en-AU" w:eastAsia="en-AU"/>
        </w:rPr>
        <w:t xml:space="preserve"> a</w:t>
      </w:r>
      <w:r w:rsidR="00DF74B8" w:rsidRPr="00433F80">
        <w:rPr>
          <w:rFonts w:eastAsia="Times New Roman" w:cs="Arial"/>
          <w:color w:val="auto"/>
          <w:sz w:val="21"/>
          <w:szCs w:val="21"/>
          <w:lang w:val="en-AU" w:eastAsia="en-AU"/>
        </w:rPr>
        <w:t xml:space="preserve">ccording to the World Bank’s </w:t>
      </w:r>
      <w:r w:rsidR="00900146" w:rsidRPr="00433F80">
        <w:rPr>
          <w:rFonts w:eastAsia="Times New Roman" w:cs="Arial"/>
          <w:color w:val="auto"/>
          <w:sz w:val="21"/>
          <w:szCs w:val="21"/>
          <w:lang w:val="en-AU" w:eastAsia="en-AU"/>
        </w:rPr>
        <w:t xml:space="preserve">regional </w:t>
      </w:r>
      <w:r w:rsidR="00DF74B8" w:rsidRPr="00433F80">
        <w:rPr>
          <w:rFonts w:eastAsia="Times New Roman" w:cs="Arial"/>
          <w:color w:val="auto"/>
          <w:sz w:val="21"/>
          <w:szCs w:val="21"/>
          <w:lang w:val="en-AU" w:eastAsia="en-AU"/>
        </w:rPr>
        <w:t xml:space="preserve">Economic Update for October 2020, 79% of Cambodian households </w:t>
      </w:r>
      <w:r w:rsidR="00900146" w:rsidRPr="00433F80">
        <w:rPr>
          <w:rFonts w:eastAsia="Times New Roman" w:cs="Arial"/>
          <w:color w:val="auto"/>
          <w:sz w:val="21"/>
          <w:szCs w:val="21"/>
          <w:lang w:val="en-AU" w:eastAsia="en-AU"/>
        </w:rPr>
        <w:t xml:space="preserve">have </w:t>
      </w:r>
      <w:r w:rsidR="00DF74B8" w:rsidRPr="00433F80">
        <w:rPr>
          <w:rFonts w:eastAsia="Times New Roman" w:cs="Arial"/>
          <w:color w:val="auto"/>
          <w:sz w:val="21"/>
          <w:szCs w:val="21"/>
          <w:lang w:val="en-AU" w:eastAsia="en-AU"/>
        </w:rPr>
        <w:t xml:space="preserve">suffered an earnings loss due to COVID-19, second only to Myanmar in the region. Two-thirds of households surveyed by the World Bank’s Cambodia office said </w:t>
      </w:r>
      <w:r w:rsidR="00900146" w:rsidRPr="00433F80">
        <w:rPr>
          <w:rFonts w:eastAsia="Times New Roman" w:cs="Arial"/>
          <w:color w:val="auto"/>
          <w:sz w:val="21"/>
          <w:szCs w:val="21"/>
          <w:lang w:val="en-AU" w:eastAsia="en-AU"/>
        </w:rPr>
        <w:t xml:space="preserve">that </w:t>
      </w:r>
      <w:r w:rsidR="00DF74B8" w:rsidRPr="00433F80">
        <w:rPr>
          <w:rFonts w:eastAsia="Times New Roman" w:cs="Arial"/>
          <w:color w:val="auto"/>
          <w:sz w:val="21"/>
          <w:szCs w:val="21"/>
          <w:lang w:val="en-AU" w:eastAsia="en-AU"/>
        </w:rPr>
        <w:t>they have reduced food consumption as a result of COVID-19-related financial pressures.</w:t>
      </w:r>
    </w:p>
    <w:p w14:paraId="5D3A4F9E" w14:textId="56DF2248" w:rsidR="00A30DF3" w:rsidRPr="00433F80" w:rsidRDefault="00A30DF3" w:rsidP="005E6171">
      <w:pPr>
        <w:suppressAutoHyphens w:val="0"/>
        <w:spacing w:before="0" w:line="360" w:lineRule="auto"/>
        <w:jc w:val="both"/>
        <w:rPr>
          <w:rFonts w:eastAsia="Times New Roman" w:cs="Arial"/>
          <w:color w:val="auto"/>
          <w:sz w:val="21"/>
          <w:szCs w:val="21"/>
          <w:lang w:val="en-AU" w:eastAsia="en-AU"/>
        </w:rPr>
      </w:pPr>
      <w:r w:rsidRPr="00433F80">
        <w:rPr>
          <w:rFonts w:eastAsia="Times New Roman" w:cs="Arial"/>
          <w:color w:val="auto"/>
          <w:sz w:val="21"/>
          <w:szCs w:val="21"/>
          <w:lang w:val="en-AU" w:eastAsia="en-AU"/>
        </w:rPr>
        <w:t xml:space="preserve">Positively, </w:t>
      </w:r>
      <w:r w:rsidR="00280204" w:rsidRPr="00433F80">
        <w:rPr>
          <w:rFonts w:eastAsia="Times New Roman" w:cs="Arial"/>
          <w:color w:val="auto"/>
          <w:sz w:val="21"/>
          <w:szCs w:val="21"/>
          <w:lang w:val="en-AU" w:eastAsia="en-AU"/>
        </w:rPr>
        <w:t>Cambodia’s response to COVID-19 has seen the Government implement social protection programs on an unprecedented scale, including by using an Australian</w:t>
      </w:r>
      <w:r w:rsidR="00AC1BD1" w:rsidRPr="00433F80">
        <w:rPr>
          <w:rFonts w:eastAsia="Times New Roman" w:cs="Arial"/>
          <w:color w:val="auto"/>
          <w:sz w:val="21"/>
          <w:szCs w:val="21"/>
          <w:lang w:val="en-AU" w:eastAsia="en-AU"/>
        </w:rPr>
        <w:t>-</w:t>
      </w:r>
      <w:r w:rsidR="00280204" w:rsidRPr="00433F80">
        <w:rPr>
          <w:rFonts w:eastAsia="Times New Roman" w:cs="Arial"/>
          <w:color w:val="auto"/>
          <w:sz w:val="21"/>
          <w:szCs w:val="21"/>
          <w:lang w:val="en-AU" w:eastAsia="en-AU"/>
        </w:rPr>
        <w:t xml:space="preserve">funded </w:t>
      </w:r>
      <w:r w:rsidRPr="00433F80">
        <w:rPr>
          <w:rFonts w:eastAsia="Times New Roman" w:cs="Arial"/>
          <w:color w:val="auto"/>
          <w:sz w:val="21"/>
          <w:szCs w:val="21"/>
          <w:lang w:val="en-AU" w:eastAsia="en-AU"/>
        </w:rPr>
        <w:t xml:space="preserve">national </w:t>
      </w:r>
      <w:r w:rsidR="00280204" w:rsidRPr="00433F80">
        <w:rPr>
          <w:rFonts w:eastAsia="Times New Roman" w:cs="Arial"/>
          <w:color w:val="auto"/>
          <w:sz w:val="21"/>
          <w:szCs w:val="21"/>
          <w:lang w:val="en-AU" w:eastAsia="en-AU"/>
        </w:rPr>
        <w:t xml:space="preserve">poverty </w:t>
      </w:r>
      <w:r w:rsidRPr="00433F80">
        <w:rPr>
          <w:rFonts w:eastAsia="Times New Roman" w:cs="Arial"/>
          <w:color w:val="auto"/>
          <w:sz w:val="21"/>
          <w:szCs w:val="21"/>
          <w:lang w:val="en-AU" w:eastAsia="en-AU"/>
        </w:rPr>
        <w:t>database</w:t>
      </w:r>
      <w:r w:rsidR="00280204" w:rsidRPr="00433F80">
        <w:rPr>
          <w:rFonts w:eastAsia="Times New Roman" w:cs="Arial"/>
          <w:color w:val="auto"/>
          <w:sz w:val="21"/>
          <w:szCs w:val="21"/>
          <w:lang w:val="en-AU" w:eastAsia="en-AU"/>
        </w:rPr>
        <w:t xml:space="preserve"> to roll out Cambodia’s first nation-wide cash transfer. Another </w:t>
      </w:r>
      <w:r w:rsidR="000C6914" w:rsidRPr="00433F80">
        <w:rPr>
          <w:rFonts w:eastAsia="Times New Roman" w:cs="Arial"/>
          <w:color w:val="auto"/>
          <w:sz w:val="21"/>
          <w:szCs w:val="21"/>
          <w:lang w:val="en-AU" w:eastAsia="en-AU"/>
        </w:rPr>
        <w:t>system established with long</w:t>
      </w:r>
      <w:r w:rsidR="00AC1BD1" w:rsidRPr="00433F80">
        <w:rPr>
          <w:rFonts w:eastAsia="Times New Roman" w:cs="Arial"/>
          <w:color w:val="auto"/>
          <w:sz w:val="21"/>
          <w:szCs w:val="21"/>
          <w:lang w:val="en-AU" w:eastAsia="en-AU"/>
        </w:rPr>
        <w:t>-</w:t>
      </w:r>
      <w:r w:rsidR="000C6914" w:rsidRPr="00433F80">
        <w:rPr>
          <w:rFonts w:eastAsia="Times New Roman" w:cs="Arial"/>
          <w:color w:val="auto"/>
          <w:sz w:val="21"/>
          <w:szCs w:val="21"/>
          <w:lang w:val="en-AU" w:eastAsia="en-AU"/>
        </w:rPr>
        <w:t xml:space="preserve">term Australian support, </w:t>
      </w:r>
      <w:r w:rsidR="00280204" w:rsidRPr="00433F80">
        <w:rPr>
          <w:rFonts w:eastAsia="Times New Roman" w:cs="Arial"/>
          <w:color w:val="auto"/>
          <w:sz w:val="21"/>
          <w:szCs w:val="21"/>
          <w:lang w:val="en-AU" w:eastAsia="en-AU"/>
        </w:rPr>
        <w:t>the Health Equity Fund</w:t>
      </w:r>
      <w:r w:rsidR="00BC5326" w:rsidRPr="00433F80">
        <w:rPr>
          <w:rFonts w:eastAsia="Times New Roman" w:cs="Arial"/>
          <w:color w:val="auto"/>
          <w:sz w:val="21"/>
          <w:szCs w:val="21"/>
          <w:lang w:val="en-AU" w:eastAsia="en-AU"/>
        </w:rPr>
        <w:t xml:space="preserve"> (HEF)</w:t>
      </w:r>
      <w:r w:rsidR="00280204" w:rsidRPr="00433F80">
        <w:rPr>
          <w:rFonts w:eastAsia="Times New Roman" w:cs="Arial"/>
          <w:color w:val="auto"/>
          <w:sz w:val="21"/>
          <w:szCs w:val="21"/>
          <w:lang w:val="en-AU" w:eastAsia="en-AU"/>
        </w:rPr>
        <w:t>, is enabling 2.6 million of the poorest Cambodians</w:t>
      </w:r>
      <w:r w:rsidR="000C6914" w:rsidRPr="00433F80">
        <w:rPr>
          <w:rFonts w:eastAsia="Times New Roman" w:cs="Arial"/>
          <w:color w:val="auto"/>
          <w:sz w:val="21"/>
          <w:szCs w:val="21"/>
          <w:lang w:val="en-AU" w:eastAsia="en-AU"/>
        </w:rPr>
        <w:t xml:space="preserve"> </w:t>
      </w:r>
      <w:r w:rsidR="004E35EB" w:rsidRPr="00433F80">
        <w:rPr>
          <w:rFonts w:eastAsia="Times New Roman" w:cs="Arial"/>
          <w:color w:val="auto"/>
          <w:sz w:val="21"/>
          <w:szCs w:val="21"/>
          <w:lang w:val="en-AU" w:eastAsia="en-AU"/>
        </w:rPr>
        <w:t xml:space="preserve">(around 16 percent of the population) </w:t>
      </w:r>
      <w:r w:rsidR="00280204" w:rsidRPr="00433F80">
        <w:rPr>
          <w:rFonts w:eastAsia="Times New Roman" w:cs="Arial"/>
          <w:color w:val="auto"/>
          <w:sz w:val="21"/>
          <w:szCs w:val="21"/>
          <w:lang w:val="en-AU" w:eastAsia="en-AU"/>
        </w:rPr>
        <w:t xml:space="preserve">to continue to </w:t>
      </w:r>
      <w:r w:rsidR="00587E5B" w:rsidRPr="00433F80">
        <w:rPr>
          <w:rFonts w:eastAsia="Times New Roman" w:cs="Arial"/>
          <w:color w:val="auto"/>
          <w:sz w:val="21"/>
          <w:szCs w:val="21"/>
          <w:lang w:val="en-AU" w:eastAsia="en-AU"/>
        </w:rPr>
        <w:t xml:space="preserve">have </w:t>
      </w:r>
      <w:r w:rsidR="00280204" w:rsidRPr="00433F80">
        <w:rPr>
          <w:rFonts w:eastAsia="Times New Roman" w:cs="Arial"/>
          <w:color w:val="auto"/>
          <w:sz w:val="21"/>
          <w:szCs w:val="21"/>
          <w:lang w:val="en-AU" w:eastAsia="en-AU"/>
        </w:rPr>
        <w:t xml:space="preserve">access </w:t>
      </w:r>
      <w:r w:rsidR="007F23F2" w:rsidRPr="00433F80">
        <w:rPr>
          <w:rFonts w:eastAsia="Times New Roman" w:cs="Arial"/>
          <w:color w:val="auto"/>
          <w:sz w:val="21"/>
          <w:szCs w:val="21"/>
          <w:lang w:val="en-AU" w:eastAsia="en-AU"/>
        </w:rPr>
        <w:t xml:space="preserve">to </w:t>
      </w:r>
      <w:r w:rsidR="00431826" w:rsidRPr="00433F80">
        <w:rPr>
          <w:rFonts w:eastAsia="Times New Roman" w:cs="Arial"/>
          <w:color w:val="auto"/>
          <w:sz w:val="21"/>
          <w:szCs w:val="21"/>
          <w:lang w:val="en-AU" w:eastAsia="en-AU"/>
        </w:rPr>
        <w:t xml:space="preserve">free </w:t>
      </w:r>
      <w:r w:rsidR="00280204" w:rsidRPr="00433F80">
        <w:rPr>
          <w:rFonts w:eastAsia="Times New Roman" w:cs="Arial"/>
          <w:color w:val="auto"/>
          <w:sz w:val="21"/>
          <w:szCs w:val="21"/>
          <w:lang w:val="en-AU" w:eastAsia="en-AU"/>
        </w:rPr>
        <w:t xml:space="preserve">basic healthcare during the pandemic. </w:t>
      </w:r>
      <w:r w:rsidR="00FD0927" w:rsidRPr="00433F80">
        <w:rPr>
          <w:rFonts w:eastAsia="Times New Roman" w:cs="Arial"/>
          <w:color w:val="auto"/>
          <w:sz w:val="21"/>
          <w:szCs w:val="21"/>
          <w:lang w:val="en-AU" w:eastAsia="en-AU"/>
        </w:rPr>
        <w:t>Countrywide, t</w:t>
      </w:r>
      <w:r w:rsidR="002913A3" w:rsidRPr="00433F80">
        <w:rPr>
          <w:rFonts w:eastAsia="Times New Roman" w:cs="Arial"/>
          <w:color w:val="auto"/>
          <w:sz w:val="21"/>
          <w:szCs w:val="21"/>
          <w:lang w:val="en-AU" w:eastAsia="en-AU"/>
        </w:rPr>
        <w:t>he majority (60-80%) of health services are delivered by the private sector</w:t>
      </w:r>
      <w:r w:rsidR="00CA0C7D" w:rsidRPr="00433F80">
        <w:rPr>
          <w:rFonts w:eastAsia="Times New Roman" w:cs="Arial"/>
          <w:color w:val="auto"/>
          <w:sz w:val="21"/>
          <w:szCs w:val="21"/>
          <w:lang w:val="en-AU" w:eastAsia="en-AU"/>
        </w:rPr>
        <w:t>,</w:t>
      </w:r>
      <w:r w:rsidR="002D5994" w:rsidRPr="00433F80">
        <w:rPr>
          <w:rFonts w:eastAsia="Times New Roman" w:cs="Arial"/>
          <w:color w:val="auto"/>
          <w:sz w:val="21"/>
          <w:szCs w:val="21"/>
          <w:lang w:val="en-AU" w:eastAsia="en-AU"/>
        </w:rPr>
        <w:t xml:space="preserve"> leading to high out of pocket costs for poor families and</w:t>
      </w:r>
      <w:r w:rsidR="002913A3" w:rsidRPr="00433F80">
        <w:rPr>
          <w:rFonts w:eastAsia="Times New Roman" w:cs="Arial"/>
          <w:color w:val="auto"/>
          <w:sz w:val="21"/>
          <w:szCs w:val="21"/>
          <w:lang w:val="en-AU" w:eastAsia="en-AU"/>
        </w:rPr>
        <w:t xml:space="preserve"> highlighting the need to increase the quality and accessibility of public services. </w:t>
      </w:r>
    </w:p>
    <w:p w14:paraId="52D8BB9C" w14:textId="71010D1F" w:rsidR="00280204" w:rsidRPr="00433F80" w:rsidRDefault="00280204" w:rsidP="005E6171">
      <w:pPr>
        <w:suppressAutoHyphens w:val="0"/>
        <w:spacing w:before="0" w:line="360" w:lineRule="auto"/>
        <w:jc w:val="both"/>
        <w:rPr>
          <w:rFonts w:eastAsia="Times New Roman" w:cs="Arial"/>
          <w:color w:val="auto"/>
          <w:sz w:val="21"/>
          <w:szCs w:val="21"/>
          <w:lang w:val="en-AU" w:eastAsia="en-AU"/>
        </w:rPr>
      </w:pPr>
      <w:r w:rsidRPr="00433F80">
        <w:rPr>
          <w:rFonts w:eastAsia="Times New Roman" w:cs="Arial"/>
          <w:color w:val="auto"/>
          <w:sz w:val="21"/>
          <w:szCs w:val="21"/>
          <w:lang w:val="en-AU" w:eastAsia="en-AU"/>
        </w:rPr>
        <w:t>These programs build on Australia’s decades of support for health system reforms, including in the past ten years via World Bank multi donor trust funds</w:t>
      </w:r>
      <w:r w:rsidR="000C6914" w:rsidRPr="00433F80">
        <w:rPr>
          <w:rFonts w:eastAsia="Times New Roman" w:cs="Arial"/>
          <w:color w:val="auto"/>
          <w:sz w:val="21"/>
          <w:szCs w:val="21"/>
          <w:lang w:val="en-AU" w:eastAsia="en-AU"/>
        </w:rPr>
        <w:t>, such as the Health Equity and Quality Improvement Project (H-EQIP)</w:t>
      </w:r>
      <w:r w:rsidR="002D5994" w:rsidRPr="00433F80">
        <w:rPr>
          <w:rFonts w:eastAsia="Times New Roman" w:cs="Arial"/>
          <w:color w:val="auto"/>
          <w:sz w:val="21"/>
          <w:szCs w:val="21"/>
          <w:lang w:val="en-AU" w:eastAsia="en-AU"/>
        </w:rPr>
        <w:t>,</w:t>
      </w:r>
      <w:r w:rsidR="004E35EB" w:rsidRPr="00433F80">
        <w:rPr>
          <w:rFonts w:eastAsia="Times New Roman" w:cs="Arial"/>
          <w:color w:val="auto"/>
          <w:sz w:val="21"/>
          <w:szCs w:val="21"/>
          <w:lang w:val="en-AU" w:eastAsia="en-AU"/>
        </w:rPr>
        <w:t xml:space="preserve"> to which Australia currently contributes</w:t>
      </w:r>
      <w:r w:rsidRPr="00433F80">
        <w:rPr>
          <w:rFonts w:eastAsia="Times New Roman" w:cs="Arial"/>
          <w:color w:val="auto"/>
          <w:sz w:val="21"/>
          <w:szCs w:val="21"/>
          <w:lang w:val="en-AU" w:eastAsia="en-AU"/>
        </w:rPr>
        <w:t xml:space="preserve">. </w:t>
      </w:r>
      <w:r w:rsidR="000C6914" w:rsidRPr="00433F80">
        <w:rPr>
          <w:rFonts w:eastAsia="Times New Roman" w:cs="Arial"/>
          <w:color w:val="auto"/>
          <w:sz w:val="21"/>
          <w:szCs w:val="21"/>
          <w:lang w:val="en-AU" w:eastAsia="en-AU"/>
        </w:rPr>
        <w:t>The Ministry of Economy and Finance</w:t>
      </w:r>
      <w:r w:rsidR="00FD0927" w:rsidRPr="00433F80">
        <w:rPr>
          <w:rFonts w:eastAsia="Times New Roman" w:cs="Arial"/>
          <w:color w:val="auto"/>
          <w:sz w:val="21"/>
          <w:szCs w:val="21"/>
          <w:lang w:val="en-AU" w:eastAsia="en-AU"/>
        </w:rPr>
        <w:t xml:space="preserve"> (MEF)</w:t>
      </w:r>
      <w:r w:rsidR="000C6914" w:rsidRPr="00433F80">
        <w:rPr>
          <w:rFonts w:eastAsia="Times New Roman" w:cs="Arial"/>
          <w:color w:val="auto"/>
          <w:sz w:val="21"/>
          <w:szCs w:val="21"/>
          <w:lang w:val="en-AU" w:eastAsia="en-AU"/>
        </w:rPr>
        <w:t xml:space="preserve"> has described H-EQIP as a model of reform it would like to see replicated in other sectors</w:t>
      </w:r>
      <w:r w:rsidR="00664A41" w:rsidRPr="00433F80">
        <w:rPr>
          <w:rFonts w:eastAsia="Times New Roman" w:cs="Arial"/>
          <w:color w:val="auto"/>
          <w:sz w:val="21"/>
          <w:szCs w:val="21"/>
          <w:lang w:val="en-AU" w:eastAsia="en-AU"/>
        </w:rPr>
        <w:t xml:space="preserve"> </w:t>
      </w:r>
      <w:r w:rsidR="00B71D60" w:rsidRPr="00433F80">
        <w:rPr>
          <w:rFonts w:eastAsia="Times New Roman" w:cs="Arial"/>
          <w:color w:val="auto"/>
          <w:sz w:val="21"/>
          <w:szCs w:val="21"/>
          <w:lang w:val="en-AU" w:eastAsia="en-AU"/>
        </w:rPr>
        <w:t>as it demonstrates</w:t>
      </w:r>
      <w:r w:rsidR="000C6914" w:rsidRPr="00433F80">
        <w:rPr>
          <w:rFonts w:eastAsia="Times New Roman" w:cs="Arial"/>
          <w:color w:val="auto"/>
          <w:sz w:val="21"/>
          <w:szCs w:val="21"/>
          <w:lang w:val="en-AU" w:eastAsia="en-AU"/>
        </w:rPr>
        <w:t xml:space="preserve"> how to drive </w:t>
      </w:r>
      <w:r w:rsidR="00587E5B" w:rsidRPr="00433F80">
        <w:rPr>
          <w:rFonts w:eastAsia="Times New Roman" w:cs="Arial"/>
          <w:color w:val="auto"/>
          <w:sz w:val="21"/>
          <w:szCs w:val="21"/>
          <w:lang w:val="en-AU" w:eastAsia="en-AU"/>
        </w:rPr>
        <w:t xml:space="preserve">sustainable and affordable </w:t>
      </w:r>
      <w:r w:rsidR="000C6914" w:rsidRPr="00433F80">
        <w:rPr>
          <w:rFonts w:eastAsia="Times New Roman" w:cs="Arial"/>
          <w:color w:val="auto"/>
          <w:sz w:val="21"/>
          <w:szCs w:val="21"/>
          <w:lang w:val="en-AU" w:eastAsia="en-AU"/>
        </w:rPr>
        <w:t>improvement</w:t>
      </w:r>
      <w:r w:rsidR="00587E5B" w:rsidRPr="00433F80">
        <w:rPr>
          <w:rFonts w:eastAsia="Times New Roman" w:cs="Arial"/>
          <w:color w:val="auto"/>
          <w:sz w:val="21"/>
          <w:szCs w:val="21"/>
          <w:lang w:val="en-AU" w:eastAsia="en-AU"/>
        </w:rPr>
        <w:t>s</w:t>
      </w:r>
      <w:r w:rsidR="000C6914" w:rsidRPr="00433F80">
        <w:rPr>
          <w:rFonts w:eastAsia="Times New Roman" w:cs="Arial"/>
          <w:color w:val="auto"/>
          <w:sz w:val="21"/>
          <w:szCs w:val="21"/>
          <w:lang w:val="en-AU" w:eastAsia="en-AU"/>
        </w:rPr>
        <w:t xml:space="preserve"> in service quality </w:t>
      </w:r>
      <w:r w:rsidR="00B71D60" w:rsidRPr="00433F80">
        <w:rPr>
          <w:rFonts w:eastAsia="Times New Roman" w:cs="Arial"/>
          <w:color w:val="auto"/>
          <w:sz w:val="21"/>
          <w:szCs w:val="21"/>
          <w:lang w:val="en-AU" w:eastAsia="en-AU"/>
        </w:rPr>
        <w:t xml:space="preserve">while also </w:t>
      </w:r>
      <w:r w:rsidR="00587E5B" w:rsidRPr="00433F80">
        <w:rPr>
          <w:rFonts w:eastAsia="Times New Roman" w:cs="Arial"/>
          <w:color w:val="auto"/>
          <w:sz w:val="21"/>
          <w:szCs w:val="21"/>
          <w:lang w:val="en-AU" w:eastAsia="en-AU"/>
        </w:rPr>
        <w:t xml:space="preserve">improving </w:t>
      </w:r>
      <w:r w:rsidR="00F759CA" w:rsidRPr="00433F80">
        <w:rPr>
          <w:rFonts w:eastAsia="Times New Roman" w:cs="Arial"/>
          <w:color w:val="auto"/>
          <w:sz w:val="21"/>
          <w:szCs w:val="21"/>
          <w:lang w:val="en-AU" w:eastAsia="en-AU"/>
        </w:rPr>
        <w:t>accessibility</w:t>
      </w:r>
      <w:r w:rsidR="000C6914" w:rsidRPr="00433F80">
        <w:rPr>
          <w:rFonts w:eastAsia="Times New Roman" w:cs="Arial"/>
          <w:color w:val="auto"/>
          <w:sz w:val="21"/>
          <w:szCs w:val="21"/>
          <w:lang w:val="en-AU" w:eastAsia="en-AU"/>
        </w:rPr>
        <w:t xml:space="preserve">. </w:t>
      </w:r>
    </w:p>
    <w:p w14:paraId="7DF2C636" w14:textId="7C074A0A" w:rsidR="001E3FF1" w:rsidRPr="00433F80" w:rsidRDefault="00A30DF3" w:rsidP="005E6171">
      <w:pPr>
        <w:suppressAutoHyphens w:val="0"/>
        <w:spacing w:before="0" w:line="360" w:lineRule="auto"/>
        <w:rPr>
          <w:rFonts w:eastAsia="Times New Roman" w:cs="Arial"/>
          <w:color w:val="auto"/>
          <w:sz w:val="21"/>
          <w:szCs w:val="21"/>
          <w:lang w:val="en-AU" w:eastAsia="en-AU"/>
        </w:rPr>
      </w:pPr>
      <w:bookmarkStart w:id="3" w:name="_Hlk59000558"/>
      <w:r w:rsidRPr="00433F80">
        <w:rPr>
          <w:rFonts w:eastAsia="Times New Roman" w:cs="Arial"/>
          <w:color w:val="auto"/>
          <w:sz w:val="21"/>
          <w:szCs w:val="21"/>
          <w:lang w:val="en-AU" w:eastAsia="en-AU"/>
        </w:rPr>
        <w:t xml:space="preserve">COVID-19 has </w:t>
      </w:r>
      <w:r w:rsidR="005A65D2" w:rsidRPr="00433F80">
        <w:rPr>
          <w:rFonts w:eastAsia="Times New Roman" w:cs="Arial"/>
          <w:color w:val="auto"/>
          <w:sz w:val="21"/>
          <w:szCs w:val="21"/>
          <w:lang w:val="en-AU" w:eastAsia="en-AU"/>
        </w:rPr>
        <w:t>highlighted t</w:t>
      </w:r>
      <w:r w:rsidR="001E3FF1" w:rsidRPr="00433F80">
        <w:rPr>
          <w:rFonts w:eastAsia="Times New Roman" w:cs="Arial"/>
          <w:color w:val="auto"/>
          <w:sz w:val="21"/>
          <w:szCs w:val="21"/>
          <w:lang w:val="en-AU" w:eastAsia="en-AU"/>
        </w:rPr>
        <w:t>he importance</w:t>
      </w:r>
      <w:r w:rsidRPr="00433F80">
        <w:rPr>
          <w:rFonts w:eastAsia="Times New Roman" w:cs="Arial"/>
          <w:color w:val="auto"/>
          <w:sz w:val="21"/>
          <w:szCs w:val="21"/>
          <w:lang w:val="en-AU" w:eastAsia="en-AU"/>
        </w:rPr>
        <w:t xml:space="preserve"> </w:t>
      </w:r>
      <w:r w:rsidR="001E3FF1" w:rsidRPr="00433F80">
        <w:rPr>
          <w:rFonts w:eastAsia="Times New Roman" w:cs="Arial"/>
          <w:color w:val="auto"/>
          <w:sz w:val="21"/>
          <w:szCs w:val="21"/>
          <w:lang w:val="en-AU" w:eastAsia="en-AU"/>
        </w:rPr>
        <w:t xml:space="preserve">of </w:t>
      </w:r>
      <w:r w:rsidRPr="00433F80">
        <w:rPr>
          <w:rFonts w:eastAsia="Times New Roman" w:cs="Arial"/>
          <w:color w:val="auto"/>
          <w:sz w:val="21"/>
          <w:szCs w:val="21"/>
          <w:lang w:val="en-AU" w:eastAsia="en-AU"/>
        </w:rPr>
        <w:t>sustainable and inclusive public services for Cambodia’s ongoing resilience</w:t>
      </w:r>
      <w:r w:rsidR="00F759CA" w:rsidRPr="00433F80">
        <w:rPr>
          <w:rFonts w:eastAsia="Times New Roman" w:cs="Arial"/>
          <w:color w:val="auto"/>
          <w:sz w:val="21"/>
          <w:szCs w:val="21"/>
          <w:lang w:val="en-AU" w:eastAsia="en-AU"/>
        </w:rPr>
        <w:t xml:space="preserve">. It has also demonstrated the importance of mechanisms, like the Social Accountability Framework, which allow </w:t>
      </w:r>
      <w:r w:rsidR="00431826" w:rsidRPr="00433F80">
        <w:rPr>
          <w:rFonts w:eastAsia="Times New Roman" w:cs="Arial"/>
          <w:color w:val="auto"/>
          <w:sz w:val="21"/>
          <w:szCs w:val="21"/>
          <w:lang w:val="en-AU" w:eastAsia="en-AU"/>
        </w:rPr>
        <w:t>citizens</w:t>
      </w:r>
      <w:r w:rsidR="00F759CA" w:rsidRPr="00433F80">
        <w:rPr>
          <w:rFonts w:eastAsia="Times New Roman" w:cs="Arial"/>
          <w:color w:val="auto"/>
          <w:sz w:val="21"/>
          <w:szCs w:val="21"/>
          <w:lang w:val="en-AU" w:eastAsia="en-AU"/>
        </w:rPr>
        <w:t xml:space="preserve"> to shape the design and delivery of key government services, including health and education.</w:t>
      </w:r>
      <w:r w:rsidRPr="00433F80">
        <w:rPr>
          <w:rFonts w:eastAsia="Times New Roman" w:cs="Arial"/>
          <w:color w:val="auto"/>
          <w:sz w:val="21"/>
          <w:szCs w:val="21"/>
          <w:lang w:val="en-AU" w:eastAsia="en-AU"/>
        </w:rPr>
        <w:t xml:space="preserve"> Central ministries have been</w:t>
      </w:r>
      <w:r w:rsidR="00DA6172" w:rsidRPr="00433F80">
        <w:rPr>
          <w:rFonts w:eastAsia="Times New Roman" w:cs="Arial"/>
          <w:color w:val="auto"/>
          <w:sz w:val="21"/>
          <w:szCs w:val="21"/>
          <w:lang w:val="en-AU" w:eastAsia="en-AU"/>
        </w:rPr>
        <w:t xml:space="preserve"> conscious of the risks to social stability with rising unemployment, including returning Cambodian migrant workers and informal workers. </w:t>
      </w:r>
      <w:r w:rsidR="00F759CA" w:rsidRPr="00433F80">
        <w:rPr>
          <w:rFonts w:eastAsia="Times New Roman" w:cs="Arial"/>
          <w:color w:val="auto"/>
          <w:sz w:val="21"/>
          <w:szCs w:val="21"/>
          <w:lang w:val="en-AU" w:eastAsia="en-AU"/>
        </w:rPr>
        <w:t xml:space="preserve">They also understand that local-level public participation in shaping the Government’s policies and programs </w:t>
      </w:r>
      <w:r w:rsidR="00431826" w:rsidRPr="00433F80">
        <w:rPr>
          <w:rFonts w:eastAsia="Times New Roman" w:cs="Arial"/>
          <w:color w:val="auto"/>
          <w:sz w:val="21"/>
          <w:szCs w:val="21"/>
          <w:lang w:val="en-AU" w:eastAsia="en-AU"/>
        </w:rPr>
        <w:t>for</w:t>
      </w:r>
      <w:r w:rsidR="00F759CA" w:rsidRPr="00433F80">
        <w:rPr>
          <w:rFonts w:eastAsia="Times New Roman" w:cs="Arial"/>
          <w:color w:val="auto"/>
          <w:sz w:val="21"/>
          <w:szCs w:val="21"/>
          <w:lang w:val="en-AU" w:eastAsia="en-AU"/>
        </w:rPr>
        <w:t xml:space="preserve"> pandemic </w:t>
      </w:r>
      <w:r w:rsidR="00431826" w:rsidRPr="00433F80">
        <w:rPr>
          <w:rFonts w:eastAsia="Times New Roman" w:cs="Arial"/>
          <w:color w:val="auto"/>
          <w:sz w:val="21"/>
          <w:szCs w:val="21"/>
          <w:lang w:val="en-AU" w:eastAsia="en-AU"/>
        </w:rPr>
        <w:t xml:space="preserve">recovery </w:t>
      </w:r>
      <w:r w:rsidR="00F759CA" w:rsidRPr="00433F80">
        <w:rPr>
          <w:rFonts w:eastAsia="Times New Roman" w:cs="Arial"/>
          <w:color w:val="auto"/>
          <w:sz w:val="21"/>
          <w:szCs w:val="21"/>
          <w:lang w:val="en-AU" w:eastAsia="en-AU"/>
        </w:rPr>
        <w:t>is important for the effectiveness of such measures and, increasingly, for broader stability in Cambodia.</w:t>
      </w:r>
      <w:r w:rsidR="001E3FF1" w:rsidRPr="00433F80">
        <w:rPr>
          <w:rFonts w:eastAsia="Times New Roman" w:cs="Arial"/>
          <w:color w:val="auto"/>
          <w:sz w:val="21"/>
          <w:szCs w:val="21"/>
          <w:lang w:val="en-AU" w:eastAsia="en-AU"/>
        </w:rPr>
        <w:t xml:space="preserve"> </w:t>
      </w:r>
    </w:p>
    <w:bookmarkEnd w:id="3"/>
    <w:p w14:paraId="1A2DE734" w14:textId="6F3DA296" w:rsidR="00AE253C" w:rsidRPr="00433F80" w:rsidRDefault="00AE253C" w:rsidP="005E6171">
      <w:pPr>
        <w:tabs>
          <w:tab w:val="left" w:pos="284"/>
        </w:tabs>
        <w:suppressAutoHyphens w:val="0"/>
        <w:spacing w:before="0" w:line="360" w:lineRule="auto"/>
        <w:rPr>
          <w:color w:val="auto"/>
          <w:sz w:val="21"/>
          <w:szCs w:val="21"/>
          <w:lang w:val="en-AU"/>
        </w:rPr>
      </w:pPr>
      <w:r w:rsidRPr="00433F80">
        <w:rPr>
          <w:color w:val="auto"/>
          <w:sz w:val="21"/>
          <w:szCs w:val="21"/>
          <w:lang w:val="en-AU"/>
        </w:rPr>
        <w:lastRenderedPageBreak/>
        <w:t xml:space="preserve">Investments in more sustainable and inclusive public services, with stronger government accountability for delivering these services, will deliver results under all three </w:t>
      </w:r>
      <w:r w:rsidRPr="00433F80">
        <w:rPr>
          <w:b/>
          <w:i/>
          <w:color w:val="auto"/>
          <w:sz w:val="21"/>
          <w:szCs w:val="21"/>
          <w:lang w:val="en-AU"/>
        </w:rPr>
        <w:t>Partnerships for Recovery</w:t>
      </w:r>
      <w:r w:rsidRPr="00433F80">
        <w:rPr>
          <w:color w:val="auto"/>
          <w:sz w:val="21"/>
          <w:szCs w:val="21"/>
          <w:lang w:val="en-AU"/>
        </w:rPr>
        <w:t xml:space="preserve"> key action areas: 1: Health security, 2: Stability, and 3</w:t>
      </w:r>
      <w:r w:rsidR="004E065D" w:rsidRPr="00433F80">
        <w:rPr>
          <w:color w:val="auto"/>
          <w:sz w:val="21"/>
          <w:szCs w:val="21"/>
          <w:lang w:val="en-AU"/>
        </w:rPr>
        <w:t xml:space="preserve">: </w:t>
      </w:r>
      <w:r w:rsidRPr="00433F80">
        <w:rPr>
          <w:color w:val="auto"/>
          <w:sz w:val="21"/>
          <w:szCs w:val="21"/>
          <w:lang w:val="en-AU"/>
        </w:rPr>
        <w:t xml:space="preserve">Economy recovery. </w:t>
      </w:r>
    </w:p>
    <w:p w14:paraId="26560845" w14:textId="1B601753" w:rsidR="00664A41" w:rsidRPr="00433F80" w:rsidRDefault="00AE253C" w:rsidP="005E6171">
      <w:pPr>
        <w:suppressAutoHyphens w:val="0"/>
        <w:spacing w:before="0" w:line="360" w:lineRule="auto"/>
        <w:rPr>
          <w:color w:val="auto"/>
          <w:sz w:val="21"/>
          <w:szCs w:val="21"/>
          <w:lang w:val="en-AU"/>
        </w:rPr>
      </w:pPr>
      <w:bookmarkStart w:id="4" w:name="_Hlk59000615"/>
      <w:r w:rsidRPr="00433F80">
        <w:rPr>
          <w:rFonts w:eastAsia="Times New Roman" w:cs="Arial"/>
          <w:color w:val="auto"/>
          <w:sz w:val="21"/>
          <w:szCs w:val="21"/>
          <w:lang w:val="en-AU" w:eastAsia="en-AU"/>
        </w:rPr>
        <w:t xml:space="preserve">There is an opportunity for Australia to invest in Cambodia’s health security, human development and stability </w:t>
      </w:r>
      <w:r w:rsidRPr="00433F80">
        <w:rPr>
          <w:color w:val="auto"/>
          <w:sz w:val="21"/>
          <w:szCs w:val="21"/>
          <w:lang w:val="en-AU"/>
        </w:rPr>
        <w:t xml:space="preserve">by consolidating and better leveraging our cooperation with the World Bank. The World Bank has established a strong track record of using its financial instruments, relationships with the </w:t>
      </w:r>
      <w:r w:rsidR="00FD0927" w:rsidRPr="00433F80">
        <w:rPr>
          <w:color w:val="auto"/>
          <w:sz w:val="21"/>
          <w:szCs w:val="21"/>
          <w:lang w:val="en-AU"/>
        </w:rPr>
        <w:t>MEF</w:t>
      </w:r>
      <w:r w:rsidRPr="00433F80">
        <w:rPr>
          <w:color w:val="auto"/>
          <w:sz w:val="21"/>
          <w:szCs w:val="21"/>
          <w:lang w:val="en-AU"/>
        </w:rPr>
        <w:t xml:space="preserve">, and technical expertise </w:t>
      </w:r>
      <w:r w:rsidR="00AC1BD1" w:rsidRPr="00433F80">
        <w:rPr>
          <w:color w:val="auto"/>
          <w:sz w:val="21"/>
          <w:szCs w:val="21"/>
          <w:lang w:val="en-AU"/>
        </w:rPr>
        <w:t xml:space="preserve">to </w:t>
      </w:r>
      <w:r w:rsidRPr="00433F80">
        <w:rPr>
          <w:color w:val="auto"/>
          <w:sz w:val="21"/>
          <w:szCs w:val="21"/>
          <w:lang w:val="en-AU"/>
        </w:rPr>
        <w:t xml:space="preserve">drive reforms in social service delivery in Cambodia. </w:t>
      </w:r>
      <w:r w:rsidR="00DA6993" w:rsidRPr="00433F80">
        <w:rPr>
          <w:color w:val="auto"/>
          <w:sz w:val="21"/>
          <w:szCs w:val="21"/>
          <w:lang w:val="en-AU"/>
        </w:rPr>
        <w:t>An investment in a country-level partnership with the World Bank is consistent with development priorities for Southeast Asia</w:t>
      </w:r>
      <w:r w:rsidR="00C80103" w:rsidRPr="00433F80">
        <w:rPr>
          <w:color w:val="auto"/>
          <w:sz w:val="21"/>
          <w:szCs w:val="21"/>
          <w:lang w:val="en-AU"/>
        </w:rPr>
        <w:t>,</w:t>
      </w:r>
      <w:r w:rsidR="00DA6993" w:rsidRPr="00433F80">
        <w:rPr>
          <w:color w:val="auto"/>
          <w:sz w:val="21"/>
          <w:szCs w:val="21"/>
          <w:lang w:val="en-AU"/>
        </w:rPr>
        <w:t xml:space="preserve"> as outlined in the SED regional and Cambodian </w:t>
      </w:r>
      <w:r w:rsidR="00DA6993" w:rsidRPr="00433F80">
        <w:rPr>
          <w:b/>
          <w:color w:val="auto"/>
          <w:sz w:val="21"/>
          <w:szCs w:val="21"/>
          <w:lang w:val="en-AU"/>
        </w:rPr>
        <w:t>COVID-19 Development Response Plans</w:t>
      </w:r>
      <w:r w:rsidR="00DA6993" w:rsidRPr="00433F80">
        <w:rPr>
          <w:color w:val="auto"/>
          <w:sz w:val="21"/>
          <w:szCs w:val="21"/>
          <w:lang w:val="en-AU"/>
        </w:rPr>
        <w:t xml:space="preserve">. </w:t>
      </w:r>
    </w:p>
    <w:bookmarkEnd w:id="4"/>
    <w:p w14:paraId="44925D1E" w14:textId="43B7BEFA" w:rsidR="00933823" w:rsidRPr="00433F80" w:rsidRDefault="00933823" w:rsidP="005E6171">
      <w:pPr>
        <w:suppressAutoHyphens w:val="0"/>
        <w:spacing w:line="360" w:lineRule="auto"/>
        <w:rPr>
          <w:b/>
          <w:color w:val="auto"/>
          <w:sz w:val="21"/>
          <w:szCs w:val="21"/>
          <w:lang w:val="en-AU"/>
        </w:rPr>
      </w:pPr>
      <w:r w:rsidRPr="00433F80">
        <w:rPr>
          <w:b/>
          <w:color w:val="auto"/>
          <w:sz w:val="21"/>
          <w:szCs w:val="21"/>
          <w:lang w:val="en-AU"/>
        </w:rPr>
        <w:t>Partnership overview</w:t>
      </w:r>
    </w:p>
    <w:p w14:paraId="3BC2E3A2" w14:textId="7540DF53" w:rsidR="00D14113" w:rsidRPr="00433F80" w:rsidRDefault="00786FC2" w:rsidP="005E6171">
      <w:pPr>
        <w:tabs>
          <w:tab w:val="left" w:pos="284"/>
        </w:tabs>
        <w:suppressAutoHyphens w:val="0"/>
        <w:spacing w:before="0" w:line="360" w:lineRule="auto"/>
        <w:rPr>
          <w:rFonts w:cs="Arial"/>
          <w:color w:val="auto"/>
          <w:sz w:val="21"/>
          <w:szCs w:val="21"/>
          <w:lang w:val="en-AU" w:eastAsia="en-AU"/>
        </w:rPr>
      </w:pPr>
      <w:r w:rsidRPr="00433F80">
        <w:rPr>
          <w:color w:val="auto"/>
          <w:sz w:val="21"/>
          <w:szCs w:val="21"/>
          <w:lang w:val="en-AU"/>
        </w:rPr>
        <w:t xml:space="preserve">The proposed </w:t>
      </w:r>
      <w:r w:rsidR="00FD0927" w:rsidRPr="00433F80">
        <w:rPr>
          <w:color w:val="auto"/>
          <w:sz w:val="21"/>
          <w:szCs w:val="21"/>
          <w:lang w:val="en-AU"/>
        </w:rPr>
        <w:t xml:space="preserve">Australia-World Bank Partnership for Promoting Inclusion, Sustainability and Equality in Cambodia (the PROMISE Partnership) </w:t>
      </w:r>
      <w:r w:rsidR="00D14113" w:rsidRPr="00433F80">
        <w:rPr>
          <w:rFonts w:cs="Arial"/>
          <w:color w:val="auto"/>
          <w:sz w:val="21"/>
          <w:szCs w:val="21"/>
          <w:lang w:val="en-AU" w:eastAsia="en-AU"/>
        </w:rPr>
        <w:t>has an overarching goal: “</w:t>
      </w:r>
      <w:r w:rsidR="00D14113" w:rsidRPr="00433F80">
        <w:rPr>
          <w:rFonts w:cs="Arial"/>
          <w:b/>
          <w:i/>
          <w:color w:val="auto"/>
          <w:sz w:val="21"/>
          <w:szCs w:val="21"/>
          <w:lang w:val="en-AU" w:eastAsia="en-AU"/>
        </w:rPr>
        <w:t>To provide a platform for collaboration to strengthen the sustainability and inclusiveness of public services, economic opportunities and COVID-19 recovery in Cambodia</w:t>
      </w:r>
      <w:r w:rsidR="00D14113" w:rsidRPr="00433F80">
        <w:rPr>
          <w:rFonts w:cs="Arial"/>
          <w:color w:val="auto"/>
          <w:sz w:val="21"/>
          <w:szCs w:val="21"/>
          <w:lang w:val="en-AU" w:eastAsia="en-AU"/>
        </w:rPr>
        <w:t>.”</w:t>
      </w:r>
    </w:p>
    <w:p w14:paraId="491C3AD2" w14:textId="0DD54F77" w:rsidR="00786FC2" w:rsidRPr="00433F80" w:rsidRDefault="00AE253C" w:rsidP="005E6171">
      <w:pPr>
        <w:tabs>
          <w:tab w:val="left" w:pos="284"/>
        </w:tabs>
        <w:suppressAutoHyphens w:val="0"/>
        <w:spacing w:before="0" w:line="360" w:lineRule="auto"/>
        <w:rPr>
          <w:color w:val="auto"/>
          <w:sz w:val="21"/>
          <w:szCs w:val="21"/>
          <w:lang w:val="en-AU"/>
        </w:rPr>
      </w:pPr>
      <w:r w:rsidRPr="00433F80">
        <w:rPr>
          <w:color w:val="auto"/>
          <w:sz w:val="21"/>
          <w:szCs w:val="21"/>
          <w:lang w:val="en-AU"/>
        </w:rPr>
        <w:t xml:space="preserve">The </w:t>
      </w:r>
      <w:r w:rsidR="00A011F1" w:rsidRPr="00433F80">
        <w:rPr>
          <w:color w:val="auto"/>
          <w:sz w:val="21"/>
          <w:szCs w:val="21"/>
          <w:lang w:val="en-AU"/>
        </w:rPr>
        <w:t>P</w:t>
      </w:r>
      <w:r w:rsidRPr="00433F80">
        <w:rPr>
          <w:color w:val="auto"/>
          <w:sz w:val="21"/>
          <w:szCs w:val="21"/>
          <w:lang w:val="en-AU"/>
        </w:rPr>
        <w:t>artnership will have three components</w:t>
      </w:r>
      <w:r w:rsidR="00AF1788" w:rsidRPr="00433F80">
        <w:rPr>
          <w:color w:val="auto"/>
          <w:sz w:val="21"/>
          <w:szCs w:val="21"/>
          <w:lang w:val="en-AU"/>
        </w:rPr>
        <w:t>. T</w:t>
      </w:r>
      <w:r w:rsidR="00514292" w:rsidRPr="00433F80">
        <w:rPr>
          <w:color w:val="auto"/>
          <w:sz w:val="21"/>
          <w:szCs w:val="21"/>
          <w:lang w:val="en-AU"/>
        </w:rPr>
        <w:t xml:space="preserve">wo </w:t>
      </w:r>
      <w:r w:rsidR="00AF1788" w:rsidRPr="00433F80">
        <w:rPr>
          <w:color w:val="auto"/>
          <w:sz w:val="21"/>
          <w:szCs w:val="21"/>
          <w:lang w:val="en-AU"/>
        </w:rPr>
        <w:t xml:space="preserve">components </w:t>
      </w:r>
      <w:r w:rsidR="00D14113" w:rsidRPr="00433F80">
        <w:rPr>
          <w:color w:val="auto"/>
          <w:sz w:val="21"/>
          <w:szCs w:val="21"/>
          <w:lang w:val="en-AU"/>
        </w:rPr>
        <w:t xml:space="preserve">will make </w:t>
      </w:r>
      <w:r w:rsidR="00514292" w:rsidRPr="00433F80">
        <w:rPr>
          <w:color w:val="auto"/>
          <w:sz w:val="21"/>
          <w:szCs w:val="21"/>
          <w:lang w:val="en-AU"/>
        </w:rPr>
        <w:t>contributions to</w:t>
      </w:r>
      <w:r w:rsidRPr="00433F80">
        <w:rPr>
          <w:color w:val="auto"/>
          <w:sz w:val="21"/>
          <w:szCs w:val="21"/>
          <w:lang w:val="en-AU"/>
        </w:rPr>
        <w:t xml:space="preserve"> mu</w:t>
      </w:r>
      <w:r w:rsidR="00514292" w:rsidRPr="00433F80">
        <w:rPr>
          <w:color w:val="auto"/>
          <w:sz w:val="21"/>
          <w:szCs w:val="21"/>
          <w:lang w:val="en-AU"/>
        </w:rPr>
        <w:t>l</w:t>
      </w:r>
      <w:r w:rsidRPr="00433F80">
        <w:rPr>
          <w:color w:val="auto"/>
          <w:sz w:val="21"/>
          <w:szCs w:val="21"/>
          <w:lang w:val="en-AU"/>
        </w:rPr>
        <w:t>ti-donor</w:t>
      </w:r>
      <w:r w:rsidR="00786FC2" w:rsidRPr="00433F80">
        <w:rPr>
          <w:color w:val="auto"/>
          <w:sz w:val="21"/>
          <w:szCs w:val="21"/>
          <w:lang w:val="en-AU"/>
        </w:rPr>
        <w:t xml:space="preserve"> </w:t>
      </w:r>
      <w:r w:rsidRPr="00433F80">
        <w:rPr>
          <w:color w:val="auto"/>
          <w:sz w:val="21"/>
          <w:szCs w:val="21"/>
          <w:lang w:val="en-AU"/>
        </w:rPr>
        <w:t xml:space="preserve">projects </w:t>
      </w:r>
      <w:r w:rsidR="00514292" w:rsidRPr="00433F80">
        <w:rPr>
          <w:color w:val="auto"/>
          <w:sz w:val="21"/>
          <w:szCs w:val="21"/>
          <w:lang w:val="en-AU"/>
        </w:rPr>
        <w:t>implemented by the Cambodian government (</w:t>
      </w:r>
      <w:r w:rsidR="00786FC2" w:rsidRPr="00433F80">
        <w:rPr>
          <w:color w:val="auto"/>
          <w:sz w:val="21"/>
          <w:szCs w:val="21"/>
          <w:lang w:val="en-AU"/>
        </w:rPr>
        <w:t xml:space="preserve">in </w:t>
      </w:r>
      <w:r w:rsidR="00514292" w:rsidRPr="00433F80">
        <w:rPr>
          <w:color w:val="auto"/>
          <w:sz w:val="21"/>
          <w:szCs w:val="21"/>
          <w:lang w:val="en-AU"/>
        </w:rPr>
        <w:t>health and social accountability)</w:t>
      </w:r>
      <w:r w:rsidR="00AF1788" w:rsidRPr="00433F80">
        <w:rPr>
          <w:color w:val="auto"/>
          <w:sz w:val="21"/>
          <w:szCs w:val="21"/>
          <w:lang w:val="en-AU"/>
        </w:rPr>
        <w:t xml:space="preserve">. </w:t>
      </w:r>
      <w:r w:rsidR="00490E90" w:rsidRPr="00433F80">
        <w:rPr>
          <w:color w:val="auto"/>
          <w:sz w:val="21"/>
          <w:szCs w:val="21"/>
          <w:lang w:val="en-AU"/>
        </w:rPr>
        <w:t xml:space="preserve">The World Bank will </w:t>
      </w:r>
      <w:r w:rsidR="00786FC2" w:rsidRPr="00433F80">
        <w:rPr>
          <w:color w:val="auto"/>
          <w:sz w:val="21"/>
          <w:szCs w:val="21"/>
          <w:lang w:val="en-AU"/>
        </w:rPr>
        <w:t xml:space="preserve">directly </w:t>
      </w:r>
      <w:r w:rsidR="00490E90" w:rsidRPr="00433F80">
        <w:rPr>
          <w:color w:val="auto"/>
          <w:sz w:val="21"/>
          <w:szCs w:val="21"/>
          <w:lang w:val="en-AU"/>
        </w:rPr>
        <w:t xml:space="preserve">implement a third, smaller </w:t>
      </w:r>
      <w:r w:rsidR="00431826" w:rsidRPr="00433F80">
        <w:rPr>
          <w:color w:val="auto"/>
          <w:sz w:val="21"/>
          <w:szCs w:val="21"/>
          <w:lang w:val="en-AU"/>
        </w:rPr>
        <w:t xml:space="preserve">component </w:t>
      </w:r>
      <w:r w:rsidR="00490E90" w:rsidRPr="00433F80">
        <w:rPr>
          <w:color w:val="auto"/>
          <w:sz w:val="21"/>
          <w:szCs w:val="21"/>
          <w:lang w:val="en-AU"/>
        </w:rPr>
        <w:t>that will support equitable development (such as gender equality, social protection, and inclusive economic development) by rapidly deploying</w:t>
      </w:r>
      <w:r w:rsidR="004E065D" w:rsidRPr="00433F80">
        <w:rPr>
          <w:color w:val="auto"/>
          <w:sz w:val="21"/>
          <w:szCs w:val="21"/>
          <w:lang w:val="en-AU"/>
        </w:rPr>
        <w:t xml:space="preserve"> analytical products</w:t>
      </w:r>
      <w:r w:rsidR="00490E90" w:rsidRPr="00433F80">
        <w:rPr>
          <w:color w:val="auto"/>
          <w:sz w:val="21"/>
          <w:szCs w:val="21"/>
          <w:lang w:val="en-AU"/>
        </w:rPr>
        <w:t xml:space="preserve"> or small, catalytic activities</w:t>
      </w:r>
      <w:r w:rsidR="004E065D" w:rsidRPr="00433F80">
        <w:rPr>
          <w:color w:val="auto"/>
          <w:sz w:val="21"/>
          <w:szCs w:val="21"/>
          <w:lang w:val="en-AU"/>
        </w:rPr>
        <w:t xml:space="preserve"> on key policy issues</w:t>
      </w:r>
      <w:r w:rsidR="00514292" w:rsidRPr="00433F80">
        <w:rPr>
          <w:color w:val="auto"/>
          <w:sz w:val="21"/>
          <w:szCs w:val="21"/>
          <w:lang w:val="en-AU"/>
        </w:rPr>
        <w:t>.</w:t>
      </w:r>
      <w:r w:rsidR="00786FC2" w:rsidRPr="00433F80">
        <w:rPr>
          <w:color w:val="auto"/>
          <w:sz w:val="21"/>
          <w:szCs w:val="21"/>
          <w:lang w:val="en-AU"/>
        </w:rPr>
        <w:t xml:space="preserve"> This </w:t>
      </w:r>
      <w:r w:rsidR="00FD0927" w:rsidRPr="00433F80">
        <w:rPr>
          <w:color w:val="auto"/>
          <w:sz w:val="21"/>
          <w:szCs w:val="21"/>
          <w:lang w:val="en-AU"/>
        </w:rPr>
        <w:t xml:space="preserve">bank-executed </w:t>
      </w:r>
      <w:r w:rsidR="00786FC2" w:rsidRPr="00433F80">
        <w:rPr>
          <w:color w:val="auto"/>
          <w:sz w:val="21"/>
          <w:szCs w:val="21"/>
          <w:lang w:val="en-AU"/>
        </w:rPr>
        <w:t xml:space="preserve">component also provides funding to support </w:t>
      </w:r>
      <w:r w:rsidR="00900146" w:rsidRPr="00433F80">
        <w:rPr>
          <w:color w:val="auto"/>
          <w:sz w:val="21"/>
          <w:szCs w:val="21"/>
          <w:lang w:val="en-AU"/>
        </w:rPr>
        <w:t xml:space="preserve">effective </w:t>
      </w:r>
      <w:r w:rsidR="00786FC2" w:rsidRPr="00433F80">
        <w:rPr>
          <w:color w:val="auto"/>
          <w:sz w:val="21"/>
          <w:szCs w:val="21"/>
          <w:lang w:val="en-AU"/>
        </w:rPr>
        <w:t>Partnership management</w:t>
      </w:r>
      <w:r w:rsidR="00900146" w:rsidRPr="00433F80">
        <w:rPr>
          <w:color w:val="auto"/>
          <w:sz w:val="21"/>
          <w:szCs w:val="21"/>
          <w:lang w:val="en-AU"/>
        </w:rPr>
        <w:t xml:space="preserve"> that satisfies DFAT requirements</w:t>
      </w:r>
      <w:r w:rsidR="00FD0927" w:rsidRPr="00433F80">
        <w:rPr>
          <w:color w:val="auto"/>
          <w:sz w:val="21"/>
          <w:szCs w:val="21"/>
          <w:lang w:val="en-AU"/>
        </w:rPr>
        <w:t>, including for communications / visibility</w:t>
      </w:r>
      <w:r w:rsidR="00786FC2" w:rsidRPr="00433F80">
        <w:rPr>
          <w:color w:val="auto"/>
          <w:sz w:val="21"/>
          <w:szCs w:val="21"/>
          <w:lang w:val="en-AU"/>
        </w:rPr>
        <w:t>.</w:t>
      </w:r>
    </w:p>
    <w:p w14:paraId="478FD291" w14:textId="4B564ED0" w:rsidR="00AE253C" w:rsidRPr="00433F80" w:rsidRDefault="00786FC2" w:rsidP="005E6171">
      <w:pPr>
        <w:tabs>
          <w:tab w:val="left" w:pos="284"/>
        </w:tabs>
        <w:suppressAutoHyphens w:val="0"/>
        <w:spacing w:before="0" w:after="240" w:line="360" w:lineRule="auto"/>
        <w:rPr>
          <w:color w:val="auto"/>
          <w:sz w:val="21"/>
          <w:szCs w:val="21"/>
          <w:lang w:val="en-AU"/>
        </w:rPr>
      </w:pPr>
      <w:r w:rsidRPr="00433F80">
        <w:rPr>
          <w:color w:val="auto"/>
          <w:sz w:val="21"/>
          <w:szCs w:val="21"/>
          <w:lang w:val="en-AU"/>
        </w:rPr>
        <w:t>In addition to enabling us to influence the large Cambodian Government loan associated with the health project, this Partnership approach gives Australia the potential to influence results across the World Bank’s broader portfolio in Cambodia by leveraging Australia’s unique value-add: a prioritising of gender and social inclusion, flexible grant financing for advice and analytics, political economy insights and an ability to convene stakeholders, including multilateral, government and civil society.</w:t>
      </w:r>
      <w:r w:rsidR="00514292" w:rsidRPr="00433F80">
        <w:rPr>
          <w:color w:val="auto"/>
          <w:sz w:val="21"/>
          <w:szCs w:val="21"/>
          <w:lang w:val="en-AU"/>
        </w:rPr>
        <w:t xml:space="preserve"> </w:t>
      </w:r>
      <w:r w:rsidR="00AE253C" w:rsidRPr="00433F80">
        <w:rPr>
          <w:color w:val="auto"/>
          <w:sz w:val="21"/>
          <w:szCs w:val="21"/>
          <w:lang w:val="en-AU"/>
        </w:rPr>
        <w:t xml:space="preserve"> </w:t>
      </w:r>
    </w:p>
    <w:tbl>
      <w:tblPr>
        <w:tblStyle w:val="TableGrid"/>
        <w:tblW w:w="9458" w:type="dxa"/>
        <w:tblLook w:val="04A0" w:firstRow="1" w:lastRow="0" w:firstColumn="1" w:lastColumn="0" w:noHBand="0" w:noVBand="1"/>
      </w:tblPr>
      <w:tblGrid>
        <w:gridCol w:w="2122"/>
        <w:gridCol w:w="7336"/>
      </w:tblGrid>
      <w:tr w:rsidR="00470C08" w:rsidRPr="00433F80" w14:paraId="7A517910" w14:textId="77777777" w:rsidTr="003C3B6A">
        <w:trPr>
          <w:trHeight w:val="116"/>
          <w:tblHeader/>
        </w:trPr>
        <w:tc>
          <w:tcPr>
            <w:tcW w:w="2122" w:type="dxa"/>
            <w:shd w:val="clear" w:color="auto" w:fill="E0F3EF" w:themeFill="accent1" w:themeFillTint="33"/>
          </w:tcPr>
          <w:p w14:paraId="5A3954C3" w14:textId="77777777" w:rsidR="00470C08" w:rsidRPr="00433F80" w:rsidRDefault="00470C08" w:rsidP="005E6171">
            <w:pPr>
              <w:tabs>
                <w:tab w:val="left" w:pos="284"/>
              </w:tabs>
              <w:suppressAutoHyphens w:val="0"/>
              <w:spacing w:before="0" w:line="360" w:lineRule="auto"/>
              <w:jc w:val="center"/>
              <w:rPr>
                <w:b/>
                <w:color w:val="auto"/>
                <w:sz w:val="21"/>
                <w:szCs w:val="21"/>
                <w:lang w:val="en-AU" w:eastAsia="en-AU"/>
              </w:rPr>
            </w:pPr>
            <w:r w:rsidRPr="00433F80">
              <w:rPr>
                <w:b/>
                <w:color w:val="auto"/>
                <w:sz w:val="21"/>
                <w:szCs w:val="21"/>
                <w:lang w:val="en-AU" w:eastAsia="en-AU"/>
              </w:rPr>
              <w:t>Component / project</w:t>
            </w:r>
          </w:p>
        </w:tc>
        <w:tc>
          <w:tcPr>
            <w:tcW w:w="7336" w:type="dxa"/>
            <w:shd w:val="clear" w:color="auto" w:fill="E0F3EF" w:themeFill="accent1" w:themeFillTint="33"/>
          </w:tcPr>
          <w:p w14:paraId="0DB8819F" w14:textId="7A7A47BD" w:rsidR="00470C08" w:rsidRPr="00433F80" w:rsidRDefault="00470C08" w:rsidP="005E6171">
            <w:pPr>
              <w:tabs>
                <w:tab w:val="left" w:pos="284"/>
              </w:tabs>
              <w:suppressAutoHyphens w:val="0"/>
              <w:spacing w:before="0" w:line="360" w:lineRule="auto"/>
              <w:jc w:val="center"/>
              <w:rPr>
                <w:b/>
                <w:color w:val="auto"/>
                <w:sz w:val="21"/>
                <w:szCs w:val="21"/>
                <w:lang w:val="en-AU" w:eastAsia="en-AU"/>
              </w:rPr>
            </w:pPr>
            <w:r>
              <w:rPr>
                <w:b/>
                <w:color w:val="auto"/>
                <w:sz w:val="21"/>
                <w:szCs w:val="21"/>
                <w:lang w:val="en-AU" w:eastAsia="en-AU"/>
              </w:rPr>
              <w:t>Timeline</w:t>
            </w:r>
          </w:p>
        </w:tc>
      </w:tr>
      <w:tr w:rsidR="00470C08" w:rsidRPr="00433F80" w14:paraId="4CE59014" w14:textId="77777777" w:rsidTr="00F94780">
        <w:tc>
          <w:tcPr>
            <w:tcW w:w="2122" w:type="dxa"/>
            <w:shd w:val="clear" w:color="auto" w:fill="F2F2F2" w:themeFill="background1" w:themeFillShade="F2"/>
          </w:tcPr>
          <w:p w14:paraId="3E858C1B" w14:textId="77777777" w:rsidR="00470C08" w:rsidRPr="00433F80" w:rsidRDefault="00470C08" w:rsidP="005E6171">
            <w:pPr>
              <w:tabs>
                <w:tab w:val="left" w:pos="284"/>
              </w:tabs>
              <w:suppressAutoHyphens w:val="0"/>
              <w:spacing w:before="0" w:after="0" w:line="360" w:lineRule="auto"/>
              <w:jc w:val="center"/>
              <w:rPr>
                <w:rFonts w:eastAsia="Times New Roman" w:cs="Arial"/>
                <w:b/>
                <w:color w:val="auto"/>
                <w:sz w:val="18"/>
                <w:szCs w:val="18"/>
                <w:lang w:val="en-AU" w:eastAsia="en-AU"/>
              </w:rPr>
            </w:pPr>
            <w:r w:rsidRPr="00433F80">
              <w:rPr>
                <w:rFonts w:eastAsia="Times New Roman" w:cs="Arial"/>
                <w:b/>
                <w:color w:val="auto"/>
                <w:sz w:val="18"/>
                <w:szCs w:val="18"/>
                <w:lang w:val="en-AU" w:eastAsia="en-AU"/>
              </w:rPr>
              <w:t>1. Health Equity and Quality Improvement Project (H-EQIP)</w:t>
            </w:r>
          </w:p>
          <w:p w14:paraId="229E65E2" w14:textId="491A5F73" w:rsidR="00470C08" w:rsidRPr="00433F80" w:rsidRDefault="00470C08" w:rsidP="005E6171">
            <w:pPr>
              <w:tabs>
                <w:tab w:val="left" w:pos="284"/>
              </w:tabs>
              <w:suppressAutoHyphens w:val="0"/>
              <w:spacing w:before="0" w:line="360" w:lineRule="auto"/>
              <w:jc w:val="center"/>
              <w:rPr>
                <w:rFonts w:eastAsia="Times New Roman" w:cs="Arial"/>
                <w:color w:val="auto"/>
                <w:sz w:val="18"/>
                <w:szCs w:val="18"/>
                <w:lang w:val="en-AU" w:eastAsia="en-AU"/>
              </w:rPr>
            </w:pPr>
            <w:r w:rsidRPr="00433F80">
              <w:rPr>
                <w:rFonts w:eastAsia="Times New Roman" w:cs="Arial"/>
                <w:color w:val="auto"/>
                <w:sz w:val="14"/>
                <w:szCs w:val="18"/>
                <w:lang w:val="en-AU" w:eastAsia="en-AU"/>
              </w:rPr>
              <w:t>Multi-donor project</w:t>
            </w:r>
          </w:p>
        </w:tc>
        <w:tc>
          <w:tcPr>
            <w:tcW w:w="7336" w:type="dxa"/>
            <w:vAlign w:val="center"/>
          </w:tcPr>
          <w:p w14:paraId="3CAD1008" w14:textId="77777777" w:rsidR="00470C08" w:rsidRDefault="00470C08" w:rsidP="005E6171">
            <w:pPr>
              <w:tabs>
                <w:tab w:val="left" w:pos="284"/>
              </w:tabs>
              <w:suppressAutoHyphens w:val="0"/>
              <w:spacing w:before="0" w:line="360" w:lineRule="auto"/>
              <w:rPr>
                <w:color w:val="auto"/>
                <w:sz w:val="18"/>
                <w:szCs w:val="18"/>
                <w:lang w:val="en-AU" w:eastAsia="en-AU"/>
              </w:rPr>
            </w:pPr>
            <w:r>
              <w:rPr>
                <w:color w:val="auto"/>
                <w:sz w:val="18"/>
                <w:szCs w:val="18"/>
                <w:lang w:val="en-AU" w:eastAsia="en-AU"/>
              </w:rPr>
              <w:t>2021 – mid-2022</w:t>
            </w:r>
          </w:p>
          <w:p w14:paraId="5C89CAE5" w14:textId="77777777" w:rsidR="00470C08" w:rsidRPr="00433F80" w:rsidRDefault="00470C08" w:rsidP="005E6171">
            <w:pPr>
              <w:tabs>
                <w:tab w:val="left" w:pos="284"/>
              </w:tabs>
              <w:suppressAutoHyphens w:val="0"/>
              <w:spacing w:before="0" w:line="360" w:lineRule="auto"/>
              <w:rPr>
                <w:color w:val="auto"/>
                <w:sz w:val="18"/>
                <w:szCs w:val="18"/>
                <w:lang w:val="en-AU" w:eastAsia="en-AU"/>
              </w:rPr>
            </w:pPr>
            <w:r w:rsidRPr="00433F80">
              <w:rPr>
                <w:color w:val="auto"/>
                <w:sz w:val="18"/>
                <w:szCs w:val="18"/>
                <w:lang w:val="en-AU" w:eastAsia="en-AU"/>
              </w:rPr>
              <w:t xml:space="preserve">Phase 1 – AUD50 million* </w:t>
            </w:r>
            <w:r w:rsidRPr="00433F80">
              <w:rPr>
                <w:color w:val="auto"/>
                <w:sz w:val="16"/>
                <w:szCs w:val="18"/>
                <w:lang w:val="en-AU" w:eastAsia="en-AU"/>
              </w:rPr>
              <w:t xml:space="preserve">(*existing commitment, not formally under the partnership) </w:t>
            </w:r>
          </w:p>
          <w:p w14:paraId="5F39F129" w14:textId="564CD4BA" w:rsidR="00470C08" w:rsidRPr="00433F80" w:rsidRDefault="00470C08" w:rsidP="005E6171">
            <w:pPr>
              <w:tabs>
                <w:tab w:val="left" w:pos="284"/>
              </w:tabs>
              <w:suppressAutoHyphens w:val="0"/>
              <w:spacing w:before="0" w:line="360" w:lineRule="auto"/>
              <w:rPr>
                <w:i/>
                <w:color w:val="auto"/>
                <w:sz w:val="18"/>
                <w:szCs w:val="18"/>
                <w:lang w:val="en-AU" w:eastAsia="en-AU"/>
              </w:rPr>
            </w:pPr>
            <w:r w:rsidRPr="00470C08">
              <w:rPr>
                <w:iCs/>
                <w:color w:val="auto"/>
                <w:sz w:val="18"/>
                <w:szCs w:val="18"/>
                <w:lang w:val="en-AU" w:eastAsia="en-AU"/>
              </w:rPr>
              <w:t>Mid-2022 to 2025</w:t>
            </w:r>
            <w:r w:rsidRPr="00470C08">
              <w:rPr>
                <w:i/>
                <w:color w:val="auto"/>
                <w:sz w:val="18"/>
                <w:szCs w:val="18"/>
                <w:lang w:val="en-AU" w:eastAsia="en-AU"/>
              </w:rPr>
              <w:br/>
            </w:r>
            <w:r w:rsidRPr="00433F80">
              <w:rPr>
                <w:i/>
                <w:color w:val="auto"/>
                <w:sz w:val="18"/>
                <w:szCs w:val="18"/>
                <w:u w:val="single"/>
                <w:lang w:val="en-AU" w:eastAsia="en-AU"/>
              </w:rPr>
              <w:t>Phase 2 – AUD30 million through the Partnership</w:t>
            </w:r>
            <w:r w:rsidRPr="00433F80">
              <w:rPr>
                <w:i/>
                <w:color w:val="auto"/>
                <w:sz w:val="18"/>
                <w:szCs w:val="18"/>
                <w:lang w:val="en-AU" w:eastAsia="en-AU"/>
              </w:rPr>
              <w:t xml:space="preserve"> (implementation may extend beyond 2025</w:t>
            </w:r>
            <w:r>
              <w:rPr>
                <w:i/>
                <w:color w:val="auto"/>
                <w:sz w:val="18"/>
                <w:szCs w:val="18"/>
                <w:lang w:val="en-AU" w:eastAsia="en-AU"/>
              </w:rPr>
              <w:t xml:space="preserve">) </w:t>
            </w:r>
          </w:p>
        </w:tc>
      </w:tr>
      <w:tr w:rsidR="00470C08" w:rsidRPr="00433F80" w14:paraId="38E4D296" w14:textId="77777777" w:rsidTr="000A2784">
        <w:tc>
          <w:tcPr>
            <w:tcW w:w="2122" w:type="dxa"/>
            <w:shd w:val="clear" w:color="auto" w:fill="F2F2F2" w:themeFill="background1" w:themeFillShade="F2"/>
          </w:tcPr>
          <w:p w14:paraId="5CB3051A" w14:textId="77777777" w:rsidR="00470C08" w:rsidRPr="00433F80" w:rsidRDefault="00470C08" w:rsidP="005E6171">
            <w:pPr>
              <w:tabs>
                <w:tab w:val="left" w:pos="284"/>
              </w:tabs>
              <w:suppressAutoHyphens w:val="0"/>
              <w:spacing w:before="0" w:after="0" w:line="360" w:lineRule="auto"/>
              <w:jc w:val="center"/>
              <w:rPr>
                <w:b/>
                <w:color w:val="auto"/>
                <w:sz w:val="18"/>
                <w:szCs w:val="18"/>
                <w:lang w:val="en-AU" w:eastAsia="en-AU"/>
              </w:rPr>
            </w:pPr>
            <w:r w:rsidRPr="00433F80">
              <w:rPr>
                <w:b/>
                <w:color w:val="auto"/>
                <w:sz w:val="18"/>
                <w:szCs w:val="18"/>
                <w:lang w:val="en-AU" w:eastAsia="en-AU"/>
              </w:rPr>
              <w:t>2. Implementation of the Social Accountability Framework (ISAF)</w:t>
            </w:r>
          </w:p>
          <w:p w14:paraId="1DD53578" w14:textId="08278129" w:rsidR="00470C08" w:rsidRPr="00433F80" w:rsidRDefault="00470C08" w:rsidP="005E6171">
            <w:pPr>
              <w:tabs>
                <w:tab w:val="left" w:pos="284"/>
              </w:tabs>
              <w:suppressAutoHyphens w:val="0"/>
              <w:spacing w:before="0" w:line="360" w:lineRule="auto"/>
              <w:jc w:val="center"/>
              <w:rPr>
                <w:b/>
                <w:color w:val="auto"/>
                <w:sz w:val="18"/>
                <w:szCs w:val="18"/>
                <w:lang w:val="en-AU" w:eastAsia="en-AU"/>
              </w:rPr>
            </w:pPr>
            <w:r w:rsidRPr="00433F80">
              <w:rPr>
                <w:rFonts w:eastAsia="Times New Roman" w:cs="Arial"/>
                <w:color w:val="auto"/>
                <w:sz w:val="14"/>
                <w:szCs w:val="18"/>
                <w:lang w:val="en-AU" w:eastAsia="en-AU"/>
              </w:rPr>
              <w:t>Multi-donor project</w:t>
            </w:r>
          </w:p>
        </w:tc>
        <w:tc>
          <w:tcPr>
            <w:tcW w:w="7336" w:type="dxa"/>
            <w:vAlign w:val="center"/>
          </w:tcPr>
          <w:p w14:paraId="401440B6" w14:textId="77777777" w:rsidR="00470C08" w:rsidRPr="00433F80" w:rsidRDefault="00470C08" w:rsidP="005E6171">
            <w:pPr>
              <w:tabs>
                <w:tab w:val="left" w:pos="284"/>
              </w:tabs>
              <w:suppressAutoHyphens w:val="0"/>
              <w:spacing w:before="0" w:line="360" w:lineRule="auto"/>
              <w:rPr>
                <w:i/>
                <w:color w:val="auto"/>
                <w:sz w:val="18"/>
                <w:szCs w:val="18"/>
                <w:u w:val="single"/>
                <w:lang w:val="en-AU" w:eastAsia="en-AU"/>
              </w:rPr>
            </w:pPr>
            <w:r w:rsidRPr="00470C08">
              <w:rPr>
                <w:iCs/>
                <w:color w:val="auto"/>
                <w:sz w:val="18"/>
                <w:szCs w:val="18"/>
                <w:lang w:val="en-AU" w:eastAsia="en-AU"/>
              </w:rPr>
              <w:t>2021-2023</w:t>
            </w:r>
            <w:r>
              <w:rPr>
                <w:i/>
                <w:color w:val="auto"/>
                <w:sz w:val="18"/>
                <w:szCs w:val="18"/>
                <w:u w:val="single"/>
                <w:lang w:val="en-AU" w:eastAsia="en-AU"/>
              </w:rPr>
              <w:br/>
            </w:r>
            <w:r w:rsidRPr="00433F80">
              <w:rPr>
                <w:i/>
                <w:color w:val="auto"/>
                <w:sz w:val="18"/>
                <w:szCs w:val="18"/>
                <w:u w:val="single"/>
                <w:lang w:val="en-AU" w:eastAsia="en-AU"/>
              </w:rPr>
              <w:t>Phase 2 – Up to AUD15 million through the Partnership</w:t>
            </w:r>
          </w:p>
          <w:p w14:paraId="67120208" w14:textId="3531519A" w:rsidR="00470C08" w:rsidRPr="00433F80" w:rsidRDefault="00470C08" w:rsidP="005E6171">
            <w:pPr>
              <w:tabs>
                <w:tab w:val="left" w:pos="284"/>
              </w:tabs>
              <w:suppressAutoHyphens w:val="0"/>
              <w:spacing w:before="0" w:line="360" w:lineRule="auto"/>
              <w:rPr>
                <w:color w:val="auto"/>
                <w:sz w:val="21"/>
                <w:szCs w:val="21"/>
                <w:lang w:val="en-AU" w:eastAsia="en-AU"/>
              </w:rPr>
            </w:pPr>
            <w:r>
              <w:rPr>
                <w:color w:val="auto"/>
                <w:sz w:val="18"/>
                <w:szCs w:val="18"/>
                <w:lang w:val="en-AU" w:eastAsia="en-AU"/>
              </w:rPr>
              <w:t>2024-2025</w:t>
            </w:r>
            <w:r>
              <w:rPr>
                <w:color w:val="auto"/>
                <w:sz w:val="18"/>
                <w:szCs w:val="18"/>
                <w:lang w:val="en-AU" w:eastAsia="en-AU"/>
              </w:rPr>
              <w:br/>
            </w:r>
            <w:r w:rsidRPr="00433F80">
              <w:rPr>
                <w:color w:val="auto"/>
                <w:sz w:val="18"/>
                <w:szCs w:val="18"/>
                <w:lang w:val="en-AU" w:eastAsia="en-AU"/>
              </w:rPr>
              <w:t>Option for follow-on or alternate social accountability effort</w:t>
            </w:r>
            <w:r>
              <w:rPr>
                <w:color w:val="auto"/>
                <w:sz w:val="18"/>
                <w:szCs w:val="18"/>
                <w:lang w:val="en-AU" w:eastAsia="en-AU"/>
              </w:rPr>
              <w:t xml:space="preserve">s  </w:t>
            </w:r>
          </w:p>
        </w:tc>
      </w:tr>
      <w:tr w:rsidR="00433F80" w:rsidRPr="00433F80" w14:paraId="7A70D55D" w14:textId="77777777" w:rsidTr="00D41D12">
        <w:tc>
          <w:tcPr>
            <w:tcW w:w="2122" w:type="dxa"/>
            <w:shd w:val="clear" w:color="auto" w:fill="F2F2F2" w:themeFill="background1" w:themeFillShade="F2"/>
          </w:tcPr>
          <w:p w14:paraId="742091CE" w14:textId="6F166ECA" w:rsidR="00514292" w:rsidRPr="00433F80" w:rsidRDefault="00514292" w:rsidP="005E6171">
            <w:pPr>
              <w:tabs>
                <w:tab w:val="left" w:pos="284"/>
              </w:tabs>
              <w:suppressAutoHyphens w:val="0"/>
              <w:spacing w:before="0" w:after="0" w:line="360" w:lineRule="auto"/>
              <w:jc w:val="center"/>
              <w:rPr>
                <w:b/>
                <w:color w:val="auto"/>
                <w:sz w:val="18"/>
                <w:szCs w:val="18"/>
                <w:lang w:val="en-AU" w:eastAsia="en-AU"/>
              </w:rPr>
            </w:pPr>
            <w:r w:rsidRPr="00433F80">
              <w:rPr>
                <w:b/>
                <w:color w:val="auto"/>
                <w:sz w:val="18"/>
                <w:szCs w:val="18"/>
                <w:lang w:val="en-AU" w:eastAsia="en-AU"/>
              </w:rPr>
              <w:lastRenderedPageBreak/>
              <w:t xml:space="preserve">3. </w:t>
            </w:r>
            <w:r w:rsidR="00721E70" w:rsidRPr="00433F80">
              <w:rPr>
                <w:b/>
                <w:color w:val="auto"/>
                <w:sz w:val="18"/>
                <w:szCs w:val="18"/>
                <w:lang w:val="en-AU" w:eastAsia="en-AU"/>
              </w:rPr>
              <w:t>The PROMISE PASA</w:t>
            </w:r>
            <w:r w:rsidRPr="00433F80">
              <w:rPr>
                <w:b/>
                <w:color w:val="auto"/>
                <w:sz w:val="18"/>
                <w:szCs w:val="18"/>
                <w:lang w:val="en-AU" w:eastAsia="en-AU"/>
              </w:rPr>
              <w:t>, trust fund management</w:t>
            </w:r>
          </w:p>
          <w:p w14:paraId="3D6F8AA0" w14:textId="4221D608" w:rsidR="004E35EB" w:rsidRPr="00433F80" w:rsidRDefault="00E558CA" w:rsidP="005E6171">
            <w:pPr>
              <w:tabs>
                <w:tab w:val="left" w:pos="284"/>
              </w:tabs>
              <w:suppressAutoHyphens w:val="0"/>
              <w:spacing w:before="0" w:line="360" w:lineRule="auto"/>
              <w:jc w:val="center"/>
              <w:rPr>
                <w:b/>
                <w:color w:val="auto"/>
                <w:sz w:val="18"/>
                <w:szCs w:val="18"/>
                <w:lang w:val="en-AU" w:eastAsia="en-AU"/>
              </w:rPr>
            </w:pPr>
            <w:r w:rsidRPr="00433F80">
              <w:rPr>
                <w:rFonts w:eastAsia="Times New Roman" w:cs="Arial"/>
                <w:color w:val="auto"/>
                <w:sz w:val="14"/>
                <w:szCs w:val="18"/>
                <w:lang w:val="en-AU" w:eastAsia="en-AU"/>
              </w:rPr>
              <w:t>Australia-only</w:t>
            </w:r>
          </w:p>
        </w:tc>
        <w:tc>
          <w:tcPr>
            <w:tcW w:w="7336" w:type="dxa"/>
            <w:vAlign w:val="center"/>
          </w:tcPr>
          <w:p w14:paraId="3668EA8B" w14:textId="4CAF3EFB" w:rsidR="00040CE8" w:rsidRPr="00433F80" w:rsidRDefault="00470C08" w:rsidP="00470C08">
            <w:pPr>
              <w:tabs>
                <w:tab w:val="left" w:pos="284"/>
              </w:tabs>
              <w:suppressAutoHyphens w:val="0"/>
              <w:spacing w:before="0" w:line="360" w:lineRule="auto"/>
              <w:rPr>
                <w:i/>
                <w:color w:val="auto"/>
                <w:sz w:val="18"/>
                <w:szCs w:val="18"/>
                <w:u w:val="single"/>
                <w:lang w:val="en-AU" w:eastAsia="en-AU"/>
              </w:rPr>
            </w:pPr>
            <w:r w:rsidRPr="00470C08">
              <w:rPr>
                <w:iCs/>
                <w:color w:val="auto"/>
                <w:sz w:val="18"/>
                <w:szCs w:val="18"/>
                <w:lang w:val="en-AU" w:eastAsia="en-AU"/>
              </w:rPr>
              <w:t>2021 – 2025</w:t>
            </w:r>
            <w:r>
              <w:rPr>
                <w:i/>
                <w:color w:val="auto"/>
                <w:sz w:val="18"/>
                <w:szCs w:val="18"/>
                <w:u w:val="single"/>
                <w:lang w:val="en-AU" w:eastAsia="en-AU"/>
              </w:rPr>
              <w:br/>
            </w:r>
            <w:r w:rsidR="00490E90" w:rsidRPr="00433F80">
              <w:rPr>
                <w:i/>
                <w:color w:val="auto"/>
                <w:sz w:val="18"/>
                <w:szCs w:val="18"/>
                <w:u w:val="single"/>
                <w:lang w:val="en-AU" w:eastAsia="en-AU"/>
              </w:rPr>
              <w:t xml:space="preserve">Up to </w:t>
            </w:r>
            <w:r w:rsidR="00514292" w:rsidRPr="00433F80">
              <w:rPr>
                <w:i/>
                <w:color w:val="auto"/>
                <w:sz w:val="18"/>
                <w:szCs w:val="18"/>
                <w:u w:val="single"/>
                <w:lang w:val="en-AU" w:eastAsia="en-AU"/>
              </w:rPr>
              <w:t>AUD</w:t>
            </w:r>
            <w:r w:rsidR="00AC1BD6" w:rsidRPr="00433F80">
              <w:rPr>
                <w:i/>
                <w:color w:val="auto"/>
                <w:sz w:val="18"/>
                <w:szCs w:val="18"/>
                <w:u w:val="single"/>
                <w:lang w:val="en-AU" w:eastAsia="en-AU"/>
              </w:rPr>
              <w:t>5</w:t>
            </w:r>
            <w:r w:rsidR="00514292" w:rsidRPr="00433F80">
              <w:rPr>
                <w:i/>
                <w:color w:val="auto"/>
                <w:sz w:val="18"/>
                <w:szCs w:val="18"/>
                <w:u w:val="single"/>
                <w:lang w:val="en-AU" w:eastAsia="en-AU"/>
              </w:rPr>
              <w:t xml:space="preserve"> million over five years through the Partnership</w:t>
            </w:r>
          </w:p>
          <w:p w14:paraId="7B25F68F" w14:textId="75B45359" w:rsidR="00721E70" w:rsidRPr="00433F80" w:rsidRDefault="00040CE8" w:rsidP="00470C08">
            <w:pPr>
              <w:tabs>
                <w:tab w:val="left" w:pos="284"/>
              </w:tabs>
              <w:suppressAutoHyphens w:val="0"/>
              <w:spacing w:before="0" w:line="360" w:lineRule="auto"/>
              <w:rPr>
                <w:i/>
                <w:color w:val="auto"/>
                <w:sz w:val="18"/>
                <w:szCs w:val="18"/>
                <w:lang w:val="en-AU" w:eastAsia="en-AU"/>
              </w:rPr>
            </w:pPr>
            <w:r w:rsidRPr="00433F80">
              <w:rPr>
                <w:i/>
                <w:color w:val="auto"/>
                <w:sz w:val="18"/>
                <w:szCs w:val="18"/>
                <w:u w:val="single"/>
                <w:lang w:val="en-AU" w:eastAsia="en-AU"/>
              </w:rPr>
              <w:t>(AUD4.5 million for the PASA; AUD500,000 for trust fund management)</w:t>
            </w:r>
            <w:r w:rsidR="00405B9D">
              <w:rPr>
                <w:i/>
                <w:color w:val="auto"/>
                <w:sz w:val="18"/>
                <w:szCs w:val="18"/>
                <w:u w:val="single"/>
                <w:lang w:val="en-AU" w:eastAsia="en-AU"/>
              </w:rPr>
              <w:t xml:space="preserve"> </w:t>
            </w:r>
          </w:p>
        </w:tc>
      </w:tr>
    </w:tbl>
    <w:p w14:paraId="5C852874" w14:textId="00423520" w:rsidR="001E3FF1" w:rsidRPr="00433F80" w:rsidRDefault="00E928C7" w:rsidP="005E6171">
      <w:pPr>
        <w:suppressAutoHyphens w:val="0"/>
        <w:spacing w:before="240" w:line="360" w:lineRule="auto"/>
        <w:rPr>
          <w:color w:val="auto"/>
          <w:sz w:val="21"/>
          <w:szCs w:val="21"/>
          <w:lang w:val="en-AU"/>
        </w:rPr>
      </w:pPr>
      <w:r w:rsidRPr="00433F80">
        <w:rPr>
          <w:color w:val="auto"/>
          <w:sz w:val="21"/>
          <w:szCs w:val="21"/>
          <w:lang w:val="en-AU"/>
        </w:rPr>
        <w:t>T</w:t>
      </w:r>
      <w:r w:rsidR="00514292" w:rsidRPr="00433F80">
        <w:rPr>
          <w:color w:val="auto"/>
          <w:sz w:val="21"/>
          <w:szCs w:val="21"/>
          <w:lang w:val="en-AU"/>
        </w:rPr>
        <w:t>he</w:t>
      </w:r>
      <w:r w:rsidR="001E3FF1" w:rsidRPr="00433F80">
        <w:rPr>
          <w:color w:val="auto"/>
          <w:sz w:val="21"/>
          <w:szCs w:val="21"/>
          <w:lang w:val="en-AU"/>
        </w:rPr>
        <w:t xml:space="preserve"> dedicated bank-executed component</w:t>
      </w:r>
      <w:r w:rsidR="005762D1" w:rsidRPr="00433F80">
        <w:rPr>
          <w:color w:val="auto"/>
          <w:sz w:val="21"/>
          <w:szCs w:val="21"/>
          <w:lang w:val="en-AU"/>
        </w:rPr>
        <w:t xml:space="preserve"> – comprised of the </w:t>
      </w:r>
      <w:r w:rsidR="00721E70" w:rsidRPr="00433F80">
        <w:rPr>
          <w:color w:val="auto"/>
          <w:sz w:val="21"/>
          <w:szCs w:val="21"/>
          <w:lang w:val="en-AU"/>
        </w:rPr>
        <w:t>PROMISE Program</w:t>
      </w:r>
      <w:r w:rsidR="005762D1" w:rsidRPr="00433F80">
        <w:rPr>
          <w:color w:val="auto"/>
          <w:sz w:val="21"/>
          <w:szCs w:val="21"/>
          <w:lang w:val="en-AU"/>
        </w:rPr>
        <w:t xml:space="preserve">matic </w:t>
      </w:r>
      <w:r w:rsidR="00721E70" w:rsidRPr="00433F80">
        <w:rPr>
          <w:color w:val="auto"/>
          <w:sz w:val="21"/>
          <w:szCs w:val="21"/>
          <w:lang w:val="en-AU"/>
        </w:rPr>
        <w:t>Advi</w:t>
      </w:r>
      <w:r w:rsidR="00164BC1" w:rsidRPr="00433F80">
        <w:rPr>
          <w:color w:val="auto"/>
          <w:sz w:val="21"/>
          <w:szCs w:val="21"/>
          <w:lang w:val="en-AU"/>
        </w:rPr>
        <w:t xml:space="preserve">sory Services </w:t>
      </w:r>
      <w:r w:rsidR="00721E70" w:rsidRPr="00433F80">
        <w:rPr>
          <w:color w:val="auto"/>
          <w:sz w:val="21"/>
          <w:szCs w:val="21"/>
          <w:lang w:val="en-AU"/>
        </w:rPr>
        <w:t xml:space="preserve">and Analytics </w:t>
      </w:r>
      <w:r w:rsidR="009F78E3" w:rsidRPr="00433F80">
        <w:rPr>
          <w:color w:val="auto"/>
          <w:sz w:val="21"/>
          <w:szCs w:val="21"/>
          <w:lang w:val="en-AU"/>
        </w:rPr>
        <w:t>(</w:t>
      </w:r>
      <w:r w:rsidR="00721E70" w:rsidRPr="00433F80">
        <w:rPr>
          <w:color w:val="auto"/>
          <w:sz w:val="21"/>
          <w:szCs w:val="21"/>
          <w:lang w:val="en-AU"/>
        </w:rPr>
        <w:t>PROMISE PASA</w:t>
      </w:r>
      <w:r w:rsidR="009F78E3" w:rsidRPr="00433F80">
        <w:rPr>
          <w:color w:val="auto"/>
          <w:sz w:val="21"/>
          <w:szCs w:val="21"/>
          <w:lang w:val="en-AU"/>
        </w:rPr>
        <w:t>)</w:t>
      </w:r>
      <w:r w:rsidR="005762D1" w:rsidRPr="00433F80">
        <w:rPr>
          <w:color w:val="auto"/>
          <w:sz w:val="21"/>
          <w:szCs w:val="21"/>
          <w:lang w:val="en-AU"/>
        </w:rPr>
        <w:t xml:space="preserve"> and Partnership management funds – </w:t>
      </w:r>
      <w:r w:rsidRPr="00433F80">
        <w:rPr>
          <w:color w:val="auto"/>
          <w:sz w:val="21"/>
          <w:szCs w:val="21"/>
          <w:lang w:val="en-AU"/>
        </w:rPr>
        <w:t>will ensure there are adequate</w:t>
      </w:r>
      <w:r w:rsidR="00E70932" w:rsidRPr="00433F80">
        <w:rPr>
          <w:color w:val="auto"/>
          <w:sz w:val="21"/>
          <w:szCs w:val="21"/>
          <w:lang w:val="en-AU"/>
        </w:rPr>
        <w:t>, flexible</w:t>
      </w:r>
      <w:r w:rsidRPr="00433F80">
        <w:rPr>
          <w:color w:val="auto"/>
          <w:sz w:val="21"/>
          <w:szCs w:val="21"/>
          <w:lang w:val="en-AU"/>
        </w:rPr>
        <w:t xml:space="preserve"> resources to </w:t>
      </w:r>
      <w:r w:rsidR="00E70932" w:rsidRPr="00433F80">
        <w:rPr>
          <w:color w:val="auto"/>
          <w:sz w:val="21"/>
          <w:szCs w:val="21"/>
          <w:lang w:val="en-AU"/>
        </w:rPr>
        <w:t xml:space="preserve">respond to emerging priorities and to </w:t>
      </w:r>
      <w:r w:rsidRPr="00433F80">
        <w:rPr>
          <w:color w:val="auto"/>
          <w:sz w:val="21"/>
          <w:szCs w:val="21"/>
          <w:lang w:val="en-AU"/>
        </w:rPr>
        <w:t>address lessons learned from past World Bank partnerships in Cambodia and the region</w:t>
      </w:r>
      <w:r w:rsidR="00490E90" w:rsidRPr="00433F80">
        <w:rPr>
          <w:color w:val="auto"/>
          <w:sz w:val="21"/>
          <w:szCs w:val="21"/>
          <w:lang w:val="en-AU"/>
        </w:rPr>
        <w:t>. It will provide</w:t>
      </w:r>
      <w:r w:rsidR="00E70932" w:rsidRPr="00433F80">
        <w:rPr>
          <w:color w:val="auto"/>
          <w:sz w:val="21"/>
          <w:szCs w:val="21"/>
          <w:lang w:val="en-AU"/>
        </w:rPr>
        <w:t xml:space="preserve"> a catalytic injection of technical resources</w:t>
      </w:r>
      <w:r w:rsidR="00490E90" w:rsidRPr="00433F80">
        <w:rPr>
          <w:color w:val="auto"/>
          <w:sz w:val="21"/>
          <w:szCs w:val="21"/>
          <w:lang w:val="en-AU"/>
        </w:rPr>
        <w:t xml:space="preserve"> on gender and social inclusion</w:t>
      </w:r>
      <w:r w:rsidR="00E70932" w:rsidRPr="00433F80">
        <w:rPr>
          <w:color w:val="auto"/>
          <w:sz w:val="21"/>
          <w:szCs w:val="21"/>
          <w:lang w:val="en-AU"/>
        </w:rPr>
        <w:t xml:space="preserve"> in the country office</w:t>
      </w:r>
      <w:r w:rsidR="00490E90" w:rsidRPr="00433F80">
        <w:rPr>
          <w:color w:val="auto"/>
          <w:sz w:val="21"/>
          <w:szCs w:val="21"/>
          <w:lang w:val="en-AU"/>
        </w:rPr>
        <w:t>,</w:t>
      </w:r>
      <w:r w:rsidR="00E70932" w:rsidRPr="00433F80">
        <w:rPr>
          <w:color w:val="auto"/>
          <w:sz w:val="21"/>
          <w:szCs w:val="21"/>
          <w:lang w:val="en-AU"/>
        </w:rPr>
        <w:t xml:space="preserve"> </w:t>
      </w:r>
      <w:r w:rsidR="00490E90" w:rsidRPr="00433F80">
        <w:rPr>
          <w:color w:val="auto"/>
          <w:sz w:val="21"/>
          <w:szCs w:val="21"/>
          <w:lang w:val="en-AU"/>
        </w:rPr>
        <w:t xml:space="preserve">as well as resources to </w:t>
      </w:r>
      <w:r w:rsidR="00E70932" w:rsidRPr="00433F80">
        <w:rPr>
          <w:color w:val="auto"/>
          <w:sz w:val="21"/>
          <w:szCs w:val="21"/>
          <w:lang w:val="en-AU"/>
        </w:rPr>
        <w:t>strengthen</w:t>
      </w:r>
      <w:r w:rsidR="00490E90" w:rsidRPr="00433F80">
        <w:rPr>
          <w:color w:val="auto"/>
          <w:sz w:val="21"/>
          <w:szCs w:val="21"/>
          <w:lang w:val="en-AU"/>
        </w:rPr>
        <w:t xml:space="preserve"> communication on results</w:t>
      </w:r>
      <w:r w:rsidRPr="00433F80">
        <w:rPr>
          <w:color w:val="auto"/>
          <w:sz w:val="21"/>
          <w:szCs w:val="21"/>
          <w:lang w:val="en-AU"/>
        </w:rPr>
        <w:t xml:space="preserve"> and Australian visibility. </w:t>
      </w:r>
      <w:r w:rsidR="00E41985" w:rsidRPr="00433F80">
        <w:rPr>
          <w:color w:val="auto"/>
          <w:sz w:val="21"/>
          <w:szCs w:val="21"/>
          <w:lang w:val="en-AU"/>
        </w:rPr>
        <w:t>The</w:t>
      </w:r>
      <w:r w:rsidR="00721E70" w:rsidRPr="00433F80">
        <w:rPr>
          <w:color w:val="auto"/>
          <w:sz w:val="21"/>
          <w:szCs w:val="21"/>
          <w:lang w:val="en-AU"/>
        </w:rPr>
        <w:t xml:space="preserve"> PROMISE PASA</w:t>
      </w:r>
      <w:r w:rsidRPr="00433F80">
        <w:rPr>
          <w:color w:val="auto"/>
          <w:sz w:val="21"/>
          <w:szCs w:val="21"/>
          <w:lang w:val="en-AU"/>
        </w:rPr>
        <w:t xml:space="preserve"> will also provide a platform to promote policy level collaboration </w:t>
      </w:r>
      <w:r w:rsidR="00E70932" w:rsidRPr="00433F80">
        <w:rPr>
          <w:color w:val="auto"/>
          <w:sz w:val="21"/>
          <w:szCs w:val="21"/>
          <w:lang w:val="en-AU"/>
        </w:rPr>
        <w:t xml:space="preserve">between World Bank and DFAT teams </w:t>
      </w:r>
      <w:r w:rsidRPr="00433F80">
        <w:rPr>
          <w:color w:val="auto"/>
          <w:sz w:val="21"/>
          <w:szCs w:val="21"/>
          <w:lang w:val="en-AU"/>
        </w:rPr>
        <w:t>on shared strategic interests</w:t>
      </w:r>
      <w:r w:rsidR="00317B9B" w:rsidRPr="00433F80">
        <w:rPr>
          <w:color w:val="auto"/>
          <w:sz w:val="21"/>
          <w:szCs w:val="21"/>
          <w:lang w:val="en-AU"/>
        </w:rPr>
        <w:t xml:space="preserve"> (wherever Australia’s areas of focus overlap with </w:t>
      </w:r>
      <w:r w:rsidR="00900146" w:rsidRPr="00433F80">
        <w:rPr>
          <w:color w:val="auto"/>
          <w:sz w:val="21"/>
          <w:szCs w:val="21"/>
          <w:lang w:val="en-AU"/>
        </w:rPr>
        <w:t xml:space="preserve">the </w:t>
      </w:r>
      <w:r w:rsidR="00317B9B" w:rsidRPr="00433F80">
        <w:rPr>
          <w:color w:val="auto"/>
          <w:sz w:val="21"/>
          <w:szCs w:val="21"/>
          <w:lang w:val="en-AU"/>
        </w:rPr>
        <w:t>World Bank’s Country Partnership Framework)</w:t>
      </w:r>
      <w:r w:rsidR="00E70932" w:rsidRPr="00433F80">
        <w:rPr>
          <w:color w:val="auto"/>
          <w:sz w:val="21"/>
          <w:szCs w:val="21"/>
          <w:lang w:val="en-AU"/>
        </w:rPr>
        <w:t>, including as the development context evolves during Cambodia’s COVID-19 recovery.</w:t>
      </w:r>
    </w:p>
    <w:p w14:paraId="7B6DCCE5" w14:textId="4253FC80" w:rsidR="001E3FF1" w:rsidRPr="00433F80" w:rsidRDefault="001E3FF1" w:rsidP="005E6171">
      <w:pPr>
        <w:suppressAutoHyphens w:val="0"/>
        <w:spacing w:before="0" w:line="360" w:lineRule="auto"/>
        <w:rPr>
          <w:rFonts w:eastAsia="Times New Roman" w:cs="Arial"/>
          <w:color w:val="auto"/>
          <w:sz w:val="21"/>
          <w:szCs w:val="21"/>
          <w:lang w:val="en-AU" w:eastAsia="en-AU"/>
        </w:rPr>
      </w:pPr>
      <w:r w:rsidRPr="00433F80">
        <w:rPr>
          <w:rFonts w:eastAsia="Times New Roman" w:cs="Arial"/>
          <w:color w:val="auto"/>
          <w:sz w:val="21"/>
          <w:szCs w:val="21"/>
          <w:lang w:val="en-AU" w:eastAsia="en-AU"/>
        </w:rPr>
        <w:t xml:space="preserve">Each </w:t>
      </w:r>
      <w:r w:rsidR="00E32A10" w:rsidRPr="00433F80">
        <w:rPr>
          <w:rFonts w:eastAsia="Times New Roman" w:cs="Arial"/>
          <w:color w:val="auto"/>
          <w:sz w:val="21"/>
          <w:szCs w:val="21"/>
          <w:lang w:val="en-AU" w:eastAsia="en-AU"/>
        </w:rPr>
        <w:t xml:space="preserve">component </w:t>
      </w:r>
      <w:r w:rsidRPr="00433F80">
        <w:rPr>
          <w:rFonts w:eastAsia="Times New Roman" w:cs="Arial"/>
          <w:color w:val="auto"/>
          <w:sz w:val="21"/>
          <w:szCs w:val="21"/>
          <w:lang w:val="en-AU" w:eastAsia="en-AU"/>
        </w:rPr>
        <w:t xml:space="preserve">will have its own detailed performance framework, </w:t>
      </w:r>
      <w:r w:rsidR="00804FDB" w:rsidRPr="00433F80">
        <w:rPr>
          <w:rFonts w:eastAsia="Times New Roman" w:cs="Arial"/>
          <w:color w:val="auto"/>
          <w:sz w:val="21"/>
          <w:szCs w:val="21"/>
          <w:lang w:val="en-AU" w:eastAsia="en-AU"/>
        </w:rPr>
        <w:t>which will channel into a central PROMISE Partnership Results Framework and</w:t>
      </w:r>
      <w:r w:rsidRPr="00433F80">
        <w:rPr>
          <w:rFonts w:eastAsia="Times New Roman" w:cs="Arial"/>
          <w:color w:val="auto"/>
          <w:sz w:val="21"/>
          <w:szCs w:val="21"/>
          <w:lang w:val="en-AU" w:eastAsia="en-AU"/>
        </w:rPr>
        <w:t xml:space="preserve"> contribute to the </w:t>
      </w:r>
      <w:r w:rsidRPr="00433F80">
        <w:rPr>
          <w:rFonts w:eastAsia="Times New Roman" w:cs="Arial"/>
          <w:b/>
          <w:color w:val="auto"/>
          <w:sz w:val="21"/>
          <w:szCs w:val="21"/>
          <w:lang w:val="en-AU" w:eastAsia="en-AU"/>
        </w:rPr>
        <w:t xml:space="preserve">three high-level Partnership </w:t>
      </w:r>
      <w:r w:rsidR="00AB72C9" w:rsidRPr="00433F80">
        <w:rPr>
          <w:rFonts w:eastAsia="Times New Roman" w:cs="Arial"/>
          <w:b/>
          <w:color w:val="auto"/>
          <w:sz w:val="21"/>
          <w:szCs w:val="21"/>
          <w:lang w:val="en-AU" w:eastAsia="en-AU"/>
        </w:rPr>
        <w:t>objectives</w:t>
      </w:r>
      <w:r w:rsidRPr="00433F80">
        <w:rPr>
          <w:rFonts w:eastAsia="Times New Roman" w:cs="Arial"/>
          <w:color w:val="auto"/>
          <w:sz w:val="21"/>
          <w:szCs w:val="21"/>
          <w:lang w:val="en-AU" w:eastAsia="en-AU"/>
        </w:rPr>
        <w:t>:</w:t>
      </w:r>
    </w:p>
    <w:p w14:paraId="3E5A5677" w14:textId="6F268A9B" w:rsidR="001E3FF1" w:rsidRPr="00433F80" w:rsidRDefault="001E3FF1" w:rsidP="005E6171">
      <w:pPr>
        <w:pStyle w:val="Bullet1"/>
        <w:numPr>
          <w:ilvl w:val="0"/>
          <w:numId w:val="22"/>
        </w:numPr>
        <w:spacing w:line="360" w:lineRule="auto"/>
        <w:rPr>
          <w:color w:val="auto"/>
          <w:sz w:val="21"/>
          <w:szCs w:val="21"/>
          <w:lang w:val="en-AU" w:eastAsia="en-AU"/>
        </w:rPr>
      </w:pPr>
      <w:r w:rsidRPr="00433F80">
        <w:rPr>
          <w:color w:val="auto"/>
          <w:sz w:val="21"/>
          <w:szCs w:val="21"/>
          <w:lang w:val="en-AU" w:eastAsia="en-AU"/>
        </w:rPr>
        <w:t xml:space="preserve">Public systems are strengthened and are delivering better quality services that benefit the poorest Cambodians, women and people with disabilities (primarily </w:t>
      </w:r>
      <w:r w:rsidR="00E32A10" w:rsidRPr="00433F80">
        <w:rPr>
          <w:color w:val="auto"/>
          <w:sz w:val="21"/>
          <w:szCs w:val="21"/>
          <w:lang w:val="en-AU" w:eastAsia="en-AU"/>
        </w:rPr>
        <w:t xml:space="preserve">drawn from the </w:t>
      </w:r>
      <w:r w:rsidRPr="00433F80">
        <w:rPr>
          <w:color w:val="auto"/>
          <w:sz w:val="21"/>
          <w:szCs w:val="21"/>
          <w:lang w:val="en-AU" w:eastAsia="en-AU"/>
        </w:rPr>
        <w:t>H-EQIP 2</w:t>
      </w:r>
      <w:r w:rsidR="00E32A10" w:rsidRPr="00433F80">
        <w:rPr>
          <w:color w:val="auto"/>
          <w:sz w:val="21"/>
          <w:szCs w:val="21"/>
          <w:lang w:val="en-AU" w:eastAsia="en-AU"/>
        </w:rPr>
        <w:t xml:space="preserve"> results framework</w:t>
      </w:r>
      <w:r w:rsidRPr="00433F80">
        <w:rPr>
          <w:color w:val="auto"/>
          <w:sz w:val="21"/>
          <w:szCs w:val="21"/>
          <w:lang w:val="en-AU" w:eastAsia="en-AU"/>
        </w:rPr>
        <w:t>)</w:t>
      </w:r>
    </w:p>
    <w:p w14:paraId="2AB3F503" w14:textId="3CBC16BD" w:rsidR="001E3FF1" w:rsidRPr="00433F80" w:rsidRDefault="001E3FF1" w:rsidP="005E6171">
      <w:pPr>
        <w:pStyle w:val="Bullet1"/>
        <w:numPr>
          <w:ilvl w:val="0"/>
          <w:numId w:val="22"/>
        </w:numPr>
        <w:spacing w:line="360" w:lineRule="auto"/>
        <w:rPr>
          <w:color w:val="auto"/>
          <w:sz w:val="21"/>
          <w:szCs w:val="21"/>
          <w:lang w:val="en-AU" w:eastAsia="en-AU"/>
        </w:rPr>
      </w:pPr>
      <w:r w:rsidRPr="00433F80">
        <w:rPr>
          <w:color w:val="auto"/>
          <w:sz w:val="21"/>
          <w:szCs w:val="21"/>
          <w:lang w:val="en-AU" w:eastAsia="en-AU"/>
        </w:rPr>
        <w:t xml:space="preserve">The performance of public service providers is improved through enhanced transparency, strengthened citizen engagement and responsive action that supports the enjoyment of basic rights in Cambodia (primarily </w:t>
      </w:r>
      <w:r w:rsidR="00E32A10" w:rsidRPr="00433F80">
        <w:rPr>
          <w:color w:val="auto"/>
          <w:sz w:val="21"/>
          <w:szCs w:val="21"/>
          <w:lang w:val="en-AU" w:eastAsia="en-AU"/>
        </w:rPr>
        <w:t>drawn from the</w:t>
      </w:r>
      <w:r w:rsidRPr="00433F80">
        <w:rPr>
          <w:color w:val="auto"/>
          <w:sz w:val="21"/>
          <w:szCs w:val="21"/>
          <w:lang w:val="en-AU" w:eastAsia="en-AU"/>
        </w:rPr>
        <w:t xml:space="preserve"> </w:t>
      </w:r>
      <w:r w:rsidR="00C07FCA" w:rsidRPr="00433F80">
        <w:rPr>
          <w:color w:val="auto"/>
          <w:sz w:val="21"/>
          <w:szCs w:val="21"/>
          <w:lang w:val="en-AU" w:eastAsia="en-AU"/>
        </w:rPr>
        <w:t>ISAF II</w:t>
      </w:r>
      <w:r w:rsidR="00E32A10" w:rsidRPr="00433F80">
        <w:rPr>
          <w:color w:val="auto"/>
          <w:sz w:val="21"/>
          <w:szCs w:val="21"/>
          <w:lang w:val="en-AU" w:eastAsia="en-AU"/>
        </w:rPr>
        <w:t xml:space="preserve"> results framework</w:t>
      </w:r>
      <w:r w:rsidRPr="00433F80">
        <w:rPr>
          <w:color w:val="auto"/>
          <w:sz w:val="21"/>
          <w:szCs w:val="21"/>
          <w:lang w:val="en-AU" w:eastAsia="en-AU"/>
        </w:rPr>
        <w:t>)</w:t>
      </w:r>
    </w:p>
    <w:p w14:paraId="54CB4F80" w14:textId="50DDF449" w:rsidR="001E3FF1" w:rsidRPr="00433F80" w:rsidRDefault="001E3FF1" w:rsidP="005E6171">
      <w:pPr>
        <w:pStyle w:val="Bullet1"/>
        <w:numPr>
          <w:ilvl w:val="0"/>
          <w:numId w:val="22"/>
        </w:numPr>
        <w:spacing w:line="360" w:lineRule="auto"/>
        <w:rPr>
          <w:color w:val="auto"/>
          <w:sz w:val="21"/>
          <w:szCs w:val="21"/>
          <w:lang w:val="en-AU" w:eastAsia="en-AU"/>
        </w:rPr>
      </w:pPr>
      <w:r w:rsidRPr="00433F80">
        <w:rPr>
          <w:color w:val="auto"/>
          <w:sz w:val="21"/>
          <w:szCs w:val="21"/>
          <w:lang w:val="en-AU" w:eastAsia="en-AU"/>
        </w:rPr>
        <w:t>Cambodian public policy and World Bank and DFAT investment operations are better informed by research, analysis and advice</w:t>
      </w:r>
      <w:r w:rsidR="00972BF3" w:rsidRPr="00433F80">
        <w:rPr>
          <w:color w:val="auto"/>
          <w:sz w:val="21"/>
          <w:szCs w:val="21"/>
          <w:lang w:val="en-AU" w:eastAsia="en-AU"/>
        </w:rPr>
        <w:t>, including contributions that aim to improve gender equality and social inclusion</w:t>
      </w:r>
      <w:r w:rsidR="002A3A89" w:rsidRPr="00433F80">
        <w:rPr>
          <w:color w:val="auto"/>
          <w:sz w:val="21"/>
          <w:szCs w:val="21"/>
          <w:lang w:val="en-AU" w:eastAsia="en-AU"/>
        </w:rPr>
        <w:t xml:space="preserve"> </w:t>
      </w:r>
      <w:r w:rsidRPr="00433F80">
        <w:rPr>
          <w:color w:val="auto"/>
          <w:sz w:val="21"/>
          <w:szCs w:val="21"/>
          <w:lang w:val="en-AU" w:eastAsia="en-AU"/>
        </w:rPr>
        <w:t xml:space="preserve">(primarily supported by </w:t>
      </w:r>
      <w:r w:rsidR="00721E70" w:rsidRPr="00433F80">
        <w:rPr>
          <w:color w:val="auto"/>
          <w:sz w:val="21"/>
          <w:szCs w:val="21"/>
          <w:lang w:val="en-AU" w:eastAsia="en-AU"/>
        </w:rPr>
        <w:t>the</w:t>
      </w:r>
      <w:r w:rsidR="00164BC1" w:rsidRPr="00433F80">
        <w:rPr>
          <w:color w:val="auto"/>
          <w:sz w:val="21"/>
          <w:szCs w:val="21"/>
          <w:lang w:val="en-AU" w:eastAsia="en-AU"/>
        </w:rPr>
        <w:t xml:space="preserve"> PROMISE</w:t>
      </w:r>
      <w:r w:rsidR="00721E70" w:rsidRPr="00433F80">
        <w:rPr>
          <w:color w:val="auto"/>
          <w:sz w:val="21"/>
          <w:szCs w:val="21"/>
          <w:lang w:val="en-AU" w:eastAsia="en-AU"/>
        </w:rPr>
        <w:t xml:space="preserve"> PASA</w:t>
      </w:r>
      <w:r w:rsidRPr="00433F80">
        <w:rPr>
          <w:color w:val="auto"/>
          <w:sz w:val="21"/>
          <w:szCs w:val="21"/>
          <w:lang w:val="en-AU" w:eastAsia="en-AU"/>
        </w:rPr>
        <w:t>)</w:t>
      </w:r>
    </w:p>
    <w:p w14:paraId="16B5D26B" w14:textId="62A6ECA7" w:rsidR="001E3FF1" w:rsidRPr="00433F80" w:rsidRDefault="001E3FF1" w:rsidP="005E6171">
      <w:pPr>
        <w:tabs>
          <w:tab w:val="left" w:pos="284"/>
        </w:tabs>
        <w:suppressAutoHyphens w:val="0"/>
        <w:spacing w:before="0" w:line="360" w:lineRule="auto"/>
        <w:rPr>
          <w:color w:val="auto"/>
          <w:sz w:val="21"/>
          <w:szCs w:val="21"/>
          <w:lang w:val="en-AU" w:eastAsia="en-AU"/>
        </w:rPr>
      </w:pPr>
      <w:r w:rsidRPr="00433F80">
        <w:rPr>
          <w:color w:val="auto"/>
          <w:sz w:val="21"/>
          <w:szCs w:val="21"/>
          <w:lang w:val="en-AU" w:eastAsia="en-AU"/>
        </w:rPr>
        <w:t xml:space="preserve">The </w:t>
      </w:r>
      <w:r w:rsidR="005D28A1" w:rsidRPr="00433F80">
        <w:rPr>
          <w:color w:val="auto"/>
          <w:sz w:val="21"/>
          <w:szCs w:val="21"/>
          <w:lang w:val="en-AU" w:eastAsia="en-AU"/>
        </w:rPr>
        <w:t xml:space="preserve">PROMISE </w:t>
      </w:r>
      <w:r w:rsidRPr="00433F80">
        <w:rPr>
          <w:color w:val="auto"/>
          <w:sz w:val="21"/>
          <w:szCs w:val="21"/>
          <w:lang w:val="en-AU" w:eastAsia="en-AU"/>
        </w:rPr>
        <w:t xml:space="preserve">Partnership will be established for an initial </w:t>
      </w:r>
      <w:proofErr w:type="gramStart"/>
      <w:r w:rsidRPr="00433F80">
        <w:rPr>
          <w:color w:val="auto"/>
          <w:sz w:val="21"/>
          <w:szCs w:val="21"/>
          <w:lang w:val="en-AU" w:eastAsia="en-AU"/>
        </w:rPr>
        <w:t>five year</w:t>
      </w:r>
      <w:proofErr w:type="gramEnd"/>
      <w:r w:rsidRPr="00433F80">
        <w:rPr>
          <w:color w:val="auto"/>
          <w:sz w:val="21"/>
          <w:szCs w:val="21"/>
          <w:lang w:val="en-AU" w:eastAsia="en-AU"/>
        </w:rPr>
        <w:t xml:space="preserve"> period</w:t>
      </w:r>
      <w:r w:rsidR="000F02A2" w:rsidRPr="00433F80">
        <w:rPr>
          <w:color w:val="auto"/>
          <w:sz w:val="21"/>
          <w:szCs w:val="21"/>
          <w:lang w:val="en-AU" w:eastAsia="en-AU"/>
        </w:rPr>
        <w:t xml:space="preserve"> with an investment of AUD50 million,</w:t>
      </w:r>
      <w:r w:rsidR="00A7682D" w:rsidRPr="00433F80">
        <w:rPr>
          <w:i/>
          <w:iCs/>
          <w:color w:val="auto"/>
        </w:rPr>
        <w:t xml:space="preserve"> </w:t>
      </w:r>
      <w:r w:rsidR="00A7682D" w:rsidRPr="00433F80">
        <w:rPr>
          <w:color w:val="auto"/>
        </w:rPr>
        <w:t xml:space="preserve">with the option to add </w:t>
      </w:r>
      <w:r w:rsidR="00804FDB" w:rsidRPr="00433F80">
        <w:rPr>
          <w:color w:val="auto"/>
        </w:rPr>
        <w:t xml:space="preserve">up to $40 million in </w:t>
      </w:r>
      <w:r w:rsidR="00A7682D" w:rsidRPr="00433F80">
        <w:rPr>
          <w:color w:val="auto"/>
        </w:rPr>
        <w:t>additional funding and extend for up to a further five years (subject to World Bank and DFAT S23 delegate approval)</w:t>
      </w:r>
      <w:r w:rsidR="00A7682D" w:rsidRPr="00433F80">
        <w:rPr>
          <w:i/>
          <w:iCs/>
          <w:color w:val="auto"/>
        </w:rPr>
        <w:t>.</w:t>
      </w:r>
      <w:r w:rsidR="000F02A2" w:rsidRPr="00433F80">
        <w:rPr>
          <w:color w:val="auto"/>
          <w:sz w:val="21"/>
          <w:szCs w:val="21"/>
          <w:lang w:val="en-AU" w:eastAsia="en-AU"/>
        </w:rPr>
        <w:t xml:space="preserve"> For example, i</w:t>
      </w:r>
      <w:r w:rsidR="00BD4738" w:rsidRPr="00433F80">
        <w:rPr>
          <w:color w:val="auto"/>
          <w:sz w:val="21"/>
          <w:szCs w:val="21"/>
          <w:lang w:val="en-AU" w:eastAsia="en-AU"/>
        </w:rPr>
        <w:t xml:space="preserve">t is expected that future </w:t>
      </w:r>
      <w:r w:rsidR="00A7682D" w:rsidRPr="00433F80">
        <w:rPr>
          <w:color w:val="auto"/>
          <w:sz w:val="21"/>
          <w:szCs w:val="21"/>
          <w:lang w:val="en-AU" w:eastAsia="en-AU"/>
        </w:rPr>
        <w:t xml:space="preserve">DFAT </w:t>
      </w:r>
      <w:r w:rsidR="00BD4738" w:rsidRPr="00433F80">
        <w:rPr>
          <w:color w:val="auto"/>
          <w:sz w:val="21"/>
          <w:szCs w:val="21"/>
          <w:lang w:val="en-AU" w:eastAsia="en-AU"/>
        </w:rPr>
        <w:t xml:space="preserve">investments in </w:t>
      </w:r>
      <w:r w:rsidR="007F23F2" w:rsidRPr="00433F80">
        <w:rPr>
          <w:color w:val="auto"/>
          <w:sz w:val="21"/>
          <w:szCs w:val="21"/>
          <w:lang w:val="en-AU" w:eastAsia="en-AU"/>
        </w:rPr>
        <w:t>p</w:t>
      </w:r>
      <w:r w:rsidR="00BD4738" w:rsidRPr="00433F80">
        <w:rPr>
          <w:color w:val="auto"/>
          <w:sz w:val="21"/>
          <w:szCs w:val="21"/>
          <w:lang w:val="en-AU" w:eastAsia="en-AU"/>
        </w:rPr>
        <w:t xml:space="preserve">ublic </w:t>
      </w:r>
      <w:r w:rsidR="007F23F2" w:rsidRPr="00433F80">
        <w:rPr>
          <w:color w:val="auto"/>
          <w:sz w:val="21"/>
          <w:szCs w:val="21"/>
          <w:lang w:val="en-AU" w:eastAsia="en-AU"/>
        </w:rPr>
        <w:t>f</w:t>
      </w:r>
      <w:r w:rsidR="00BD4738" w:rsidRPr="00433F80">
        <w:rPr>
          <w:color w:val="auto"/>
          <w:sz w:val="21"/>
          <w:szCs w:val="21"/>
          <w:lang w:val="en-AU" w:eastAsia="en-AU"/>
        </w:rPr>
        <w:t xml:space="preserve">inancial </w:t>
      </w:r>
      <w:r w:rsidR="007F23F2" w:rsidRPr="00433F80">
        <w:rPr>
          <w:color w:val="auto"/>
          <w:sz w:val="21"/>
          <w:szCs w:val="21"/>
          <w:lang w:val="en-AU" w:eastAsia="en-AU"/>
        </w:rPr>
        <w:t>m</w:t>
      </w:r>
      <w:r w:rsidR="00BD4738" w:rsidRPr="00433F80">
        <w:rPr>
          <w:color w:val="auto"/>
          <w:sz w:val="21"/>
          <w:szCs w:val="21"/>
          <w:lang w:val="en-AU" w:eastAsia="en-AU"/>
        </w:rPr>
        <w:t xml:space="preserve">anagement </w:t>
      </w:r>
      <w:r w:rsidR="007F23F2" w:rsidRPr="00433F80">
        <w:rPr>
          <w:color w:val="auto"/>
          <w:sz w:val="21"/>
          <w:szCs w:val="21"/>
          <w:lang w:val="en-AU" w:eastAsia="en-AU"/>
        </w:rPr>
        <w:t>(</w:t>
      </w:r>
      <w:r w:rsidR="00AC1BD6" w:rsidRPr="00433F80">
        <w:rPr>
          <w:color w:val="auto"/>
          <w:sz w:val="21"/>
          <w:szCs w:val="21"/>
          <w:lang w:val="en-AU" w:eastAsia="en-AU"/>
        </w:rPr>
        <w:t>PFM</w:t>
      </w:r>
      <w:r w:rsidR="007F23F2" w:rsidRPr="00433F80">
        <w:rPr>
          <w:color w:val="auto"/>
          <w:sz w:val="21"/>
          <w:szCs w:val="21"/>
          <w:lang w:val="en-AU" w:eastAsia="en-AU"/>
        </w:rPr>
        <w:t xml:space="preserve">) </w:t>
      </w:r>
      <w:r w:rsidR="00BD4738" w:rsidRPr="00433F80">
        <w:rPr>
          <w:color w:val="auto"/>
          <w:sz w:val="21"/>
          <w:szCs w:val="21"/>
          <w:lang w:val="en-AU" w:eastAsia="en-AU"/>
        </w:rPr>
        <w:t xml:space="preserve">and social protection (or in other sectors that emerge as priorities) through the World Bank in Cambodia </w:t>
      </w:r>
      <w:r w:rsidR="00A7682D" w:rsidRPr="00433F80">
        <w:rPr>
          <w:color w:val="auto"/>
          <w:sz w:val="21"/>
          <w:szCs w:val="21"/>
          <w:lang w:val="en-AU" w:eastAsia="en-AU"/>
        </w:rPr>
        <w:t>will</w:t>
      </w:r>
      <w:r w:rsidR="00BD4738" w:rsidRPr="00433F80">
        <w:rPr>
          <w:color w:val="auto"/>
          <w:sz w:val="21"/>
          <w:szCs w:val="21"/>
          <w:lang w:val="en-AU" w:eastAsia="en-AU"/>
        </w:rPr>
        <w:t xml:space="preserve"> be incorporated into the Partnership. In the meantime, PFM and social protection </w:t>
      </w:r>
      <w:r w:rsidR="00A7682D" w:rsidRPr="00433F80">
        <w:rPr>
          <w:color w:val="auto"/>
          <w:sz w:val="21"/>
          <w:szCs w:val="21"/>
          <w:lang w:val="en-AU" w:eastAsia="en-AU"/>
        </w:rPr>
        <w:t>are</w:t>
      </w:r>
      <w:r w:rsidR="00BD4738" w:rsidRPr="00433F80">
        <w:rPr>
          <w:color w:val="auto"/>
          <w:sz w:val="21"/>
          <w:szCs w:val="21"/>
          <w:lang w:val="en-AU" w:eastAsia="en-AU"/>
        </w:rPr>
        <w:t xml:space="preserve"> </w:t>
      </w:r>
      <w:r w:rsidR="00A7682D" w:rsidRPr="00433F80">
        <w:rPr>
          <w:color w:val="auto"/>
          <w:sz w:val="21"/>
          <w:szCs w:val="21"/>
          <w:lang w:val="en-AU" w:eastAsia="en-AU"/>
        </w:rPr>
        <w:t xml:space="preserve">relevant </w:t>
      </w:r>
      <w:r w:rsidR="00BD4738" w:rsidRPr="00433F80">
        <w:rPr>
          <w:color w:val="auto"/>
          <w:sz w:val="21"/>
          <w:szCs w:val="21"/>
          <w:lang w:val="en-AU" w:eastAsia="en-AU"/>
        </w:rPr>
        <w:t xml:space="preserve">policy streams to the Partnership, including through </w:t>
      </w:r>
      <w:r w:rsidR="00721E70" w:rsidRPr="00433F80">
        <w:rPr>
          <w:color w:val="auto"/>
          <w:sz w:val="21"/>
          <w:szCs w:val="21"/>
          <w:lang w:val="en-AU" w:eastAsia="en-AU"/>
        </w:rPr>
        <w:t>the PROMISE PASA</w:t>
      </w:r>
      <w:r w:rsidR="00BD4738" w:rsidRPr="00433F80">
        <w:rPr>
          <w:color w:val="auto"/>
          <w:sz w:val="21"/>
          <w:szCs w:val="21"/>
          <w:lang w:val="en-AU" w:eastAsia="en-AU"/>
        </w:rPr>
        <w:t xml:space="preserve">. </w:t>
      </w:r>
    </w:p>
    <w:p w14:paraId="1CAA6A56" w14:textId="5F107E24" w:rsidR="00933823" w:rsidRPr="00433F80" w:rsidRDefault="00933823" w:rsidP="005E6171">
      <w:pPr>
        <w:tabs>
          <w:tab w:val="left" w:pos="284"/>
        </w:tabs>
        <w:suppressAutoHyphens w:val="0"/>
        <w:spacing w:line="360" w:lineRule="auto"/>
        <w:rPr>
          <w:b/>
          <w:color w:val="auto"/>
          <w:sz w:val="21"/>
          <w:szCs w:val="21"/>
          <w:lang w:val="en-AU" w:eastAsia="en-AU"/>
        </w:rPr>
      </w:pPr>
      <w:r w:rsidRPr="00433F80">
        <w:rPr>
          <w:b/>
          <w:color w:val="auto"/>
          <w:sz w:val="21"/>
          <w:szCs w:val="21"/>
          <w:lang w:val="en-AU" w:eastAsia="en-AU"/>
        </w:rPr>
        <w:t>Governance and management</w:t>
      </w:r>
    </w:p>
    <w:p w14:paraId="145D1EB2" w14:textId="65142E4F" w:rsidR="001E3FF1" w:rsidRPr="00433F80" w:rsidRDefault="00BB6417" w:rsidP="005E6171">
      <w:pPr>
        <w:tabs>
          <w:tab w:val="left" w:pos="284"/>
        </w:tabs>
        <w:suppressAutoHyphens w:val="0"/>
        <w:spacing w:before="0" w:line="360" w:lineRule="auto"/>
        <w:rPr>
          <w:color w:val="auto"/>
          <w:sz w:val="21"/>
          <w:szCs w:val="21"/>
          <w:lang w:val="en-AU" w:eastAsia="en-AU"/>
        </w:rPr>
      </w:pPr>
      <w:r w:rsidRPr="00433F80">
        <w:rPr>
          <w:rFonts w:cs="Arial"/>
          <w:color w:val="auto"/>
          <w:sz w:val="21"/>
          <w:szCs w:val="21"/>
          <w:lang w:val="en-AU"/>
        </w:rPr>
        <w:t xml:space="preserve">A </w:t>
      </w:r>
      <w:r w:rsidR="005D28A1" w:rsidRPr="00433F80">
        <w:rPr>
          <w:b/>
          <w:color w:val="auto"/>
          <w:sz w:val="21"/>
          <w:szCs w:val="21"/>
          <w:lang w:val="en-AU" w:eastAsia="en-AU"/>
        </w:rPr>
        <w:t>Steering Committee</w:t>
      </w:r>
      <w:r w:rsidR="001E3FF1" w:rsidRPr="00433F80">
        <w:rPr>
          <w:color w:val="auto"/>
          <w:sz w:val="21"/>
          <w:szCs w:val="21"/>
          <w:lang w:val="en-AU" w:eastAsia="en-AU"/>
        </w:rPr>
        <w:t xml:space="preserve"> </w:t>
      </w:r>
      <w:r w:rsidR="00164BC1" w:rsidRPr="00433F80">
        <w:rPr>
          <w:color w:val="auto"/>
          <w:sz w:val="21"/>
          <w:szCs w:val="21"/>
          <w:lang w:val="en-AU" w:eastAsia="en-AU"/>
        </w:rPr>
        <w:t xml:space="preserve">with representatives </w:t>
      </w:r>
      <w:r w:rsidR="008030E1" w:rsidRPr="00433F80">
        <w:rPr>
          <w:color w:val="auto"/>
          <w:sz w:val="21"/>
          <w:szCs w:val="21"/>
          <w:lang w:val="en-AU" w:eastAsia="en-AU"/>
        </w:rPr>
        <w:t>from</w:t>
      </w:r>
      <w:r w:rsidR="00164BC1" w:rsidRPr="00433F80">
        <w:rPr>
          <w:color w:val="auto"/>
          <w:sz w:val="21"/>
          <w:szCs w:val="21"/>
          <w:lang w:val="en-AU" w:eastAsia="en-AU"/>
        </w:rPr>
        <w:t xml:space="preserve"> DFAT (</w:t>
      </w:r>
      <w:r w:rsidR="008030E1" w:rsidRPr="00433F80">
        <w:rPr>
          <w:color w:val="auto"/>
          <w:sz w:val="21"/>
          <w:szCs w:val="21"/>
          <w:lang w:val="en-AU" w:eastAsia="en-AU"/>
        </w:rPr>
        <w:t>including DHOM</w:t>
      </w:r>
      <w:r w:rsidR="00164BC1" w:rsidRPr="00433F80">
        <w:rPr>
          <w:color w:val="auto"/>
          <w:sz w:val="21"/>
          <w:szCs w:val="21"/>
          <w:lang w:val="en-AU" w:eastAsia="en-AU"/>
        </w:rPr>
        <w:t>) and the World Bank</w:t>
      </w:r>
      <w:r w:rsidR="001E3FF1" w:rsidRPr="00433F80">
        <w:rPr>
          <w:color w:val="auto"/>
          <w:sz w:val="21"/>
          <w:szCs w:val="21"/>
          <w:lang w:val="en-AU" w:eastAsia="en-AU"/>
        </w:rPr>
        <w:t xml:space="preserve"> </w:t>
      </w:r>
      <w:r w:rsidR="00164BC1" w:rsidRPr="00433F80">
        <w:rPr>
          <w:color w:val="auto"/>
          <w:sz w:val="21"/>
          <w:szCs w:val="21"/>
          <w:lang w:val="en-AU" w:eastAsia="en-AU"/>
        </w:rPr>
        <w:t>(</w:t>
      </w:r>
      <w:r w:rsidR="008030E1" w:rsidRPr="00433F80">
        <w:rPr>
          <w:color w:val="auto"/>
          <w:sz w:val="21"/>
          <w:szCs w:val="21"/>
          <w:lang w:val="en-AU" w:eastAsia="en-AU"/>
        </w:rPr>
        <w:t xml:space="preserve">including </w:t>
      </w:r>
      <w:proofErr w:type="gramStart"/>
      <w:r w:rsidR="008030E1" w:rsidRPr="00433F80">
        <w:rPr>
          <w:color w:val="auto"/>
          <w:sz w:val="21"/>
          <w:szCs w:val="21"/>
          <w:lang w:val="en-AU" w:eastAsia="en-AU"/>
        </w:rPr>
        <w:t xml:space="preserve">the </w:t>
      </w:r>
      <w:r w:rsidR="00164BC1" w:rsidRPr="00433F80">
        <w:rPr>
          <w:color w:val="auto"/>
          <w:sz w:val="21"/>
          <w:szCs w:val="21"/>
          <w:lang w:val="en-AU" w:eastAsia="en-AU"/>
        </w:rPr>
        <w:t xml:space="preserve"> Country</w:t>
      </w:r>
      <w:proofErr w:type="gramEnd"/>
      <w:r w:rsidR="00164BC1" w:rsidRPr="00433F80">
        <w:rPr>
          <w:color w:val="auto"/>
          <w:sz w:val="21"/>
          <w:szCs w:val="21"/>
          <w:lang w:val="en-AU" w:eastAsia="en-AU"/>
        </w:rPr>
        <w:t xml:space="preserve"> Manager) </w:t>
      </w:r>
      <w:r w:rsidR="001E3FF1" w:rsidRPr="00433F80">
        <w:rPr>
          <w:color w:val="auto"/>
          <w:sz w:val="21"/>
          <w:szCs w:val="21"/>
          <w:lang w:val="en-AU" w:eastAsia="en-AU"/>
        </w:rPr>
        <w:t xml:space="preserve">will provide strategic guidance, identify joint policy or advocacy priorities, and </w:t>
      </w:r>
      <w:r w:rsidR="00E928C7" w:rsidRPr="00433F80">
        <w:rPr>
          <w:color w:val="auto"/>
          <w:sz w:val="21"/>
          <w:szCs w:val="21"/>
          <w:lang w:val="en-AU" w:eastAsia="en-AU"/>
        </w:rPr>
        <w:t>approv</w:t>
      </w:r>
      <w:r w:rsidR="00E70932" w:rsidRPr="00433F80">
        <w:rPr>
          <w:color w:val="auto"/>
          <w:sz w:val="21"/>
          <w:szCs w:val="21"/>
          <w:lang w:val="en-AU" w:eastAsia="en-AU"/>
        </w:rPr>
        <w:t xml:space="preserve">e </w:t>
      </w:r>
      <w:r w:rsidR="00E32A10" w:rsidRPr="00433F80">
        <w:rPr>
          <w:color w:val="auto"/>
          <w:sz w:val="21"/>
          <w:szCs w:val="21"/>
          <w:lang w:val="en-AU" w:eastAsia="en-AU"/>
        </w:rPr>
        <w:t>the</w:t>
      </w:r>
      <w:r w:rsidR="000C3B33" w:rsidRPr="00433F80">
        <w:rPr>
          <w:color w:val="auto"/>
          <w:sz w:val="21"/>
          <w:szCs w:val="21"/>
          <w:lang w:val="en-AU" w:eastAsia="en-AU"/>
        </w:rPr>
        <w:t xml:space="preserve"> annual </w:t>
      </w:r>
      <w:r w:rsidR="00E928C7" w:rsidRPr="00433F80">
        <w:rPr>
          <w:color w:val="auto"/>
          <w:sz w:val="21"/>
          <w:szCs w:val="21"/>
          <w:lang w:val="en-AU" w:eastAsia="en-AU"/>
        </w:rPr>
        <w:t>workplan</w:t>
      </w:r>
      <w:r w:rsidR="000C3B33" w:rsidRPr="00433F80">
        <w:rPr>
          <w:color w:val="auto"/>
          <w:sz w:val="21"/>
          <w:szCs w:val="21"/>
          <w:lang w:val="en-AU" w:eastAsia="en-AU"/>
        </w:rPr>
        <w:t>s and budgets</w:t>
      </w:r>
      <w:r w:rsidR="00164BC1" w:rsidRPr="00433F80">
        <w:rPr>
          <w:color w:val="auto"/>
          <w:sz w:val="21"/>
          <w:szCs w:val="21"/>
          <w:lang w:val="en-AU" w:eastAsia="en-AU"/>
        </w:rPr>
        <w:t xml:space="preserve"> for all Partnership components</w:t>
      </w:r>
      <w:r w:rsidR="000C3B33" w:rsidRPr="00433F80">
        <w:rPr>
          <w:color w:val="auto"/>
          <w:sz w:val="21"/>
          <w:szCs w:val="21"/>
          <w:lang w:val="en-AU" w:eastAsia="en-AU"/>
        </w:rPr>
        <w:t xml:space="preserve">. A key role for the Committee will be approving proposals for the </w:t>
      </w:r>
      <w:r w:rsidR="00164BC1" w:rsidRPr="00433F80">
        <w:rPr>
          <w:color w:val="auto"/>
          <w:sz w:val="21"/>
          <w:szCs w:val="21"/>
          <w:lang w:val="en-AU" w:eastAsia="en-AU"/>
        </w:rPr>
        <w:t xml:space="preserve">PROMISE PASA, which will be informed by an annual Partnership Forum of World Bank and DFAT </w:t>
      </w:r>
      <w:r w:rsidR="00164BC1" w:rsidRPr="00433F80">
        <w:rPr>
          <w:color w:val="auto"/>
          <w:sz w:val="21"/>
          <w:szCs w:val="21"/>
          <w:lang w:val="en-AU" w:eastAsia="en-AU"/>
        </w:rPr>
        <w:lastRenderedPageBreak/>
        <w:t>staff</w:t>
      </w:r>
      <w:r w:rsidR="000C3B33" w:rsidRPr="00433F80">
        <w:rPr>
          <w:color w:val="auto"/>
          <w:sz w:val="21"/>
          <w:szCs w:val="21"/>
          <w:lang w:val="en-AU" w:eastAsia="en-AU"/>
        </w:rPr>
        <w:t>.</w:t>
      </w:r>
      <w:r w:rsidR="00164BC1" w:rsidRPr="00433F80">
        <w:rPr>
          <w:color w:val="auto"/>
          <w:sz w:val="21"/>
          <w:szCs w:val="21"/>
          <w:lang w:val="en-AU" w:eastAsia="en-AU"/>
        </w:rPr>
        <w:t xml:space="preserve"> </w:t>
      </w:r>
      <w:r w:rsidR="00AC1BD6" w:rsidRPr="00433F80">
        <w:rPr>
          <w:color w:val="auto"/>
          <w:sz w:val="21"/>
          <w:szCs w:val="21"/>
          <w:lang w:val="en-AU" w:eastAsia="en-AU"/>
        </w:rPr>
        <w:t>The Committee can also revise the Partnership’s Results Framework, Operations Manual and budget line allocations (without requiring a revision of the Agreement). D</w:t>
      </w:r>
      <w:r w:rsidR="00164BC1" w:rsidRPr="00433F80">
        <w:rPr>
          <w:color w:val="auto"/>
          <w:sz w:val="21"/>
          <w:szCs w:val="21"/>
          <w:lang w:val="en-AU" w:eastAsia="en-AU"/>
        </w:rPr>
        <w:t xml:space="preserve">ecisions will be </w:t>
      </w:r>
      <w:r w:rsidR="00AC1BD6" w:rsidRPr="00433F80">
        <w:rPr>
          <w:color w:val="auto"/>
          <w:sz w:val="21"/>
          <w:szCs w:val="21"/>
          <w:lang w:val="en-AU" w:eastAsia="en-AU"/>
        </w:rPr>
        <w:t xml:space="preserve">made </w:t>
      </w:r>
      <w:r w:rsidR="00164BC1" w:rsidRPr="00433F80">
        <w:rPr>
          <w:color w:val="auto"/>
          <w:sz w:val="21"/>
          <w:szCs w:val="21"/>
          <w:lang w:val="en-AU" w:eastAsia="en-AU"/>
        </w:rPr>
        <w:t>by consensus.</w:t>
      </w:r>
      <w:r w:rsidR="00E32A10" w:rsidRPr="00433F80">
        <w:rPr>
          <w:color w:val="auto"/>
          <w:sz w:val="21"/>
          <w:szCs w:val="21"/>
          <w:lang w:val="en-AU" w:eastAsia="en-AU"/>
        </w:rPr>
        <w:t xml:space="preserve"> Both DFAT and the World Bank will nominate a partnership manager for day-to-day coordination. </w:t>
      </w:r>
      <w:r w:rsidR="00164BC1" w:rsidRPr="00433F80">
        <w:rPr>
          <w:color w:val="auto"/>
          <w:sz w:val="21"/>
          <w:szCs w:val="21"/>
          <w:lang w:val="en-AU" w:eastAsia="en-AU"/>
        </w:rPr>
        <w:t xml:space="preserve">We will seek to </w:t>
      </w:r>
      <w:r w:rsidR="00D71421" w:rsidRPr="00433F80">
        <w:rPr>
          <w:color w:val="auto"/>
          <w:sz w:val="21"/>
          <w:szCs w:val="21"/>
          <w:lang w:val="en-AU" w:eastAsia="en-AU"/>
        </w:rPr>
        <w:t>complement</w:t>
      </w:r>
      <w:r w:rsidR="00164BC1" w:rsidRPr="00433F80">
        <w:rPr>
          <w:color w:val="auto"/>
          <w:sz w:val="21"/>
          <w:szCs w:val="21"/>
          <w:lang w:val="en-AU" w:eastAsia="en-AU"/>
        </w:rPr>
        <w:t xml:space="preserve"> the formal </w:t>
      </w:r>
      <w:r w:rsidR="00D71421" w:rsidRPr="00433F80">
        <w:rPr>
          <w:color w:val="auto"/>
          <w:sz w:val="21"/>
          <w:szCs w:val="21"/>
          <w:lang w:val="en-AU" w:eastAsia="en-AU"/>
        </w:rPr>
        <w:t xml:space="preserve">governance </w:t>
      </w:r>
      <w:r w:rsidR="00164BC1" w:rsidRPr="00433F80">
        <w:rPr>
          <w:color w:val="auto"/>
          <w:sz w:val="21"/>
          <w:szCs w:val="21"/>
          <w:lang w:val="en-AU" w:eastAsia="en-AU"/>
        </w:rPr>
        <w:t xml:space="preserve">mechanism through informal </w:t>
      </w:r>
      <w:r w:rsidR="00D71421" w:rsidRPr="00433F80">
        <w:rPr>
          <w:color w:val="auto"/>
          <w:sz w:val="21"/>
          <w:szCs w:val="21"/>
          <w:lang w:val="en-AU" w:eastAsia="en-AU"/>
        </w:rPr>
        <w:t xml:space="preserve">engagement at all levels, including annual </w:t>
      </w:r>
      <w:r w:rsidR="00164BC1" w:rsidRPr="00433F80">
        <w:rPr>
          <w:color w:val="auto"/>
          <w:sz w:val="21"/>
          <w:szCs w:val="21"/>
          <w:lang w:val="en-AU" w:eastAsia="en-AU"/>
        </w:rPr>
        <w:t xml:space="preserve">meetings between the </w:t>
      </w:r>
      <w:r w:rsidR="00E70932" w:rsidRPr="00433F80">
        <w:rPr>
          <w:color w:val="auto"/>
          <w:sz w:val="21"/>
          <w:szCs w:val="21"/>
          <w:lang w:val="en-AU" w:eastAsia="en-AU"/>
        </w:rPr>
        <w:t>Ambassador and</w:t>
      </w:r>
      <w:r w:rsidR="00D71421" w:rsidRPr="00433F80">
        <w:rPr>
          <w:color w:val="auto"/>
          <w:sz w:val="21"/>
          <w:szCs w:val="21"/>
          <w:lang w:val="en-AU" w:eastAsia="en-AU"/>
        </w:rPr>
        <w:t xml:space="preserve"> World Bank</w:t>
      </w:r>
      <w:r w:rsidR="00E70932" w:rsidRPr="00433F80">
        <w:rPr>
          <w:color w:val="auto"/>
          <w:sz w:val="21"/>
          <w:szCs w:val="21"/>
          <w:lang w:val="en-AU" w:eastAsia="en-AU"/>
        </w:rPr>
        <w:t xml:space="preserve"> Country Director </w:t>
      </w:r>
      <w:r w:rsidR="00D71421" w:rsidRPr="00433F80">
        <w:rPr>
          <w:color w:val="auto"/>
          <w:sz w:val="21"/>
          <w:szCs w:val="21"/>
          <w:lang w:val="en-AU" w:eastAsia="en-AU"/>
        </w:rPr>
        <w:t xml:space="preserve">(based in Myanmar) </w:t>
      </w:r>
      <w:r w:rsidR="00E70932" w:rsidRPr="00433F80">
        <w:rPr>
          <w:color w:val="auto"/>
          <w:sz w:val="21"/>
          <w:szCs w:val="21"/>
          <w:lang w:val="en-AU" w:eastAsia="en-AU"/>
        </w:rPr>
        <w:t xml:space="preserve">to discuss </w:t>
      </w:r>
      <w:r w:rsidR="003A27DB" w:rsidRPr="00433F80">
        <w:rPr>
          <w:color w:val="auto"/>
          <w:sz w:val="21"/>
          <w:szCs w:val="21"/>
          <w:lang w:val="en-AU" w:eastAsia="en-AU"/>
        </w:rPr>
        <w:t>P</w:t>
      </w:r>
      <w:r w:rsidR="00E70932" w:rsidRPr="00433F80">
        <w:rPr>
          <w:color w:val="auto"/>
          <w:sz w:val="21"/>
          <w:szCs w:val="21"/>
          <w:lang w:val="en-AU" w:eastAsia="en-AU"/>
        </w:rPr>
        <w:t xml:space="preserve">artnership performance and shared policy interests. </w:t>
      </w:r>
      <w:r w:rsidR="00AC1BD6" w:rsidRPr="00433F80">
        <w:rPr>
          <w:color w:val="auto"/>
          <w:sz w:val="21"/>
          <w:szCs w:val="21"/>
          <w:lang w:val="en-AU" w:eastAsia="en-AU"/>
        </w:rPr>
        <w:t xml:space="preserve"> At project-level, DFAT officers will </w:t>
      </w:r>
      <w:r w:rsidR="008030E1" w:rsidRPr="00433F80">
        <w:rPr>
          <w:color w:val="auto"/>
          <w:sz w:val="21"/>
          <w:szCs w:val="21"/>
          <w:lang w:val="en-AU" w:eastAsia="en-AU"/>
        </w:rPr>
        <w:t xml:space="preserve">engage on shared policy interests and </w:t>
      </w:r>
      <w:r w:rsidR="00AC1BD6" w:rsidRPr="00433F80">
        <w:rPr>
          <w:color w:val="auto"/>
          <w:sz w:val="21"/>
          <w:szCs w:val="21"/>
          <w:lang w:val="en-AU" w:eastAsia="en-AU"/>
        </w:rPr>
        <w:t>participate in the ISAF II and H-EQIP 2 multi-donor governance mechanisms, which includes engagement with the relevant Cambodian Government bodies.</w:t>
      </w:r>
    </w:p>
    <w:p w14:paraId="18BE34FF" w14:textId="5241779F" w:rsidR="00EA1649" w:rsidRPr="00433F80" w:rsidRDefault="00E32A10" w:rsidP="005E6171">
      <w:pPr>
        <w:tabs>
          <w:tab w:val="left" w:pos="284"/>
        </w:tabs>
        <w:suppressAutoHyphens w:val="0"/>
        <w:spacing w:before="0" w:line="360" w:lineRule="auto"/>
        <w:rPr>
          <w:color w:val="auto"/>
          <w:sz w:val="21"/>
          <w:szCs w:val="21"/>
          <w:lang w:val="en-AU"/>
        </w:rPr>
      </w:pPr>
      <w:r w:rsidRPr="00433F80">
        <w:rPr>
          <w:color w:val="auto"/>
          <w:sz w:val="21"/>
          <w:szCs w:val="21"/>
          <w:lang w:val="en-AU"/>
        </w:rPr>
        <w:t>The Partnership relies on the World Bank’s systems for managing risk</w:t>
      </w:r>
      <w:r w:rsidR="00832410" w:rsidRPr="00433F80">
        <w:rPr>
          <w:color w:val="auto"/>
          <w:sz w:val="21"/>
          <w:szCs w:val="21"/>
          <w:lang w:val="en-AU"/>
        </w:rPr>
        <w:t xml:space="preserve"> (</w:t>
      </w:r>
      <w:r w:rsidRPr="00433F80">
        <w:rPr>
          <w:color w:val="auto"/>
          <w:sz w:val="21"/>
          <w:szCs w:val="21"/>
          <w:lang w:val="en-AU"/>
        </w:rPr>
        <w:t>including fiduciary risk</w:t>
      </w:r>
      <w:r w:rsidR="00832410" w:rsidRPr="00433F80">
        <w:rPr>
          <w:color w:val="auto"/>
          <w:sz w:val="21"/>
          <w:szCs w:val="21"/>
          <w:lang w:val="en-AU"/>
        </w:rPr>
        <w:t>)</w:t>
      </w:r>
      <w:r w:rsidRPr="00433F80">
        <w:rPr>
          <w:color w:val="auto"/>
          <w:sz w:val="21"/>
          <w:szCs w:val="21"/>
          <w:lang w:val="en-AU"/>
        </w:rPr>
        <w:t xml:space="preserve">, which </w:t>
      </w:r>
      <w:r w:rsidR="00972BF3" w:rsidRPr="00433F80">
        <w:rPr>
          <w:color w:val="auto"/>
          <w:sz w:val="21"/>
          <w:szCs w:val="21"/>
          <w:lang w:val="en-AU"/>
        </w:rPr>
        <w:t>were</w:t>
      </w:r>
      <w:r w:rsidRPr="00433F80">
        <w:rPr>
          <w:color w:val="auto"/>
          <w:sz w:val="21"/>
          <w:szCs w:val="21"/>
          <w:lang w:val="en-AU"/>
        </w:rPr>
        <w:t xml:space="preserve"> assessed as </w:t>
      </w:r>
      <w:r w:rsidR="003A27DB" w:rsidRPr="00433F80">
        <w:rPr>
          <w:color w:val="auto"/>
          <w:sz w:val="21"/>
          <w:szCs w:val="21"/>
          <w:lang w:val="en-AU"/>
        </w:rPr>
        <w:t>strong</w:t>
      </w:r>
      <w:r w:rsidRPr="00433F80">
        <w:rPr>
          <w:color w:val="auto"/>
          <w:sz w:val="21"/>
          <w:szCs w:val="21"/>
          <w:lang w:val="en-AU"/>
        </w:rPr>
        <w:t xml:space="preserve"> in DFAT’s most recent multilateral performance assessment</w:t>
      </w:r>
      <w:r w:rsidR="00972BF3" w:rsidRPr="00433F80">
        <w:rPr>
          <w:color w:val="auto"/>
          <w:sz w:val="21"/>
          <w:szCs w:val="21"/>
          <w:lang w:val="en-AU"/>
        </w:rPr>
        <w:t xml:space="preserve"> (scoring five out of six)</w:t>
      </w:r>
      <w:r w:rsidRPr="00433F80">
        <w:rPr>
          <w:color w:val="auto"/>
          <w:sz w:val="21"/>
          <w:szCs w:val="21"/>
          <w:lang w:val="en-AU"/>
        </w:rPr>
        <w:t xml:space="preserve">. </w:t>
      </w:r>
      <w:r w:rsidR="00E70932" w:rsidRPr="00433F80">
        <w:rPr>
          <w:color w:val="auto"/>
          <w:sz w:val="21"/>
          <w:szCs w:val="21"/>
          <w:lang w:val="en-AU"/>
        </w:rPr>
        <w:t xml:space="preserve">It mobilises </w:t>
      </w:r>
      <w:r w:rsidR="000C3B33" w:rsidRPr="00433F80">
        <w:rPr>
          <w:color w:val="auto"/>
          <w:sz w:val="21"/>
          <w:szCs w:val="21"/>
          <w:lang w:val="en-AU"/>
        </w:rPr>
        <w:t xml:space="preserve">additional </w:t>
      </w:r>
      <w:r w:rsidR="00E70932" w:rsidRPr="00433F80">
        <w:rPr>
          <w:color w:val="auto"/>
          <w:sz w:val="21"/>
          <w:szCs w:val="21"/>
          <w:lang w:val="en-AU"/>
        </w:rPr>
        <w:t xml:space="preserve">resources to manage known </w:t>
      </w:r>
      <w:r w:rsidR="008030E1" w:rsidRPr="00433F80">
        <w:rPr>
          <w:color w:val="auto"/>
          <w:sz w:val="21"/>
          <w:szCs w:val="21"/>
          <w:lang w:val="en-AU"/>
        </w:rPr>
        <w:t xml:space="preserve">potential </w:t>
      </w:r>
      <w:r w:rsidR="00E70932" w:rsidRPr="00433F80">
        <w:rPr>
          <w:color w:val="auto"/>
          <w:sz w:val="21"/>
          <w:szCs w:val="21"/>
          <w:lang w:val="en-AU"/>
        </w:rPr>
        <w:t xml:space="preserve">weaknesses </w:t>
      </w:r>
      <w:r w:rsidR="000C3B33" w:rsidRPr="00433F80">
        <w:rPr>
          <w:color w:val="auto"/>
          <w:sz w:val="21"/>
          <w:szCs w:val="21"/>
          <w:lang w:val="en-AU"/>
        </w:rPr>
        <w:t xml:space="preserve">in </w:t>
      </w:r>
      <w:r w:rsidR="00E70932" w:rsidRPr="00433F80">
        <w:rPr>
          <w:color w:val="auto"/>
          <w:sz w:val="21"/>
          <w:szCs w:val="21"/>
          <w:lang w:val="en-AU"/>
        </w:rPr>
        <w:t>gender and communications</w:t>
      </w:r>
      <w:r w:rsidR="000C3B33" w:rsidRPr="00433F80">
        <w:rPr>
          <w:color w:val="auto"/>
          <w:sz w:val="21"/>
          <w:szCs w:val="21"/>
          <w:lang w:val="en-AU"/>
        </w:rPr>
        <w:t>/visibility</w:t>
      </w:r>
      <w:r w:rsidR="00E70932" w:rsidRPr="00433F80">
        <w:rPr>
          <w:color w:val="auto"/>
          <w:sz w:val="21"/>
          <w:szCs w:val="21"/>
          <w:lang w:val="en-AU"/>
        </w:rPr>
        <w:t>.</w:t>
      </w:r>
      <w:r w:rsidRPr="00433F80">
        <w:rPr>
          <w:color w:val="auto"/>
          <w:sz w:val="21"/>
          <w:szCs w:val="21"/>
          <w:lang w:val="en-AU"/>
        </w:rPr>
        <w:t xml:space="preserve"> DFAT </w:t>
      </w:r>
      <w:r w:rsidR="003A27DB" w:rsidRPr="00433F80">
        <w:rPr>
          <w:color w:val="auto"/>
          <w:sz w:val="21"/>
          <w:szCs w:val="21"/>
          <w:lang w:val="en-AU"/>
        </w:rPr>
        <w:t>will use the</w:t>
      </w:r>
      <w:r w:rsidRPr="00433F80">
        <w:rPr>
          <w:color w:val="auto"/>
          <w:sz w:val="21"/>
          <w:szCs w:val="21"/>
          <w:lang w:val="en-AU"/>
        </w:rPr>
        <w:t xml:space="preserve"> ISAF</w:t>
      </w:r>
      <w:r w:rsidR="003A27DB" w:rsidRPr="00433F80">
        <w:rPr>
          <w:color w:val="auto"/>
          <w:sz w:val="21"/>
          <w:szCs w:val="21"/>
          <w:lang w:val="en-AU"/>
        </w:rPr>
        <w:t xml:space="preserve"> and</w:t>
      </w:r>
      <w:r w:rsidRPr="00433F80">
        <w:rPr>
          <w:color w:val="auto"/>
          <w:sz w:val="21"/>
          <w:szCs w:val="21"/>
          <w:lang w:val="en-AU"/>
        </w:rPr>
        <w:t xml:space="preserve"> H-EQIP </w:t>
      </w:r>
      <w:r w:rsidR="003A27DB" w:rsidRPr="00433F80">
        <w:rPr>
          <w:color w:val="auto"/>
          <w:sz w:val="21"/>
          <w:szCs w:val="21"/>
          <w:lang w:val="en-AU"/>
        </w:rPr>
        <w:t xml:space="preserve">management arrangements </w:t>
      </w:r>
      <w:r w:rsidRPr="00433F80">
        <w:rPr>
          <w:color w:val="auto"/>
          <w:sz w:val="21"/>
          <w:szCs w:val="21"/>
          <w:lang w:val="en-AU"/>
        </w:rPr>
        <w:t>to ensure early visibility of risk</w:t>
      </w:r>
      <w:r w:rsidR="00E70932" w:rsidRPr="00433F80">
        <w:rPr>
          <w:color w:val="auto"/>
          <w:sz w:val="21"/>
          <w:szCs w:val="21"/>
          <w:lang w:val="en-AU"/>
        </w:rPr>
        <w:t xml:space="preserve"> in Cambodian</w:t>
      </w:r>
      <w:r w:rsidR="003A27DB" w:rsidRPr="00433F80">
        <w:rPr>
          <w:color w:val="auto"/>
          <w:sz w:val="21"/>
          <w:szCs w:val="21"/>
          <w:lang w:val="en-AU"/>
        </w:rPr>
        <w:t xml:space="preserve"> </w:t>
      </w:r>
      <w:r w:rsidR="00E70932" w:rsidRPr="00433F80">
        <w:rPr>
          <w:color w:val="auto"/>
          <w:sz w:val="21"/>
          <w:szCs w:val="21"/>
          <w:lang w:val="en-AU"/>
        </w:rPr>
        <w:t>Government</w:t>
      </w:r>
      <w:r w:rsidR="003A27DB" w:rsidRPr="00433F80">
        <w:rPr>
          <w:color w:val="auto"/>
          <w:sz w:val="21"/>
          <w:szCs w:val="21"/>
          <w:lang w:val="en-AU"/>
        </w:rPr>
        <w:t xml:space="preserve"> </w:t>
      </w:r>
      <w:r w:rsidR="00E70932" w:rsidRPr="00433F80">
        <w:rPr>
          <w:color w:val="auto"/>
          <w:sz w:val="21"/>
          <w:szCs w:val="21"/>
          <w:lang w:val="en-AU"/>
        </w:rPr>
        <w:t xml:space="preserve">executed activities </w:t>
      </w:r>
      <w:r w:rsidRPr="00433F80">
        <w:rPr>
          <w:color w:val="auto"/>
          <w:sz w:val="21"/>
          <w:szCs w:val="21"/>
          <w:lang w:val="en-AU"/>
        </w:rPr>
        <w:t>to</w:t>
      </w:r>
      <w:r w:rsidR="00E70932" w:rsidRPr="00433F80">
        <w:rPr>
          <w:color w:val="auto"/>
          <w:sz w:val="21"/>
          <w:szCs w:val="21"/>
          <w:lang w:val="en-AU"/>
        </w:rPr>
        <w:t xml:space="preserve"> enable DFAT to</w:t>
      </w:r>
      <w:r w:rsidRPr="00433F80">
        <w:rPr>
          <w:color w:val="auto"/>
          <w:sz w:val="21"/>
          <w:szCs w:val="21"/>
          <w:lang w:val="en-AU"/>
        </w:rPr>
        <w:t xml:space="preserve"> mobilise additional</w:t>
      </w:r>
      <w:r w:rsidR="00E70932" w:rsidRPr="00433F80">
        <w:rPr>
          <w:color w:val="auto"/>
          <w:sz w:val="21"/>
          <w:szCs w:val="21"/>
          <w:lang w:val="en-AU"/>
        </w:rPr>
        <w:t>, independent</w:t>
      </w:r>
      <w:r w:rsidRPr="00433F80">
        <w:rPr>
          <w:color w:val="auto"/>
          <w:sz w:val="21"/>
          <w:szCs w:val="21"/>
          <w:lang w:val="en-AU"/>
        </w:rPr>
        <w:t xml:space="preserve"> technical </w:t>
      </w:r>
      <w:r w:rsidR="00E70932" w:rsidRPr="00433F80">
        <w:rPr>
          <w:color w:val="auto"/>
          <w:sz w:val="21"/>
          <w:szCs w:val="21"/>
          <w:lang w:val="en-AU"/>
        </w:rPr>
        <w:t>expertise</w:t>
      </w:r>
      <w:r w:rsidRPr="00433F80">
        <w:rPr>
          <w:color w:val="auto"/>
          <w:sz w:val="21"/>
          <w:szCs w:val="21"/>
          <w:lang w:val="en-AU"/>
        </w:rPr>
        <w:t xml:space="preserve"> if required. </w:t>
      </w:r>
    </w:p>
    <w:p w14:paraId="38969662" w14:textId="352693B3" w:rsidR="002D4DE7" w:rsidRPr="00433F80" w:rsidRDefault="002D4DE7" w:rsidP="005E6171">
      <w:pPr>
        <w:numPr>
          <w:ilvl w:val="0"/>
          <w:numId w:val="11"/>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line="360" w:lineRule="auto"/>
        <w:ind w:left="284" w:hanging="284"/>
        <w:rPr>
          <w:rFonts w:asciiTheme="majorHAnsi" w:hAnsiTheme="majorHAnsi"/>
          <w:b/>
          <w:color w:val="auto"/>
          <w:szCs w:val="21"/>
          <w:lang w:val="en-AU"/>
        </w:rPr>
      </w:pPr>
      <w:bookmarkStart w:id="5" w:name="_Hlk57883323"/>
      <w:r w:rsidRPr="00433F80">
        <w:rPr>
          <w:rFonts w:asciiTheme="majorHAnsi" w:hAnsiTheme="majorHAnsi"/>
          <w:b/>
          <w:color w:val="auto"/>
          <w:szCs w:val="21"/>
          <w:lang w:val="en-AU"/>
        </w:rPr>
        <w:t>Development Context</w:t>
      </w:r>
      <w:r w:rsidR="008A2ECD" w:rsidRPr="00433F80">
        <w:rPr>
          <w:rFonts w:asciiTheme="majorHAnsi" w:hAnsiTheme="majorHAnsi"/>
          <w:b/>
          <w:color w:val="auto"/>
          <w:szCs w:val="21"/>
          <w:lang w:val="en-AU"/>
        </w:rPr>
        <w:t xml:space="preserve"> (What problem are we addressing?)</w:t>
      </w:r>
    </w:p>
    <w:bookmarkEnd w:id="5"/>
    <w:p w14:paraId="2880B87B" w14:textId="6F2E9915" w:rsidR="00100DA1" w:rsidRPr="00433F80" w:rsidRDefault="00100DA1" w:rsidP="005E6171">
      <w:pPr>
        <w:tabs>
          <w:tab w:val="left" w:pos="284"/>
        </w:tabs>
        <w:suppressAutoHyphens w:val="0"/>
        <w:spacing w:before="0" w:line="360" w:lineRule="auto"/>
        <w:rPr>
          <w:color w:val="auto"/>
          <w:sz w:val="21"/>
          <w:szCs w:val="21"/>
          <w:lang w:val="en-AU"/>
        </w:rPr>
      </w:pPr>
      <w:r w:rsidRPr="00433F80">
        <w:rPr>
          <w:color w:val="auto"/>
          <w:sz w:val="21"/>
          <w:szCs w:val="21"/>
          <w:lang w:val="en-AU"/>
        </w:rPr>
        <w:t xml:space="preserve">As </w:t>
      </w:r>
      <w:r w:rsidR="007F23F2" w:rsidRPr="00433F80">
        <w:rPr>
          <w:color w:val="auto"/>
          <w:sz w:val="21"/>
          <w:szCs w:val="21"/>
          <w:lang w:val="en-AU"/>
        </w:rPr>
        <w:t xml:space="preserve">explained </w:t>
      </w:r>
      <w:r w:rsidRPr="00433F80">
        <w:rPr>
          <w:color w:val="auto"/>
          <w:sz w:val="21"/>
          <w:szCs w:val="21"/>
          <w:lang w:val="en-AU"/>
        </w:rPr>
        <w:t xml:space="preserve">in Section </w:t>
      </w:r>
      <w:r w:rsidR="007F23F2" w:rsidRPr="00433F80">
        <w:rPr>
          <w:color w:val="auto"/>
          <w:sz w:val="21"/>
          <w:szCs w:val="21"/>
          <w:lang w:val="en-AU"/>
        </w:rPr>
        <w:t>1</w:t>
      </w:r>
      <w:r w:rsidRPr="00433F80">
        <w:rPr>
          <w:color w:val="auto"/>
          <w:sz w:val="21"/>
          <w:szCs w:val="21"/>
          <w:lang w:val="en-AU"/>
        </w:rPr>
        <w:t xml:space="preserve"> of the </w:t>
      </w:r>
      <w:r w:rsidR="007F23F2" w:rsidRPr="00433F80">
        <w:rPr>
          <w:color w:val="auto"/>
          <w:sz w:val="21"/>
          <w:szCs w:val="21"/>
          <w:lang w:val="en-AU"/>
        </w:rPr>
        <w:t>PROMISE</w:t>
      </w:r>
      <w:r w:rsidR="005E73AD" w:rsidRPr="00433F80">
        <w:rPr>
          <w:color w:val="auto"/>
          <w:sz w:val="21"/>
          <w:szCs w:val="21"/>
          <w:lang w:val="en-AU"/>
        </w:rPr>
        <w:t xml:space="preserve"> </w:t>
      </w:r>
      <w:r w:rsidR="005A0A76" w:rsidRPr="00433F80">
        <w:rPr>
          <w:color w:val="auto"/>
          <w:sz w:val="21"/>
          <w:szCs w:val="21"/>
          <w:lang w:val="en-AU"/>
        </w:rPr>
        <w:t xml:space="preserve">Partnership Trust Fund </w:t>
      </w:r>
      <w:r w:rsidR="007F23F2" w:rsidRPr="00433F80">
        <w:rPr>
          <w:color w:val="auto"/>
          <w:sz w:val="21"/>
          <w:szCs w:val="21"/>
          <w:lang w:val="en-AU"/>
        </w:rPr>
        <w:t>Proposal</w:t>
      </w:r>
      <w:r w:rsidR="005A0A76" w:rsidRPr="00433F80">
        <w:rPr>
          <w:color w:val="auto"/>
          <w:sz w:val="21"/>
          <w:szCs w:val="21"/>
          <w:lang w:val="en-AU"/>
        </w:rPr>
        <w:t xml:space="preserve"> (Annex </w:t>
      </w:r>
      <w:r w:rsidR="005E73AD" w:rsidRPr="00433F80">
        <w:rPr>
          <w:color w:val="auto"/>
          <w:sz w:val="21"/>
          <w:szCs w:val="21"/>
          <w:lang w:val="en-AU"/>
        </w:rPr>
        <w:t>1)</w:t>
      </w:r>
      <w:r w:rsidRPr="00433F80">
        <w:rPr>
          <w:color w:val="auto"/>
          <w:sz w:val="21"/>
          <w:szCs w:val="21"/>
          <w:lang w:val="en-AU"/>
        </w:rPr>
        <w:t xml:space="preserve">, </w:t>
      </w:r>
      <w:r w:rsidR="007F23F2" w:rsidRPr="00433F80">
        <w:rPr>
          <w:color w:val="auto"/>
          <w:sz w:val="21"/>
          <w:szCs w:val="21"/>
          <w:lang w:val="en-AU"/>
        </w:rPr>
        <w:t>t</w:t>
      </w:r>
      <w:r w:rsidRPr="00433F80">
        <w:rPr>
          <w:color w:val="auto"/>
          <w:sz w:val="21"/>
          <w:szCs w:val="21"/>
          <w:lang w:val="en-AU"/>
        </w:rPr>
        <w:t xml:space="preserve">he COVID-19 pandemic is hitting Cambodia’s </w:t>
      </w:r>
      <w:r w:rsidR="005D28A1" w:rsidRPr="00433F80">
        <w:rPr>
          <w:color w:val="auto"/>
          <w:sz w:val="21"/>
          <w:szCs w:val="21"/>
          <w:lang w:val="en-AU"/>
        </w:rPr>
        <w:t xml:space="preserve">highly open </w:t>
      </w:r>
      <w:r w:rsidRPr="00433F80">
        <w:rPr>
          <w:color w:val="auto"/>
          <w:sz w:val="21"/>
          <w:szCs w:val="21"/>
          <w:lang w:val="en-AU"/>
        </w:rPr>
        <w:t xml:space="preserve">economy hard and threatening to undo </w:t>
      </w:r>
      <w:r w:rsidR="005D28A1" w:rsidRPr="00433F80">
        <w:rPr>
          <w:color w:val="auto"/>
          <w:sz w:val="21"/>
          <w:szCs w:val="21"/>
          <w:lang w:val="en-AU"/>
        </w:rPr>
        <w:t xml:space="preserve">ten years of </w:t>
      </w:r>
      <w:r w:rsidRPr="00433F80">
        <w:rPr>
          <w:color w:val="auto"/>
          <w:sz w:val="21"/>
          <w:szCs w:val="21"/>
          <w:lang w:val="en-AU"/>
        </w:rPr>
        <w:t>hard-won development progress</w:t>
      </w:r>
      <w:r w:rsidR="007E1914" w:rsidRPr="00433F80">
        <w:rPr>
          <w:color w:val="auto"/>
          <w:sz w:val="21"/>
          <w:szCs w:val="21"/>
          <w:lang w:val="en-AU"/>
        </w:rPr>
        <w:t xml:space="preserve">. </w:t>
      </w:r>
      <w:r w:rsidRPr="00433F80">
        <w:rPr>
          <w:color w:val="auto"/>
          <w:sz w:val="21"/>
          <w:szCs w:val="21"/>
          <w:lang w:val="en-AU"/>
        </w:rPr>
        <w:t>Th</w:t>
      </w:r>
      <w:r w:rsidR="007E1914" w:rsidRPr="00433F80">
        <w:rPr>
          <w:color w:val="auto"/>
          <w:sz w:val="21"/>
          <w:szCs w:val="21"/>
          <w:lang w:val="en-AU"/>
        </w:rPr>
        <w:t>e</w:t>
      </w:r>
      <w:r w:rsidRPr="00433F80">
        <w:rPr>
          <w:color w:val="auto"/>
          <w:sz w:val="21"/>
          <w:szCs w:val="21"/>
          <w:lang w:val="en-AU"/>
        </w:rPr>
        <w:t xml:space="preserve"> Partnership </w:t>
      </w:r>
      <w:r w:rsidR="003A27DB" w:rsidRPr="00433F80">
        <w:rPr>
          <w:color w:val="auto"/>
          <w:sz w:val="21"/>
          <w:szCs w:val="21"/>
          <w:lang w:val="en-AU"/>
        </w:rPr>
        <w:t>addresses this by seeking to</w:t>
      </w:r>
      <w:r w:rsidRPr="00433F80">
        <w:rPr>
          <w:color w:val="auto"/>
          <w:sz w:val="21"/>
          <w:szCs w:val="21"/>
          <w:lang w:val="en-AU"/>
        </w:rPr>
        <w:t xml:space="preserve"> ensure that Cambodia regains and maintains its momentum in improving the quality, sustainability and </w:t>
      </w:r>
      <w:r w:rsidR="005D28A1" w:rsidRPr="00433F80">
        <w:rPr>
          <w:color w:val="auto"/>
          <w:sz w:val="21"/>
          <w:szCs w:val="21"/>
          <w:lang w:val="en-AU"/>
        </w:rPr>
        <w:t xml:space="preserve">inclusivity </w:t>
      </w:r>
      <w:r w:rsidRPr="00433F80">
        <w:rPr>
          <w:color w:val="auto"/>
          <w:sz w:val="21"/>
          <w:szCs w:val="21"/>
          <w:lang w:val="en-AU"/>
        </w:rPr>
        <w:t>of its public services</w:t>
      </w:r>
      <w:r w:rsidR="005D28A1" w:rsidRPr="00433F80">
        <w:rPr>
          <w:color w:val="auto"/>
          <w:sz w:val="21"/>
          <w:szCs w:val="21"/>
          <w:lang w:val="en-AU"/>
        </w:rPr>
        <w:t xml:space="preserve"> and economy</w:t>
      </w:r>
      <w:r w:rsidRPr="00433F80">
        <w:rPr>
          <w:color w:val="auto"/>
          <w:sz w:val="21"/>
          <w:szCs w:val="21"/>
          <w:lang w:val="en-AU"/>
        </w:rPr>
        <w:t xml:space="preserve">. This will support the </w:t>
      </w:r>
      <w:r w:rsidR="008A0605" w:rsidRPr="00433F80">
        <w:rPr>
          <w:color w:val="auto"/>
          <w:sz w:val="21"/>
          <w:szCs w:val="21"/>
          <w:lang w:val="en-AU"/>
        </w:rPr>
        <w:t>fulfilment</w:t>
      </w:r>
      <w:r w:rsidR="002F1867" w:rsidRPr="00433F80">
        <w:rPr>
          <w:color w:val="auto"/>
          <w:sz w:val="21"/>
          <w:szCs w:val="21"/>
          <w:lang w:val="en-AU"/>
        </w:rPr>
        <w:t xml:space="preserve"> </w:t>
      </w:r>
      <w:r w:rsidRPr="00433F80">
        <w:rPr>
          <w:color w:val="auto"/>
          <w:sz w:val="21"/>
          <w:szCs w:val="21"/>
          <w:lang w:val="en-AU"/>
        </w:rPr>
        <w:t xml:space="preserve">of basic rights by Cambodians—particularly the most vulnerable—while also enhancing stability and enabling an economic recovery from COVID-19 that the whole population can share in. </w:t>
      </w:r>
    </w:p>
    <w:p w14:paraId="66753155" w14:textId="0C827CA6" w:rsidR="0058344D" w:rsidRPr="00433F80" w:rsidRDefault="0058344D" w:rsidP="005E6171">
      <w:pPr>
        <w:tabs>
          <w:tab w:val="left" w:pos="284"/>
        </w:tabs>
        <w:suppressAutoHyphens w:val="0"/>
        <w:spacing w:before="0" w:line="360" w:lineRule="auto"/>
        <w:rPr>
          <w:rFonts w:eastAsia="Times New Roman" w:cs="Arial"/>
          <w:color w:val="auto"/>
          <w:sz w:val="21"/>
          <w:szCs w:val="21"/>
          <w:lang w:val="en-AU" w:eastAsia="en-AU"/>
        </w:rPr>
      </w:pPr>
      <w:r w:rsidRPr="00433F80">
        <w:rPr>
          <w:rFonts w:eastAsia="Times New Roman" w:cs="Arial"/>
          <w:b/>
          <w:color w:val="auto"/>
          <w:sz w:val="21"/>
          <w:szCs w:val="21"/>
          <w:lang w:val="en-AU" w:eastAsia="en-AU"/>
        </w:rPr>
        <w:t>Health</w:t>
      </w:r>
      <w:r w:rsidRPr="00433F80">
        <w:rPr>
          <w:rFonts w:eastAsia="Times New Roman" w:cs="Arial"/>
          <w:color w:val="auto"/>
          <w:sz w:val="21"/>
          <w:szCs w:val="21"/>
          <w:lang w:val="en-AU" w:eastAsia="en-AU"/>
        </w:rPr>
        <w:t xml:space="preserve"> </w:t>
      </w:r>
    </w:p>
    <w:p w14:paraId="72DFE2C2" w14:textId="522968CC" w:rsidR="00FB3FEF" w:rsidRPr="00433F80" w:rsidRDefault="0024791F" w:rsidP="005E6171">
      <w:pPr>
        <w:tabs>
          <w:tab w:val="left" w:pos="284"/>
        </w:tabs>
        <w:suppressAutoHyphens w:val="0"/>
        <w:spacing w:before="0" w:line="360" w:lineRule="auto"/>
        <w:rPr>
          <w:rFonts w:eastAsia="Times New Roman" w:cs="Arial"/>
          <w:color w:val="auto"/>
          <w:sz w:val="21"/>
          <w:szCs w:val="21"/>
          <w:lang w:val="en-AU" w:eastAsia="en-AU"/>
        </w:rPr>
      </w:pPr>
      <w:r w:rsidRPr="00433F80">
        <w:rPr>
          <w:rFonts w:eastAsia="Times New Roman" w:cs="Arial"/>
          <w:color w:val="auto"/>
          <w:sz w:val="21"/>
          <w:szCs w:val="21"/>
          <w:lang w:val="en-AU" w:eastAsia="en-AU"/>
        </w:rPr>
        <w:t xml:space="preserve">Australia has been supporting health systems reform </w:t>
      </w:r>
      <w:r w:rsidR="00D65911" w:rsidRPr="00433F80">
        <w:rPr>
          <w:rFonts w:eastAsia="Times New Roman" w:cs="Arial"/>
          <w:color w:val="auto"/>
          <w:sz w:val="21"/>
          <w:szCs w:val="21"/>
          <w:lang w:val="en-AU" w:eastAsia="en-AU"/>
        </w:rPr>
        <w:t xml:space="preserve">in Cambodia </w:t>
      </w:r>
      <w:r w:rsidRPr="00433F80">
        <w:rPr>
          <w:rFonts w:eastAsia="Times New Roman" w:cs="Arial"/>
          <w:color w:val="auto"/>
          <w:sz w:val="21"/>
          <w:szCs w:val="21"/>
          <w:lang w:val="en-AU" w:eastAsia="en-AU"/>
        </w:rPr>
        <w:t xml:space="preserve">for </w:t>
      </w:r>
      <w:r w:rsidR="00D65911" w:rsidRPr="00433F80">
        <w:rPr>
          <w:rFonts w:eastAsia="Times New Roman" w:cs="Arial"/>
          <w:color w:val="auto"/>
          <w:sz w:val="21"/>
          <w:szCs w:val="21"/>
          <w:lang w:val="en-AU" w:eastAsia="en-AU"/>
        </w:rPr>
        <w:t>more than</w:t>
      </w:r>
      <w:r w:rsidRPr="00433F80">
        <w:rPr>
          <w:rFonts w:eastAsia="Times New Roman" w:cs="Arial"/>
          <w:color w:val="auto"/>
          <w:sz w:val="21"/>
          <w:szCs w:val="21"/>
          <w:lang w:val="en-AU" w:eastAsia="en-AU"/>
        </w:rPr>
        <w:t xml:space="preserve"> 20 years and </w:t>
      </w:r>
      <w:r w:rsidR="00B025E6" w:rsidRPr="00433F80">
        <w:rPr>
          <w:rFonts w:eastAsia="Times New Roman" w:cs="Arial"/>
          <w:color w:val="auto"/>
          <w:sz w:val="21"/>
          <w:szCs w:val="21"/>
          <w:lang w:val="en-AU" w:eastAsia="en-AU"/>
        </w:rPr>
        <w:t xml:space="preserve">is recognised as a leading bilateral donor in health. Australia </w:t>
      </w:r>
      <w:r w:rsidRPr="00433F80">
        <w:rPr>
          <w:rFonts w:eastAsia="Times New Roman" w:cs="Arial"/>
          <w:color w:val="auto"/>
          <w:sz w:val="21"/>
          <w:szCs w:val="21"/>
          <w:lang w:val="en-AU" w:eastAsia="en-AU"/>
        </w:rPr>
        <w:t xml:space="preserve">has been the leading </w:t>
      </w:r>
      <w:r w:rsidR="00D65911" w:rsidRPr="00433F80">
        <w:rPr>
          <w:rFonts w:eastAsia="Times New Roman" w:cs="Arial"/>
          <w:color w:val="auto"/>
          <w:sz w:val="21"/>
          <w:szCs w:val="21"/>
          <w:lang w:val="en-AU" w:eastAsia="en-AU"/>
        </w:rPr>
        <w:t>contributor</w:t>
      </w:r>
      <w:r w:rsidRPr="00433F80">
        <w:rPr>
          <w:rFonts w:eastAsia="Times New Roman" w:cs="Arial"/>
          <w:color w:val="auto"/>
          <w:sz w:val="21"/>
          <w:szCs w:val="21"/>
          <w:lang w:val="en-AU" w:eastAsia="en-AU"/>
        </w:rPr>
        <w:t xml:space="preserve"> to a World Bank-administered, Cambodian-government implemented health systems strengthening project since 2016</w:t>
      </w:r>
      <w:r w:rsidR="0058344D" w:rsidRPr="00433F80">
        <w:rPr>
          <w:rFonts w:eastAsia="Times New Roman" w:cs="Arial"/>
          <w:color w:val="auto"/>
          <w:sz w:val="21"/>
          <w:szCs w:val="21"/>
          <w:lang w:val="en-AU" w:eastAsia="en-AU"/>
        </w:rPr>
        <w:t>: the Health Equity and Quality Improvement Project (H-EQIP)</w:t>
      </w:r>
      <w:r w:rsidRPr="00433F80">
        <w:rPr>
          <w:rFonts w:eastAsia="Times New Roman" w:cs="Arial"/>
          <w:color w:val="auto"/>
          <w:sz w:val="21"/>
          <w:szCs w:val="21"/>
          <w:lang w:val="en-AU" w:eastAsia="en-AU"/>
        </w:rPr>
        <w:t xml:space="preserve">. </w:t>
      </w:r>
      <w:r w:rsidR="00BB0659" w:rsidRPr="00433F80">
        <w:rPr>
          <w:rFonts w:eastAsia="Times New Roman" w:cs="Arial"/>
          <w:color w:val="auto"/>
          <w:sz w:val="21"/>
          <w:szCs w:val="21"/>
          <w:lang w:val="en-AU" w:eastAsia="en-AU"/>
        </w:rPr>
        <w:t>As a result</w:t>
      </w:r>
      <w:r w:rsidR="0058344D" w:rsidRPr="00433F80">
        <w:rPr>
          <w:rFonts w:eastAsia="Times New Roman" w:cs="Arial"/>
          <w:color w:val="auto"/>
          <w:sz w:val="21"/>
          <w:szCs w:val="21"/>
          <w:lang w:val="en-AU" w:eastAsia="en-AU"/>
        </w:rPr>
        <w:t xml:space="preserve"> of H-EQIP</w:t>
      </w:r>
      <w:r w:rsidR="00BB0659" w:rsidRPr="00433F80">
        <w:rPr>
          <w:rFonts w:eastAsia="Times New Roman" w:cs="Arial"/>
          <w:color w:val="auto"/>
          <w:sz w:val="21"/>
          <w:szCs w:val="21"/>
          <w:lang w:val="en-AU" w:eastAsia="en-AU"/>
        </w:rPr>
        <w:t xml:space="preserve">, </w:t>
      </w:r>
      <w:r w:rsidR="00BB0659" w:rsidRPr="00433F80">
        <w:rPr>
          <w:rFonts w:cstheme="minorHAnsi"/>
          <w:color w:val="auto"/>
          <w:sz w:val="21"/>
          <w:szCs w:val="21"/>
        </w:rPr>
        <w:t>poor Cambodians receive</w:t>
      </w:r>
      <w:r w:rsidR="0058344D" w:rsidRPr="00433F80">
        <w:rPr>
          <w:rFonts w:cstheme="minorHAnsi"/>
          <w:color w:val="auto"/>
          <w:sz w:val="21"/>
          <w:szCs w:val="21"/>
        </w:rPr>
        <w:t>d</w:t>
      </w:r>
      <w:r w:rsidR="00BB0659" w:rsidRPr="00433F80">
        <w:rPr>
          <w:rFonts w:cstheme="minorHAnsi"/>
          <w:color w:val="auto"/>
          <w:sz w:val="21"/>
          <w:szCs w:val="21"/>
        </w:rPr>
        <w:t xml:space="preserve"> 2.9 million free healthcare services </w:t>
      </w:r>
      <w:r w:rsidR="0058344D" w:rsidRPr="00433F80">
        <w:rPr>
          <w:rFonts w:cstheme="minorHAnsi"/>
          <w:color w:val="auto"/>
          <w:sz w:val="21"/>
          <w:szCs w:val="21"/>
        </w:rPr>
        <w:t xml:space="preserve">in 2019 </w:t>
      </w:r>
      <w:r w:rsidR="00BB0659" w:rsidRPr="00433F80">
        <w:rPr>
          <w:rFonts w:cstheme="minorHAnsi"/>
          <w:color w:val="auto"/>
          <w:sz w:val="21"/>
          <w:szCs w:val="21"/>
        </w:rPr>
        <w:t xml:space="preserve">through the </w:t>
      </w:r>
      <w:r w:rsidR="00B025E6" w:rsidRPr="00433F80">
        <w:rPr>
          <w:rFonts w:cstheme="minorHAnsi"/>
          <w:color w:val="auto"/>
          <w:sz w:val="21"/>
          <w:szCs w:val="21"/>
        </w:rPr>
        <w:t xml:space="preserve">HEF </w:t>
      </w:r>
      <w:r w:rsidR="00BC5326" w:rsidRPr="00433F80">
        <w:rPr>
          <w:rFonts w:cstheme="minorHAnsi"/>
          <w:color w:val="auto"/>
          <w:sz w:val="21"/>
          <w:szCs w:val="21"/>
        </w:rPr>
        <w:t>(</w:t>
      </w:r>
      <w:r w:rsidR="006731D5" w:rsidRPr="00433F80">
        <w:rPr>
          <w:rFonts w:cstheme="minorHAnsi"/>
          <w:color w:val="auto"/>
          <w:sz w:val="21"/>
          <w:szCs w:val="21"/>
        </w:rPr>
        <w:t xml:space="preserve">support that </w:t>
      </w:r>
      <w:r w:rsidR="00B025E6" w:rsidRPr="00433F80">
        <w:rPr>
          <w:rFonts w:cstheme="minorHAnsi"/>
          <w:color w:val="auto"/>
          <w:sz w:val="21"/>
          <w:szCs w:val="21"/>
        </w:rPr>
        <w:t>has continued during the pandemic)</w:t>
      </w:r>
      <w:r w:rsidR="007279D5" w:rsidRPr="00433F80">
        <w:rPr>
          <w:rFonts w:cstheme="minorHAnsi"/>
          <w:color w:val="auto"/>
          <w:sz w:val="21"/>
          <w:szCs w:val="21"/>
        </w:rPr>
        <w:t xml:space="preserve"> and</w:t>
      </w:r>
      <w:r w:rsidR="00E01189" w:rsidRPr="00433F80">
        <w:rPr>
          <w:rFonts w:cstheme="minorHAnsi"/>
          <w:color w:val="auto"/>
          <w:sz w:val="21"/>
          <w:szCs w:val="21"/>
        </w:rPr>
        <w:t xml:space="preserve"> </w:t>
      </w:r>
      <w:r w:rsidR="00EA1649" w:rsidRPr="00433F80">
        <w:rPr>
          <w:rFonts w:cstheme="minorHAnsi"/>
          <w:color w:val="auto"/>
          <w:sz w:val="21"/>
          <w:szCs w:val="21"/>
        </w:rPr>
        <w:t>more than 1,000 health facilities nationwide now reach targeted quality standards (up from 46 in 2016)</w:t>
      </w:r>
      <w:r w:rsidR="00BB0659" w:rsidRPr="00433F80">
        <w:rPr>
          <w:rFonts w:cstheme="minorHAnsi"/>
          <w:color w:val="auto"/>
          <w:sz w:val="21"/>
          <w:szCs w:val="21"/>
        </w:rPr>
        <w:t xml:space="preserve">. </w:t>
      </w:r>
      <w:r w:rsidR="00146F35" w:rsidRPr="00433F80">
        <w:rPr>
          <w:rFonts w:eastAsia="Times New Roman" w:cs="Arial"/>
          <w:color w:val="auto"/>
          <w:sz w:val="21"/>
          <w:szCs w:val="21"/>
          <w:lang w:val="en-AU" w:eastAsia="en-AU"/>
        </w:rPr>
        <w:t xml:space="preserve">The design process for a successor project (H-EQIP 2) </w:t>
      </w:r>
      <w:r w:rsidR="005D28A1" w:rsidRPr="00433F80">
        <w:rPr>
          <w:rFonts w:eastAsia="Times New Roman" w:cs="Arial"/>
          <w:color w:val="auto"/>
          <w:sz w:val="21"/>
          <w:szCs w:val="21"/>
          <w:lang w:val="en-AU" w:eastAsia="en-AU"/>
        </w:rPr>
        <w:t>is underway,</w:t>
      </w:r>
      <w:r w:rsidR="00D65911" w:rsidRPr="00433F80">
        <w:rPr>
          <w:rFonts w:eastAsia="Times New Roman" w:cs="Arial"/>
          <w:color w:val="auto"/>
          <w:sz w:val="21"/>
          <w:szCs w:val="21"/>
          <w:lang w:val="en-AU" w:eastAsia="en-AU"/>
        </w:rPr>
        <w:t xml:space="preserve"> </w:t>
      </w:r>
      <w:r w:rsidR="005D28A1" w:rsidRPr="00433F80">
        <w:rPr>
          <w:rFonts w:eastAsia="Times New Roman" w:cs="Arial"/>
          <w:color w:val="auto"/>
          <w:sz w:val="21"/>
          <w:szCs w:val="21"/>
          <w:lang w:val="en-AU" w:eastAsia="en-AU"/>
        </w:rPr>
        <w:t>with the project slated for established in late 2021.</w:t>
      </w:r>
      <w:r w:rsidR="003A27DB" w:rsidRPr="00433F80">
        <w:rPr>
          <w:rFonts w:eastAsia="Times New Roman" w:cs="Arial"/>
          <w:color w:val="auto"/>
          <w:sz w:val="21"/>
          <w:szCs w:val="21"/>
          <w:lang w:val="en-AU" w:eastAsia="en-AU"/>
        </w:rPr>
        <w:t xml:space="preserve"> </w:t>
      </w:r>
    </w:p>
    <w:p w14:paraId="4D919026" w14:textId="0514D615" w:rsidR="0024791F" w:rsidRPr="00433F80" w:rsidRDefault="00FB3FEF" w:rsidP="005E6171">
      <w:pPr>
        <w:tabs>
          <w:tab w:val="left" w:pos="284"/>
        </w:tabs>
        <w:suppressAutoHyphens w:val="0"/>
        <w:spacing w:before="0" w:line="360" w:lineRule="auto"/>
        <w:rPr>
          <w:rFonts w:eastAsia="Times New Roman" w:cs="Arial"/>
          <w:color w:val="auto"/>
          <w:sz w:val="21"/>
          <w:szCs w:val="21"/>
          <w:lang w:val="en-AU" w:eastAsia="en-AU"/>
        </w:rPr>
      </w:pPr>
      <w:r w:rsidRPr="00433F80">
        <w:rPr>
          <w:rFonts w:eastAsia="Times New Roman" w:cs="Arial"/>
          <w:color w:val="auto"/>
          <w:sz w:val="21"/>
          <w:szCs w:val="21"/>
          <w:lang w:val="en-AU" w:eastAsia="en-AU"/>
        </w:rPr>
        <w:t xml:space="preserve">Australia also supports a </w:t>
      </w:r>
      <w:proofErr w:type="gramStart"/>
      <w:r w:rsidRPr="00433F80">
        <w:rPr>
          <w:rFonts w:eastAsia="Times New Roman" w:cs="Arial"/>
          <w:color w:val="auto"/>
          <w:sz w:val="21"/>
          <w:szCs w:val="21"/>
          <w:lang w:val="en-AU" w:eastAsia="en-AU"/>
        </w:rPr>
        <w:t>regional World Bank health systems</w:t>
      </w:r>
      <w:proofErr w:type="gramEnd"/>
      <w:r w:rsidRPr="00433F80">
        <w:rPr>
          <w:rFonts w:eastAsia="Times New Roman" w:cs="Arial"/>
          <w:color w:val="auto"/>
          <w:sz w:val="21"/>
          <w:szCs w:val="21"/>
          <w:lang w:val="en-AU" w:eastAsia="en-AU"/>
        </w:rPr>
        <w:t xml:space="preserve"> strengthening multi-donor trust fund, managed from Canberra by DFAT’s </w:t>
      </w:r>
      <w:r w:rsidR="005D28A1" w:rsidRPr="00433F80">
        <w:rPr>
          <w:rFonts w:eastAsia="Times New Roman" w:cs="Arial"/>
          <w:color w:val="auto"/>
          <w:sz w:val="21"/>
          <w:szCs w:val="21"/>
          <w:lang w:val="en-AU" w:eastAsia="en-AU"/>
        </w:rPr>
        <w:t>Global Health P</w:t>
      </w:r>
      <w:r w:rsidRPr="00433F80">
        <w:rPr>
          <w:rFonts w:eastAsia="Times New Roman" w:cs="Arial"/>
          <w:color w:val="auto"/>
          <w:sz w:val="21"/>
          <w:szCs w:val="21"/>
          <w:lang w:val="en-AU" w:eastAsia="en-AU"/>
        </w:rPr>
        <w:t xml:space="preserve">olicy </w:t>
      </w:r>
      <w:r w:rsidR="005D28A1" w:rsidRPr="00433F80">
        <w:rPr>
          <w:rFonts w:eastAsia="Times New Roman" w:cs="Arial"/>
          <w:color w:val="auto"/>
          <w:sz w:val="21"/>
          <w:szCs w:val="21"/>
          <w:lang w:val="en-AU" w:eastAsia="en-AU"/>
        </w:rPr>
        <w:t>B</w:t>
      </w:r>
      <w:r w:rsidRPr="00433F80">
        <w:rPr>
          <w:rFonts w:eastAsia="Times New Roman" w:cs="Arial"/>
          <w:color w:val="auto"/>
          <w:sz w:val="21"/>
          <w:szCs w:val="21"/>
          <w:lang w:val="en-AU" w:eastAsia="en-AU"/>
        </w:rPr>
        <w:t xml:space="preserve">ranch, which </w:t>
      </w:r>
      <w:r w:rsidR="00692A38" w:rsidRPr="00433F80">
        <w:rPr>
          <w:rFonts w:eastAsia="Times New Roman" w:cs="Arial"/>
          <w:color w:val="auto"/>
          <w:sz w:val="21"/>
          <w:szCs w:val="21"/>
          <w:lang w:val="en-AU" w:eastAsia="en-AU"/>
        </w:rPr>
        <w:t>includes contributions to</w:t>
      </w:r>
      <w:r w:rsidRPr="00433F80">
        <w:rPr>
          <w:rFonts w:eastAsia="Times New Roman" w:cs="Arial"/>
          <w:color w:val="auto"/>
          <w:sz w:val="21"/>
          <w:szCs w:val="21"/>
          <w:lang w:val="en-AU" w:eastAsia="en-AU"/>
        </w:rPr>
        <w:t xml:space="preserve"> World Bank projects in Cambodia </w:t>
      </w:r>
      <w:r w:rsidR="00692A38" w:rsidRPr="00433F80">
        <w:rPr>
          <w:rFonts w:eastAsia="Times New Roman" w:cs="Arial"/>
          <w:color w:val="auto"/>
          <w:sz w:val="21"/>
          <w:szCs w:val="21"/>
          <w:lang w:val="en-AU" w:eastAsia="en-AU"/>
        </w:rPr>
        <w:t>such as</w:t>
      </w:r>
      <w:r w:rsidRPr="00433F80">
        <w:rPr>
          <w:rFonts w:eastAsia="Times New Roman" w:cs="Arial"/>
          <w:color w:val="auto"/>
          <w:sz w:val="21"/>
          <w:szCs w:val="21"/>
          <w:lang w:val="en-AU" w:eastAsia="en-AU"/>
        </w:rPr>
        <w:t xml:space="preserve"> </w:t>
      </w:r>
      <w:r w:rsidR="00692A38" w:rsidRPr="00433F80">
        <w:rPr>
          <w:rFonts w:eastAsia="Times New Roman" w:cs="Arial"/>
          <w:color w:val="auto"/>
          <w:sz w:val="21"/>
          <w:szCs w:val="21"/>
          <w:lang w:val="en-AU" w:eastAsia="en-AU"/>
        </w:rPr>
        <w:t>the</w:t>
      </w:r>
      <w:r w:rsidRPr="00433F80">
        <w:rPr>
          <w:rFonts w:eastAsia="Times New Roman" w:cs="Arial"/>
          <w:color w:val="auto"/>
          <w:sz w:val="21"/>
          <w:szCs w:val="21"/>
          <w:lang w:val="en-AU" w:eastAsia="en-AU"/>
        </w:rPr>
        <w:t xml:space="preserve"> Cambodia Nutrition Project. Our bilateral and regional work with the World Bank in health is complemented by a range of health security activities (some complementary to </w:t>
      </w:r>
      <w:r w:rsidR="006731D5" w:rsidRPr="00433F80">
        <w:rPr>
          <w:rFonts w:eastAsia="Times New Roman" w:cs="Arial"/>
          <w:color w:val="auto"/>
          <w:sz w:val="21"/>
          <w:szCs w:val="21"/>
          <w:lang w:val="en-AU" w:eastAsia="en-AU"/>
        </w:rPr>
        <w:t xml:space="preserve">the </w:t>
      </w:r>
      <w:r w:rsidRPr="00433F80">
        <w:rPr>
          <w:rFonts w:eastAsia="Times New Roman" w:cs="Arial"/>
          <w:color w:val="auto"/>
          <w:sz w:val="21"/>
          <w:szCs w:val="21"/>
          <w:lang w:val="en-AU" w:eastAsia="en-AU"/>
        </w:rPr>
        <w:t>World Bank’s COVID-19 health project) managed by Australia’s Indo-Pacific Centre for Health Security</w:t>
      </w:r>
      <w:r w:rsidR="00692A38" w:rsidRPr="00433F80">
        <w:rPr>
          <w:rFonts w:eastAsia="Times New Roman" w:cs="Arial"/>
          <w:color w:val="auto"/>
          <w:sz w:val="21"/>
          <w:szCs w:val="21"/>
          <w:lang w:val="en-AU" w:eastAsia="en-AU"/>
        </w:rPr>
        <w:t>. Australia also has</w:t>
      </w:r>
      <w:r w:rsidRPr="00433F80">
        <w:rPr>
          <w:rFonts w:eastAsia="Times New Roman" w:cs="Arial"/>
          <w:color w:val="auto"/>
          <w:sz w:val="21"/>
          <w:szCs w:val="21"/>
          <w:lang w:val="en-AU" w:eastAsia="en-AU"/>
        </w:rPr>
        <w:t xml:space="preserve"> active </w:t>
      </w:r>
      <w:r w:rsidRPr="00433F80">
        <w:rPr>
          <w:rFonts w:eastAsia="Times New Roman" w:cs="Arial"/>
          <w:color w:val="auto"/>
          <w:sz w:val="21"/>
          <w:szCs w:val="21"/>
          <w:lang w:val="en-AU" w:eastAsia="en-AU"/>
        </w:rPr>
        <w:lastRenderedPageBreak/>
        <w:t>engagement in G</w:t>
      </w:r>
      <w:r w:rsidR="00692A38" w:rsidRPr="00433F80">
        <w:rPr>
          <w:rFonts w:eastAsia="Times New Roman" w:cs="Arial"/>
          <w:color w:val="auto"/>
          <w:sz w:val="21"/>
          <w:szCs w:val="21"/>
          <w:lang w:val="en-AU" w:eastAsia="en-AU"/>
        </w:rPr>
        <w:t>avi,</w:t>
      </w:r>
      <w:r w:rsidRPr="00433F80">
        <w:rPr>
          <w:rFonts w:eastAsia="Times New Roman" w:cs="Arial"/>
          <w:color w:val="auto"/>
          <w:sz w:val="21"/>
          <w:szCs w:val="21"/>
          <w:lang w:val="en-AU" w:eastAsia="en-AU"/>
        </w:rPr>
        <w:t xml:space="preserve"> the Vaccine Alliance and </w:t>
      </w:r>
      <w:r w:rsidR="009F7A98" w:rsidRPr="00433F80">
        <w:rPr>
          <w:rFonts w:eastAsia="Times New Roman" w:cs="Arial"/>
          <w:color w:val="auto"/>
          <w:sz w:val="21"/>
          <w:szCs w:val="21"/>
          <w:lang w:val="en-AU" w:eastAsia="en-AU"/>
        </w:rPr>
        <w:t xml:space="preserve">The </w:t>
      </w:r>
      <w:r w:rsidRPr="00433F80">
        <w:rPr>
          <w:rFonts w:eastAsia="Times New Roman" w:cs="Arial"/>
          <w:color w:val="auto"/>
          <w:sz w:val="21"/>
          <w:szCs w:val="21"/>
          <w:lang w:val="en-AU" w:eastAsia="en-AU"/>
        </w:rPr>
        <w:t xml:space="preserve">Global Fund implementation in Cambodia through a </w:t>
      </w:r>
      <w:r w:rsidR="005D28A1" w:rsidRPr="00433F80">
        <w:rPr>
          <w:rFonts w:eastAsia="Times New Roman" w:cs="Arial"/>
          <w:color w:val="auto"/>
          <w:sz w:val="21"/>
          <w:szCs w:val="21"/>
          <w:lang w:val="en-AU" w:eastAsia="en-AU"/>
        </w:rPr>
        <w:t>R</w:t>
      </w:r>
      <w:r w:rsidRPr="00433F80">
        <w:rPr>
          <w:rFonts w:eastAsia="Times New Roman" w:cs="Arial"/>
          <w:color w:val="auto"/>
          <w:sz w:val="21"/>
          <w:szCs w:val="21"/>
          <w:lang w:val="en-AU" w:eastAsia="en-AU"/>
        </w:rPr>
        <w:t xml:space="preserve">egional </w:t>
      </w:r>
      <w:r w:rsidR="005D28A1" w:rsidRPr="00433F80">
        <w:rPr>
          <w:rFonts w:eastAsia="Times New Roman" w:cs="Arial"/>
          <w:color w:val="auto"/>
          <w:sz w:val="21"/>
          <w:szCs w:val="21"/>
          <w:lang w:val="en-AU" w:eastAsia="en-AU"/>
        </w:rPr>
        <w:t>H</w:t>
      </w:r>
      <w:r w:rsidRPr="00433F80">
        <w:rPr>
          <w:rFonts w:eastAsia="Times New Roman" w:cs="Arial"/>
          <w:color w:val="auto"/>
          <w:sz w:val="21"/>
          <w:szCs w:val="21"/>
          <w:lang w:val="en-AU" w:eastAsia="en-AU"/>
        </w:rPr>
        <w:t xml:space="preserve">ealth </w:t>
      </w:r>
      <w:r w:rsidR="005D28A1" w:rsidRPr="00433F80">
        <w:rPr>
          <w:rFonts w:eastAsia="Times New Roman" w:cs="Arial"/>
          <w:color w:val="auto"/>
          <w:sz w:val="21"/>
          <w:szCs w:val="21"/>
          <w:lang w:val="en-AU" w:eastAsia="en-AU"/>
        </w:rPr>
        <w:t>A</w:t>
      </w:r>
      <w:r w:rsidRPr="00433F80">
        <w:rPr>
          <w:rFonts w:eastAsia="Times New Roman" w:cs="Arial"/>
          <w:color w:val="auto"/>
          <w:sz w:val="21"/>
          <w:szCs w:val="21"/>
          <w:lang w:val="en-AU" w:eastAsia="en-AU"/>
        </w:rPr>
        <w:t>dviser based at Post.</w:t>
      </w:r>
    </w:p>
    <w:p w14:paraId="0B5B92E1" w14:textId="77777777" w:rsidR="003C3B6A" w:rsidRDefault="00BB6417" w:rsidP="003C3B6A">
      <w:pPr>
        <w:tabs>
          <w:tab w:val="left" w:pos="284"/>
        </w:tabs>
        <w:suppressAutoHyphens w:val="0"/>
        <w:spacing w:before="0" w:line="360" w:lineRule="auto"/>
        <w:rPr>
          <w:rFonts w:eastAsia="Times New Roman" w:cs="Arial"/>
          <w:color w:val="auto"/>
          <w:sz w:val="21"/>
          <w:szCs w:val="21"/>
          <w:lang w:val="en-AU" w:eastAsia="en-AU"/>
        </w:rPr>
      </w:pPr>
      <w:r w:rsidRPr="00433F80">
        <w:rPr>
          <w:rFonts w:eastAsia="Times New Roman" w:cs="Arial"/>
          <w:color w:val="auto"/>
          <w:sz w:val="21"/>
          <w:szCs w:val="21"/>
          <w:lang w:val="en-AU" w:eastAsia="en-AU"/>
        </w:rPr>
        <w:t xml:space="preserve">Australia </w:t>
      </w:r>
      <w:r w:rsidR="0024791F" w:rsidRPr="00433F80">
        <w:rPr>
          <w:rFonts w:eastAsia="Times New Roman" w:cs="Arial"/>
          <w:color w:val="auto"/>
          <w:sz w:val="21"/>
          <w:szCs w:val="21"/>
          <w:lang w:val="en-AU" w:eastAsia="en-AU"/>
        </w:rPr>
        <w:t>support</w:t>
      </w:r>
      <w:r w:rsidRPr="00433F80">
        <w:rPr>
          <w:rFonts w:eastAsia="Times New Roman" w:cs="Arial"/>
          <w:color w:val="auto"/>
          <w:sz w:val="21"/>
          <w:szCs w:val="21"/>
          <w:lang w:val="en-AU" w:eastAsia="en-AU"/>
        </w:rPr>
        <w:t>s</w:t>
      </w:r>
      <w:r w:rsidR="0024791F" w:rsidRPr="00433F80">
        <w:rPr>
          <w:rFonts w:eastAsia="Times New Roman" w:cs="Arial"/>
          <w:color w:val="auto"/>
          <w:sz w:val="21"/>
          <w:szCs w:val="21"/>
          <w:lang w:val="en-AU" w:eastAsia="en-AU"/>
        </w:rPr>
        <w:t xml:space="preserve"> the</w:t>
      </w:r>
      <w:r w:rsidR="00692A38" w:rsidRPr="00433F80">
        <w:rPr>
          <w:rFonts w:eastAsia="Times New Roman" w:cs="Arial"/>
          <w:color w:val="auto"/>
          <w:sz w:val="21"/>
          <w:szCs w:val="21"/>
          <w:lang w:val="en-AU" w:eastAsia="en-AU"/>
        </w:rPr>
        <w:t xml:space="preserve"> World Bank’s</w:t>
      </w:r>
      <w:r w:rsidR="0024791F" w:rsidRPr="00433F80">
        <w:rPr>
          <w:rFonts w:eastAsia="Times New Roman" w:cs="Arial"/>
          <w:color w:val="auto"/>
          <w:sz w:val="21"/>
          <w:szCs w:val="21"/>
          <w:lang w:val="en-AU" w:eastAsia="en-AU"/>
        </w:rPr>
        <w:t xml:space="preserve"> Public Financial Management and Service Delivery </w:t>
      </w:r>
      <w:r w:rsidR="00862C69" w:rsidRPr="00433F80">
        <w:rPr>
          <w:rFonts w:eastAsia="Times New Roman" w:cs="Arial"/>
          <w:color w:val="auto"/>
          <w:sz w:val="21"/>
          <w:szCs w:val="21"/>
          <w:lang w:val="en-AU" w:eastAsia="en-AU"/>
        </w:rPr>
        <w:t>T</w:t>
      </w:r>
      <w:r w:rsidR="0024791F" w:rsidRPr="00433F80">
        <w:rPr>
          <w:rFonts w:eastAsia="Times New Roman" w:cs="Arial"/>
          <w:color w:val="auto"/>
          <w:sz w:val="21"/>
          <w:szCs w:val="21"/>
          <w:lang w:val="en-AU" w:eastAsia="en-AU"/>
        </w:rPr>
        <w:t xml:space="preserve">rust </w:t>
      </w:r>
      <w:r w:rsidR="00862C69" w:rsidRPr="00433F80">
        <w:rPr>
          <w:rFonts w:eastAsia="Times New Roman" w:cs="Arial"/>
          <w:color w:val="auto"/>
          <w:sz w:val="21"/>
          <w:szCs w:val="21"/>
          <w:lang w:val="en-AU" w:eastAsia="en-AU"/>
        </w:rPr>
        <w:t>F</w:t>
      </w:r>
      <w:r w:rsidR="0024791F" w:rsidRPr="00433F80">
        <w:rPr>
          <w:rFonts w:eastAsia="Times New Roman" w:cs="Arial"/>
          <w:color w:val="auto"/>
          <w:sz w:val="21"/>
          <w:szCs w:val="21"/>
          <w:lang w:val="en-AU" w:eastAsia="en-AU"/>
        </w:rPr>
        <w:t xml:space="preserve">und </w:t>
      </w:r>
      <w:r w:rsidR="00692A38" w:rsidRPr="00433F80">
        <w:rPr>
          <w:rFonts w:eastAsia="Times New Roman" w:cs="Arial"/>
          <w:color w:val="auto"/>
          <w:sz w:val="21"/>
          <w:szCs w:val="21"/>
          <w:lang w:val="en-AU" w:eastAsia="en-AU"/>
        </w:rPr>
        <w:t>in Cambodia through the bilateral aid program</w:t>
      </w:r>
      <w:r w:rsidR="0024791F" w:rsidRPr="00433F80">
        <w:rPr>
          <w:rFonts w:eastAsia="Times New Roman" w:cs="Arial"/>
          <w:color w:val="auto"/>
          <w:sz w:val="21"/>
          <w:szCs w:val="21"/>
          <w:lang w:val="en-AU" w:eastAsia="en-AU"/>
        </w:rPr>
        <w:t xml:space="preserve"> and </w:t>
      </w:r>
      <w:r w:rsidR="00B025E6" w:rsidRPr="00433F80">
        <w:rPr>
          <w:rFonts w:eastAsia="Times New Roman" w:cs="Arial"/>
          <w:color w:val="auto"/>
          <w:sz w:val="21"/>
          <w:szCs w:val="21"/>
          <w:lang w:val="en-AU" w:eastAsia="en-AU"/>
        </w:rPr>
        <w:t xml:space="preserve">Post has </w:t>
      </w:r>
      <w:r w:rsidR="0024791F" w:rsidRPr="00433F80">
        <w:rPr>
          <w:rFonts w:eastAsia="Times New Roman" w:cs="Arial"/>
          <w:color w:val="auto"/>
          <w:sz w:val="21"/>
          <w:szCs w:val="21"/>
          <w:lang w:val="en-AU" w:eastAsia="en-AU"/>
        </w:rPr>
        <w:t xml:space="preserve">been developing strong relationships with reform-minded officials in the Ministry of </w:t>
      </w:r>
      <w:r w:rsidR="002F1867" w:rsidRPr="00433F80">
        <w:rPr>
          <w:rFonts w:eastAsia="Times New Roman" w:cs="Arial"/>
          <w:color w:val="auto"/>
          <w:sz w:val="21"/>
          <w:szCs w:val="21"/>
          <w:lang w:val="en-AU" w:eastAsia="en-AU"/>
        </w:rPr>
        <w:t xml:space="preserve">Economy and </w:t>
      </w:r>
      <w:r w:rsidR="0024791F" w:rsidRPr="00433F80">
        <w:rPr>
          <w:rFonts w:eastAsia="Times New Roman" w:cs="Arial"/>
          <w:color w:val="auto"/>
          <w:sz w:val="21"/>
          <w:szCs w:val="21"/>
          <w:lang w:val="en-AU" w:eastAsia="en-AU"/>
        </w:rPr>
        <w:t>Finance. This level of engagement is critical for delivering systematic change that can deliver results at scale by enabling the Cambodian Government to make more effective use of its own resources.</w:t>
      </w:r>
      <w:r w:rsidR="00BB0659" w:rsidRPr="00433F80">
        <w:rPr>
          <w:rFonts w:eastAsia="Times New Roman" w:cs="Arial"/>
          <w:color w:val="auto"/>
          <w:sz w:val="21"/>
          <w:szCs w:val="21"/>
          <w:lang w:val="en-AU" w:eastAsia="en-AU"/>
        </w:rPr>
        <w:t xml:space="preserve"> </w:t>
      </w:r>
      <w:r w:rsidR="00AD567A" w:rsidRPr="00433F80">
        <w:rPr>
          <w:color w:val="auto"/>
          <w:sz w:val="21"/>
          <w:szCs w:val="21"/>
          <w:lang w:val="en-AU"/>
        </w:rPr>
        <w:t xml:space="preserve">MEF </w:t>
      </w:r>
      <w:r w:rsidR="00BB0659" w:rsidRPr="00433F80">
        <w:rPr>
          <w:color w:val="auto"/>
          <w:sz w:val="21"/>
          <w:szCs w:val="21"/>
          <w:lang w:val="en-AU"/>
        </w:rPr>
        <w:t>see</w:t>
      </w:r>
      <w:r w:rsidRPr="00433F80">
        <w:rPr>
          <w:color w:val="auto"/>
          <w:sz w:val="21"/>
          <w:szCs w:val="21"/>
          <w:lang w:val="en-AU"/>
        </w:rPr>
        <w:t>s</w:t>
      </w:r>
      <w:r w:rsidR="00BB0659" w:rsidRPr="00433F80">
        <w:rPr>
          <w:color w:val="auto"/>
          <w:sz w:val="21"/>
          <w:szCs w:val="21"/>
          <w:lang w:val="en-AU"/>
        </w:rPr>
        <w:t xml:space="preserve"> H-EQIP as a model of reform to be replicated in other social sectors (for example improving services using performance-based financing, information technology, and institutional reforms).</w:t>
      </w:r>
      <w:r w:rsidR="0024791F" w:rsidRPr="00433F80">
        <w:rPr>
          <w:rFonts w:eastAsia="Times New Roman" w:cs="Arial"/>
          <w:color w:val="auto"/>
          <w:sz w:val="21"/>
          <w:szCs w:val="21"/>
          <w:lang w:val="en-AU" w:eastAsia="en-AU"/>
        </w:rPr>
        <w:t xml:space="preserve"> </w:t>
      </w:r>
      <w:r w:rsidR="00D11216" w:rsidRPr="00433F80">
        <w:rPr>
          <w:rFonts w:eastAsia="Times New Roman" w:cs="Arial"/>
          <w:color w:val="auto"/>
          <w:sz w:val="21"/>
          <w:szCs w:val="21"/>
          <w:lang w:val="en-AU" w:eastAsia="en-AU"/>
        </w:rPr>
        <w:t xml:space="preserve">This investment aims to capitalise on this </w:t>
      </w:r>
      <w:r w:rsidR="00862C69" w:rsidRPr="00433F80">
        <w:rPr>
          <w:rFonts w:eastAsia="Times New Roman" w:cs="Arial"/>
          <w:color w:val="auto"/>
          <w:sz w:val="21"/>
          <w:szCs w:val="21"/>
          <w:lang w:val="en-AU" w:eastAsia="en-AU"/>
        </w:rPr>
        <w:t>opportunity</w:t>
      </w:r>
      <w:r w:rsidR="00D11216" w:rsidRPr="00433F80">
        <w:rPr>
          <w:rFonts w:eastAsia="Times New Roman" w:cs="Arial"/>
          <w:color w:val="auto"/>
          <w:sz w:val="21"/>
          <w:szCs w:val="21"/>
          <w:lang w:val="en-AU" w:eastAsia="en-AU"/>
        </w:rPr>
        <w:t>.</w:t>
      </w:r>
    </w:p>
    <w:p w14:paraId="35E61DCE" w14:textId="5B168E3D" w:rsidR="00D46B4B" w:rsidRPr="00237DD9" w:rsidRDefault="00D46B4B" w:rsidP="003C3B6A">
      <w:pPr>
        <w:tabs>
          <w:tab w:val="left" w:pos="284"/>
        </w:tabs>
        <w:suppressAutoHyphens w:val="0"/>
        <w:spacing w:before="0" w:line="360" w:lineRule="auto"/>
        <w:rPr>
          <w:rFonts w:eastAsia="Times New Roman" w:cs="Arial"/>
          <w:color w:val="auto"/>
          <w:sz w:val="21"/>
          <w:szCs w:val="21"/>
          <w:lang w:val="en-AU" w:eastAsia="en-AU"/>
        </w:rPr>
      </w:pPr>
      <w:r w:rsidRPr="00433F80">
        <w:rPr>
          <w:rFonts w:cstheme="minorHAnsi"/>
          <w:b/>
          <w:color w:val="auto"/>
          <w:sz w:val="21"/>
          <w:szCs w:val="21"/>
          <w:lang w:val="en-AU"/>
        </w:rPr>
        <w:t>Social protection</w:t>
      </w:r>
    </w:p>
    <w:p w14:paraId="4F65D5EE" w14:textId="4056646D" w:rsidR="0024791F" w:rsidRPr="00433F80" w:rsidRDefault="00D11216" w:rsidP="005E6171">
      <w:pPr>
        <w:tabs>
          <w:tab w:val="left" w:pos="284"/>
        </w:tabs>
        <w:suppressAutoHyphens w:val="0"/>
        <w:spacing w:before="0" w:line="360" w:lineRule="auto"/>
        <w:rPr>
          <w:rFonts w:eastAsia="Times New Roman" w:cs="Arial"/>
          <w:color w:val="auto"/>
          <w:sz w:val="21"/>
          <w:szCs w:val="21"/>
          <w:lang w:val="en-AU" w:eastAsia="en-AU"/>
        </w:rPr>
      </w:pPr>
      <w:r w:rsidRPr="00433F80">
        <w:rPr>
          <w:rFonts w:cstheme="minorHAnsi"/>
          <w:color w:val="auto"/>
          <w:sz w:val="21"/>
          <w:szCs w:val="21"/>
          <w:lang w:val="en-AU"/>
        </w:rPr>
        <w:t xml:space="preserve">The </w:t>
      </w:r>
      <w:r w:rsidR="007A5803" w:rsidRPr="00433F80">
        <w:rPr>
          <w:rFonts w:cstheme="minorHAnsi"/>
          <w:color w:val="auto"/>
          <w:sz w:val="21"/>
          <w:szCs w:val="21"/>
          <w:lang w:val="en-AU"/>
        </w:rPr>
        <w:t>Australian-funded regist</w:t>
      </w:r>
      <w:r w:rsidR="008A0605" w:rsidRPr="00433F80">
        <w:rPr>
          <w:rFonts w:cstheme="minorHAnsi"/>
          <w:color w:val="auto"/>
          <w:sz w:val="21"/>
          <w:szCs w:val="21"/>
          <w:lang w:val="en-AU"/>
        </w:rPr>
        <w:t>er</w:t>
      </w:r>
      <w:r w:rsidR="007A5803" w:rsidRPr="00433F80">
        <w:rPr>
          <w:rFonts w:cstheme="minorHAnsi"/>
          <w:color w:val="auto"/>
          <w:sz w:val="21"/>
          <w:szCs w:val="21"/>
          <w:lang w:val="en-AU"/>
        </w:rPr>
        <w:t xml:space="preserve"> of poor households (known as </w:t>
      </w:r>
      <w:proofErr w:type="spellStart"/>
      <w:r w:rsidR="007A5803" w:rsidRPr="00433F80">
        <w:rPr>
          <w:rFonts w:cstheme="minorHAnsi"/>
          <w:color w:val="auto"/>
          <w:sz w:val="21"/>
          <w:szCs w:val="21"/>
          <w:lang w:val="en-AU"/>
        </w:rPr>
        <w:t>IDPoor</w:t>
      </w:r>
      <w:proofErr w:type="spellEnd"/>
      <w:r w:rsidR="007A5803" w:rsidRPr="00433F80">
        <w:rPr>
          <w:rFonts w:cstheme="minorHAnsi"/>
          <w:color w:val="auto"/>
          <w:sz w:val="21"/>
          <w:szCs w:val="21"/>
          <w:lang w:val="en-AU"/>
        </w:rPr>
        <w:t xml:space="preserve">) </w:t>
      </w:r>
      <w:r w:rsidR="005B382E" w:rsidRPr="00433F80">
        <w:rPr>
          <w:rFonts w:cstheme="minorHAnsi"/>
          <w:color w:val="auto"/>
          <w:sz w:val="21"/>
          <w:szCs w:val="21"/>
          <w:lang w:val="en-AU"/>
        </w:rPr>
        <w:t>is what enables poor people to access subsidised healthcare services through the HEF. The R</w:t>
      </w:r>
      <w:r w:rsidR="000E3FD5" w:rsidRPr="00433F80">
        <w:rPr>
          <w:rFonts w:cstheme="minorHAnsi"/>
          <w:color w:val="auto"/>
          <w:sz w:val="21"/>
          <w:szCs w:val="21"/>
          <w:lang w:val="en-AU"/>
        </w:rPr>
        <w:t xml:space="preserve">oyal </w:t>
      </w:r>
      <w:r w:rsidR="005B382E" w:rsidRPr="00433F80">
        <w:rPr>
          <w:rFonts w:cstheme="minorHAnsi"/>
          <w:color w:val="auto"/>
          <w:sz w:val="21"/>
          <w:szCs w:val="21"/>
          <w:lang w:val="en-AU"/>
        </w:rPr>
        <w:t>G</w:t>
      </w:r>
      <w:r w:rsidR="000E3FD5" w:rsidRPr="00433F80">
        <w:rPr>
          <w:rFonts w:cstheme="minorHAnsi"/>
          <w:color w:val="auto"/>
          <w:sz w:val="21"/>
          <w:szCs w:val="21"/>
          <w:lang w:val="en-AU"/>
        </w:rPr>
        <w:t xml:space="preserve">overnment of </w:t>
      </w:r>
      <w:r w:rsidR="005B382E" w:rsidRPr="00433F80">
        <w:rPr>
          <w:rFonts w:cstheme="minorHAnsi"/>
          <w:color w:val="auto"/>
          <w:sz w:val="21"/>
          <w:szCs w:val="21"/>
          <w:lang w:val="en-AU"/>
        </w:rPr>
        <w:t>C</w:t>
      </w:r>
      <w:r w:rsidR="000E3FD5" w:rsidRPr="00433F80">
        <w:rPr>
          <w:rFonts w:cstheme="minorHAnsi"/>
          <w:color w:val="auto"/>
          <w:sz w:val="21"/>
          <w:szCs w:val="21"/>
          <w:lang w:val="en-AU"/>
        </w:rPr>
        <w:t>ambodia (RGC)</w:t>
      </w:r>
      <w:r w:rsidR="005B382E" w:rsidRPr="00433F80">
        <w:rPr>
          <w:rFonts w:cstheme="minorHAnsi"/>
          <w:b/>
          <w:color w:val="auto"/>
          <w:sz w:val="21"/>
          <w:szCs w:val="21"/>
          <w:lang w:val="en-AU"/>
        </w:rPr>
        <w:t xml:space="preserve"> </w:t>
      </w:r>
      <w:r w:rsidR="005B382E" w:rsidRPr="00433F80">
        <w:rPr>
          <w:rFonts w:cstheme="minorHAnsi"/>
          <w:color w:val="auto"/>
          <w:sz w:val="21"/>
          <w:szCs w:val="21"/>
          <w:lang w:val="en-AU"/>
        </w:rPr>
        <w:t xml:space="preserve">is now also using </w:t>
      </w:r>
      <w:proofErr w:type="spellStart"/>
      <w:r w:rsidR="005B382E" w:rsidRPr="00433F80">
        <w:rPr>
          <w:rFonts w:cstheme="minorHAnsi"/>
          <w:color w:val="auto"/>
          <w:sz w:val="21"/>
          <w:szCs w:val="21"/>
          <w:lang w:val="en-AU"/>
        </w:rPr>
        <w:t>IDPoor</w:t>
      </w:r>
      <w:proofErr w:type="spellEnd"/>
      <w:r w:rsidR="005B382E" w:rsidRPr="00433F80">
        <w:rPr>
          <w:rFonts w:cstheme="minorHAnsi"/>
          <w:color w:val="auto"/>
          <w:sz w:val="21"/>
          <w:szCs w:val="21"/>
          <w:lang w:val="en-AU"/>
        </w:rPr>
        <w:t xml:space="preserve"> </w:t>
      </w:r>
      <w:r w:rsidR="007A5803" w:rsidRPr="00433F80">
        <w:rPr>
          <w:rFonts w:cstheme="minorHAnsi"/>
          <w:color w:val="auto"/>
          <w:sz w:val="21"/>
          <w:szCs w:val="21"/>
          <w:lang w:val="en-AU"/>
        </w:rPr>
        <w:t xml:space="preserve">to determine eligibility for its COVID-19 relief payments, which </w:t>
      </w:r>
      <w:r w:rsidR="00862C69" w:rsidRPr="00433F80">
        <w:rPr>
          <w:rFonts w:cstheme="minorHAnsi"/>
          <w:color w:val="auto"/>
          <w:sz w:val="21"/>
          <w:szCs w:val="21"/>
          <w:lang w:val="en-AU"/>
        </w:rPr>
        <w:t xml:space="preserve">began in June 2020, </w:t>
      </w:r>
      <w:r w:rsidR="007A5803" w:rsidRPr="00433F80">
        <w:rPr>
          <w:rFonts w:cstheme="minorHAnsi"/>
          <w:color w:val="auto"/>
          <w:sz w:val="21"/>
          <w:szCs w:val="21"/>
          <w:lang w:val="en-AU"/>
        </w:rPr>
        <w:t xml:space="preserve">total </w:t>
      </w:r>
      <w:r w:rsidR="00F50EAE" w:rsidRPr="00433F80">
        <w:rPr>
          <w:rFonts w:cstheme="minorHAnsi"/>
          <w:color w:val="auto"/>
          <w:sz w:val="21"/>
          <w:szCs w:val="21"/>
          <w:lang w:val="en-AU"/>
        </w:rPr>
        <w:t xml:space="preserve">more than </w:t>
      </w:r>
      <w:r w:rsidR="007A5803" w:rsidRPr="00433F80">
        <w:rPr>
          <w:rFonts w:cstheme="minorHAnsi"/>
          <w:color w:val="auto"/>
          <w:sz w:val="21"/>
          <w:szCs w:val="21"/>
          <w:lang w:val="en-AU"/>
        </w:rPr>
        <w:t>US</w:t>
      </w:r>
      <w:r w:rsidR="009B618C" w:rsidRPr="00433F80">
        <w:rPr>
          <w:rFonts w:cstheme="minorHAnsi"/>
          <w:color w:val="auto"/>
          <w:sz w:val="21"/>
          <w:szCs w:val="21"/>
          <w:lang w:val="en-AU"/>
        </w:rPr>
        <w:t>D</w:t>
      </w:r>
      <w:r w:rsidR="007A5803" w:rsidRPr="00433F80">
        <w:rPr>
          <w:rFonts w:cstheme="minorHAnsi"/>
          <w:color w:val="auto"/>
          <w:sz w:val="21"/>
          <w:szCs w:val="21"/>
          <w:lang w:val="en-AU"/>
        </w:rPr>
        <w:t xml:space="preserve">25 million per month and cover </w:t>
      </w:r>
      <w:r w:rsidR="00C80103" w:rsidRPr="00433F80">
        <w:rPr>
          <w:rFonts w:cstheme="minorHAnsi"/>
          <w:color w:val="auto"/>
          <w:sz w:val="21"/>
          <w:szCs w:val="21"/>
          <w:lang w:val="en-AU"/>
        </w:rPr>
        <w:t xml:space="preserve">almost 700,000 </w:t>
      </w:r>
      <w:r w:rsidR="006731D5" w:rsidRPr="00433F80">
        <w:rPr>
          <w:rFonts w:cstheme="minorHAnsi"/>
          <w:color w:val="auto"/>
          <w:sz w:val="21"/>
          <w:szCs w:val="21"/>
          <w:lang w:val="en-AU"/>
        </w:rPr>
        <w:t xml:space="preserve">Cambodian </w:t>
      </w:r>
      <w:r w:rsidR="007A5803" w:rsidRPr="00433F80">
        <w:rPr>
          <w:rFonts w:cstheme="minorHAnsi"/>
          <w:color w:val="auto"/>
          <w:sz w:val="21"/>
          <w:szCs w:val="21"/>
          <w:lang w:val="en-AU"/>
        </w:rPr>
        <w:t>households. This stimulus is supporting national economic and social stability in a time of crisis while also channelling support to economically and socially vulnerable Cambodians</w:t>
      </w:r>
      <w:r w:rsidR="0014361E" w:rsidRPr="00433F80">
        <w:rPr>
          <w:rFonts w:eastAsia="Times New Roman" w:cs="Arial"/>
          <w:color w:val="auto"/>
          <w:sz w:val="21"/>
          <w:szCs w:val="21"/>
          <w:lang w:val="en-AU" w:eastAsia="en-AU"/>
        </w:rPr>
        <w:t>—</w:t>
      </w:r>
      <w:r w:rsidR="007A5803" w:rsidRPr="00433F80">
        <w:rPr>
          <w:rFonts w:cstheme="minorHAnsi"/>
          <w:color w:val="auto"/>
          <w:sz w:val="21"/>
          <w:szCs w:val="21"/>
          <w:lang w:val="en-AU"/>
        </w:rPr>
        <w:t xml:space="preserve">a strong and equitable outcome built on </w:t>
      </w:r>
      <w:r w:rsidRPr="00433F80">
        <w:rPr>
          <w:rFonts w:cstheme="minorHAnsi"/>
          <w:color w:val="auto"/>
          <w:sz w:val="21"/>
          <w:szCs w:val="21"/>
          <w:lang w:val="en-AU"/>
        </w:rPr>
        <w:t>one</w:t>
      </w:r>
      <w:r w:rsidR="007A5803" w:rsidRPr="00433F80">
        <w:rPr>
          <w:rFonts w:cstheme="minorHAnsi"/>
          <w:color w:val="auto"/>
          <w:sz w:val="21"/>
          <w:szCs w:val="21"/>
          <w:lang w:val="en-AU"/>
        </w:rPr>
        <w:t xml:space="preserve"> decade </w:t>
      </w:r>
      <w:r w:rsidRPr="00433F80">
        <w:rPr>
          <w:rFonts w:cstheme="minorHAnsi"/>
          <w:color w:val="auto"/>
          <w:sz w:val="21"/>
          <w:szCs w:val="21"/>
          <w:lang w:val="en-AU"/>
        </w:rPr>
        <w:t xml:space="preserve">and $14 million </w:t>
      </w:r>
      <w:r w:rsidR="007A5803" w:rsidRPr="00433F80">
        <w:rPr>
          <w:rFonts w:cstheme="minorHAnsi"/>
          <w:color w:val="auto"/>
          <w:sz w:val="21"/>
          <w:szCs w:val="21"/>
          <w:lang w:val="en-AU"/>
        </w:rPr>
        <w:t xml:space="preserve">of Australia-Cambodia </w:t>
      </w:r>
      <w:r w:rsidRPr="00433F80">
        <w:rPr>
          <w:rFonts w:cstheme="minorHAnsi"/>
          <w:color w:val="auto"/>
          <w:sz w:val="21"/>
          <w:szCs w:val="21"/>
          <w:lang w:val="en-AU"/>
        </w:rPr>
        <w:t xml:space="preserve">development </w:t>
      </w:r>
      <w:r w:rsidR="007A5803" w:rsidRPr="00433F80">
        <w:rPr>
          <w:rFonts w:cstheme="minorHAnsi"/>
          <w:color w:val="auto"/>
          <w:sz w:val="21"/>
          <w:szCs w:val="21"/>
          <w:lang w:val="en-AU"/>
        </w:rPr>
        <w:t xml:space="preserve">cooperation. </w:t>
      </w:r>
      <w:r w:rsidR="007A5803" w:rsidRPr="00433F80">
        <w:rPr>
          <w:rFonts w:eastAsia="Times New Roman" w:cs="Arial"/>
          <w:color w:val="auto"/>
          <w:sz w:val="21"/>
          <w:szCs w:val="21"/>
          <w:lang w:val="en-AU" w:eastAsia="en-AU"/>
        </w:rPr>
        <w:t xml:space="preserve">There is now a potential window of opportunity to capitalise on </w:t>
      </w:r>
      <w:r w:rsidR="0026031E" w:rsidRPr="00433F80">
        <w:rPr>
          <w:rFonts w:eastAsia="Times New Roman" w:cs="Arial"/>
          <w:color w:val="auto"/>
          <w:sz w:val="21"/>
          <w:szCs w:val="21"/>
          <w:lang w:val="en-AU" w:eastAsia="en-AU"/>
        </w:rPr>
        <w:t>the RGC’s</w:t>
      </w:r>
      <w:r w:rsidR="007A5803" w:rsidRPr="00433F80">
        <w:rPr>
          <w:rFonts w:eastAsia="Times New Roman" w:cs="Arial"/>
          <w:color w:val="auto"/>
          <w:sz w:val="21"/>
          <w:szCs w:val="21"/>
          <w:lang w:val="en-AU" w:eastAsia="en-AU"/>
        </w:rPr>
        <w:t xml:space="preserve"> COVID-19 </w:t>
      </w:r>
      <w:r w:rsidR="0026031E" w:rsidRPr="00433F80">
        <w:rPr>
          <w:rFonts w:eastAsia="Times New Roman" w:cs="Arial"/>
          <w:color w:val="auto"/>
          <w:sz w:val="21"/>
          <w:szCs w:val="21"/>
          <w:lang w:val="en-AU" w:eastAsia="en-AU"/>
        </w:rPr>
        <w:t>cash transfer program</w:t>
      </w:r>
      <w:r w:rsidR="007A5803" w:rsidRPr="00433F80">
        <w:rPr>
          <w:rFonts w:eastAsia="Times New Roman" w:cs="Arial"/>
          <w:color w:val="auto"/>
          <w:sz w:val="21"/>
          <w:szCs w:val="21"/>
          <w:lang w:val="en-AU" w:eastAsia="en-AU"/>
        </w:rPr>
        <w:t xml:space="preserve"> </w:t>
      </w:r>
      <w:r w:rsidR="0026031E" w:rsidRPr="00433F80">
        <w:rPr>
          <w:rFonts w:eastAsia="Times New Roman" w:cs="Arial"/>
          <w:color w:val="auto"/>
          <w:sz w:val="21"/>
          <w:szCs w:val="21"/>
          <w:lang w:val="en-AU" w:eastAsia="en-AU"/>
        </w:rPr>
        <w:t>to</w:t>
      </w:r>
      <w:r w:rsidR="007A5803" w:rsidRPr="00433F80">
        <w:rPr>
          <w:rFonts w:eastAsia="Times New Roman" w:cs="Arial"/>
          <w:color w:val="auto"/>
          <w:sz w:val="21"/>
          <w:szCs w:val="21"/>
          <w:lang w:val="en-AU" w:eastAsia="en-AU"/>
        </w:rPr>
        <w:t xml:space="preserve"> </w:t>
      </w:r>
      <w:r w:rsidR="0026031E" w:rsidRPr="00433F80">
        <w:rPr>
          <w:rFonts w:eastAsia="Times New Roman" w:cs="Arial"/>
          <w:color w:val="auto"/>
          <w:sz w:val="21"/>
          <w:szCs w:val="21"/>
          <w:lang w:val="en-AU" w:eastAsia="en-AU"/>
        </w:rPr>
        <w:t xml:space="preserve">further </w:t>
      </w:r>
      <w:r w:rsidR="007A5803" w:rsidRPr="00433F80">
        <w:rPr>
          <w:rFonts w:eastAsia="Times New Roman" w:cs="Arial"/>
          <w:color w:val="auto"/>
          <w:sz w:val="21"/>
          <w:szCs w:val="21"/>
          <w:lang w:val="en-AU" w:eastAsia="en-AU"/>
        </w:rPr>
        <w:t>institutionalise social protection systems and programs in Cambodia</w:t>
      </w:r>
      <w:r w:rsidR="009438ED" w:rsidRPr="00433F80">
        <w:rPr>
          <w:rFonts w:eastAsia="Times New Roman" w:cs="Arial"/>
          <w:color w:val="auto"/>
          <w:sz w:val="21"/>
          <w:szCs w:val="21"/>
          <w:lang w:val="en-AU" w:eastAsia="en-AU"/>
        </w:rPr>
        <w:t>.</w:t>
      </w:r>
    </w:p>
    <w:p w14:paraId="489B17DF" w14:textId="47F256C7" w:rsidR="00D46B4B" w:rsidRPr="00433F80" w:rsidRDefault="00D46B4B" w:rsidP="005E6171">
      <w:pPr>
        <w:tabs>
          <w:tab w:val="left" w:pos="284"/>
        </w:tabs>
        <w:suppressAutoHyphens w:val="0"/>
        <w:spacing w:before="0" w:line="360" w:lineRule="auto"/>
        <w:rPr>
          <w:rFonts w:eastAsia="Times New Roman" w:cs="Arial"/>
          <w:b/>
          <w:color w:val="auto"/>
          <w:sz w:val="21"/>
          <w:szCs w:val="21"/>
          <w:lang w:val="en-AU" w:eastAsia="en-AU"/>
        </w:rPr>
      </w:pPr>
      <w:r w:rsidRPr="00433F80">
        <w:rPr>
          <w:rFonts w:eastAsia="Times New Roman" w:cs="Arial"/>
          <w:b/>
          <w:color w:val="auto"/>
          <w:sz w:val="21"/>
          <w:szCs w:val="21"/>
          <w:lang w:val="en-AU" w:eastAsia="en-AU"/>
        </w:rPr>
        <w:t>Social accountability</w:t>
      </w:r>
    </w:p>
    <w:p w14:paraId="60B33872" w14:textId="7BDBD680" w:rsidR="008A0605" w:rsidRPr="00433F80" w:rsidRDefault="008A0605" w:rsidP="005E6171">
      <w:pPr>
        <w:tabs>
          <w:tab w:val="left" w:pos="284"/>
        </w:tabs>
        <w:suppressAutoHyphens w:val="0"/>
        <w:spacing w:before="0" w:line="360" w:lineRule="auto"/>
        <w:rPr>
          <w:rFonts w:eastAsia="Times New Roman" w:cs="Arial"/>
          <w:color w:val="auto"/>
          <w:sz w:val="21"/>
          <w:szCs w:val="21"/>
          <w:lang w:val="en-AU" w:eastAsia="en-AU"/>
        </w:rPr>
      </w:pPr>
      <w:r w:rsidRPr="00433F80">
        <w:rPr>
          <w:rFonts w:cstheme="minorHAnsi"/>
          <w:color w:val="auto"/>
          <w:sz w:val="21"/>
          <w:szCs w:val="21"/>
          <w:lang w:val="en-AU"/>
        </w:rPr>
        <w:t xml:space="preserve">Cambodian citizens have traditionally not had a strong understanding of their rights to public services (including health and education) nor have they had opportunities to shape the budgets for these services and provide feedback on service implementation. To address this, given its importance for building trust and stability over the long-term, </w:t>
      </w:r>
      <w:r w:rsidR="002137C8" w:rsidRPr="00433F80">
        <w:rPr>
          <w:rFonts w:eastAsia="Times New Roman" w:cs="Arial"/>
          <w:color w:val="auto"/>
          <w:sz w:val="21"/>
          <w:szCs w:val="21"/>
          <w:lang w:val="en-AU" w:eastAsia="en-AU"/>
        </w:rPr>
        <w:t xml:space="preserve">the </w:t>
      </w:r>
      <w:r w:rsidR="00AD567A" w:rsidRPr="00433F80">
        <w:rPr>
          <w:rFonts w:eastAsia="Times New Roman" w:cs="Arial"/>
          <w:color w:val="auto"/>
          <w:sz w:val="21"/>
          <w:szCs w:val="21"/>
          <w:lang w:val="en-AU" w:eastAsia="en-AU"/>
        </w:rPr>
        <w:t>RGC</w:t>
      </w:r>
      <w:r w:rsidR="002137C8" w:rsidRPr="00433F80">
        <w:rPr>
          <w:rFonts w:eastAsia="Times New Roman" w:cs="Arial"/>
          <w:color w:val="auto"/>
          <w:sz w:val="21"/>
          <w:szCs w:val="21"/>
          <w:lang w:val="en-AU" w:eastAsia="en-AU"/>
        </w:rPr>
        <w:t xml:space="preserve"> has been implementing </w:t>
      </w:r>
      <w:r w:rsidR="00862C69" w:rsidRPr="00433F80">
        <w:rPr>
          <w:rFonts w:eastAsia="Times New Roman" w:cs="Arial"/>
          <w:color w:val="auto"/>
          <w:sz w:val="21"/>
          <w:szCs w:val="21"/>
          <w:lang w:val="en-AU" w:eastAsia="en-AU"/>
        </w:rPr>
        <w:t>a</w:t>
      </w:r>
      <w:r w:rsidR="002137C8" w:rsidRPr="00433F80">
        <w:rPr>
          <w:rFonts w:eastAsia="Times New Roman" w:cs="Arial"/>
          <w:color w:val="auto"/>
          <w:sz w:val="21"/>
          <w:szCs w:val="21"/>
          <w:lang w:val="en-AU" w:eastAsia="en-AU"/>
        </w:rPr>
        <w:t xml:space="preserve"> </w:t>
      </w:r>
      <w:r w:rsidR="00862C69" w:rsidRPr="00433F80">
        <w:rPr>
          <w:rFonts w:eastAsia="Times New Roman" w:cs="Arial"/>
          <w:color w:val="auto"/>
          <w:sz w:val="21"/>
          <w:szCs w:val="21"/>
          <w:lang w:val="en-AU" w:eastAsia="en-AU"/>
        </w:rPr>
        <w:t xml:space="preserve">national </w:t>
      </w:r>
      <w:r w:rsidR="002137C8" w:rsidRPr="00433F80">
        <w:rPr>
          <w:rFonts w:eastAsia="Times New Roman" w:cs="Arial"/>
          <w:color w:val="auto"/>
          <w:sz w:val="21"/>
          <w:szCs w:val="21"/>
          <w:lang w:val="en-AU" w:eastAsia="en-AU"/>
        </w:rPr>
        <w:t>Social Accountability Framework</w:t>
      </w:r>
      <w:r w:rsidRPr="00433F80">
        <w:rPr>
          <w:rFonts w:eastAsia="Times New Roman" w:cs="Arial"/>
          <w:color w:val="auto"/>
          <w:sz w:val="21"/>
          <w:szCs w:val="21"/>
          <w:lang w:val="en-AU" w:eastAsia="en-AU"/>
        </w:rPr>
        <w:t xml:space="preserve"> since 2015</w:t>
      </w:r>
      <w:r w:rsidR="002137C8" w:rsidRPr="00433F80">
        <w:rPr>
          <w:rFonts w:eastAsia="Times New Roman" w:cs="Arial"/>
          <w:color w:val="auto"/>
          <w:sz w:val="21"/>
          <w:szCs w:val="21"/>
          <w:lang w:val="en-AU" w:eastAsia="en-AU"/>
        </w:rPr>
        <w:t xml:space="preserve">. This is overseen by the Ministry of Interior </w:t>
      </w:r>
      <w:r w:rsidR="00F6521E" w:rsidRPr="00433F80">
        <w:rPr>
          <w:rFonts w:eastAsia="Times New Roman" w:cs="Arial"/>
          <w:color w:val="auto"/>
          <w:sz w:val="21"/>
          <w:szCs w:val="21"/>
          <w:lang w:val="en-AU" w:eastAsia="en-AU"/>
        </w:rPr>
        <w:t>(</w:t>
      </w:r>
      <w:proofErr w:type="spellStart"/>
      <w:r w:rsidR="00F6521E" w:rsidRPr="00433F80">
        <w:rPr>
          <w:rFonts w:eastAsia="Times New Roman" w:cs="Arial"/>
          <w:color w:val="auto"/>
          <w:sz w:val="21"/>
          <w:szCs w:val="21"/>
          <w:lang w:val="en-AU" w:eastAsia="en-AU"/>
        </w:rPr>
        <w:t>MoI</w:t>
      </w:r>
      <w:proofErr w:type="spellEnd"/>
      <w:r w:rsidR="00F6521E" w:rsidRPr="00433F80">
        <w:rPr>
          <w:rFonts w:eastAsia="Times New Roman" w:cs="Arial"/>
          <w:color w:val="auto"/>
          <w:sz w:val="21"/>
          <w:szCs w:val="21"/>
          <w:lang w:val="en-AU" w:eastAsia="en-AU"/>
        </w:rPr>
        <w:t xml:space="preserve">) </w:t>
      </w:r>
      <w:r w:rsidR="002137C8" w:rsidRPr="00433F80">
        <w:rPr>
          <w:rFonts w:eastAsia="Times New Roman" w:cs="Arial"/>
          <w:color w:val="auto"/>
          <w:sz w:val="21"/>
          <w:szCs w:val="21"/>
          <w:lang w:val="en-AU" w:eastAsia="en-AU"/>
        </w:rPr>
        <w:t xml:space="preserve">as part of the national </w:t>
      </w:r>
      <w:proofErr w:type="spellStart"/>
      <w:r w:rsidR="00090A54" w:rsidRPr="00433F80">
        <w:rPr>
          <w:rFonts w:eastAsia="Times New Roman" w:cs="Arial"/>
          <w:color w:val="auto"/>
          <w:sz w:val="21"/>
          <w:szCs w:val="21"/>
          <w:lang w:val="en-AU" w:eastAsia="en-AU"/>
        </w:rPr>
        <w:t>Deconcentration</w:t>
      </w:r>
      <w:proofErr w:type="spellEnd"/>
      <w:r w:rsidR="00090A54" w:rsidRPr="00433F80">
        <w:rPr>
          <w:rFonts w:eastAsia="Times New Roman" w:cs="Arial"/>
          <w:color w:val="auto"/>
          <w:sz w:val="21"/>
          <w:szCs w:val="21"/>
          <w:lang w:val="en-AU" w:eastAsia="en-AU"/>
        </w:rPr>
        <w:t xml:space="preserve"> and </w:t>
      </w:r>
      <w:r w:rsidR="002137C8" w:rsidRPr="00433F80">
        <w:rPr>
          <w:rFonts w:eastAsia="Times New Roman" w:cs="Arial"/>
          <w:color w:val="auto"/>
          <w:sz w:val="21"/>
          <w:szCs w:val="21"/>
          <w:lang w:val="en-AU" w:eastAsia="en-AU"/>
        </w:rPr>
        <w:t xml:space="preserve">Decentralisation Reforms – an agenda that has high-level political support. </w:t>
      </w:r>
      <w:r w:rsidR="0060374C" w:rsidRPr="00433F80">
        <w:rPr>
          <w:rFonts w:eastAsia="Times New Roman" w:cs="Arial"/>
          <w:color w:val="auto"/>
          <w:sz w:val="21"/>
          <w:szCs w:val="21"/>
          <w:lang w:val="en-AU" w:eastAsia="en-AU"/>
        </w:rPr>
        <w:t xml:space="preserve">The Implementation of the Social Accountability Framework (ISAF) project has built feedback loops between citizens and the state with regard to health, education and administrative services at the local commune level. ISAF </w:t>
      </w:r>
      <w:r w:rsidR="006731D5" w:rsidRPr="00433F80">
        <w:rPr>
          <w:rFonts w:eastAsia="Times New Roman" w:cs="Arial"/>
          <w:color w:val="auto"/>
          <w:sz w:val="21"/>
          <w:szCs w:val="21"/>
          <w:lang w:val="en-AU" w:eastAsia="en-AU"/>
        </w:rPr>
        <w:t xml:space="preserve">Phase II </w:t>
      </w:r>
      <w:r w:rsidR="0060374C" w:rsidRPr="00433F80">
        <w:rPr>
          <w:rFonts w:eastAsia="Times New Roman" w:cs="Arial"/>
          <w:color w:val="auto"/>
          <w:sz w:val="21"/>
          <w:szCs w:val="21"/>
          <w:lang w:val="en-AU" w:eastAsia="en-AU"/>
        </w:rPr>
        <w:t xml:space="preserve">is supported by </w:t>
      </w:r>
      <w:r w:rsidR="00862C69" w:rsidRPr="00433F80">
        <w:rPr>
          <w:rFonts w:eastAsia="Times New Roman" w:cs="Arial"/>
          <w:color w:val="auto"/>
          <w:sz w:val="21"/>
          <w:szCs w:val="21"/>
          <w:lang w:val="en-AU" w:eastAsia="en-AU"/>
        </w:rPr>
        <w:t xml:space="preserve">multiple </w:t>
      </w:r>
      <w:r w:rsidR="00C80103" w:rsidRPr="00433F80">
        <w:rPr>
          <w:rFonts w:eastAsia="Times New Roman" w:cs="Arial"/>
          <w:color w:val="auto"/>
          <w:sz w:val="21"/>
          <w:szCs w:val="21"/>
          <w:lang w:val="en-AU" w:eastAsia="en-AU"/>
        </w:rPr>
        <w:t xml:space="preserve">likeminded </w:t>
      </w:r>
      <w:r w:rsidR="00862C69" w:rsidRPr="00433F80">
        <w:rPr>
          <w:rFonts w:eastAsia="Times New Roman" w:cs="Arial"/>
          <w:color w:val="auto"/>
          <w:sz w:val="21"/>
          <w:szCs w:val="21"/>
          <w:lang w:val="en-AU" w:eastAsia="en-AU"/>
        </w:rPr>
        <w:t>development partners</w:t>
      </w:r>
      <w:r w:rsidR="00C80103" w:rsidRPr="00433F80">
        <w:rPr>
          <w:rFonts w:eastAsia="Times New Roman" w:cs="Arial"/>
          <w:color w:val="auto"/>
          <w:sz w:val="21"/>
          <w:szCs w:val="21"/>
          <w:lang w:val="en-AU" w:eastAsia="en-AU"/>
        </w:rPr>
        <w:t xml:space="preserve">, with Germany recently making a substantial contribution. The </w:t>
      </w:r>
      <w:r w:rsidR="00090A54" w:rsidRPr="00433F80">
        <w:rPr>
          <w:rFonts w:eastAsia="Times New Roman" w:cs="Arial"/>
          <w:color w:val="auto"/>
          <w:sz w:val="21"/>
          <w:szCs w:val="21"/>
          <w:lang w:val="en-AU" w:eastAsia="en-AU"/>
        </w:rPr>
        <w:t xml:space="preserve">World Bank </w:t>
      </w:r>
      <w:r w:rsidR="00C80103" w:rsidRPr="00433F80">
        <w:rPr>
          <w:rFonts w:eastAsia="Times New Roman" w:cs="Arial"/>
          <w:color w:val="auto"/>
          <w:sz w:val="21"/>
          <w:szCs w:val="21"/>
          <w:lang w:val="en-AU" w:eastAsia="en-AU"/>
        </w:rPr>
        <w:t xml:space="preserve">plays </w:t>
      </w:r>
      <w:r w:rsidR="00862C69" w:rsidRPr="00433F80">
        <w:rPr>
          <w:rFonts w:eastAsia="Times New Roman" w:cs="Arial"/>
          <w:color w:val="auto"/>
          <w:sz w:val="21"/>
          <w:szCs w:val="21"/>
          <w:lang w:val="en-AU" w:eastAsia="en-AU"/>
        </w:rPr>
        <w:t xml:space="preserve">a central role </w:t>
      </w:r>
      <w:r w:rsidR="008A0BAC" w:rsidRPr="00433F80">
        <w:rPr>
          <w:rFonts w:eastAsia="Times New Roman" w:cs="Arial"/>
          <w:color w:val="auto"/>
          <w:sz w:val="21"/>
          <w:szCs w:val="21"/>
          <w:lang w:val="en-AU" w:eastAsia="en-AU"/>
        </w:rPr>
        <w:t xml:space="preserve">managing </w:t>
      </w:r>
      <w:r w:rsidR="00862C69" w:rsidRPr="00433F80">
        <w:rPr>
          <w:rFonts w:eastAsia="Times New Roman" w:cs="Arial"/>
          <w:color w:val="auto"/>
          <w:sz w:val="21"/>
          <w:szCs w:val="21"/>
          <w:lang w:val="en-AU" w:eastAsia="en-AU"/>
        </w:rPr>
        <w:t xml:space="preserve">a </w:t>
      </w:r>
      <w:r w:rsidR="00E558AB" w:rsidRPr="00433F80">
        <w:rPr>
          <w:rFonts w:eastAsia="Times New Roman" w:cs="Arial"/>
          <w:color w:val="auto"/>
          <w:sz w:val="21"/>
          <w:szCs w:val="21"/>
          <w:lang w:val="en-AU" w:eastAsia="en-AU"/>
        </w:rPr>
        <w:t xml:space="preserve">multi-donor </w:t>
      </w:r>
      <w:r w:rsidR="00862C69" w:rsidRPr="00433F80">
        <w:rPr>
          <w:rFonts w:eastAsia="Times New Roman" w:cs="Arial"/>
          <w:color w:val="auto"/>
          <w:sz w:val="21"/>
          <w:szCs w:val="21"/>
          <w:lang w:val="en-AU" w:eastAsia="en-AU"/>
        </w:rPr>
        <w:t>trust fund arrangement</w:t>
      </w:r>
      <w:r w:rsidR="00C80103" w:rsidRPr="00433F80">
        <w:rPr>
          <w:rFonts w:eastAsia="Times New Roman" w:cs="Arial"/>
          <w:color w:val="auto"/>
          <w:sz w:val="21"/>
          <w:szCs w:val="21"/>
          <w:lang w:val="en-AU" w:eastAsia="en-AU"/>
        </w:rPr>
        <w:t xml:space="preserve">, and activities on the </w:t>
      </w:r>
      <w:r w:rsidR="006D58D3" w:rsidRPr="00433F80">
        <w:rPr>
          <w:rFonts w:eastAsia="Times New Roman" w:cs="Arial"/>
          <w:color w:val="auto"/>
          <w:sz w:val="21"/>
          <w:szCs w:val="21"/>
          <w:lang w:val="en-AU" w:eastAsia="en-AU"/>
        </w:rPr>
        <w:t>g</w:t>
      </w:r>
      <w:r w:rsidR="00C80103" w:rsidRPr="00433F80">
        <w:rPr>
          <w:rFonts w:eastAsia="Times New Roman" w:cs="Arial"/>
          <w:color w:val="auto"/>
          <w:sz w:val="21"/>
          <w:szCs w:val="21"/>
          <w:lang w:val="en-AU" w:eastAsia="en-AU"/>
        </w:rPr>
        <w:t xml:space="preserve">round are </w:t>
      </w:r>
      <w:r w:rsidR="00090A54" w:rsidRPr="00433F80">
        <w:rPr>
          <w:rFonts w:eastAsia="Times New Roman" w:cs="Arial"/>
          <w:color w:val="auto"/>
          <w:sz w:val="21"/>
          <w:szCs w:val="21"/>
          <w:lang w:val="en-AU" w:eastAsia="en-AU"/>
        </w:rPr>
        <w:t xml:space="preserve">implemented by international and national NGOs </w:t>
      </w:r>
      <w:r w:rsidR="00C80103" w:rsidRPr="00433F80">
        <w:rPr>
          <w:rFonts w:eastAsia="Times New Roman" w:cs="Arial"/>
          <w:color w:val="auto"/>
          <w:sz w:val="21"/>
          <w:szCs w:val="21"/>
          <w:lang w:val="en-AU" w:eastAsia="en-AU"/>
        </w:rPr>
        <w:t xml:space="preserve">(including World Vision and its local partners) </w:t>
      </w:r>
      <w:r w:rsidR="00090A54" w:rsidRPr="00433F80">
        <w:rPr>
          <w:rFonts w:eastAsia="Times New Roman" w:cs="Arial"/>
          <w:color w:val="auto"/>
          <w:sz w:val="21"/>
          <w:szCs w:val="21"/>
          <w:lang w:val="en-AU" w:eastAsia="en-AU"/>
        </w:rPr>
        <w:t xml:space="preserve">and Cambodian </w:t>
      </w:r>
      <w:r w:rsidR="00AD567A" w:rsidRPr="00433F80">
        <w:rPr>
          <w:rFonts w:eastAsia="Times New Roman" w:cs="Arial"/>
          <w:color w:val="auto"/>
          <w:sz w:val="21"/>
          <w:szCs w:val="21"/>
          <w:lang w:val="en-AU" w:eastAsia="en-AU"/>
        </w:rPr>
        <w:t>G</w:t>
      </w:r>
      <w:r w:rsidR="00090A54" w:rsidRPr="00433F80">
        <w:rPr>
          <w:rFonts w:eastAsia="Times New Roman" w:cs="Arial"/>
          <w:color w:val="auto"/>
          <w:sz w:val="21"/>
          <w:szCs w:val="21"/>
          <w:lang w:val="en-AU" w:eastAsia="en-AU"/>
        </w:rPr>
        <w:t>overnment agencies</w:t>
      </w:r>
      <w:r w:rsidR="0060374C" w:rsidRPr="00433F80">
        <w:rPr>
          <w:rFonts w:eastAsia="Times New Roman" w:cs="Arial"/>
          <w:color w:val="auto"/>
          <w:sz w:val="21"/>
          <w:szCs w:val="21"/>
          <w:lang w:val="en-AU" w:eastAsia="en-AU"/>
        </w:rPr>
        <w:t>.</w:t>
      </w:r>
    </w:p>
    <w:p w14:paraId="3079B8FD" w14:textId="568B694C" w:rsidR="00090A54" w:rsidRPr="00433F80" w:rsidRDefault="00090A54" w:rsidP="005E6171">
      <w:pPr>
        <w:tabs>
          <w:tab w:val="left" w:pos="284"/>
        </w:tabs>
        <w:suppressAutoHyphens w:val="0"/>
        <w:spacing w:before="0" w:line="360" w:lineRule="auto"/>
        <w:rPr>
          <w:rFonts w:eastAsia="Times New Roman" w:cs="Arial"/>
          <w:color w:val="auto"/>
          <w:sz w:val="21"/>
          <w:szCs w:val="21"/>
          <w:lang w:val="en-AU" w:eastAsia="en-AU"/>
        </w:rPr>
      </w:pPr>
      <w:r w:rsidRPr="00433F80">
        <w:rPr>
          <w:rFonts w:eastAsia="Times New Roman" w:cs="Arial"/>
          <w:color w:val="auto"/>
          <w:sz w:val="21"/>
          <w:szCs w:val="21"/>
          <w:lang w:val="en-AU" w:eastAsia="en-AU"/>
        </w:rPr>
        <w:t xml:space="preserve">ISAF </w:t>
      </w:r>
      <w:r w:rsidR="00AD567A" w:rsidRPr="00433F80">
        <w:rPr>
          <w:rFonts w:eastAsia="Times New Roman" w:cs="Arial"/>
          <w:color w:val="auto"/>
          <w:sz w:val="21"/>
          <w:szCs w:val="21"/>
          <w:lang w:val="en-AU" w:eastAsia="en-AU"/>
        </w:rPr>
        <w:t xml:space="preserve">II </w:t>
      </w:r>
      <w:r w:rsidRPr="00433F80">
        <w:rPr>
          <w:rFonts w:eastAsia="Times New Roman" w:cs="Arial"/>
          <w:color w:val="auto"/>
          <w:sz w:val="21"/>
          <w:szCs w:val="21"/>
          <w:lang w:val="en-AU" w:eastAsia="en-AU"/>
        </w:rPr>
        <w:t xml:space="preserve">represents </w:t>
      </w:r>
      <w:r w:rsidR="0060374C" w:rsidRPr="00433F80">
        <w:rPr>
          <w:rFonts w:eastAsia="Times New Roman" w:cs="Arial"/>
          <w:color w:val="auto"/>
          <w:sz w:val="21"/>
          <w:szCs w:val="21"/>
          <w:lang w:val="en-AU" w:eastAsia="en-AU"/>
        </w:rPr>
        <w:t xml:space="preserve">a </w:t>
      </w:r>
      <w:r w:rsidR="00AD567A" w:rsidRPr="00433F80">
        <w:rPr>
          <w:rFonts w:eastAsia="Times New Roman" w:cs="Arial"/>
          <w:color w:val="auto"/>
          <w:sz w:val="21"/>
          <w:szCs w:val="21"/>
          <w:lang w:val="en-AU" w:eastAsia="en-AU"/>
        </w:rPr>
        <w:t>viable</w:t>
      </w:r>
      <w:r w:rsidRPr="00433F80">
        <w:rPr>
          <w:rFonts w:eastAsia="Times New Roman" w:cs="Arial"/>
          <w:color w:val="auto"/>
          <w:sz w:val="21"/>
          <w:szCs w:val="21"/>
          <w:lang w:val="en-AU" w:eastAsia="en-AU"/>
        </w:rPr>
        <w:t xml:space="preserve"> </w:t>
      </w:r>
      <w:r w:rsidR="00AD567A" w:rsidRPr="00433F80">
        <w:rPr>
          <w:rFonts w:eastAsia="Times New Roman" w:cs="Arial"/>
          <w:color w:val="auto"/>
          <w:sz w:val="21"/>
          <w:szCs w:val="21"/>
          <w:lang w:val="en-AU" w:eastAsia="en-AU"/>
        </w:rPr>
        <w:t>way</w:t>
      </w:r>
      <w:r w:rsidRPr="00433F80">
        <w:rPr>
          <w:rFonts w:eastAsia="Times New Roman" w:cs="Arial"/>
          <w:color w:val="auto"/>
          <w:sz w:val="21"/>
          <w:szCs w:val="21"/>
          <w:lang w:val="en-AU" w:eastAsia="en-AU"/>
        </w:rPr>
        <w:t xml:space="preserve"> to pursue greater </w:t>
      </w:r>
      <w:r w:rsidR="00891B79" w:rsidRPr="00433F80">
        <w:rPr>
          <w:rFonts w:eastAsia="Times New Roman" w:cs="Arial"/>
          <w:color w:val="auto"/>
          <w:sz w:val="21"/>
          <w:szCs w:val="21"/>
          <w:lang w:val="en-AU" w:eastAsia="en-AU"/>
        </w:rPr>
        <w:t xml:space="preserve">state </w:t>
      </w:r>
      <w:r w:rsidRPr="00433F80">
        <w:rPr>
          <w:rFonts w:eastAsia="Times New Roman" w:cs="Arial"/>
          <w:color w:val="auto"/>
          <w:sz w:val="21"/>
          <w:szCs w:val="21"/>
          <w:lang w:val="en-AU" w:eastAsia="en-AU"/>
        </w:rPr>
        <w:t xml:space="preserve">accountability and </w:t>
      </w:r>
      <w:r w:rsidR="0060374C" w:rsidRPr="00433F80">
        <w:rPr>
          <w:rFonts w:eastAsia="Times New Roman" w:cs="Arial"/>
          <w:color w:val="auto"/>
          <w:sz w:val="21"/>
          <w:szCs w:val="21"/>
          <w:lang w:val="en-AU" w:eastAsia="en-AU"/>
        </w:rPr>
        <w:t xml:space="preserve">social </w:t>
      </w:r>
      <w:r w:rsidRPr="00433F80">
        <w:rPr>
          <w:rFonts w:eastAsia="Times New Roman" w:cs="Arial"/>
          <w:color w:val="auto"/>
          <w:sz w:val="21"/>
          <w:szCs w:val="21"/>
          <w:lang w:val="en-AU" w:eastAsia="en-AU"/>
        </w:rPr>
        <w:t xml:space="preserve">stability based on </w:t>
      </w:r>
      <w:r w:rsidR="0060374C" w:rsidRPr="00433F80">
        <w:rPr>
          <w:rFonts w:eastAsia="Times New Roman" w:cs="Arial"/>
          <w:color w:val="auto"/>
          <w:sz w:val="21"/>
          <w:szCs w:val="21"/>
          <w:lang w:val="en-AU" w:eastAsia="en-AU"/>
        </w:rPr>
        <w:t xml:space="preserve">citizen </w:t>
      </w:r>
      <w:r w:rsidRPr="00433F80">
        <w:rPr>
          <w:rFonts w:eastAsia="Times New Roman" w:cs="Arial"/>
          <w:color w:val="auto"/>
          <w:sz w:val="21"/>
          <w:szCs w:val="21"/>
          <w:lang w:val="en-AU" w:eastAsia="en-AU"/>
        </w:rPr>
        <w:t xml:space="preserve">rights and </w:t>
      </w:r>
      <w:r w:rsidR="00244529" w:rsidRPr="00433F80">
        <w:rPr>
          <w:rFonts w:eastAsia="Times New Roman" w:cs="Arial"/>
          <w:color w:val="auto"/>
          <w:sz w:val="21"/>
          <w:szCs w:val="21"/>
          <w:lang w:val="en-AU" w:eastAsia="en-AU"/>
        </w:rPr>
        <w:t>entitlements</w:t>
      </w:r>
      <w:r w:rsidR="008A0605" w:rsidRPr="00433F80">
        <w:rPr>
          <w:rFonts w:eastAsia="Times New Roman" w:cs="Arial"/>
          <w:color w:val="auto"/>
          <w:sz w:val="21"/>
          <w:szCs w:val="21"/>
          <w:lang w:val="en-AU" w:eastAsia="en-AU"/>
        </w:rPr>
        <w:t>.</w:t>
      </w:r>
      <w:r w:rsidR="000020D1" w:rsidRPr="00433F80">
        <w:rPr>
          <w:rFonts w:eastAsia="Times New Roman" w:cs="Arial"/>
          <w:color w:val="auto"/>
          <w:sz w:val="21"/>
          <w:szCs w:val="21"/>
          <w:lang w:val="en-AU" w:eastAsia="en-AU"/>
        </w:rPr>
        <w:t xml:space="preserve"> Post has successfully advocated for the inclusion of </w:t>
      </w:r>
      <w:proofErr w:type="spellStart"/>
      <w:r w:rsidR="000020D1" w:rsidRPr="00433F80">
        <w:rPr>
          <w:rFonts w:eastAsia="Times New Roman" w:cs="Arial"/>
          <w:color w:val="auto"/>
          <w:sz w:val="21"/>
          <w:szCs w:val="21"/>
          <w:lang w:val="en-AU" w:eastAsia="en-AU"/>
        </w:rPr>
        <w:t>IDPoor</w:t>
      </w:r>
      <w:proofErr w:type="spellEnd"/>
      <w:r w:rsidR="000020D1" w:rsidRPr="00433F80">
        <w:rPr>
          <w:rFonts w:eastAsia="Times New Roman" w:cs="Arial"/>
          <w:color w:val="auto"/>
          <w:sz w:val="21"/>
          <w:szCs w:val="21"/>
          <w:lang w:val="en-AU" w:eastAsia="en-AU"/>
        </w:rPr>
        <w:t xml:space="preserve"> </w:t>
      </w:r>
      <w:r w:rsidR="00C816D4" w:rsidRPr="00433F80">
        <w:rPr>
          <w:rFonts w:eastAsia="Times New Roman" w:cs="Arial"/>
          <w:color w:val="auto"/>
          <w:sz w:val="21"/>
          <w:szCs w:val="21"/>
          <w:lang w:val="en-AU" w:eastAsia="en-AU"/>
        </w:rPr>
        <w:t xml:space="preserve">into the ISAF </w:t>
      </w:r>
      <w:r w:rsidR="0060374C" w:rsidRPr="00433F80">
        <w:rPr>
          <w:rFonts w:eastAsia="Times New Roman" w:cs="Arial"/>
          <w:color w:val="auto"/>
          <w:sz w:val="21"/>
          <w:szCs w:val="21"/>
          <w:lang w:val="en-AU" w:eastAsia="en-AU"/>
        </w:rPr>
        <w:t>II</w:t>
      </w:r>
      <w:r w:rsidR="00C816D4" w:rsidRPr="00433F80">
        <w:rPr>
          <w:rFonts w:eastAsia="Times New Roman" w:cs="Arial"/>
          <w:color w:val="auto"/>
          <w:sz w:val="21"/>
          <w:szCs w:val="21"/>
          <w:lang w:val="en-AU" w:eastAsia="en-AU"/>
        </w:rPr>
        <w:t xml:space="preserve"> project, meaning this mechanism will be subject to greater community feedback and transparency, which is particularly important now </w:t>
      </w:r>
      <w:r w:rsidR="00C816D4" w:rsidRPr="00433F80">
        <w:rPr>
          <w:rFonts w:eastAsia="Times New Roman" w:cs="Arial"/>
          <w:color w:val="auto"/>
          <w:sz w:val="21"/>
          <w:szCs w:val="21"/>
          <w:lang w:val="en-AU" w:eastAsia="en-AU"/>
        </w:rPr>
        <w:lastRenderedPageBreak/>
        <w:t xml:space="preserve">it is being used to determine who can access </w:t>
      </w:r>
      <w:r w:rsidR="001349D4" w:rsidRPr="00433F80">
        <w:rPr>
          <w:rFonts w:eastAsia="Times New Roman" w:cs="Arial"/>
          <w:color w:val="auto"/>
          <w:sz w:val="21"/>
          <w:szCs w:val="21"/>
          <w:lang w:val="en-AU" w:eastAsia="en-AU"/>
        </w:rPr>
        <w:t xml:space="preserve">government </w:t>
      </w:r>
      <w:r w:rsidR="00C816D4" w:rsidRPr="00433F80">
        <w:rPr>
          <w:rFonts w:eastAsia="Times New Roman" w:cs="Arial"/>
          <w:color w:val="auto"/>
          <w:sz w:val="21"/>
          <w:szCs w:val="21"/>
          <w:lang w:val="en-AU" w:eastAsia="en-AU"/>
        </w:rPr>
        <w:t xml:space="preserve">payments. This also shows the potential </w:t>
      </w:r>
      <w:r w:rsidR="0060374C" w:rsidRPr="00433F80">
        <w:rPr>
          <w:rFonts w:eastAsia="Times New Roman" w:cs="Arial"/>
          <w:color w:val="auto"/>
          <w:sz w:val="21"/>
          <w:szCs w:val="21"/>
          <w:lang w:val="en-AU" w:eastAsia="en-AU"/>
        </w:rPr>
        <w:t xml:space="preserve">leveraging other </w:t>
      </w:r>
      <w:r w:rsidR="00C816D4" w:rsidRPr="00433F80">
        <w:rPr>
          <w:rFonts w:eastAsia="Times New Roman" w:cs="Arial"/>
          <w:color w:val="auto"/>
          <w:sz w:val="21"/>
          <w:szCs w:val="21"/>
          <w:lang w:val="en-AU" w:eastAsia="en-AU"/>
        </w:rPr>
        <w:t>Australian-funded initiatives in Cambodia</w:t>
      </w:r>
      <w:r w:rsidR="0060374C" w:rsidRPr="00433F80">
        <w:rPr>
          <w:rFonts w:eastAsia="Times New Roman" w:cs="Arial"/>
          <w:color w:val="auto"/>
          <w:sz w:val="21"/>
          <w:szCs w:val="21"/>
          <w:lang w:val="en-AU" w:eastAsia="en-AU"/>
        </w:rPr>
        <w:t xml:space="preserve"> through a World Bank </w:t>
      </w:r>
      <w:r w:rsidR="006731D5" w:rsidRPr="00433F80">
        <w:rPr>
          <w:rFonts w:eastAsia="Times New Roman" w:cs="Arial"/>
          <w:color w:val="auto"/>
          <w:sz w:val="21"/>
          <w:szCs w:val="21"/>
          <w:lang w:val="en-AU" w:eastAsia="en-AU"/>
        </w:rPr>
        <w:t>P</w:t>
      </w:r>
      <w:r w:rsidR="0060374C" w:rsidRPr="00433F80">
        <w:rPr>
          <w:rFonts w:eastAsia="Times New Roman" w:cs="Arial"/>
          <w:color w:val="auto"/>
          <w:sz w:val="21"/>
          <w:szCs w:val="21"/>
          <w:lang w:val="en-AU" w:eastAsia="en-AU"/>
        </w:rPr>
        <w:t>artnership.</w:t>
      </w:r>
    </w:p>
    <w:p w14:paraId="6AE6C043" w14:textId="048ECC38" w:rsidR="00AD567A" w:rsidRPr="00433F80" w:rsidRDefault="00AD567A" w:rsidP="005E6171">
      <w:pPr>
        <w:spacing w:line="360" w:lineRule="auto"/>
        <w:rPr>
          <w:b/>
          <w:color w:val="auto"/>
          <w:sz w:val="21"/>
          <w:szCs w:val="21"/>
          <w:lang w:val="en-AU"/>
        </w:rPr>
      </w:pPr>
      <w:r w:rsidRPr="00433F80">
        <w:rPr>
          <w:b/>
          <w:color w:val="auto"/>
          <w:sz w:val="21"/>
          <w:szCs w:val="21"/>
          <w:lang w:val="en-AU"/>
        </w:rPr>
        <w:t>Gender equality and social inclusion</w:t>
      </w:r>
    </w:p>
    <w:p w14:paraId="471D527D" w14:textId="77777777" w:rsidR="0015184F" w:rsidRPr="00433F80" w:rsidRDefault="00E01189" w:rsidP="005E6171">
      <w:pPr>
        <w:tabs>
          <w:tab w:val="left" w:pos="284"/>
        </w:tabs>
        <w:suppressAutoHyphens w:val="0"/>
        <w:spacing w:before="0" w:line="360" w:lineRule="auto"/>
        <w:rPr>
          <w:rFonts w:eastAsia="Times New Roman" w:cs="Arial"/>
          <w:color w:val="auto"/>
          <w:sz w:val="21"/>
          <w:szCs w:val="21"/>
          <w:lang w:val="en-AU" w:eastAsia="en-AU"/>
        </w:rPr>
      </w:pPr>
      <w:r w:rsidRPr="00433F80">
        <w:rPr>
          <w:rFonts w:eastAsia="Times New Roman" w:cs="Arial"/>
          <w:color w:val="auto"/>
          <w:sz w:val="21"/>
          <w:szCs w:val="21"/>
          <w:lang w:val="en-AU" w:eastAsia="en-AU"/>
        </w:rPr>
        <w:t>Significant gender, social inclusion and inequality issues persist in Cambodia. The 2017 Gender Inequality Index ranked Cambodia 116 out of 160 countries and access to inclusive, quality services are essential to closing the gap. Cambodia has some of the highest out-of-pocket health expenditure in the world—about 60 per cent of payments for health services are out-of-pocket (World Bank 2019</w:t>
      </w:r>
      <w:r w:rsidR="00953D5E" w:rsidRPr="00433F80">
        <w:rPr>
          <w:rFonts w:eastAsia="Times New Roman" w:cs="Arial"/>
          <w:color w:val="auto"/>
          <w:sz w:val="21"/>
          <w:szCs w:val="21"/>
          <w:lang w:val="en-AU" w:eastAsia="en-AU"/>
        </w:rPr>
        <w:t>)</w:t>
      </w:r>
      <w:r w:rsidRPr="00433F80">
        <w:rPr>
          <w:rFonts w:eastAsia="Times New Roman" w:cs="Arial"/>
          <w:color w:val="auto"/>
          <w:sz w:val="21"/>
          <w:szCs w:val="21"/>
          <w:lang w:val="en-AU" w:eastAsia="en-AU"/>
        </w:rPr>
        <w:t xml:space="preserve">. This is leading to catastrophic (impoverishing) health spending for around 6.3 per cent of the population (8.6 per cent of the elderly and 13.4 per cent of people with a </w:t>
      </w:r>
      <w:r w:rsidR="00EE3E89" w:rsidRPr="00433F80">
        <w:rPr>
          <w:rFonts w:eastAsia="Times New Roman" w:cs="Arial"/>
          <w:color w:val="auto"/>
          <w:sz w:val="21"/>
          <w:szCs w:val="21"/>
          <w:lang w:val="en-AU" w:eastAsia="en-AU"/>
        </w:rPr>
        <w:t>disability)</w:t>
      </w:r>
      <w:r w:rsidR="008D4CF8" w:rsidRPr="00433F80">
        <w:rPr>
          <w:rFonts w:eastAsia="Times New Roman" w:cs="Arial"/>
          <w:color w:val="auto"/>
          <w:sz w:val="21"/>
          <w:szCs w:val="21"/>
          <w:lang w:val="en-AU" w:eastAsia="en-AU"/>
        </w:rPr>
        <w:t xml:space="preserve">. </w:t>
      </w:r>
      <w:r w:rsidR="008D4CF8" w:rsidRPr="00433F80" w:rsidDel="00EE3E89">
        <w:rPr>
          <w:rFonts w:eastAsia="Times New Roman" w:cs="Arial"/>
          <w:color w:val="auto"/>
          <w:sz w:val="21"/>
          <w:szCs w:val="21"/>
          <w:lang w:val="en-AU" w:eastAsia="en-AU"/>
        </w:rPr>
        <w:t>Persons with disabilities on average spend three to four times more on total healthcare-related treatment and travel costs (DHS 2014).</w:t>
      </w:r>
      <w:r w:rsidR="008D4CF8" w:rsidRPr="00433F80">
        <w:rPr>
          <w:rFonts w:eastAsia="Times New Roman" w:cs="Arial"/>
          <w:color w:val="auto"/>
          <w:sz w:val="21"/>
          <w:szCs w:val="21"/>
          <w:lang w:val="en-AU" w:eastAsia="en-AU"/>
        </w:rPr>
        <w:t xml:space="preserve"> </w:t>
      </w:r>
    </w:p>
    <w:p w14:paraId="49998048" w14:textId="6422D073" w:rsidR="0015184F" w:rsidRPr="00433F80" w:rsidRDefault="0026149A" w:rsidP="005E6171">
      <w:pPr>
        <w:tabs>
          <w:tab w:val="left" w:pos="284"/>
        </w:tabs>
        <w:suppressAutoHyphens w:val="0"/>
        <w:spacing w:before="0" w:line="360" w:lineRule="auto"/>
        <w:rPr>
          <w:color w:val="auto"/>
          <w:sz w:val="21"/>
          <w:szCs w:val="21"/>
          <w:lang w:val="en-AU"/>
        </w:rPr>
      </w:pPr>
      <w:r w:rsidRPr="00433F80">
        <w:rPr>
          <w:rFonts w:eastAsia="Times New Roman" w:cs="Arial"/>
          <w:color w:val="auto"/>
          <w:sz w:val="21"/>
          <w:szCs w:val="21"/>
          <w:lang w:val="en-AU" w:eastAsia="en-AU"/>
        </w:rPr>
        <w:t>T</w:t>
      </w:r>
      <w:r w:rsidR="00EA1649" w:rsidRPr="00433F80">
        <w:rPr>
          <w:rFonts w:eastAsia="Times New Roman" w:cs="Arial"/>
          <w:color w:val="auto"/>
          <w:sz w:val="21"/>
          <w:szCs w:val="21"/>
          <w:lang w:val="en-AU" w:eastAsia="en-AU"/>
        </w:rPr>
        <w:t xml:space="preserve">hese pre-pandemic figures are likely to be </w:t>
      </w:r>
      <w:r w:rsidR="008A0605" w:rsidRPr="00433F80">
        <w:rPr>
          <w:rFonts w:eastAsia="Times New Roman" w:cs="Arial"/>
          <w:color w:val="auto"/>
          <w:sz w:val="21"/>
          <w:szCs w:val="21"/>
          <w:lang w:val="en-AU" w:eastAsia="en-AU"/>
        </w:rPr>
        <w:t xml:space="preserve">exacerbated </w:t>
      </w:r>
      <w:r w:rsidR="00EA1649" w:rsidRPr="00433F80">
        <w:rPr>
          <w:rFonts w:eastAsia="Times New Roman" w:cs="Arial"/>
          <w:color w:val="auto"/>
          <w:sz w:val="21"/>
          <w:szCs w:val="21"/>
          <w:lang w:val="en-AU" w:eastAsia="en-AU"/>
        </w:rPr>
        <w:t xml:space="preserve">by the effects of COVID-19, which has </w:t>
      </w:r>
      <w:r w:rsidR="00B508D2" w:rsidRPr="00433F80">
        <w:rPr>
          <w:rFonts w:eastAsia="Times New Roman" w:cs="Arial"/>
          <w:color w:val="auto"/>
          <w:sz w:val="21"/>
          <w:szCs w:val="21"/>
          <w:lang w:val="en-AU" w:eastAsia="en-AU"/>
        </w:rPr>
        <w:t xml:space="preserve">reduced household </w:t>
      </w:r>
      <w:r w:rsidR="00EA1649" w:rsidRPr="00433F80">
        <w:rPr>
          <w:rFonts w:eastAsia="Times New Roman" w:cs="Arial"/>
          <w:color w:val="auto"/>
          <w:sz w:val="21"/>
          <w:szCs w:val="21"/>
          <w:lang w:val="en-AU" w:eastAsia="en-AU"/>
        </w:rPr>
        <w:t xml:space="preserve">incomes and disproportionately undermined the female-dominated tourism and </w:t>
      </w:r>
      <w:r w:rsidR="00EE3E89" w:rsidRPr="00433F80">
        <w:rPr>
          <w:rFonts w:eastAsia="Times New Roman" w:cs="Arial"/>
          <w:color w:val="auto"/>
          <w:sz w:val="21"/>
          <w:szCs w:val="21"/>
          <w:lang w:val="en-AU" w:eastAsia="en-AU"/>
        </w:rPr>
        <w:t xml:space="preserve">garment </w:t>
      </w:r>
      <w:r w:rsidR="00B508D2" w:rsidRPr="00433F80">
        <w:rPr>
          <w:rFonts w:eastAsia="Times New Roman" w:cs="Arial"/>
          <w:color w:val="auto"/>
          <w:sz w:val="21"/>
          <w:szCs w:val="21"/>
          <w:lang w:val="en-AU" w:eastAsia="en-AU"/>
        </w:rPr>
        <w:t>factory</w:t>
      </w:r>
      <w:r w:rsidR="00EA1649" w:rsidRPr="00433F80">
        <w:rPr>
          <w:rFonts w:eastAsia="Times New Roman" w:cs="Arial"/>
          <w:color w:val="auto"/>
          <w:sz w:val="21"/>
          <w:szCs w:val="21"/>
          <w:lang w:val="en-AU" w:eastAsia="en-AU"/>
        </w:rPr>
        <w:t xml:space="preserve"> sectors</w:t>
      </w:r>
      <w:r w:rsidR="00B508D2" w:rsidRPr="00433F80">
        <w:rPr>
          <w:rFonts w:eastAsia="Times New Roman" w:cs="Arial"/>
          <w:color w:val="auto"/>
          <w:sz w:val="21"/>
          <w:szCs w:val="21"/>
          <w:lang w:val="en-AU" w:eastAsia="en-AU"/>
        </w:rPr>
        <w:t>.</w:t>
      </w:r>
      <w:r w:rsidR="008D4CF8" w:rsidRPr="00433F80">
        <w:rPr>
          <w:rFonts w:eastAsia="Times New Roman" w:cs="Arial"/>
          <w:color w:val="auto"/>
          <w:sz w:val="21"/>
          <w:szCs w:val="21"/>
          <w:lang w:val="en-AU" w:eastAsia="en-AU"/>
        </w:rPr>
        <w:t xml:space="preserve"> </w:t>
      </w:r>
      <w:r w:rsidR="001D5982" w:rsidRPr="00433F80">
        <w:rPr>
          <w:rFonts w:eastAsia="Times New Roman" w:cs="Arial"/>
          <w:color w:val="auto"/>
          <w:sz w:val="21"/>
          <w:szCs w:val="21"/>
          <w:lang w:val="en-AU" w:eastAsia="en-AU"/>
        </w:rPr>
        <w:t xml:space="preserve">Post is currently seeking to extend the Australia-Cambodia Cooperation on Equitable Sustainable Services (ACCESS) to $25 million and until 2023—this program </w:t>
      </w:r>
      <w:r w:rsidR="0015184F" w:rsidRPr="00433F80">
        <w:rPr>
          <w:rFonts w:eastAsia="Times New Roman" w:cs="Arial"/>
          <w:color w:val="auto"/>
          <w:sz w:val="21"/>
          <w:szCs w:val="21"/>
          <w:lang w:val="en-AU" w:eastAsia="en-AU"/>
        </w:rPr>
        <w:t xml:space="preserve">aims to </w:t>
      </w:r>
      <w:r w:rsidR="0060374C" w:rsidRPr="00433F80">
        <w:rPr>
          <w:rFonts w:eastAsia="Times New Roman" w:cs="Arial"/>
          <w:color w:val="auto"/>
          <w:sz w:val="21"/>
          <w:szCs w:val="21"/>
          <w:lang w:val="en-AU" w:eastAsia="en-AU"/>
        </w:rPr>
        <w:t xml:space="preserve">support Cambodian government ministries to </w:t>
      </w:r>
      <w:r w:rsidR="0015184F" w:rsidRPr="00433F80">
        <w:rPr>
          <w:rFonts w:eastAsia="Times New Roman" w:cs="Arial"/>
          <w:color w:val="auto"/>
          <w:sz w:val="21"/>
          <w:szCs w:val="21"/>
          <w:lang w:val="en-AU" w:eastAsia="en-AU"/>
        </w:rPr>
        <w:t>improve the sustainability, quality and inclusiveness of services for persons with disabilities and for women affected by gender-based violence in particular.</w:t>
      </w:r>
    </w:p>
    <w:p w14:paraId="7B1E7FAD" w14:textId="2EF20320" w:rsidR="00AD567A" w:rsidRPr="00433F80" w:rsidRDefault="00AD567A" w:rsidP="005E6171">
      <w:pPr>
        <w:spacing w:line="360" w:lineRule="auto"/>
        <w:rPr>
          <w:b/>
          <w:color w:val="auto"/>
          <w:sz w:val="21"/>
          <w:szCs w:val="21"/>
          <w:lang w:val="en-AU"/>
        </w:rPr>
      </w:pPr>
      <w:r w:rsidRPr="00433F80">
        <w:rPr>
          <w:b/>
          <w:color w:val="auto"/>
          <w:sz w:val="21"/>
          <w:szCs w:val="21"/>
          <w:lang w:val="en-AU"/>
        </w:rPr>
        <w:t>Social spending and human capital</w:t>
      </w:r>
    </w:p>
    <w:p w14:paraId="31D964B7" w14:textId="26A3A6BE" w:rsidR="00E01189" w:rsidRPr="00433F80" w:rsidRDefault="00DB6470" w:rsidP="005E6171">
      <w:pPr>
        <w:spacing w:line="360" w:lineRule="auto"/>
        <w:rPr>
          <w:color w:val="auto"/>
          <w:sz w:val="21"/>
          <w:szCs w:val="21"/>
          <w:lang w:val="en-AU"/>
        </w:rPr>
      </w:pPr>
      <w:r w:rsidRPr="00433F80">
        <w:rPr>
          <w:color w:val="auto"/>
          <w:sz w:val="21"/>
          <w:szCs w:val="21"/>
          <w:lang w:val="en-AU"/>
        </w:rPr>
        <w:t>There is now a very real</w:t>
      </w:r>
      <w:r w:rsidR="00E01189" w:rsidRPr="00433F80">
        <w:rPr>
          <w:color w:val="auto"/>
          <w:sz w:val="21"/>
          <w:szCs w:val="21"/>
          <w:lang w:val="en-AU"/>
        </w:rPr>
        <w:t xml:space="preserve"> risk that expenditure on social sectors may decline as COVID-19 response measures prioritise emergency and economic needs</w:t>
      </w:r>
      <w:r w:rsidRPr="00433F80">
        <w:rPr>
          <w:color w:val="auto"/>
          <w:sz w:val="21"/>
          <w:szCs w:val="21"/>
          <w:lang w:val="en-AU"/>
        </w:rPr>
        <w:t xml:space="preserve">. </w:t>
      </w:r>
      <w:r w:rsidR="00244529" w:rsidRPr="00433F80">
        <w:rPr>
          <w:color w:val="auto"/>
          <w:sz w:val="21"/>
          <w:szCs w:val="21"/>
          <w:lang w:val="en-AU"/>
        </w:rPr>
        <w:t xml:space="preserve">RGC officials say strong investment cases are needed to support </w:t>
      </w:r>
      <w:r w:rsidR="00946978" w:rsidRPr="00433F80">
        <w:rPr>
          <w:color w:val="auto"/>
          <w:sz w:val="21"/>
          <w:szCs w:val="21"/>
          <w:lang w:val="en-AU"/>
        </w:rPr>
        <w:t>expenditure</w:t>
      </w:r>
      <w:r w:rsidR="00953D5E" w:rsidRPr="00433F80">
        <w:rPr>
          <w:color w:val="auto"/>
          <w:sz w:val="21"/>
          <w:szCs w:val="21"/>
          <w:lang w:val="en-AU"/>
        </w:rPr>
        <w:t xml:space="preserve"> in social sectors </w:t>
      </w:r>
      <w:r w:rsidRPr="00433F80">
        <w:rPr>
          <w:color w:val="auto"/>
          <w:sz w:val="21"/>
          <w:szCs w:val="21"/>
          <w:lang w:val="en-AU"/>
        </w:rPr>
        <w:t xml:space="preserve">– something the </w:t>
      </w:r>
      <w:r w:rsidR="00E558AB" w:rsidRPr="00433F80">
        <w:rPr>
          <w:color w:val="auto"/>
          <w:sz w:val="21"/>
          <w:szCs w:val="21"/>
          <w:lang w:val="en-AU"/>
        </w:rPr>
        <w:t>PROMISE PASA</w:t>
      </w:r>
      <w:r w:rsidR="0060374C" w:rsidRPr="00433F80">
        <w:rPr>
          <w:color w:val="auto"/>
          <w:sz w:val="21"/>
          <w:szCs w:val="21"/>
          <w:lang w:val="en-AU"/>
        </w:rPr>
        <w:t xml:space="preserve"> could support</w:t>
      </w:r>
      <w:r w:rsidR="00E01189" w:rsidRPr="00433F80">
        <w:rPr>
          <w:color w:val="auto"/>
          <w:sz w:val="21"/>
          <w:szCs w:val="21"/>
          <w:lang w:val="en-AU"/>
        </w:rPr>
        <w:t xml:space="preserve">. More needs to be done if Cambodia hopes to experience a </w:t>
      </w:r>
      <w:r w:rsidR="00953D5E" w:rsidRPr="00433F80">
        <w:rPr>
          <w:color w:val="auto"/>
          <w:sz w:val="21"/>
          <w:szCs w:val="21"/>
          <w:lang w:val="en-AU"/>
        </w:rPr>
        <w:t>sustained</w:t>
      </w:r>
      <w:r w:rsidR="00E01189" w:rsidRPr="00433F80">
        <w:rPr>
          <w:color w:val="auto"/>
          <w:sz w:val="21"/>
          <w:szCs w:val="21"/>
          <w:lang w:val="en-AU"/>
        </w:rPr>
        <w:t xml:space="preserve"> </w:t>
      </w:r>
      <w:r w:rsidR="00946978" w:rsidRPr="00433F80">
        <w:rPr>
          <w:color w:val="auto"/>
          <w:sz w:val="21"/>
          <w:szCs w:val="21"/>
          <w:lang w:val="en-AU"/>
        </w:rPr>
        <w:t>economic recovery</w:t>
      </w:r>
      <w:r w:rsidR="00E01189" w:rsidRPr="00433F80">
        <w:rPr>
          <w:color w:val="auto"/>
          <w:sz w:val="21"/>
          <w:szCs w:val="21"/>
          <w:lang w:val="en-AU"/>
        </w:rPr>
        <w:t xml:space="preserve"> </w:t>
      </w:r>
      <w:r w:rsidR="00946978" w:rsidRPr="00433F80">
        <w:rPr>
          <w:color w:val="auto"/>
          <w:sz w:val="21"/>
          <w:szCs w:val="21"/>
          <w:lang w:val="en-AU"/>
        </w:rPr>
        <w:t xml:space="preserve">from </w:t>
      </w:r>
      <w:r w:rsidR="001850EB" w:rsidRPr="00433F80">
        <w:rPr>
          <w:color w:val="auto"/>
          <w:sz w:val="21"/>
          <w:szCs w:val="21"/>
          <w:lang w:val="en-AU"/>
        </w:rPr>
        <w:t>COVID</w:t>
      </w:r>
      <w:r w:rsidR="00946978" w:rsidRPr="00433F80">
        <w:rPr>
          <w:color w:val="auto"/>
          <w:sz w:val="21"/>
          <w:szCs w:val="21"/>
          <w:lang w:val="en-AU"/>
        </w:rPr>
        <w:t xml:space="preserve">-19 </w:t>
      </w:r>
      <w:r w:rsidR="00E01189" w:rsidRPr="00433F80">
        <w:rPr>
          <w:color w:val="auto"/>
          <w:sz w:val="21"/>
          <w:szCs w:val="21"/>
          <w:lang w:val="en-AU"/>
        </w:rPr>
        <w:t>driven by a healthy</w:t>
      </w:r>
      <w:r w:rsidR="00953D5E" w:rsidRPr="00433F80">
        <w:rPr>
          <w:color w:val="auto"/>
          <w:sz w:val="21"/>
          <w:szCs w:val="21"/>
          <w:lang w:val="en-AU"/>
        </w:rPr>
        <w:t xml:space="preserve"> and educated population</w:t>
      </w:r>
      <w:r w:rsidR="00E01189" w:rsidRPr="00433F80">
        <w:rPr>
          <w:color w:val="auto"/>
          <w:sz w:val="21"/>
          <w:szCs w:val="21"/>
          <w:lang w:val="en-AU"/>
        </w:rPr>
        <w:t>.</w:t>
      </w:r>
      <w:r w:rsidR="00B508D2" w:rsidRPr="00433F80">
        <w:rPr>
          <w:color w:val="auto"/>
          <w:sz w:val="21"/>
          <w:szCs w:val="21"/>
          <w:lang w:val="en-AU"/>
        </w:rPr>
        <w:t xml:space="preserve"> </w:t>
      </w:r>
      <w:r w:rsidR="0065752A" w:rsidRPr="00433F80">
        <w:rPr>
          <w:color w:val="auto"/>
          <w:sz w:val="21"/>
          <w:szCs w:val="21"/>
          <w:lang w:val="en-AU"/>
        </w:rPr>
        <w:t xml:space="preserve">If the pandemic is allowed to undermine human capital growth, this </w:t>
      </w:r>
      <w:r w:rsidR="0060374C" w:rsidRPr="00433F80">
        <w:rPr>
          <w:color w:val="auto"/>
          <w:sz w:val="21"/>
          <w:szCs w:val="21"/>
          <w:lang w:val="en-AU"/>
        </w:rPr>
        <w:t xml:space="preserve">would </w:t>
      </w:r>
      <w:r w:rsidR="0065752A" w:rsidRPr="00433F80">
        <w:rPr>
          <w:color w:val="auto"/>
          <w:sz w:val="21"/>
          <w:szCs w:val="21"/>
          <w:lang w:val="en-AU"/>
        </w:rPr>
        <w:t>have negative impacts in the longer term</w:t>
      </w:r>
      <w:r w:rsidR="008D4CF8" w:rsidRPr="00433F80">
        <w:rPr>
          <w:color w:val="auto"/>
          <w:sz w:val="21"/>
          <w:szCs w:val="21"/>
          <w:lang w:val="en-AU"/>
        </w:rPr>
        <w:t>. The</w:t>
      </w:r>
      <w:r w:rsidR="00131B6D" w:rsidRPr="00433F80">
        <w:rPr>
          <w:color w:val="auto"/>
          <w:sz w:val="21"/>
          <w:szCs w:val="21"/>
          <w:lang w:val="en-AU"/>
        </w:rPr>
        <w:t xml:space="preserve"> World Bank </w:t>
      </w:r>
      <w:r w:rsidR="008A0605" w:rsidRPr="00433F80">
        <w:rPr>
          <w:color w:val="auto"/>
          <w:sz w:val="21"/>
          <w:szCs w:val="21"/>
          <w:lang w:val="en-AU"/>
        </w:rPr>
        <w:t xml:space="preserve">judges </w:t>
      </w:r>
      <w:r w:rsidR="00131B6D" w:rsidRPr="00433F80">
        <w:rPr>
          <w:color w:val="auto"/>
          <w:sz w:val="21"/>
          <w:szCs w:val="21"/>
          <w:lang w:val="en-AU"/>
        </w:rPr>
        <w:t xml:space="preserve">that </w:t>
      </w:r>
      <w:r w:rsidR="008A0605" w:rsidRPr="00433F80">
        <w:rPr>
          <w:color w:val="auto"/>
          <w:sz w:val="21"/>
          <w:szCs w:val="21"/>
          <w:lang w:val="en-AU"/>
        </w:rPr>
        <w:t xml:space="preserve">the </w:t>
      </w:r>
      <w:r w:rsidR="00131B6D" w:rsidRPr="00433F80">
        <w:rPr>
          <w:color w:val="auto"/>
          <w:sz w:val="21"/>
          <w:szCs w:val="21"/>
          <w:lang w:val="en-AU"/>
        </w:rPr>
        <w:t xml:space="preserve">“quality of human capital will be of utmost importance to achieve Cambodia’s ambitious goal of reaching middle-income status by 2030” (April 2020). </w:t>
      </w:r>
    </w:p>
    <w:p w14:paraId="1BF6FCF7" w14:textId="2F147DD7" w:rsidR="00946978" w:rsidRPr="00433F80" w:rsidRDefault="00946978" w:rsidP="005E6171">
      <w:pPr>
        <w:tabs>
          <w:tab w:val="left" w:pos="284"/>
        </w:tabs>
        <w:suppressAutoHyphens w:val="0"/>
        <w:spacing w:before="0" w:line="360" w:lineRule="auto"/>
        <w:rPr>
          <w:b/>
          <w:color w:val="auto"/>
          <w:sz w:val="21"/>
          <w:szCs w:val="21"/>
          <w:lang w:val="en-AU"/>
        </w:rPr>
      </w:pPr>
      <w:r w:rsidRPr="00433F80">
        <w:rPr>
          <w:b/>
          <w:color w:val="auto"/>
          <w:sz w:val="21"/>
          <w:szCs w:val="21"/>
          <w:lang w:val="en-AU"/>
        </w:rPr>
        <w:t>Partnership overview</w:t>
      </w:r>
    </w:p>
    <w:p w14:paraId="63E0792B" w14:textId="5791D084" w:rsidR="009371EE" w:rsidRPr="00433F80" w:rsidRDefault="009371EE" w:rsidP="005E6171">
      <w:pPr>
        <w:tabs>
          <w:tab w:val="left" w:pos="284"/>
        </w:tabs>
        <w:suppressAutoHyphens w:val="0"/>
        <w:spacing w:before="0" w:line="360" w:lineRule="auto"/>
        <w:rPr>
          <w:color w:val="auto"/>
          <w:sz w:val="21"/>
          <w:szCs w:val="21"/>
          <w:lang w:val="en-AU"/>
        </w:rPr>
      </w:pPr>
      <w:r w:rsidRPr="00433F80">
        <w:rPr>
          <w:color w:val="auto"/>
          <w:sz w:val="21"/>
          <w:szCs w:val="21"/>
          <w:lang w:val="en-AU"/>
        </w:rPr>
        <w:t>The proposed investment is AU</w:t>
      </w:r>
      <w:r w:rsidR="009933F7" w:rsidRPr="00433F80">
        <w:rPr>
          <w:color w:val="auto"/>
          <w:sz w:val="21"/>
          <w:szCs w:val="21"/>
          <w:lang w:val="en-AU"/>
        </w:rPr>
        <w:t>D</w:t>
      </w:r>
      <w:r w:rsidRPr="00433F80">
        <w:rPr>
          <w:color w:val="auto"/>
          <w:sz w:val="21"/>
          <w:szCs w:val="21"/>
          <w:lang w:val="en-AU"/>
        </w:rPr>
        <w:t>50 million over five years</w:t>
      </w:r>
      <w:r w:rsidR="0092337A" w:rsidRPr="00433F80">
        <w:rPr>
          <w:color w:val="auto"/>
          <w:sz w:val="21"/>
          <w:szCs w:val="21"/>
          <w:lang w:val="en-AU"/>
        </w:rPr>
        <w:t xml:space="preserve"> </w:t>
      </w:r>
      <w:r w:rsidR="00946978" w:rsidRPr="00433F80">
        <w:rPr>
          <w:color w:val="auto"/>
          <w:sz w:val="21"/>
          <w:szCs w:val="21"/>
          <w:lang w:val="en-AU"/>
        </w:rPr>
        <w:t xml:space="preserve">through </w:t>
      </w:r>
      <w:r w:rsidR="0092337A" w:rsidRPr="00433F80">
        <w:rPr>
          <w:color w:val="auto"/>
          <w:sz w:val="21"/>
          <w:szCs w:val="21"/>
          <w:lang w:val="en-AU"/>
        </w:rPr>
        <w:t>a Partnership Trust Fund</w:t>
      </w:r>
      <w:r w:rsidR="00F6521E" w:rsidRPr="00433F80">
        <w:rPr>
          <w:color w:val="auto"/>
          <w:sz w:val="21"/>
          <w:szCs w:val="21"/>
          <w:lang w:val="en-AU"/>
        </w:rPr>
        <w:t>,</w:t>
      </w:r>
      <w:r w:rsidR="0092337A" w:rsidRPr="00433F80">
        <w:rPr>
          <w:color w:val="auto"/>
          <w:sz w:val="21"/>
          <w:szCs w:val="21"/>
          <w:lang w:val="en-AU"/>
        </w:rPr>
        <w:t xml:space="preserve"> with the option of extending the arrangement for another five years</w:t>
      </w:r>
      <w:r w:rsidR="00095FF8" w:rsidRPr="00433F80">
        <w:rPr>
          <w:color w:val="auto"/>
          <w:sz w:val="21"/>
          <w:szCs w:val="21"/>
          <w:lang w:val="en-AU"/>
        </w:rPr>
        <w:t xml:space="preserve">. The Partnership will include contributions to </w:t>
      </w:r>
      <w:r w:rsidR="006731D5" w:rsidRPr="00433F80">
        <w:rPr>
          <w:color w:val="auto"/>
          <w:sz w:val="21"/>
          <w:szCs w:val="21"/>
          <w:lang w:val="en-AU"/>
        </w:rPr>
        <w:t xml:space="preserve">the </w:t>
      </w:r>
      <w:r w:rsidR="00095FF8" w:rsidRPr="00433F80">
        <w:rPr>
          <w:color w:val="auto"/>
          <w:sz w:val="21"/>
          <w:szCs w:val="21"/>
          <w:lang w:val="en-AU"/>
        </w:rPr>
        <w:t xml:space="preserve">ISAF </w:t>
      </w:r>
      <w:r w:rsidR="0060374C" w:rsidRPr="00433F80">
        <w:rPr>
          <w:color w:val="auto"/>
          <w:sz w:val="21"/>
          <w:szCs w:val="21"/>
          <w:lang w:val="en-AU"/>
        </w:rPr>
        <w:t>II</w:t>
      </w:r>
      <w:r w:rsidR="00095FF8" w:rsidRPr="00433F80">
        <w:rPr>
          <w:color w:val="auto"/>
          <w:sz w:val="21"/>
          <w:szCs w:val="21"/>
          <w:lang w:val="en-AU"/>
        </w:rPr>
        <w:t xml:space="preserve"> (</w:t>
      </w:r>
      <w:r w:rsidR="00040CE8" w:rsidRPr="00433F80">
        <w:rPr>
          <w:color w:val="auto"/>
          <w:sz w:val="21"/>
          <w:szCs w:val="21"/>
          <w:lang w:val="en-AU"/>
        </w:rPr>
        <w:t xml:space="preserve">up to </w:t>
      </w:r>
      <w:r w:rsidR="00095FF8" w:rsidRPr="00433F80">
        <w:rPr>
          <w:color w:val="auto"/>
          <w:sz w:val="21"/>
          <w:szCs w:val="21"/>
          <w:lang w:val="en-AU"/>
        </w:rPr>
        <w:t>$</w:t>
      </w:r>
      <w:r w:rsidR="0060374C" w:rsidRPr="00433F80">
        <w:rPr>
          <w:color w:val="auto"/>
          <w:sz w:val="21"/>
          <w:szCs w:val="21"/>
          <w:lang w:val="en-AU"/>
        </w:rPr>
        <w:t>15</w:t>
      </w:r>
      <w:r w:rsidR="00095FF8" w:rsidRPr="00433F80">
        <w:rPr>
          <w:color w:val="auto"/>
          <w:sz w:val="21"/>
          <w:szCs w:val="21"/>
          <w:lang w:val="en-AU"/>
        </w:rPr>
        <w:t xml:space="preserve"> million) and </w:t>
      </w:r>
      <w:r w:rsidR="00C07FCA" w:rsidRPr="00433F80">
        <w:rPr>
          <w:color w:val="auto"/>
          <w:sz w:val="21"/>
          <w:szCs w:val="21"/>
          <w:lang w:val="en-AU"/>
        </w:rPr>
        <w:t>H-EQIP 2</w:t>
      </w:r>
      <w:r w:rsidR="008D4CF8" w:rsidRPr="00433F80">
        <w:rPr>
          <w:color w:val="auto"/>
          <w:sz w:val="21"/>
          <w:szCs w:val="21"/>
          <w:lang w:val="en-AU"/>
        </w:rPr>
        <w:t xml:space="preserve"> </w:t>
      </w:r>
      <w:r w:rsidR="00095FF8" w:rsidRPr="00433F80">
        <w:rPr>
          <w:color w:val="auto"/>
          <w:sz w:val="21"/>
          <w:szCs w:val="21"/>
          <w:lang w:val="en-AU"/>
        </w:rPr>
        <w:t>(</w:t>
      </w:r>
      <w:r w:rsidR="00040CE8" w:rsidRPr="00433F80">
        <w:rPr>
          <w:color w:val="auto"/>
          <w:sz w:val="21"/>
          <w:szCs w:val="21"/>
          <w:lang w:val="en-AU"/>
        </w:rPr>
        <w:t xml:space="preserve">up to </w:t>
      </w:r>
      <w:r w:rsidR="00095FF8" w:rsidRPr="00433F80">
        <w:rPr>
          <w:color w:val="auto"/>
          <w:sz w:val="21"/>
          <w:szCs w:val="21"/>
          <w:lang w:val="en-AU"/>
        </w:rPr>
        <w:t xml:space="preserve">$30 million) multi-donor projects, complemented by flexible funds for </w:t>
      </w:r>
      <w:r w:rsidR="0092337A" w:rsidRPr="00433F80">
        <w:rPr>
          <w:color w:val="auto"/>
          <w:sz w:val="21"/>
          <w:szCs w:val="21"/>
          <w:lang w:val="en-AU"/>
        </w:rPr>
        <w:t xml:space="preserve">economic and social </w:t>
      </w:r>
      <w:r w:rsidR="00ED1A0F" w:rsidRPr="00433F80">
        <w:rPr>
          <w:color w:val="auto"/>
          <w:sz w:val="21"/>
          <w:szCs w:val="21"/>
          <w:lang w:val="en-AU"/>
        </w:rPr>
        <w:t xml:space="preserve">advice and </w:t>
      </w:r>
      <w:r w:rsidR="00095FF8" w:rsidRPr="00433F80">
        <w:rPr>
          <w:color w:val="auto"/>
          <w:sz w:val="21"/>
          <w:szCs w:val="21"/>
          <w:lang w:val="en-AU"/>
        </w:rPr>
        <w:t xml:space="preserve">analytics and Partnership </w:t>
      </w:r>
      <w:r w:rsidR="00E558AB" w:rsidRPr="00433F80">
        <w:rPr>
          <w:color w:val="auto"/>
          <w:sz w:val="21"/>
          <w:szCs w:val="21"/>
          <w:lang w:val="en-AU"/>
        </w:rPr>
        <w:t xml:space="preserve">management </w:t>
      </w:r>
      <w:r w:rsidR="00095FF8" w:rsidRPr="00433F80">
        <w:rPr>
          <w:color w:val="auto"/>
          <w:sz w:val="21"/>
          <w:szCs w:val="21"/>
          <w:lang w:val="en-AU"/>
        </w:rPr>
        <w:t>(</w:t>
      </w:r>
      <w:r w:rsidR="00040CE8" w:rsidRPr="00433F80">
        <w:rPr>
          <w:color w:val="auto"/>
          <w:sz w:val="21"/>
          <w:szCs w:val="21"/>
          <w:lang w:val="en-AU"/>
        </w:rPr>
        <w:t>up to</w:t>
      </w:r>
      <w:r w:rsidR="009F78E3" w:rsidRPr="00433F80">
        <w:rPr>
          <w:color w:val="auto"/>
          <w:sz w:val="21"/>
          <w:szCs w:val="21"/>
          <w:lang w:val="en-AU"/>
        </w:rPr>
        <w:t xml:space="preserve"> </w:t>
      </w:r>
      <w:r w:rsidR="00095FF8" w:rsidRPr="00433F80">
        <w:rPr>
          <w:color w:val="auto"/>
          <w:sz w:val="21"/>
          <w:szCs w:val="21"/>
          <w:lang w:val="en-AU"/>
        </w:rPr>
        <w:t xml:space="preserve">$5 million). </w:t>
      </w:r>
      <w:r w:rsidR="006C79A3" w:rsidRPr="00433F80">
        <w:rPr>
          <w:color w:val="auto"/>
          <w:sz w:val="21"/>
          <w:szCs w:val="21"/>
          <w:lang w:val="en-AU"/>
        </w:rPr>
        <w:t xml:space="preserve">Our </w:t>
      </w:r>
      <w:proofErr w:type="spellStart"/>
      <w:r w:rsidR="006C79A3" w:rsidRPr="00433F80">
        <w:rPr>
          <w:color w:val="auto"/>
          <w:sz w:val="21"/>
          <w:szCs w:val="21"/>
          <w:lang w:val="en-AU"/>
        </w:rPr>
        <w:t>IDPoor</w:t>
      </w:r>
      <w:proofErr w:type="spellEnd"/>
      <w:r w:rsidR="006C79A3" w:rsidRPr="00433F80">
        <w:rPr>
          <w:color w:val="auto"/>
          <w:sz w:val="21"/>
          <w:szCs w:val="21"/>
          <w:lang w:val="en-AU"/>
        </w:rPr>
        <w:t xml:space="preserve"> support program delivered through GIZ is due to conclude in </w:t>
      </w:r>
      <w:r w:rsidR="00E558AB" w:rsidRPr="00433F80">
        <w:rPr>
          <w:color w:val="auto"/>
          <w:sz w:val="21"/>
          <w:szCs w:val="21"/>
          <w:lang w:val="en-AU"/>
        </w:rPr>
        <w:t xml:space="preserve">April </w:t>
      </w:r>
      <w:r w:rsidR="006C79A3" w:rsidRPr="00433F80">
        <w:rPr>
          <w:color w:val="auto"/>
          <w:sz w:val="21"/>
          <w:szCs w:val="21"/>
          <w:lang w:val="en-AU"/>
        </w:rPr>
        <w:t>202</w:t>
      </w:r>
      <w:r w:rsidR="00E558AB" w:rsidRPr="00433F80">
        <w:rPr>
          <w:color w:val="auto"/>
          <w:sz w:val="21"/>
          <w:szCs w:val="21"/>
          <w:lang w:val="en-AU"/>
        </w:rPr>
        <w:t>2</w:t>
      </w:r>
      <w:r w:rsidR="006C79A3" w:rsidRPr="00433F80">
        <w:rPr>
          <w:color w:val="auto"/>
          <w:sz w:val="21"/>
          <w:szCs w:val="21"/>
          <w:lang w:val="en-AU"/>
        </w:rPr>
        <w:t>, and the Partnership also provides an avenue for DFAT to consider supporting further measures to strengthen the national social protection system.</w:t>
      </w:r>
    </w:p>
    <w:p w14:paraId="2274F865" w14:textId="28601513" w:rsidR="00E505B5" w:rsidRPr="00433F80" w:rsidRDefault="00A553D6" w:rsidP="005E6171">
      <w:pPr>
        <w:tabs>
          <w:tab w:val="left" w:pos="284"/>
        </w:tabs>
        <w:suppressAutoHyphens w:val="0"/>
        <w:spacing w:before="0" w:line="360" w:lineRule="auto"/>
        <w:rPr>
          <w:color w:val="auto"/>
          <w:sz w:val="21"/>
          <w:szCs w:val="21"/>
          <w:lang w:val="en-AU"/>
        </w:rPr>
      </w:pPr>
      <w:r w:rsidRPr="00433F80">
        <w:rPr>
          <w:color w:val="auto"/>
          <w:sz w:val="21"/>
          <w:szCs w:val="21"/>
          <w:lang w:val="en-AU"/>
        </w:rPr>
        <w:t xml:space="preserve">Germany and Switzerland are together contributing </w:t>
      </w:r>
      <w:r w:rsidR="007A1E0F" w:rsidRPr="00433F80">
        <w:rPr>
          <w:color w:val="auto"/>
          <w:sz w:val="21"/>
          <w:szCs w:val="21"/>
          <w:lang w:val="en-AU"/>
        </w:rPr>
        <w:t>USD</w:t>
      </w:r>
      <w:r w:rsidRPr="00433F80">
        <w:rPr>
          <w:color w:val="auto"/>
          <w:sz w:val="21"/>
          <w:szCs w:val="21"/>
          <w:lang w:val="en-AU"/>
        </w:rPr>
        <w:t>9.5 million to the</w:t>
      </w:r>
      <w:r w:rsidR="006731D5" w:rsidRPr="00433F80">
        <w:rPr>
          <w:color w:val="auto"/>
          <w:sz w:val="21"/>
          <w:szCs w:val="21"/>
          <w:lang w:val="en-AU"/>
        </w:rPr>
        <w:t xml:space="preserve"> World Bank-</w:t>
      </w:r>
      <w:r w:rsidR="00E505B5" w:rsidRPr="00433F80">
        <w:rPr>
          <w:color w:val="auto"/>
          <w:sz w:val="21"/>
          <w:szCs w:val="21"/>
          <w:lang w:val="en-AU"/>
        </w:rPr>
        <w:t>managed</w:t>
      </w:r>
      <w:r w:rsidRPr="00433F80">
        <w:rPr>
          <w:color w:val="auto"/>
          <w:sz w:val="21"/>
          <w:szCs w:val="21"/>
          <w:lang w:val="en-AU"/>
        </w:rPr>
        <w:t xml:space="preserve"> ISAF </w:t>
      </w:r>
      <w:r w:rsidR="00E505B5" w:rsidRPr="00433F80">
        <w:rPr>
          <w:color w:val="auto"/>
          <w:sz w:val="21"/>
          <w:szCs w:val="21"/>
          <w:lang w:val="en-AU"/>
        </w:rPr>
        <w:t xml:space="preserve">II multi donor trust fund (MDTF) which finances both </w:t>
      </w:r>
      <w:proofErr w:type="spellStart"/>
      <w:r w:rsidR="00E505B5" w:rsidRPr="00433F80">
        <w:rPr>
          <w:color w:val="auto"/>
          <w:sz w:val="21"/>
          <w:szCs w:val="21"/>
          <w:lang w:val="en-AU"/>
        </w:rPr>
        <w:t>MoI’s</w:t>
      </w:r>
      <w:proofErr w:type="spellEnd"/>
      <w:r w:rsidR="00E505B5" w:rsidRPr="00433F80">
        <w:rPr>
          <w:color w:val="auto"/>
          <w:sz w:val="21"/>
          <w:szCs w:val="21"/>
          <w:lang w:val="en-AU"/>
        </w:rPr>
        <w:t xml:space="preserve"> </w:t>
      </w:r>
      <w:r w:rsidR="00945148" w:rsidRPr="00433F80">
        <w:rPr>
          <w:color w:val="auto"/>
          <w:sz w:val="21"/>
          <w:szCs w:val="21"/>
          <w:lang w:val="en-AU"/>
        </w:rPr>
        <w:t>“</w:t>
      </w:r>
      <w:r w:rsidR="00E505B5" w:rsidRPr="00433F80">
        <w:rPr>
          <w:color w:val="auto"/>
          <w:sz w:val="21"/>
          <w:szCs w:val="21"/>
          <w:lang w:val="en-AU"/>
        </w:rPr>
        <w:t>supply-side</w:t>
      </w:r>
      <w:r w:rsidR="00945148" w:rsidRPr="00433F80">
        <w:rPr>
          <w:color w:val="auto"/>
          <w:sz w:val="21"/>
          <w:szCs w:val="21"/>
          <w:lang w:val="en-AU"/>
        </w:rPr>
        <w:t>”</w:t>
      </w:r>
      <w:r w:rsidR="00E505B5" w:rsidRPr="00433F80">
        <w:rPr>
          <w:color w:val="auto"/>
          <w:sz w:val="21"/>
          <w:szCs w:val="21"/>
          <w:lang w:val="en-AU"/>
        </w:rPr>
        <w:t xml:space="preserve"> activities to support subnational authorities to </w:t>
      </w:r>
      <w:r w:rsidR="00E505B5" w:rsidRPr="00433F80">
        <w:rPr>
          <w:color w:val="auto"/>
          <w:sz w:val="21"/>
          <w:szCs w:val="21"/>
          <w:lang w:val="en-AU"/>
        </w:rPr>
        <w:lastRenderedPageBreak/>
        <w:t xml:space="preserve">implement ISAF activities, as well as </w:t>
      </w:r>
      <w:r w:rsidR="00945148" w:rsidRPr="00433F80">
        <w:rPr>
          <w:color w:val="auto"/>
          <w:sz w:val="21"/>
          <w:szCs w:val="21"/>
          <w:lang w:val="en-AU"/>
        </w:rPr>
        <w:t>“</w:t>
      </w:r>
      <w:r w:rsidR="00E505B5" w:rsidRPr="00433F80">
        <w:rPr>
          <w:color w:val="auto"/>
          <w:sz w:val="21"/>
          <w:szCs w:val="21"/>
          <w:lang w:val="en-AU"/>
        </w:rPr>
        <w:t>demand side</w:t>
      </w:r>
      <w:r w:rsidR="00945148" w:rsidRPr="00433F80">
        <w:rPr>
          <w:color w:val="auto"/>
          <w:sz w:val="21"/>
          <w:szCs w:val="21"/>
          <w:lang w:val="en-AU"/>
        </w:rPr>
        <w:t>”</w:t>
      </w:r>
      <w:r w:rsidR="00E505B5" w:rsidRPr="00433F80">
        <w:rPr>
          <w:color w:val="auto"/>
          <w:sz w:val="21"/>
          <w:szCs w:val="21"/>
          <w:lang w:val="en-AU"/>
        </w:rPr>
        <w:t xml:space="preserve"> activities supported by civil society organisations</w:t>
      </w:r>
      <w:r w:rsidRPr="00433F80">
        <w:rPr>
          <w:color w:val="auto"/>
          <w:sz w:val="21"/>
          <w:szCs w:val="21"/>
          <w:lang w:val="en-AU"/>
        </w:rPr>
        <w:t xml:space="preserve"> </w:t>
      </w:r>
      <w:r w:rsidR="00E505B5" w:rsidRPr="00433F80">
        <w:rPr>
          <w:color w:val="auto"/>
          <w:sz w:val="21"/>
          <w:szCs w:val="21"/>
          <w:lang w:val="en-AU"/>
        </w:rPr>
        <w:t>in the community</w:t>
      </w:r>
      <w:r w:rsidRPr="00433F80">
        <w:rPr>
          <w:color w:val="auto"/>
          <w:sz w:val="21"/>
          <w:szCs w:val="21"/>
          <w:lang w:val="en-AU"/>
        </w:rPr>
        <w:t xml:space="preserve">. </w:t>
      </w:r>
    </w:p>
    <w:p w14:paraId="53880B7C" w14:textId="7D4EDCDB" w:rsidR="0024233A" w:rsidRPr="00433F80" w:rsidRDefault="0024233A" w:rsidP="005E6171">
      <w:pPr>
        <w:tabs>
          <w:tab w:val="left" w:pos="284"/>
        </w:tabs>
        <w:suppressAutoHyphens w:val="0"/>
        <w:spacing w:before="0" w:line="360" w:lineRule="auto"/>
        <w:rPr>
          <w:color w:val="auto"/>
          <w:sz w:val="21"/>
          <w:szCs w:val="21"/>
          <w:lang w:val="en-AU"/>
        </w:rPr>
      </w:pPr>
      <w:r w:rsidRPr="00433F80">
        <w:rPr>
          <w:color w:val="auto"/>
          <w:sz w:val="21"/>
          <w:szCs w:val="21"/>
          <w:lang w:val="en-AU"/>
        </w:rPr>
        <w:t xml:space="preserve">Following the success of H-EQIP, </w:t>
      </w:r>
      <w:r w:rsidR="00952EB6" w:rsidRPr="00433F80">
        <w:rPr>
          <w:color w:val="auto"/>
          <w:sz w:val="21"/>
          <w:szCs w:val="21"/>
          <w:lang w:val="en-AU"/>
        </w:rPr>
        <w:t>Germany (</w:t>
      </w:r>
      <w:r w:rsidR="0092337A" w:rsidRPr="00433F80">
        <w:rPr>
          <w:color w:val="auto"/>
          <w:sz w:val="21"/>
          <w:szCs w:val="21"/>
          <w:lang w:val="en-AU"/>
        </w:rPr>
        <w:t xml:space="preserve">indicatively </w:t>
      </w:r>
      <w:r w:rsidR="007A1E0F" w:rsidRPr="00433F80">
        <w:rPr>
          <w:color w:val="auto"/>
          <w:sz w:val="21"/>
          <w:szCs w:val="21"/>
          <w:lang w:val="en-AU"/>
        </w:rPr>
        <w:t>USD</w:t>
      </w:r>
      <w:r w:rsidR="0092337A" w:rsidRPr="00433F80">
        <w:rPr>
          <w:color w:val="auto"/>
          <w:sz w:val="21"/>
          <w:szCs w:val="21"/>
          <w:lang w:val="en-AU"/>
        </w:rPr>
        <w:t>20 million</w:t>
      </w:r>
      <w:r w:rsidR="00952EB6" w:rsidRPr="00433F80">
        <w:rPr>
          <w:color w:val="auto"/>
          <w:sz w:val="21"/>
          <w:szCs w:val="21"/>
          <w:lang w:val="en-AU"/>
        </w:rPr>
        <w:t>) and South Korea (</w:t>
      </w:r>
      <w:r w:rsidR="0092337A" w:rsidRPr="00433F80">
        <w:rPr>
          <w:color w:val="auto"/>
          <w:sz w:val="21"/>
          <w:szCs w:val="21"/>
          <w:lang w:val="en-AU"/>
        </w:rPr>
        <w:t xml:space="preserve">indicatively </w:t>
      </w:r>
      <w:r w:rsidR="007A1E0F" w:rsidRPr="00433F80">
        <w:rPr>
          <w:color w:val="auto"/>
          <w:sz w:val="21"/>
          <w:szCs w:val="21"/>
          <w:lang w:val="en-AU"/>
        </w:rPr>
        <w:t>USD</w:t>
      </w:r>
      <w:r w:rsidR="0092337A" w:rsidRPr="00433F80">
        <w:rPr>
          <w:color w:val="auto"/>
          <w:sz w:val="21"/>
          <w:szCs w:val="21"/>
          <w:lang w:val="en-AU"/>
        </w:rPr>
        <w:t>10 million</w:t>
      </w:r>
      <w:r w:rsidR="00952EB6" w:rsidRPr="00433F80">
        <w:rPr>
          <w:color w:val="auto"/>
          <w:sz w:val="21"/>
          <w:szCs w:val="21"/>
          <w:lang w:val="en-AU"/>
        </w:rPr>
        <w:t xml:space="preserve">) </w:t>
      </w:r>
      <w:r w:rsidR="0092337A" w:rsidRPr="00433F80">
        <w:rPr>
          <w:color w:val="auto"/>
          <w:sz w:val="21"/>
          <w:szCs w:val="21"/>
          <w:lang w:val="en-AU"/>
        </w:rPr>
        <w:t>a</w:t>
      </w:r>
      <w:r w:rsidR="00952EB6" w:rsidRPr="00433F80">
        <w:rPr>
          <w:color w:val="auto"/>
          <w:sz w:val="21"/>
          <w:szCs w:val="21"/>
          <w:lang w:val="en-AU"/>
        </w:rPr>
        <w:t xml:space="preserve">re </w:t>
      </w:r>
      <w:r w:rsidRPr="00433F80">
        <w:rPr>
          <w:color w:val="auto"/>
          <w:sz w:val="21"/>
          <w:szCs w:val="21"/>
          <w:lang w:val="en-AU"/>
        </w:rPr>
        <w:t xml:space="preserve">both </w:t>
      </w:r>
      <w:r w:rsidR="00952EB6" w:rsidRPr="00433F80">
        <w:rPr>
          <w:color w:val="auto"/>
          <w:sz w:val="21"/>
          <w:szCs w:val="21"/>
          <w:lang w:val="en-AU"/>
        </w:rPr>
        <w:t xml:space="preserve">intending to </w:t>
      </w:r>
      <w:r w:rsidRPr="00433F80">
        <w:rPr>
          <w:color w:val="auto"/>
          <w:sz w:val="21"/>
          <w:szCs w:val="21"/>
          <w:lang w:val="en-AU"/>
        </w:rPr>
        <w:t xml:space="preserve">extend their </w:t>
      </w:r>
      <w:r w:rsidR="00952EB6" w:rsidRPr="00433F80">
        <w:rPr>
          <w:color w:val="auto"/>
          <w:sz w:val="21"/>
          <w:szCs w:val="21"/>
          <w:lang w:val="en-AU"/>
        </w:rPr>
        <w:t xml:space="preserve">support </w:t>
      </w:r>
      <w:r w:rsidRPr="00433F80">
        <w:rPr>
          <w:color w:val="auto"/>
          <w:sz w:val="21"/>
          <w:szCs w:val="21"/>
          <w:lang w:val="en-AU"/>
        </w:rPr>
        <w:t xml:space="preserve">to </w:t>
      </w:r>
      <w:r w:rsidR="00952EB6" w:rsidRPr="00433F80">
        <w:rPr>
          <w:color w:val="auto"/>
          <w:sz w:val="21"/>
          <w:szCs w:val="21"/>
          <w:lang w:val="en-AU"/>
        </w:rPr>
        <w:t xml:space="preserve">the next phase. The Cambodian Government </w:t>
      </w:r>
      <w:r w:rsidR="0092337A" w:rsidRPr="00433F80">
        <w:rPr>
          <w:color w:val="auto"/>
          <w:sz w:val="21"/>
          <w:szCs w:val="21"/>
          <w:lang w:val="en-AU"/>
        </w:rPr>
        <w:t xml:space="preserve">will </w:t>
      </w:r>
      <w:r w:rsidR="00952EB6" w:rsidRPr="00433F80">
        <w:rPr>
          <w:color w:val="auto"/>
          <w:sz w:val="21"/>
          <w:szCs w:val="21"/>
          <w:lang w:val="en-AU"/>
        </w:rPr>
        <w:t>contribute through an</w:t>
      </w:r>
      <w:r w:rsidR="00945148" w:rsidRPr="00433F80">
        <w:rPr>
          <w:color w:val="auto"/>
          <w:sz w:val="21"/>
          <w:szCs w:val="21"/>
          <w:lang w:val="en-AU"/>
        </w:rPr>
        <w:t xml:space="preserve"> International Development Association</w:t>
      </w:r>
      <w:r w:rsidR="00952EB6" w:rsidRPr="00433F80">
        <w:rPr>
          <w:color w:val="auto"/>
          <w:sz w:val="21"/>
          <w:szCs w:val="21"/>
          <w:lang w:val="en-AU"/>
        </w:rPr>
        <w:t xml:space="preserve"> </w:t>
      </w:r>
      <w:r w:rsidR="00945148" w:rsidRPr="00433F80">
        <w:rPr>
          <w:color w:val="auto"/>
          <w:sz w:val="21"/>
          <w:szCs w:val="21"/>
          <w:lang w:val="en-AU"/>
        </w:rPr>
        <w:t>(</w:t>
      </w:r>
      <w:r w:rsidR="00952EB6" w:rsidRPr="00433F80">
        <w:rPr>
          <w:color w:val="auto"/>
          <w:sz w:val="21"/>
          <w:szCs w:val="21"/>
          <w:lang w:val="en-AU"/>
        </w:rPr>
        <w:t>IDA</w:t>
      </w:r>
      <w:r w:rsidR="00945148" w:rsidRPr="00433F80">
        <w:rPr>
          <w:color w:val="auto"/>
          <w:sz w:val="21"/>
          <w:szCs w:val="21"/>
          <w:lang w:val="en-AU"/>
        </w:rPr>
        <w:t>)</w:t>
      </w:r>
      <w:r w:rsidR="00952EB6" w:rsidRPr="00433F80">
        <w:rPr>
          <w:color w:val="auto"/>
          <w:sz w:val="21"/>
          <w:szCs w:val="21"/>
          <w:lang w:val="en-AU"/>
        </w:rPr>
        <w:t xml:space="preserve"> loan arrangement, meaning our engagement in H-EQIP 2 </w:t>
      </w:r>
      <w:r w:rsidR="0092337A" w:rsidRPr="00433F80">
        <w:rPr>
          <w:color w:val="auto"/>
          <w:sz w:val="21"/>
          <w:szCs w:val="21"/>
          <w:lang w:val="en-AU"/>
        </w:rPr>
        <w:t xml:space="preserve">will </w:t>
      </w:r>
      <w:r w:rsidR="00952EB6" w:rsidRPr="00433F80">
        <w:rPr>
          <w:color w:val="auto"/>
          <w:sz w:val="21"/>
          <w:szCs w:val="21"/>
          <w:lang w:val="en-AU"/>
        </w:rPr>
        <w:t>give us the ability to influence a significantly larger pool of financing</w:t>
      </w:r>
      <w:r w:rsidR="0092337A" w:rsidRPr="00433F80">
        <w:rPr>
          <w:color w:val="auto"/>
          <w:sz w:val="21"/>
          <w:szCs w:val="21"/>
          <w:lang w:val="en-AU"/>
        </w:rPr>
        <w:t xml:space="preserve"> (just as it has with the current phase, which will run until June 2022)</w:t>
      </w:r>
      <w:r w:rsidR="00952EB6" w:rsidRPr="00433F80">
        <w:rPr>
          <w:color w:val="auto"/>
          <w:sz w:val="21"/>
          <w:szCs w:val="21"/>
          <w:lang w:val="en-AU"/>
        </w:rPr>
        <w:t xml:space="preserve">. </w:t>
      </w:r>
    </w:p>
    <w:p w14:paraId="5531AA70" w14:textId="42B69218" w:rsidR="001E3FF1" w:rsidRPr="00433F80" w:rsidRDefault="007D6F7C" w:rsidP="005E6171">
      <w:pPr>
        <w:tabs>
          <w:tab w:val="left" w:pos="284"/>
        </w:tabs>
        <w:suppressAutoHyphens w:val="0"/>
        <w:spacing w:before="0" w:line="360" w:lineRule="auto"/>
        <w:rPr>
          <w:color w:val="auto"/>
          <w:sz w:val="21"/>
          <w:szCs w:val="21"/>
          <w:lang w:val="en-AU"/>
        </w:rPr>
      </w:pPr>
      <w:r w:rsidRPr="00433F80">
        <w:rPr>
          <w:color w:val="auto"/>
          <w:sz w:val="21"/>
          <w:szCs w:val="21"/>
          <w:lang w:val="en-AU"/>
        </w:rPr>
        <w:t>Australia</w:t>
      </w:r>
      <w:r w:rsidR="00531AA1" w:rsidRPr="00433F80">
        <w:rPr>
          <w:color w:val="auto"/>
          <w:sz w:val="21"/>
          <w:szCs w:val="21"/>
          <w:lang w:val="en-AU"/>
        </w:rPr>
        <w:t xml:space="preserve"> </w:t>
      </w:r>
      <w:r w:rsidRPr="00433F80">
        <w:rPr>
          <w:color w:val="auto"/>
          <w:sz w:val="21"/>
          <w:szCs w:val="21"/>
          <w:lang w:val="en-AU"/>
        </w:rPr>
        <w:t>maintain</w:t>
      </w:r>
      <w:r w:rsidR="00531AA1" w:rsidRPr="00433F80">
        <w:rPr>
          <w:color w:val="auto"/>
          <w:sz w:val="21"/>
          <w:szCs w:val="21"/>
          <w:lang w:val="en-AU"/>
        </w:rPr>
        <w:t>s</w:t>
      </w:r>
      <w:r w:rsidRPr="00433F80">
        <w:rPr>
          <w:color w:val="auto"/>
          <w:sz w:val="21"/>
          <w:szCs w:val="21"/>
          <w:lang w:val="en-AU"/>
        </w:rPr>
        <w:t xml:space="preserve"> a strong reputation as a donor that invests in people and in the long-term human development of Cambodia</w:t>
      </w:r>
      <w:r w:rsidR="00945148" w:rsidRPr="00433F80">
        <w:rPr>
          <w:color w:val="auto"/>
          <w:sz w:val="21"/>
          <w:szCs w:val="21"/>
          <w:lang w:val="en-AU"/>
        </w:rPr>
        <w:t>.</w:t>
      </w:r>
      <w:r w:rsidRPr="00433F80">
        <w:rPr>
          <w:color w:val="auto"/>
          <w:sz w:val="21"/>
          <w:szCs w:val="21"/>
          <w:lang w:val="en-AU"/>
        </w:rPr>
        <w:t xml:space="preserve"> </w:t>
      </w:r>
      <w:r w:rsidR="00155765" w:rsidRPr="00433F80">
        <w:rPr>
          <w:color w:val="auto"/>
          <w:sz w:val="21"/>
          <w:szCs w:val="21"/>
          <w:lang w:val="en-AU"/>
        </w:rPr>
        <w:t xml:space="preserve">Assuming </w:t>
      </w:r>
      <w:r w:rsidR="00946978" w:rsidRPr="00433F80">
        <w:rPr>
          <w:color w:val="auto"/>
          <w:sz w:val="21"/>
          <w:szCs w:val="21"/>
          <w:lang w:val="en-AU"/>
        </w:rPr>
        <w:t xml:space="preserve">Australia’s </w:t>
      </w:r>
      <w:r w:rsidR="00155765" w:rsidRPr="00433F80">
        <w:rPr>
          <w:color w:val="auto"/>
          <w:sz w:val="21"/>
          <w:szCs w:val="21"/>
          <w:lang w:val="en-AU"/>
        </w:rPr>
        <w:t>aid budget allocations remain stable in coming years, the Partnership would constitute approximately 15% of Australia’s annual ODA to Cambodia and 23% of the bilateral program</w:t>
      </w:r>
      <w:r w:rsidR="00ED1A0F" w:rsidRPr="00433F80">
        <w:rPr>
          <w:color w:val="auto"/>
          <w:sz w:val="21"/>
          <w:szCs w:val="21"/>
          <w:lang w:val="en-AU"/>
        </w:rPr>
        <w:t xml:space="preserve"> – </w:t>
      </w:r>
      <w:r w:rsidR="00F2653B" w:rsidRPr="00433F80">
        <w:rPr>
          <w:color w:val="auto"/>
          <w:sz w:val="21"/>
          <w:szCs w:val="21"/>
          <w:lang w:val="en-AU"/>
        </w:rPr>
        <w:t>enough to maintain this reputation</w:t>
      </w:r>
      <w:r w:rsidR="006C79A3" w:rsidRPr="00433F80">
        <w:rPr>
          <w:color w:val="auto"/>
          <w:sz w:val="21"/>
          <w:szCs w:val="21"/>
          <w:lang w:val="en-AU"/>
        </w:rPr>
        <w:t xml:space="preserve">. </w:t>
      </w:r>
      <w:r w:rsidR="00F2653B" w:rsidRPr="00433F80">
        <w:rPr>
          <w:color w:val="auto"/>
          <w:sz w:val="21"/>
          <w:szCs w:val="21"/>
          <w:lang w:val="en-AU"/>
        </w:rPr>
        <w:t>T</w:t>
      </w:r>
      <w:r w:rsidR="005F6A50" w:rsidRPr="00433F80">
        <w:rPr>
          <w:color w:val="auto"/>
          <w:sz w:val="21"/>
          <w:szCs w:val="21"/>
          <w:lang w:val="en-AU"/>
        </w:rPr>
        <w:t xml:space="preserve">he investment would </w:t>
      </w:r>
      <w:r w:rsidR="00F2653B" w:rsidRPr="00433F80">
        <w:rPr>
          <w:color w:val="auto"/>
          <w:sz w:val="21"/>
          <w:szCs w:val="21"/>
          <w:lang w:val="en-AU"/>
        </w:rPr>
        <w:t xml:space="preserve">also solidify </w:t>
      </w:r>
      <w:r w:rsidR="005F6A50" w:rsidRPr="00433F80">
        <w:rPr>
          <w:color w:val="auto"/>
          <w:sz w:val="21"/>
          <w:szCs w:val="21"/>
          <w:lang w:val="en-AU"/>
        </w:rPr>
        <w:t xml:space="preserve">Australia’s status as </w:t>
      </w:r>
      <w:r w:rsidR="00946978" w:rsidRPr="00433F80">
        <w:rPr>
          <w:color w:val="auto"/>
          <w:sz w:val="21"/>
          <w:szCs w:val="21"/>
          <w:lang w:val="en-AU"/>
        </w:rPr>
        <w:t>a major</w:t>
      </w:r>
      <w:r w:rsidR="005F6A50" w:rsidRPr="00433F80">
        <w:rPr>
          <w:color w:val="auto"/>
          <w:sz w:val="21"/>
          <w:szCs w:val="21"/>
          <w:lang w:val="en-AU"/>
        </w:rPr>
        <w:t xml:space="preserve"> bilateral donor to the health sector and would also make us </w:t>
      </w:r>
      <w:r w:rsidR="00E505B5" w:rsidRPr="00433F80">
        <w:rPr>
          <w:color w:val="auto"/>
          <w:sz w:val="21"/>
          <w:szCs w:val="21"/>
          <w:lang w:val="en-AU"/>
        </w:rPr>
        <w:t xml:space="preserve">one of the </w:t>
      </w:r>
      <w:r w:rsidR="005F6A50" w:rsidRPr="00433F80">
        <w:rPr>
          <w:color w:val="auto"/>
          <w:sz w:val="21"/>
          <w:szCs w:val="21"/>
          <w:lang w:val="en-AU"/>
        </w:rPr>
        <w:t>largest</w:t>
      </w:r>
      <w:r w:rsidR="008D4CF8" w:rsidRPr="00433F80">
        <w:rPr>
          <w:color w:val="auto"/>
          <w:sz w:val="21"/>
          <w:szCs w:val="21"/>
          <w:lang w:val="en-AU"/>
        </w:rPr>
        <w:t xml:space="preserve"> financial</w:t>
      </w:r>
      <w:r w:rsidR="005F6A50" w:rsidRPr="00433F80">
        <w:rPr>
          <w:color w:val="auto"/>
          <w:sz w:val="21"/>
          <w:szCs w:val="21"/>
          <w:lang w:val="en-AU"/>
        </w:rPr>
        <w:t xml:space="preserve"> supporter</w:t>
      </w:r>
      <w:r w:rsidR="006731D5" w:rsidRPr="00433F80">
        <w:rPr>
          <w:color w:val="auto"/>
          <w:sz w:val="21"/>
          <w:szCs w:val="21"/>
          <w:lang w:val="en-AU"/>
        </w:rPr>
        <w:t>s</w:t>
      </w:r>
      <w:r w:rsidR="005F6A50" w:rsidRPr="00433F80">
        <w:rPr>
          <w:color w:val="auto"/>
          <w:sz w:val="21"/>
          <w:szCs w:val="21"/>
          <w:lang w:val="en-AU"/>
        </w:rPr>
        <w:t xml:space="preserve"> of </w:t>
      </w:r>
      <w:r w:rsidR="008D4CF8" w:rsidRPr="00433F80">
        <w:rPr>
          <w:color w:val="auto"/>
          <w:sz w:val="21"/>
          <w:szCs w:val="21"/>
          <w:lang w:val="en-AU"/>
        </w:rPr>
        <w:t>social accountability</w:t>
      </w:r>
      <w:r w:rsidR="00F2653B" w:rsidRPr="00433F80">
        <w:rPr>
          <w:color w:val="auto"/>
          <w:sz w:val="21"/>
          <w:szCs w:val="21"/>
          <w:lang w:val="en-AU"/>
        </w:rPr>
        <w:t xml:space="preserve"> and subnational democratic governance</w:t>
      </w:r>
      <w:r w:rsidR="008D4CF8" w:rsidRPr="00433F80">
        <w:rPr>
          <w:color w:val="auto"/>
          <w:sz w:val="21"/>
          <w:szCs w:val="21"/>
          <w:lang w:val="en-AU"/>
        </w:rPr>
        <w:t xml:space="preserve"> in Cambodia</w:t>
      </w:r>
      <w:r w:rsidR="005F6A50" w:rsidRPr="00433F80">
        <w:rPr>
          <w:color w:val="auto"/>
          <w:sz w:val="21"/>
          <w:szCs w:val="21"/>
          <w:lang w:val="en-AU"/>
        </w:rPr>
        <w:t>.</w:t>
      </w:r>
    </w:p>
    <w:p w14:paraId="1BFFFA94" w14:textId="14C18FB9" w:rsidR="002D4DE7" w:rsidRPr="00433F80" w:rsidRDefault="002D4DE7" w:rsidP="005E6171">
      <w:pPr>
        <w:numPr>
          <w:ilvl w:val="0"/>
          <w:numId w:val="11"/>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line="360" w:lineRule="auto"/>
        <w:ind w:left="284" w:hanging="284"/>
        <w:rPr>
          <w:rFonts w:asciiTheme="majorHAnsi" w:hAnsiTheme="majorHAnsi"/>
          <w:b/>
          <w:color w:val="auto"/>
          <w:szCs w:val="21"/>
          <w:lang w:val="en-AU"/>
        </w:rPr>
      </w:pPr>
      <w:r w:rsidRPr="00433F80">
        <w:rPr>
          <w:rFonts w:asciiTheme="majorHAnsi" w:hAnsiTheme="majorHAnsi"/>
          <w:b/>
          <w:color w:val="auto"/>
          <w:szCs w:val="21"/>
          <w:lang w:val="en-AU"/>
        </w:rPr>
        <w:t>Strategic Intent and Rationale (Why?)</w:t>
      </w:r>
    </w:p>
    <w:p w14:paraId="5D501AA8" w14:textId="15DE008C" w:rsidR="00421F18" w:rsidRPr="00433F80" w:rsidRDefault="00421F18" w:rsidP="005E6171">
      <w:pPr>
        <w:tabs>
          <w:tab w:val="left" w:pos="284"/>
        </w:tabs>
        <w:suppressAutoHyphens w:val="0"/>
        <w:spacing w:before="0" w:line="360" w:lineRule="auto"/>
        <w:rPr>
          <w:rFonts w:eastAsia="Times New Roman" w:cs="Arial"/>
          <w:color w:val="auto"/>
          <w:sz w:val="21"/>
          <w:szCs w:val="21"/>
          <w:lang w:val="en-AU" w:eastAsia="en-AU"/>
        </w:rPr>
      </w:pPr>
      <w:r w:rsidRPr="00433F80">
        <w:rPr>
          <w:rFonts w:eastAsia="Times New Roman" w:cs="Arial"/>
          <w:color w:val="auto"/>
          <w:sz w:val="21"/>
          <w:szCs w:val="21"/>
          <w:lang w:val="en-AU" w:eastAsia="en-AU"/>
        </w:rPr>
        <w:t xml:space="preserve">Investments in more sustainable and inclusive public services, with stronger government accountability for delivering these services, will deliver results under all three </w:t>
      </w:r>
      <w:r w:rsidRPr="00433F80">
        <w:rPr>
          <w:rFonts w:eastAsia="Times New Roman" w:cs="Arial"/>
          <w:b/>
          <w:i/>
          <w:color w:val="auto"/>
          <w:sz w:val="21"/>
          <w:szCs w:val="21"/>
          <w:lang w:val="en-AU" w:eastAsia="en-AU"/>
        </w:rPr>
        <w:t>Partnerships for Recovery</w:t>
      </w:r>
      <w:r w:rsidRPr="00433F80">
        <w:rPr>
          <w:rFonts w:eastAsia="Times New Roman" w:cs="Arial"/>
          <w:color w:val="auto"/>
          <w:sz w:val="21"/>
          <w:szCs w:val="21"/>
          <w:lang w:val="en-AU" w:eastAsia="en-AU"/>
        </w:rPr>
        <w:t xml:space="preserve"> key action areas: 1: Health security, 2: Stability, and 3</w:t>
      </w:r>
      <w:r w:rsidR="00C668FC" w:rsidRPr="00433F80">
        <w:rPr>
          <w:rFonts w:eastAsia="Times New Roman" w:cs="Arial"/>
          <w:color w:val="auto"/>
          <w:sz w:val="21"/>
          <w:szCs w:val="21"/>
          <w:lang w:val="en-AU" w:eastAsia="en-AU"/>
        </w:rPr>
        <w:t>:</w:t>
      </w:r>
      <w:r w:rsidRPr="00433F80">
        <w:rPr>
          <w:rFonts w:eastAsia="Times New Roman" w:cs="Arial"/>
          <w:color w:val="auto"/>
          <w:sz w:val="21"/>
          <w:szCs w:val="21"/>
          <w:lang w:val="en-AU" w:eastAsia="en-AU"/>
        </w:rPr>
        <w:t xml:space="preserve"> Economy recovery. </w:t>
      </w:r>
    </w:p>
    <w:p w14:paraId="651B8395" w14:textId="02C4CF80" w:rsidR="00421F18" w:rsidRPr="00433F80" w:rsidRDefault="00421F18" w:rsidP="005E6171">
      <w:pPr>
        <w:tabs>
          <w:tab w:val="left" w:pos="284"/>
        </w:tabs>
        <w:suppressAutoHyphens w:val="0"/>
        <w:spacing w:before="0" w:line="360" w:lineRule="auto"/>
        <w:rPr>
          <w:rFonts w:eastAsia="Times New Roman" w:cs="Arial"/>
          <w:color w:val="auto"/>
          <w:sz w:val="21"/>
          <w:szCs w:val="21"/>
          <w:lang w:val="en-AU" w:eastAsia="en-AU"/>
        </w:rPr>
      </w:pPr>
      <w:r w:rsidRPr="00433F80">
        <w:rPr>
          <w:rFonts w:eastAsia="Times New Roman" w:cs="Arial"/>
          <w:color w:val="auto"/>
          <w:sz w:val="21"/>
          <w:szCs w:val="21"/>
          <w:lang w:val="en-AU" w:eastAsia="en-AU"/>
        </w:rPr>
        <w:t xml:space="preserve">Australia </w:t>
      </w:r>
      <w:r w:rsidR="00832410" w:rsidRPr="00433F80">
        <w:rPr>
          <w:rFonts w:eastAsia="Times New Roman" w:cs="Arial"/>
          <w:color w:val="auto"/>
          <w:sz w:val="21"/>
          <w:szCs w:val="21"/>
          <w:lang w:val="en-AU" w:eastAsia="en-AU"/>
        </w:rPr>
        <w:t xml:space="preserve">can </w:t>
      </w:r>
      <w:r w:rsidRPr="00433F80">
        <w:rPr>
          <w:rFonts w:eastAsia="Times New Roman" w:cs="Arial"/>
          <w:color w:val="auto"/>
          <w:sz w:val="21"/>
          <w:szCs w:val="21"/>
          <w:lang w:val="en-AU" w:eastAsia="en-AU"/>
        </w:rPr>
        <w:t xml:space="preserve">invest in Cambodia’s health security, human development and stability by consolidating and better </w:t>
      </w:r>
      <w:r w:rsidRPr="00433F80">
        <w:rPr>
          <w:rFonts w:eastAsia="Times New Roman" w:cs="Arial"/>
          <w:b/>
          <w:color w:val="auto"/>
          <w:sz w:val="21"/>
          <w:szCs w:val="21"/>
          <w:lang w:val="en-AU" w:eastAsia="en-AU"/>
        </w:rPr>
        <w:t>leveraging our cooperation with the World Bank</w:t>
      </w:r>
      <w:r w:rsidRPr="00433F80">
        <w:rPr>
          <w:rFonts w:eastAsia="Times New Roman" w:cs="Arial"/>
          <w:color w:val="auto"/>
          <w:sz w:val="21"/>
          <w:szCs w:val="21"/>
          <w:lang w:val="en-AU" w:eastAsia="en-AU"/>
        </w:rPr>
        <w:t xml:space="preserve">. The World Bank is </w:t>
      </w:r>
      <w:r w:rsidR="006B2A02" w:rsidRPr="00433F80">
        <w:rPr>
          <w:rFonts w:eastAsia="Times New Roman" w:cs="Arial"/>
          <w:color w:val="auto"/>
          <w:sz w:val="21"/>
          <w:szCs w:val="21"/>
          <w:lang w:val="en-AU" w:eastAsia="en-AU"/>
        </w:rPr>
        <w:t>well placed</w:t>
      </w:r>
      <w:r w:rsidRPr="00433F80">
        <w:rPr>
          <w:rFonts w:eastAsia="Times New Roman" w:cs="Arial"/>
          <w:color w:val="auto"/>
          <w:sz w:val="21"/>
          <w:szCs w:val="21"/>
          <w:lang w:val="en-AU" w:eastAsia="en-AU"/>
        </w:rPr>
        <w:t xml:space="preserve"> to lead the implementation of this work with its </w:t>
      </w:r>
      <w:r w:rsidR="006B2A02" w:rsidRPr="00433F80">
        <w:rPr>
          <w:rFonts w:eastAsia="Times New Roman" w:cs="Arial"/>
          <w:color w:val="auto"/>
          <w:sz w:val="21"/>
          <w:szCs w:val="21"/>
          <w:lang w:val="en-AU" w:eastAsia="en-AU"/>
        </w:rPr>
        <w:t>technical expertise and track record</w:t>
      </w:r>
      <w:r w:rsidRPr="00433F80">
        <w:rPr>
          <w:rFonts w:eastAsia="Times New Roman" w:cs="Arial"/>
          <w:color w:val="auto"/>
          <w:sz w:val="21"/>
          <w:szCs w:val="21"/>
          <w:lang w:val="en-AU" w:eastAsia="en-AU"/>
        </w:rPr>
        <w:t xml:space="preserve"> in the health and accountability sectors, strong analytical capabilities, and ability to leverage support from other development partners and influence Cambodian Government spending. Australia’s record as a leading funder and proponent of health system and public financial management reform </w:t>
      </w:r>
      <w:r w:rsidR="00832410" w:rsidRPr="00433F80">
        <w:rPr>
          <w:rFonts w:eastAsia="Times New Roman" w:cs="Arial"/>
          <w:color w:val="auto"/>
          <w:sz w:val="21"/>
          <w:szCs w:val="21"/>
          <w:lang w:val="en-AU" w:eastAsia="en-AU"/>
        </w:rPr>
        <w:t xml:space="preserve">makes </w:t>
      </w:r>
      <w:r w:rsidRPr="00433F80">
        <w:rPr>
          <w:rFonts w:eastAsia="Times New Roman" w:cs="Arial"/>
          <w:color w:val="auto"/>
          <w:sz w:val="21"/>
          <w:szCs w:val="21"/>
          <w:lang w:val="en-AU" w:eastAsia="en-AU"/>
        </w:rPr>
        <w:t xml:space="preserve">us well </w:t>
      </w:r>
      <w:r w:rsidR="00832410" w:rsidRPr="00433F80">
        <w:rPr>
          <w:rFonts w:eastAsia="Times New Roman" w:cs="Arial"/>
          <w:color w:val="auto"/>
          <w:sz w:val="21"/>
          <w:szCs w:val="21"/>
          <w:lang w:val="en-AU" w:eastAsia="en-AU"/>
        </w:rPr>
        <w:t xml:space="preserve">placed </w:t>
      </w:r>
      <w:r w:rsidRPr="00433F80">
        <w:rPr>
          <w:rFonts w:eastAsia="Times New Roman" w:cs="Arial"/>
          <w:color w:val="auto"/>
          <w:sz w:val="21"/>
          <w:szCs w:val="21"/>
          <w:lang w:val="en-AU" w:eastAsia="en-AU"/>
        </w:rPr>
        <w:t xml:space="preserve">to deepen and expand this agenda through this Partnership, while providing an opportunity to drive an increased focus on Australia’s priority of gender equality and social inclusion.  </w:t>
      </w:r>
    </w:p>
    <w:p w14:paraId="6B93E230" w14:textId="1DF6506F" w:rsidR="00421F18" w:rsidRPr="00433F80" w:rsidRDefault="00421F18" w:rsidP="005E6171">
      <w:pPr>
        <w:tabs>
          <w:tab w:val="left" w:pos="284"/>
        </w:tabs>
        <w:suppressAutoHyphens w:val="0"/>
        <w:spacing w:before="0" w:line="360" w:lineRule="auto"/>
        <w:rPr>
          <w:rFonts w:eastAsia="Times New Roman" w:cs="Arial"/>
          <w:color w:val="auto"/>
          <w:sz w:val="21"/>
          <w:szCs w:val="21"/>
          <w:lang w:val="en-AU" w:eastAsia="en-AU"/>
        </w:rPr>
      </w:pPr>
      <w:r w:rsidRPr="00433F80">
        <w:rPr>
          <w:rFonts w:eastAsia="Times New Roman" w:cs="Arial"/>
          <w:color w:val="auto"/>
          <w:sz w:val="21"/>
          <w:szCs w:val="21"/>
          <w:lang w:val="en-AU" w:eastAsia="en-AU"/>
        </w:rPr>
        <w:t xml:space="preserve">An investment in a country-level partnership with the World Bank is consistent with development priorities for Southeast Asia (as outlined in the SED regional and Cambodian </w:t>
      </w:r>
      <w:r w:rsidRPr="00433F80">
        <w:rPr>
          <w:rFonts w:eastAsia="Times New Roman" w:cs="Arial"/>
          <w:b/>
          <w:color w:val="auto"/>
          <w:sz w:val="21"/>
          <w:szCs w:val="21"/>
          <w:lang w:val="en-AU" w:eastAsia="en-AU"/>
        </w:rPr>
        <w:t>COVID-19 Development Response Plans</w:t>
      </w:r>
      <w:r w:rsidRPr="00433F80">
        <w:rPr>
          <w:rFonts w:eastAsia="Times New Roman" w:cs="Arial"/>
          <w:color w:val="auto"/>
          <w:sz w:val="21"/>
          <w:szCs w:val="21"/>
          <w:lang w:val="en-AU" w:eastAsia="en-AU"/>
        </w:rPr>
        <w:t>). The flexibility and focus of the proposed Partnership means it can respond to vital needs in the short term while also positioning Cambodia to emerge with stronger service delivery systems and stability. This will contribute to poverty reduction</w:t>
      </w:r>
      <w:r w:rsidR="00F677B1" w:rsidRPr="00433F80">
        <w:rPr>
          <w:rFonts w:eastAsia="Times New Roman" w:cs="Arial"/>
          <w:color w:val="auto"/>
          <w:sz w:val="21"/>
          <w:szCs w:val="21"/>
          <w:lang w:val="en-AU" w:eastAsia="en-AU"/>
        </w:rPr>
        <w:t xml:space="preserve">, </w:t>
      </w:r>
      <w:r w:rsidRPr="00433F80">
        <w:rPr>
          <w:rFonts w:eastAsia="Times New Roman" w:cs="Arial"/>
          <w:color w:val="auto"/>
          <w:sz w:val="21"/>
          <w:szCs w:val="21"/>
          <w:lang w:val="en-AU" w:eastAsia="en-AU"/>
        </w:rPr>
        <w:t>enhance Cambodia’s human capital</w:t>
      </w:r>
      <w:r w:rsidR="00F677B1" w:rsidRPr="00433F80">
        <w:rPr>
          <w:rFonts w:eastAsia="Times New Roman" w:cs="Arial"/>
          <w:color w:val="auto"/>
          <w:sz w:val="21"/>
          <w:szCs w:val="21"/>
          <w:lang w:val="en-AU" w:eastAsia="en-AU"/>
        </w:rPr>
        <w:t xml:space="preserve"> and help reduce the “development gap” between Cambodia and wealthier Southeast Asian countries</w:t>
      </w:r>
      <w:r w:rsidRPr="00433F80">
        <w:rPr>
          <w:rFonts w:eastAsia="Times New Roman" w:cs="Arial"/>
          <w:color w:val="auto"/>
          <w:sz w:val="21"/>
          <w:szCs w:val="21"/>
          <w:lang w:val="en-AU" w:eastAsia="en-AU"/>
        </w:rPr>
        <w:t xml:space="preserve">, </w:t>
      </w:r>
      <w:r w:rsidR="00F677B1" w:rsidRPr="00433F80">
        <w:rPr>
          <w:rFonts w:eastAsia="Times New Roman" w:cs="Arial"/>
          <w:color w:val="auto"/>
          <w:sz w:val="21"/>
          <w:szCs w:val="21"/>
          <w:lang w:val="en-AU" w:eastAsia="en-AU"/>
        </w:rPr>
        <w:t xml:space="preserve">all of </w:t>
      </w:r>
      <w:r w:rsidRPr="00433F80">
        <w:rPr>
          <w:rFonts w:eastAsia="Times New Roman" w:cs="Arial"/>
          <w:color w:val="auto"/>
          <w:sz w:val="21"/>
          <w:szCs w:val="21"/>
          <w:lang w:val="en-AU" w:eastAsia="en-AU"/>
        </w:rPr>
        <w:t xml:space="preserve">which </w:t>
      </w:r>
      <w:r w:rsidR="00F677B1" w:rsidRPr="00433F80">
        <w:rPr>
          <w:rFonts w:eastAsia="Times New Roman" w:cs="Arial"/>
          <w:color w:val="auto"/>
          <w:sz w:val="21"/>
          <w:szCs w:val="21"/>
          <w:lang w:val="en-AU" w:eastAsia="en-AU"/>
        </w:rPr>
        <w:t xml:space="preserve">are </w:t>
      </w:r>
      <w:r w:rsidRPr="00433F80">
        <w:rPr>
          <w:rFonts w:eastAsia="Times New Roman" w:cs="Arial"/>
          <w:color w:val="auto"/>
          <w:sz w:val="21"/>
          <w:szCs w:val="21"/>
          <w:lang w:val="en-AU" w:eastAsia="en-AU"/>
        </w:rPr>
        <w:t xml:space="preserve">vital if the country is to seize the opportunities of the prosperous and open Indo-Pacific envisaged in the </w:t>
      </w:r>
      <w:r w:rsidRPr="00433F80">
        <w:rPr>
          <w:rFonts w:eastAsia="Times New Roman" w:cs="Arial"/>
          <w:bCs/>
          <w:color w:val="auto"/>
          <w:sz w:val="21"/>
          <w:szCs w:val="21"/>
          <w:lang w:val="en-AU" w:eastAsia="en-AU"/>
        </w:rPr>
        <w:t>Australian</w:t>
      </w:r>
      <w:r w:rsidRPr="00433F80">
        <w:rPr>
          <w:rFonts w:eastAsia="Times New Roman" w:cs="Arial"/>
          <w:b/>
          <w:color w:val="auto"/>
          <w:sz w:val="21"/>
          <w:szCs w:val="21"/>
          <w:lang w:val="en-AU" w:eastAsia="en-AU"/>
        </w:rPr>
        <w:t xml:space="preserve"> Foreign Policy White Paper</w:t>
      </w:r>
      <w:r w:rsidRPr="00433F80">
        <w:rPr>
          <w:rFonts w:eastAsia="Times New Roman" w:cs="Arial"/>
          <w:color w:val="auto"/>
          <w:sz w:val="21"/>
          <w:szCs w:val="21"/>
          <w:lang w:val="en-AU" w:eastAsia="en-AU"/>
        </w:rPr>
        <w:t>.</w:t>
      </w:r>
    </w:p>
    <w:p w14:paraId="5B378429" w14:textId="4A63AFF1" w:rsidR="003C3B6A" w:rsidRDefault="00421F18" w:rsidP="003C3B6A">
      <w:pPr>
        <w:tabs>
          <w:tab w:val="left" w:pos="284"/>
        </w:tabs>
        <w:suppressAutoHyphens w:val="0"/>
        <w:spacing w:before="0" w:line="360" w:lineRule="auto"/>
        <w:rPr>
          <w:rFonts w:eastAsia="Times New Roman" w:cs="Arial"/>
          <w:color w:val="auto"/>
          <w:sz w:val="21"/>
          <w:szCs w:val="21"/>
          <w:lang w:val="en-AU" w:eastAsia="en-AU"/>
        </w:rPr>
      </w:pPr>
      <w:r w:rsidRPr="00433F80">
        <w:rPr>
          <w:rFonts w:eastAsia="Times New Roman" w:cs="Arial"/>
          <w:color w:val="auto"/>
          <w:sz w:val="21"/>
          <w:szCs w:val="21"/>
          <w:lang w:val="en-AU" w:eastAsia="en-AU"/>
        </w:rPr>
        <w:t>An investment in improved public service delivery, stability and equality (gender</w:t>
      </w:r>
      <w:r w:rsidR="00ED1A0F" w:rsidRPr="00433F80">
        <w:rPr>
          <w:rFonts w:eastAsia="Times New Roman" w:cs="Arial"/>
          <w:color w:val="auto"/>
          <w:sz w:val="21"/>
          <w:szCs w:val="21"/>
          <w:lang w:val="en-AU" w:eastAsia="en-AU"/>
        </w:rPr>
        <w:t>, social</w:t>
      </w:r>
      <w:r w:rsidRPr="00433F80">
        <w:rPr>
          <w:rFonts w:eastAsia="Times New Roman" w:cs="Arial"/>
          <w:color w:val="auto"/>
          <w:sz w:val="21"/>
          <w:szCs w:val="21"/>
          <w:lang w:val="en-AU" w:eastAsia="en-AU"/>
        </w:rPr>
        <w:t xml:space="preserve"> and economic) would be consistent with the </w:t>
      </w:r>
      <w:r w:rsidRPr="00433F80">
        <w:rPr>
          <w:rFonts w:eastAsia="Times New Roman" w:cs="Arial"/>
          <w:b/>
          <w:color w:val="auto"/>
          <w:sz w:val="21"/>
          <w:szCs w:val="21"/>
          <w:lang w:val="en-AU" w:eastAsia="en-AU"/>
        </w:rPr>
        <w:t>four tests of Australian aid</w:t>
      </w:r>
      <w:r w:rsidRPr="00433F80">
        <w:rPr>
          <w:rFonts w:eastAsia="Times New Roman" w:cs="Arial"/>
          <w:color w:val="auto"/>
          <w:sz w:val="21"/>
          <w:szCs w:val="21"/>
          <w:lang w:val="en-AU" w:eastAsia="en-AU"/>
        </w:rPr>
        <w:t xml:space="preserve">. It is in Australia’s interest to support Cambodian institutions to provide greater protection for vulnerable or marginalised groups, and to </w:t>
      </w:r>
      <w:proofErr w:type="gramStart"/>
      <w:r w:rsidRPr="00433F80">
        <w:rPr>
          <w:rFonts w:eastAsia="Times New Roman" w:cs="Arial"/>
          <w:color w:val="auto"/>
          <w:sz w:val="21"/>
          <w:szCs w:val="21"/>
          <w:lang w:val="en-AU" w:eastAsia="en-AU"/>
        </w:rPr>
        <w:t>more effectively involve citizens</w:t>
      </w:r>
      <w:proofErr w:type="gramEnd"/>
      <w:r w:rsidRPr="00433F80">
        <w:rPr>
          <w:rFonts w:eastAsia="Times New Roman" w:cs="Arial"/>
          <w:color w:val="auto"/>
          <w:sz w:val="21"/>
          <w:szCs w:val="21"/>
          <w:lang w:val="en-AU" w:eastAsia="en-AU"/>
        </w:rPr>
        <w:t xml:space="preserve"> in </w:t>
      </w:r>
      <w:r w:rsidRPr="00433F80">
        <w:rPr>
          <w:rFonts w:eastAsia="Times New Roman" w:cs="Arial"/>
          <w:color w:val="auto"/>
          <w:sz w:val="21"/>
          <w:szCs w:val="21"/>
          <w:lang w:val="en-AU" w:eastAsia="en-AU"/>
        </w:rPr>
        <w:lastRenderedPageBreak/>
        <w:t>developing and implementing public programs. Through the Partnership approach, we can leverage and influence RGC and development partner funds, expand the use of performance-based funding models, and drive an enhanced focus on themes of most interest to us, including evidence-based policymaking and gender</w:t>
      </w:r>
      <w:r w:rsidR="00D13769" w:rsidRPr="00433F80">
        <w:rPr>
          <w:rFonts w:eastAsia="Times New Roman" w:cs="Arial"/>
          <w:color w:val="auto"/>
          <w:sz w:val="21"/>
          <w:szCs w:val="21"/>
          <w:lang w:val="en-AU" w:eastAsia="en-AU"/>
        </w:rPr>
        <w:t xml:space="preserve"> e</w:t>
      </w:r>
      <w:r w:rsidRPr="00433F80">
        <w:rPr>
          <w:rFonts w:eastAsia="Times New Roman" w:cs="Arial"/>
          <w:color w:val="auto"/>
          <w:sz w:val="21"/>
          <w:szCs w:val="21"/>
          <w:lang w:val="en-AU" w:eastAsia="en-AU"/>
        </w:rPr>
        <w:t>quality.</w:t>
      </w:r>
    </w:p>
    <w:p w14:paraId="52E8090A" w14:textId="77777777" w:rsidR="002D4DE7" w:rsidRPr="00433F80" w:rsidRDefault="002D4DE7" w:rsidP="005E6171">
      <w:pPr>
        <w:numPr>
          <w:ilvl w:val="0"/>
          <w:numId w:val="11"/>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line="360" w:lineRule="auto"/>
        <w:ind w:left="284" w:hanging="284"/>
        <w:rPr>
          <w:rFonts w:asciiTheme="majorHAnsi" w:hAnsiTheme="majorHAnsi"/>
          <w:b/>
          <w:color w:val="auto"/>
          <w:szCs w:val="21"/>
          <w:lang w:val="en-AU"/>
        </w:rPr>
      </w:pPr>
      <w:r w:rsidRPr="00433F80">
        <w:rPr>
          <w:rFonts w:asciiTheme="majorHAnsi" w:hAnsiTheme="majorHAnsi"/>
          <w:b/>
          <w:color w:val="auto"/>
          <w:szCs w:val="21"/>
          <w:lang w:val="en-AU"/>
        </w:rPr>
        <w:t>Proposed Outcomes and Investment Options (What?)</w:t>
      </w:r>
    </w:p>
    <w:p w14:paraId="07EECBF6" w14:textId="27A99C40" w:rsidR="00AC628A" w:rsidRPr="00433F80" w:rsidRDefault="00B648AE" w:rsidP="005E6171">
      <w:pPr>
        <w:tabs>
          <w:tab w:val="left" w:pos="284"/>
        </w:tabs>
        <w:suppressAutoHyphens w:val="0"/>
        <w:spacing w:before="0" w:line="360" w:lineRule="auto"/>
        <w:rPr>
          <w:rFonts w:cs="Arial"/>
          <w:color w:val="auto"/>
          <w:sz w:val="21"/>
          <w:szCs w:val="21"/>
          <w:lang w:val="en-AU" w:eastAsia="en-AU"/>
        </w:rPr>
      </w:pPr>
      <w:r w:rsidRPr="00433F80">
        <w:rPr>
          <w:rFonts w:cs="Arial"/>
          <w:color w:val="auto"/>
          <w:sz w:val="21"/>
          <w:szCs w:val="21"/>
          <w:lang w:val="en-AU" w:eastAsia="en-AU"/>
        </w:rPr>
        <w:t>The Australia-World Bank P</w:t>
      </w:r>
      <w:r w:rsidR="00AC628A" w:rsidRPr="00433F80">
        <w:rPr>
          <w:rFonts w:cs="Arial"/>
          <w:color w:val="auto"/>
          <w:sz w:val="21"/>
          <w:szCs w:val="21"/>
          <w:lang w:val="en-AU" w:eastAsia="en-AU"/>
        </w:rPr>
        <w:t>artnership</w:t>
      </w:r>
      <w:r w:rsidRPr="00433F80">
        <w:rPr>
          <w:rFonts w:cs="Arial"/>
          <w:color w:val="auto"/>
          <w:sz w:val="21"/>
          <w:szCs w:val="21"/>
          <w:lang w:val="en-AU" w:eastAsia="en-AU"/>
        </w:rPr>
        <w:t xml:space="preserve"> </w:t>
      </w:r>
      <w:r w:rsidR="006B6E82" w:rsidRPr="00433F80">
        <w:rPr>
          <w:rFonts w:cs="Arial"/>
          <w:color w:val="auto"/>
          <w:sz w:val="21"/>
          <w:szCs w:val="21"/>
          <w:lang w:val="en-AU" w:eastAsia="en-AU"/>
        </w:rPr>
        <w:t xml:space="preserve">Trust Fund </w:t>
      </w:r>
      <w:r w:rsidRPr="00433F80">
        <w:rPr>
          <w:rFonts w:cs="Arial"/>
          <w:color w:val="auto"/>
          <w:sz w:val="21"/>
          <w:szCs w:val="21"/>
          <w:lang w:val="en-AU" w:eastAsia="en-AU"/>
        </w:rPr>
        <w:t>has an overarching goal</w:t>
      </w:r>
      <w:r w:rsidR="00AC628A" w:rsidRPr="00433F80">
        <w:rPr>
          <w:rFonts w:cs="Arial"/>
          <w:color w:val="auto"/>
          <w:sz w:val="21"/>
          <w:szCs w:val="21"/>
          <w:lang w:val="en-AU" w:eastAsia="en-AU"/>
        </w:rPr>
        <w:t xml:space="preserve">: </w:t>
      </w:r>
      <w:r w:rsidR="006B6E82" w:rsidRPr="00433F80">
        <w:rPr>
          <w:rFonts w:cs="Arial"/>
          <w:color w:val="auto"/>
          <w:sz w:val="21"/>
          <w:szCs w:val="21"/>
          <w:lang w:val="en-AU" w:eastAsia="en-AU"/>
        </w:rPr>
        <w:t>“To p</w:t>
      </w:r>
      <w:r w:rsidRPr="00433F80">
        <w:rPr>
          <w:rFonts w:cs="Arial"/>
          <w:color w:val="auto"/>
          <w:sz w:val="21"/>
          <w:szCs w:val="21"/>
          <w:lang w:val="en-AU" w:eastAsia="en-AU"/>
        </w:rPr>
        <w:t>rovide a platform for collaboration to strengthen the sustainability and inclusiveness of public services, economic opportunities and COVID-19 recovery in Cambodia.”</w:t>
      </w:r>
      <w:r w:rsidR="00FE668A" w:rsidRPr="00433F80">
        <w:rPr>
          <w:rFonts w:cs="Arial"/>
          <w:color w:val="auto"/>
          <w:sz w:val="21"/>
          <w:szCs w:val="21"/>
          <w:lang w:val="en-AU" w:eastAsia="en-AU"/>
        </w:rPr>
        <w:t xml:space="preserve"> </w:t>
      </w:r>
      <w:r w:rsidR="00F730C9" w:rsidRPr="00433F80">
        <w:rPr>
          <w:rFonts w:cs="Arial"/>
          <w:color w:val="auto"/>
          <w:sz w:val="21"/>
          <w:szCs w:val="21"/>
          <w:lang w:val="en-AU" w:eastAsia="en-AU"/>
        </w:rPr>
        <w:t xml:space="preserve">Key </w:t>
      </w:r>
      <w:r w:rsidR="00B80D38" w:rsidRPr="00433F80">
        <w:rPr>
          <w:rFonts w:cs="Arial"/>
          <w:color w:val="auto"/>
          <w:sz w:val="21"/>
          <w:szCs w:val="21"/>
          <w:lang w:val="en-AU" w:eastAsia="en-AU"/>
        </w:rPr>
        <w:t xml:space="preserve">end-of-Partnership </w:t>
      </w:r>
      <w:r w:rsidR="009145B6" w:rsidRPr="00433F80">
        <w:rPr>
          <w:rFonts w:cs="Arial"/>
          <w:color w:val="auto"/>
          <w:sz w:val="21"/>
          <w:szCs w:val="21"/>
          <w:lang w:val="en-AU" w:eastAsia="en-AU"/>
        </w:rPr>
        <w:t>outcomes</w:t>
      </w:r>
      <w:r w:rsidR="00F730C9" w:rsidRPr="00433F80">
        <w:rPr>
          <w:rFonts w:cs="Arial"/>
          <w:color w:val="auto"/>
          <w:sz w:val="21"/>
          <w:szCs w:val="21"/>
          <w:lang w:val="en-AU" w:eastAsia="en-AU"/>
        </w:rPr>
        <w:t xml:space="preserve"> </w:t>
      </w:r>
      <w:r w:rsidR="00B80D38" w:rsidRPr="00433F80">
        <w:rPr>
          <w:rFonts w:cs="Arial"/>
          <w:color w:val="auto"/>
          <w:sz w:val="21"/>
          <w:szCs w:val="21"/>
          <w:lang w:val="en-AU" w:eastAsia="en-AU"/>
        </w:rPr>
        <w:t>are as follows</w:t>
      </w:r>
      <w:r w:rsidR="00F730C9" w:rsidRPr="00433F80">
        <w:rPr>
          <w:rFonts w:cs="Arial"/>
          <w:color w:val="auto"/>
          <w:sz w:val="21"/>
          <w:szCs w:val="21"/>
          <w:lang w:val="en-AU" w:eastAsia="en-AU"/>
        </w:rPr>
        <w:t xml:space="preserve">: </w:t>
      </w:r>
    </w:p>
    <w:p w14:paraId="278F7291" w14:textId="2E8CD990" w:rsidR="00F730C9" w:rsidRPr="00433F80" w:rsidRDefault="005428E5" w:rsidP="005E6171">
      <w:pPr>
        <w:pStyle w:val="NumberedList1"/>
        <w:spacing w:line="360" w:lineRule="auto"/>
        <w:rPr>
          <w:color w:val="auto"/>
          <w:lang w:val="en-AU" w:eastAsia="en-AU"/>
        </w:rPr>
      </w:pPr>
      <w:r w:rsidRPr="00433F80">
        <w:rPr>
          <w:color w:val="auto"/>
          <w:lang w:val="en-AU" w:eastAsia="en-AU"/>
        </w:rPr>
        <w:t>Public systems are strengthened and are delivering better quality services that benefit the poorest Cambodians, women and people with disabilities</w:t>
      </w:r>
      <w:r w:rsidR="00F730C9" w:rsidRPr="00433F80">
        <w:rPr>
          <w:color w:val="auto"/>
          <w:lang w:val="en-AU" w:eastAsia="en-AU"/>
        </w:rPr>
        <w:t>.</w:t>
      </w:r>
    </w:p>
    <w:p w14:paraId="6BF8BADB" w14:textId="6E8E373B" w:rsidR="005428E5" w:rsidRPr="00433F80" w:rsidRDefault="005428E5" w:rsidP="005E6171">
      <w:pPr>
        <w:pStyle w:val="NumberedList1"/>
        <w:spacing w:line="360" w:lineRule="auto"/>
        <w:rPr>
          <w:color w:val="auto"/>
          <w:lang w:val="en-AU" w:eastAsia="en-AU"/>
        </w:rPr>
      </w:pPr>
      <w:r w:rsidRPr="00433F80">
        <w:rPr>
          <w:color w:val="auto"/>
          <w:lang w:val="en-AU" w:eastAsia="en-AU"/>
        </w:rPr>
        <w:t xml:space="preserve">The performance of public service providers is improved through enhanced transparency, strengthened citizen engagement and responsive action that supports the </w:t>
      </w:r>
      <w:r w:rsidR="0004640F" w:rsidRPr="00433F80">
        <w:rPr>
          <w:color w:val="auto"/>
          <w:lang w:val="en-AU" w:eastAsia="en-AU"/>
        </w:rPr>
        <w:t xml:space="preserve">fulfilment </w:t>
      </w:r>
      <w:r w:rsidRPr="00433F80">
        <w:rPr>
          <w:color w:val="auto"/>
          <w:lang w:val="en-AU" w:eastAsia="en-AU"/>
        </w:rPr>
        <w:t>of basic rights in Cambodia.</w:t>
      </w:r>
    </w:p>
    <w:p w14:paraId="50A8FEB7" w14:textId="39244130" w:rsidR="005428E5" w:rsidRPr="00433F80" w:rsidRDefault="005428E5" w:rsidP="005E6171">
      <w:pPr>
        <w:pStyle w:val="NumberedList1"/>
        <w:spacing w:line="360" w:lineRule="auto"/>
        <w:rPr>
          <w:color w:val="auto"/>
          <w:lang w:val="en-AU" w:eastAsia="en-AU"/>
        </w:rPr>
      </w:pPr>
      <w:r w:rsidRPr="00433F80">
        <w:rPr>
          <w:color w:val="auto"/>
          <w:lang w:val="en-AU" w:eastAsia="en-AU"/>
        </w:rPr>
        <w:t>Cambodian public policy and World Bank and DFAT investment operations are better informed by research, analysis and advice</w:t>
      </w:r>
      <w:r w:rsidR="008D4CF8" w:rsidRPr="00433F80">
        <w:rPr>
          <w:color w:val="auto"/>
          <w:lang w:val="en-AU" w:eastAsia="en-AU"/>
        </w:rPr>
        <w:t>, including contributions that aim to improve gender equality and social inclusion</w:t>
      </w:r>
      <w:r w:rsidRPr="00433F80">
        <w:rPr>
          <w:color w:val="auto"/>
          <w:lang w:val="en-AU" w:eastAsia="en-AU"/>
        </w:rPr>
        <w:t>.</w:t>
      </w:r>
    </w:p>
    <w:p w14:paraId="69F22FE6" w14:textId="71214E0C" w:rsidR="0004640F" w:rsidRPr="00433F80" w:rsidRDefault="0004640F" w:rsidP="005E6171">
      <w:pPr>
        <w:tabs>
          <w:tab w:val="left" w:pos="284"/>
        </w:tabs>
        <w:suppressAutoHyphens w:val="0"/>
        <w:spacing w:before="0" w:line="360" w:lineRule="auto"/>
        <w:rPr>
          <w:rFonts w:cs="Arial"/>
          <w:color w:val="auto"/>
          <w:sz w:val="21"/>
          <w:szCs w:val="21"/>
          <w:lang w:val="en-AU" w:eastAsia="en-AU"/>
        </w:rPr>
      </w:pPr>
      <w:r w:rsidRPr="00433F80">
        <w:rPr>
          <w:rFonts w:cs="Arial"/>
          <w:color w:val="auto"/>
          <w:sz w:val="21"/>
          <w:szCs w:val="21"/>
          <w:lang w:val="en-AU" w:eastAsia="en-AU"/>
        </w:rPr>
        <w:t>The Partnership will achieve these outcomes by investing in, respectively:</w:t>
      </w:r>
    </w:p>
    <w:tbl>
      <w:tblPr>
        <w:tblStyle w:val="TableGrid"/>
        <w:tblW w:w="9969" w:type="dxa"/>
        <w:tblLook w:val="04A0" w:firstRow="1" w:lastRow="0" w:firstColumn="1" w:lastColumn="0" w:noHBand="0" w:noVBand="1"/>
      </w:tblPr>
      <w:tblGrid>
        <w:gridCol w:w="1531"/>
        <w:gridCol w:w="1725"/>
        <w:gridCol w:w="6713"/>
      </w:tblGrid>
      <w:tr w:rsidR="00433F80" w:rsidRPr="00433F80" w14:paraId="60481009" w14:textId="77777777" w:rsidTr="003C3B6A">
        <w:trPr>
          <w:trHeight w:val="296"/>
          <w:tblHeader/>
        </w:trPr>
        <w:tc>
          <w:tcPr>
            <w:tcW w:w="1531" w:type="dxa"/>
            <w:shd w:val="clear" w:color="auto" w:fill="F2F2F2" w:themeFill="background1" w:themeFillShade="F2"/>
            <w:vAlign w:val="center"/>
          </w:tcPr>
          <w:p w14:paraId="6359324F" w14:textId="77777777" w:rsidR="000D038D" w:rsidRPr="00433F80" w:rsidRDefault="000D038D" w:rsidP="005E6171">
            <w:pPr>
              <w:spacing w:before="60" w:line="360" w:lineRule="auto"/>
              <w:jc w:val="center"/>
              <w:rPr>
                <w:b/>
                <w:color w:val="auto"/>
                <w:sz w:val="20"/>
                <w:szCs w:val="20"/>
              </w:rPr>
            </w:pPr>
            <w:r w:rsidRPr="00433F80">
              <w:rPr>
                <w:b/>
                <w:color w:val="auto"/>
                <w:sz w:val="20"/>
                <w:szCs w:val="20"/>
              </w:rPr>
              <w:t>Component</w:t>
            </w:r>
          </w:p>
        </w:tc>
        <w:tc>
          <w:tcPr>
            <w:tcW w:w="1725" w:type="dxa"/>
            <w:shd w:val="clear" w:color="auto" w:fill="F2F2F2" w:themeFill="background1" w:themeFillShade="F2"/>
          </w:tcPr>
          <w:p w14:paraId="51FE35BF" w14:textId="3B93D198" w:rsidR="000D038D" w:rsidRPr="00433F80" w:rsidRDefault="00DF08B8" w:rsidP="005E6171">
            <w:pPr>
              <w:spacing w:before="60" w:line="360" w:lineRule="auto"/>
              <w:jc w:val="center"/>
              <w:rPr>
                <w:b/>
                <w:color w:val="auto"/>
                <w:sz w:val="20"/>
                <w:szCs w:val="20"/>
              </w:rPr>
            </w:pPr>
            <w:r w:rsidRPr="00433F80">
              <w:rPr>
                <w:b/>
                <w:color w:val="auto"/>
                <w:sz w:val="20"/>
                <w:szCs w:val="20"/>
              </w:rPr>
              <w:t>Project t</w:t>
            </w:r>
            <w:r w:rsidR="000D038D" w:rsidRPr="00433F80">
              <w:rPr>
                <w:b/>
                <w:color w:val="auto"/>
                <w:sz w:val="20"/>
                <w:szCs w:val="20"/>
              </w:rPr>
              <w:t>ype</w:t>
            </w:r>
          </w:p>
        </w:tc>
        <w:tc>
          <w:tcPr>
            <w:tcW w:w="6713" w:type="dxa"/>
            <w:shd w:val="clear" w:color="auto" w:fill="F2F2F2" w:themeFill="background1" w:themeFillShade="F2"/>
            <w:vAlign w:val="center"/>
          </w:tcPr>
          <w:p w14:paraId="462BB1CE" w14:textId="40578631" w:rsidR="000D038D" w:rsidRPr="00433F80" w:rsidRDefault="000D038D" w:rsidP="005E6171">
            <w:pPr>
              <w:spacing w:before="60" w:line="360" w:lineRule="auto"/>
              <w:jc w:val="center"/>
              <w:rPr>
                <w:b/>
                <w:color w:val="auto"/>
                <w:sz w:val="20"/>
                <w:szCs w:val="20"/>
              </w:rPr>
            </w:pPr>
            <w:r w:rsidRPr="00433F80">
              <w:rPr>
                <w:b/>
                <w:color w:val="auto"/>
                <w:sz w:val="20"/>
                <w:szCs w:val="20"/>
              </w:rPr>
              <w:t>Description</w:t>
            </w:r>
          </w:p>
        </w:tc>
      </w:tr>
      <w:tr w:rsidR="00433F80" w:rsidRPr="00433F80" w14:paraId="27CCA053" w14:textId="77777777" w:rsidTr="00E603AD">
        <w:tc>
          <w:tcPr>
            <w:tcW w:w="1531" w:type="dxa"/>
          </w:tcPr>
          <w:p w14:paraId="4F4672FB" w14:textId="6EF87610" w:rsidR="00EF0B47" w:rsidRPr="00433F80" w:rsidRDefault="00DF08B8" w:rsidP="005E6171">
            <w:pPr>
              <w:tabs>
                <w:tab w:val="left" w:pos="284"/>
              </w:tabs>
              <w:suppressAutoHyphens w:val="0"/>
              <w:spacing w:before="0" w:line="360" w:lineRule="auto"/>
              <w:jc w:val="center"/>
              <w:rPr>
                <w:rFonts w:eastAsia="Times New Roman" w:cs="Arial"/>
                <w:b/>
                <w:color w:val="auto"/>
                <w:sz w:val="18"/>
                <w:szCs w:val="18"/>
                <w:lang w:val="en-AU" w:eastAsia="en-AU"/>
              </w:rPr>
            </w:pPr>
            <w:r w:rsidRPr="00433F80">
              <w:rPr>
                <w:rFonts w:eastAsia="Times New Roman" w:cs="Arial"/>
                <w:b/>
                <w:color w:val="auto"/>
                <w:sz w:val="18"/>
                <w:szCs w:val="18"/>
                <w:lang w:val="en-AU" w:eastAsia="en-AU"/>
              </w:rPr>
              <w:t xml:space="preserve">1. Health Equity and Quality Improvement Project </w:t>
            </w:r>
            <w:r w:rsidR="00EF0B47" w:rsidRPr="00433F80">
              <w:rPr>
                <w:rFonts w:eastAsia="Times New Roman" w:cs="Arial"/>
                <w:b/>
                <w:color w:val="auto"/>
                <w:sz w:val="18"/>
                <w:szCs w:val="18"/>
                <w:lang w:val="en-AU" w:eastAsia="en-AU"/>
              </w:rPr>
              <w:t>Phase 2</w:t>
            </w:r>
          </w:p>
          <w:p w14:paraId="479C1325" w14:textId="12935D4A" w:rsidR="00DF08B8" w:rsidRPr="00433F80" w:rsidRDefault="00DF08B8" w:rsidP="005E6171">
            <w:pPr>
              <w:tabs>
                <w:tab w:val="left" w:pos="284"/>
              </w:tabs>
              <w:suppressAutoHyphens w:val="0"/>
              <w:spacing w:before="0" w:line="360" w:lineRule="auto"/>
              <w:jc w:val="center"/>
              <w:rPr>
                <w:rFonts w:eastAsia="Times New Roman" w:cs="Arial"/>
                <w:b/>
                <w:color w:val="auto"/>
                <w:sz w:val="18"/>
                <w:szCs w:val="18"/>
                <w:lang w:val="en-AU" w:eastAsia="en-AU"/>
              </w:rPr>
            </w:pPr>
            <w:r w:rsidRPr="00433F80">
              <w:rPr>
                <w:rFonts w:eastAsia="Times New Roman" w:cs="Arial"/>
                <w:b/>
                <w:color w:val="auto"/>
                <w:sz w:val="18"/>
                <w:szCs w:val="18"/>
                <w:lang w:val="en-AU" w:eastAsia="en-AU"/>
              </w:rPr>
              <w:t>(H-EQIP</w:t>
            </w:r>
            <w:r w:rsidR="00EF0B47" w:rsidRPr="00433F80">
              <w:rPr>
                <w:rFonts w:eastAsia="Times New Roman" w:cs="Arial"/>
                <w:b/>
                <w:color w:val="auto"/>
                <w:sz w:val="18"/>
                <w:szCs w:val="18"/>
                <w:lang w:val="en-AU" w:eastAsia="en-AU"/>
              </w:rPr>
              <w:t xml:space="preserve"> 2</w:t>
            </w:r>
            <w:r w:rsidRPr="00433F80">
              <w:rPr>
                <w:rFonts w:eastAsia="Times New Roman" w:cs="Arial"/>
                <w:b/>
                <w:color w:val="auto"/>
                <w:sz w:val="18"/>
                <w:szCs w:val="18"/>
                <w:lang w:val="en-AU" w:eastAsia="en-AU"/>
              </w:rPr>
              <w:t>)</w:t>
            </w:r>
          </w:p>
        </w:tc>
        <w:tc>
          <w:tcPr>
            <w:tcW w:w="1725" w:type="dxa"/>
          </w:tcPr>
          <w:p w14:paraId="38C12128" w14:textId="079AE233" w:rsidR="00DF08B8" w:rsidRPr="00433F80" w:rsidRDefault="00DF08B8" w:rsidP="005E6171">
            <w:pPr>
              <w:pStyle w:val="Bullet1"/>
              <w:spacing w:line="360" w:lineRule="auto"/>
              <w:ind w:left="0" w:firstLine="0"/>
              <w:jc w:val="center"/>
              <w:rPr>
                <w:color w:val="auto"/>
                <w:sz w:val="18"/>
                <w:szCs w:val="18"/>
                <w:lang w:val="en-AU"/>
              </w:rPr>
            </w:pPr>
            <w:r w:rsidRPr="00433F80">
              <w:rPr>
                <w:color w:val="auto"/>
                <w:sz w:val="18"/>
                <w:szCs w:val="18"/>
                <w:lang w:val="en-AU"/>
              </w:rPr>
              <w:t xml:space="preserve">Recipient-executed multi-donor (with Germany and </w:t>
            </w:r>
            <w:r w:rsidR="001349D4" w:rsidRPr="00433F80">
              <w:rPr>
                <w:color w:val="auto"/>
                <w:sz w:val="18"/>
                <w:szCs w:val="18"/>
                <w:lang w:val="en-AU"/>
              </w:rPr>
              <w:t xml:space="preserve">Republic of </w:t>
            </w:r>
            <w:r w:rsidRPr="00433F80">
              <w:rPr>
                <w:color w:val="auto"/>
                <w:sz w:val="18"/>
                <w:szCs w:val="18"/>
                <w:lang w:val="en-AU"/>
              </w:rPr>
              <w:t>Korea)</w:t>
            </w:r>
            <w:r w:rsidR="003408C2" w:rsidRPr="00433F80">
              <w:rPr>
                <w:color w:val="auto"/>
                <w:sz w:val="18"/>
                <w:szCs w:val="18"/>
                <w:lang w:val="en-AU"/>
              </w:rPr>
              <w:t xml:space="preserve"> with bank-executed implementation support</w:t>
            </w:r>
          </w:p>
        </w:tc>
        <w:tc>
          <w:tcPr>
            <w:tcW w:w="6713" w:type="dxa"/>
            <w:vAlign w:val="center"/>
          </w:tcPr>
          <w:p w14:paraId="6DAA922A" w14:textId="2172CF25" w:rsidR="00DF08B8" w:rsidRPr="00433F80" w:rsidRDefault="00EF0B47" w:rsidP="005E6171">
            <w:pPr>
              <w:pStyle w:val="Bullet1"/>
              <w:numPr>
                <w:ilvl w:val="0"/>
                <w:numId w:val="38"/>
              </w:numPr>
              <w:spacing w:line="360" w:lineRule="auto"/>
              <w:ind w:left="119" w:hanging="119"/>
              <w:rPr>
                <w:rFonts w:eastAsia="Times New Roman" w:cs="Times New Roman"/>
                <w:color w:val="auto"/>
                <w:sz w:val="19"/>
                <w:szCs w:val="19"/>
              </w:rPr>
            </w:pPr>
            <w:r w:rsidRPr="00433F80">
              <w:rPr>
                <w:rFonts w:eastAsia="Times New Roman" w:cs="Times New Roman"/>
                <w:color w:val="auto"/>
                <w:sz w:val="19"/>
                <w:szCs w:val="19"/>
              </w:rPr>
              <w:t>Implemented by the RGC (Cambodian Ministry of Health)</w:t>
            </w:r>
            <w:r w:rsidR="00040CE8" w:rsidRPr="00433F80">
              <w:rPr>
                <w:rFonts w:eastAsia="Times New Roman" w:cs="Times New Roman"/>
                <w:color w:val="auto"/>
                <w:sz w:val="19"/>
                <w:szCs w:val="19"/>
              </w:rPr>
              <w:t xml:space="preserve"> with </w:t>
            </w:r>
            <w:r w:rsidR="003408C2" w:rsidRPr="00433F80">
              <w:rPr>
                <w:rFonts w:eastAsia="Times New Roman" w:cs="Times New Roman"/>
                <w:color w:val="auto"/>
                <w:sz w:val="19"/>
                <w:szCs w:val="19"/>
              </w:rPr>
              <w:t xml:space="preserve">World Bank support </w:t>
            </w:r>
          </w:p>
          <w:p w14:paraId="0A111B31" w14:textId="63CF63AE" w:rsidR="00EF0B47" w:rsidRPr="00433F80" w:rsidRDefault="00EF0B47" w:rsidP="005E6171">
            <w:pPr>
              <w:pStyle w:val="Bullet1"/>
              <w:numPr>
                <w:ilvl w:val="0"/>
                <w:numId w:val="38"/>
              </w:numPr>
              <w:spacing w:line="360" w:lineRule="auto"/>
              <w:ind w:left="119" w:hanging="119"/>
              <w:rPr>
                <w:rFonts w:eastAsia="Times New Roman" w:cs="Times New Roman"/>
                <w:color w:val="auto"/>
                <w:sz w:val="19"/>
                <w:szCs w:val="19"/>
              </w:rPr>
            </w:pPr>
            <w:r w:rsidRPr="00433F80">
              <w:rPr>
                <w:rFonts w:eastAsia="Times New Roman" w:cs="Times New Roman"/>
                <w:color w:val="auto"/>
                <w:sz w:val="19"/>
                <w:szCs w:val="19"/>
              </w:rPr>
              <w:t>Design of Phase 2 began in August 2020, aiming to build on the strengths of H-EQIP 1</w:t>
            </w:r>
            <w:r w:rsidR="009344FC" w:rsidRPr="00433F80">
              <w:rPr>
                <w:rFonts w:eastAsia="Times New Roman" w:cs="Times New Roman"/>
                <w:color w:val="auto"/>
                <w:sz w:val="19"/>
                <w:szCs w:val="19"/>
              </w:rPr>
              <w:t xml:space="preserve"> (with a </w:t>
            </w:r>
            <w:r w:rsidRPr="00433F80">
              <w:rPr>
                <w:rFonts w:eastAsia="Times New Roman" w:cs="Times New Roman"/>
                <w:color w:val="auto"/>
                <w:sz w:val="19"/>
                <w:szCs w:val="19"/>
              </w:rPr>
              <w:t xml:space="preserve">focus on Cambodian Government ownership and financing, institutional </w:t>
            </w:r>
            <w:proofErr w:type="gramStart"/>
            <w:r w:rsidRPr="00433F80">
              <w:rPr>
                <w:rFonts w:eastAsia="Times New Roman" w:cs="Times New Roman"/>
                <w:color w:val="auto"/>
                <w:sz w:val="19"/>
                <w:szCs w:val="19"/>
              </w:rPr>
              <w:t>sustainability</w:t>
            </w:r>
            <w:proofErr w:type="gramEnd"/>
            <w:r w:rsidRPr="00433F80">
              <w:rPr>
                <w:rFonts w:eastAsia="Times New Roman" w:cs="Times New Roman"/>
                <w:color w:val="auto"/>
                <w:sz w:val="19"/>
                <w:szCs w:val="19"/>
              </w:rPr>
              <w:t xml:space="preserve"> and inclusive social health protection, taking into account the implications of COVID-19</w:t>
            </w:r>
            <w:r w:rsidR="009344FC" w:rsidRPr="00433F80">
              <w:rPr>
                <w:rFonts w:eastAsia="Times New Roman" w:cs="Times New Roman"/>
                <w:color w:val="auto"/>
                <w:sz w:val="19"/>
                <w:szCs w:val="19"/>
              </w:rPr>
              <w:t>)</w:t>
            </w:r>
            <w:r w:rsidRPr="00433F80">
              <w:rPr>
                <w:rFonts w:eastAsia="Times New Roman" w:cs="Times New Roman"/>
                <w:color w:val="auto"/>
                <w:sz w:val="19"/>
                <w:szCs w:val="19"/>
              </w:rPr>
              <w:t xml:space="preserve">. Advocating for payments linked to results on gender equality will be a key priority for DFAT. </w:t>
            </w:r>
          </w:p>
          <w:p w14:paraId="77E72585" w14:textId="2AC9D595" w:rsidR="00DF08B8" w:rsidRPr="00433F80" w:rsidRDefault="00EF0B47" w:rsidP="005E6171">
            <w:pPr>
              <w:pStyle w:val="Bullet1"/>
              <w:numPr>
                <w:ilvl w:val="0"/>
                <w:numId w:val="38"/>
              </w:numPr>
              <w:spacing w:line="360" w:lineRule="auto"/>
              <w:ind w:left="119" w:hanging="119"/>
              <w:rPr>
                <w:color w:val="auto"/>
                <w:sz w:val="19"/>
                <w:szCs w:val="19"/>
                <w:lang w:val="en-AU"/>
              </w:rPr>
            </w:pPr>
            <w:r w:rsidRPr="00433F80">
              <w:rPr>
                <w:rFonts w:eastAsia="Times New Roman" w:cs="Times New Roman"/>
                <w:color w:val="auto"/>
                <w:sz w:val="19"/>
                <w:szCs w:val="19"/>
              </w:rPr>
              <w:t>Will be</w:t>
            </w:r>
            <w:r w:rsidRPr="00433F80">
              <w:rPr>
                <w:color w:val="auto"/>
                <w:sz w:val="19"/>
                <w:szCs w:val="19"/>
                <w:lang w:val="en-AU"/>
              </w:rPr>
              <w:t xml:space="preserve"> operationalised in </w:t>
            </w:r>
            <w:r w:rsidR="00206253" w:rsidRPr="00433F80">
              <w:rPr>
                <w:color w:val="auto"/>
                <w:sz w:val="19"/>
                <w:szCs w:val="19"/>
                <w:lang w:val="en-AU"/>
              </w:rPr>
              <w:t>late 2021</w:t>
            </w:r>
            <w:r w:rsidR="001A7841" w:rsidRPr="00433F80">
              <w:rPr>
                <w:color w:val="auto"/>
                <w:sz w:val="19"/>
                <w:szCs w:val="19"/>
                <w:lang w:val="en-AU"/>
              </w:rPr>
              <w:t xml:space="preserve">. See </w:t>
            </w:r>
            <w:r w:rsidR="005E73AD" w:rsidRPr="00433F80">
              <w:rPr>
                <w:color w:val="auto"/>
                <w:sz w:val="19"/>
                <w:szCs w:val="19"/>
                <w:lang w:val="en-AU"/>
              </w:rPr>
              <w:t>A</w:t>
            </w:r>
            <w:r w:rsidR="001A7841" w:rsidRPr="00433F80">
              <w:rPr>
                <w:color w:val="auto"/>
                <w:sz w:val="19"/>
                <w:szCs w:val="19"/>
                <w:lang w:val="en-AU"/>
              </w:rPr>
              <w:t xml:space="preserve">nnex </w:t>
            </w:r>
            <w:r w:rsidR="005E73AD" w:rsidRPr="00433F80">
              <w:rPr>
                <w:color w:val="auto"/>
                <w:sz w:val="19"/>
                <w:szCs w:val="19"/>
                <w:lang w:val="en-AU"/>
              </w:rPr>
              <w:t>2</w:t>
            </w:r>
            <w:r w:rsidR="00C80DD2" w:rsidRPr="00433F80">
              <w:rPr>
                <w:color w:val="auto"/>
                <w:sz w:val="19"/>
                <w:szCs w:val="19"/>
                <w:lang w:val="en-AU"/>
              </w:rPr>
              <w:t xml:space="preserve"> </w:t>
            </w:r>
            <w:r w:rsidR="001A7841" w:rsidRPr="00433F80">
              <w:rPr>
                <w:color w:val="auto"/>
                <w:sz w:val="19"/>
                <w:szCs w:val="19"/>
                <w:lang w:val="en-AU"/>
              </w:rPr>
              <w:t>for more details</w:t>
            </w:r>
          </w:p>
        </w:tc>
      </w:tr>
      <w:tr w:rsidR="00433F80" w:rsidRPr="00433F80" w14:paraId="5A08FC23" w14:textId="77777777" w:rsidTr="00E603AD">
        <w:tc>
          <w:tcPr>
            <w:tcW w:w="1531" w:type="dxa"/>
          </w:tcPr>
          <w:p w14:paraId="702F51A3" w14:textId="4993F04B" w:rsidR="00DF08B8" w:rsidRPr="00433F80" w:rsidRDefault="00DF08B8" w:rsidP="005E6171">
            <w:pPr>
              <w:tabs>
                <w:tab w:val="left" w:pos="284"/>
              </w:tabs>
              <w:suppressAutoHyphens w:val="0"/>
              <w:spacing w:before="0" w:line="360" w:lineRule="auto"/>
              <w:jc w:val="center"/>
              <w:rPr>
                <w:b/>
                <w:color w:val="auto"/>
                <w:sz w:val="18"/>
                <w:szCs w:val="18"/>
                <w:lang w:val="en-AU" w:eastAsia="en-AU"/>
              </w:rPr>
            </w:pPr>
            <w:r w:rsidRPr="00433F80">
              <w:rPr>
                <w:b/>
                <w:color w:val="auto"/>
                <w:sz w:val="18"/>
                <w:szCs w:val="18"/>
                <w:lang w:val="en-AU" w:eastAsia="en-AU"/>
              </w:rPr>
              <w:t xml:space="preserve">2. Implementation of the Social Accountability Framework Phase </w:t>
            </w:r>
            <w:r w:rsidR="00206253" w:rsidRPr="00433F80">
              <w:rPr>
                <w:b/>
                <w:color w:val="auto"/>
                <w:sz w:val="18"/>
                <w:szCs w:val="18"/>
                <w:lang w:val="en-AU" w:eastAsia="en-AU"/>
              </w:rPr>
              <w:t>II</w:t>
            </w:r>
            <w:r w:rsidR="00EF0B47" w:rsidRPr="00433F80">
              <w:rPr>
                <w:b/>
                <w:color w:val="auto"/>
                <w:sz w:val="18"/>
                <w:szCs w:val="18"/>
                <w:lang w:val="en-AU" w:eastAsia="en-AU"/>
              </w:rPr>
              <w:t xml:space="preserve"> (</w:t>
            </w:r>
            <w:r w:rsidR="00C07FCA" w:rsidRPr="00433F80">
              <w:rPr>
                <w:b/>
                <w:color w:val="auto"/>
                <w:sz w:val="18"/>
                <w:szCs w:val="18"/>
                <w:lang w:val="en-AU" w:eastAsia="en-AU"/>
              </w:rPr>
              <w:t>ISAF II</w:t>
            </w:r>
            <w:r w:rsidR="00EF0B47" w:rsidRPr="00433F80">
              <w:rPr>
                <w:b/>
                <w:color w:val="auto"/>
                <w:sz w:val="18"/>
                <w:szCs w:val="18"/>
                <w:lang w:val="en-AU" w:eastAsia="en-AU"/>
              </w:rPr>
              <w:t>)</w:t>
            </w:r>
          </w:p>
        </w:tc>
        <w:tc>
          <w:tcPr>
            <w:tcW w:w="1725" w:type="dxa"/>
          </w:tcPr>
          <w:p w14:paraId="02BE1B45" w14:textId="1A23854C" w:rsidR="00DF08B8" w:rsidRPr="00433F80" w:rsidRDefault="00DF08B8" w:rsidP="005E6171">
            <w:pPr>
              <w:pStyle w:val="Bullet1"/>
              <w:spacing w:line="360" w:lineRule="auto"/>
              <w:ind w:left="0" w:firstLine="0"/>
              <w:jc w:val="center"/>
              <w:rPr>
                <w:color w:val="auto"/>
                <w:sz w:val="18"/>
                <w:szCs w:val="18"/>
                <w:lang w:val="en-AU"/>
              </w:rPr>
            </w:pPr>
            <w:r w:rsidRPr="00433F80">
              <w:rPr>
                <w:color w:val="auto"/>
                <w:sz w:val="18"/>
                <w:szCs w:val="18"/>
                <w:lang w:val="en-AU"/>
              </w:rPr>
              <w:t>Recipient-executed multi-donor (with Switzerland and Germany)</w:t>
            </w:r>
            <w:r w:rsidR="003408C2" w:rsidRPr="00433F80">
              <w:rPr>
                <w:color w:val="auto"/>
                <w:sz w:val="18"/>
                <w:szCs w:val="18"/>
                <w:lang w:val="en-AU"/>
              </w:rPr>
              <w:t xml:space="preserve"> with bank-executed implementation support</w:t>
            </w:r>
          </w:p>
        </w:tc>
        <w:tc>
          <w:tcPr>
            <w:tcW w:w="6713" w:type="dxa"/>
            <w:vAlign w:val="center"/>
          </w:tcPr>
          <w:p w14:paraId="5AED415F" w14:textId="15A57302" w:rsidR="00EF0B47" w:rsidRPr="00433F80" w:rsidRDefault="00EF0B47" w:rsidP="005E6171">
            <w:pPr>
              <w:pStyle w:val="Bullet1"/>
              <w:numPr>
                <w:ilvl w:val="0"/>
                <w:numId w:val="38"/>
              </w:numPr>
              <w:spacing w:line="360" w:lineRule="auto"/>
              <w:ind w:left="119" w:hanging="119"/>
              <w:rPr>
                <w:rFonts w:eastAsia="Times New Roman" w:cs="Times New Roman"/>
                <w:color w:val="auto"/>
                <w:sz w:val="19"/>
                <w:szCs w:val="19"/>
              </w:rPr>
            </w:pPr>
            <w:r w:rsidRPr="00433F80">
              <w:rPr>
                <w:color w:val="auto"/>
                <w:sz w:val="19"/>
                <w:szCs w:val="19"/>
                <w:lang w:val="en-AU"/>
              </w:rPr>
              <w:t>Implemented by the RGC (The National Committee for Sub-National De</w:t>
            </w:r>
            <w:proofErr w:type="spellStart"/>
            <w:r w:rsidRPr="00433F80">
              <w:rPr>
                <w:rFonts w:eastAsia="Times New Roman" w:cs="Times New Roman"/>
                <w:color w:val="auto"/>
                <w:sz w:val="19"/>
                <w:szCs w:val="19"/>
              </w:rPr>
              <w:t>mocratic</w:t>
            </w:r>
            <w:proofErr w:type="spellEnd"/>
            <w:r w:rsidRPr="00433F80">
              <w:rPr>
                <w:rFonts w:eastAsia="Times New Roman" w:cs="Times New Roman"/>
                <w:color w:val="auto"/>
                <w:sz w:val="19"/>
                <w:szCs w:val="19"/>
              </w:rPr>
              <w:t> Development Secretariat) and World Vision International</w:t>
            </w:r>
            <w:r w:rsidR="003408C2" w:rsidRPr="00433F80">
              <w:rPr>
                <w:rFonts w:eastAsia="Times New Roman" w:cs="Times New Roman"/>
                <w:color w:val="auto"/>
                <w:sz w:val="19"/>
                <w:szCs w:val="19"/>
              </w:rPr>
              <w:t xml:space="preserve"> with World Bank support</w:t>
            </w:r>
          </w:p>
          <w:p w14:paraId="0215662B" w14:textId="0C18938E" w:rsidR="00EF0B47" w:rsidRPr="00433F80" w:rsidRDefault="00EF0B47" w:rsidP="005E6171">
            <w:pPr>
              <w:pStyle w:val="Bullet1"/>
              <w:numPr>
                <w:ilvl w:val="0"/>
                <w:numId w:val="38"/>
              </w:numPr>
              <w:spacing w:line="360" w:lineRule="auto"/>
              <w:ind w:left="119" w:hanging="119"/>
              <w:rPr>
                <w:rFonts w:eastAsia="Times New Roman" w:cs="Times New Roman"/>
                <w:color w:val="auto"/>
                <w:sz w:val="19"/>
                <w:szCs w:val="19"/>
              </w:rPr>
            </w:pPr>
            <w:r w:rsidRPr="00433F80">
              <w:rPr>
                <w:rFonts w:eastAsia="Times New Roman" w:cs="Times New Roman"/>
                <w:color w:val="auto"/>
                <w:sz w:val="19"/>
                <w:szCs w:val="19"/>
              </w:rPr>
              <w:t>Phase 2 seeks to extend ISAF to 90 per cent of districts nation-wide and into new sectors</w:t>
            </w:r>
            <w:r w:rsidR="009344FC" w:rsidRPr="00433F80">
              <w:rPr>
                <w:rFonts w:eastAsia="Times New Roman" w:cs="Times New Roman"/>
                <w:color w:val="auto"/>
                <w:sz w:val="19"/>
                <w:szCs w:val="19"/>
              </w:rPr>
              <w:t>. Although some activities have begun with support from other donors, the project will be formally launched in early 2021</w:t>
            </w:r>
          </w:p>
          <w:p w14:paraId="4CE61898" w14:textId="05954CA3" w:rsidR="001A7841" w:rsidRPr="00433F80" w:rsidRDefault="00EF0B47" w:rsidP="005E6171">
            <w:pPr>
              <w:pStyle w:val="Bullet1"/>
              <w:numPr>
                <w:ilvl w:val="0"/>
                <w:numId w:val="38"/>
              </w:numPr>
              <w:spacing w:line="360" w:lineRule="auto"/>
              <w:ind w:left="119" w:hanging="119"/>
              <w:rPr>
                <w:rFonts w:eastAsia="Times New Roman" w:cs="Times New Roman"/>
                <w:color w:val="auto"/>
                <w:sz w:val="19"/>
                <w:szCs w:val="19"/>
              </w:rPr>
            </w:pPr>
            <w:r w:rsidRPr="00433F80">
              <w:rPr>
                <w:rFonts w:eastAsia="Times New Roman" w:cs="Times New Roman"/>
                <w:color w:val="auto"/>
                <w:sz w:val="19"/>
                <w:szCs w:val="19"/>
              </w:rPr>
              <w:t>There is also an opportunity to enhance the targeting of gender equality</w:t>
            </w:r>
            <w:r w:rsidR="001A7841" w:rsidRPr="00433F80">
              <w:rPr>
                <w:rFonts w:eastAsia="Times New Roman" w:cs="Times New Roman"/>
                <w:color w:val="auto"/>
                <w:sz w:val="19"/>
                <w:szCs w:val="19"/>
              </w:rPr>
              <w:t xml:space="preserve"> </w:t>
            </w:r>
            <w:r w:rsidR="00EF29D6" w:rsidRPr="00433F80">
              <w:rPr>
                <w:rFonts w:eastAsia="Times New Roman" w:cs="Times New Roman"/>
                <w:color w:val="auto"/>
                <w:sz w:val="19"/>
                <w:szCs w:val="19"/>
              </w:rPr>
              <w:t>and disability inclusion</w:t>
            </w:r>
          </w:p>
          <w:p w14:paraId="5D840808" w14:textId="24B9A56C" w:rsidR="00EF0B47" w:rsidRPr="00433F80" w:rsidRDefault="001A7841" w:rsidP="005E6171">
            <w:pPr>
              <w:pStyle w:val="Bullet1"/>
              <w:numPr>
                <w:ilvl w:val="0"/>
                <w:numId w:val="38"/>
              </w:numPr>
              <w:spacing w:line="360" w:lineRule="auto"/>
              <w:ind w:left="119" w:hanging="119"/>
              <w:rPr>
                <w:color w:val="auto"/>
                <w:sz w:val="19"/>
                <w:szCs w:val="19"/>
                <w:lang w:val="en-AU"/>
              </w:rPr>
            </w:pPr>
            <w:r w:rsidRPr="00433F80">
              <w:rPr>
                <w:rFonts w:eastAsia="Times New Roman" w:cs="Times New Roman"/>
                <w:color w:val="auto"/>
                <w:sz w:val="19"/>
                <w:szCs w:val="19"/>
              </w:rPr>
              <w:t xml:space="preserve">See </w:t>
            </w:r>
            <w:r w:rsidR="00C80DD2" w:rsidRPr="00433F80">
              <w:rPr>
                <w:rFonts w:eastAsia="Times New Roman" w:cs="Times New Roman"/>
                <w:color w:val="auto"/>
                <w:sz w:val="19"/>
                <w:szCs w:val="19"/>
              </w:rPr>
              <w:t>A</w:t>
            </w:r>
            <w:r w:rsidRPr="00433F80">
              <w:rPr>
                <w:rFonts w:eastAsia="Times New Roman" w:cs="Times New Roman"/>
                <w:color w:val="auto"/>
                <w:sz w:val="19"/>
                <w:szCs w:val="19"/>
              </w:rPr>
              <w:t xml:space="preserve">nnex </w:t>
            </w:r>
            <w:r w:rsidR="005E73AD" w:rsidRPr="00433F80">
              <w:rPr>
                <w:color w:val="auto"/>
                <w:sz w:val="19"/>
                <w:szCs w:val="19"/>
                <w:lang w:val="en-AU"/>
              </w:rPr>
              <w:t xml:space="preserve">3 </w:t>
            </w:r>
            <w:r w:rsidRPr="00433F80">
              <w:rPr>
                <w:color w:val="auto"/>
                <w:sz w:val="19"/>
                <w:szCs w:val="19"/>
                <w:lang w:val="en-AU"/>
              </w:rPr>
              <w:t>for more details</w:t>
            </w:r>
          </w:p>
        </w:tc>
      </w:tr>
      <w:tr w:rsidR="00433F80" w:rsidRPr="00433F80" w14:paraId="6F2C0533" w14:textId="77777777" w:rsidTr="00E603AD">
        <w:tc>
          <w:tcPr>
            <w:tcW w:w="1531" w:type="dxa"/>
          </w:tcPr>
          <w:p w14:paraId="79D13A4E" w14:textId="57650C61" w:rsidR="00DF08B8" w:rsidRPr="00433F80" w:rsidRDefault="00DF08B8" w:rsidP="005E6171">
            <w:pPr>
              <w:tabs>
                <w:tab w:val="left" w:pos="284"/>
              </w:tabs>
              <w:suppressAutoHyphens w:val="0"/>
              <w:spacing w:before="0" w:line="360" w:lineRule="auto"/>
              <w:jc w:val="center"/>
              <w:rPr>
                <w:b/>
                <w:color w:val="auto"/>
                <w:sz w:val="18"/>
                <w:szCs w:val="18"/>
                <w:lang w:val="en-AU" w:eastAsia="en-AU"/>
              </w:rPr>
            </w:pPr>
            <w:r w:rsidRPr="00433F80">
              <w:rPr>
                <w:b/>
                <w:color w:val="auto"/>
                <w:sz w:val="18"/>
                <w:szCs w:val="18"/>
                <w:lang w:val="en-AU" w:eastAsia="en-AU"/>
              </w:rPr>
              <w:lastRenderedPageBreak/>
              <w:t>3.</w:t>
            </w:r>
            <w:r w:rsidR="00040CE8" w:rsidRPr="00433F80">
              <w:rPr>
                <w:b/>
                <w:color w:val="auto"/>
                <w:sz w:val="18"/>
                <w:szCs w:val="18"/>
                <w:lang w:val="en-AU" w:eastAsia="en-AU"/>
              </w:rPr>
              <w:t xml:space="preserve"> </w:t>
            </w:r>
            <w:r w:rsidR="00721E70" w:rsidRPr="00433F80">
              <w:rPr>
                <w:b/>
                <w:color w:val="auto"/>
                <w:sz w:val="18"/>
                <w:szCs w:val="18"/>
                <w:lang w:val="en-AU" w:eastAsia="en-AU"/>
              </w:rPr>
              <w:t>PROMISE PASA</w:t>
            </w:r>
            <w:r w:rsidRPr="00433F80">
              <w:rPr>
                <w:b/>
                <w:color w:val="auto"/>
                <w:sz w:val="18"/>
                <w:szCs w:val="18"/>
                <w:lang w:val="en-AU" w:eastAsia="en-AU"/>
              </w:rPr>
              <w:t xml:space="preserve">, </w:t>
            </w:r>
            <w:r w:rsidR="00040CE8" w:rsidRPr="00433F80">
              <w:rPr>
                <w:b/>
                <w:color w:val="auto"/>
                <w:sz w:val="18"/>
                <w:szCs w:val="18"/>
                <w:lang w:val="en-AU" w:eastAsia="en-AU"/>
              </w:rPr>
              <w:t xml:space="preserve">Partnership </w:t>
            </w:r>
            <w:r w:rsidRPr="00433F80">
              <w:rPr>
                <w:b/>
                <w:color w:val="auto"/>
                <w:sz w:val="18"/>
                <w:szCs w:val="18"/>
                <w:lang w:val="en-AU" w:eastAsia="en-AU"/>
              </w:rPr>
              <w:t xml:space="preserve">trust fund </w:t>
            </w:r>
            <w:r w:rsidR="00040CE8" w:rsidRPr="00433F80">
              <w:rPr>
                <w:b/>
                <w:color w:val="auto"/>
                <w:sz w:val="18"/>
                <w:szCs w:val="18"/>
                <w:lang w:val="en-AU" w:eastAsia="en-AU"/>
              </w:rPr>
              <w:t xml:space="preserve">administration and </w:t>
            </w:r>
            <w:r w:rsidRPr="00433F80">
              <w:rPr>
                <w:b/>
                <w:color w:val="auto"/>
                <w:sz w:val="18"/>
                <w:szCs w:val="18"/>
                <w:lang w:val="en-AU" w:eastAsia="en-AU"/>
              </w:rPr>
              <w:t>management</w:t>
            </w:r>
          </w:p>
          <w:p w14:paraId="25BDC107" w14:textId="2AA93FAA" w:rsidR="00DF08B8" w:rsidRPr="00433F80" w:rsidRDefault="00DF08B8" w:rsidP="005E6171">
            <w:pPr>
              <w:suppressAutoHyphens w:val="0"/>
              <w:spacing w:before="0" w:after="0" w:line="360" w:lineRule="auto"/>
              <w:jc w:val="center"/>
              <w:rPr>
                <w:color w:val="auto"/>
                <w:sz w:val="20"/>
                <w:szCs w:val="20"/>
              </w:rPr>
            </w:pPr>
          </w:p>
        </w:tc>
        <w:tc>
          <w:tcPr>
            <w:tcW w:w="1725" w:type="dxa"/>
          </w:tcPr>
          <w:p w14:paraId="06BDDDB0" w14:textId="127F93A1" w:rsidR="00DF08B8" w:rsidRPr="00433F80" w:rsidRDefault="00DF08B8" w:rsidP="005E6171">
            <w:pPr>
              <w:pStyle w:val="Bullet1"/>
              <w:spacing w:line="360" w:lineRule="auto"/>
              <w:ind w:left="0" w:firstLine="0"/>
              <w:jc w:val="center"/>
              <w:rPr>
                <w:color w:val="auto"/>
                <w:sz w:val="18"/>
                <w:szCs w:val="18"/>
                <w:lang w:val="en-AU"/>
              </w:rPr>
            </w:pPr>
            <w:r w:rsidRPr="00433F80">
              <w:rPr>
                <w:color w:val="auto"/>
                <w:sz w:val="18"/>
                <w:szCs w:val="18"/>
                <w:lang w:val="en-AU"/>
              </w:rPr>
              <w:t>Bank-executed single-donor (Australia only)</w:t>
            </w:r>
          </w:p>
        </w:tc>
        <w:tc>
          <w:tcPr>
            <w:tcW w:w="6713" w:type="dxa"/>
            <w:vAlign w:val="center"/>
          </w:tcPr>
          <w:p w14:paraId="2CB39B10" w14:textId="5C18969A" w:rsidR="00DF08B8" w:rsidRPr="00433F80" w:rsidRDefault="00A47493" w:rsidP="005E6171">
            <w:pPr>
              <w:pStyle w:val="Bullet1"/>
              <w:numPr>
                <w:ilvl w:val="0"/>
                <w:numId w:val="38"/>
              </w:numPr>
              <w:spacing w:line="360" w:lineRule="auto"/>
              <w:ind w:left="119" w:hanging="119"/>
              <w:rPr>
                <w:color w:val="auto"/>
                <w:sz w:val="19"/>
                <w:szCs w:val="19"/>
              </w:rPr>
            </w:pPr>
            <w:r w:rsidRPr="00433F80">
              <w:rPr>
                <w:color w:val="auto"/>
                <w:sz w:val="19"/>
                <w:szCs w:val="19"/>
                <w:lang w:val="en-AU"/>
              </w:rPr>
              <w:t>To s</w:t>
            </w:r>
            <w:r w:rsidR="009344FC" w:rsidRPr="00433F80">
              <w:rPr>
                <w:color w:val="auto"/>
                <w:sz w:val="19"/>
                <w:szCs w:val="19"/>
                <w:lang w:val="en-AU"/>
              </w:rPr>
              <w:t>upport</w:t>
            </w:r>
            <w:r w:rsidR="00DF08B8" w:rsidRPr="00433F80">
              <w:rPr>
                <w:color w:val="auto"/>
                <w:sz w:val="19"/>
                <w:szCs w:val="19"/>
                <w:lang w:val="en-AU"/>
              </w:rPr>
              <w:t xml:space="preserve"> work in areas of shared strategic policy interest and in response to emerging issues and opportunities, drawing on World Bank analytical expertise</w:t>
            </w:r>
            <w:r w:rsidR="009344FC" w:rsidRPr="00433F80">
              <w:rPr>
                <w:color w:val="auto"/>
                <w:sz w:val="19"/>
                <w:szCs w:val="19"/>
                <w:lang w:val="en-AU"/>
              </w:rPr>
              <w:t xml:space="preserve"> </w:t>
            </w:r>
          </w:p>
          <w:p w14:paraId="3D34ECA5" w14:textId="46D6ADE6" w:rsidR="00DF08B8" w:rsidRPr="00433F80" w:rsidRDefault="009344FC" w:rsidP="005E6171">
            <w:pPr>
              <w:pStyle w:val="Bullet1"/>
              <w:numPr>
                <w:ilvl w:val="0"/>
                <w:numId w:val="38"/>
              </w:numPr>
              <w:spacing w:line="360" w:lineRule="auto"/>
              <w:ind w:left="119" w:hanging="119"/>
              <w:rPr>
                <w:color w:val="auto"/>
                <w:sz w:val="19"/>
                <w:szCs w:val="19"/>
              </w:rPr>
            </w:pPr>
            <w:r w:rsidRPr="00433F80">
              <w:rPr>
                <w:color w:val="auto"/>
                <w:sz w:val="19"/>
                <w:szCs w:val="19"/>
              </w:rPr>
              <w:t xml:space="preserve">The focus on </w:t>
            </w:r>
            <w:r w:rsidR="001349D4" w:rsidRPr="00433F80">
              <w:rPr>
                <w:color w:val="auto"/>
                <w:sz w:val="19"/>
                <w:szCs w:val="19"/>
              </w:rPr>
              <w:t xml:space="preserve">inclusive and </w:t>
            </w:r>
            <w:r w:rsidRPr="00433F80">
              <w:rPr>
                <w:color w:val="auto"/>
                <w:sz w:val="19"/>
                <w:szCs w:val="19"/>
              </w:rPr>
              <w:t>equitable development enables work in areas such as gender equality, social protection, inclusive economic development, and COVID-19 recovery</w:t>
            </w:r>
          </w:p>
          <w:p w14:paraId="3CDF58B8" w14:textId="2296D3CE" w:rsidR="00DF08B8" w:rsidRPr="00433F80" w:rsidRDefault="00040CE8" w:rsidP="005E6171">
            <w:pPr>
              <w:pStyle w:val="Bullet1"/>
              <w:numPr>
                <w:ilvl w:val="0"/>
                <w:numId w:val="38"/>
              </w:numPr>
              <w:spacing w:line="360" w:lineRule="auto"/>
              <w:ind w:left="119" w:hanging="119"/>
              <w:rPr>
                <w:color w:val="auto"/>
                <w:sz w:val="19"/>
                <w:szCs w:val="19"/>
              </w:rPr>
            </w:pPr>
            <w:r w:rsidRPr="00433F80">
              <w:rPr>
                <w:rFonts w:eastAsia="Times New Roman" w:cs="Times New Roman"/>
                <w:color w:val="auto"/>
                <w:sz w:val="19"/>
                <w:szCs w:val="19"/>
              </w:rPr>
              <w:t>Dedicated m</w:t>
            </w:r>
            <w:r w:rsidR="00DF08B8" w:rsidRPr="00433F80">
              <w:rPr>
                <w:rFonts w:eastAsia="Times New Roman" w:cs="Times New Roman"/>
                <w:color w:val="auto"/>
                <w:sz w:val="19"/>
                <w:szCs w:val="19"/>
              </w:rPr>
              <w:t xml:space="preserve">anagement funds </w:t>
            </w:r>
            <w:r w:rsidR="009B618C" w:rsidRPr="00433F80">
              <w:rPr>
                <w:rFonts w:eastAsia="Times New Roman" w:cs="Times New Roman"/>
                <w:color w:val="auto"/>
                <w:sz w:val="19"/>
                <w:szCs w:val="19"/>
              </w:rPr>
              <w:t xml:space="preserve">will </w:t>
            </w:r>
            <w:r w:rsidR="00DF08B8" w:rsidRPr="00433F80">
              <w:rPr>
                <w:rFonts w:eastAsia="Times New Roman" w:cs="Times New Roman"/>
                <w:color w:val="auto"/>
                <w:sz w:val="19"/>
                <w:szCs w:val="19"/>
              </w:rPr>
              <w:t>enable communications</w:t>
            </w:r>
            <w:r w:rsidR="00EF29D6" w:rsidRPr="00433F80">
              <w:rPr>
                <w:rFonts w:eastAsia="Times New Roman" w:cs="Times New Roman"/>
                <w:color w:val="auto"/>
                <w:sz w:val="19"/>
                <w:szCs w:val="19"/>
              </w:rPr>
              <w:t xml:space="preserve">, </w:t>
            </w:r>
            <w:r w:rsidR="009B618C" w:rsidRPr="00433F80">
              <w:rPr>
                <w:rFonts w:eastAsia="Times New Roman" w:cs="Times New Roman"/>
                <w:color w:val="auto"/>
                <w:sz w:val="19"/>
                <w:szCs w:val="19"/>
              </w:rPr>
              <w:t>visibility, monitoring and evaluation, and other Partnership support activities</w:t>
            </w:r>
            <w:r w:rsidR="00EF29D6" w:rsidRPr="00433F80">
              <w:rPr>
                <w:rFonts w:eastAsia="Times New Roman" w:cs="Times New Roman"/>
                <w:color w:val="auto"/>
                <w:sz w:val="19"/>
                <w:szCs w:val="19"/>
              </w:rPr>
              <w:t xml:space="preserve"> </w:t>
            </w:r>
            <w:r w:rsidRPr="00433F80">
              <w:rPr>
                <w:rFonts w:eastAsia="Times New Roman" w:cs="Times New Roman"/>
                <w:color w:val="auto"/>
                <w:sz w:val="19"/>
                <w:szCs w:val="19"/>
              </w:rPr>
              <w:t>to be undertaken</w:t>
            </w:r>
          </w:p>
        </w:tc>
      </w:tr>
    </w:tbl>
    <w:p w14:paraId="056F7E17" w14:textId="629D3A49" w:rsidR="00CA28A2" w:rsidRPr="00433F80" w:rsidRDefault="00CA28A2" w:rsidP="005E6171">
      <w:pPr>
        <w:tabs>
          <w:tab w:val="left" w:pos="284"/>
        </w:tabs>
        <w:suppressAutoHyphens w:val="0"/>
        <w:spacing w:before="240" w:line="360" w:lineRule="auto"/>
        <w:rPr>
          <w:color w:val="auto"/>
          <w:lang w:val="en-AU" w:eastAsia="en-AU"/>
        </w:rPr>
      </w:pPr>
      <w:r w:rsidRPr="00433F80">
        <w:rPr>
          <w:color w:val="auto"/>
          <w:sz w:val="21"/>
          <w:szCs w:val="21"/>
          <w:lang w:val="en-AU"/>
        </w:rPr>
        <w:t xml:space="preserve">Australia currently supports the multi-donor Public Financial Management Reform Program through the World </w:t>
      </w:r>
      <w:r w:rsidRPr="00433F80">
        <w:rPr>
          <w:rFonts w:cs="Arial"/>
          <w:color w:val="auto"/>
          <w:sz w:val="21"/>
          <w:szCs w:val="21"/>
          <w:lang w:val="en-AU" w:eastAsia="en-AU"/>
        </w:rPr>
        <w:t>Bank</w:t>
      </w:r>
      <w:r w:rsidRPr="00433F80">
        <w:rPr>
          <w:color w:val="auto"/>
          <w:sz w:val="21"/>
          <w:szCs w:val="21"/>
          <w:lang w:val="en-AU"/>
        </w:rPr>
        <w:t xml:space="preserve"> and </w:t>
      </w:r>
      <w:r w:rsidR="00BD4738" w:rsidRPr="00433F80">
        <w:rPr>
          <w:color w:val="auto"/>
          <w:sz w:val="21"/>
          <w:szCs w:val="21"/>
          <w:lang w:val="en-AU"/>
        </w:rPr>
        <w:t>Post expects</w:t>
      </w:r>
      <w:r w:rsidRPr="00433F80">
        <w:rPr>
          <w:color w:val="auto"/>
          <w:sz w:val="21"/>
          <w:szCs w:val="21"/>
          <w:lang w:val="en-AU"/>
        </w:rPr>
        <w:t xml:space="preserve"> that this stream of work </w:t>
      </w:r>
      <w:r w:rsidR="00BD4738" w:rsidRPr="00433F80">
        <w:rPr>
          <w:color w:val="auto"/>
          <w:sz w:val="21"/>
          <w:szCs w:val="21"/>
          <w:lang w:val="en-AU"/>
        </w:rPr>
        <w:t xml:space="preserve">will </w:t>
      </w:r>
      <w:r w:rsidRPr="00433F80">
        <w:rPr>
          <w:color w:val="auto"/>
          <w:sz w:val="21"/>
          <w:szCs w:val="21"/>
          <w:lang w:val="en-AU"/>
        </w:rPr>
        <w:t>be incorporated into the Partnership after FY2022-23 (when the current PFM phase ends).</w:t>
      </w:r>
      <w:r w:rsidR="00BD4738" w:rsidRPr="00433F80">
        <w:rPr>
          <w:color w:val="auto"/>
          <w:sz w:val="21"/>
          <w:szCs w:val="21"/>
          <w:lang w:val="en-AU"/>
        </w:rPr>
        <w:t xml:space="preserve"> </w:t>
      </w:r>
    </w:p>
    <w:p w14:paraId="7A06D100" w14:textId="144D8AC8" w:rsidR="0075339D" w:rsidRPr="00433F80" w:rsidRDefault="0075339D" w:rsidP="005E6171">
      <w:pPr>
        <w:tabs>
          <w:tab w:val="left" w:pos="284"/>
        </w:tabs>
        <w:suppressAutoHyphens w:val="0"/>
        <w:spacing w:before="0" w:line="360" w:lineRule="auto"/>
        <w:rPr>
          <w:color w:val="auto"/>
          <w:sz w:val="21"/>
          <w:szCs w:val="21"/>
          <w:lang w:val="en-AU" w:eastAsia="en-AU"/>
        </w:rPr>
      </w:pPr>
      <w:r w:rsidRPr="00433F80">
        <w:rPr>
          <w:rFonts w:cs="Arial"/>
          <w:color w:val="auto"/>
          <w:sz w:val="21"/>
          <w:szCs w:val="21"/>
          <w:lang w:val="en-AU" w:eastAsia="en-AU"/>
        </w:rPr>
        <w:t>The</w:t>
      </w:r>
      <w:r w:rsidRPr="00433F80">
        <w:rPr>
          <w:color w:val="auto"/>
          <w:sz w:val="21"/>
          <w:szCs w:val="21"/>
          <w:lang w:val="en-AU" w:eastAsia="en-AU"/>
        </w:rPr>
        <w:t xml:space="preserve"> </w:t>
      </w:r>
      <w:r w:rsidRPr="00433F80">
        <w:rPr>
          <w:b/>
          <w:color w:val="auto"/>
          <w:sz w:val="21"/>
          <w:szCs w:val="21"/>
          <w:lang w:val="en-AU" w:eastAsia="en-AU"/>
        </w:rPr>
        <w:t xml:space="preserve">logic </w:t>
      </w:r>
      <w:r w:rsidRPr="00433F80">
        <w:rPr>
          <w:color w:val="auto"/>
          <w:sz w:val="21"/>
          <w:szCs w:val="21"/>
          <w:lang w:val="en-AU" w:eastAsia="en-AU"/>
        </w:rPr>
        <w:t>of this approach is that</w:t>
      </w:r>
      <w:r w:rsidR="006B6E82" w:rsidRPr="00433F80">
        <w:rPr>
          <w:color w:val="auto"/>
          <w:sz w:val="21"/>
          <w:szCs w:val="21"/>
          <w:lang w:val="en-AU" w:eastAsia="en-AU"/>
        </w:rPr>
        <w:t xml:space="preserve"> by</w:t>
      </w:r>
      <w:r w:rsidRPr="00433F80">
        <w:rPr>
          <w:color w:val="auto"/>
          <w:sz w:val="21"/>
          <w:szCs w:val="21"/>
          <w:lang w:val="en-AU" w:eastAsia="en-AU"/>
        </w:rPr>
        <w:t xml:space="preserve"> investing in </w:t>
      </w:r>
      <w:r w:rsidRPr="00433F80">
        <w:rPr>
          <w:b/>
          <w:color w:val="auto"/>
          <w:sz w:val="21"/>
          <w:szCs w:val="21"/>
          <w:lang w:val="en-AU" w:eastAsia="en-AU"/>
        </w:rPr>
        <w:t xml:space="preserve">proven </w:t>
      </w:r>
      <w:r w:rsidR="008901EF" w:rsidRPr="00433F80">
        <w:rPr>
          <w:b/>
          <w:color w:val="auto"/>
          <w:sz w:val="21"/>
          <w:szCs w:val="21"/>
          <w:lang w:val="en-AU" w:eastAsia="en-AU"/>
        </w:rPr>
        <w:t xml:space="preserve">World Bank multi-donor financing </w:t>
      </w:r>
      <w:r w:rsidRPr="00433F80">
        <w:rPr>
          <w:b/>
          <w:color w:val="auto"/>
          <w:sz w:val="21"/>
          <w:szCs w:val="21"/>
          <w:lang w:val="en-AU" w:eastAsia="en-AU"/>
        </w:rPr>
        <w:t xml:space="preserve">approaches </w:t>
      </w:r>
      <w:r w:rsidR="008901EF" w:rsidRPr="00433F80">
        <w:rPr>
          <w:color w:val="auto"/>
          <w:sz w:val="21"/>
          <w:szCs w:val="21"/>
          <w:lang w:val="en-AU" w:eastAsia="en-AU"/>
        </w:rPr>
        <w:t>with government and civil society implementing partners,</w:t>
      </w:r>
      <w:r w:rsidRPr="00433F80">
        <w:rPr>
          <w:b/>
          <w:color w:val="auto"/>
          <w:sz w:val="21"/>
          <w:szCs w:val="21"/>
          <w:lang w:val="en-AU" w:eastAsia="en-AU"/>
        </w:rPr>
        <w:t xml:space="preserve"> </w:t>
      </w:r>
      <w:r w:rsidRPr="00433F80">
        <w:rPr>
          <w:color w:val="auto"/>
          <w:sz w:val="21"/>
          <w:szCs w:val="21"/>
          <w:lang w:val="en-AU" w:eastAsia="en-AU"/>
        </w:rPr>
        <w:t xml:space="preserve">complemented by </w:t>
      </w:r>
      <w:r w:rsidRPr="00433F80">
        <w:rPr>
          <w:b/>
          <w:color w:val="auto"/>
          <w:sz w:val="21"/>
          <w:szCs w:val="21"/>
          <w:lang w:val="en-AU" w:eastAsia="en-AU"/>
        </w:rPr>
        <w:t xml:space="preserve">analysis </w:t>
      </w:r>
      <w:r w:rsidR="001A7841" w:rsidRPr="00433F80">
        <w:rPr>
          <w:b/>
          <w:color w:val="auto"/>
          <w:sz w:val="21"/>
          <w:szCs w:val="21"/>
          <w:lang w:val="en-AU" w:eastAsia="en-AU"/>
        </w:rPr>
        <w:t>and technical inputs on</w:t>
      </w:r>
      <w:r w:rsidRPr="00433F80">
        <w:rPr>
          <w:b/>
          <w:color w:val="auto"/>
          <w:sz w:val="21"/>
          <w:szCs w:val="21"/>
          <w:lang w:val="en-AU" w:eastAsia="en-AU"/>
        </w:rPr>
        <w:t xml:space="preserve"> key issues including gender </w:t>
      </w:r>
      <w:r w:rsidR="00D13769" w:rsidRPr="00433F80">
        <w:rPr>
          <w:b/>
          <w:color w:val="auto"/>
          <w:sz w:val="21"/>
          <w:szCs w:val="21"/>
          <w:lang w:val="en-AU" w:eastAsia="en-AU"/>
        </w:rPr>
        <w:t>equality</w:t>
      </w:r>
      <w:r w:rsidR="001A7841" w:rsidRPr="00433F80">
        <w:rPr>
          <w:b/>
          <w:color w:val="auto"/>
          <w:sz w:val="21"/>
          <w:szCs w:val="21"/>
          <w:lang w:val="en-AU" w:eastAsia="en-AU"/>
        </w:rPr>
        <w:t>,</w:t>
      </w:r>
      <w:r w:rsidR="00D13769" w:rsidRPr="00433F80">
        <w:rPr>
          <w:b/>
          <w:color w:val="auto"/>
          <w:sz w:val="21"/>
          <w:szCs w:val="21"/>
          <w:lang w:val="en-AU" w:eastAsia="en-AU"/>
        </w:rPr>
        <w:t xml:space="preserve"> </w:t>
      </w:r>
      <w:r w:rsidRPr="00433F80">
        <w:rPr>
          <w:color w:val="auto"/>
          <w:sz w:val="21"/>
          <w:szCs w:val="21"/>
          <w:lang w:val="en-AU" w:eastAsia="en-AU"/>
        </w:rPr>
        <w:t xml:space="preserve">we maximise our ability to </w:t>
      </w:r>
      <w:r w:rsidRPr="00433F80">
        <w:rPr>
          <w:b/>
          <w:color w:val="auto"/>
          <w:sz w:val="21"/>
          <w:szCs w:val="21"/>
          <w:lang w:val="en-AU" w:eastAsia="en-AU"/>
        </w:rPr>
        <w:t>improve access to</w:t>
      </w:r>
      <w:r w:rsidRPr="00433F80">
        <w:rPr>
          <w:color w:val="auto"/>
          <w:sz w:val="21"/>
          <w:szCs w:val="21"/>
          <w:lang w:val="en-AU" w:eastAsia="en-AU"/>
        </w:rPr>
        <w:t xml:space="preserve"> </w:t>
      </w:r>
      <w:r w:rsidRPr="00433F80">
        <w:rPr>
          <w:b/>
          <w:color w:val="auto"/>
          <w:sz w:val="21"/>
          <w:szCs w:val="21"/>
          <w:lang w:val="en-AU" w:eastAsia="en-AU"/>
        </w:rPr>
        <w:t>quality public services</w:t>
      </w:r>
      <w:r w:rsidRPr="00433F80">
        <w:rPr>
          <w:color w:val="auto"/>
          <w:sz w:val="21"/>
          <w:szCs w:val="21"/>
          <w:lang w:val="en-AU" w:eastAsia="en-AU"/>
        </w:rPr>
        <w:t xml:space="preserve"> and contribute to a Cambodia that is more </w:t>
      </w:r>
      <w:r w:rsidRPr="00433F80">
        <w:rPr>
          <w:b/>
          <w:color w:val="auto"/>
          <w:sz w:val="21"/>
          <w:szCs w:val="21"/>
          <w:lang w:val="en-AU" w:eastAsia="en-AU"/>
        </w:rPr>
        <w:t xml:space="preserve">stable, </w:t>
      </w:r>
      <w:r w:rsidR="008901EF" w:rsidRPr="00433F80">
        <w:rPr>
          <w:b/>
          <w:color w:val="auto"/>
          <w:sz w:val="21"/>
          <w:szCs w:val="21"/>
          <w:lang w:val="en-AU" w:eastAsia="en-AU"/>
        </w:rPr>
        <w:t xml:space="preserve">resilient </w:t>
      </w:r>
      <w:r w:rsidRPr="00433F80">
        <w:rPr>
          <w:b/>
          <w:color w:val="auto"/>
          <w:sz w:val="21"/>
          <w:szCs w:val="21"/>
          <w:lang w:val="en-AU" w:eastAsia="en-AU"/>
        </w:rPr>
        <w:t>and fair.</w:t>
      </w:r>
    </w:p>
    <w:p w14:paraId="7D78180F" w14:textId="44D1DB1F" w:rsidR="008901EF" w:rsidRPr="00433F80" w:rsidRDefault="008901EF" w:rsidP="005E6171">
      <w:pPr>
        <w:tabs>
          <w:tab w:val="left" w:pos="284"/>
        </w:tabs>
        <w:suppressAutoHyphens w:val="0"/>
        <w:spacing w:before="0" w:line="360" w:lineRule="auto"/>
        <w:rPr>
          <w:rFonts w:cs="Arial"/>
          <w:color w:val="auto"/>
          <w:sz w:val="21"/>
          <w:szCs w:val="21"/>
          <w:lang w:val="en-AU" w:eastAsia="en-AU"/>
        </w:rPr>
      </w:pPr>
      <w:r w:rsidRPr="00433F80">
        <w:rPr>
          <w:rFonts w:cs="Arial"/>
          <w:color w:val="auto"/>
          <w:sz w:val="21"/>
          <w:szCs w:val="21"/>
          <w:lang w:val="en-AU" w:eastAsia="en-AU"/>
        </w:rPr>
        <w:t xml:space="preserve">The </w:t>
      </w:r>
      <w:r w:rsidR="005E73AD" w:rsidRPr="00433F80">
        <w:rPr>
          <w:rFonts w:cs="Arial"/>
          <w:color w:val="auto"/>
          <w:sz w:val="21"/>
          <w:szCs w:val="21"/>
          <w:lang w:val="en-AU" w:eastAsia="en-AU"/>
        </w:rPr>
        <w:t>P</w:t>
      </w:r>
      <w:r w:rsidRPr="00433F80">
        <w:rPr>
          <w:rFonts w:cs="Arial"/>
          <w:color w:val="auto"/>
          <w:sz w:val="21"/>
          <w:szCs w:val="21"/>
          <w:lang w:val="en-AU" w:eastAsia="en-AU"/>
        </w:rPr>
        <w:t>artnership</w:t>
      </w:r>
      <w:r w:rsidR="00EF29D6" w:rsidRPr="00433F80">
        <w:rPr>
          <w:rFonts w:cs="Arial"/>
          <w:color w:val="auto"/>
          <w:sz w:val="21"/>
          <w:szCs w:val="21"/>
          <w:lang w:val="en-AU" w:eastAsia="en-AU"/>
        </w:rPr>
        <w:t xml:space="preserve"> will</w:t>
      </w:r>
      <w:r w:rsidRPr="00433F80">
        <w:rPr>
          <w:rFonts w:cs="Arial"/>
          <w:color w:val="auto"/>
          <w:sz w:val="21"/>
          <w:szCs w:val="21"/>
          <w:lang w:val="en-AU" w:eastAsia="en-AU"/>
        </w:rPr>
        <w:t xml:space="preserve"> </w:t>
      </w:r>
      <w:r w:rsidR="00EF29D6" w:rsidRPr="00433F80">
        <w:rPr>
          <w:rFonts w:cs="Arial"/>
          <w:color w:val="auto"/>
          <w:sz w:val="21"/>
          <w:szCs w:val="21"/>
          <w:lang w:val="en-AU" w:eastAsia="en-AU"/>
        </w:rPr>
        <w:t xml:space="preserve">enable DFAT to progressively </w:t>
      </w:r>
      <w:r w:rsidRPr="00433F80">
        <w:rPr>
          <w:rFonts w:cs="Arial"/>
          <w:color w:val="auto"/>
          <w:sz w:val="21"/>
          <w:szCs w:val="21"/>
          <w:lang w:val="en-AU" w:eastAsia="en-AU"/>
        </w:rPr>
        <w:t>consolidate our existing collaborations with the World Bank to reduce transaction costs and promote policy-level colla</w:t>
      </w:r>
      <w:r w:rsidR="00206253" w:rsidRPr="00433F80">
        <w:rPr>
          <w:rFonts w:cs="Arial"/>
          <w:color w:val="auto"/>
          <w:sz w:val="21"/>
          <w:szCs w:val="21"/>
          <w:lang w:val="en-AU" w:eastAsia="en-AU"/>
        </w:rPr>
        <w:t>boration on shared World Bank-</w:t>
      </w:r>
      <w:r w:rsidRPr="00433F80">
        <w:rPr>
          <w:rFonts w:cs="Arial"/>
          <w:color w:val="auto"/>
          <w:sz w:val="21"/>
          <w:szCs w:val="21"/>
          <w:lang w:val="en-AU" w:eastAsia="en-AU"/>
        </w:rPr>
        <w:t xml:space="preserve">Australia interests. </w:t>
      </w:r>
      <w:r w:rsidR="00194471" w:rsidRPr="00433F80">
        <w:rPr>
          <w:rFonts w:cs="Arial"/>
          <w:color w:val="auto"/>
          <w:sz w:val="21"/>
          <w:szCs w:val="21"/>
          <w:lang w:val="en-AU" w:eastAsia="en-AU"/>
        </w:rPr>
        <w:t xml:space="preserve">It mobilises new resources for known weaknesses (lessons learned </w:t>
      </w:r>
      <w:r w:rsidR="00194471" w:rsidRPr="00433F80">
        <w:rPr>
          <w:color w:val="auto"/>
          <w:sz w:val="21"/>
          <w:szCs w:val="21"/>
          <w:lang w:val="en-AU"/>
        </w:rPr>
        <w:t xml:space="preserve">compiled in 2019 by WBG/Jakarta Post showed the importance of resourcing gender, M&amp;E, and communications to meet DFAT standards when partnering with the World Bank). </w:t>
      </w:r>
      <w:r w:rsidR="00194471" w:rsidRPr="00433F80">
        <w:rPr>
          <w:rFonts w:cs="Arial"/>
          <w:color w:val="auto"/>
          <w:sz w:val="21"/>
          <w:szCs w:val="21"/>
          <w:lang w:val="en-AU" w:eastAsia="en-AU"/>
        </w:rPr>
        <w:t xml:space="preserve">The Partnership </w:t>
      </w:r>
      <w:r w:rsidRPr="00433F80">
        <w:rPr>
          <w:rFonts w:cs="Arial"/>
          <w:color w:val="auto"/>
          <w:sz w:val="21"/>
          <w:szCs w:val="21"/>
          <w:lang w:val="en-AU" w:eastAsia="en-AU"/>
        </w:rPr>
        <w:t>has some ability to be scaled up or down</w:t>
      </w:r>
      <w:r w:rsidR="00692A38" w:rsidRPr="00433F80">
        <w:rPr>
          <w:rFonts w:cs="Arial"/>
          <w:color w:val="auto"/>
          <w:sz w:val="21"/>
          <w:szCs w:val="21"/>
          <w:lang w:val="en-AU" w:eastAsia="en-AU"/>
        </w:rPr>
        <w:t xml:space="preserve"> </w:t>
      </w:r>
      <w:r w:rsidRPr="00433F80">
        <w:rPr>
          <w:rFonts w:cs="Arial"/>
          <w:color w:val="auto"/>
          <w:sz w:val="21"/>
          <w:szCs w:val="21"/>
          <w:lang w:val="en-AU" w:eastAsia="en-AU"/>
        </w:rPr>
        <w:t xml:space="preserve">and maintains some flexibility to respond to emerging priorities outside of existing World Bank projects. </w:t>
      </w:r>
    </w:p>
    <w:p w14:paraId="14F4B733" w14:textId="41D01944" w:rsidR="00D86A4F" w:rsidRPr="00433F80" w:rsidRDefault="00D86A4F" w:rsidP="005E6171">
      <w:pPr>
        <w:tabs>
          <w:tab w:val="left" w:pos="284"/>
        </w:tabs>
        <w:suppressAutoHyphens w:val="0"/>
        <w:spacing w:before="0" w:line="360" w:lineRule="auto"/>
        <w:rPr>
          <w:color w:val="auto"/>
          <w:sz w:val="21"/>
          <w:szCs w:val="21"/>
          <w:lang w:val="en-AU" w:eastAsia="en-AU"/>
        </w:rPr>
      </w:pPr>
      <w:r w:rsidRPr="00433F80">
        <w:rPr>
          <w:rFonts w:cs="Arial"/>
          <w:color w:val="auto"/>
          <w:sz w:val="21"/>
          <w:szCs w:val="21"/>
          <w:lang w:val="en-AU" w:eastAsia="en-AU"/>
        </w:rPr>
        <w:t xml:space="preserve">Other options considered for this investment include </w:t>
      </w:r>
      <w:r w:rsidR="008901EF" w:rsidRPr="00433F80">
        <w:rPr>
          <w:rFonts w:cs="Arial"/>
          <w:color w:val="auto"/>
          <w:sz w:val="21"/>
          <w:szCs w:val="21"/>
          <w:lang w:val="en-AU" w:eastAsia="en-AU"/>
        </w:rPr>
        <w:t xml:space="preserve">maintaining </w:t>
      </w:r>
      <w:r w:rsidRPr="00433F80">
        <w:rPr>
          <w:rFonts w:cs="Arial"/>
          <w:color w:val="auto"/>
          <w:sz w:val="21"/>
          <w:szCs w:val="21"/>
          <w:lang w:val="en-AU" w:eastAsia="en-AU"/>
        </w:rPr>
        <w:t xml:space="preserve">separate investments in </w:t>
      </w:r>
      <w:r w:rsidR="008901EF" w:rsidRPr="00433F80">
        <w:rPr>
          <w:rFonts w:cs="Arial"/>
          <w:color w:val="auto"/>
          <w:sz w:val="21"/>
          <w:szCs w:val="21"/>
          <w:lang w:val="en-AU" w:eastAsia="en-AU"/>
        </w:rPr>
        <w:t xml:space="preserve">multiple World Bank </w:t>
      </w:r>
      <w:r w:rsidRPr="00433F80">
        <w:rPr>
          <w:rFonts w:cs="Arial"/>
          <w:color w:val="auto"/>
          <w:sz w:val="21"/>
          <w:szCs w:val="21"/>
          <w:lang w:val="en-AU" w:eastAsia="en-AU"/>
        </w:rPr>
        <w:t>projects or working with alternative partners such as U</w:t>
      </w:r>
      <w:r w:rsidR="008901EF" w:rsidRPr="00433F80">
        <w:rPr>
          <w:rFonts w:cs="Arial"/>
          <w:color w:val="auto"/>
          <w:sz w:val="21"/>
          <w:szCs w:val="21"/>
          <w:lang w:val="en-AU" w:eastAsia="en-AU"/>
        </w:rPr>
        <w:t>N</w:t>
      </w:r>
      <w:r w:rsidRPr="00433F80">
        <w:rPr>
          <w:rFonts w:cs="Arial"/>
          <w:color w:val="auto"/>
          <w:sz w:val="21"/>
          <w:szCs w:val="21"/>
          <w:lang w:val="en-AU" w:eastAsia="en-AU"/>
        </w:rPr>
        <w:t xml:space="preserve"> agencies</w:t>
      </w:r>
      <w:r w:rsidR="008901EF" w:rsidRPr="00433F80">
        <w:rPr>
          <w:rFonts w:cs="Arial"/>
          <w:color w:val="auto"/>
          <w:sz w:val="21"/>
          <w:szCs w:val="21"/>
          <w:lang w:val="en-AU" w:eastAsia="en-AU"/>
        </w:rPr>
        <w:t>, International NGOs</w:t>
      </w:r>
      <w:r w:rsidRPr="00433F80">
        <w:rPr>
          <w:rFonts w:cs="Arial"/>
          <w:color w:val="auto"/>
          <w:sz w:val="21"/>
          <w:szCs w:val="21"/>
          <w:lang w:val="en-AU" w:eastAsia="en-AU"/>
        </w:rPr>
        <w:t xml:space="preserve"> or managing contractor</w:t>
      </w:r>
      <w:r w:rsidR="008901EF" w:rsidRPr="00433F80">
        <w:rPr>
          <w:rFonts w:cs="Arial"/>
          <w:color w:val="auto"/>
          <w:sz w:val="21"/>
          <w:szCs w:val="21"/>
          <w:lang w:val="en-AU" w:eastAsia="en-AU"/>
        </w:rPr>
        <w:t>s</w:t>
      </w:r>
      <w:r w:rsidRPr="00433F80">
        <w:rPr>
          <w:rFonts w:cs="Arial"/>
          <w:color w:val="auto"/>
          <w:sz w:val="21"/>
          <w:szCs w:val="21"/>
          <w:lang w:val="en-AU" w:eastAsia="en-AU"/>
        </w:rPr>
        <w:t>. However, these other options do not deliver the combination of 1) a</w:t>
      </w:r>
      <w:r w:rsidRPr="00433F80">
        <w:rPr>
          <w:color w:val="auto"/>
          <w:sz w:val="21"/>
          <w:szCs w:val="21"/>
          <w:lang w:val="en-AU" w:eastAsia="en-AU"/>
        </w:rPr>
        <w:t xml:space="preserve"> single partner with the technical expertise </w:t>
      </w:r>
      <w:r w:rsidR="005428E5" w:rsidRPr="00433F80">
        <w:rPr>
          <w:color w:val="auto"/>
          <w:sz w:val="21"/>
          <w:szCs w:val="21"/>
          <w:lang w:val="en-AU" w:eastAsia="en-AU"/>
        </w:rPr>
        <w:t xml:space="preserve">and experience </w:t>
      </w:r>
      <w:r w:rsidRPr="00433F80">
        <w:rPr>
          <w:color w:val="auto"/>
          <w:sz w:val="21"/>
          <w:szCs w:val="21"/>
          <w:lang w:val="en-AU" w:eastAsia="en-AU"/>
        </w:rPr>
        <w:t xml:space="preserve">to work </w:t>
      </w:r>
      <w:r w:rsidR="008901EF" w:rsidRPr="00433F80">
        <w:rPr>
          <w:color w:val="auto"/>
          <w:sz w:val="21"/>
          <w:szCs w:val="21"/>
          <w:lang w:val="en-AU" w:eastAsia="en-AU"/>
        </w:rPr>
        <w:t>on national level public service reform</w:t>
      </w:r>
      <w:r w:rsidR="00C87482" w:rsidRPr="00433F80">
        <w:rPr>
          <w:color w:val="auto"/>
          <w:sz w:val="21"/>
          <w:szCs w:val="21"/>
          <w:lang w:val="en-AU" w:eastAsia="en-AU"/>
        </w:rPr>
        <w:t>, including with the Ministry of Economy and Finance</w:t>
      </w:r>
      <w:r w:rsidRPr="00433F80">
        <w:rPr>
          <w:color w:val="auto"/>
          <w:sz w:val="21"/>
          <w:szCs w:val="21"/>
          <w:lang w:val="en-AU" w:eastAsia="en-AU"/>
        </w:rPr>
        <w:t xml:space="preserve">, </w:t>
      </w:r>
      <w:r w:rsidR="00D564BC" w:rsidRPr="00433F80">
        <w:rPr>
          <w:color w:val="auto"/>
          <w:sz w:val="21"/>
          <w:szCs w:val="21"/>
          <w:lang w:val="en-AU" w:eastAsia="en-AU"/>
        </w:rPr>
        <w:t>for sustainable results</w:t>
      </w:r>
      <w:r w:rsidR="008D4CF8" w:rsidRPr="00433F80">
        <w:rPr>
          <w:color w:val="auto"/>
          <w:sz w:val="21"/>
          <w:szCs w:val="21"/>
          <w:lang w:val="en-AU" w:eastAsia="en-AU"/>
        </w:rPr>
        <w:t>,</w:t>
      </w:r>
      <w:r w:rsidR="00D564BC" w:rsidRPr="00433F80">
        <w:rPr>
          <w:color w:val="auto"/>
          <w:sz w:val="21"/>
          <w:szCs w:val="21"/>
          <w:lang w:val="en-AU" w:eastAsia="en-AU"/>
        </w:rPr>
        <w:t xml:space="preserve"> </w:t>
      </w:r>
      <w:r w:rsidRPr="00433F80">
        <w:rPr>
          <w:color w:val="auto"/>
          <w:sz w:val="21"/>
          <w:szCs w:val="21"/>
          <w:lang w:val="en-AU" w:eastAsia="en-AU"/>
        </w:rPr>
        <w:t xml:space="preserve">2) the ability to </w:t>
      </w:r>
      <w:r w:rsidR="00C87482" w:rsidRPr="00433F80">
        <w:rPr>
          <w:color w:val="auto"/>
          <w:sz w:val="21"/>
          <w:szCs w:val="21"/>
          <w:lang w:val="en-AU" w:eastAsia="en-AU"/>
        </w:rPr>
        <w:t>use Australia's grant financing and policy engagement to influence a much larger investment pool</w:t>
      </w:r>
      <w:r w:rsidR="008D4CF8" w:rsidRPr="00433F80">
        <w:rPr>
          <w:color w:val="auto"/>
          <w:sz w:val="21"/>
          <w:szCs w:val="21"/>
          <w:lang w:val="en-AU" w:eastAsia="en-AU"/>
        </w:rPr>
        <w:t>, and</w:t>
      </w:r>
      <w:r w:rsidR="00C87482" w:rsidRPr="00433F80">
        <w:rPr>
          <w:color w:val="auto"/>
          <w:sz w:val="21"/>
          <w:szCs w:val="21"/>
          <w:lang w:val="en-AU" w:eastAsia="en-AU"/>
        </w:rPr>
        <w:t xml:space="preserve"> 3) </w:t>
      </w:r>
      <w:r w:rsidR="006B2A02" w:rsidRPr="00433F80">
        <w:rPr>
          <w:color w:val="auto"/>
          <w:sz w:val="21"/>
          <w:szCs w:val="21"/>
          <w:lang w:val="en-AU" w:eastAsia="en-AU"/>
        </w:rPr>
        <w:t xml:space="preserve">sound </w:t>
      </w:r>
      <w:r w:rsidR="00C87482" w:rsidRPr="00433F80">
        <w:rPr>
          <w:color w:val="auto"/>
          <w:sz w:val="21"/>
          <w:szCs w:val="21"/>
          <w:lang w:val="en-AU" w:eastAsia="en-AU"/>
        </w:rPr>
        <w:t xml:space="preserve">institutional systems that enable DFAT to take a partner-led approach to day-to-day activity implementation. </w:t>
      </w:r>
    </w:p>
    <w:p w14:paraId="105AC1AF" w14:textId="77777777" w:rsidR="003C3B6A" w:rsidRDefault="00D86A4F" w:rsidP="003C3B6A">
      <w:pPr>
        <w:tabs>
          <w:tab w:val="left" w:pos="284"/>
        </w:tabs>
        <w:suppressAutoHyphens w:val="0"/>
        <w:spacing w:before="0" w:line="360" w:lineRule="auto"/>
        <w:rPr>
          <w:color w:val="auto"/>
          <w:sz w:val="21"/>
          <w:szCs w:val="21"/>
          <w:lang w:val="en-AU" w:eastAsia="en-AU"/>
        </w:rPr>
      </w:pPr>
      <w:r w:rsidRPr="00433F80">
        <w:rPr>
          <w:color w:val="auto"/>
          <w:sz w:val="21"/>
          <w:szCs w:val="21"/>
          <w:lang w:val="en-AU" w:eastAsia="en-AU"/>
        </w:rPr>
        <w:t>The balance of multi-donor and dedica</w:t>
      </w:r>
      <w:r w:rsidR="00206253" w:rsidRPr="00433F80">
        <w:rPr>
          <w:color w:val="auto"/>
          <w:sz w:val="21"/>
          <w:szCs w:val="21"/>
          <w:lang w:val="en-AU" w:eastAsia="en-AU"/>
        </w:rPr>
        <w:t>ted P</w:t>
      </w:r>
      <w:r w:rsidRPr="00433F80">
        <w:rPr>
          <w:color w:val="auto"/>
          <w:sz w:val="21"/>
          <w:szCs w:val="21"/>
          <w:lang w:val="en-AU" w:eastAsia="en-AU"/>
        </w:rPr>
        <w:t>artnership activities helps deliver value-for-money</w:t>
      </w:r>
      <w:r w:rsidR="009C01DA" w:rsidRPr="00433F80">
        <w:rPr>
          <w:color w:val="auto"/>
          <w:sz w:val="21"/>
          <w:szCs w:val="21"/>
          <w:lang w:val="en-AU" w:eastAsia="en-AU"/>
        </w:rPr>
        <w:t xml:space="preserve">: </w:t>
      </w:r>
      <w:r w:rsidR="005C7007" w:rsidRPr="00433F80">
        <w:rPr>
          <w:color w:val="auto"/>
          <w:sz w:val="21"/>
          <w:szCs w:val="21"/>
          <w:lang w:val="en-AU" w:eastAsia="en-AU"/>
        </w:rPr>
        <w:t>8</w:t>
      </w:r>
      <w:r w:rsidR="00040CE8" w:rsidRPr="00433F80">
        <w:rPr>
          <w:color w:val="auto"/>
          <w:sz w:val="21"/>
          <w:szCs w:val="21"/>
          <w:lang w:val="en-AU" w:eastAsia="en-AU"/>
        </w:rPr>
        <w:t>5</w:t>
      </w:r>
      <w:r w:rsidRPr="00433F80">
        <w:rPr>
          <w:color w:val="auto"/>
          <w:sz w:val="21"/>
          <w:szCs w:val="21"/>
          <w:lang w:val="en-AU" w:eastAsia="en-AU"/>
        </w:rPr>
        <w:t xml:space="preserve">% of </w:t>
      </w:r>
      <w:r w:rsidR="009C01DA" w:rsidRPr="00433F80">
        <w:rPr>
          <w:color w:val="auto"/>
          <w:sz w:val="21"/>
          <w:szCs w:val="21"/>
          <w:lang w:val="en-AU" w:eastAsia="en-AU"/>
        </w:rPr>
        <w:t xml:space="preserve">the </w:t>
      </w:r>
      <w:r w:rsidRPr="00433F80">
        <w:rPr>
          <w:color w:val="auto"/>
          <w:sz w:val="21"/>
          <w:szCs w:val="21"/>
          <w:lang w:val="en-AU" w:eastAsia="en-AU"/>
        </w:rPr>
        <w:t xml:space="preserve">funds </w:t>
      </w:r>
      <w:r w:rsidR="009C01DA" w:rsidRPr="00433F80">
        <w:rPr>
          <w:color w:val="auto"/>
          <w:sz w:val="21"/>
          <w:szCs w:val="21"/>
          <w:lang w:val="en-AU" w:eastAsia="en-AU"/>
        </w:rPr>
        <w:t>attract a relatively modest 5% trust fund fee while the remaining 1</w:t>
      </w:r>
      <w:r w:rsidR="00040CE8" w:rsidRPr="00433F80">
        <w:rPr>
          <w:color w:val="auto"/>
          <w:sz w:val="21"/>
          <w:szCs w:val="21"/>
          <w:lang w:val="en-AU" w:eastAsia="en-AU"/>
        </w:rPr>
        <w:t>5</w:t>
      </w:r>
      <w:r w:rsidR="009C01DA" w:rsidRPr="00433F80">
        <w:rPr>
          <w:color w:val="auto"/>
          <w:sz w:val="21"/>
          <w:szCs w:val="21"/>
          <w:lang w:val="en-AU" w:eastAsia="en-AU"/>
        </w:rPr>
        <w:t xml:space="preserve">% of direct bank-executed </w:t>
      </w:r>
      <w:r w:rsidR="00040CE8" w:rsidRPr="00433F80">
        <w:rPr>
          <w:color w:val="auto"/>
          <w:sz w:val="21"/>
          <w:szCs w:val="21"/>
          <w:lang w:val="en-AU" w:eastAsia="en-AU"/>
        </w:rPr>
        <w:t xml:space="preserve">activities </w:t>
      </w:r>
      <w:r w:rsidR="009C01DA" w:rsidRPr="00433F80">
        <w:rPr>
          <w:color w:val="auto"/>
          <w:sz w:val="21"/>
          <w:szCs w:val="21"/>
          <w:lang w:val="en-AU" w:eastAsia="en-AU"/>
        </w:rPr>
        <w:t>will attract a fee of 1</w:t>
      </w:r>
      <w:r w:rsidR="009B618C" w:rsidRPr="00433F80">
        <w:rPr>
          <w:color w:val="auto"/>
          <w:sz w:val="21"/>
          <w:szCs w:val="21"/>
          <w:lang w:val="en-AU" w:eastAsia="en-AU"/>
        </w:rPr>
        <w:t>2</w:t>
      </w:r>
      <w:r w:rsidR="009C01DA" w:rsidRPr="00433F80">
        <w:rPr>
          <w:color w:val="auto"/>
          <w:sz w:val="21"/>
          <w:szCs w:val="21"/>
          <w:lang w:val="en-AU" w:eastAsia="en-AU"/>
        </w:rPr>
        <w:t>%</w:t>
      </w:r>
      <w:r w:rsidR="00EF29D6" w:rsidRPr="00433F80">
        <w:rPr>
          <w:color w:val="auto"/>
          <w:sz w:val="21"/>
          <w:szCs w:val="21"/>
          <w:lang w:val="en-AU" w:eastAsia="en-AU"/>
        </w:rPr>
        <w:t xml:space="preserve"> on </w:t>
      </w:r>
      <w:r w:rsidR="009B618C" w:rsidRPr="00433F80">
        <w:rPr>
          <w:color w:val="auto"/>
          <w:sz w:val="21"/>
          <w:szCs w:val="21"/>
          <w:lang w:val="en-AU" w:eastAsia="en-AU"/>
        </w:rPr>
        <w:t>all expenditure</w:t>
      </w:r>
      <w:r w:rsidR="009C01DA" w:rsidRPr="00433F80">
        <w:rPr>
          <w:color w:val="auto"/>
          <w:sz w:val="21"/>
          <w:szCs w:val="21"/>
          <w:lang w:val="en-AU" w:eastAsia="en-AU"/>
        </w:rPr>
        <w:t xml:space="preserve">. Furthermore, the consolidated nature of the investment reduces the administrative burden </w:t>
      </w:r>
      <w:r w:rsidR="006B2A02" w:rsidRPr="00433F80">
        <w:rPr>
          <w:color w:val="auto"/>
          <w:sz w:val="21"/>
          <w:szCs w:val="21"/>
          <w:lang w:val="en-AU" w:eastAsia="en-AU"/>
        </w:rPr>
        <w:t>on Post and provides some flexibility for where DFAT invests its management effort,</w:t>
      </w:r>
      <w:r w:rsidR="009C01DA" w:rsidRPr="00433F80">
        <w:rPr>
          <w:color w:val="auto"/>
          <w:sz w:val="21"/>
          <w:szCs w:val="21"/>
          <w:lang w:val="en-AU" w:eastAsia="en-AU"/>
        </w:rPr>
        <w:t xml:space="preserve"> allowing </w:t>
      </w:r>
      <w:r w:rsidR="007D3788" w:rsidRPr="00433F80">
        <w:rPr>
          <w:color w:val="auto"/>
          <w:sz w:val="21"/>
          <w:szCs w:val="21"/>
          <w:lang w:val="en-AU" w:eastAsia="en-AU"/>
        </w:rPr>
        <w:t>Post</w:t>
      </w:r>
      <w:r w:rsidR="009C01DA" w:rsidRPr="00433F80">
        <w:rPr>
          <w:color w:val="auto"/>
          <w:sz w:val="21"/>
          <w:szCs w:val="21"/>
          <w:lang w:val="en-AU" w:eastAsia="en-AU"/>
        </w:rPr>
        <w:t xml:space="preserve"> to focus our </w:t>
      </w:r>
      <w:r w:rsidR="007D3788" w:rsidRPr="00433F80">
        <w:rPr>
          <w:color w:val="auto"/>
          <w:sz w:val="21"/>
          <w:szCs w:val="21"/>
          <w:lang w:val="en-AU" w:eastAsia="en-AU"/>
        </w:rPr>
        <w:t xml:space="preserve">resources where we can </w:t>
      </w:r>
      <w:r w:rsidR="009C01DA" w:rsidRPr="00433F80">
        <w:rPr>
          <w:color w:val="auto"/>
          <w:sz w:val="21"/>
          <w:szCs w:val="21"/>
          <w:lang w:val="en-AU" w:eastAsia="en-AU"/>
        </w:rPr>
        <w:t>have the most influence.</w:t>
      </w:r>
    </w:p>
    <w:p w14:paraId="1A278E23" w14:textId="6AABDB77" w:rsidR="00F2653B" w:rsidRPr="003C3B6A" w:rsidRDefault="003C3B6A" w:rsidP="003C3B6A">
      <w:pPr>
        <w:suppressAutoHyphens w:val="0"/>
        <w:spacing w:before="0" w:after="120" w:line="440" w:lineRule="atLeast"/>
        <w:rPr>
          <w:color w:val="auto"/>
          <w:sz w:val="21"/>
          <w:szCs w:val="21"/>
          <w:lang w:val="en-AU" w:eastAsia="en-AU"/>
        </w:rPr>
      </w:pPr>
      <w:r>
        <w:rPr>
          <w:color w:val="auto"/>
          <w:sz w:val="21"/>
          <w:szCs w:val="21"/>
          <w:lang w:val="en-AU" w:eastAsia="en-AU"/>
        </w:rPr>
        <w:br w:type="page"/>
      </w:r>
      <w:r w:rsidR="00F2653B" w:rsidRPr="00433F80">
        <w:rPr>
          <w:b/>
          <w:color w:val="auto"/>
          <w:sz w:val="21"/>
          <w:szCs w:val="21"/>
          <w:lang w:val="en-AU"/>
        </w:rPr>
        <w:lastRenderedPageBreak/>
        <w:t>Table: Proposed structure of the Partnership Trust Fund (as per the World Bank Concept Note)</w:t>
      </w:r>
    </w:p>
    <w:p w14:paraId="77BB730E" w14:textId="5D4082B4" w:rsidR="00237DD9" w:rsidRPr="00433F80" w:rsidRDefault="00237DD9" w:rsidP="005E6171">
      <w:pPr>
        <w:tabs>
          <w:tab w:val="left" w:pos="284"/>
        </w:tabs>
        <w:suppressAutoHyphens w:val="0"/>
        <w:spacing w:before="0" w:line="360" w:lineRule="auto"/>
        <w:rPr>
          <w:b/>
          <w:color w:val="auto"/>
          <w:sz w:val="21"/>
          <w:szCs w:val="21"/>
          <w:lang w:val="en-AU"/>
        </w:rPr>
      </w:pPr>
      <w:r>
        <w:rPr>
          <w:noProof/>
        </w:rPr>
        <w:drawing>
          <wp:inline distT="0" distB="0" distL="0" distR="0" wp14:anchorId="0EE320F0" wp14:editId="38EF785D">
            <wp:extent cx="6110381" cy="2415496"/>
            <wp:effectExtent l="0" t="0" r="5080" b="4445"/>
            <wp:docPr id="1" name="Picture 1" descr="Australia-WB Cambodia Trust Fund, overseeing Bank Executed and Recipient Executed s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WB Cambodia Trust Fund, overseeing Bank Executed and Recipient Executed sections."/>
                    <pic:cNvPicPr/>
                  </pic:nvPicPr>
                  <pic:blipFill>
                    <a:blip r:embed="rId11"/>
                    <a:stretch>
                      <a:fillRect/>
                    </a:stretch>
                  </pic:blipFill>
                  <pic:spPr>
                    <a:xfrm>
                      <a:off x="0" y="0"/>
                      <a:ext cx="6131643" cy="2423901"/>
                    </a:xfrm>
                    <a:prstGeom prst="rect">
                      <a:avLst/>
                    </a:prstGeom>
                  </pic:spPr>
                </pic:pic>
              </a:graphicData>
            </a:graphic>
          </wp:inline>
        </w:drawing>
      </w:r>
    </w:p>
    <w:p w14:paraId="55709714" w14:textId="77777777" w:rsidR="002D4DE7" w:rsidRPr="00433F80" w:rsidRDefault="002D4DE7" w:rsidP="005E6171">
      <w:pPr>
        <w:numPr>
          <w:ilvl w:val="0"/>
          <w:numId w:val="11"/>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line="360" w:lineRule="auto"/>
        <w:ind w:left="284" w:hanging="284"/>
        <w:rPr>
          <w:rFonts w:asciiTheme="majorHAnsi" w:hAnsiTheme="majorHAnsi"/>
          <w:b/>
          <w:color w:val="auto"/>
          <w:szCs w:val="21"/>
          <w:lang w:val="en-AU"/>
        </w:rPr>
      </w:pPr>
      <w:r w:rsidRPr="00433F80">
        <w:rPr>
          <w:rFonts w:asciiTheme="majorHAnsi" w:hAnsiTheme="majorHAnsi"/>
          <w:b/>
          <w:color w:val="auto"/>
          <w:szCs w:val="21"/>
          <w:lang w:val="en-AU"/>
        </w:rPr>
        <w:t>Implementation Arrangements (How will DFAT engage in the partnership?)</w:t>
      </w:r>
    </w:p>
    <w:p w14:paraId="28ABB952" w14:textId="69759440" w:rsidR="0095125E" w:rsidRPr="00433F80" w:rsidRDefault="00881C34" w:rsidP="005E6171">
      <w:pPr>
        <w:tabs>
          <w:tab w:val="left" w:pos="284"/>
        </w:tabs>
        <w:suppressAutoHyphens w:val="0"/>
        <w:spacing w:before="0" w:line="360" w:lineRule="auto"/>
        <w:rPr>
          <w:rFonts w:cs="Arial"/>
          <w:color w:val="auto"/>
          <w:sz w:val="21"/>
          <w:szCs w:val="21"/>
          <w:lang w:val="en-AU"/>
        </w:rPr>
      </w:pPr>
      <w:r w:rsidRPr="00433F80">
        <w:rPr>
          <w:rFonts w:cs="Arial"/>
          <w:color w:val="auto"/>
          <w:sz w:val="21"/>
          <w:szCs w:val="21"/>
          <w:lang w:val="en-AU"/>
        </w:rPr>
        <w:t xml:space="preserve">The Partnership will involve different levels of management arrangements in order to ensure Australia receives the strategic and efficiency benefits of the </w:t>
      </w:r>
      <w:r w:rsidR="006B2A02" w:rsidRPr="00433F80">
        <w:rPr>
          <w:rFonts w:cs="Arial"/>
          <w:color w:val="auto"/>
          <w:sz w:val="21"/>
          <w:szCs w:val="21"/>
          <w:lang w:val="en-AU"/>
        </w:rPr>
        <w:t xml:space="preserve">Partnership </w:t>
      </w:r>
      <w:r w:rsidRPr="00433F80">
        <w:rPr>
          <w:rFonts w:cs="Arial"/>
          <w:color w:val="auto"/>
          <w:sz w:val="21"/>
          <w:szCs w:val="21"/>
          <w:lang w:val="en-AU"/>
        </w:rPr>
        <w:t>while also</w:t>
      </w:r>
      <w:r w:rsidR="006B6E82" w:rsidRPr="00433F80">
        <w:rPr>
          <w:rFonts w:cs="Arial"/>
          <w:color w:val="auto"/>
          <w:sz w:val="21"/>
          <w:szCs w:val="21"/>
          <w:lang w:val="en-AU"/>
        </w:rPr>
        <w:t xml:space="preserve"> being able to </w:t>
      </w:r>
      <w:r w:rsidRPr="00433F80">
        <w:rPr>
          <w:rFonts w:cs="Arial"/>
          <w:color w:val="auto"/>
          <w:sz w:val="21"/>
          <w:szCs w:val="21"/>
          <w:lang w:val="en-AU"/>
        </w:rPr>
        <w:t>engag</w:t>
      </w:r>
      <w:r w:rsidR="006B6E82" w:rsidRPr="00433F80">
        <w:rPr>
          <w:rFonts w:cs="Arial"/>
          <w:color w:val="auto"/>
          <w:sz w:val="21"/>
          <w:szCs w:val="21"/>
          <w:lang w:val="en-AU"/>
        </w:rPr>
        <w:t>e</w:t>
      </w:r>
      <w:r w:rsidR="001A7841" w:rsidRPr="00433F80">
        <w:rPr>
          <w:rFonts w:cs="Arial"/>
          <w:color w:val="auto"/>
          <w:sz w:val="21"/>
          <w:szCs w:val="21"/>
          <w:lang w:val="en-AU"/>
        </w:rPr>
        <w:t xml:space="preserve"> directly on policy and implementation with the Cambodian government through participation in project-level governance mechanisms</w:t>
      </w:r>
      <w:r w:rsidRPr="00433F80">
        <w:rPr>
          <w:rFonts w:cs="Arial"/>
          <w:color w:val="auto"/>
          <w:sz w:val="21"/>
          <w:szCs w:val="21"/>
          <w:lang w:val="en-AU"/>
        </w:rPr>
        <w:t xml:space="preserve">. </w:t>
      </w:r>
    </w:p>
    <w:p w14:paraId="512ACCF3" w14:textId="35B90EDA" w:rsidR="008B7558" w:rsidRPr="00433F80" w:rsidRDefault="00C75899" w:rsidP="005E6171">
      <w:pPr>
        <w:spacing w:line="360" w:lineRule="auto"/>
        <w:rPr>
          <w:color w:val="auto"/>
          <w:sz w:val="21"/>
          <w:szCs w:val="21"/>
          <w:lang w:val="en-AU" w:eastAsia="en-AU"/>
        </w:rPr>
      </w:pPr>
      <w:r w:rsidRPr="00433F80">
        <w:rPr>
          <w:rFonts w:cs="Arial"/>
          <w:color w:val="auto"/>
          <w:sz w:val="21"/>
          <w:szCs w:val="21"/>
          <w:lang w:val="en-AU"/>
        </w:rPr>
        <w:t xml:space="preserve">The </w:t>
      </w:r>
      <w:r w:rsidR="006B2A02" w:rsidRPr="00433F80">
        <w:rPr>
          <w:rFonts w:cs="Arial"/>
          <w:color w:val="auto"/>
          <w:sz w:val="21"/>
          <w:szCs w:val="21"/>
          <w:lang w:val="en-AU"/>
        </w:rPr>
        <w:t>key governance mechanism</w:t>
      </w:r>
      <w:r w:rsidR="008B7558" w:rsidRPr="00433F80">
        <w:rPr>
          <w:rFonts w:cs="Arial"/>
          <w:color w:val="auto"/>
          <w:sz w:val="21"/>
          <w:szCs w:val="21"/>
          <w:lang w:val="en-AU"/>
        </w:rPr>
        <w:t xml:space="preserve"> is the </w:t>
      </w:r>
      <w:r w:rsidR="005D28A1" w:rsidRPr="00433F80">
        <w:rPr>
          <w:b/>
          <w:color w:val="auto"/>
          <w:sz w:val="21"/>
          <w:szCs w:val="21"/>
          <w:lang w:val="en-AU" w:eastAsia="en-AU"/>
        </w:rPr>
        <w:t>Steering Committee</w:t>
      </w:r>
      <w:r w:rsidR="00575E1B" w:rsidRPr="00433F80">
        <w:rPr>
          <w:color w:val="auto"/>
          <w:sz w:val="21"/>
          <w:szCs w:val="21"/>
          <w:lang w:val="en-AU" w:eastAsia="en-AU"/>
        </w:rPr>
        <w:t xml:space="preserve"> with representatives of DFAT (up to DHOM level) and the World Bank (up to Country Manager level), including </w:t>
      </w:r>
      <w:r w:rsidR="00C374B2" w:rsidRPr="00433F80">
        <w:rPr>
          <w:color w:val="auto"/>
          <w:sz w:val="21"/>
          <w:szCs w:val="21"/>
          <w:lang w:val="en-AU" w:eastAsia="en-AU"/>
        </w:rPr>
        <w:t>participation from Post’s Human Development unit and Economics Unit</w:t>
      </w:r>
      <w:r w:rsidR="006B2A02" w:rsidRPr="00433F80">
        <w:rPr>
          <w:color w:val="auto"/>
          <w:sz w:val="21"/>
          <w:szCs w:val="21"/>
          <w:lang w:val="en-AU" w:eastAsia="en-AU"/>
        </w:rPr>
        <w:t xml:space="preserve">. The </w:t>
      </w:r>
      <w:r w:rsidR="005D28A1" w:rsidRPr="00433F80">
        <w:rPr>
          <w:color w:val="auto"/>
          <w:sz w:val="21"/>
          <w:szCs w:val="21"/>
          <w:lang w:val="en-AU" w:eastAsia="en-AU"/>
        </w:rPr>
        <w:t>Steering Committee</w:t>
      </w:r>
      <w:r w:rsidR="006B2A02" w:rsidRPr="00433F80">
        <w:rPr>
          <w:color w:val="auto"/>
          <w:sz w:val="21"/>
          <w:szCs w:val="21"/>
          <w:lang w:val="en-AU" w:eastAsia="en-AU"/>
        </w:rPr>
        <w:t xml:space="preserve"> </w:t>
      </w:r>
      <w:r w:rsidRPr="00433F80">
        <w:rPr>
          <w:color w:val="auto"/>
          <w:sz w:val="21"/>
          <w:szCs w:val="21"/>
          <w:lang w:val="en-AU" w:eastAsia="en-AU"/>
        </w:rPr>
        <w:t xml:space="preserve">will provide strategic guidance, identify joint policy or advocacy priorities and </w:t>
      </w:r>
      <w:r w:rsidR="003944A2" w:rsidRPr="00433F80">
        <w:rPr>
          <w:color w:val="auto"/>
          <w:sz w:val="21"/>
          <w:szCs w:val="21"/>
          <w:lang w:val="en-AU" w:eastAsia="en-AU"/>
        </w:rPr>
        <w:t xml:space="preserve">formally </w:t>
      </w:r>
      <w:r w:rsidRPr="00433F80">
        <w:rPr>
          <w:color w:val="auto"/>
          <w:sz w:val="21"/>
          <w:szCs w:val="21"/>
          <w:lang w:val="en-AU" w:eastAsia="en-AU"/>
        </w:rPr>
        <w:t xml:space="preserve">approve </w:t>
      </w:r>
      <w:r w:rsidR="003944A2" w:rsidRPr="00433F80">
        <w:rPr>
          <w:color w:val="auto"/>
          <w:sz w:val="21"/>
          <w:szCs w:val="21"/>
          <w:lang w:val="en-AU" w:eastAsia="en-AU"/>
        </w:rPr>
        <w:t>workplans and budgets</w:t>
      </w:r>
      <w:r w:rsidR="00575E1B" w:rsidRPr="00433F80">
        <w:rPr>
          <w:color w:val="auto"/>
          <w:sz w:val="21"/>
          <w:szCs w:val="21"/>
          <w:lang w:val="en-AU" w:eastAsia="en-AU"/>
        </w:rPr>
        <w:t xml:space="preserve"> for all three Partnership components</w:t>
      </w:r>
      <w:r w:rsidRPr="00433F80">
        <w:rPr>
          <w:color w:val="auto"/>
          <w:sz w:val="21"/>
          <w:szCs w:val="21"/>
          <w:lang w:val="en-AU" w:eastAsia="en-AU"/>
        </w:rPr>
        <w:t xml:space="preserve">. </w:t>
      </w:r>
      <w:r w:rsidR="0047682E" w:rsidRPr="00433F80">
        <w:rPr>
          <w:color w:val="auto"/>
          <w:sz w:val="21"/>
          <w:szCs w:val="21"/>
          <w:lang w:val="en-AU" w:eastAsia="en-AU"/>
        </w:rPr>
        <w:t>The Committee will be govern</w:t>
      </w:r>
      <w:r w:rsidR="000B1E20" w:rsidRPr="00433F80">
        <w:rPr>
          <w:color w:val="auto"/>
          <w:sz w:val="21"/>
          <w:szCs w:val="21"/>
          <w:lang w:val="en-AU" w:eastAsia="en-AU"/>
        </w:rPr>
        <w:t>ed</w:t>
      </w:r>
      <w:r w:rsidR="0047682E" w:rsidRPr="00433F80">
        <w:rPr>
          <w:color w:val="auto"/>
          <w:sz w:val="21"/>
          <w:szCs w:val="21"/>
          <w:lang w:val="en-AU" w:eastAsia="en-AU"/>
        </w:rPr>
        <w:t xml:space="preserve"> by a </w:t>
      </w:r>
      <w:proofErr w:type="spellStart"/>
      <w:r w:rsidR="0047682E" w:rsidRPr="00433F80">
        <w:rPr>
          <w:color w:val="auto"/>
          <w:sz w:val="21"/>
          <w:szCs w:val="21"/>
          <w:lang w:val="en-AU" w:eastAsia="en-AU"/>
        </w:rPr>
        <w:t>ToR</w:t>
      </w:r>
      <w:proofErr w:type="spellEnd"/>
      <w:r w:rsidR="0047682E" w:rsidRPr="00433F80">
        <w:rPr>
          <w:color w:val="auto"/>
          <w:sz w:val="21"/>
          <w:szCs w:val="21"/>
          <w:lang w:val="en-AU" w:eastAsia="en-AU"/>
        </w:rPr>
        <w:t xml:space="preserve">, will make decisions on consensus and can adjust the membership upon mutual agreement. </w:t>
      </w:r>
      <w:r w:rsidR="009F78E3" w:rsidRPr="00433F80">
        <w:rPr>
          <w:color w:val="auto"/>
          <w:sz w:val="21"/>
          <w:szCs w:val="21"/>
          <w:lang w:val="en-AU" w:eastAsia="en-AU"/>
        </w:rPr>
        <w:t xml:space="preserve">The Committee can revise the Partnership’s Results Framework, Operations Manual and budget line allocations (without requiring a revision of the Agreement). </w:t>
      </w:r>
      <w:r w:rsidR="006B2A02" w:rsidRPr="00433F80">
        <w:rPr>
          <w:color w:val="auto"/>
          <w:sz w:val="21"/>
          <w:szCs w:val="21"/>
          <w:lang w:val="en-AU" w:eastAsia="en-AU"/>
        </w:rPr>
        <w:t xml:space="preserve">In addition, </w:t>
      </w:r>
      <w:r w:rsidRPr="00433F80">
        <w:rPr>
          <w:color w:val="auto"/>
          <w:sz w:val="21"/>
          <w:szCs w:val="21"/>
          <w:lang w:val="en-AU" w:eastAsia="en-AU"/>
        </w:rPr>
        <w:t xml:space="preserve">DFAT officers will </w:t>
      </w:r>
      <w:r w:rsidR="00C374B2" w:rsidRPr="00433F80">
        <w:rPr>
          <w:color w:val="auto"/>
          <w:sz w:val="21"/>
          <w:szCs w:val="21"/>
          <w:lang w:val="en-AU" w:eastAsia="en-AU"/>
        </w:rPr>
        <w:t xml:space="preserve">have the opportunity to use the </w:t>
      </w:r>
      <w:r w:rsidR="00EF29D6" w:rsidRPr="00433F80">
        <w:rPr>
          <w:color w:val="auto"/>
          <w:sz w:val="21"/>
          <w:szCs w:val="21"/>
          <w:lang w:val="en-AU" w:eastAsia="en-AU"/>
        </w:rPr>
        <w:t>P</w:t>
      </w:r>
      <w:r w:rsidR="00C374B2" w:rsidRPr="00433F80">
        <w:rPr>
          <w:color w:val="auto"/>
          <w:sz w:val="21"/>
          <w:szCs w:val="21"/>
          <w:lang w:val="en-AU" w:eastAsia="en-AU"/>
        </w:rPr>
        <w:t xml:space="preserve">artnership to provide a platform to pursue policy interests shared with World Bank technical teams. </w:t>
      </w:r>
      <w:r w:rsidR="00575E1B" w:rsidRPr="00433F80">
        <w:rPr>
          <w:color w:val="auto"/>
          <w:sz w:val="21"/>
          <w:szCs w:val="21"/>
          <w:lang w:val="en-AU" w:eastAsia="en-AU"/>
        </w:rPr>
        <w:t>We will seek to complement the formal governance mechanism with annual meetings between the Ambassador and World Bank Country Director (based in Myanmar) to discuss Partnership performance and shared policy interests</w:t>
      </w:r>
      <w:r w:rsidR="008B7558" w:rsidRPr="00433F80">
        <w:rPr>
          <w:color w:val="auto"/>
          <w:sz w:val="21"/>
          <w:szCs w:val="21"/>
          <w:lang w:val="en-AU" w:eastAsia="en-AU"/>
        </w:rPr>
        <w:t xml:space="preserve">. </w:t>
      </w:r>
      <w:r w:rsidR="00500BDA" w:rsidRPr="00433F80">
        <w:rPr>
          <w:color w:val="auto"/>
          <w:sz w:val="21"/>
          <w:szCs w:val="21"/>
          <w:lang w:val="en-AU" w:eastAsia="en-AU"/>
        </w:rPr>
        <w:t>Both DFAT and the World Bank will nominate a Partnership Manager for day-to-day</w:t>
      </w:r>
      <w:r w:rsidR="00FE313E" w:rsidRPr="00433F80">
        <w:rPr>
          <w:color w:val="auto"/>
          <w:sz w:val="21"/>
          <w:szCs w:val="21"/>
          <w:lang w:val="en-AU" w:eastAsia="en-AU"/>
        </w:rPr>
        <w:t xml:space="preserve"> operations</w:t>
      </w:r>
      <w:r w:rsidR="00500BDA" w:rsidRPr="00433F80">
        <w:rPr>
          <w:color w:val="auto"/>
          <w:sz w:val="21"/>
          <w:szCs w:val="21"/>
          <w:lang w:val="en-AU" w:eastAsia="en-AU"/>
        </w:rPr>
        <w:t>, and they will coordinate with the broader teams on sectoral</w:t>
      </w:r>
      <w:r w:rsidR="00692A38" w:rsidRPr="00433F80">
        <w:rPr>
          <w:color w:val="auto"/>
          <w:sz w:val="21"/>
          <w:szCs w:val="21"/>
          <w:lang w:val="en-AU" w:eastAsia="en-AU"/>
        </w:rPr>
        <w:t>-</w:t>
      </w:r>
      <w:r w:rsidR="00500BDA" w:rsidRPr="00433F80">
        <w:rPr>
          <w:color w:val="auto"/>
          <w:sz w:val="21"/>
          <w:szCs w:val="21"/>
          <w:lang w:val="en-AU" w:eastAsia="en-AU"/>
        </w:rPr>
        <w:t>level engagement</w:t>
      </w:r>
      <w:r w:rsidR="00575E1B" w:rsidRPr="00433F80">
        <w:rPr>
          <w:color w:val="auto"/>
          <w:sz w:val="21"/>
          <w:szCs w:val="21"/>
          <w:lang w:val="en-AU" w:eastAsia="en-AU"/>
        </w:rPr>
        <w:t xml:space="preserve"> to ensure ongoing collaboration at all levels</w:t>
      </w:r>
      <w:r w:rsidR="00500BDA" w:rsidRPr="00433F80">
        <w:rPr>
          <w:color w:val="auto"/>
          <w:sz w:val="21"/>
          <w:szCs w:val="21"/>
          <w:lang w:val="en-AU" w:eastAsia="en-AU"/>
        </w:rPr>
        <w:t>.</w:t>
      </w:r>
    </w:p>
    <w:p w14:paraId="4F60E234" w14:textId="03F8FC97" w:rsidR="003944A2" w:rsidRPr="00433F80" w:rsidRDefault="00721E70" w:rsidP="005E6171">
      <w:pPr>
        <w:pStyle w:val="Bullet1"/>
        <w:spacing w:line="360" w:lineRule="auto"/>
        <w:ind w:left="0" w:firstLine="0"/>
        <w:rPr>
          <w:color w:val="auto"/>
          <w:sz w:val="21"/>
          <w:szCs w:val="21"/>
          <w:lang w:val="en-AU" w:eastAsia="en-AU"/>
        </w:rPr>
      </w:pPr>
      <w:r w:rsidRPr="00433F80">
        <w:rPr>
          <w:rFonts w:cs="Arial"/>
          <w:color w:val="auto"/>
          <w:sz w:val="21"/>
          <w:szCs w:val="21"/>
          <w:lang w:val="en-AU"/>
        </w:rPr>
        <w:t>The PROMISE PASA</w:t>
      </w:r>
      <w:r w:rsidRPr="00433F80" w:rsidDel="00721E70">
        <w:rPr>
          <w:rFonts w:cs="Arial"/>
          <w:color w:val="auto"/>
          <w:sz w:val="21"/>
          <w:szCs w:val="21"/>
          <w:lang w:val="en-AU"/>
        </w:rPr>
        <w:t xml:space="preserve"> </w:t>
      </w:r>
      <w:r w:rsidR="005117C8" w:rsidRPr="00433F80">
        <w:rPr>
          <w:rFonts w:cs="Arial"/>
          <w:color w:val="auto"/>
          <w:sz w:val="21"/>
          <w:szCs w:val="21"/>
          <w:lang w:val="en-AU"/>
        </w:rPr>
        <w:t xml:space="preserve">will </w:t>
      </w:r>
      <w:r w:rsidR="00084D82" w:rsidRPr="00433F80">
        <w:rPr>
          <w:rFonts w:cs="Arial"/>
          <w:color w:val="auto"/>
          <w:sz w:val="21"/>
          <w:szCs w:val="21"/>
          <w:lang w:val="en-AU"/>
        </w:rPr>
        <w:t xml:space="preserve">take the form of a World Bank </w:t>
      </w:r>
      <w:r w:rsidR="008B7558" w:rsidRPr="00433F80">
        <w:rPr>
          <w:rFonts w:cs="Arial"/>
          <w:b/>
          <w:color w:val="auto"/>
          <w:sz w:val="21"/>
          <w:szCs w:val="21"/>
          <w:lang w:val="en-AU"/>
        </w:rPr>
        <w:t xml:space="preserve">Advisory Services and Analytics </w:t>
      </w:r>
      <w:r w:rsidR="00084D82" w:rsidRPr="00433F80">
        <w:rPr>
          <w:rFonts w:cs="Arial"/>
          <w:color w:val="auto"/>
          <w:sz w:val="21"/>
          <w:szCs w:val="21"/>
          <w:lang w:val="en-AU"/>
        </w:rPr>
        <w:t>program</w:t>
      </w:r>
      <w:r w:rsidR="005117C8" w:rsidRPr="00433F80">
        <w:rPr>
          <w:rFonts w:cs="Arial"/>
          <w:color w:val="auto"/>
          <w:sz w:val="21"/>
          <w:szCs w:val="21"/>
          <w:lang w:val="en-AU"/>
        </w:rPr>
        <w:t>, which</w:t>
      </w:r>
      <w:r w:rsidR="008B7558" w:rsidRPr="00433F80">
        <w:rPr>
          <w:rFonts w:cs="Arial"/>
          <w:color w:val="auto"/>
          <w:sz w:val="21"/>
          <w:szCs w:val="21"/>
          <w:lang w:val="en-AU"/>
        </w:rPr>
        <w:t xml:space="preserve"> will set a framework for bank-executed research, </w:t>
      </w:r>
      <w:r w:rsidR="008B7558" w:rsidRPr="00433F80">
        <w:rPr>
          <w:color w:val="auto"/>
          <w:sz w:val="21"/>
          <w:szCs w:val="21"/>
          <w:lang w:val="en-AU" w:eastAsia="en-AU"/>
        </w:rPr>
        <w:t>analysis</w:t>
      </w:r>
      <w:r w:rsidR="008B7558" w:rsidRPr="00433F80">
        <w:rPr>
          <w:rFonts w:cs="Arial"/>
          <w:color w:val="auto"/>
          <w:sz w:val="21"/>
          <w:szCs w:val="21"/>
          <w:lang w:val="en-AU"/>
        </w:rPr>
        <w:t xml:space="preserve"> and policy advice. It will be managed by the Bank’s Country Management Unit with parameters </w:t>
      </w:r>
      <w:r w:rsidR="00A63289" w:rsidRPr="00433F80">
        <w:rPr>
          <w:rFonts w:cs="Arial"/>
          <w:color w:val="auto"/>
          <w:sz w:val="21"/>
          <w:szCs w:val="21"/>
          <w:lang w:val="en-AU"/>
        </w:rPr>
        <w:t>set out</w:t>
      </w:r>
      <w:r w:rsidR="005117C8" w:rsidRPr="00433F80">
        <w:rPr>
          <w:rFonts w:cs="Arial"/>
          <w:color w:val="auto"/>
          <w:sz w:val="21"/>
          <w:szCs w:val="21"/>
          <w:lang w:val="en-AU"/>
        </w:rPr>
        <w:t xml:space="preserve"> in</w:t>
      </w:r>
      <w:r w:rsidR="008B7558" w:rsidRPr="00433F80">
        <w:rPr>
          <w:rFonts w:cs="Arial"/>
          <w:color w:val="auto"/>
          <w:sz w:val="21"/>
          <w:szCs w:val="21"/>
          <w:lang w:val="en-AU"/>
        </w:rPr>
        <w:t xml:space="preserve"> </w:t>
      </w:r>
      <w:r w:rsidR="007F5F70" w:rsidRPr="00433F80">
        <w:rPr>
          <w:rFonts w:cs="Arial"/>
          <w:color w:val="auto"/>
          <w:sz w:val="21"/>
          <w:szCs w:val="21"/>
          <w:lang w:val="en-AU"/>
        </w:rPr>
        <w:t>the</w:t>
      </w:r>
      <w:r w:rsidR="008B7558" w:rsidRPr="00433F80">
        <w:rPr>
          <w:rFonts w:cs="Arial"/>
          <w:color w:val="auto"/>
          <w:sz w:val="21"/>
          <w:szCs w:val="21"/>
          <w:lang w:val="en-AU"/>
        </w:rPr>
        <w:t xml:space="preserve"> </w:t>
      </w:r>
      <w:r w:rsidRPr="00433F80">
        <w:rPr>
          <w:rFonts w:cs="Arial"/>
          <w:color w:val="auto"/>
          <w:sz w:val="21"/>
          <w:szCs w:val="21"/>
          <w:lang w:val="en-AU"/>
        </w:rPr>
        <w:t xml:space="preserve">PASA </w:t>
      </w:r>
      <w:r w:rsidR="008B7558" w:rsidRPr="00433F80">
        <w:rPr>
          <w:rFonts w:cs="Arial"/>
          <w:color w:val="auto"/>
          <w:sz w:val="21"/>
          <w:szCs w:val="21"/>
          <w:lang w:val="en-AU"/>
        </w:rPr>
        <w:t xml:space="preserve">Concept Note to be approved by the </w:t>
      </w:r>
      <w:r w:rsidR="005D28A1" w:rsidRPr="00433F80">
        <w:rPr>
          <w:rFonts w:cs="Arial"/>
          <w:color w:val="auto"/>
          <w:sz w:val="21"/>
          <w:szCs w:val="21"/>
          <w:lang w:val="en-AU"/>
        </w:rPr>
        <w:t>Steering Committee</w:t>
      </w:r>
      <w:r w:rsidR="00A63289" w:rsidRPr="00433F80">
        <w:rPr>
          <w:rFonts w:cs="Arial"/>
          <w:color w:val="auto"/>
          <w:sz w:val="21"/>
          <w:szCs w:val="21"/>
          <w:lang w:val="en-AU"/>
        </w:rPr>
        <w:t>. The Concept Note</w:t>
      </w:r>
      <w:r w:rsidR="008B7558" w:rsidRPr="00433F80">
        <w:rPr>
          <w:rFonts w:cs="Arial"/>
          <w:color w:val="auto"/>
          <w:sz w:val="21"/>
          <w:szCs w:val="21"/>
          <w:lang w:val="en-AU"/>
        </w:rPr>
        <w:t xml:space="preserve"> will provide specific </w:t>
      </w:r>
      <w:r w:rsidR="00575E1B" w:rsidRPr="00433F80">
        <w:rPr>
          <w:rFonts w:cs="Arial"/>
          <w:color w:val="auto"/>
          <w:sz w:val="21"/>
          <w:szCs w:val="21"/>
          <w:lang w:val="en-AU"/>
        </w:rPr>
        <w:t xml:space="preserve">criteria to ensure proposals are prioritised in areas including </w:t>
      </w:r>
      <w:r w:rsidR="008B7558" w:rsidRPr="00433F80">
        <w:rPr>
          <w:rFonts w:cs="Arial"/>
          <w:color w:val="auto"/>
          <w:sz w:val="21"/>
          <w:szCs w:val="21"/>
          <w:lang w:val="en-AU"/>
        </w:rPr>
        <w:t>1) gender equality and social inclusion, and 2) economic recovery and ongoing economic resilience.</w:t>
      </w:r>
      <w:r w:rsidR="005117C8" w:rsidRPr="00433F80">
        <w:rPr>
          <w:rFonts w:cs="Arial"/>
          <w:color w:val="auto"/>
          <w:sz w:val="21"/>
          <w:szCs w:val="21"/>
          <w:lang w:val="en-AU"/>
        </w:rPr>
        <w:t xml:space="preserve"> </w:t>
      </w:r>
      <w:r w:rsidR="00FD2F98" w:rsidRPr="00433F80">
        <w:rPr>
          <w:rFonts w:cs="Arial"/>
          <w:color w:val="auto"/>
          <w:sz w:val="21"/>
          <w:szCs w:val="21"/>
          <w:lang w:val="en-AU"/>
        </w:rPr>
        <w:t>P</w:t>
      </w:r>
      <w:r w:rsidR="00575E1B" w:rsidRPr="00433F80">
        <w:rPr>
          <w:rFonts w:cs="Arial"/>
          <w:color w:val="auto"/>
          <w:sz w:val="21"/>
          <w:szCs w:val="21"/>
          <w:lang w:val="en-AU"/>
        </w:rPr>
        <w:t xml:space="preserve">roposals </w:t>
      </w:r>
      <w:r w:rsidR="00FD2F98" w:rsidRPr="00433F80">
        <w:rPr>
          <w:rFonts w:cs="Arial"/>
          <w:color w:val="auto"/>
          <w:sz w:val="21"/>
          <w:szCs w:val="21"/>
          <w:lang w:val="en-AU"/>
        </w:rPr>
        <w:t xml:space="preserve">can be submitted by any in-country World Bank team and all </w:t>
      </w:r>
      <w:r w:rsidR="00575E1B" w:rsidRPr="00433F80">
        <w:rPr>
          <w:rFonts w:cs="Arial"/>
          <w:color w:val="auto"/>
          <w:sz w:val="21"/>
          <w:szCs w:val="21"/>
          <w:lang w:val="en-AU"/>
        </w:rPr>
        <w:t xml:space="preserve">must be endorsed by </w:t>
      </w:r>
      <w:r w:rsidR="00FD2F98" w:rsidRPr="00433F80">
        <w:rPr>
          <w:rFonts w:cs="Arial"/>
          <w:color w:val="auto"/>
          <w:sz w:val="21"/>
          <w:szCs w:val="21"/>
          <w:lang w:val="en-AU"/>
        </w:rPr>
        <w:t>a</w:t>
      </w:r>
      <w:r w:rsidR="00575E1B" w:rsidRPr="00433F80">
        <w:rPr>
          <w:rFonts w:cs="Arial"/>
          <w:color w:val="auto"/>
          <w:sz w:val="21"/>
          <w:szCs w:val="21"/>
          <w:lang w:val="en-AU"/>
        </w:rPr>
        <w:t xml:space="preserve"> DFAT </w:t>
      </w:r>
      <w:r w:rsidR="00FD2F98" w:rsidRPr="00433F80">
        <w:rPr>
          <w:rFonts w:cs="Arial"/>
          <w:color w:val="auto"/>
          <w:sz w:val="21"/>
          <w:szCs w:val="21"/>
          <w:lang w:val="en-AU"/>
        </w:rPr>
        <w:t>counterpart</w:t>
      </w:r>
      <w:r w:rsidR="00575E1B" w:rsidRPr="00433F80">
        <w:rPr>
          <w:rFonts w:cs="Arial"/>
          <w:color w:val="auto"/>
          <w:sz w:val="21"/>
          <w:szCs w:val="21"/>
          <w:lang w:val="en-AU"/>
        </w:rPr>
        <w:t xml:space="preserve"> to ensure they </w:t>
      </w:r>
      <w:r w:rsidR="00575E1B" w:rsidRPr="00433F80">
        <w:rPr>
          <w:rFonts w:cs="Arial"/>
          <w:color w:val="auto"/>
          <w:sz w:val="21"/>
          <w:szCs w:val="21"/>
          <w:lang w:val="en-AU"/>
        </w:rPr>
        <w:lastRenderedPageBreak/>
        <w:t xml:space="preserve">reflect </w:t>
      </w:r>
      <w:r w:rsidR="00FD2F98" w:rsidRPr="00433F80">
        <w:rPr>
          <w:rFonts w:cs="Arial"/>
          <w:color w:val="auto"/>
          <w:sz w:val="21"/>
          <w:szCs w:val="21"/>
          <w:lang w:val="en-AU"/>
        </w:rPr>
        <w:t xml:space="preserve">mutual </w:t>
      </w:r>
      <w:r w:rsidR="00575E1B" w:rsidRPr="00433F80">
        <w:rPr>
          <w:rFonts w:cs="Arial"/>
          <w:color w:val="auto"/>
          <w:sz w:val="21"/>
          <w:szCs w:val="21"/>
          <w:lang w:val="en-AU"/>
        </w:rPr>
        <w:t xml:space="preserve">Partnership </w:t>
      </w:r>
      <w:r w:rsidR="00FD2F98" w:rsidRPr="00433F80">
        <w:rPr>
          <w:rFonts w:cs="Arial"/>
          <w:color w:val="auto"/>
          <w:sz w:val="21"/>
          <w:szCs w:val="21"/>
          <w:lang w:val="en-AU"/>
        </w:rPr>
        <w:t>priorities</w:t>
      </w:r>
      <w:r w:rsidR="00575E1B" w:rsidRPr="00433F80">
        <w:rPr>
          <w:rFonts w:cs="Arial"/>
          <w:color w:val="auto"/>
          <w:sz w:val="21"/>
          <w:szCs w:val="21"/>
          <w:lang w:val="en-AU"/>
        </w:rPr>
        <w:t xml:space="preserve">. An annual Partnership Forum will help staff from both agencies identify options for collaboration prior to the call for proposals (there will also be a provision </w:t>
      </w:r>
      <w:r w:rsidR="0047682E" w:rsidRPr="00433F80">
        <w:rPr>
          <w:rFonts w:cs="Arial"/>
          <w:color w:val="auto"/>
          <w:sz w:val="21"/>
          <w:szCs w:val="21"/>
          <w:lang w:val="en-AU"/>
        </w:rPr>
        <w:t>for</w:t>
      </w:r>
      <w:r w:rsidR="00575E1B" w:rsidRPr="00433F80">
        <w:rPr>
          <w:rFonts w:cs="Arial"/>
          <w:color w:val="auto"/>
          <w:sz w:val="21"/>
          <w:szCs w:val="21"/>
          <w:lang w:val="en-AU"/>
        </w:rPr>
        <w:t xml:space="preserve"> out-of-session proposals, recognising the importance of flexibility to respond to emerging issues an</w:t>
      </w:r>
      <w:r w:rsidR="00EF29D6" w:rsidRPr="00433F80">
        <w:rPr>
          <w:rFonts w:cs="Arial"/>
          <w:color w:val="auto"/>
          <w:sz w:val="21"/>
          <w:szCs w:val="21"/>
          <w:lang w:val="en-AU"/>
        </w:rPr>
        <w:t>d</w:t>
      </w:r>
      <w:r w:rsidR="00575E1B" w:rsidRPr="00433F80">
        <w:rPr>
          <w:rFonts w:cs="Arial"/>
          <w:color w:val="auto"/>
          <w:sz w:val="21"/>
          <w:szCs w:val="21"/>
          <w:lang w:val="en-AU"/>
        </w:rPr>
        <w:t xml:space="preserve"> opportunities). </w:t>
      </w:r>
      <w:r w:rsidR="00E932DD" w:rsidRPr="00433F80">
        <w:rPr>
          <w:rFonts w:cs="Arial"/>
          <w:color w:val="auto"/>
          <w:sz w:val="21"/>
          <w:szCs w:val="21"/>
          <w:lang w:val="en-AU"/>
        </w:rPr>
        <w:t xml:space="preserve">The World Bank Trust Fund Manager will coordinate </w:t>
      </w:r>
      <w:r w:rsidR="00EF29D6" w:rsidRPr="00433F80">
        <w:rPr>
          <w:rFonts w:cs="Arial"/>
          <w:color w:val="auto"/>
          <w:sz w:val="21"/>
          <w:szCs w:val="21"/>
          <w:lang w:val="en-AU"/>
        </w:rPr>
        <w:t xml:space="preserve">PROMISE </w:t>
      </w:r>
      <w:r w:rsidR="00E932DD" w:rsidRPr="00433F80">
        <w:rPr>
          <w:rFonts w:cs="Arial"/>
          <w:color w:val="auto"/>
          <w:sz w:val="21"/>
          <w:szCs w:val="21"/>
          <w:lang w:val="en-AU"/>
        </w:rPr>
        <w:t xml:space="preserve">PASA activities with a World Bank technical review committee to review eligibility and prioritise proposals. </w:t>
      </w:r>
      <w:r w:rsidR="000B1E20" w:rsidRPr="00433F80">
        <w:rPr>
          <w:rFonts w:cs="Arial"/>
          <w:color w:val="auto"/>
          <w:sz w:val="21"/>
          <w:szCs w:val="21"/>
          <w:lang w:val="en-AU"/>
        </w:rPr>
        <w:t xml:space="preserve"> </w:t>
      </w:r>
      <w:r w:rsidR="007F5F70" w:rsidRPr="00433F80">
        <w:rPr>
          <w:rFonts w:cs="Arial"/>
          <w:color w:val="auto"/>
          <w:sz w:val="21"/>
          <w:szCs w:val="21"/>
          <w:lang w:val="en-AU"/>
        </w:rPr>
        <w:t xml:space="preserve">A draft of the </w:t>
      </w:r>
      <w:r w:rsidRPr="00433F80">
        <w:rPr>
          <w:rFonts w:cs="Arial"/>
          <w:color w:val="auto"/>
          <w:sz w:val="21"/>
          <w:szCs w:val="21"/>
          <w:lang w:val="en-AU"/>
        </w:rPr>
        <w:t>PROMISE PASA</w:t>
      </w:r>
      <w:r w:rsidRPr="00433F80" w:rsidDel="00721E70">
        <w:rPr>
          <w:rFonts w:cs="Arial"/>
          <w:color w:val="auto"/>
          <w:sz w:val="21"/>
          <w:szCs w:val="21"/>
          <w:lang w:val="en-AU"/>
        </w:rPr>
        <w:t xml:space="preserve"> </w:t>
      </w:r>
      <w:r w:rsidR="007F5F70" w:rsidRPr="00433F80">
        <w:rPr>
          <w:rFonts w:cs="Arial"/>
          <w:color w:val="auto"/>
          <w:sz w:val="21"/>
          <w:szCs w:val="21"/>
          <w:lang w:val="en-AU"/>
        </w:rPr>
        <w:t>Concept Note is</w:t>
      </w:r>
      <w:r w:rsidR="005117C8" w:rsidRPr="00433F80">
        <w:rPr>
          <w:rFonts w:cs="Arial"/>
          <w:color w:val="auto"/>
          <w:sz w:val="21"/>
          <w:szCs w:val="21"/>
          <w:lang w:val="en-AU"/>
        </w:rPr>
        <w:t xml:space="preserve"> </w:t>
      </w:r>
      <w:r w:rsidR="000B1E20" w:rsidRPr="00433F80">
        <w:rPr>
          <w:rFonts w:cs="Arial"/>
          <w:color w:val="auto"/>
          <w:sz w:val="21"/>
          <w:szCs w:val="21"/>
          <w:lang w:val="en-AU"/>
        </w:rPr>
        <w:t xml:space="preserve">attached to </w:t>
      </w:r>
      <w:r w:rsidR="005117C8" w:rsidRPr="00433F80">
        <w:rPr>
          <w:rFonts w:cs="Arial"/>
          <w:color w:val="auto"/>
          <w:sz w:val="21"/>
          <w:szCs w:val="21"/>
          <w:lang w:val="en-AU"/>
        </w:rPr>
        <w:t xml:space="preserve">the </w:t>
      </w:r>
      <w:r w:rsidR="003944A2" w:rsidRPr="00433F80">
        <w:rPr>
          <w:rFonts w:cs="Arial"/>
          <w:color w:val="auto"/>
          <w:sz w:val="21"/>
          <w:szCs w:val="21"/>
          <w:lang w:val="en-AU"/>
        </w:rPr>
        <w:t>draft</w:t>
      </w:r>
      <w:r w:rsidR="003944A2" w:rsidRPr="00433F80">
        <w:rPr>
          <w:rFonts w:cs="Arial"/>
          <w:b/>
          <w:color w:val="auto"/>
          <w:sz w:val="21"/>
          <w:szCs w:val="21"/>
          <w:lang w:val="en-AU"/>
        </w:rPr>
        <w:t xml:space="preserve"> </w:t>
      </w:r>
      <w:r w:rsidR="00500BDA" w:rsidRPr="00433F80">
        <w:rPr>
          <w:rFonts w:cs="Arial"/>
          <w:b/>
          <w:color w:val="auto"/>
          <w:sz w:val="21"/>
          <w:szCs w:val="21"/>
          <w:lang w:val="en-AU"/>
        </w:rPr>
        <w:t xml:space="preserve">Partnership </w:t>
      </w:r>
      <w:r w:rsidR="005117C8" w:rsidRPr="00433F80">
        <w:rPr>
          <w:rFonts w:cs="Arial"/>
          <w:b/>
          <w:color w:val="auto"/>
          <w:sz w:val="21"/>
          <w:szCs w:val="21"/>
          <w:lang w:val="en-AU"/>
        </w:rPr>
        <w:t>Operations Manual</w:t>
      </w:r>
      <w:r w:rsidR="003944A2" w:rsidRPr="00433F80">
        <w:rPr>
          <w:rFonts w:cs="Arial"/>
          <w:b/>
          <w:color w:val="auto"/>
          <w:sz w:val="21"/>
          <w:szCs w:val="21"/>
          <w:lang w:val="en-AU"/>
        </w:rPr>
        <w:t xml:space="preserve"> (</w:t>
      </w:r>
      <w:r w:rsidR="005E73AD" w:rsidRPr="00433F80">
        <w:rPr>
          <w:rFonts w:cs="Arial"/>
          <w:b/>
          <w:color w:val="auto"/>
          <w:sz w:val="21"/>
          <w:szCs w:val="21"/>
          <w:lang w:val="en-AU"/>
        </w:rPr>
        <w:t>Annex 4</w:t>
      </w:r>
      <w:r w:rsidR="003944A2" w:rsidRPr="00433F80">
        <w:rPr>
          <w:rFonts w:cs="Arial"/>
          <w:b/>
          <w:color w:val="auto"/>
          <w:sz w:val="21"/>
          <w:szCs w:val="21"/>
          <w:lang w:val="en-AU"/>
        </w:rPr>
        <w:t>)</w:t>
      </w:r>
      <w:r w:rsidR="003944A2" w:rsidRPr="00433F80">
        <w:rPr>
          <w:rFonts w:cs="Arial"/>
          <w:color w:val="auto"/>
          <w:sz w:val="21"/>
          <w:szCs w:val="21"/>
          <w:lang w:val="en-AU"/>
        </w:rPr>
        <w:t>,</w:t>
      </w:r>
      <w:r w:rsidR="003944A2" w:rsidRPr="00433F80">
        <w:rPr>
          <w:rFonts w:cs="Arial"/>
          <w:b/>
          <w:color w:val="auto"/>
          <w:sz w:val="21"/>
          <w:szCs w:val="21"/>
          <w:lang w:val="en-AU"/>
        </w:rPr>
        <w:t xml:space="preserve"> </w:t>
      </w:r>
      <w:r w:rsidR="003944A2" w:rsidRPr="00433F80">
        <w:rPr>
          <w:rFonts w:cs="Arial"/>
          <w:color w:val="auto"/>
          <w:sz w:val="21"/>
          <w:szCs w:val="21"/>
          <w:lang w:val="en-AU"/>
        </w:rPr>
        <w:t>which</w:t>
      </w:r>
      <w:r w:rsidR="003944A2" w:rsidRPr="00433F80">
        <w:rPr>
          <w:rFonts w:cs="Arial"/>
          <w:b/>
          <w:color w:val="auto"/>
          <w:sz w:val="21"/>
          <w:szCs w:val="21"/>
          <w:lang w:val="en-AU"/>
        </w:rPr>
        <w:t xml:space="preserve"> </w:t>
      </w:r>
      <w:r w:rsidR="003944A2" w:rsidRPr="00433F80">
        <w:rPr>
          <w:rFonts w:cs="Arial"/>
          <w:color w:val="auto"/>
          <w:sz w:val="21"/>
          <w:szCs w:val="21"/>
          <w:lang w:val="en-AU"/>
        </w:rPr>
        <w:t xml:space="preserve">also </w:t>
      </w:r>
      <w:r w:rsidR="003944A2" w:rsidRPr="00433F80">
        <w:rPr>
          <w:color w:val="auto"/>
          <w:sz w:val="21"/>
          <w:szCs w:val="21"/>
          <w:lang w:val="en-AU" w:eastAsia="en-AU"/>
        </w:rPr>
        <w:t>includes a</w:t>
      </w:r>
      <w:r w:rsidR="003944A2" w:rsidRPr="00433F80">
        <w:rPr>
          <w:b/>
          <w:color w:val="auto"/>
          <w:sz w:val="21"/>
          <w:szCs w:val="21"/>
          <w:lang w:val="en-AU" w:eastAsia="en-AU"/>
        </w:rPr>
        <w:t xml:space="preserve"> Draft Partnership Communications Protocol</w:t>
      </w:r>
      <w:r w:rsidR="003944A2" w:rsidRPr="00433F80">
        <w:rPr>
          <w:rFonts w:cs="Arial"/>
          <w:color w:val="auto"/>
          <w:sz w:val="21"/>
          <w:szCs w:val="21"/>
          <w:lang w:val="en-AU"/>
        </w:rPr>
        <w:t xml:space="preserve">. </w:t>
      </w:r>
    </w:p>
    <w:p w14:paraId="06DF8DDF" w14:textId="33FADBFC" w:rsidR="008B7558" w:rsidRPr="00433F80" w:rsidRDefault="008B7558" w:rsidP="005E6171">
      <w:pPr>
        <w:spacing w:line="360" w:lineRule="auto"/>
        <w:rPr>
          <w:color w:val="auto"/>
          <w:sz w:val="21"/>
          <w:szCs w:val="21"/>
          <w:lang w:val="en-AU" w:eastAsia="en-AU"/>
        </w:rPr>
      </w:pPr>
      <w:r w:rsidRPr="00433F80">
        <w:rPr>
          <w:color w:val="auto"/>
          <w:sz w:val="21"/>
          <w:szCs w:val="21"/>
          <w:lang w:val="en-AU" w:eastAsia="en-AU"/>
        </w:rPr>
        <w:t xml:space="preserve">An </w:t>
      </w:r>
      <w:r w:rsidRPr="00433F80">
        <w:rPr>
          <w:b/>
          <w:color w:val="auto"/>
          <w:sz w:val="21"/>
          <w:szCs w:val="21"/>
          <w:lang w:val="en-AU" w:eastAsia="en-AU"/>
        </w:rPr>
        <w:t>Extended Term Consultant (gender and social inclusion expert)</w:t>
      </w:r>
      <w:r w:rsidRPr="00433F80">
        <w:rPr>
          <w:color w:val="auto"/>
          <w:sz w:val="21"/>
          <w:szCs w:val="21"/>
          <w:lang w:val="en-AU" w:eastAsia="en-AU"/>
        </w:rPr>
        <w:t xml:space="preserve"> </w:t>
      </w:r>
      <w:r w:rsidR="00CC150E" w:rsidRPr="00433F80">
        <w:rPr>
          <w:color w:val="auto"/>
          <w:sz w:val="21"/>
          <w:szCs w:val="21"/>
          <w:lang w:val="en-AU" w:eastAsia="en-AU"/>
        </w:rPr>
        <w:t>will</w:t>
      </w:r>
      <w:r w:rsidR="0047682E" w:rsidRPr="00433F80">
        <w:rPr>
          <w:color w:val="auto"/>
          <w:sz w:val="21"/>
          <w:szCs w:val="21"/>
          <w:lang w:val="en-AU" w:eastAsia="en-AU"/>
        </w:rPr>
        <w:t xml:space="preserve"> </w:t>
      </w:r>
      <w:r w:rsidRPr="00433F80">
        <w:rPr>
          <w:color w:val="auto"/>
          <w:sz w:val="21"/>
          <w:szCs w:val="21"/>
          <w:lang w:val="en-AU" w:eastAsia="en-AU"/>
        </w:rPr>
        <w:t xml:space="preserve">be recruited </w:t>
      </w:r>
      <w:r w:rsidR="005117C8" w:rsidRPr="00433F80">
        <w:rPr>
          <w:color w:val="auto"/>
          <w:sz w:val="21"/>
          <w:szCs w:val="21"/>
          <w:lang w:val="en-AU" w:eastAsia="en-AU"/>
        </w:rPr>
        <w:t xml:space="preserve">by the World Bank </w:t>
      </w:r>
      <w:r w:rsidR="00500BDA" w:rsidRPr="00433F80">
        <w:rPr>
          <w:color w:val="auto"/>
          <w:sz w:val="21"/>
          <w:szCs w:val="21"/>
          <w:lang w:val="en-AU" w:eastAsia="en-AU"/>
        </w:rPr>
        <w:t>t</w:t>
      </w:r>
      <w:r w:rsidRPr="00433F80">
        <w:rPr>
          <w:color w:val="auto"/>
          <w:sz w:val="21"/>
          <w:szCs w:val="21"/>
          <w:lang w:val="en-AU" w:eastAsia="en-AU"/>
        </w:rPr>
        <w:t>o provide a catalytic injection of expertise and effort to help establish the Partnership and ensure it delivers its objectives on strengthening gender and social inclusion</w:t>
      </w:r>
      <w:r w:rsidR="00131206" w:rsidRPr="00433F80">
        <w:rPr>
          <w:color w:val="auto"/>
          <w:sz w:val="21"/>
          <w:szCs w:val="21"/>
          <w:lang w:val="en-AU" w:eastAsia="en-AU"/>
        </w:rPr>
        <w:t xml:space="preserve"> (see section G </w:t>
      </w:r>
      <w:r w:rsidR="005A0A76" w:rsidRPr="00433F80">
        <w:rPr>
          <w:color w:val="auto"/>
          <w:sz w:val="21"/>
          <w:szCs w:val="21"/>
          <w:lang w:val="en-AU" w:eastAsia="en-AU"/>
        </w:rPr>
        <w:t xml:space="preserve">below </w:t>
      </w:r>
      <w:r w:rsidR="00131206" w:rsidRPr="00433F80">
        <w:rPr>
          <w:color w:val="auto"/>
          <w:sz w:val="21"/>
          <w:szCs w:val="21"/>
          <w:lang w:val="en-AU" w:eastAsia="en-AU"/>
        </w:rPr>
        <w:t>for more details)</w:t>
      </w:r>
      <w:r w:rsidRPr="00433F80">
        <w:rPr>
          <w:color w:val="auto"/>
          <w:sz w:val="21"/>
          <w:szCs w:val="21"/>
          <w:lang w:val="en-AU" w:eastAsia="en-AU"/>
        </w:rPr>
        <w:t xml:space="preserve">. </w:t>
      </w:r>
      <w:r w:rsidR="006E3425" w:rsidRPr="00433F80">
        <w:rPr>
          <w:color w:val="auto"/>
          <w:sz w:val="21"/>
          <w:szCs w:val="21"/>
          <w:lang w:val="en-AU" w:eastAsia="en-AU"/>
        </w:rPr>
        <w:t xml:space="preserve">DFAT </w:t>
      </w:r>
      <w:r w:rsidR="00202546" w:rsidRPr="00433F80">
        <w:rPr>
          <w:color w:val="auto"/>
          <w:sz w:val="21"/>
          <w:szCs w:val="21"/>
          <w:lang w:val="en-AU" w:eastAsia="en-AU"/>
        </w:rPr>
        <w:t>will</w:t>
      </w:r>
      <w:r w:rsidR="006E3425" w:rsidRPr="00433F80">
        <w:rPr>
          <w:color w:val="auto"/>
          <w:sz w:val="21"/>
          <w:szCs w:val="21"/>
          <w:lang w:val="en-AU" w:eastAsia="en-AU"/>
        </w:rPr>
        <w:t xml:space="preserve"> have input into the Terms of Reference and recruitment process. </w:t>
      </w:r>
      <w:r w:rsidRPr="00433F80">
        <w:rPr>
          <w:color w:val="auto"/>
          <w:sz w:val="21"/>
          <w:szCs w:val="21"/>
          <w:lang w:val="en-AU" w:eastAsia="en-AU"/>
        </w:rPr>
        <w:t xml:space="preserve">This position </w:t>
      </w:r>
      <w:r w:rsidR="00202546" w:rsidRPr="00433F80">
        <w:rPr>
          <w:color w:val="auto"/>
          <w:sz w:val="21"/>
          <w:szCs w:val="21"/>
          <w:lang w:val="en-AU" w:eastAsia="en-AU"/>
        </w:rPr>
        <w:t>will</w:t>
      </w:r>
      <w:r w:rsidR="006E3425" w:rsidRPr="00433F80">
        <w:rPr>
          <w:color w:val="auto"/>
          <w:sz w:val="21"/>
          <w:szCs w:val="21"/>
          <w:lang w:val="en-AU" w:eastAsia="en-AU"/>
        </w:rPr>
        <w:t xml:space="preserve"> </w:t>
      </w:r>
      <w:r w:rsidRPr="00433F80">
        <w:rPr>
          <w:color w:val="auto"/>
          <w:sz w:val="21"/>
          <w:szCs w:val="21"/>
          <w:lang w:val="en-AU" w:eastAsia="en-AU"/>
        </w:rPr>
        <w:t xml:space="preserve">be financed by </w:t>
      </w:r>
      <w:r w:rsidR="005117C8" w:rsidRPr="00433F80">
        <w:rPr>
          <w:color w:val="auto"/>
          <w:sz w:val="21"/>
          <w:szCs w:val="21"/>
          <w:lang w:val="en-AU" w:eastAsia="en-AU"/>
        </w:rPr>
        <w:t xml:space="preserve">the </w:t>
      </w:r>
      <w:r w:rsidR="006E3425" w:rsidRPr="00433F80">
        <w:rPr>
          <w:color w:val="auto"/>
          <w:sz w:val="21"/>
          <w:szCs w:val="21"/>
          <w:lang w:val="en-AU" w:eastAsia="en-AU"/>
        </w:rPr>
        <w:t>bank-executed funding allocation</w:t>
      </w:r>
      <w:r w:rsidR="00721E70" w:rsidRPr="00433F80" w:rsidDel="00721E70">
        <w:rPr>
          <w:color w:val="auto"/>
          <w:sz w:val="21"/>
          <w:szCs w:val="21"/>
          <w:lang w:val="en-AU" w:eastAsia="en-AU"/>
        </w:rPr>
        <w:t xml:space="preserve"> </w:t>
      </w:r>
      <w:r w:rsidR="00500BDA" w:rsidRPr="00433F80">
        <w:rPr>
          <w:color w:val="auto"/>
          <w:sz w:val="21"/>
          <w:szCs w:val="21"/>
          <w:lang w:val="en-AU" w:eastAsia="en-AU"/>
        </w:rPr>
        <w:t>with</w:t>
      </w:r>
      <w:r w:rsidRPr="00433F80">
        <w:rPr>
          <w:color w:val="auto"/>
          <w:sz w:val="21"/>
          <w:szCs w:val="21"/>
          <w:lang w:val="en-AU" w:eastAsia="en-AU"/>
        </w:rPr>
        <w:t xml:space="preserve"> the workplan </w:t>
      </w:r>
      <w:r w:rsidR="006E3425" w:rsidRPr="00433F80">
        <w:rPr>
          <w:color w:val="auto"/>
          <w:sz w:val="21"/>
          <w:szCs w:val="21"/>
          <w:lang w:val="en-AU" w:eastAsia="en-AU"/>
        </w:rPr>
        <w:t>approved</w:t>
      </w:r>
      <w:r w:rsidRPr="00433F80">
        <w:rPr>
          <w:color w:val="auto"/>
          <w:sz w:val="21"/>
          <w:szCs w:val="21"/>
          <w:lang w:val="en-AU" w:eastAsia="en-AU"/>
        </w:rPr>
        <w:t xml:space="preserve"> </w:t>
      </w:r>
      <w:r w:rsidR="00500BDA" w:rsidRPr="00433F80">
        <w:rPr>
          <w:color w:val="auto"/>
          <w:sz w:val="21"/>
          <w:szCs w:val="21"/>
          <w:lang w:val="en-AU" w:eastAsia="en-AU"/>
        </w:rPr>
        <w:t>by</w:t>
      </w:r>
      <w:r w:rsidRPr="00433F80">
        <w:rPr>
          <w:color w:val="auto"/>
          <w:sz w:val="21"/>
          <w:szCs w:val="21"/>
          <w:lang w:val="en-AU" w:eastAsia="en-AU"/>
        </w:rPr>
        <w:t xml:space="preserve"> the </w:t>
      </w:r>
      <w:r w:rsidR="005D28A1" w:rsidRPr="00433F80">
        <w:rPr>
          <w:color w:val="auto"/>
          <w:sz w:val="21"/>
          <w:szCs w:val="21"/>
          <w:lang w:val="en-AU" w:eastAsia="en-AU"/>
        </w:rPr>
        <w:t>Steering Committee</w:t>
      </w:r>
      <w:r w:rsidRPr="00433F80">
        <w:rPr>
          <w:color w:val="auto"/>
          <w:sz w:val="21"/>
          <w:szCs w:val="21"/>
          <w:lang w:val="en-AU" w:eastAsia="en-AU"/>
        </w:rPr>
        <w:t xml:space="preserve">, which will retain the power </w:t>
      </w:r>
      <w:r w:rsidR="000B1E20" w:rsidRPr="00433F80">
        <w:rPr>
          <w:color w:val="auto"/>
          <w:sz w:val="21"/>
          <w:szCs w:val="21"/>
          <w:lang w:val="en-AU" w:eastAsia="en-AU"/>
        </w:rPr>
        <w:t xml:space="preserve">to </w:t>
      </w:r>
      <w:proofErr w:type="gramStart"/>
      <w:r w:rsidRPr="00433F80">
        <w:rPr>
          <w:color w:val="auto"/>
          <w:sz w:val="21"/>
          <w:szCs w:val="21"/>
          <w:lang w:val="en-AU" w:eastAsia="en-AU"/>
        </w:rPr>
        <w:t>make adjustments to</w:t>
      </w:r>
      <w:proofErr w:type="gramEnd"/>
      <w:r w:rsidRPr="00433F80">
        <w:rPr>
          <w:color w:val="auto"/>
          <w:sz w:val="21"/>
          <w:szCs w:val="21"/>
          <w:lang w:val="en-AU" w:eastAsia="en-AU"/>
        </w:rPr>
        <w:t xml:space="preserve"> the use of this and other consultants.</w:t>
      </w:r>
      <w:r w:rsidR="0066484F" w:rsidRPr="00433F80">
        <w:rPr>
          <w:color w:val="auto"/>
          <w:sz w:val="21"/>
          <w:szCs w:val="21"/>
          <w:lang w:val="en-AU" w:eastAsia="en-AU"/>
        </w:rPr>
        <w:t xml:space="preserve"> This </w:t>
      </w:r>
      <w:r w:rsidR="00202546" w:rsidRPr="00433F80">
        <w:rPr>
          <w:color w:val="auto"/>
          <w:sz w:val="21"/>
          <w:szCs w:val="21"/>
          <w:lang w:val="en-AU" w:eastAsia="en-AU"/>
        </w:rPr>
        <w:t>is likely to</w:t>
      </w:r>
      <w:r w:rsidR="0066484F" w:rsidRPr="00433F80">
        <w:rPr>
          <w:color w:val="auto"/>
          <w:sz w:val="21"/>
          <w:szCs w:val="21"/>
          <w:lang w:val="en-AU" w:eastAsia="en-AU"/>
        </w:rPr>
        <w:t xml:space="preserve"> be a national position to achieve value for money relative to the funds to be managed and support localisation of technical advice roles.</w:t>
      </w:r>
      <w:r w:rsidR="006E3425" w:rsidRPr="00433F80">
        <w:rPr>
          <w:color w:val="auto"/>
          <w:sz w:val="21"/>
          <w:szCs w:val="21"/>
          <w:lang w:val="en-AU" w:eastAsia="en-AU"/>
        </w:rPr>
        <w:t xml:space="preserve"> </w:t>
      </w:r>
    </w:p>
    <w:p w14:paraId="7934C82B" w14:textId="12854194" w:rsidR="007F3272" w:rsidRPr="00433F80" w:rsidRDefault="007F3272" w:rsidP="005E6171">
      <w:pPr>
        <w:pStyle w:val="Bullet1"/>
        <w:spacing w:before="120" w:line="360" w:lineRule="auto"/>
        <w:ind w:left="0" w:firstLine="0"/>
        <w:rPr>
          <w:b/>
          <w:color w:val="auto"/>
          <w:sz w:val="21"/>
          <w:szCs w:val="21"/>
          <w:lang w:val="en-AU" w:eastAsia="en-AU"/>
        </w:rPr>
      </w:pPr>
      <w:r w:rsidRPr="00433F80">
        <w:rPr>
          <w:b/>
          <w:color w:val="auto"/>
          <w:sz w:val="21"/>
          <w:szCs w:val="21"/>
          <w:lang w:val="en-AU" w:eastAsia="en-AU"/>
        </w:rPr>
        <w:t>Management of the Partnership-supported projects</w:t>
      </w:r>
    </w:p>
    <w:p w14:paraId="41081446" w14:textId="51F4FC20" w:rsidR="007D3788" w:rsidRPr="00433F80" w:rsidRDefault="00C3248D" w:rsidP="005E6171">
      <w:pPr>
        <w:pStyle w:val="Bullet1"/>
        <w:spacing w:line="360" w:lineRule="auto"/>
        <w:ind w:left="0" w:firstLine="0"/>
        <w:rPr>
          <w:color w:val="auto"/>
          <w:sz w:val="21"/>
          <w:szCs w:val="21"/>
        </w:rPr>
      </w:pPr>
      <w:r w:rsidRPr="00433F80">
        <w:rPr>
          <w:color w:val="auto"/>
          <w:sz w:val="21"/>
          <w:szCs w:val="21"/>
          <w:lang w:val="en-AU" w:eastAsia="en-AU"/>
        </w:rPr>
        <w:t>T</w:t>
      </w:r>
      <w:r w:rsidR="00F06EA8" w:rsidRPr="00433F80">
        <w:rPr>
          <w:color w:val="auto"/>
          <w:sz w:val="21"/>
          <w:szCs w:val="21"/>
          <w:lang w:val="en-AU" w:eastAsia="en-AU"/>
        </w:rPr>
        <w:t xml:space="preserve">he multi-donor </w:t>
      </w:r>
      <w:r w:rsidR="00500BDA" w:rsidRPr="00433F80">
        <w:rPr>
          <w:color w:val="auto"/>
          <w:sz w:val="21"/>
          <w:szCs w:val="21"/>
          <w:lang w:val="en-AU" w:eastAsia="en-AU"/>
        </w:rPr>
        <w:t xml:space="preserve">H-EQIP 2 and </w:t>
      </w:r>
      <w:r w:rsidR="00C07FCA" w:rsidRPr="00433F80">
        <w:rPr>
          <w:color w:val="auto"/>
          <w:sz w:val="21"/>
          <w:szCs w:val="21"/>
          <w:lang w:val="en-AU" w:eastAsia="en-AU"/>
        </w:rPr>
        <w:t>ISAF II</w:t>
      </w:r>
      <w:r w:rsidR="00500BDA" w:rsidRPr="00433F80">
        <w:rPr>
          <w:color w:val="auto"/>
          <w:sz w:val="21"/>
          <w:szCs w:val="21"/>
          <w:lang w:val="en-AU" w:eastAsia="en-AU"/>
        </w:rPr>
        <w:t xml:space="preserve"> </w:t>
      </w:r>
      <w:r w:rsidR="00980E01" w:rsidRPr="00433F80">
        <w:rPr>
          <w:color w:val="auto"/>
          <w:sz w:val="21"/>
          <w:szCs w:val="21"/>
          <w:lang w:val="en-AU" w:eastAsia="en-AU"/>
        </w:rPr>
        <w:t>project</w:t>
      </w:r>
      <w:r w:rsidR="00F06EA8" w:rsidRPr="00433F80">
        <w:rPr>
          <w:color w:val="auto"/>
          <w:sz w:val="21"/>
          <w:szCs w:val="21"/>
          <w:lang w:val="en-AU" w:eastAsia="en-AU"/>
        </w:rPr>
        <w:t>s</w:t>
      </w:r>
      <w:r w:rsidR="00980E01" w:rsidRPr="00433F80">
        <w:rPr>
          <w:color w:val="auto"/>
          <w:sz w:val="21"/>
          <w:szCs w:val="21"/>
          <w:lang w:val="en-AU" w:eastAsia="en-AU"/>
        </w:rPr>
        <w:t xml:space="preserve"> will </w:t>
      </w:r>
      <w:r w:rsidRPr="00433F80">
        <w:rPr>
          <w:color w:val="auto"/>
          <w:sz w:val="21"/>
          <w:szCs w:val="21"/>
          <w:lang w:val="en-AU" w:eastAsia="en-AU"/>
        </w:rPr>
        <w:t>have their own project-</w:t>
      </w:r>
      <w:r w:rsidR="00980E01" w:rsidRPr="00433F80">
        <w:rPr>
          <w:color w:val="auto"/>
          <w:sz w:val="21"/>
          <w:szCs w:val="21"/>
          <w:lang w:val="en-AU" w:eastAsia="en-AU"/>
        </w:rPr>
        <w:t>specific implementation arrangements</w:t>
      </w:r>
      <w:r w:rsidRPr="00433F80">
        <w:rPr>
          <w:color w:val="auto"/>
          <w:sz w:val="21"/>
          <w:szCs w:val="21"/>
          <w:lang w:val="en-AU" w:eastAsia="en-AU"/>
        </w:rPr>
        <w:t xml:space="preserve"> which the relevant DFAT investment manager will participate in.</w:t>
      </w:r>
      <w:r w:rsidR="00980E01" w:rsidRPr="00433F80">
        <w:rPr>
          <w:color w:val="auto"/>
          <w:sz w:val="21"/>
          <w:szCs w:val="21"/>
          <w:lang w:val="en-AU" w:eastAsia="en-AU"/>
        </w:rPr>
        <w:t xml:space="preserve"> Post will seek to</w:t>
      </w:r>
      <w:r w:rsidRPr="00433F80">
        <w:rPr>
          <w:color w:val="auto"/>
          <w:sz w:val="21"/>
          <w:szCs w:val="21"/>
          <w:lang w:val="en-AU" w:eastAsia="en-AU"/>
        </w:rPr>
        <w:t xml:space="preserve"> </w:t>
      </w:r>
      <w:r w:rsidR="00980E01" w:rsidRPr="00433F80">
        <w:rPr>
          <w:color w:val="auto"/>
          <w:sz w:val="21"/>
          <w:szCs w:val="21"/>
          <w:lang w:val="en-AU" w:eastAsia="en-AU"/>
        </w:rPr>
        <w:t xml:space="preserve">measure our engagement in these structures so that we have suitable </w:t>
      </w:r>
      <w:r w:rsidRPr="00433F80">
        <w:rPr>
          <w:color w:val="auto"/>
          <w:sz w:val="21"/>
          <w:szCs w:val="21"/>
          <w:lang w:val="en-AU" w:eastAsia="en-AU"/>
        </w:rPr>
        <w:t xml:space="preserve">influence and </w:t>
      </w:r>
      <w:r w:rsidR="00980E01" w:rsidRPr="00433F80">
        <w:rPr>
          <w:color w:val="auto"/>
          <w:sz w:val="21"/>
          <w:szCs w:val="21"/>
          <w:lang w:val="en-AU" w:eastAsia="en-AU"/>
        </w:rPr>
        <w:t>oversight of our investment, without surrendering the value of a consolidated arrangement managed by a capable partner.</w:t>
      </w:r>
      <w:r w:rsidR="009620F4" w:rsidRPr="00433F80">
        <w:rPr>
          <w:color w:val="auto"/>
          <w:sz w:val="21"/>
          <w:szCs w:val="21"/>
        </w:rPr>
        <w:t xml:space="preserve"> </w:t>
      </w:r>
    </w:p>
    <w:p w14:paraId="0AE69850" w14:textId="5626E091" w:rsidR="0095125E" w:rsidRPr="00433F80" w:rsidRDefault="00C3248D" w:rsidP="005E6171">
      <w:pPr>
        <w:pStyle w:val="Bullet1"/>
        <w:spacing w:line="360" w:lineRule="auto"/>
        <w:ind w:left="0" w:firstLine="0"/>
        <w:rPr>
          <w:color w:val="auto"/>
          <w:sz w:val="21"/>
          <w:szCs w:val="21"/>
          <w:lang w:val="en-AU" w:eastAsia="en-AU"/>
        </w:rPr>
      </w:pPr>
      <w:r w:rsidRPr="00433F80">
        <w:rPr>
          <w:color w:val="auto"/>
          <w:sz w:val="21"/>
          <w:szCs w:val="21"/>
          <w:lang w:val="en-AU" w:eastAsia="en-AU"/>
        </w:rPr>
        <w:t xml:space="preserve">Post will work with the </w:t>
      </w:r>
      <w:r w:rsidR="00194471" w:rsidRPr="00433F80">
        <w:rPr>
          <w:color w:val="auto"/>
          <w:sz w:val="21"/>
          <w:szCs w:val="21"/>
          <w:lang w:val="en-AU" w:eastAsia="en-AU"/>
        </w:rPr>
        <w:t>World Bank</w:t>
      </w:r>
      <w:r w:rsidRPr="00433F80">
        <w:rPr>
          <w:color w:val="auto"/>
          <w:sz w:val="21"/>
          <w:szCs w:val="21"/>
          <w:lang w:val="en-AU" w:eastAsia="en-AU"/>
        </w:rPr>
        <w:t xml:space="preserve"> and other donors</w:t>
      </w:r>
      <w:r w:rsidR="0095125E" w:rsidRPr="00433F80">
        <w:rPr>
          <w:color w:val="auto"/>
          <w:sz w:val="21"/>
          <w:szCs w:val="21"/>
          <w:lang w:val="en-AU" w:eastAsia="en-AU"/>
        </w:rPr>
        <w:t xml:space="preserve"> to agree to a format that </w:t>
      </w:r>
      <w:r w:rsidR="0004640F" w:rsidRPr="00433F80">
        <w:rPr>
          <w:color w:val="auto"/>
          <w:sz w:val="21"/>
          <w:szCs w:val="21"/>
          <w:lang w:val="en-AU" w:eastAsia="en-AU"/>
        </w:rPr>
        <w:t>ensures</w:t>
      </w:r>
      <w:r w:rsidR="0095125E" w:rsidRPr="00433F80">
        <w:rPr>
          <w:color w:val="auto"/>
          <w:sz w:val="21"/>
          <w:szCs w:val="21"/>
          <w:lang w:val="en-AU" w:eastAsia="en-AU"/>
        </w:rPr>
        <w:t>:</w:t>
      </w:r>
    </w:p>
    <w:p w14:paraId="4B6DE4F1" w14:textId="5E902360" w:rsidR="0095125E" w:rsidRPr="00433F80" w:rsidRDefault="0095125E" w:rsidP="005E6171">
      <w:pPr>
        <w:pStyle w:val="Bullet1"/>
        <w:numPr>
          <w:ilvl w:val="0"/>
          <w:numId w:val="15"/>
        </w:numPr>
        <w:spacing w:line="360" w:lineRule="auto"/>
        <w:rPr>
          <w:color w:val="auto"/>
          <w:sz w:val="21"/>
          <w:szCs w:val="21"/>
          <w:lang w:val="en-AU" w:eastAsia="en-AU"/>
        </w:rPr>
      </w:pPr>
      <w:r w:rsidRPr="00433F80">
        <w:rPr>
          <w:color w:val="auto"/>
          <w:sz w:val="21"/>
          <w:szCs w:val="21"/>
          <w:lang w:val="en-AU" w:eastAsia="en-AU"/>
        </w:rPr>
        <w:t xml:space="preserve">DFAT maintains a voice in each project consistent with established practice (as experienced through the H-EQIP and Public Financial Management programs) </w:t>
      </w:r>
    </w:p>
    <w:p w14:paraId="51F4CE03" w14:textId="43016FAB" w:rsidR="0095125E" w:rsidRPr="00433F80" w:rsidRDefault="0095125E" w:rsidP="005E6171">
      <w:pPr>
        <w:pStyle w:val="Bullet1"/>
        <w:numPr>
          <w:ilvl w:val="0"/>
          <w:numId w:val="15"/>
        </w:numPr>
        <w:spacing w:line="360" w:lineRule="auto"/>
        <w:rPr>
          <w:color w:val="auto"/>
          <w:sz w:val="21"/>
          <w:szCs w:val="21"/>
          <w:lang w:val="en-AU" w:eastAsia="en-AU"/>
        </w:rPr>
      </w:pPr>
      <w:r w:rsidRPr="00433F80">
        <w:rPr>
          <w:color w:val="auto"/>
          <w:sz w:val="21"/>
          <w:szCs w:val="21"/>
          <w:lang w:val="en-AU" w:eastAsia="en-AU"/>
        </w:rPr>
        <w:t>Effective donor coordination enables development partners to speak with one voice</w:t>
      </w:r>
      <w:r w:rsidR="00C3248D" w:rsidRPr="00433F80">
        <w:rPr>
          <w:color w:val="auto"/>
          <w:sz w:val="21"/>
          <w:szCs w:val="21"/>
          <w:lang w:val="en-AU" w:eastAsia="en-AU"/>
        </w:rPr>
        <w:t xml:space="preserve"> when engaging with RGC or local stakeholders. </w:t>
      </w:r>
    </w:p>
    <w:p w14:paraId="32E560B4" w14:textId="7A8BD17B" w:rsidR="00980E01" w:rsidRPr="00433F80" w:rsidRDefault="00F06EA8" w:rsidP="005E6171">
      <w:pPr>
        <w:pStyle w:val="Bullet1"/>
        <w:spacing w:before="120" w:line="360" w:lineRule="auto"/>
        <w:ind w:left="0" w:firstLine="0"/>
        <w:jc w:val="both"/>
        <w:rPr>
          <w:rFonts w:cs="Arial"/>
          <w:color w:val="auto"/>
          <w:sz w:val="21"/>
          <w:szCs w:val="21"/>
          <w:lang w:val="en-AU"/>
        </w:rPr>
      </w:pPr>
      <w:r w:rsidRPr="00433F80">
        <w:rPr>
          <w:color w:val="auto"/>
          <w:sz w:val="21"/>
          <w:szCs w:val="21"/>
          <w:lang w:val="en-AU" w:eastAsia="en-AU"/>
        </w:rPr>
        <w:t xml:space="preserve">Australia </w:t>
      </w:r>
      <w:r w:rsidR="00AE695E" w:rsidRPr="00433F80">
        <w:rPr>
          <w:color w:val="auto"/>
          <w:sz w:val="21"/>
          <w:szCs w:val="21"/>
          <w:lang w:val="en-AU" w:eastAsia="en-AU"/>
        </w:rPr>
        <w:t>will</w:t>
      </w:r>
      <w:r w:rsidR="002C5611" w:rsidRPr="00433F80">
        <w:rPr>
          <w:color w:val="auto"/>
          <w:sz w:val="21"/>
          <w:szCs w:val="21"/>
          <w:lang w:val="en-AU"/>
        </w:rPr>
        <w:t xml:space="preserve"> </w:t>
      </w:r>
      <w:r w:rsidR="001B7347" w:rsidRPr="00433F80">
        <w:rPr>
          <w:color w:val="auto"/>
          <w:sz w:val="21"/>
          <w:szCs w:val="21"/>
          <w:lang w:val="en-AU"/>
        </w:rPr>
        <w:t xml:space="preserve">also </w:t>
      </w:r>
      <w:r w:rsidR="002C5611" w:rsidRPr="00433F80">
        <w:rPr>
          <w:color w:val="auto"/>
          <w:sz w:val="21"/>
          <w:szCs w:val="21"/>
          <w:lang w:val="en-AU"/>
        </w:rPr>
        <w:t>s</w:t>
      </w:r>
      <w:r w:rsidR="007E4426" w:rsidRPr="00433F80">
        <w:rPr>
          <w:color w:val="auto"/>
          <w:sz w:val="21"/>
          <w:szCs w:val="21"/>
          <w:lang w:val="en-AU"/>
        </w:rPr>
        <w:t xml:space="preserve">it as </w:t>
      </w:r>
      <w:r w:rsidR="00CD466B" w:rsidRPr="00433F80">
        <w:rPr>
          <w:color w:val="auto"/>
          <w:sz w:val="21"/>
          <w:szCs w:val="21"/>
          <w:lang w:val="en-AU"/>
        </w:rPr>
        <w:t xml:space="preserve">observer and </w:t>
      </w:r>
      <w:r w:rsidR="007E4426" w:rsidRPr="00433F80">
        <w:rPr>
          <w:color w:val="auto"/>
          <w:sz w:val="21"/>
          <w:szCs w:val="21"/>
          <w:lang w:val="en-AU"/>
        </w:rPr>
        <w:t xml:space="preserve">development partner </w:t>
      </w:r>
      <w:r w:rsidR="002C5611" w:rsidRPr="00433F80">
        <w:rPr>
          <w:color w:val="auto"/>
          <w:sz w:val="21"/>
          <w:szCs w:val="21"/>
          <w:lang w:val="en-AU"/>
        </w:rPr>
        <w:t>representative</w:t>
      </w:r>
      <w:r w:rsidR="007E4426" w:rsidRPr="00433F80">
        <w:rPr>
          <w:color w:val="auto"/>
          <w:sz w:val="21"/>
          <w:szCs w:val="21"/>
          <w:lang w:val="en-AU"/>
        </w:rPr>
        <w:t xml:space="preserve"> on the central</w:t>
      </w:r>
      <w:r w:rsidR="00162537" w:rsidRPr="00433F80">
        <w:rPr>
          <w:color w:val="auto"/>
          <w:sz w:val="21"/>
          <w:szCs w:val="21"/>
          <w:lang w:val="en-AU"/>
        </w:rPr>
        <w:t xml:space="preserve"> </w:t>
      </w:r>
      <w:proofErr w:type="spellStart"/>
      <w:r w:rsidR="00162537" w:rsidRPr="00433F80">
        <w:rPr>
          <w:color w:val="auto"/>
          <w:sz w:val="21"/>
          <w:szCs w:val="21"/>
          <w:lang w:val="en-AU"/>
        </w:rPr>
        <w:t>MoI</w:t>
      </w:r>
      <w:proofErr w:type="spellEnd"/>
      <w:r w:rsidR="00162537" w:rsidRPr="00433F80">
        <w:rPr>
          <w:color w:val="auto"/>
          <w:sz w:val="21"/>
          <w:szCs w:val="21"/>
          <w:lang w:val="en-AU"/>
        </w:rPr>
        <w:t xml:space="preserve">-led </w:t>
      </w:r>
      <w:r w:rsidR="007E4426" w:rsidRPr="00433F80">
        <w:rPr>
          <w:color w:val="auto"/>
          <w:sz w:val="21"/>
          <w:szCs w:val="21"/>
          <w:lang w:val="en-AU"/>
        </w:rPr>
        <w:t xml:space="preserve">ISAF Partnership Steering Committee </w:t>
      </w:r>
      <w:r w:rsidR="007E4426" w:rsidRPr="00433F80">
        <w:rPr>
          <w:rFonts w:cs="Arial"/>
          <w:color w:val="auto"/>
          <w:sz w:val="21"/>
          <w:szCs w:val="21"/>
          <w:lang w:val="en-AU"/>
        </w:rPr>
        <w:t>(</w:t>
      </w:r>
      <w:r w:rsidR="002C5611" w:rsidRPr="00433F80">
        <w:rPr>
          <w:rFonts w:cs="Arial"/>
          <w:color w:val="auto"/>
          <w:sz w:val="21"/>
          <w:szCs w:val="21"/>
          <w:lang w:val="en-AU"/>
        </w:rPr>
        <w:t>which</w:t>
      </w:r>
      <w:r w:rsidR="007E4426" w:rsidRPr="00433F80">
        <w:rPr>
          <w:rFonts w:cs="Arial"/>
          <w:color w:val="auto"/>
          <w:sz w:val="21"/>
          <w:szCs w:val="21"/>
          <w:lang w:val="en-AU"/>
        </w:rPr>
        <w:t xml:space="preserve"> features </w:t>
      </w:r>
      <w:r w:rsidR="00162537" w:rsidRPr="00433F80">
        <w:rPr>
          <w:rFonts w:cs="Arial"/>
          <w:color w:val="auto"/>
          <w:sz w:val="21"/>
          <w:szCs w:val="21"/>
          <w:lang w:val="en-AU"/>
        </w:rPr>
        <w:t xml:space="preserve">a wider range of </w:t>
      </w:r>
      <w:r w:rsidR="007E4426" w:rsidRPr="00433F80">
        <w:rPr>
          <w:rFonts w:cs="Arial"/>
          <w:color w:val="auto"/>
          <w:sz w:val="21"/>
          <w:szCs w:val="21"/>
          <w:lang w:val="en-AU"/>
        </w:rPr>
        <w:t xml:space="preserve">government </w:t>
      </w:r>
      <w:r w:rsidR="002C5611" w:rsidRPr="00433F80">
        <w:rPr>
          <w:rFonts w:cs="Arial"/>
          <w:color w:val="auto"/>
          <w:sz w:val="21"/>
          <w:szCs w:val="21"/>
          <w:lang w:val="en-AU"/>
        </w:rPr>
        <w:t xml:space="preserve">agencies </w:t>
      </w:r>
      <w:r w:rsidR="007E4426" w:rsidRPr="00433F80">
        <w:rPr>
          <w:rFonts w:cs="Arial"/>
          <w:color w:val="auto"/>
          <w:sz w:val="21"/>
          <w:szCs w:val="21"/>
          <w:lang w:val="en-AU"/>
        </w:rPr>
        <w:t>and NGO implementers).</w:t>
      </w:r>
      <w:r w:rsidR="00162537" w:rsidRPr="00433F80">
        <w:rPr>
          <w:color w:val="auto"/>
          <w:sz w:val="21"/>
          <w:szCs w:val="21"/>
          <w:lang w:val="en-AU"/>
        </w:rPr>
        <w:t xml:space="preserve"> </w:t>
      </w:r>
      <w:r w:rsidR="001B7347" w:rsidRPr="00433F80">
        <w:rPr>
          <w:color w:val="auto"/>
          <w:sz w:val="21"/>
          <w:szCs w:val="21"/>
          <w:lang w:val="en-AU"/>
        </w:rPr>
        <w:t xml:space="preserve">The pooled fund mechanism for H-EQIP has proven effective and </w:t>
      </w:r>
      <w:r w:rsidR="001B7347" w:rsidRPr="00433F80">
        <w:rPr>
          <w:rFonts w:cs="Arial"/>
          <w:color w:val="auto"/>
          <w:sz w:val="21"/>
          <w:szCs w:val="21"/>
          <w:lang w:val="en-AU"/>
        </w:rPr>
        <w:t>w</w:t>
      </w:r>
      <w:r w:rsidR="00580B19" w:rsidRPr="00433F80">
        <w:rPr>
          <w:rFonts w:cs="Arial"/>
          <w:color w:val="auto"/>
          <w:sz w:val="21"/>
          <w:szCs w:val="21"/>
          <w:lang w:val="en-AU"/>
        </w:rPr>
        <w:t xml:space="preserve">e expect H-EQIP 2 to follow a similar governance </w:t>
      </w:r>
      <w:r w:rsidR="005A0A76" w:rsidRPr="00433F80">
        <w:rPr>
          <w:rFonts w:cs="Arial"/>
          <w:color w:val="auto"/>
          <w:sz w:val="21"/>
          <w:szCs w:val="21"/>
          <w:lang w:val="en-AU"/>
        </w:rPr>
        <w:t>structure</w:t>
      </w:r>
      <w:r w:rsidR="00C22374" w:rsidRPr="00433F80">
        <w:rPr>
          <w:rFonts w:cs="Arial"/>
          <w:color w:val="auto"/>
          <w:sz w:val="21"/>
          <w:szCs w:val="21"/>
          <w:lang w:val="en-AU"/>
        </w:rPr>
        <w:t xml:space="preserve">, </w:t>
      </w:r>
      <w:r w:rsidR="00F851EA" w:rsidRPr="00433F80">
        <w:rPr>
          <w:rFonts w:cs="Arial"/>
          <w:color w:val="auto"/>
          <w:sz w:val="21"/>
          <w:szCs w:val="21"/>
          <w:lang w:val="en-AU"/>
        </w:rPr>
        <w:t>with</w:t>
      </w:r>
      <w:r w:rsidR="00C22374" w:rsidRPr="00433F80">
        <w:rPr>
          <w:rFonts w:cs="Arial"/>
          <w:color w:val="auto"/>
          <w:sz w:val="21"/>
          <w:szCs w:val="21"/>
          <w:lang w:val="en-AU"/>
        </w:rPr>
        <w:t xml:space="preserve"> chair</w:t>
      </w:r>
      <w:r w:rsidR="00F851EA" w:rsidRPr="00433F80">
        <w:rPr>
          <w:rFonts w:cs="Arial"/>
          <w:color w:val="auto"/>
          <w:sz w:val="21"/>
          <w:szCs w:val="21"/>
          <w:lang w:val="en-AU"/>
        </w:rPr>
        <w:t>ing duties shared</w:t>
      </w:r>
      <w:r w:rsidR="00C22374" w:rsidRPr="00433F80">
        <w:rPr>
          <w:rFonts w:cs="Arial"/>
          <w:color w:val="auto"/>
          <w:sz w:val="21"/>
          <w:szCs w:val="21"/>
          <w:lang w:val="en-AU"/>
        </w:rPr>
        <w:t xml:space="preserve"> by funding partners on a rotational basis (DFAT is currently chair of the H-EQIP pooled funding partners</w:t>
      </w:r>
      <w:r w:rsidR="005A0A76" w:rsidRPr="00433F80">
        <w:rPr>
          <w:rFonts w:cs="Arial"/>
          <w:color w:val="auto"/>
          <w:sz w:val="21"/>
          <w:szCs w:val="21"/>
          <w:lang w:val="en-AU"/>
        </w:rPr>
        <w:t>’</w:t>
      </w:r>
      <w:r w:rsidR="00C22374" w:rsidRPr="00433F80">
        <w:rPr>
          <w:rFonts w:cs="Arial"/>
          <w:color w:val="auto"/>
          <w:sz w:val="21"/>
          <w:szCs w:val="21"/>
          <w:lang w:val="en-AU"/>
        </w:rPr>
        <w:t xml:space="preserve"> management committee)</w:t>
      </w:r>
      <w:r w:rsidR="00580B19" w:rsidRPr="00433F80">
        <w:rPr>
          <w:rFonts w:cs="Arial"/>
          <w:color w:val="auto"/>
          <w:sz w:val="21"/>
          <w:szCs w:val="21"/>
          <w:lang w:val="en-AU"/>
        </w:rPr>
        <w:t xml:space="preserve">. </w:t>
      </w:r>
      <w:r w:rsidR="0061714B" w:rsidRPr="00433F80">
        <w:rPr>
          <w:rFonts w:cs="Arial"/>
          <w:color w:val="auto"/>
          <w:sz w:val="21"/>
          <w:szCs w:val="21"/>
          <w:lang w:val="en-AU"/>
        </w:rPr>
        <w:t xml:space="preserve">During implementation, </w:t>
      </w:r>
      <w:r w:rsidR="00A440E8" w:rsidRPr="00433F80">
        <w:rPr>
          <w:rFonts w:cs="Arial"/>
          <w:color w:val="auto"/>
          <w:sz w:val="21"/>
          <w:szCs w:val="21"/>
          <w:lang w:val="en-AU"/>
        </w:rPr>
        <w:t xml:space="preserve">the Partnership </w:t>
      </w:r>
      <w:r w:rsidR="0061714B" w:rsidRPr="00433F80">
        <w:rPr>
          <w:rFonts w:cs="Arial"/>
          <w:color w:val="auto"/>
          <w:sz w:val="21"/>
          <w:szCs w:val="21"/>
          <w:lang w:val="en-AU"/>
        </w:rPr>
        <w:t xml:space="preserve">will </w:t>
      </w:r>
      <w:r w:rsidR="00A440E8" w:rsidRPr="00433F80">
        <w:rPr>
          <w:rFonts w:cs="Arial"/>
          <w:color w:val="auto"/>
          <w:sz w:val="21"/>
          <w:szCs w:val="21"/>
          <w:lang w:val="en-AU"/>
        </w:rPr>
        <w:t xml:space="preserve">also provide </w:t>
      </w:r>
      <w:r w:rsidR="00202546" w:rsidRPr="00433F80">
        <w:rPr>
          <w:rFonts w:cs="Arial"/>
          <w:color w:val="auto"/>
          <w:sz w:val="21"/>
          <w:szCs w:val="21"/>
          <w:lang w:val="en-AU"/>
        </w:rPr>
        <w:t xml:space="preserve">opportunities for </w:t>
      </w:r>
      <w:r w:rsidR="00A440E8" w:rsidRPr="00433F80">
        <w:rPr>
          <w:rFonts w:cs="Arial"/>
          <w:color w:val="auto"/>
          <w:sz w:val="21"/>
          <w:szCs w:val="21"/>
          <w:lang w:val="en-AU"/>
        </w:rPr>
        <w:t xml:space="preserve">DFAT </w:t>
      </w:r>
      <w:r w:rsidR="00202546" w:rsidRPr="00433F80">
        <w:rPr>
          <w:rFonts w:cs="Arial"/>
          <w:color w:val="auto"/>
          <w:sz w:val="21"/>
          <w:szCs w:val="21"/>
          <w:lang w:val="en-AU"/>
        </w:rPr>
        <w:t>engagement on</w:t>
      </w:r>
      <w:r w:rsidR="00A440E8" w:rsidRPr="00433F80">
        <w:rPr>
          <w:rFonts w:cs="Arial"/>
          <w:color w:val="auto"/>
          <w:sz w:val="21"/>
          <w:szCs w:val="21"/>
          <w:lang w:val="en-AU"/>
        </w:rPr>
        <w:t xml:space="preserve"> broader</w:t>
      </w:r>
      <w:r w:rsidR="00202546" w:rsidRPr="00433F80">
        <w:rPr>
          <w:rFonts w:cs="Arial"/>
          <w:color w:val="auto"/>
          <w:sz w:val="21"/>
          <w:szCs w:val="21"/>
          <w:lang w:val="en-AU"/>
        </w:rPr>
        <w:t xml:space="preserve"> policy issues with the Cambodian Government</w:t>
      </w:r>
      <w:r w:rsidR="00A440E8" w:rsidRPr="00433F80">
        <w:rPr>
          <w:rFonts w:cs="Arial"/>
          <w:color w:val="auto"/>
          <w:sz w:val="21"/>
          <w:szCs w:val="21"/>
          <w:lang w:val="en-AU"/>
        </w:rPr>
        <w:t xml:space="preserve"> at senior levels </w:t>
      </w:r>
      <w:r w:rsidR="0061714B" w:rsidRPr="00433F80">
        <w:rPr>
          <w:rFonts w:cs="Arial"/>
          <w:color w:val="auto"/>
          <w:sz w:val="21"/>
          <w:szCs w:val="21"/>
          <w:lang w:val="en-AU"/>
        </w:rPr>
        <w:t>(</w:t>
      </w:r>
      <w:r w:rsidR="00A440E8" w:rsidRPr="00433F80">
        <w:rPr>
          <w:rFonts w:cs="Arial"/>
          <w:color w:val="auto"/>
          <w:sz w:val="21"/>
          <w:szCs w:val="21"/>
          <w:lang w:val="en-AU"/>
        </w:rPr>
        <w:t xml:space="preserve">including </w:t>
      </w:r>
      <w:r w:rsidR="0061714B" w:rsidRPr="00433F80">
        <w:rPr>
          <w:rFonts w:cs="Arial"/>
          <w:color w:val="auto"/>
          <w:sz w:val="21"/>
          <w:szCs w:val="21"/>
          <w:lang w:val="en-AU"/>
        </w:rPr>
        <w:t>MEF).</w:t>
      </w:r>
    </w:p>
    <w:p w14:paraId="3049F6D5" w14:textId="75A8E39B" w:rsidR="00BD4738" w:rsidRPr="00433F80" w:rsidRDefault="00DA5769" w:rsidP="005E6171">
      <w:pPr>
        <w:spacing w:line="360" w:lineRule="auto"/>
        <w:jc w:val="both"/>
        <w:rPr>
          <w:color w:val="auto"/>
          <w:sz w:val="21"/>
          <w:szCs w:val="21"/>
          <w:lang w:val="en-AU"/>
        </w:rPr>
      </w:pPr>
      <w:r w:rsidRPr="00433F80">
        <w:rPr>
          <w:color w:val="auto"/>
          <w:sz w:val="21"/>
          <w:szCs w:val="21"/>
          <w:lang w:val="en-AU"/>
        </w:rPr>
        <w:t xml:space="preserve">The careful design and integrated, recipient-executed nature of </w:t>
      </w:r>
      <w:r w:rsidR="002C5611" w:rsidRPr="00433F80">
        <w:rPr>
          <w:color w:val="auto"/>
          <w:sz w:val="21"/>
          <w:szCs w:val="21"/>
          <w:lang w:val="en-AU"/>
        </w:rPr>
        <w:t xml:space="preserve">the </w:t>
      </w:r>
      <w:r w:rsidRPr="00433F80">
        <w:rPr>
          <w:color w:val="auto"/>
          <w:sz w:val="21"/>
          <w:szCs w:val="21"/>
          <w:lang w:val="en-AU"/>
        </w:rPr>
        <w:t xml:space="preserve">H-EQIP and ISAF project </w:t>
      </w:r>
      <w:r w:rsidR="002C5611" w:rsidRPr="00433F80">
        <w:rPr>
          <w:color w:val="auto"/>
          <w:sz w:val="21"/>
          <w:szCs w:val="21"/>
          <w:lang w:val="en-AU"/>
        </w:rPr>
        <w:t xml:space="preserve">approaches </w:t>
      </w:r>
      <w:r w:rsidRPr="00433F80">
        <w:rPr>
          <w:color w:val="auto"/>
          <w:sz w:val="21"/>
          <w:szCs w:val="21"/>
          <w:lang w:val="en-AU"/>
        </w:rPr>
        <w:t xml:space="preserve">will support </w:t>
      </w:r>
      <w:r w:rsidR="00A440E8" w:rsidRPr="00433F80">
        <w:rPr>
          <w:b/>
          <w:color w:val="auto"/>
          <w:sz w:val="21"/>
          <w:szCs w:val="21"/>
          <w:lang w:val="en-AU"/>
        </w:rPr>
        <w:t>sustainable</w:t>
      </w:r>
      <w:r w:rsidRPr="00433F80">
        <w:rPr>
          <w:color w:val="auto"/>
          <w:sz w:val="21"/>
          <w:szCs w:val="21"/>
          <w:lang w:val="en-AU"/>
        </w:rPr>
        <w:t xml:space="preserve"> results. The H-EQIP model </w:t>
      </w:r>
      <w:r w:rsidR="00202546" w:rsidRPr="00433F80">
        <w:rPr>
          <w:color w:val="auto"/>
          <w:sz w:val="21"/>
          <w:szCs w:val="21"/>
          <w:lang w:val="en-AU"/>
        </w:rPr>
        <w:t xml:space="preserve">leverages Cambodian government contributions, and </w:t>
      </w:r>
      <w:r w:rsidRPr="00433F80">
        <w:rPr>
          <w:color w:val="auto"/>
          <w:sz w:val="21"/>
          <w:szCs w:val="21"/>
          <w:lang w:val="en-AU"/>
        </w:rPr>
        <w:t>caps the contributions of development partners to the Health Equity Fund, meaning the RGC is gradually assuming res</w:t>
      </w:r>
      <w:r w:rsidR="00275B92" w:rsidRPr="00433F80">
        <w:rPr>
          <w:color w:val="auto"/>
          <w:sz w:val="21"/>
          <w:szCs w:val="21"/>
          <w:lang w:val="en-AU"/>
        </w:rPr>
        <w:t>ponsibility for these subsidised</w:t>
      </w:r>
      <w:r w:rsidRPr="00433F80">
        <w:rPr>
          <w:color w:val="auto"/>
          <w:sz w:val="21"/>
          <w:szCs w:val="21"/>
          <w:lang w:val="en-AU"/>
        </w:rPr>
        <w:t xml:space="preserve"> services for poor Cambodians. </w:t>
      </w:r>
      <w:r w:rsidR="002C5611" w:rsidRPr="00433F80">
        <w:rPr>
          <w:color w:val="auto"/>
          <w:sz w:val="21"/>
          <w:szCs w:val="21"/>
          <w:lang w:val="en-AU"/>
        </w:rPr>
        <w:t>ISAF</w:t>
      </w:r>
      <w:r w:rsidRPr="00433F80">
        <w:rPr>
          <w:color w:val="auto"/>
          <w:sz w:val="21"/>
          <w:szCs w:val="21"/>
          <w:lang w:val="en-AU"/>
        </w:rPr>
        <w:t xml:space="preserve"> is a government-owned process to which the RGC contributes </w:t>
      </w:r>
      <w:r w:rsidR="00DB1B88" w:rsidRPr="00433F80">
        <w:rPr>
          <w:color w:val="auto"/>
          <w:sz w:val="21"/>
          <w:szCs w:val="21"/>
          <w:lang w:val="en-AU"/>
        </w:rPr>
        <w:t xml:space="preserve">the </w:t>
      </w:r>
      <w:r w:rsidR="00DB1B88" w:rsidRPr="00433F80">
        <w:rPr>
          <w:color w:val="auto"/>
          <w:sz w:val="21"/>
          <w:szCs w:val="21"/>
          <w:lang w:val="en-AU"/>
        </w:rPr>
        <w:lastRenderedPageBreak/>
        <w:t>salary costs of the government personnel involved (</w:t>
      </w:r>
      <w:r w:rsidR="00275B92" w:rsidRPr="00433F80">
        <w:rPr>
          <w:color w:val="auto"/>
          <w:sz w:val="21"/>
          <w:szCs w:val="21"/>
          <w:lang w:val="en-AU"/>
        </w:rPr>
        <w:t>at national and subnational levels</w:t>
      </w:r>
      <w:r w:rsidR="00DB1B88" w:rsidRPr="00433F80">
        <w:rPr>
          <w:color w:val="auto"/>
          <w:sz w:val="21"/>
          <w:szCs w:val="21"/>
          <w:lang w:val="en-AU"/>
        </w:rPr>
        <w:t>)</w:t>
      </w:r>
      <w:r w:rsidRPr="00433F80">
        <w:rPr>
          <w:color w:val="auto"/>
          <w:sz w:val="21"/>
          <w:szCs w:val="21"/>
          <w:lang w:val="en-AU"/>
        </w:rPr>
        <w:t xml:space="preserve">. The focus on developing direct responses to </w:t>
      </w:r>
      <w:r w:rsidR="00743B0C" w:rsidRPr="00433F80">
        <w:rPr>
          <w:color w:val="auto"/>
          <w:sz w:val="21"/>
          <w:szCs w:val="21"/>
          <w:lang w:val="en-AU"/>
        </w:rPr>
        <w:t>locally agreed</w:t>
      </w:r>
      <w:r w:rsidRPr="00433F80">
        <w:rPr>
          <w:color w:val="auto"/>
          <w:sz w:val="21"/>
          <w:szCs w:val="21"/>
          <w:lang w:val="en-AU"/>
        </w:rPr>
        <w:t xml:space="preserve"> problems helps </w:t>
      </w:r>
      <w:r w:rsidR="005962BF" w:rsidRPr="00433F80">
        <w:rPr>
          <w:color w:val="auto"/>
          <w:sz w:val="21"/>
          <w:szCs w:val="21"/>
          <w:lang w:val="en-AU"/>
        </w:rPr>
        <w:t xml:space="preserve">promote the sustainability of these changes </w:t>
      </w:r>
      <w:r w:rsidR="00E603AD" w:rsidRPr="00433F80">
        <w:rPr>
          <w:color w:val="auto"/>
          <w:sz w:val="21"/>
          <w:szCs w:val="21"/>
          <w:lang w:val="en-AU"/>
        </w:rPr>
        <w:t>to</w:t>
      </w:r>
      <w:r w:rsidR="005962BF" w:rsidRPr="00433F80">
        <w:rPr>
          <w:color w:val="auto"/>
          <w:sz w:val="21"/>
          <w:szCs w:val="21"/>
          <w:lang w:val="en-AU"/>
        </w:rPr>
        <w:t xml:space="preserve"> service delivery.</w:t>
      </w:r>
    </w:p>
    <w:p w14:paraId="4B8760BC" w14:textId="77777777" w:rsidR="00BD4738" w:rsidRPr="00433F80" w:rsidRDefault="00BD4738" w:rsidP="005E6171">
      <w:pPr>
        <w:spacing w:line="360" w:lineRule="auto"/>
        <w:jc w:val="both"/>
        <w:rPr>
          <w:b/>
          <w:color w:val="auto"/>
          <w:sz w:val="21"/>
          <w:szCs w:val="21"/>
          <w:lang w:val="en-AU"/>
        </w:rPr>
      </w:pPr>
      <w:r w:rsidRPr="00433F80">
        <w:rPr>
          <w:b/>
          <w:color w:val="auto"/>
          <w:sz w:val="21"/>
          <w:szCs w:val="21"/>
          <w:lang w:val="en-AU"/>
        </w:rPr>
        <w:t>Policy engagement</w:t>
      </w:r>
    </w:p>
    <w:p w14:paraId="6739C3AF" w14:textId="310483C6" w:rsidR="00790FDE" w:rsidRPr="00433F80" w:rsidRDefault="00BD4738" w:rsidP="005E6171">
      <w:pPr>
        <w:spacing w:line="360" w:lineRule="auto"/>
        <w:jc w:val="both"/>
        <w:rPr>
          <w:color w:val="auto"/>
          <w:sz w:val="21"/>
          <w:szCs w:val="21"/>
          <w:lang w:val="en-AU"/>
        </w:rPr>
      </w:pPr>
      <w:r w:rsidRPr="00433F80">
        <w:rPr>
          <w:color w:val="auto"/>
          <w:sz w:val="21"/>
          <w:szCs w:val="21"/>
          <w:lang w:val="en-AU"/>
        </w:rPr>
        <w:t xml:space="preserve">Post intends to </w:t>
      </w:r>
      <w:r w:rsidR="00202546" w:rsidRPr="00433F80">
        <w:rPr>
          <w:color w:val="auto"/>
          <w:sz w:val="21"/>
          <w:szCs w:val="21"/>
          <w:lang w:val="en-AU"/>
        </w:rPr>
        <w:t xml:space="preserve">maintain clarity and focus for policy engagement under </w:t>
      </w:r>
      <w:r w:rsidRPr="00433F80">
        <w:rPr>
          <w:color w:val="auto"/>
          <w:sz w:val="21"/>
          <w:szCs w:val="21"/>
          <w:lang w:val="en-AU"/>
        </w:rPr>
        <w:t>the Partnership in three main ways:</w:t>
      </w:r>
    </w:p>
    <w:p w14:paraId="695C67D6" w14:textId="47E258A0" w:rsidR="00BD4738" w:rsidRPr="00433F80" w:rsidRDefault="00BD4738" w:rsidP="005E6171">
      <w:pPr>
        <w:pStyle w:val="ListParagraph"/>
        <w:numPr>
          <w:ilvl w:val="0"/>
          <w:numId w:val="48"/>
        </w:numPr>
        <w:suppressAutoHyphens w:val="0"/>
        <w:spacing w:before="0" w:line="360" w:lineRule="auto"/>
        <w:ind w:left="316" w:hanging="283"/>
        <w:contextualSpacing w:val="0"/>
        <w:rPr>
          <w:color w:val="auto"/>
          <w:sz w:val="21"/>
          <w:szCs w:val="21"/>
        </w:rPr>
      </w:pPr>
      <w:r w:rsidRPr="00433F80">
        <w:rPr>
          <w:color w:val="auto"/>
          <w:sz w:val="21"/>
          <w:szCs w:val="21"/>
        </w:rPr>
        <w:t>Develop a Human Development Team policy matrix to guide our engagement in the Partnership (and with other external stakeholders)</w:t>
      </w:r>
    </w:p>
    <w:p w14:paraId="737D9ACD" w14:textId="3C61266F" w:rsidR="00BD4738" w:rsidRPr="00433F80" w:rsidRDefault="00BD4738" w:rsidP="005E6171">
      <w:pPr>
        <w:pStyle w:val="ListParagraph"/>
        <w:numPr>
          <w:ilvl w:val="0"/>
          <w:numId w:val="48"/>
        </w:numPr>
        <w:suppressAutoHyphens w:val="0"/>
        <w:spacing w:before="0" w:line="360" w:lineRule="auto"/>
        <w:ind w:left="316" w:hanging="283"/>
        <w:contextualSpacing w:val="0"/>
        <w:rPr>
          <w:color w:val="auto"/>
          <w:sz w:val="21"/>
          <w:szCs w:val="21"/>
        </w:rPr>
      </w:pPr>
      <w:r w:rsidRPr="00433F80">
        <w:rPr>
          <w:color w:val="auto"/>
          <w:sz w:val="21"/>
          <w:szCs w:val="21"/>
        </w:rPr>
        <w:t xml:space="preserve">Post and the World Bank to oversee </w:t>
      </w:r>
      <w:proofErr w:type="gramStart"/>
      <w:r w:rsidRPr="00433F80">
        <w:rPr>
          <w:color w:val="auto"/>
          <w:sz w:val="21"/>
          <w:szCs w:val="21"/>
        </w:rPr>
        <w:t>a joint Partnership</w:t>
      </w:r>
      <w:proofErr w:type="gramEnd"/>
      <w:r w:rsidRPr="00433F80">
        <w:rPr>
          <w:color w:val="auto"/>
          <w:sz w:val="21"/>
          <w:szCs w:val="21"/>
        </w:rPr>
        <w:t xml:space="preserve"> policy matrix or agreed list of advocacy priorities, updated through regular review. This will translate the Partnership objectives into issues of the day for engagement with RGC/stakeholders.</w:t>
      </w:r>
    </w:p>
    <w:p w14:paraId="574364D4" w14:textId="73B50220" w:rsidR="000766E5" w:rsidRPr="00237DD9" w:rsidRDefault="00BD4738" w:rsidP="00237DD9">
      <w:pPr>
        <w:pStyle w:val="ListParagraph"/>
        <w:numPr>
          <w:ilvl w:val="0"/>
          <w:numId w:val="48"/>
        </w:numPr>
        <w:suppressAutoHyphens w:val="0"/>
        <w:spacing w:before="0" w:line="360" w:lineRule="auto"/>
        <w:ind w:left="316" w:hanging="283"/>
        <w:contextualSpacing w:val="0"/>
        <w:jc w:val="both"/>
        <w:rPr>
          <w:color w:val="auto"/>
          <w:sz w:val="21"/>
          <w:szCs w:val="21"/>
        </w:rPr>
      </w:pPr>
      <w:r w:rsidRPr="00433F80">
        <w:rPr>
          <w:color w:val="auto"/>
          <w:sz w:val="21"/>
          <w:szCs w:val="21"/>
        </w:rPr>
        <w:t xml:space="preserve">A social protection engagement strategy for Post, covering all relevant partners / programs (the Partnership as well as </w:t>
      </w:r>
      <w:proofErr w:type="spellStart"/>
      <w:r w:rsidRPr="00433F80">
        <w:rPr>
          <w:color w:val="auto"/>
          <w:sz w:val="21"/>
          <w:szCs w:val="21"/>
        </w:rPr>
        <w:t>IDPoor</w:t>
      </w:r>
      <w:proofErr w:type="spellEnd"/>
      <w:r w:rsidRPr="00433F80">
        <w:rPr>
          <w:color w:val="auto"/>
          <w:sz w:val="21"/>
          <w:szCs w:val="21"/>
        </w:rPr>
        <w:t>, UNDP, ACCESS, etc.). DFAT’s Poverty and Transfers Section will support this process.</w:t>
      </w:r>
    </w:p>
    <w:p w14:paraId="49EA1098" w14:textId="77777777" w:rsidR="002D4DE7" w:rsidRPr="00433F80" w:rsidRDefault="002D4DE7" w:rsidP="005E6171">
      <w:pPr>
        <w:numPr>
          <w:ilvl w:val="0"/>
          <w:numId w:val="11"/>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line="360" w:lineRule="auto"/>
        <w:ind w:left="284" w:hanging="284"/>
        <w:rPr>
          <w:rFonts w:asciiTheme="majorHAnsi" w:hAnsiTheme="majorHAnsi"/>
          <w:b/>
          <w:color w:val="auto"/>
          <w:szCs w:val="21"/>
          <w:lang w:val="en-AU"/>
        </w:rPr>
      </w:pPr>
      <w:r w:rsidRPr="00433F80">
        <w:rPr>
          <w:rFonts w:asciiTheme="majorHAnsi" w:hAnsiTheme="majorHAnsi"/>
          <w:b/>
          <w:color w:val="auto"/>
          <w:szCs w:val="21"/>
          <w:lang w:val="en-AU"/>
        </w:rPr>
        <w:t>Monitoring and Evaluation (How will DFAT measure performance?)</w:t>
      </w:r>
    </w:p>
    <w:p w14:paraId="12A85564" w14:textId="015C868B" w:rsidR="00740B9B" w:rsidRPr="00433F80" w:rsidRDefault="009A3C18" w:rsidP="005E6171">
      <w:pPr>
        <w:tabs>
          <w:tab w:val="left" w:pos="284"/>
        </w:tabs>
        <w:suppressAutoHyphens w:val="0"/>
        <w:spacing w:before="0" w:line="360" w:lineRule="auto"/>
        <w:rPr>
          <w:color w:val="auto"/>
          <w:sz w:val="21"/>
          <w:szCs w:val="21"/>
          <w:lang w:val="en-AU"/>
        </w:rPr>
      </w:pPr>
      <w:r w:rsidRPr="00433F80">
        <w:rPr>
          <w:color w:val="auto"/>
          <w:sz w:val="21"/>
          <w:szCs w:val="21"/>
          <w:lang w:val="en-AU"/>
        </w:rPr>
        <w:t xml:space="preserve">A draft </w:t>
      </w:r>
      <w:r w:rsidRPr="00433F80">
        <w:rPr>
          <w:b/>
          <w:bCs/>
          <w:color w:val="auto"/>
          <w:sz w:val="21"/>
          <w:szCs w:val="21"/>
          <w:lang w:val="en-AU"/>
        </w:rPr>
        <w:t>PROMISE Partnership Results Framework</w:t>
      </w:r>
      <w:r w:rsidRPr="00433F80">
        <w:rPr>
          <w:color w:val="auto"/>
          <w:sz w:val="21"/>
          <w:szCs w:val="21"/>
          <w:lang w:val="en-AU"/>
        </w:rPr>
        <w:t xml:space="preserve"> has been developed </w:t>
      </w:r>
      <w:r w:rsidR="00820932" w:rsidRPr="00433F80">
        <w:rPr>
          <w:color w:val="auto"/>
          <w:sz w:val="21"/>
          <w:szCs w:val="21"/>
          <w:lang w:val="en-AU"/>
        </w:rPr>
        <w:t>(Annex 5)</w:t>
      </w:r>
      <w:r w:rsidRPr="00433F80">
        <w:rPr>
          <w:color w:val="auto"/>
          <w:sz w:val="21"/>
          <w:szCs w:val="21"/>
          <w:lang w:val="en-AU"/>
        </w:rPr>
        <w:t xml:space="preserve">, featuring high-level outcomes and indicators for each of the components. Performance information will be fed by individual monitoring and evaluation frameworks </w:t>
      </w:r>
      <w:r w:rsidR="00E43108" w:rsidRPr="00433F80">
        <w:rPr>
          <w:color w:val="auto"/>
          <w:sz w:val="21"/>
          <w:szCs w:val="21"/>
          <w:lang w:val="en-AU"/>
        </w:rPr>
        <w:t xml:space="preserve">for each component, </w:t>
      </w:r>
      <w:r w:rsidR="00007E7D" w:rsidRPr="00433F80">
        <w:rPr>
          <w:color w:val="auto"/>
          <w:sz w:val="21"/>
          <w:szCs w:val="21"/>
          <w:lang w:val="en-AU"/>
        </w:rPr>
        <w:t>overseen by the World Bank</w:t>
      </w:r>
      <w:r w:rsidR="0056476A" w:rsidRPr="00433F80">
        <w:rPr>
          <w:color w:val="auto"/>
          <w:sz w:val="21"/>
          <w:szCs w:val="21"/>
          <w:lang w:val="en-AU"/>
        </w:rPr>
        <w:t xml:space="preserve"> </w:t>
      </w:r>
      <w:r w:rsidR="0004640F" w:rsidRPr="00433F80">
        <w:rPr>
          <w:color w:val="auto"/>
          <w:sz w:val="21"/>
          <w:szCs w:val="21"/>
          <w:lang w:val="en-AU"/>
        </w:rPr>
        <w:t xml:space="preserve">which will </w:t>
      </w:r>
      <w:r w:rsidR="0056476A" w:rsidRPr="00433F80">
        <w:rPr>
          <w:color w:val="auto"/>
          <w:sz w:val="21"/>
          <w:szCs w:val="21"/>
          <w:lang w:val="en-AU"/>
        </w:rPr>
        <w:t xml:space="preserve">apply the full scope of </w:t>
      </w:r>
      <w:r w:rsidR="0004640F" w:rsidRPr="00433F80">
        <w:rPr>
          <w:color w:val="auto"/>
          <w:sz w:val="21"/>
          <w:szCs w:val="21"/>
          <w:lang w:val="en-AU"/>
        </w:rPr>
        <w:t xml:space="preserve">its </w:t>
      </w:r>
      <w:r w:rsidR="0056476A" w:rsidRPr="00433F80">
        <w:rPr>
          <w:color w:val="auto"/>
          <w:sz w:val="21"/>
          <w:szCs w:val="21"/>
          <w:lang w:val="en-AU"/>
        </w:rPr>
        <w:t>performance monitoring policies and processes to the task</w:t>
      </w:r>
      <w:r w:rsidR="00007E7D" w:rsidRPr="00433F80">
        <w:rPr>
          <w:color w:val="auto"/>
          <w:sz w:val="21"/>
          <w:szCs w:val="21"/>
          <w:lang w:val="en-AU"/>
        </w:rPr>
        <w:t xml:space="preserve">. </w:t>
      </w:r>
      <w:r w:rsidR="00F8233D" w:rsidRPr="00433F80">
        <w:rPr>
          <w:color w:val="auto"/>
          <w:sz w:val="21"/>
          <w:szCs w:val="21"/>
          <w:lang w:val="en-AU"/>
        </w:rPr>
        <w:t xml:space="preserve">This will provide a balance between robust project-level </w:t>
      </w:r>
      <w:r w:rsidR="00820932" w:rsidRPr="00433F80">
        <w:rPr>
          <w:color w:val="auto"/>
          <w:sz w:val="21"/>
          <w:szCs w:val="21"/>
          <w:lang w:val="en-AU"/>
        </w:rPr>
        <w:t xml:space="preserve">results </w:t>
      </w:r>
      <w:r w:rsidR="00F8233D" w:rsidRPr="00433F80">
        <w:rPr>
          <w:color w:val="auto"/>
          <w:sz w:val="21"/>
          <w:szCs w:val="21"/>
          <w:lang w:val="en-AU"/>
        </w:rPr>
        <w:t xml:space="preserve">frameworks and the more responsive and directed approach that will be available to Australia and the </w:t>
      </w:r>
      <w:r w:rsidR="00B86EF5" w:rsidRPr="00433F80">
        <w:rPr>
          <w:color w:val="auto"/>
          <w:sz w:val="21"/>
          <w:szCs w:val="21"/>
          <w:lang w:val="en-AU"/>
        </w:rPr>
        <w:t xml:space="preserve">World </w:t>
      </w:r>
      <w:r w:rsidR="00F8233D" w:rsidRPr="00433F80">
        <w:rPr>
          <w:color w:val="auto"/>
          <w:sz w:val="21"/>
          <w:szCs w:val="21"/>
          <w:lang w:val="en-AU"/>
        </w:rPr>
        <w:t>Bank under the flexible funding component.</w:t>
      </w:r>
      <w:r w:rsidR="003D4179" w:rsidRPr="00433F80">
        <w:rPr>
          <w:color w:val="auto"/>
          <w:sz w:val="21"/>
          <w:szCs w:val="21"/>
          <w:lang w:val="en-AU"/>
        </w:rPr>
        <w:t xml:space="preserve"> </w:t>
      </w:r>
      <w:r w:rsidR="00E43108" w:rsidRPr="00433F80">
        <w:rPr>
          <w:color w:val="auto"/>
          <w:sz w:val="21"/>
          <w:szCs w:val="21"/>
          <w:lang w:val="en-AU"/>
        </w:rPr>
        <w:t>The detail</w:t>
      </w:r>
      <w:r w:rsidR="00820932" w:rsidRPr="00433F80">
        <w:rPr>
          <w:color w:val="auto"/>
          <w:sz w:val="21"/>
          <w:szCs w:val="21"/>
          <w:lang w:val="en-AU"/>
        </w:rPr>
        <w:t xml:space="preserve">ed outcomes and indicators </w:t>
      </w:r>
      <w:r w:rsidR="00E43108" w:rsidRPr="00433F80">
        <w:rPr>
          <w:color w:val="auto"/>
          <w:sz w:val="21"/>
          <w:szCs w:val="21"/>
          <w:lang w:val="en-AU"/>
        </w:rPr>
        <w:t xml:space="preserve">the Results Framework will be further refined as the </w:t>
      </w:r>
      <w:r w:rsidR="00820932" w:rsidRPr="00433F80">
        <w:rPr>
          <w:color w:val="auto"/>
          <w:sz w:val="21"/>
          <w:szCs w:val="21"/>
          <w:lang w:val="en-AU"/>
        </w:rPr>
        <w:t xml:space="preserve">design and </w:t>
      </w:r>
      <w:r w:rsidR="00E43108" w:rsidRPr="00433F80">
        <w:rPr>
          <w:color w:val="auto"/>
          <w:sz w:val="21"/>
          <w:szCs w:val="21"/>
          <w:lang w:val="en-AU"/>
        </w:rPr>
        <w:t>project identification processes for each component proceed</w:t>
      </w:r>
      <w:r w:rsidR="00373333" w:rsidRPr="00433F80">
        <w:rPr>
          <w:color w:val="auto"/>
          <w:sz w:val="21"/>
          <w:szCs w:val="21"/>
          <w:lang w:val="en-AU"/>
        </w:rPr>
        <w:t>s</w:t>
      </w:r>
      <w:r w:rsidR="00E43108" w:rsidRPr="00433F80">
        <w:rPr>
          <w:color w:val="auto"/>
          <w:sz w:val="21"/>
          <w:szCs w:val="21"/>
          <w:lang w:val="en-AU"/>
        </w:rPr>
        <w:t xml:space="preserve">. </w:t>
      </w:r>
    </w:p>
    <w:p w14:paraId="5011CDFD" w14:textId="4696F1EB" w:rsidR="00740B9B" w:rsidRPr="00433F80" w:rsidRDefault="00740B9B" w:rsidP="005E6171">
      <w:pPr>
        <w:tabs>
          <w:tab w:val="left" w:pos="284"/>
        </w:tabs>
        <w:suppressAutoHyphens w:val="0"/>
        <w:spacing w:before="0" w:line="360" w:lineRule="auto"/>
        <w:rPr>
          <w:color w:val="auto"/>
          <w:sz w:val="21"/>
          <w:szCs w:val="21"/>
          <w:lang w:val="en-AU"/>
        </w:rPr>
      </w:pPr>
      <w:r w:rsidRPr="00433F80">
        <w:rPr>
          <w:color w:val="auto"/>
          <w:sz w:val="21"/>
          <w:szCs w:val="21"/>
          <w:lang w:val="en-AU"/>
        </w:rPr>
        <w:t xml:space="preserve">The PROMISE Partnership links to the following </w:t>
      </w:r>
      <w:r w:rsidR="00373333" w:rsidRPr="00433F80">
        <w:rPr>
          <w:b/>
          <w:bCs/>
          <w:i/>
          <w:iCs/>
          <w:color w:val="auto"/>
          <w:sz w:val="21"/>
          <w:szCs w:val="21"/>
          <w:lang w:val="en-AU"/>
        </w:rPr>
        <w:t>Partnerships for Recovery</w:t>
      </w:r>
      <w:r w:rsidR="00373333" w:rsidRPr="00433F80">
        <w:rPr>
          <w:b/>
          <w:bCs/>
          <w:color w:val="auto"/>
          <w:sz w:val="21"/>
          <w:szCs w:val="21"/>
          <w:lang w:val="en-AU"/>
        </w:rPr>
        <w:t xml:space="preserve"> performance </w:t>
      </w:r>
      <w:r w:rsidRPr="00433F80">
        <w:rPr>
          <w:b/>
          <w:bCs/>
          <w:color w:val="auto"/>
          <w:sz w:val="21"/>
          <w:szCs w:val="21"/>
          <w:lang w:val="en-AU"/>
        </w:rPr>
        <w:t>indicators</w:t>
      </w:r>
      <w:r w:rsidRPr="00433F80">
        <w:rPr>
          <w:color w:val="auto"/>
          <w:sz w:val="21"/>
          <w:szCs w:val="21"/>
          <w:lang w:val="en-AU"/>
        </w:rPr>
        <w:t>, as articulated in the Cambodia COVID-19 Development Response Plan:</w:t>
      </w:r>
    </w:p>
    <w:p w14:paraId="73582AB5" w14:textId="137E7462" w:rsidR="00740B9B" w:rsidRPr="00433F80" w:rsidRDefault="00740B9B" w:rsidP="005E6171">
      <w:pPr>
        <w:pStyle w:val="ListParagraph"/>
        <w:numPr>
          <w:ilvl w:val="0"/>
          <w:numId w:val="49"/>
        </w:numPr>
        <w:tabs>
          <w:tab w:val="left" w:pos="284"/>
        </w:tabs>
        <w:suppressAutoHyphens w:val="0"/>
        <w:spacing w:before="0" w:line="360" w:lineRule="auto"/>
        <w:rPr>
          <w:color w:val="auto"/>
          <w:sz w:val="21"/>
          <w:szCs w:val="21"/>
          <w:lang w:val="en-AU"/>
        </w:rPr>
      </w:pPr>
      <w:r w:rsidRPr="00433F80">
        <w:rPr>
          <w:color w:val="auto"/>
          <w:sz w:val="21"/>
          <w:szCs w:val="21"/>
          <w:lang w:val="en-AU"/>
        </w:rPr>
        <w:t>Health security</w:t>
      </w:r>
    </w:p>
    <w:p w14:paraId="7D2C96DB" w14:textId="7B49556C" w:rsidR="00740B9B" w:rsidRPr="00433F80" w:rsidRDefault="00985AD9" w:rsidP="005E6171">
      <w:pPr>
        <w:pStyle w:val="ListParagraph"/>
        <w:numPr>
          <w:ilvl w:val="1"/>
          <w:numId w:val="49"/>
        </w:numPr>
        <w:tabs>
          <w:tab w:val="left" w:pos="284"/>
        </w:tabs>
        <w:suppressAutoHyphens w:val="0"/>
        <w:spacing w:before="0" w:line="360" w:lineRule="auto"/>
        <w:ind w:left="1134" w:hanging="283"/>
        <w:rPr>
          <w:color w:val="auto"/>
          <w:sz w:val="21"/>
          <w:szCs w:val="21"/>
          <w:lang w:val="en-AU"/>
        </w:rPr>
      </w:pPr>
      <w:r w:rsidRPr="00433F80">
        <w:rPr>
          <w:color w:val="auto"/>
          <w:sz w:val="21"/>
          <w:szCs w:val="21"/>
        </w:rPr>
        <w:t>Number of countries where Australia has contributed to strengthened health systems including preparedness for health emergencies, with examples</w:t>
      </w:r>
    </w:p>
    <w:p w14:paraId="6541CA0E" w14:textId="7868F5A6" w:rsidR="00985AD9" w:rsidRPr="00433F80" w:rsidRDefault="00985AD9" w:rsidP="005E6171">
      <w:pPr>
        <w:pStyle w:val="ListParagraph"/>
        <w:numPr>
          <w:ilvl w:val="0"/>
          <w:numId w:val="49"/>
        </w:numPr>
        <w:tabs>
          <w:tab w:val="left" w:pos="284"/>
        </w:tabs>
        <w:suppressAutoHyphens w:val="0"/>
        <w:spacing w:before="0" w:line="360" w:lineRule="auto"/>
        <w:rPr>
          <w:color w:val="auto"/>
          <w:sz w:val="21"/>
          <w:szCs w:val="21"/>
          <w:lang w:val="en-AU"/>
        </w:rPr>
      </w:pPr>
      <w:r w:rsidRPr="00433F80">
        <w:rPr>
          <w:color w:val="auto"/>
          <w:sz w:val="21"/>
          <w:szCs w:val="21"/>
        </w:rPr>
        <w:t>Stability</w:t>
      </w:r>
    </w:p>
    <w:p w14:paraId="6DA4CE53" w14:textId="2382DA31" w:rsidR="00985AD9" w:rsidRPr="00433F80" w:rsidRDefault="00985AD9" w:rsidP="005E6171">
      <w:pPr>
        <w:pStyle w:val="ListParagraph"/>
        <w:numPr>
          <w:ilvl w:val="1"/>
          <w:numId w:val="49"/>
        </w:numPr>
        <w:tabs>
          <w:tab w:val="left" w:pos="284"/>
        </w:tabs>
        <w:suppressAutoHyphens w:val="0"/>
        <w:spacing w:before="0" w:line="360" w:lineRule="auto"/>
        <w:ind w:left="1134" w:hanging="283"/>
        <w:rPr>
          <w:color w:val="auto"/>
          <w:sz w:val="21"/>
          <w:szCs w:val="21"/>
          <w:lang w:val="en-AU"/>
        </w:rPr>
      </w:pPr>
      <w:r w:rsidRPr="00433F80">
        <w:rPr>
          <w:color w:val="auto"/>
          <w:sz w:val="21"/>
          <w:szCs w:val="21"/>
        </w:rPr>
        <w:t>Countries Australia has supported in the last 12 months to strengthen governance systems (by type) (including examples of assistance provided and significant policy change achieved)</w:t>
      </w:r>
    </w:p>
    <w:p w14:paraId="6DF95075" w14:textId="09399ABA" w:rsidR="00985AD9" w:rsidRPr="00433F80" w:rsidRDefault="00985AD9" w:rsidP="005E6171">
      <w:pPr>
        <w:pStyle w:val="ListParagraph"/>
        <w:numPr>
          <w:ilvl w:val="1"/>
          <w:numId w:val="49"/>
        </w:numPr>
        <w:tabs>
          <w:tab w:val="left" w:pos="284"/>
        </w:tabs>
        <w:suppressAutoHyphens w:val="0"/>
        <w:spacing w:before="0" w:after="120" w:line="360" w:lineRule="auto"/>
        <w:ind w:left="1134" w:hanging="283"/>
        <w:contextualSpacing w:val="0"/>
        <w:rPr>
          <w:color w:val="auto"/>
          <w:sz w:val="21"/>
          <w:szCs w:val="21"/>
          <w:lang w:val="en-AU"/>
        </w:rPr>
      </w:pPr>
      <w:r w:rsidRPr="00433F80">
        <w:rPr>
          <w:color w:val="auto"/>
          <w:sz w:val="21"/>
          <w:szCs w:val="21"/>
        </w:rPr>
        <w:t>Numbers reached with new or improved social protection programs, including remote communities</w:t>
      </w:r>
    </w:p>
    <w:p w14:paraId="0650A3F8" w14:textId="2AE893DE" w:rsidR="00985AD9" w:rsidRPr="00433F80" w:rsidRDefault="00985AD9" w:rsidP="005E6171">
      <w:pPr>
        <w:pStyle w:val="ListParagraph"/>
        <w:numPr>
          <w:ilvl w:val="0"/>
          <w:numId w:val="49"/>
        </w:numPr>
        <w:tabs>
          <w:tab w:val="left" w:pos="284"/>
        </w:tabs>
        <w:suppressAutoHyphens w:val="0"/>
        <w:spacing w:before="0" w:line="360" w:lineRule="auto"/>
        <w:rPr>
          <w:color w:val="auto"/>
          <w:sz w:val="21"/>
          <w:szCs w:val="21"/>
          <w:lang w:val="en-AU"/>
        </w:rPr>
      </w:pPr>
      <w:r w:rsidRPr="00433F80">
        <w:rPr>
          <w:color w:val="auto"/>
          <w:sz w:val="21"/>
          <w:szCs w:val="21"/>
          <w:lang w:val="en-AU"/>
        </w:rPr>
        <w:t>Economic recovery</w:t>
      </w:r>
    </w:p>
    <w:p w14:paraId="79570433" w14:textId="27CBA9D3" w:rsidR="00985AD9" w:rsidRPr="00433F80" w:rsidRDefault="00985AD9" w:rsidP="005E6171">
      <w:pPr>
        <w:pStyle w:val="ListParagraph"/>
        <w:numPr>
          <w:ilvl w:val="1"/>
          <w:numId w:val="49"/>
        </w:numPr>
        <w:tabs>
          <w:tab w:val="left" w:pos="284"/>
        </w:tabs>
        <w:suppressAutoHyphens w:val="0"/>
        <w:spacing w:before="0" w:line="360" w:lineRule="auto"/>
        <w:ind w:left="1134" w:hanging="283"/>
        <w:rPr>
          <w:color w:val="auto"/>
          <w:sz w:val="21"/>
          <w:szCs w:val="21"/>
          <w:lang w:val="en-AU"/>
        </w:rPr>
      </w:pPr>
      <w:r w:rsidRPr="00433F80">
        <w:rPr>
          <w:color w:val="auto"/>
          <w:sz w:val="21"/>
          <w:szCs w:val="21"/>
        </w:rPr>
        <w:t xml:space="preserve">Countries Australia has supported in the last 12 months with policy and technical advice on stimulus measures and </w:t>
      </w:r>
      <w:r w:rsidR="00743B0C" w:rsidRPr="00433F80">
        <w:rPr>
          <w:color w:val="auto"/>
          <w:sz w:val="21"/>
          <w:szCs w:val="21"/>
        </w:rPr>
        <w:t>longer-term</w:t>
      </w:r>
      <w:r w:rsidRPr="00433F80">
        <w:rPr>
          <w:color w:val="auto"/>
          <w:sz w:val="21"/>
          <w:szCs w:val="21"/>
        </w:rPr>
        <w:t xml:space="preserve"> economic recovery (including examples of assistance provided and results achieved)</w:t>
      </w:r>
    </w:p>
    <w:p w14:paraId="4C03671B" w14:textId="51AB977F" w:rsidR="00F8233D" w:rsidRPr="00433F80" w:rsidRDefault="00E43108" w:rsidP="005E6171">
      <w:pPr>
        <w:tabs>
          <w:tab w:val="left" w:pos="284"/>
        </w:tabs>
        <w:suppressAutoHyphens w:val="0"/>
        <w:spacing w:before="0" w:line="360" w:lineRule="auto"/>
        <w:rPr>
          <w:color w:val="auto"/>
          <w:sz w:val="21"/>
          <w:szCs w:val="21"/>
          <w:lang w:val="en-AU"/>
        </w:rPr>
      </w:pPr>
      <w:r w:rsidRPr="00433F80">
        <w:rPr>
          <w:color w:val="auto"/>
          <w:sz w:val="21"/>
          <w:szCs w:val="21"/>
          <w:lang w:val="en-AU"/>
        </w:rPr>
        <w:lastRenderedPageBreak/>
        <w:t xml:space="preserve">DFAT has ensured that </w:t>
      </w:r>
      <w:r w:rsidRPr="00433F80">
        <w:rPr>
          <w:b/>
          <w:bCs/>
          <w:color w:val="auto"/>
          <w:sz w:val="21"/>
          <w:szCs w:val="21"/>
          <w:lang w:val="en-AU"/>
        </w:rPr>
        <w:t xml:space="preserve">a mix of qualitative and quantitative approaches are </w:t>
      </w:r>
      <w:r w:rsidR="00740B9B" w:rsidRPr="00433F80">
        <w:rPr>
          <w:b/>
          <w:bCs/>
          <w:color w:val="auto"/>
          <w:sz w:val="21"/>
          <w:szCs w:val="21"/>
          <w:lang w:val="en-AU"/>
        </w:rPr>
        <w:t>used</w:t>
      </w:r>
      <w:r w:rsidR="00740B9B" w:rsidRPr="00433F80">
        <w:rPr>
          <w:color w:val="auto"/>
          <w:sz w:val="21"/>
          <w:szCs w:val="21"/>
          <w:lang w:val="en-AU"/>
        </w:rPr>
        <w:t>, that indicators track uptake</w:t>
      </w:r>
      <w:r w:rsidR="00A7682D" w:rsidRPr="00433F80">
        <w:rPr>
          <w:color w:val="auto"/>
          <w:sz w:val="21"/>
          <w:szCs w:val="21"/>
          <w:lang w:val="en-AU"/>
        </w:rPr>
        <w:t xml:space="preserve"> of knowledge generated by </w:t>
      </w:r>
      <w:r w:rsidR="00740B9B" w:rsidRPr="00433F80">
        <w:rPr>
          <w:color w:val="auto"/>
          <w:sz w:val="21"/>
          <w:szCs w:val="21"/>
          <w:lang w:val="en-AU"/>
        </w:rPr>
        <w:t xml:space="preserve">the PROMISE PASA, </w:t>
      </w:r>
      <w:r w:rsidRPr="00433F80">
        <w:rPr>
          <w:color w:val="auto"/>
          <w:sz w:val="21"/>
          <w:szCs w:val="21"/>
          <w:lang w:val="en-AU"/>
        </w:rPr>
        <w:t xml:space="preserve">and that gender equality and social inclusion are specifically targeted for all projects (not just the PASA). </w:t>
      </w:r>
      <w:r w:rsidR="0080431A" w:rsidRPr="00433F80">
        <w:rPr>
          <w:color w:val="auto"/>
          <w:sz w:val="21"/>
          <w:szCs w:val="21"/>
          <w:lang w:val="en-AU"/>
        </w:rPr>
        <w:t xml:space="preserve">There are also indicators for the effectiveness of the relationship between Australia and the World Bank. </w:t>
      </w:r>
      <w:r w:rsidR="00202546" w:rsidRPr="00433F80">
        <w:rPr>
          <w:color w:val="auto"/>
          <w:sz w:val="21"/>
          <w:szCs w:val="21"/>
          <w:lang w:val="en-AU"/>
        </w:rPr>
        <w:t xml:space="preserve">At the advice of peer </w:t>
      </w:r>
      <w:r w:rsidR="00E603AD" w:rsidRPr="00433F80">
        <w:rPr>
          <w:color w:val="auto"/>
          <w:sz w:val="21"/>
          <w:szCs w:val="21"/>
          <w:lang w:val="en-AU"/>
        </w:rPr>
        <w:t>reviewers</w:t>
      </w:r>
      <w:r w:rsidR="00202546" w:rsidRPr="00433F80">
        <w:rPr>
          <w:color w:val="auto"/>
          <w:sz w:val="21"/>
          <w:szCs w:val="21"/>
          <w:lang w:val="en-AU"/>
        </w:rPr>
        <w:t>, s</w:t>
      </w:r>
      <w:r w:rsidRPr="00433F80">
        <w:rPr>
          <w:color w:val="auto"/>
          <w:sz w:val="21"/>
          <w:szCs w:val="21"/>
          <w:lang w:val="en-AU"/>
        </w:rPr>
        <w:t>ome indicators and measurement approaches have been adopted from the Australia-World Bank Indonesia Partnership and the DFAT-supported World Bank-implemented South Asia Regional Trade Facilitation Program, providing for a consistent approach across Australia-World Bank partnerships to the extent possible.</w:t>
      </w:r>
    </w:p>
    <w:p w14:paraId="57CC7668" w14:textId="26F764CA" w:rsidR="00F2150E" w:rsidRPr="00433F80" w:rsidRDefault="00F2150E" w:rsidP="005E6171">
      <w:pPr>
        <w:tabs>
          <w:tab w:val="left" w:pos="284"/>
        </w:tabs>
        <w:suppressAutoHyphens w:val="0"/>
        <w:spacing w:before="0" w:line="360" w:lineRule="auto"/>
        <w:rPr>
          <w:color w:val="auto"/>
          <w:sz w:val="21"/>
          <w:szCs w:val="21"/>
          <w:lang w:val="en-AU"/>
        </w:rPr>
      </w:pPr>
      <w:r w:rsidRPr="00433F80">
        <w:rPr>
          <w:color w:val="auto"/>
          <w:sz w:val="21"/>
          <w:szCs w:val="21"/>
          <w:lang w:val="en-AU"/>
        </w:rPr>
        <w:t xml:space="preserve">The </w:t>
      </w:r>
      <w:r w:rsidRPr="00433F80">
        <w:rPr>
          <w:b/>
          <w:color w:val="auto"/>
          <w:sz w:val="21"/>
          <w:szCs w:val="21"/>
          <w:lang w:val="en-AU"/>
        </w:rPr>
        <w:t>H-EQIP performance framework</w:t>
      </w:r>
      <w:r w:rsidRPr="00433F80">
        <w:rPr>
          <w:color w:val="auto"/>
          <w:sz w:val="21"/>
          <w:szCs w:val="21"/>
          <w:lang w:val="en-AU"/>
        </w:rPr>
        <w:t xml:space="preserve"> is agreed </w:t>
      </w:r>
      <w:r w:rsidR="00847721" w:rsidRPr="00433F80">
        <w:rPr>
          <w:color w:val="auto"/>
          <w:sz w:val="21"/>
          <w:szCs w:val="21"/>
          <w:lang w:val="en-AU"/>
        </w:rPr>
        <w:t>with</w:t>
      </w:r>
      <w:r w:rsidRPr="00433F80">
        <w:rPr>
          <w:color w:val="auto"/>
          <w:sz w:val="21"/>
          <w:szCs w:val="21"/>
          <w:lang w:val="en-AU"/>
        </w:rPr>
        <w:t xml:space="preserve"> RGC</w:t>
      </w:r>
      <w:r w:rsidR="00171643" w:rsidRPr="00433F80">
        <w:rPr>
          <w:color w:val="auto"/>
          <w:sz w:val="21"/>
          <w:szCs w:val="21"/>
          <w:lang w:val="en-AU"/>
        </w:rPr>
        <w:t xml:space="preserve"> and uses disbursement-linked indicators with progress verified prior to the release of funds. </w:t>
      </w:r>
      <w:r w:rsidRPr="00433F80">
        <w:rPr>
          <w:color w:val="auto"/>
          <w:sz w:val="21"/>
          <w:szCs w:val="21"/>
          <w:lang w:val="en-AU"/>
        </w:rPr>
        <w:t xml:space="preserve">DFAT </w:t>
      </w:r>
      <w:r w:rsidR="00171643" w:rsidRPr="00433F80">
        <w:rPr>
          <w:color w:val="auto"/>
          <w:sz w:val="21"/>
          <w:szCs w:val="21"/>
          <w:lang w:val="en-AU"/>
        </w:rPr>
        <w:t>will</w:t>
      </w:r>
      <w:r w:rsidR="00087B6E" w:rsidRPr="00433F80">
        <w:rPr>
          <w:color w:val="auto"/>
          <w:sz w:val="21"/>
          <w:szCs w:val="21"/>
          <w:lang w:val="en-AU"/>
        </w:rPr>
        <w:t xml:space="preserve"> </w:t>
      </w:r>
      <w:r w:rsidRPr="00433F80">
        <w:rPr>
          <w:color w:val="auto"/>
          <w:sz w:val="21"/>
          <w:szCs w:val="21"/>
          <w:lang w:val="en-AU"/>
        </w:rPr>
        <w:t xml:space="preserve">advocate strongly for the inclusion of gender </w:t>
      </w:r>
      <w:r w:rsidR="00171643" w:rsidRPr="00433F80">
        <w:rPr>
          <w:color w:val="auto"/>
          <w:sz w:val="21"/>
          <w:szCs w:val="21"/>
          <w:lang w:val="en-AU"/>
        </w:rPr>
        <w:t>in the</w:t>
      </w:r>
      <w:r w:rsidRPr="00433F80">
        <w:rPr>
          <w:color w:val="auto"/>
          <w:sz w:val="21"/>
          <w:szCs w:val="21"/>
          <w:lang w:val="en-AU"/>
        </w:rPr>
        <w:t xml:space="preserve"> H-EQIP 2 </w:t>
      </w:r>
      <w:r w:rsidR="00171643" w:rsidRPr="00433F80">
        <w:rPr>
          <w:color w:val="auto"/>
          <w:sz w:val="21"/>
          <w:szCs w:val="21"/>
          <w:lang w:val="en-AU"/>
        </w:rPr>
        <w:t xml:space="preserve">performance framework </w:t>
      </w:r>
      <w:r w:rsidR="00847721" w:rsidRPr="00433F80">
        <w:rPr>
          <w:color w:val="auto"/>
          <w:sz w:val="21"/>
          <w:szCs w:val="21"/>
          <w:lang w:val="en-AU"/>
        </w:rPr>
        <w:t>(the lack of gender champions or sex-disaggregated data in the government system have hampered performance</w:t>
      </w:r>
      <w:r w:rsidR="00E75908" w:rsidRPr="00433F80">
        <w:rPr>
          <w:color w:val="auto"/>
          <w:sz w:val="21"/>
          <w:szCs w:val="21"/>
          <w:lang w:val="en-AU"/>
        </w:rPr>
        <w:t xml:space="preserve"> in the past</w:t>
      </w:r>
      <w:r w:rsidR="00847721" w:rsidRPr="00433F80">
        <w:rPr>
          <w:color w:val="auto"/>
          <w:sz w:val="21"/>
          <w:szCs w:val="21"/>
          <w:lang w:val="en-AU"/>
        </w:rPr>
        <w:t>)</w:t>
      </w:r>
      <w:r w:rsidR="00087B6E" w:rsidRPr="00433F80">
        <w:rPr>
          <w:color w:val="auto"/>
          <w:sz w:val="21"/>
          <w:szCs w:val="21"/>
          <w:lang w:val="en-AU"/>
        </w:rPr>
        <w:t xml:space="preserve">. </w:t>
      </w:r>
      <w:r w:rsidRPr="00433F80">
        <w:rPr>
          <w:color w:val="auto"/>
          <w:sz w:val="21"/>
          <w:szCs w:val="21"/>
          <w:lang w:val="en-AU"/>
        </w:rPr>
        <w:t xml:space="preserve">The intended results of </w:t>
      </w:r>
      <w:r w:rsidR="00E82519" w:rsidRPr="00433F80">
        <w:rPr>
          <w:color w:val="auto"/>
          <w:sz w:val="21"/>
          <w:szCs w:val="21"/>
          <w:lang w:val="en-AU"/>
        </w:rPr>
        <w:t xml:space="preserve">the </w:t>
      </w:r>
      <w:r w:rsidR="00C07FCA" w:rsidRPr="00433F80">
        <w:rPr>
          <w:color w:val="auto"/>
          <w:sz w:val="21"/>
          <w:szCs w:val="21"/>
          <w:lang w:val="en-AU"/>
        </w:rPr>
        <w:t>ISAF II</w:t>
      </w:r>
      <w:r w:rsidRPr="00433F80">
        <w:rPr>
          <w:color w:val="auto"/>
          <w:sz w:val="21"/>
          <w:szCs w:val="21"/>
          <w:lang w:val="en-AU"/>
        </w:rPr>
        <w:t xml:space="preserve"> project </w:t>
      </w:r>
      <w:r w:rsidR="00A12C04" w:rsidRPr="00433F80">
        <w:rPr>
          <w:color w:val="auto"/>
          <w:sz w:val="21"/>
          <w:szCs w:val="21"/>
          <w:lang w:val="en-AU"/>
        </w:rPr>
        <w:t>reflect</w:t>
      </w:r>
      <w:r w:rsidRPr="00433F80">
        <w:rPr>
          <w:color w:val="auto"/>
          <w:sz w:val="21"/>
          <w:szCs w:val="21"/>
          <w:lang w:val="en-AU"/>
        </w:rPr>
        <w:t xml:space="preserve"> the national-level Social Accountability Framework and flow through into the project grants. </w:t>
      </w:r>
      <w:r w:rsidRPr="00433F80">
        <w:rPr>
          <w:bCs/>
          <w:color w:val="auto"/>
          <w:sz w:val="21"/>
          <w:szCs w:val="21"/>
          <w:lang w:val="en-AU"/>
        </w:rPr>
        <w:t>The results framework</w:t>
      </w:r>
      <w:r w:rsidR="0080431A" w:rsidRPr="00433F80">
        <w:rPr>
          <w:bCs/>
          <w:color w:val="auto"/>
          <w:sz w:val="21"/>
          <w:szCs w:val="21"/>
          <w:lang w:val="en-AU"/>
        </w:rPr>
        <w:t xml:space="preserve"> that governs the multi-donor trust fund that currently supports ISAF II</w:t>
      </w:r>
      <w:r w:rsidRPr="00433F80">
        <w:rPr>
          <w:bCs/>
          <w:color w:val="auto"/>
          <w:sz w:val="21"/>
          <w:szCs w:val="21"/>
          <w:lang w:val="en-AU"/>
        </w:rPr>
        <w:t xml:space="preserve"> is accompanied by a</w:t>
      </w:r>
      <w:r w:rsidRPr="00433F80">
        <w:rPr>
          <w:b/>
          <w:color w:val="auto"/>
          <w:sz w:val="21"/>
          <w:szCs w:val="21"/>
          <w:lang w:val="en-AU"/>
        </w:rPr>
        <w:t xml:space="preserve"> detailed theory of change –</w:t>
      </w:r>
      <w:r w:rsidR="000E3FD5" w:rsidRPr="00433F80">
        <w:rPr>
          <w:b/>
          <w:color w:val="auto"/>
          <w:sz w:val="21"/>
          <w:szCs w:val="21"/>
          <w:lang w:val="en-AU"/>
        </w:rPr>
        <w:t xml:space="preserve"> </w:t>
      </w:r>
      <w:r w:rsidR="005E73AD" w:rsidRPr="00433F80">
        <w:rPr>
          <w:b/>
          <w:color w:val="auto"/>
          <w:sz w:val="21"/>
          <w:szCs w:val="21"/>
          <w:lang w:val="en-AU"/>
        </w:rPr>
        <w:t>Annex 6</w:t>
      </w:r>
      <w:r w:rsidRPr="00433F80">
        <w:rPr>
          <w:b/>
          <w:color w:val="auto"/>
          <w:sz w:val="21"/>
          <w:szCs w:val="21"/>
          <w:lang w:val="en-AU"/>
        </w:rPr>
        <w:t>.</w:t>
      </w:r>
      <w:r w:rsidRPr="00433F80">
        <w:rPr>
          <w:color w:val="auto"/>
          <w:sz w:val="21"/>
          <w:szCs w:val="21"/>
          <w:lang w:val="en-AU"/>
        </w:rPr>
        <w:t xml:space="preserve"> </w:t>
      </w:r>
      <w:r w:rsidR="0080431A" w:rsidRPr="00433F80">
        <w:rPr>
          <w:color w:val="auto"/>
          <w:sz w:val="21"/>
          <w:szCs w:val="21"/>
          <w:lang w:val="en-AU"/>
        </w:rPr>
        <w:t>A separate project identification process will be undertaken in early 2021 for the ISAF II grants to be made through the PROMISE Partnership, and there is an opportunity (and likelihood) that this framework will be updated.</w:t>
      </w:r>
    </w:p>
    <w:p w14:paraId="4783194A" w14:textId="286DECA9" w:rsidR="003D4179" w:rsidRPr="00433F80" w:rsidRDefault="009344FC" w:rsidP="005E6171">
      <w:pPr>
        <w:tabs>
          <w:tab w:val="left" w:pos="284"/>
        </w:tabs>
        <w:suppressAutoHyphens w:val="0"/>
        <w:spacing w:before="0" w:line="360" w:lineRule="auto"/>
        <w:rPr>
          <w:color w:val="auto"/>
          <w:sz w:val="21"/>
          <w:szCs w:val="21"/>
          <w:lang w:val="en-AU"/>
        </w:rPr>
      </w:pPr>
      <w:r w:rsidRPr="00433F80">
        <w:rPr>
          <w:color w:val="auto"/>
          <w:sz w:val="21"/>
          <w:szCs w:val="21"/>
          <w:lang w:val="en-AU"/>
        </w:rPr>
        <w:t xml:space="preserve">Indicators of </w:t>
      </w:r>
      <w:r w:rsidR="00E75908" w:rsidRPr="00433F80">
        <w:rPr>
          <w:color w:val="auto"/>
          <w:sz w:val="21"/>
          <w:szCs w:val="21"/>
          <w:lang w:val="en-AU"/>
        </w:rPr>
        <w:t xml:space="preserve">Partnership </w:t>
      </w:r>
      <w:r w:rsidRPr="00433F80">
        <w:rPr>
          <w:color w:val="auto"/>
          <w:sz w:val="21"/>
          <w:szCs w:val="21"/>
          <w:lang w:val="en-AU"/>
        </w:rPr>
        <w:t xml:space="preserve">performance </w:t>
      </w:r>
      <w:r w:rsidR="00CC150E" w:rsidRPr="00433F80">
        <w:rPr>
          <w:color w:val="auto"/>
          <w:sz w:val="21"/>
          <w:szCs w:val="21"/>
          <w:lang w:val="en-AU"/>
        </w:rPr>
        <w:t xml:space="preserve">are </w:t>
      </w:r>
      <w:r w:rsidRPr="00433F80">
        <w:rPr>
          <w:color w:val="auto"/>
          <w:sz w:val="21"/>
          <w:szCs w:val="21"/>
          <w:lang w:val="en-AU"/>
        </w:rPr>
        <w:t xml:space="preserve">included in the </w:t>
      </w:r>
      <w:r w:rsidR="00721E70" w:rsidRPr="00433F80">
        <w:rPr>
          <w:color w:val="auto"/>
          <w:sz w:val="21"/>
          <w:szCs w:val="21"/>
          <w:lang w:val="en-AU"/>
        </w:rPr>
        <w:t xml:space="preserve">PROMISE </w:t>
      </w:r>
      <w:r w:rsidR="00CC150E" w:rsidRPr="00433F80">
        <w:rPr>
          <w:color w:val="auto"/>
          <w:sz w:val="21"/>
          <w:szCs w:val="21"/>
          <w:lang w:val="en-AU"/>
        </w:rPr>
        <w:t>results</w:t>
      </w:r>
      <w:r w:rsidR="00721E70" w:rsidRPr="00433F80" w:rsidDel="00721E70">
        <w:rPr>
          <w:color w:val="auto"/>
          <w:sz w:val="21"/>
          <w:szCs w:val="21"/>
          <w:lang w:val="en-AU"/>
        </w:rPr>
        <w:t xml:space="preserve"> </w:t>
      </w:r>
      <w:r w:rsidRPr="00433F80">
        <w:rPr>
          <w:color w:val="auto"/>
          <w:sz w:val="21"/>
          <w:szCs w:val="21"/>
          <w:lang w:val="en-AU"/>
        </w:rPr>
        <w:t>framework</w:t>
      </w:r>
      <w:r w:rsidR="00D24445" w:rsidRPr="00433F80">
        <w:rPr>
          <w:color w:val="auto"/>
          <w:sz w:val="21"/>
          <w:szCs w:val="21"/>
          <w:lang w:val="en-AU"/>
        </w:rPr>
        <w:t xml:space="preserve">. </w:t>
      </w:r>
      <w:r w:rsidR="003D4179" w:rsidRPr="00433F80">
        <w:rPr>
          <w:color w:val="auto"/>
          <w:sz w:val="21"/>
          <w:szCs w:val="21"/>
          <w:lang w:val="en-AU"/>
        </w:rPr>
        <w:t xml:space="preserve">Recognising that </w:t>
      </w:r>
      <w:r w:rsidR="00D24445" w:rsidRPr="00433F80">
        <w:rPr>
          <w:color w:val="auto"/>
          <w:sz w:val="21"/>
          <w:szCs w:val="21"/>
          <w:lang w:val="en-AU"/>
        </w:rPr>
        <w:t xml:space="preserve">project-level </w:t>
      </w:r>
      <w:r w:rsidR="003D4179" w:rsidRPr="00433F80">
        <w:rPr>
          <w:color w:val="auto"/>
          <w:sz w:val="21"/>
          <w:szCs w:val="21"/>
          <w:lang w:val="en-AU"/>
        </w:rPr>
        <w:t xml:space="preserve">results reporting may not always be timely enough or feature the full range of information DFAT requires for our own reporting purposes, </w:t>
      </w:r>
      <w:r w:rsidR="003D4179" w:rsidRPr="00433F80">
        <w:rPr>
          <w:b/>
          <w:color w:val="auto"/>
          <w:sz w:val="21"/>
          <w:szCs w:val="21"/>
          <w:lang w:val="en-AU"/>
        </w:rPr>
        <w:t>we have the option to fund specific M&amp;E activities through the bank-executed funds</w:t>
      </w:r>
      <w:r w:rsidR="003D4179" w:rsidRPr="00433F80">
        <w:rPr>
          <w:color w:val="auto"/>
          <w:sz w:val="21"/>
          <w:szCs w:val="21"/>
          <w:lang w:val="en-AU"/>
        </w:rPr>
        <w:t>: for example, gender studie</w:t>
      </w:r>
      <w:r w:rsidR="00D564BC" w:rsidRPr="00433F80">
        <w:rPr>
          <w:color w:val="auto"/>
          <w:sz w:val="21"/>
          <w:szCs w:val="21"/>
          <w:lang w:val="en-AU"/>
        </w:rPr>
        <w:t>s</w:t>
      </w:r>
      <w:r w:rsidR="003D4179" w:rsidRPr="00433F80">
        <w:rPr>
          <w:color w:val="auto"/>
          <w:sz w:val="21"/>
          <w:szCs w:val="21"/>
          <w:lang w:val="en-AU"/>
        </w:rPr>
        <w:t xml:space="preserve">, </w:t>
      </w:r>
      <w:r w:rsidR="00D564BC" w:rsidRPr="00433F80">
        <w:rPr>
          <w:color w:val="auto"/>
          <w:sz w:val="21"/>
          <w:szCs w:val="21"/>
          <w:lang w:val="en-AU"/>
        </w:rPr>
        <w:t xml:space="preserve">results briefs </w:t>
      </w:r>
      <w:r w:rsidR="003D4179" w:rsidRPr="00433F80">
        <w:rPr>
          <w:color w:val="auto"/>
          <w:sz w:val="21"/>
          <w:szCs w:val="21"/>
          <w:lang w:val="en-AU"/>
        </w:rPr>
        <w:t>and research reports in specific policy areas covered by the Partnership. This is based on DFAT experience elsewhere</w:t>
      </w:r>
      <w:r w:rsidR="00275B92" w:rsidRPr="00433F80">
        <w:rPr>
          <w:color w:val="auto"/>
          <w:sz w:val="21"/>
          <w:szCs w:val="21"/>
          <w:lang w:val="en-AU"/>
        </w:rPr>
        <w:t xml:space="preserve"> showing that</w:t>
      </w:r>
      <w:r w:rsidR="003D4179" w:rsidRPr="00433F80">
        <w:rPr>
          <w:color w:val="auto"/>
          <w:sz w:val="21"/>
          <w:szCs w:val="21"/>
          <w:lang w:val="en-AU"/>
        </w:rPr>
        <w:t xml:space="preserve"> resourcing M&amp;E activities </w:t>
      </w:r>
      <w:r w:rsidR="00275B92" w:rsidRPr="00433F80">
        <w:rPr>
          <w:color w:val="auto"/>
          <w:sz w:val="21"/>
          <w:szCs w:val="21"/>
          <w:lang w:val="en-AU"/>
        </w:rPr>
        <w:t>to</w:t>
      </w:r>
      <w:r w:rsidR="003D4179" w:rsidRPr="00433F80">
        <w:rPr>
          <w:color w:val="auto"/>
          <w:sz w:val="21"/>
          <w:szCs w:val="21"/>
          <w:lang w:val="en-AU"/>
        </w:rPr>
        <w:t xml:space="preserve"> meet our requirements has been critical to creati</w:t>
      </w:r>
      <w:r w:rsidR="00B86EF5" w:rsidRPr="00433F80">
        <w:rPr>
          <w:color w:val="auto"/>
          <w:sz w:val="21"/>
          <w:szCs w:val="21"/>
          <w:lang w:val="en-AU"/>
        </w:rPr>
        <w:t>ng an effective partnership that</w:t>
      </w:r>
      <w:r w:rsidR="003D4179" w:rsidRPr="00433F80">
        <w:rPr>
          <w:color w:val="auto"/>
          <w:sz w:val="21"/>
          <w:szCs w:val="21"/>
          <w:lang w:val="en-AU"/>
        </w:rPr>
        <w:t xml:space="preserve"> can demonstrate both its own value and development results. </w:t>
      </w:r>
      <w:r w:rsidR="00460F4E" w:rsidRPr="00433F80">
        <w:rPr>
          <w:color w:val="auto"/>
          <w:sz w:val="21"/>
          <w:szCs w:val="21"/>
          <w:lang w:val="en-AU"/>
        </w:rPr>
        <w:t xml:space="preserve">An annual Partnership survey </w:t>
      </w:r>
      <w:r w:rsidR="0080431A" w:rsidRPr="00433F80">
        <w:rPr>
          <w:color w:val="auto"/>
          <w:sz w:val="21"/>
          <w:szCs w:val="21"/>
          <w:lang w:val="en-AU"/>
        </w:rPr>
        <w:t xml:space="preserve">will </w:t>
      </w:r>
      <w:r w:rsidR="00460F4E" w:rsidRPr="00433F80">
        <w:rPr>
          <w:color w:val="auto"/>
          <w:sz w:val="21"/>
          <w:szCs w:val="21"/>
          <w:lang w:val="en-AU"/>
        </w:rPr>
        <w:t>gather feedback on performance and support management actions by the World Bank and DFAT to improve effectiveness.</w:t>
      </w:r>
    </w:p>
    <w:p w14:paraId="1B29A535" w14:textId="4D6158B3" w:rsidR="0074533D" w:rsidRPr="00433F80" w:rsidRDefault="0074533D" w:rsidP="005E6171">
      <w:pPr>
        <w:tabs>
          <w:tab w:val="left" w:pos="284"/>
        </w:tabs>
        <w:suppressAutoHyphens w:val="0"/>
        <w:spacing w:before="0" w:line="360" w:lineRule="auto"/>
        <w:rPr>
          <w:color w:val="auto"/>
          <w:sz w:val="21"/>
          <w:szCs w:val="21"/>
          <w:lang w:val="en-AU"/>
        </w:rPr>
      </w:pPr>
      <w:r w:rsidRPr="00433F80">
        <w:rPr>
          <w:color w:val="auto"/>
          <w:sz w:val="21"/>
          <w:szCs w:val="21"/>
          <w:lang w:val="en-AU"/>
        </w:rPr>
        <w:t xml:space="preserve">An </w:t>
      </w:r>
      <w:r w:rsidRPr="00433F80">
        <w:rPr>
          <w:b/>
          <w:bCs/>
          <w:color w:val="auto"/>
          <w:sz w:val="21"/>
          <w:szCs w:val="21"/>
          <w:lang w:val="en-AU"/>
        </w:rPr>
        <w:t>annual written progress report</w:t>
      </w:r>
      <w:r w:rsidRPr="00433F80">
        <w:rPr>
          <w:color w:val="auto"/>
          <w:sz w:val="21"/>
          <w:szCs w:val="21"/>
          <w:lang w:val="en-AU"/>
        </w:rPr>
        <w:t xml:space="preserve"> will be provided to DFAT by the World Bank, addressing achievements and challenges from all three components and the Partnership approach. This will be informed and complemented by general ISAF II and H-EQIP 2 reporting generated through the multi-donor frameworks. An agreed format will be approved by the Steering Committee and attached to the Operations Manual. The report will be formally reviewed by the Steering Committee and scheduled to inform DFAT’s Investment Performance Reporting process.</w:t>
      </w:r>
    </w:p>
    <w:p w14:paraId="2A7B0F1E" w14:textId="26BA3D21" w:rsidR="00E82519" w:rsidRPr="00433F80" w:rsidRDefault="00B70484" w:rsidP="005E6171">
      <w:pPr>
        <w:tabs>
          <w:tab w:val="left" w:pos="284"/>
        </w:tabs>
        <w:suppressAutoHyphens w:val="0"/>
        <w:spacing w:before="0" w:line="360" w:lineRule="auto"/>
        <w:rPr>
          <w:color w:val="auto"/>
          <w:sz w:val="21"/>
          <w:szCs w:val="21"/>
          <w:lang w:val="en-AU"/>
        </w:rPr>
      </w:pPr>
      <w:r w:rsidRPr="00433F80">
        <w:rPr>
          <w:color w:val="auto"/>
          <w:sz w:val="21"/>
          <w:szCs w:val="21"/>
          <w:lang w:val="en-AU"/>
        </w:rPr>
        <w:t>LES</w:t>
      </w:r>
      <w:r w:rsidR="0056476A" w:rsidRPr="00433F80">
        <w:rPr>
          <w:color w:val="auto"/>
          <w:sz w:val="21"/>
          <w:szCs w:val="21"/>
          <w:lang w:val="en-AU"/>
        </w:rPr>
        <w:t xml:space="preserve"> </w:t>
      </w:r>
      <w:r w:rsidR="00692A38" w:rsidRPr="00433F80">
        <w:rPr>
          <w:color w:val="auto"/>
          <w:sz w:val="21"/>
          <w:szCs w:val="21"/>
          <w:lang w:val="en-AU"/>
        </w:rPr>
        <w:t xml:space="preserve">officers from the Human Development Unit in Post’s Policy </w:t>
      </w:r>
      <w:r w:rsidR="00373333" w:rsidRPr="00433F80">
        <w:rPr>
          <w:color w:val="auto"/>
          <w:sz w:val="21"/>
          <w:szCs w:val="21"/>
          <w:lang w:val="en-AU"/>
        </w:rPr>
        <w:t xml:space="preserve">Section </w:t>
      </w:r>
      <w:r w:rsidR="00692A38" w:rsidRPr="00433F80">
        <w:rPr>
          <w:color w:val="auto"/>
          <w:sz w:val="21"/>
          <w:szCs w:val="21"/>
          <w:lang w:val="en-AU"/>
        </w:rPr>
        <w:t>will be nominated to take</w:t>
      </w:r>
      <w:r w:rsidRPr="00433F80">
        <w:rPr>
          <w:color w:val="auto"/>
          <w:sz w:val="21"/>
          <w:szCs w:val="21"/>
          <w:lang w:val="en-AU"/>
        </w:rPr>
        <w:t xml:space="preserve"> </w:t>
      </w:r>
      <w:r w:rsidR="0056476A" w:rsidRPr="00433F80">
        <w:rPr>
          <w:color w:val="auto"/>
          <w:sz w:val="21"/>
          <w:szCs w:val="21"/>
          <w:lang w:val="en-AU"/>
        </w:rPr>
        <w:t>responsib</w:t>
      </w:r>
      <w:r w:rsidR="00E82519" w:rsidRPr="00433F80">
        <w:rPr>
          <w:color w:val="auto"/>
          <w:sz w:val="21"/>
          <w:szCs w:val="21"/>
          <w:lang w:val="en-AU"/>
        </w:rPr>
        <w:t>ility</w:t>
      </w:r>
      <w:r w:rsidR="0056476A" w:rsidRPr="00433F80">
        <w:rPr>
          <w:color w:val="auto"/>
          <w:sz w:val="21"/>
          <w:szCs w:val="21"/>
          <w:lang w:val="en-AU"/>
        </w:rPr>
        <w:t xml:space="preserve"> for </w:t>
      </w:r>
      <w:r w:rsidR="00131206" w:rsidRPr="00433F80">
        <w:rPr>
          <w:color w:val="auto"/>
          <w:sz w:val="21"/>
          <w:szCs w:val="21"/>
          <w:lang w:val="en-AU"/>
        </w:rPr>
        <w:t xml:space="preserve">managing </w:t>
      </w:r>
      <w:r w:rsidR="00692A38" w:rsidRPr="00433F80">
        <w:rPr>
          <w:color w:val="auto"/>
          <w:sz w:val="21"/>
          <w:szCs w:val="21"/>
          <w:lang w:val="en-AU"/>
        </w:rPr>
        <w:t xml:space="preserve">DFAT’s engagement in each of the three components of the Partnership (ISAF, H-EQIP and the </w:t>
      </w:r>
      <w:r w:rsidR="00721E70" w:rsidRPr="00433F80">
        <w:rPr>
          <w:color w:val="auto"/>
          <w:sz w:val="21"/>
          <w:szCs w:val="21"/>
          <w:lang w:val="en-AU"/>
        </w:rPr>
        <w:t>PROMISE PASA</w:t>
      </w:r>
      <w:r w:rsidR="00692A38" w:rsidRPr="00433F80">
        <w:rPr>
          <w:color w:val="auto"/>
          <w:sz w:val="21"/>
          <w:szCs w:val="21"/>
          <w:lang w:val="en-AU"/>
        </w:rPr>
        <w:t xml:space="preserve">). The LES officer responsible for the </w:t>
      </w:r>
      <w:r w:rsidR="00721E70" w:rsidRPr="00433F80">
        <w:rPr>
          <w:color w:val="auto"/>
          <w:sz w:val="21"/>
          <w:szCs w:val="21"/>
          <w:lang w:val="en-AU"/>
        </w:rPr>
        <w:t>PROMISE PASA</w:t>
      </w:r>
      <w:r w:rsidR="00692A38" w:rsidRPr="00433F80">
        <w:rPr>
          <w:color w:val="auto"/>
          <w:sz w:val="21"/>
          <w:szCs w:val="21"/>
          <w:lang w:val="en-AU"/>
        </w:rPr>
        <w:t xml:space="preserve"> engagement will also be the overall Partnership investment manager for DFAT.</w:t>
      </w:r>
      <w:r w:rsidR="0056476A" w:rsidRPr="00433F80">
        <w:rPr>
          <w:color w:val="auto"/>
          <w:sz w:val="21"/>
          <w:szCs w:val="21"/>
          <w:lang w:val="en-AU"/>
        </w:rPr>
        <w:t xml:space="preserve"> </w:t>
      </w:r>
      <w:r w:rsidR="00692A38" w:rsidRPr="00433F80">
        <w:rPr>
          <w:color w:val="auto"/>
          <w:sz w:val="21"/>
          <w:szCs w:val="21"/>
          <w:lang w:val="en-AU"/>
        </w:rPr>
        <w:t>The LES officers will</w:t>
      </w:r>
      <w:r w:rsidR="0056476A" w:rsidRPr="00433F80">
        <w:rPr>
          <w:color w:val="auto"/>
          <w:sz w:val="21"/>
          <w:szCs w:val="21"/>
          <w:lang w:val="en-AU"/>
        </w:rPr>
        <w:t xml:space="preserve"> </w:t>
      </w:r>
      <w:r w:rsidR="009F7A98" w:rsidRPr="00433F80">
        <w:rPr>
          <w:color w:val="auto"/>
          <w:sz w:val="21"/>
          <w:szCs w:val="21"/>
          <w:lang w:val="en-AU"/>
        </w:rPr>
        <w:t xml:space="preserve">be </w:t>
      </w:r>
      <w:r w:rsidR="0056476A" w:rsidRPr="00433F80">
        <w:rPr>
          <w:color w:val="auto"/>
          <w:sz w:val="21"/>
          <w:szCs w:val="21"/>
          <w:lang w:val="en-AU"/>
        </w:rPr>
        <w:t xml:space="preserve">overseen by a First Secretary (Development Cooperation), reporting to the Head of </w:t>
      </w:r>
      <w:r w:rsidR="0004640F" w:rsidRPr="00433F80">
        <w:rPr>
          <w:color w:val="auto"/>
          <w:sz w:val="21"/>
          <w:szCs w:val="21"/>
          <w:lang w:val="en-AU"/>
        </w:rPr>
        <w:t xml:space="preserve">Development Cooperation </w:t>
      </w:r>
      <w:r w:rsidR="0056476A" w:rsidRPr="00433F80">
        <w:rPr>
          <w:color w:val="auto"/>
          <w:sz w:val="21"/>
          <w:szCs w:val="21"/>
          <w:lang w:val="en-AU"/>
        </w:rPr>
        <w:t xml:space="preserve">(who </w:t>
      </w:r>
      <w:r w:rsidR="00E82519" w:rsidRPr="00433F80">
        <w:rPr>
          <w:color w:val="auto"/>
          <w:sz w:val="21"/>
          <w:szCs w:val="21"/>
          <w:lang w:val="en-AU"/>
        </w:rPr>
        <w:t xml:space="preserve">will be able to </w:t>
      </w:r>
      <w:r w:rsidR="0056476A" w:rsidRPr="00433F80">
        <w:rPr>
          <w:color w:val="auto"/>
          <w:sz w:val="21"/>
          <w:szCs w:val="21"/>
          <w:lang w:val="en-AU"/>
        </w:rPr>
        <w:t>use his or her position on the Partnership Management Committee to raise any high-level issues</w:t>
      </w:r>
      <w:r w:rsidR="00E82519" w:rsidRPr="00433F80">
        <w:rPr>
          <w:color w:val="auto"/>
          <w:sz w:val="21"/>
          <w:szCs w:val="21"/>
          <w:lang w:val="en-AU"/>
        </w:rPr>
        <w:t xml:space="preserve"> identified during monitoring</w:t>
      </w:r>
      <w:r w:rsidR="0056476A" w:rsidRPr="00433F80">
        <w:rPr>
          <w:color w:val="auto"/>
          <w:sz w:val="21"/>
          <w:szCs w:val="21"/>
          <w:lang w:val="en-AU"/>
        </w:rPr>
        <w:t xml:space="preserve">). </w:t>
      </w:r>
      <w:r w:rsidR="00E82519" w:rsidRPr="00433F80">
        <w:rPr>
          <w:color w:val="auto"/>
          <w:sz w:val="21"/>
          <w:szCs w:val="21"/>
          <w:lang w:val="en-AU"/>
        </w:rPr>
        <w:t xml:space="preserve">At the World Bank, a </w:t>
      </w:r>
      <w:r w:rsidR="00E82519" w:rsidRPr="00433F80">
        <w:rPr>
          <w:color w:val="auto"/>
          <w:sz w:val="21"/>
          <w:szCs w:val="21"/>
          <w:lang w:val="en-AU"/>
        </w:rPr>
        <w:lastRenderedPageBreak/>
        <w:t>Partnership Manager and Trust Fund Manager will oversee the Partnership while Task Team Leaders remain responsible for project-level implementation</w:t>
      </w:r>
      <w:r w:rsidR="00087B6E" w:rsidRPr="00433F80">
        <w:rPr>
          <w:color w:val="auto"/>
          <w:sz w:val="21"/>
          <w:szCs w:val="21"/>
          <w:lang w:val="en-AU"/>
        </w:rPr>
        <w:t>, performance monitoring and reporting</w:t>
      </w:r>
      <w:r w:rsidR="00E82519" w:rsidRPr="00433F80">
        <w:rPr>
          <w:color w:val="auto"/>
          <w:sz w:val="21"/>
          <w:szCs w:val="21"/>
          <w:lang w:val="en-AU"/>
        </w:rPr>
        <w:t>.</w:t>
      </w:r>
    </w:p>
    <w:p w14:paraId="019BC829" w14:textId="7B3126EA" w:rsidR="003D4179" w:rsidRPr="00433F80" w:rsidRDefault="00876D63" w:rsidP="005E6171">
      <w:pPr>
        <w:tabs>
          <w:tab w:val="left" w:pos="284"/>
        </w:tabs>
        <w:suppressAutoHyphens w:val="0"/>
        <w:spacing w:before="0" w:line="360" w:lineRule="auto"/>
        <w:rPr>
          <w:color w:val="auto"/>
          <w:sz w:val="21"/>
          <w:szCs w:val="21"/>
          <w:lang w:val="en-AU"/>
        </w:rPr>
      </w:pPr>
      <w:r w:rsidRPr="00433F80">
        <w:rPr>
          <w:color w:val="auto"/>
          <w:sz w:val="21"/>
          <w:szCs w:val="21"/>
          <w:lang w:val="en-AU"/>
        </w:rPr>
        <w:t xml:space="preserve">Post will maintain access to </w:t>
      </w:r>
      <w:r w:rsidR="0056476A" w:rsidRPr="00433F80">
        <w:rPr>
          <w:b/>
          <w:color w:val="auto"/>
          <w:sz w:val="21"/>
          <w:szCs w:val="21"/>
          <w:lang w:val="en-AU"/>
        </w:rPr>
        <w:t>specialist advisers</w:t>
      </w:r>
      <w:r w:rsidR="0011346D" w:rsidRPr="00433F80">
        <w:rPr>
          <w:bCs/>
          <w:color w:val="auto"/>
          <w:sz w:val="21"/>
          <w:szCs w:val="21"/>
          <w:lang w:val="en-AU"/>
        </w:rPr>
        <w:t>, for example</w:t>
      </w:r>
      <w:r w:rsidR="0056476A" w:rsidRPr="00433F80">
        <w:rPr>
          <w:color w:val="auto"/>
          <w:sz w:val="21"/>
          <w:szCs w:val="21"/>
          <w:lang w:val="en-AU"/>
        </w:rPr>
        <w:t xml:space="preserve"> </w:t>
      </w:r>
      <w:r w:rsidRPr="00433F80">
        <w:rPr>
          <w:color w:val="auto"/>
          <w:sz w:val="21"/>
          <w:szCs w:val="21"/>
          <w:lang w:val="en-AU"/>
        </w:rPr>
        <w:t xml:space="preserve">on gender, public financial management and </w:t>
      </w:r>
      <w:r w:rsidR="000F1BB0" w:rsidRPr="00433F80">
        <w:rPr>
          <w:color w:val="auto"/>
          <w:sz w:val="21"/>
          <w:szCs w:val="21"/>
          <w:lang w:val="en-AU"/>
        </w:rPr>
        <w:t>health financing</w:t>
      </w:r>
      <w:r w:rsidR="0011346D" w:rsidRPr="00433F80">
        <w:rPr>
          <w:color w:val="auto"/>
          <w:sz w:val="21"/>
          <w:szCs w:val="21"/>
          <w:lang w:val="en-AU"/>
        </w:rPr>
        <w:t>,</w:t>
      </w:r>
      <w:r w:rsidR="000F1BB0" w:rsidRPr="00433F80">
        <w:rPr>
          <w:color w:val="auto"/>
          <w:sz w:val="21"/>
          <w:szCs w:val="21"/>
          <w:lang w:val="en-AU"/>
        </w:rPr>
        <w:t xml:space="preserve"> to ensure DFAT can </w:t>
      </w:r>
      <w:r w:rsidR="00743B0C" w:rsidRPr="00433F80">
        <w:rPr>
          <w:color w:val="auto"/>
          <w:sz w:val="21"/>
          <w:szCs w:val="21"/>
          <w:lang w:val="en-AU"/>
        </w:rPr>
        <w:t>effectively</w:t>
      </w:r>
      <w:r w:rsidR="000F1BB0" w:rsidRPr="00433F80">
        <w:rPr>
          <w:color w:val="auto"/>
          <w:sz w:val="21"/>
          <w:szCs w:val="21"/>
          <w:lang w:val="en-AU"/>
        </w:rPr>
        <w:t xml:space="preserve"> engage in monitoring missions and push for particular policy outcomes or improved performance, if performance or risk management is unsatisfactory</w:t>
      </w:r>
      <w:r w:rsidR="0056476A" w:rsidRPr="00433F80">
        <w:rPr>
          <w:color w:val="auto"/>
          <w:sz w:val="21"/>
          <w:szCs w:val="21"/>
          <w:lang w:val="en-AU"/>
        </w:rPr>
        <w:t xml:space="preserve">. Currently, </w:t>
      </w:r>
      <w:r w:rsidR="000F1BB0" w:rsidRPr="00433F80">
        <w:rPr>
          <w:color w:val="auto"/>
          <w:sz w:val="21"/>
          <w:szCs w:val="21"/>
          <w:lang w:val="en-AU"/>
        </w:rPr>
        <w:t>Post engages</w:t>
      </w:r>
      <w:r w:rsidR="0056476A" w:rsidRPr="00433F80">
        <w:rPr>
          <w:color w:val="auto"/>
          <w:sz w:val="21"/>
          <w:szCs w:val="21"/>
          <w:lang w:val="en-AU"/>
        </w:rPr>
        <w:t xml:space="preserve"> a PFM adviser and a health financing adviser</w:t>
      </w:r>
      <w:r w:rsidR="000F1BB0" w:rsidRPr="00433F80">
        <w:rPr>
          <w:color w:val="auto"/>
          <w:sz w:val="21"/>
          <w:szCs w:val="21"/>
          <w:lang w:val="en-AU"/>
        </w:rPr>
        <w:t xml:space="preserve"> to participate in six monthly </w:t>
      </w:r>
      <w:r w:rsidR="00373333" w:rsidRPr="00433F80">
        <w:rPr>
          <w:color w:val="auto"/>
          <w:sz w:val="21"/>
          <w:szCs w:val="21"/>
          <w:lang w:val="en-AU"/>
        </w:rPr>
        <w:t xml:space="preserve">H-EQIP </w:t>
      </w:r>
      <w:r w:rsidR="000F1BB0" w:rsidRPr="00433F80">
        <w:rPr>
          <w:color w:val="auto"/>
          <w:sz w:val="21"/>
          <w:szCs w:val="21"/>
          <w:lang w:val="en-AU"/>
        </w:rPr>
        <w:t>monitoring missions.</w:t>
      </w:r>
    </w:p>
    <w:p w14:paraId="50AA0BB2" w14:textId="5633183D" w:rsidR="006F116F" w:rsidRPr="00433F80" w:rsidRDefault="006F116F" w:rsidP="005E6171">
      <w:pPr>
        <w:numPr>
          <w:ilvl w:val="0"/>
          <w:numId w:val="11"/>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line="360" w:lineRule="auto"/>
        <w:ind w:left="284" w:hanging="284"/>
        <w:rPr>
          <w:rFonts w:asciiTheme="majorHAnsi" w:hAnsiTheme="majorHAnsi"/>
          <w:b/>
          <w:color w:val="auto"/>
          <w:szCs w:val="21"/>
          <w:lang w:val="en-AU"/>
        </w:rPr>
      </w:pPr>
      <w:r w:rsidRPr="00433F80">
        <w:rPr>
          <w:rFonts w:asciiTheme="majorHAnsi" w:hAnsiTheme="majorHAnsi"/>
          <w:b/>
          <w:color w:val="auto"/>
          <w:szCs w:val="21"/>
          <w:lang w:val="en-AU"/>
        </w:rPr>
        <w:t>Gender, Disability and Other Cross Cutting Issues</w:t>
      </w:r>
    </w:p>
    <w:p w14:paraId="16D70C06" w14:textId="0C484DA2" w:rsidR="00237DD9" w:rsidRDefault="009201C2" w:rsidP="003C3B6A">
      <w:pPr>
        <w:spacing w:line="360" w:lineRule="auto"/>
        <w:rPr>
          <w:color w:val="auto"/>
          <w:sz w:val="21"/>
          <w:szCs w:val="21"/>
          <w:lang w:val="en-AU"/>
        </w:rPr>
      </w:pPr>
      <w:r w:rsidRPr="00433F80">
        <w:rPr>
          <w:color w:val="auto"/>
          <w:sz w:val="21"/>
          <w:szCs w:val="21"/>
          <w:lang w:val="en-AU"/>
        </w:rPr>
        <w:t xml:space="preserve">The investment </w:t>
      </w:r>
      <w:r w:rsidR="00275B92" w:rsidRPr="00433F80">
        <w:rPr>
          <w:color w:val="auto"/>
          <w:sz w:val="21"/>
          <w:szCs w:val="21"/>
          <w:lang w:val="en-AU"/>
        </w:rPr>
        <w:t>will</w:t>
      </w:r>
      <w:r w:rsidRPr="00433F80">
        <w:rPr>
          <w:color w:val="auto"/>
          <w:sz w:val="21"/>
          <w:szCs w:val="21"/>
          <w:lang w:val="en-AU"/>
        </w:rPr>
        <w:t xml:space="preserve"> build upon Australia’s recognised reputation in Cambodia as a leader in health system reform, gender </w:t>
      </w:r>
      <w:r w:rsidR="00674ABB" w:rsidRPr="00433F80">
        <w:rPr>
          <w:color w:val="auto"/>
          <w:sz w:val="21"/>
          <w:szCs w:val="21"/>
          <w:lang w:val="en-AU"/>
        </w:rPr>
        <w:t xml:space="preserve">equality </w:t>
      </w:r>
      <w:r w:rsidRPr="00433F80">
        <w:rPr>
          <w:color w:val="auto"/>
          <w:sz w:val="21"/>
          <w:szCs w:val="21"/>
          <w:lang w:val="en-AU"/>
        </w:rPr>
        <w:t>and disability inclusion.</w:t>
      </w:r>
    </w:p>
    <w:p w14:paraId="268F7FCF" w14:textId="46A3D960" w:rsidR="006F116F" w:rsidRPr="00433F80" w:rsidRDefault="006F116F" w:rsidP="005E6171">
      <w:pPr>
        <w:spacing w:line="360" w:lineRule="auto"/>
        <w:rPr>
          <w:b/>
          <w:color w:val="auto"/>
          <w:sz w:val="21"/>
          <w:szCs w:val="21"/>
          <w:lang w:val="en-AU"/>
        </w:rPr>
      </w:pPr>
      <w:r w:rsidRPr="00433F80">
        <w:rPr>
          <w:b/>
          <w:color w:val="auto"/>
          <w:sz w:val="21"/>
          <w:szCs w:val="21"/>
          <w:lang w:val="en-AU"/>
        </w:rPr>
        <w:t>Gender Equality</w:t>
      </w:r>
    </w:p>
    <w:p w14:paraId="2426BA92" w14:textId="4E82A15D" w:rsidR="00857B3B" w:rsidRPr="00433F80" w:rsidRDefault="00857B3B" w:rsidP="005E6171">
      <w:pPr>
        <w:spacing w:line="360" w:lineRule="auto"/>
        <w:rPr>
          <w:color w:val="auto"/>
          <w:sz w:val="21"/>
          <w:szCs w:val="21"/>
          <w:lang w:val="en-AU"/>
        </w:rPr>
      </w:pPr>
      <w:r w:rsidRPr="00433F80">
        <w:rPr>
          <w:color w:val="auto"/>
          <w:sz w:val="21"/>
          <w:szCs w:val="21"/>
          <w:lang w:val="en-AU"/>
        </w:rPr>
        <w:t xml:space="preserve">DFAT </w:t>
      </w:r>
      <w:r w:rsidR="00194471" w:rsidRPr="00433F80">
        <w:rPr>
          <w:color w:val="auto"/>
          <w:sz w:val="21"/>
          <w:szCs w:val="21"/>
          <w:lang w:val="en-AU"/>
        </w:rPr>
        <w:t>experience in Cambodia and in other countries is</w:t>
      </w:r>
      <w:r w:rsidRPr="00433F80">
        <w:rPr>
          <w:color w:val="auto"/>
          <w:sz w:val="21"/>
          <w:szCs w:val="21"/>
          <w:lang w:val="en-AU"/>
        </w:rPr>
        <w:t xml:space="preserve"> that the World Bank’s performance on gender can fall short of DFAT expectations, especially if gender is not adequately captured in project designs and budgets. This </w:t>
      </w:r>
      <w:r w:rsidR="00787830" w:rsidRPr="00433F80">
        <w:rPr>
          <w:color w:val="auto"/>
          <w:sz w:val="21"/>
          <w:szCs w:val="21"/>
          <w:lang w:val="en-AU"/>
        </w:rPr>
        <w:t>is a key re</w:t>
      </w:r>
      <w:r w:rsidRPr="00433F80">
        <w:rPr>
          <w:color w:val="auto"/>
          <w:sz w:val="21"/>
          <w:szCs w:val="21"/>
          <w:lang w:val="en-AU"/>
        </w:rPr>
        <w:t xml:space="preserve">ason </w:t>
      </w:r>
      <w:r w:rsidR="00131206" w:rsidRPr="00433F80">
        <w:rPr>
          <w:color w:val="auto"/>
          <w:sz w:val="21"/>
          <w:szCs w:val="21"/>
          <w:lang w:val="en-AU"/>
        </w:rPr>
        <w:t>for</w:t>
      </w:r>
      <w:r w:rsidRPr="00433F80">
        <w:rPr>
          <w:color w:val="auto"/>
          <w:sz w:val="21"/>
          <w:szCs w:val="21"/>
          <w:lang w:val="en-AU"/>
        </w:rPr>
        <w:t xml:space="preserve"> pursuing a Partnership model in Cambodia</w:t>
      </w:r>
      <w:r w:rsidR="00131206" w:rsidRPr="00433F80">
        <w:rPr>
          <w:color w:val="auto"/>
          <w:sz w:val="21"/>
          <w:szCs w:val="21"/>
          <w:lang w:val="en-AU"/>
        </w:rPr>
        <w:t xml:space="preserve">. </w:t>
      </w:r>
      <w:r w:rsidRPr="00433F80">
        <w:rPr>
          <w:color w:val="auto"/>
          <w:sz w:val="21"/>
          <w:szCs w:val="21"/>
          <w:lang w:val="en-AU"/>
        </w:rPr>
        <w:t>The design elevate</w:t>
      </w:r>
      <w:r w:rsidR="00131206" w:rsidRPr="00433F80">
        <w:rPr>
          <w:color w:val="auto"/>
          <w:sz w:val="21"/>
          <w:szCs w:val="21"/>
          <w:lang w:val="en-AU"/>
        </w:rPr>
        <w:t>s</w:t>
      </w:r>
      <w:r w:rsidRPr="00433F80">
        <w:rPr>
          <w:color w:val="auto"/>
          <w:sz w:val="21"/>
          <w:szCs w:val="21"/>
          <w:lang w:val="en-AU"/>
        </w:rPr>
        <w:t xml:space="preserve"> gender equality in several ways:</w:t>
      </w:r>
    </w:p>
    <w:p w14:paraId="28EAF818" w14:textId="5B2DF597" w:rsidR="00091045" w:rsidRPr="00433F80" w:rsidRDefault="00091045" w:rsidP="005E6171">
      <w:pPr>
        <w:pStyle w:val="Bullet1"/>
        <w:numPr>
          <w:ilvl w:val="0"/>
          <w:numId w:val="34"/>
        </w:numPr>
        <w:spacing w:line="360" w:lineRule="auto"/>
        <w:rPr>
          <w:color w:val="auto"/>
          <w:sz w:val="21"/>
          <w:szCs w:val="21"/>
          <w:lang w:val="en-AU"/>
        </w:rPr>
      </w:pPr>
      <w:r w:rsidRPr="00433F80">
        <w:rPr>
          <w:color w:val="auto"/>
          <w:sz w:val="21"/>
          <w:szCs w:val="21"/>
          <w:lang w:val="en-AU"/>
        </w:rPr>
        <w:t xml:space="preserve">Dedicated funds </w:t>
      </w:r>
      <w:r w:rsidR="00857B3B" w:rsidRPr="00433F80">
        <w:rPr>
          <w:color w:val="auto"/>
          <w:sz w:val="21"/>
          <w:szCs w:val="21"/>
          <w:lang w:val="en-AU"/>
        </w:rPr>
        <w:t xml:space="preserve">directed through </w:t>
      </w:r>
      <w:r w:rsidR="00C81115" w:rsidRPr="00433F80">
        <w:rPr>
          <w:color w:val="auto"/>
          <w:sz w:val="21"/>
          <w:szCs w:val="21"/>
          <w:lang w:val="en-AU"/>
        </w:rPr>
        <w:t>the</w:t>
      </w:r>
      <w:r w:rsidR="00857B3B" w:rsidRPr="00433F80">
        <w:rPr>
          <w:color w:val="auto"/>
          <w:sz w:val="21"/>
          <w:szCs w:val="21"/>
          <w:lang w:val="en-AU"/>
        </w:rPr>
        <w:t xml:space="preserve"> structured </w:t>
      </w:r>
      <w:r w:rsidR="00721E70" w:rsidRPr="00433F80">
        <w:rPr>
          <w:color w:val="auto"/>
          <w:sz w:val="21"/>
          <w:szCs w:val="21"/>
          <w:lang w:val="en-AU"/>
        </w:rPr>
        <w:t xml:space="preserve">PASA </w:t>
      </w:r>
      <w:r w:rsidR="00857B3B" w:rsidRPr="00433F80">
        <w:rPr>
          <w:color w:val="auto"/>
          <w:sz w:val="21"/>
          <w:szCs w:val="21"/>
          <w:lang w:val="en-AU"/>
        </w:rPr>
        <w:t xml:space="preserve">with </w:t>
      </w:r>
      <w:r w:rsidR="00857B3B" w:rsidRPr="00433F80">
        <w:rPr>
          <w:b/>
          <w:color w:val="auto"/>
          <w:sz w:val="21"/>
          <w:szCs w:val="21"/>
          <w:lang w:val="en-AU"/>
        </w:rPr>
        <w:t>a declared focus on gender equality and social inclusion</w:t>
      </w:r>
      <w:r w:rsidR="00DC05A2" w:rsidRPr="00433F80">
        <w:rPr>
          <w:color w:val="auto"/>
          <w:sz w:val="21"/>
          <w:szCs w:val="21"/>
          <w:lang w:val="en-AU"/>
        </w:rPr>
        <w:t xml:space="preserve">. </w:t>
      </w:r>
      <w:r w:rsidR="00DC7EC3" w:rsidRPr="00433F80">
        <w:rPr>
          <w:color w:val="auto"/>
          <w:sz w:val="21"/>
          <w:szCs w:val="21"/>
          <w:lang w:val="en-AU"/>
        </w:rPr>
        <w:t xml:space="preserve">Supported by </w:t>
      </w:r>
      <w:r w:rsidR="00F97C9D" w:rsidRPr="00433F80">
        <w:rPr>
          <w:color w:val="auto"/>
          <w:sz w:val="21"/>
          <w:szCs w:val="21"/>
          <w:lang w:val="en-AU"/>
        </w:rPr>
        <w:t xml:space="preserve">this </w:t>
      </w:r>
      <w:r w:rsidR="00DC7EC3" w:rsidRPr="00433F80">
        <w:rPr>
          <w:color w:val="auto"/>
          <w:sz w:val="21"/>
          <w:szCs w:val="21"/>
          <w:lang w:val="en-AU"/>
        </w:rPr>
        <w:t xml:space="preserve">research and analysis, </w:t>
      </w:r>
      <w:r w:rsidR="00131206" w:rsidRPr="00433F80">
        <w:rPr>
          <w:color w:val="auto"/>
          <w:sz w:val="21"/>
          <w:szCs w:val="21"/>
          <w:lang w:val="en-AU"/>
        </w:rPr>
        <w:t xml:space="preserve">DFAT </w:t>
      </w:r>
      <w:r w:rsidR="00DC7EC3" w:rsidRPr="00433F80">
        <w:rPr>
          <w:color w:val="auto"/>
          <w:sz w:val="21"/>
          <w:szCs w:val="21"/>
          <w:lang w:val="en-AU"/>
        </w:rPr>
        <w:t xml:space="preserve">will advocate </w:t>
      </w:r>
      <w:r w:rsidR="004655BA" w:rsidRPr="00433F80">
        <w:rPr>
          <w:color w:val="auto"/>
          <w:sz w:val="21"/>
          <w:szCs w:val="21"/>
          <w:lang w:val="en-AU"/>
        </w:rPr>
        <w:t xml:space="preserve">for enhanced gender </w:t>
      </w:r>
      <w:r w:rsidR="00287F85" w:rsidRPr="00433F80">
        <w:rPr>
          <w:color w:val="auto"/>
          <w:sz w:val="21"/>
          <w:szCs w:val="21"/>
          <w:lang w:val="en-AU"/>
        </w:rPr>
        <w:t xml:space="preserve">equality mainstreaming and targeting </w:t>
      </w:r>
      <w:r w:rsidR="004655BA" w:rsidRPr="00433F80">
        <w:rPr>
          <w:color w:val="auto"/>
          <w:sz w:val="21"/>
          <w:szCs w:val="21"/>
          <w:lang w:val="en-AU"/>
        </w:rPr>
        <w:t>in Partnership projects</w:t>
      </w:r>
      <w:r w:rsidR="00BA6408" w:rsidRPr="00433F80">
        <w:rPr>
          <w:color w:val="auto"/>
          <w:sz w:val="21"/>
          <w:szCs w:val="21"/>
          <w:lang w:val="en-AU"/>
        </w:rPr>
        <w:t>, across the World Bank portfolio</w:t>
      </w:r>
      <w:r w:rsidR="00F97C9D" w:rsidRPr="00433F80">
        <w:rPr>
          <w:color w:val="auto"/>
          <w:sz w:val="21"/>
          <w:szCs w:val="21"/>
          <w:lang w:val="en-AU"/>
        </w:rPr>
        <w:t>, in Cambodian Government policy</w:t>
      </w:r>
      <w:r w:rsidR="004655BA" w:rsidRPr="00433F80">
        <w:rPr>
          <w:color w:val="auto"/>
          <w:sz w:val="21"/>
          <w:szCs w:val="21"/>
          <w:lang w:val="en-AU"/>
        </w:rPr>
        <w:t xml:space="preserve"> </w:t>
      </w:r>
      <w:r w:rsidR="00BA6408" w:rsidRPr="00433F80">
        <w:rPr>
          <w:color w:val="auto"/>
          <w:sz w:val="21"/>
          <w:szCs w:val="21"/>
          <w:lang w:val="en-AU"/>
        </w:rPr>
        <w:t>and in</w:t>
      </w:r>
      <w:r w:rsidR="004655BA" w:rsidRPr="00433F80">
        <w:rPr>
          <w:color w:val="auto"/>
          <w:sz w:val="21"/>
          <w:szCs w:val="21"/>
          <w:lang w:val="en-AU"/>
        </w:rPr>
        <w:t xml:space="preserve"> the broader development sector.</w:t>
      </w:r>
      <w:r w:rsidR="00856BB8" w:rsidRPr="00433F80">
        <w:rPr>
          <w:color w:val="auto"/>
          <w:sz w:val="21"/>
          <w:szCs w:val="21"/>
          <w:lang w:val="en-AU"/>
        </w:rPr>
        <w:t xml:space="preserve"> </w:t>
      </w:r>
    </w:p>
    <w:p w14:paraId="47F6F45D" w14:textId="0D339373" w:rsidR="00DC7EC3" w:rsidRPr="00433F80" w:rsidRDefault="00373333" w:rsidP="005E6171">
      <w:pPr>
        <w:pStyle w:val="Bullet1"/>
        <w:numPr>
          <w:ilvl w:val="0"/>
          <w:numId w:val="34"/>
        </w:numPr>
        <w:spacing w:line="360" w:lineRule="auto"/>
        <w:rPr>
          <w:color w:val="auto"/>
          <w:sz w:val="21"/>
          <w:szCs w:val="21"/>
          <w:lang w:val="en-AU"/>
        </w:rPr>
      </w:pPr>
      <w:r w:rsidRPr="00433F80">
        <w:rPr>
          <w:bCs/>
          <w:color w:val="auto"/>
          <w:sz w:val="21"/>
          <w:szCs w:val="21"/>
          <w:lang w:val="en-AU"/>
        </w:rPr>
        <w:t>Provides a mechanism for</w:t>
      </w:r>
      <w:r w:rsidRPr="00433F80">
        <w:rPr>
          <w:b/>
          <w:color w:val="auto"/>
          <w:sz w:val="21"/>
          <w:szCs w:val="21"/>
          <w:lang w:val="en-AU"/>
        </w:rPr>
        <w:t xml:space="preserve"> d</w:t>
      </w:r>
      <w:r w:rsidR="00091045" w:rsidRPr="00433F80">
        <w:rPr>
          <w:b/>
          <w:color w:val="auto"/>
          <w:sz w:val="21"/>
          <w:szCs w:val="21"/>
          <w:lang w:val="en-AU"/>
        </w:rPr>
        <w:t xml:space="preserve">riving </w:t>
      </w:r>
      <w:r w:rsidR="00857B3B" w:rsidRPr="00433F80">
        <w:rPr>
          <w:b/>
          <w:color w:val="auto"/>
          <w:sz w:val="21"/>
          <w:szCs w:val="21"/>
          <w:lang w:val="en-AU"/>
        </w:rPr>
        <w:t xml:space="preserve">gender equality </w:t>
      </w:r>
      <w:r w:rsidR="00091045" w:rsidRPr="00433F80">
        <w:rPr>
          <w:b/>
          <w:color w:val="auto"/>
          <w:sz w:val="21"/>
          <w:szCs w:val="21"/>
          <w:lang w:val="en-AU"/>
        </w:rPr>
        <w:t xml:space="preserve">into </w:t>
      </w:r>
      <w:r w:rsidR="00857B3B" w:rsidRPr="00433F80">
        <w:rPr>
          <w:b/>
          <w:color w:val="auto"/>
          <w:sz w:val="21"/>
          <w:szCs w:val="21"/>
          <w:lang w:val="en-AU"/>
        </w:rPr>
        <w:t xml:space="preserve">the H-EQIP </w:t>
      </w:r>
      <w:r w:rsidR="00DC7EC3" w:rsidRPr="00433F80">
        <w:rPr>
          <w:b/>
          <w:color w:val="auto"/>
          <w:sz w:val="21"/>
          <w:szCs w:val="21"/>
          <w:lang w:val="en-AU"/>
        </w:rPr>
        <w:t xml:space="preserve">2 </w:t>
      </w:r>
      <w:r w:rsidRPr="00433F80">
        <w:rPr>
          <w:b/>
          <w:color w:val="auto"/>
          <w:sz w:val="21"/>
          <w:szCs w:val="21"/>
          <w:lang w:val="en-AU"/>
        </w:rPr>
        <w:t xml:space="preserve">and ISAF II </w:t>
      </w:r>
      <w:r w:rsidR="00857B3B" w:rsidRPr="00433F80">
        <w:rPr>
          <w:b/>
          <w:color w:val="auto"/>
          <w:sz w:val="21"/>
          <w:szCs w:val="21"/>
          <w:lang w:val="en-AU"/>
        </w:rPr>
        <w:t xml:space="preserve">project </w:t>
      </w:r>
      <w:r w:rsidR="00091045" w:rsidRPr="00433F80">
        <w:rPr>
          <w:b/>
          <w:color w:val="auto"/>
          <w:sz w:val="21"/>
          <w:szCs w:val="21"/>
          <w:lang w:val="en-AU"/>
        </w:rPr>
        <w:t>design</w:t>
      </w:r>
      <w:r w:rsidRPr="00433F80">
        <w:rPr>
          <w:b/>
          <w:color w:val="auto"/>
          <w:sz w:val="21"/>
          <w:szCs w:val="21"/>
          <w:lang w:val="en-AU"/>
        </w:rPr>
        <w:t>s</w:t>
      </w:r>
      <w:r w:rsidR="00F97C9D" w:rsidRPr="00433F80">
        <w:rPr>
          <w:color w:val="auto"/>
          <w:sz w:val="21"/>
          <w:szCs w:val="21"/>
          <w:lang w:val="en-AU"/>
        </w:rPr>
        <w:t>, with a key objective to link p</w:t>
      </w:r>
      <w:r w:rsidR="00BA6408" w:rsidRPr="00433F80">
        <w:rPr>
          <w:color w:val="auto"/>
          <w:sz w:val="21"/>
          <w:szCs w:val="21"/>
          <w:lang w:val="en-AU"/>
        </w:rPr>
        <w:t>roject payments to results on gender equality and social inclusion</w:t>
      </w:r>
      <w:r w:rsidR="00DC7EC3" w:rsidRPr="00433F80">
        <w:rPr>
          <w:color w:val="auto"/>
          <w:sz w:val="21"/>
          <w:szCs w:val="21"/>
          <w:lang w:val="en-AU"/>
        </w:rPr>
        <w:t xml:space="preserve">. </w:t>
      </w:r>
    </w:p>
    <w:p w14:paraId="3B250B92" w14:textId="30578E05" w:rsidR="00857B3B" w:rsidRPr="00433F80" w:rsidRDefault="00DC7EC3" w:rsidP="005E6171">
      <w:pPr>
        <w:pStyle w:val="Bullet1"/>
        <w:numPr>
          <w:ilvl w:val="0"/>
          <w:numId w:val="34"/>
        </w:numPr>
        <w:spacing w:line="360" w:lineRule="auto"/>
        <w:rPr>
          <w:color w:val="auto"/>
          <w:sz w:val="21"/>
          <w:szCs w:val="21"/>
          <w:lang w:val="en-AU"/>
        </w:rPr>
      </w:pPr>
      <w:r w:rsidRPr="00433F80">
        <w:rPr>
          <w:b/>
          <w:color w:val="auto"/>
          <w:sz w:val="21"/>
          <w:szCs w:val="21"/>
          <w:lang w:val="en-AU"/>
        </w:rPr>
        <w:t>Monitoring performance and advocating for continued improvement</w:t>
      </w:r>
      <w:r w:rsidRPr="00433F80">
        <w:rPr>
          <w:color w:val="auto"/>
          <w:sz w:val="21"/>
          <w:szCs w:val="21"/>
          <w:lang w:val="en-AU"/>
        </w:rPr>
        <w:t xml:space="preserve"> during implementation. </w:t>
      </w:r>
    </w:p>
    <w:p w14:paraId="40943BF2" w14:textId="76243FFC" w:rsidR="004655BA" w:rsidRPr="00433F80" w:rsidRDefault="00131206" w:rsidP="005E6171">
      <w:pPr>
        <w:spacing w:line="360" w:lineRule="auto"/>
        <w:rPr>
          <w:color w:val="auto"/>
          <w:sz w:val="21"/>
          <w:szCs w:val="21"/>
          <w:lang w:val="en-AU"/>
        </w:rPr>
      </w:pPr>
      <w:r w:rsidRPr="00433F80">
        <w:rPr>
          <w:color w:val="auto"/>
          <w:sz w:val="21"/>
          <w:szCs w:val="21"/>
          <w:lang w:val="en-AU"/>
        </w:rPr>
        <w:t xml:space="preserve">The Partnership design process has been led for the World Bank by the Cambodia office </w:t>
      </w:r>
      <w:r w:rsidR="00B86EF5" w:rsidRPr="00433F80">
        <w:rPr>
          <w:color w:val="auto"/>
          <w:sz w:val="21"/>
          <w:szCs w:val="21"/>
          <w:lang w:val="en-AU"/>
        </w:rPr>
        <w:t>G</w:t>
      </w:r>
      <w:r w:rsidRPr="00433F80">
        <w:rPr>
          <w:color w:val="auto"/>
          <w:sz w:val="21"/>
          <w:szCs w:val="21"/>
          <w:lang w:val="en-AU"/>
        </w:rPr>
        <w:t xml:space="preserve">ender </w:t>
      </w:r>
      <w:r w:rsidR="00B86EF5" w:rsidRPr="00433F80">
        <w:rPr>
          <w:color w:val="auto"/>
          <w:sz w:val="21"/>
          <w:szCs w:val="21"/>
          <w:lang w:val="en-AU"/>
        </w:rPr>
        <w:t>F</w:t>
      </w:r>
      <w:r w:rsidRPr="00433F80">
        <w:rPr>
          <w:color w:val="auto"/>
          <w:sz w:val="21"/>
          <w:szCs w:val="21"/>
          <w:lang w:val="en-AU"/>
        </w:rPr>
        <w:t xml:space="preserve">ocal </w:t>
      </w:r>
      <w:r w:rsidR="00B86EF5" w:rsidRPr="00433F80">
        <w:rPr>
          <w:color w:val="auto"/>
          <w:sz w:val="21"/>
          <w:szCs w:val="21"/>
          <w:lang w:val="en-AU"/>
        </w:rPr>
        <w:t>P</w:t>
      </w:r>
      <w:r w:rsidRPr="00433F80">
        <w:rPr>
          <w:color w:val="auto"/>
          <w:sz w:val="21"/>
          <w:szCs w:val="21"/>
          <w:lang w:val="en-AU"/>
        </w:rPr>
        <w:t xml:space="preserve">oint and Country Manager, who have both agreed, through 18 months of discussions with Post, that </w:t>
      </w:r>
      <w:r w:rsidR="003736DE" w:rsidRPr="00433F80">
        <w:rPr>
          <w:color w:val="auto"/>
          <w:sz w:val="21"/>
          <w:szCs w:val="21"/>
          <w:lang w:val="en-AU"/>
        </w:rPr>
        <w:t xml:space="preserve">gender </w:t>
      </w:r>
      <w:r w:rsidR="00287F85" w:rsidRPr="00433F80">
        <w:rPr>
          <w:color w:val="auto"/>
          <w:sz w:val="21"/>
          <w:szCs w:val="21"/>
          <w:lang w:val="en-AU"/>
        </w:rPr>
        <w:t xml:space="preserve">equality </w:t>
      </w:r>
      <w:r w:rsidRPr="00433F80">
        <w:rPr>
          <w:color w:val="auto"/>
          <w:sz w:val="21"/>
          <w:szCs w:val="21"/>
          <w:lang w:val="en-AU"/>
        </w:rPr>
        <w:t>should be a</w:t>
      </w:r>
      <w:r w:rsidR="003736DE" w:rsidRPr="00433F80">
        <w:rPr>
          <w:color w:val="auto"/>
          <w:sz w:val="21"/>
          <w:szCs w:val="21"/>
          <w:lang w:val="en-AU"/>
        </w:rPr>
        <w:t xml:space="preserve"> major focus</w:t>
      </w:r>
      <w:r w:rsidR="004655BA" w:rsidRPr="00433F80">
        <w:rPr>
          <w:color w:val="auto"/>
          <w:sz w:val="21"/>
          <w:szCs w:val="21"/>
          <w:lang w:val="en-AU"/>
        </w:rPr>
        <w:t xml:space="preserve"> of the Partnership. Thi</w:t>
      </w:r>
      <w:r w:rsidR="003736DE" w:rsidRPr="00433F80">
        <w:rPr>
          <w:color w:val="auto"/>
          <w:sz w:val="21"/>
          <w:szCs w:val="21"/>
          <w:lang w:val="en-AU"/>
        </w:rPr>
        <w:t xml:space="preserve">s culminated in </w:t>
      </w:r>
      <w:r w:rsidR="004655BA" w:rsidRPr="00433F80">
        <w:rPr>
          <w:color w:val="auto"/>
          <w:sz w:val="21"/>
          <w:szCs w:val="21"/>
          <w:lang w:val="en-AU"/>
        </w:rPr>
        <w:t>the Bank p</w:t>
      </w:r>
      <w:r w:rsidR="003736DE" w:rsidRPr="00433F80">
        <w:rPr>
          <w:color w:val="auto"/>
          <w:sz w:val="21"/>
          <w:szCs w:val="21"/>
          <w:lang w:val="en-AU"/>
        </w:rPr>
        <w:t xml:space="preserve">roposing the </w:t>
      </w:r>
      <w:r w:rsidR="004655BA" w:rsidRPr="00433F80">
        <w:rPr>
          <w:color w:val="auto"/>
          <w:sz w:val="21"/>
          <w:szCs w:val="21"/>
          <w:lang w:val="en-AU"/>
        </w:rPr>
        <w:t xml:space="preserve">approach of having a </w:t>
      </w:r>
      <w:proofErr w:type="gramStart"/>
      <w:r w:rsidR="004655BA" w:rsidRPr="00433F80">
        <w:rPr>
          <w:color w:val="auto"/>
          <w:sz w:val="21"/>
          <w:szCs w:val="21"/>
          <w:lang w:val="en-AU"/>
        </w:rPr>
        <w:t>centrally-controlled</w:t>
      </w:r>
      <w:proofErr w:type="gramEnd"/>
      <w:r w:rsidR="004655BA" w:rsidRPr="00433F80">
        <w:rPr>
          <w:color w:val="auto"/>
          <w:sz w:val="21"/>
          <w:szCs w:val="21"/>
          <w:lang w:val="en-AU"/>
        </w:rPr>
        <w:t xml:space="preserve"> </w:t>
      </w:r>
      <w:r w:rsidR="00084D82" w:rsidRPr="00433F80">
        <w:rPr>
          <w:color w:val="auto"/>
          <w:sz w:val="21"/>
          <w:szCs w:val="21"/>
          <w:lang w:val="en-AU"/>
        </w:rPr>
        <w:t xml:space="preserve">advisory and analytics program </w:t>
      </w:r>
      <w:r w:rsidR="00BA6408" w:rsidRPr="00433F80">
        <w:rPr>
          <w:color w:val="auto"/>
          <w:sz w:val="21"/>
          <w:szCs w:val="21"/>
          <w:lang w:val="en-AU"/>
        </w:rPr>
        <w:t>focussed on</w:t>
      </w:r>
      <w:r w:rsidR="003736DE" w:rsidRPr="00433F80">
        <w:rPr>
          <w:color w:val="auto"/>
          <w:sz w:val="21"/>
          <w:szCs w:val="21"/>
          <w:lang w:val="en-AU"/>
        </w:rPr>
        <w:t xml:space="preserve"> </w:t>
      </w:r>
      <w:r w:rsidR="004655BA" w:rsidRPr="00433F80">
        <w:rPr>
          <w:color w:val="auto"/>
          <w:sz w:val="21"/>
          <w:szCs w:val="21"/>
          <w:lang w:val="en-AU"/>
        </w:rPr>
        <w:t>gender equality and social inclusion</w:t>
      </w:r>
      <w:r w:rsidR="003A6237" w:rsidRPr="00433F80">
        <w:rPr>
          <w:color w:val="auto"/>
          <w:sz w:val="21"/>
          <w:szCs w:val="21"/>
          <w:lang w:val="en-AU"/>
        </w:rPr>
        <w:t xml:space="preserve"> (the </w:t>
      </w:r>
      <w:r w:rsidR="00721E70" w:rsidRPr="00433F80">
        <w:rPr>
          <w:color w:val="auto"/>
          <w:sz w:val="21"/>
          <w:szCs w:val="21"/>
          <w:lang w:val="en-AU"/>
        </w:rPr>
        <w:t>PROMISE PASA</w:t>
      </w:r>
      <w:r w:rsidR="003A6237" w:rsidRPr="00433F80">
        <w:rPr>
          <w:color w:val="auto"/>
          <w:sz w:val="21"/>
          <w:szCs w:val="21"/>
          <w:lang w:val="en-AU"/>
        </w:rPr>
        <w:t>)</w:t>
      </w:r>
      <w:r w:rsidRPr="00433F80">
        <w:rPr>
          <w:color w:val="auto"/>
          <w:sz w:val="21"/>
          <w:szCs w:val="21"/>
          <w:lang w:val="en-AU"/>
        </w:rPr>
        <w:t xml:space="preserve"> </w:t>
      </w:r>
      <w:r w:rsidR="00CC150E" w:rsidRPr="00433F80">
        <w:rPr>
          <w:color w:val="auto"/>
          <w:sz w:val="21"/>
          <w:szCs w:val="21"/>
          <w:lang w:val="en-AU"/>
        </w:rPr>
        <w:t>supported by</w:t>
      </w:r>
      <w:r w:rsidR="00721E70" w:rsidRPr="00433F80">
        <w:rPr>
          <w:color w:val="auto"/>
          <w:sz w:val="21"/>
          <w:szCs w:val="21"/>
          <w:lang w:val="en-AU"/>
        </w:rPr>
        <w:t xml:space="preserve"> </w:t>
      </w:r>
      <w:r w:rsidR="00121134" w:rsidRPr="00433F80">
        <w:rPr>
          <w:color w:val="auto"/>
          <w:sz w:val="21"/>
          <w:szCs w:val="21"/>
          <w:lang w:val="en-AU"/>
        </w:rPr>
        <w:t>the</w:t>
      </w:r>
      <w:r w:rsidR="00721E70" w:rsidRPr="00433F80">
        <w:rPr>
          <w:color w:val="auto"/>
          <w:sz w:val="21"/>
          <w:szCs w:val="21"/>
          <w:lang w:val="en-AU"/>
        </w:rPr>
        <w:t xml:space="preserve"> </w:t>
      </w:r>
      <w:r w:rsidR="00BA6408" w:rsidRPr="00433F80">
        <w:rPr>
          <w:color w:val="auto"/>
          <w:sz w:val="21"/>
          <w:szCs w:val="21"/>
          <w:lang w:val="en-AU"/>
        </w:rPr>
        <w:t>Extended Term Consultant</w:t>
      </w:r>
      <w:r w:rsidR="00721E70" w:rsidRPr="00433F80">
        <w:rPr>
          <w:color w:val="auto"/>
          <w:sz w:val="21"/>
          <w:szCs w:val="21"/>
          <w:lang w:val="en-AU"/>
        </w:rPr>
        <w:t xml:space="preserve"> </w:t>
      </w:r>
      <w:r w:rsidR="00FE7273" w:rsidRPr="00433F80">
        <w:rPr>
          <w:color w:val="auto"/>
          <w:sz w:val="21"/>
          <w:szCs w:val="21"/>
          <w:lang w:val="en-AU"/>
        </w:rPr>
        <w:t>to drive the gender</w:t>
      </w:r>
      <w:r w:rsidR="00287F85" w:rsidRPr="00433F80">
        <w:rPr>
          <w:color w:val="auto"/>
          <w:sz w:val="21"/>
          <w:szCs w:val="21"/>
          <w:lang w:val="en-AU"/>
        </w:rPr>
        <w:t xml:space="preserve"> equality</w:t>
      </w:r>
      <w:r w:rsidR="00FE7273" w:rsidRPr="00433F80">
        <w:rPr>
          <w:color w:val="auto"/>
          <w:sz w:val="21"/>
          <w:szCs w:val="21"/>
          <w:lang w:val="en-AU"/>
        </w:rPr>
        <w:t xml:space="preserve"> focus and promote a cohesive and high-quality Partnership agenda</w:t>
      </w:r>
      <w:r w:rsidR="00F97C9D" w:rsidRPr="00433F80">
        <w:rPr>
          <w:color w:val="auto"/>
          <w:sz w:val="21"/>
          <w:szCs w:val="21"/>
          <w:lang w:val="en-AU"/>
        </w:rPr>
        <w:t>. This</w:t>
      </w:r>
      <w:r w:rsidR="00C001F2" w:rsidRPr="00433F80">
        <w:rPr>
          <w:color w:val="auto"/>
          <w:sz w:val="21"/>
          <w:szCs w:val="21"/>
          <w:lang w:val="en-AU"/>
        </w:rPr>
        <w:t xml:space="preserve"> </w:t>
      </w:r>
      <w:r w:rsidRPr="00433F80">
        <w:rPr>
          <w:color w:val="auto"/>
          <w:sz w:val="21"/>
          <w:szCs w:val="21"/>
          <w:lang w:val="en-AU"/>
        </w:rPr>
        <w:t>approach provides</w:t>
      </w:r>
      <w:r w:rsidR="00C001F2" w:rsidRPr="00433F80">
        <w:rPr>
          <w:color w:val="auto"/>
          <w:sz w:val="21"/>
          <w:szCs w:val="21"/>
          <w:lang w:val="en-AU"/>
        </w:rPr>
        <w:t xml:space="preserve"> opportunities to leverage outcomes across the Partnership and World Bank portfolio</w:t>
      </w:r>
      <w:r w:rsidR="00B46B3B" w:rsidRPr="00433F80">
        <w:rPr>
          <w:color w:val="auto"/>
          <w:sz w:val="21"/>
          <w:szCs w:val="21"/>
          <w:lang w:val="en-AU"/>
        </w:rPr>
        <w:t xml:space="preserve"> by strengthening the way gender </w:t>
      </w:r>
      <w:r w:rsidR="008D4CFC" w:rsidRPr="00433F80">
        <w:rPr>
          <w:color w:val="auto"/>
          <w:sz w:val="21"/>
          <w:szCs w:val="21"/>
          <w:lang w:val="en-AU"/>
        </w:rPr>
        <w:t>is analysed and integrated into programming in other areas</w:t>
      </w:r>
      <w:r w:rsidR="00C001F2" w:rsidRPr="00433F80">
        <w:rPr>
          <w:color w:val="auto"/>
          <w:sz w:val="21"/>
          <w:szCs w:val="21"/>
          <w:lang w:val="en-AU"/>
        </w:rPr>
        <w:t>.</w:t>
      </w:r>
      <w:r w:rsidR="00984A67" w:rsidRPr="00433F80">
        <w:rPr>
          <w:color w:val="auto"/>
          <w:sz w:val="21"/>
          <w:szCs w:val="21"/>
          <w:lang w:val="en-AU"/>
        </w:rPr>
        <w:t xml:space="preserve"> </w:t>
      </w:r>
      <w:r w:rsidR="00E932DD" w:rsidRPr="00433F80">
        <w:rPr>
          <w:color w:val="auto"/>
          <w:sz w:val="21"/>
          <w:szCs w:val="21"/>
          <w:lang w:val="en-AU"/>
        </w:rPr>
        <w:t xml:space="preserve">The World Bank’s East Asia Pacific Regional Gender Specialist will </w:t>
      </w:r>
      <w:r w:rsidR="00E8362E" w:rsidRPr="00433F80">
        <w:rPr>
          <w:color w:val="auto"/>
          <w:sz w:val="21"/>
          <w:szCs w:val="21"/>
          <w:lang w:val="en-AU"/>
        </w:rPr>
        <w:t>be a member of</w:t>
      </w:r>
      <w:r w:rsidR="00E932DD" w:rsidRPr="00433F80">
        <w:rPr>
          <w:color w:val="auto"/>
          <w:sz w:val="21"/>
          <w:szCs w:val="21"/>
          <w:lang w:val="en-AU"/>
        </w:rPr>
        <w:t xml:space="preserve"> the</w:t>
      </w:r>
      <w:r w:rsidR="00E8362E" w:rsidRPr="00433F80">
        <w:rPr>
          <w:color w:val="auto"/>
          <w:sz w:val="21"/>
          <w:szCs w:val="21"/>
          <w:lang w:val="en-AU"/>
        </w:rPr>
        <w:t xml:space="preserve"> </w:t>
      </w:r>
      <w:r w:rsidR="005D28A1" w:rsidRPr="00433F80">
        <w:rPr>
          <w:color w:val="auto"/>
          <w:sz w:val="21"/>
          <w:szCs w:val="21"/>
          <w:lang w:val="en-AU"/>
        </w:rPr>
        <w:t>Steering Committee</w:t>
      </w:r>
      <w:r w:rsidR="00E932DD" w:rsidRPr="00433F80">
        <w:rPr>
          <w:color w:val="auto"/>
          <w:sz w:val="21"/>
          <w:szCs w:val="21"/>
          <w:lang w:val="en-AU"/>
        </w:rPr>
        <w:t>.</w:t>
      </w:r>
    </w:p>
    <w:p w14:paraId="24E882B8" w14:textId="67B79716" w:rsidR="00F97C9D" w:rsidRPr="00433F80" w:rsidRDefault="000D2FB1" w:rsidP="005E6171">
      <w:pPr>
        <w:spacing w:line="360" w:lineRule="auto"/>
        <w:rPr>
          <w:color w:val="auto"/>
          <w:sz w:val="21"/>
          <w:szCs w:val="21"/>
          <w:lang w:val="en-AU"/>
        </w:rPr>
      </w:pPr>
      <w:r w:rsidRPr="00433F80">
        <w:rPr>
          <w:color w:val="auto"/>
          <w:sz w:val="21"/>
          <w:szCs w:val="21"/>
          <w:lang w:val="en-AU"/>
        </w:rPr>
        <w:t xml:space="preserve">The Partnership will support the three pillars of Australia’s </w:t>
      </w:r>
      <w:r w:rsidRPr="00433F80">
        <w:rPr>
          <w:b/>
          <w:i/>
          <w:color w:val="auto"/>
          <w:sz w:val="21"/>
          <w:szCs w:val="21"/>
          <w:lang w:val="en-AU"/>
        </w:rPr>
        <w:t>Gender Equality and Women’s Empowerment Strategy</w:t>
      </w:r>
      <w:r w:rsidRPr="00433F80">
        <w:rPr>
          <w:i/>
          <w:color w:val="auto"/>
          <w:sz w:val="21"/>
          <w:szCs w:val="21"/>
          <w:lang w:val="en-AU"/>
        </w:rPr>
        <w:t xml:space="preserve"> </w:t>
      </w:r>
      <w:r w:rsidRPr="00433F80">
        <w:rPr>
          <w:color w:val="auto"/>
          <w:sz w:val="21"/>
          <w:szCs w:val="21"/>
          <w:lang w:val="en-AU"/>
        </w:rPr>
        <w:t xml:space="preserve">in different ways. </w:t>
      </w:r>
      <w:r w:rsidR="00C07FCA" w:rsidRPr="00433F80">
        <w:rPr>
          <w:color w:val="auto"/>
          <w:sz w:val="21"/>
          <w:szCs w:val="21"/>
          <w:lang w:val="en-AU"/>
        </w:rPr>
        <w:t>ISAF II</w:t>
      </w:r>
      <w:r w:rsidRPr="00433F80">
        <w:rPr>
          <w:color w:val="auto"/>
          <w:sz w:val="21"/>
          <w:szCs w:val="21"/>
          <w:lang w:val="en-AU"/>
        </w:rPr>
        <w:t xml:space="preserve"> features strong </w:t>
      </w:r>
      <w:r w:rsidRPr="00433F80">
        <w:rPr>
          <w:b/>
          <w:color w:val="auto"/>
          <w:sz w:val="21"/>
          <w:szCs w:val="21"/>
          <w:lang w:val="en-AU"/>
        </w:rPr>
        <w:t>women’s participation</w:t>
      </w:r>
      <w:r w:rsidRPr="00433F80">
        <w:rPr>
          <w:color w:val="auto"/>
          <w:sz w:val="21"/>
          <w:szCs w:val="21"/>
          <w:lang w:val="en-AU"/>
        </w:rPr>
        <w:t xml:space="preserve"> as community facilitators, a role that enables women to step into local </w:t>
      </w:r>
      <w:r w:rsidRPr="00433F80">
        <w:rPr>
          <w:b/>
          <w:color w:val="auto"/>
          <w:sz w:val="21"/>
          <w:szCs w:val="21"/>
          <w:lang w:val="en-AU"/>
        </w:rPr>
        <w:t>leadership roles</w:t>
      </w:r>
      <w:r w:rsidRPr="00433F80">
        <w:rPr>
          <w:color w:val="auto"/>
          <w:sz w:val="21"/>
          <w:szCs w:val="21"/>
          <w:lang w:val="en-AU"/>
        </w:rPr>
        <w:t xml:space="preserve"> traditionally occupied by men. There is strong potential for women’s </w:t>
      </w:r>
      <w:r w:rsidRPr="00433F80">
        <w:rPr>
          <w:b/>
          <w:color w:val="auto"/>
          <w:sz w:val="21"/>
          <w:szCs w:val="21"/>
          <w:lang w:val="en-AU"/>
        </w:rPr>
        <w:t>economic empowerment</w:t>
      </w:r>
      <w:r w:rsidRPr="00433F80">
        <w:rPr>
          <w:color w:val="auto"/>
          <w:sz w:val="21"/>
          <w:szCs w:val="21"/>
          <w:lang w:val="en-AU"/>
        </w:rPr>
        <w:t xml:space="preserve"> to be a key focus of analytical component, noting that COVID-19 has had a </w:t>
      </w:r>
      <w:r w:rsidRPr="00433F80">
        <w:rPr>
          <w:color w:val="auto"/>
          <w:sz w:val="21"/>
          <w:szCs w:val="21"/>
          <w:lang w:val="en-AU"/>
        </w:rPr>
        <w:lastRenderedPageBreak/>
        <w:t>disproportionate impact</w:t>
      </w:r>
      <w:r w:rsidR="00287F85" w:rsidRPr="00433F80">
        <w:rPr>
          <w:color w:val="auto"/>
          <w:sz w:val="21"/>
          <w:szCs w:val="21"/>
          <w:lang w:val="en-AU"/>
        </w:rPr>
        <w:t xml:space="preserve"> on</w:t>
      </w:r>
      <w:r w:rsidRPr="00433F80">
        <w:rPr>
          <w:color w:val="auto"/>
          <w:sz w:val="21"/>
          <w:szCs w:val="21"/>
          <w:lang w:val="en-AU"/>
        </w:rPr>
        <w:t xml:space="preserve"> women in Cambodia.</w:t>
      </w:r>
      <w:r w:rsidR="0061714B" w:rsidRPr="00433F80">
        <w:rPr>
          <w:color w:val="auto"/>
          <w:sz w:val="21"/>
          <w:szCs w:val="21"/>
          <w:lang w:val="en-AU"/>
        </w:rPr>
        <w:t xml:space="preserve"> </w:t>
      </w:r>
      <w:r w:rsidR="005A2298" w:rsidRPr="00433F80">
        <w:rPr>
          <w:color w:val="auto"/>
          <w:sz w:val="21"/>
          <w:szCs w:val="21"/>
          <w:lang w:val="en-AU"/>
        </w:rPr>
        <w:t xml:space="preserve">Post will </w:t>
      </w:r>
      <w:r w:rsidR="0011346D" w:rsidRPr="00433F80">
        <w:rPr>
          <w:color w:val="auto"/>
          <w:sz w:val="21"/>
          <w:szCs w:val="21"/>
          <w:lang w:val="en-AU"/>
        </w:rPr>
        <w:t>reflect</w:t>
      </w:r>
      <w:r w:rsidR="005A2298" w:rsidRPr="00433F80">
        <w:rPr>
          <w:color w:val="auto"/>
          <w:sz w:val="21"/>
          <w:szCs w:val="21"/>
          <w:lang w:val="en-AU"/>
        </w:rPr>
        <w:t xml:space="preserve"> the gender priorities for this investment in our </w:t>
      </w:r>
      <w:r w:rsidR="005A2298" w:rsidRPr="00433F80">
        <w:rPr>
          <w:b/>
          <w:bCs/>
          <w:color w:val="auto"/>
          <w:sz w:val="21"/>
          <w:szCs w:val="21"/>
          <w:lang w:val="en-AU"/>
        </w:rPr>
        <w:t>Gender Action Plan</w:t>
      </w:r>
      <w:r w:rsidR="004B36AC" w:rsidRPr="00433F80">
        <w:rPr>
          <w:color w:val="auto"/>
          <w:sz w:val="21"/>
          <w:szCs w:val="21"/>
          <w:lang w:val="en-AU"/>
        </w:rPr>
        <w:t>.</w:t>
      </w:r>
    </w:p>
    <w:p w14:paraId="38426554" w14:textId="4AE48824" w:rsidR="00E4149A" w:rsidRPr="00433F80" w:rsidRDefault="00F97C9D" w:rsidP="005E6171">
      <w:pPr>
        <w:spacing w:line="360" w:lineRule="auto"/>
        <w:rPr>
          <w:color w:val="auto"/>
          <w:sz w:val="21"/>
          <w:szCs w:val="21"/>
          <w:lang w:val="en-AU"/>
        </w:rPr>
      </w:pPr>
      <w:r w:rsidRPr="00433F80">
        <w:rPr>
          <w:color w:val="auto"/>
          <w:sz w:val="21"/>
          <w:szCs w:val="21"/>
          <w:lang w:val="en-AU"/>
        </w:rPr>
        <w:t xml:space="preserve">The Partnership will complement Australia’s primary investment in </w:t>
      </w:r>
      <w:r w:rsidRPr="00433F80">
        <w:rPr>
          <w:b/>
          <w:color w:val="auto"/>
          <w:sz w:val="21"/>
          <w:szCs w:val="21"/>
          <w:lang w:val="en-AU"/>
        </w:rPr>
        <w:t>ending violence against women and girls</w:t>
      </w:r>
      <w:r w:rsidRPr="00433F80">
        <w:rPr>
          <w:color w:val="auto"/>
          <w:sz w:val="21"/>
          <w:szCs w:val="21"/>
          <w:lang w:val="en-AU"/>
        </w:rPr>
        <w:t xml:space="preserve"> in Cambodia (through the ACCESS program) by improving the quality of services </w:t>
      </w:r>
      <w:r w:rsidR="00335F17" w:rsidRPr="00433F80">
        <w:rPr>
          <w:color w:val="auto"/>
          <w:sz w:val="21"/>
          <w:szCs w:val="21"/>
          <w:lang w:val="en-AU"/>
        </w:rPr>
        <w:t>victims of violence</w:t>
      </w:r>
      <w:r w:rsidRPr="00433F80">
        <w:rPr>
          <w:color w:val="auto"/>
          <w:sz w:val="21"/>
          <w:szCs w:val="21"/>
          <w:lang w:val="en-AU"/>
        </w:rPr>
        <w:t xml:space="preserve"> can receive at public health facilities</w:t>
      </w:r>
      <w:r w:rsidR="00E4149A" w:rsidRPr="00433F80">
        <w:rPr>
          <w:color w:val="auto"/>
          <w:sz w:val="21"/>
          <w:szCs w:val="21"/>
          <w:lang w:val="en-AU"/>
        </w:rPr>
        <w:t xml:space="preserve"> and providing an opportunity for policy-level engagements on GBV</w:t>
      </w:r>
      <w:r w:rsidRPr="00433F80">
        <w:rPr>
          <w:color w:val="auto"/>
          <w:sz w:val="21"/>
          <w:szCs w:val="21"/>
          <w:lang w:val="en-AU"/>
        </w:rPr>
        <w:t xml:space="preserve">. </w:t>
      </w:r>
      <w:r w:rsidR="00E4149A" w:rsidRPr="00433F80">
        <w:rPr>
          <w:color w:val="auto"/>
          <w:sz w:val="21"/>
          <w:szCs w:val="21"/>
          <w:lang w:val="en-AU"/>
        </w:rPr>
        <w:t>Other potential cross-over points between the Partnership focus on gender and Australia’s aid investments in Cambodia include:</w:t>
      </w:r>
    </w:p>
    <w:p w14:paraId="07E2CAA3" w14:textId="77777777" w:rsidR="00237DD9" w:rsidRDefault="00E4149A" w:rsidP="00FF7F23">
      <w:pPr>
        <w:pStyle w:val="ListParagraph"/>
        <w:numPr>
          <w:ilvl w:val="0"/>
          <w:numId w:val="46"/>
        </w:numPr>
        <w:spacing w:before="40" w:line="360" w:lineRule="auto"/>
        <w:ind w:left="142" w:hanging="142"/>
        <w:contextualSpacing w:val="0"/>
        <w:rPr>
          <w:color w:val="auto"/>
          <w:sz w:val="21"/>
          <w:szCs w:val="21"/>
          <w:lang w:val="en-AU"/>
        </w:rPr>
      </w:pPr>
      <w:r w:rsidRPr="00237DD9">
        <w:rPr>
          <w:color w:val="auto"/>
          <w:sz w:val="21"/>
          <w:szCs w:val="21"/>
          <w:lang w:val="en-AU"/>
        </w:rPr>
        <w:t>Data and Dialogue for Development: a program supporting independent Cambodian think tanks to generate research and promote dialogue on policy reform. Currently, partners are conducting household-level studies on the impacts of COVID-19 (such as the impacts on remote learning requirements for children</w:t>
      </w:r>
      <w:r w:rsidR="00975A08" w:rsidRPr="00237DD9">
        <w:rPr>
          <w:color w:val="auto"/>
          <w:sz w:val="21"/>
          <w:szCs w:val="21"/>
          <w:lang w:val="en-AU"/>
        </w:rPr>
        <w:t xml:space="preserve"> and families</w:t>
      </w:r>
      <w:r w:rsidRPr="00237DD9">
        <w:rPr>
          <w:color w:val="auto"/>
          <w:sz w:val="21"/>
          <w:szCs w:val="21"/>
          <w:lang w:val="en-AU"/>
        </w:rPr>
        <w:t xml:space="preserve">). </w:t>
      </w:r>
    </w:p>
    <w:p w14:paraId="02801A7D" w14:textId="6374836D" w:rsidR="00E4149A" w:rsidRPr="00237DD9" w:rsidRDefault="00E4149A" w:rsidP="00FF7F23">
      <w:pPr>
        <w:pStyle w:val="ListParagraph"/>
        <w:numPr>
          <w:ilvl w:val="0"/>
          <w:numId w:val="46"/>
        </w:numPr>
        <w:spacing w:before="40" w:line="360" w:lineRule="auto"/>
        <w:ind w:left="142" w:hanging="142"/>
        <w:contextualSpacing w:val="0"/>
        <w:rPr>
          <w:color w:val="auto"/>
          <w:sz w:val="21"/>
          <w:szCs w:val="21"/>
          <w:lang w:val="en-AU"/>
        </w:rPr>
      </w:pPr>
      <w:r w:rsidRPr="00237DD9">
        <w:rPr>
          <w:color w:val="auto"/>
          <w:sz w:val="21"/>
          <w:szCs w:val="21"/>
          <w:lang w:val="en-AU"/>
        </w:rPr>
        <w:t xml:space="preserve">Australia Awards scholarships and short courses, including </w:t>
      </w:r>
      <w:r w:rsidR="00900146" w:rsidRPr="00237DD9">
        <w:rPr>
          <w:color w:val="auto"/>
          <w:sz w:val="21"/>
          <w:szCs w:val="21"/>
          <w:lang w:val="en-AU"/>
        </w:rPr>
        <w:t>a</w:t>
      </w:r>
      <w:r w:rsidRPr="00237DD9">
        <w:rPr>
          <w:color w:val="auto"/>
          <w:sz w:val="21"/>
          <w:szCs w:val="21"/>
          <w:lang w:val="en-AU"/>
        </w:rPr>
        <w:t xml:space="preserve"> focus on </w:t>
      </w:r>
      <w:r w:rsidR="00900146" w:rsidRPr="00237DD9">
        <w:rPr>
          <w:color w:val="auto"/>
          <w:sz w:val="21"/>
          <w:szCs w:val="21"/>
          <w:lang w:val="en-AU"/>
        </w:rPr>
        <w:t xml:space="preserve">enhancing </w:t>
      </w:r>
      <w:r w:rsidRPr="00237DD9">
        <w:rPr>
          <w:color w:val="auto"/>
          <w:sz w:val="21"/>
          <w:szCs w:val="21"/>
          <w:lang w:val="en-AU"/>
        </w:rPr>
        <w:t>women in leadership.</w:t>
      </w:r>
    </w:p>
    <w:p w14:paraId="0E5585EC" w14:textId="624F147B" w:rsidR="00E4149A" w:rsidRPr="00433F80" w:rsidRDefault="00E4149A" w:rsidP="005E6171">
      <w:pPr>
        <w:pStyle w:val="ListParagraph"/>
        <w:numPr>
          <w:ilvl w:val="0"/>
          <w:numId w:val="46"/>
        </w:numPr>
        <w:spacing w:before="40" w:line="360" w:lineRule="auto"/>
        <w:ind w:left="142" w:hanging="142"/>
        <w:contextualSpacing w:val="0"/>
        <w:rPr>
          <w:color w:val="auto"/>
          <w:sz w:val="21"/>
          <w:szCs w:val="21"/>
          <w:lang w:val="en-AU"/>
        </w:rPr>
      </w:pPr>
      <w:proofErr w:type="spellStart"/>
      <w:r w:rsidRPr="00433F80">
        <w:rPr>
          <w:color w:val="auto"/>
          <w:sz w:val="21"/>
          <w:szCs w:val="21"/>
          <w:lang w:val="en-AU"/>
        </w:rPr>
        <w:t>IDPoor</w:t>
      </w:r>
      <w:proofErr w:type="spellEnd"/>
      <w:r w:rsidRPr="00433F80">
        <w:rPr>
          <w:color w:val="auto"/>
          <w:sz w:val="21"/>
          <w:szCs w:val="21"/>
          <w:lang w:val="en-AU"/>
        </w:rPr>
        <w:t xml:space="preserve">, which provides </w:t>
      </w:r>
      <w:r w:rsidR="00900146" w:rsidRPr="00433F80">
        <w:rPr>
          <w:color w:val="auto"/>
          <w:sz w:val="21"/>
          <w:szCs w:val="21"/>
          <w:lang w:val="en-AU"/>
        </w:rPr>
        <w:t xml:space="preserve">poor </w:t>
      </w:r>
      <w:r w:rsidRPr="00433F80">
        <w:rPr>
          <w:color w:val="auto"/>
          <w:sz w:val="21"/>
          <w:szCs w:val="21"/>
          <w:lang w:val="en-AU"/>
        </w:rPr>
        <w:t>women with free access to maternal and child health services.</w:t>
      </w:r>
    </w:p>
    <w:p w14:paraId="01FF5671" w14:textId="092C209B" w:rsidR="00E4149A" w:rsidRPr="00433F80" w:rsidRDefault="00E4149A" w:rsidP="005E6171">
      <w:pPr>
        <w:pStyle w:val="ListParagraph"/>
        <w:numPr>
          <w:ilvl w:val="0"/>
          <w:numId w:val="46"/>
        </w:numPr>
        <w:spacing w:before="40" w:line="360" w:lineRule="auto"/>
        <w:ind w:left="142" w:hanging="142"/>
        <w:contextualSpacing w:val="0"/>
        <w:rPr>
          <w:color w:val="auto"/>
          <w:sz w:val="21"/>
          <w:szCs w:val="21"/>
          <w:lang w:val="en-AU"/>
        </w:rPr>
      </w:pPr>
      <w:r w:rsidRPr="00433F80">
        <w:rPr>
          <w:color w:val="auto"/>
          <w:sz w:val="21"/>
          <w:szCs w:val="21"/>
          <w:lang w:val="en-AU"/>
        </w:rPr>
        <w:t xml:space="preserve">The Cambodia Nutrition Project (funded by DFAT globally, managed by the World Bank): leverages the </w:t>
      </w:r>
      <w:r w:rsidR="00743B0C" w:rsidRPr="00433F80">
        <w:rPr>
          <w:color w:val="auto"/>
          <w:sz w:val="21"/>
          <w:szCs w:val="21"/>
          <w:lang w:val="en-AU"/>
        </w:rPr>
        <w:t>performance-based</w:t>
      </w:r>
      <w:r w:rsidRPr="00433F80">
        <w:rPr>
          <w:color w:val="auto"/>
          <w:sz w:val="21"/>
          <w:szCs w:val="21"/>
          <w:lang w:val="en-AU"/>
        </w:rPr>
        <w:t xml:space="preserve"> financing and Cambodian Government systems supported through H-EQIP and focusses on community-based interventions for maternal and child health. It also builds on DFAT’s previous Partnering to Save Lives program (2015-2018)</w:t>
      </w:r>
    </w:p>
    <w:p w14:paraId="64771B1D" w14:textId="7393A8B9" w:rsidR="00E4149A" w:rsidRPr="00433F80" w:rsidRDefault="00E4149A" w:rsidP="005E6171">
      <w:pPr>
        <w:pStyle w:val="ListParagraph"/>
        <w:numPr>
          <w:ilvl w:val="0"/>
          <w:numId w:val="46"/>
        </w:numPr>
        <w:spacing w:before="40" w:line="360" w:lineRule="auto"/>
        <w:ind w:left="142" w:hanging="142"/>
        <w:contextualSpacing w:val="0"/>
        <w:rPr>
          <w:color w:val="auto"/>
          <w:sz w:val="21"/>
          <w:szCs w:val="21"/>
          <w:lang w:val="en-AU"/>
        </w:rPr>
      </w:pPr>
      <w:r w:rsidRPr="00433F80">
        <w:rPr>
          <w:color w:val="auto"/>
          <w:sz w:val="21"/>
          <w:szCs w:val="21"/>
          <w:lang w:val="en-AU"/>
        </w:rPr>
        <w:t xml:space="preserve">Economic governance (program under design): Issues of inclusive growth and women’s economic empowerment </w:t>
      </w:r>
    </w:p>
    <w:p w14:paraId="02BCBDAB" w14:textId="2549DB32" w:rsidR="00373333" w:rsidRPr="00433F80" w:rsidRDefault="00373333" w:rsidP="005E6171">
      <w:pPr>
        <w:pStyle w:val="ListParagraph"/>
        <w:numPr>
          <w:ilvl w:val="0"/>
          <w:numId w:val="46"/>
        </w:numPr>
        <w:spacing w:before="40" w:line="360" w:lineRule="auto"/>
        <w:ind w:left="142" w:hanging="142"/>
        <w:contextualSpacing w:val="0"/>
        <w:rPr>
          <w:color w:val="auto"/>
          <w:sz w:val="21"/>
          <w:szCs w:val="21"/>
          <w:lang w:val="en-AU"/>
        </w:rPr>
      </w:pPr>
      <w:r w:rsidRPr="00433F80">
        <w:rPr>
          <w:color w:val="auto"/>
          <w:sz w:val="21"/>
          <w:szCs w:val="21"/>
          <w:lang w:val="en-AU"/>
        </w:rPr>
        <w:t xml:space="preserve">Australian COVID-19 vaccine support initiatives </w:t>
      </w:r>
    </w:p>
    <w:p w14:paraId="6B1743F8" w14:textId="185EB3E6" w:rsidR="006F116F" w:rsidRPr="00433F80" w:rsidRDefault="006F116F" w:rsidP="005E6171">
      <w:pPr>
        <w:spacing w:line="360" w:lineRule="auto"/>
        <w:rPr>
          <w:b/>
          <w:color w:val="auto"/>
          <w:sz w:val="21"/>
          <w:szCs w:val="21"/>
          <w:lang w:val="en-AU"/>
        </w:rPr>
      </w:pPr>
      <w:r w:rsidRPr="00433F80">
        <w:rPr>
          <w:b/>
          <w:color w:val="auto"/>
          <w:sz w:val="21"/>
          <w:szCs w:val="21"/>
          <w:lang w:val="en-AU"/>
        </w:rPr>
        <w:t>Disability Inclusiveness</w:t>
      </w:r>
    </w:p>
    <w:p w14:paraId="14F2BB86" w14:textId="124454B6" w:rsidR="00075420" w:rsidRPr="00433F80" w:rsidRDefault="009201C2" w:rsidP="005E6171">
      <w:pPr>
        <w:spacing w:before="0" w:line="360" w:lineRule="auto"/>
        <w:rPr>
          <w:color w:val="auto"/>
          <w:sz w:val="21"/>
          <w:szCs w:val="21"/>
          <w:lang w:val="en-AU"/>
        </w:rPr>
      </w:pPr>
      <w:r w:rsidRPr="00433F80">
        <w:rPr>
          <w:color w:val="auto"/>
          <w:sz w:val="21"/>
          <w:szCs w:val="21"/>
          <w:lang w:val="en-AU"/>
        </w:rPr>
        <w:t xml:space="preserve">The existing HEF structure under H-EQIP provides free services to all people with a disability and </w:t>
      </w:r>
      <w:r w:rsidR="00075420" w:rsidRPr="00433F80">
        <w:rPr>
          <w:color w:val="auto"/>
          <w:sz w:val="21"/>
          <w:szCs w:val="21"/>
          <w:lang w:val="en-AU"/>
        </w:rPr>
        <w:t xml:space="preserve">DFAT </w:t>
      </w:r>
      <w:r w:rsidR="00287F85" w:rsidRPr="00433F80">
        <w:rPr>
          <w:color w:val="auto"/>
          <w:sz w:val="21"/>
          <w:szCs w:val="21"/>
          <w:lang w:val="en-AU"/>
        </w:rPr>
        <w:t xml:space="preserve">has </w:t>
      </w:r>
      <w:r w:rsidR="00075420" w:rsidRPr="00433F80">
        <w:rPr>
          <w:color w:val="auto"/>
          <w:sz w:val="21"/>
          <w:szCs w:val="21"/>
          <w:lang w:val="en-AU"/>
        </w:rPr>
        <w:t xml:space="preserve">advocated strongly for the inclusion of the Washington Group questions in the </w:t>
      </w:r>
      <w:proofErr w:type="spellStart"/>
      <w:r w:rsidR="00075420" w:rsidRPr="00433F80">
        <w:rPr>
          <w:color w:val="auto"/>
          <w:sz w:val="21"/>
          <w:szCs w:val="21"/>
          <w:lang w:val="en-AU"/>
        </w:rPr>
        <w:t>IDPoor</w:t>
      </w:r>
      <w:proofErr w:type="spellEnd"/>
      <w:r w:rsidR="00075420" w:rsidRPr="00433F80">
        <w:rPr>
          <w:color w:val="auto"/>
          <w:sz w:val="21"/>
          <w:szCs w:val="21"/>
          <w:lang w:val="en-AU"/>
        </w:rPr>
        <w:t xml:space="preserve"> questionnaire </w:t>
      </w:r>
      <w:r w:rsidR="00612834" w:rsidRPr="00433F80">
        <w:rPr>
          <w:color w:val="auto"/>
          <w:sz w:val="21"/>
          <w:szCs w:val="21"/>
          <w:lang w:val="en-AU"/>
        </w:rPr>
        <w:t xml:space="preserve">(for identifying HEF beneficiaries) </w:t>
      </w:r>
      <w:r w:rsidR="00075420" w:rsidRPr="00433F80">
        <w:rPr>
          <w:color w:val="auto"/>
          <w:sz w:val="21"/>
          <w:szCs w:val="21"/>
          <w:lang w:val="en-AU"/>
        </w:rPr>
        <w:t>to ensure a</w:t>
      </w:r>
      <w:r w:rsidR="00AA199A" w:rsidRPr="00433F80">
        <w:rPr>
          <w:color w:val="auto"/>
          <w:sz w:val="21"/>
          <w:szCs w:val="21"/>
          <w:lang w:val="en-AU"/>
        </w:rPr>
        <w:t>n appropriate</w:t>
      </w:r>
      <w:r w:rsidR="00075420" w:rsidRPr="00433F80">
        <w:rPr>
          <w:color w:val="auto"/>
          <w:sz w:val="21"/>
          <w:szCs w:val="21"/>
          <w:lang w:val="en-AU"/>
        </w:rPr>
        <w:t xml:space="preserve"> range of disabilities are identified. W</w:t>
      </w:r>
      <w:r w:rsidRPr="00433F80">
        <w:rPr>
          <w:color w:val="auto"/>
          <w:sz w:val="21"/>
          <w:szCs w:val="21"/>
          <w:lang w:val="en-AU"/>
        </w:rPr>
        <w:t xml:space="preserve">e will use the H-EQIP 2 design process to ensure </w:t>
      </w:r>
      <w:r w:rsidR="00612834" w:rsidRPr="00433F80">
        <w:rPr>
          <w:color w:val="auto"/>
          <w:sz w:val="21"/>
          <w:szCs w:val="21"/>
          <w:lang w:val="en-AU"/>
        </w:rPr>
        <w:t>services better cater for the needs of people with disabilities</w:t>
      </w:r>
      <w:r w:rsidRPr="00433F80">
        <w:rPr>
          <w:color w:val="auto"/>
          <w:sz w:val="21"/>
          <w:szCs w:val="21"/>
          <w:lang w:val="en-AU"/>
        </w:rPr>
        <w:t>. Continued improvements in the quality of public health services</w:t>
      </w:r>
      <w:r w:rsidR="00612834" w:rsidRPr="00433F80">
        <w:rPr>
          <w:color w:val="auto"/>
          <w:sz w:val="21"/>
          <w:szCs w:val="21"/>
          <w:lang w:val="en-AU"/>
        </w:rPr>
        <w:t xml:space="preserve"> and social health protection for the poorest families</w:t>
      </w:r>
      <w:r w:rsidRPr="00433F80">
        <w:rPr>
          <w:color w:val="auto"/>
          <w:sz w:val="21"/>
          <w:szCs w:val="21"/>
          <w:lang w:val="en-AU"/>
        </w:rPr>
        <w:t xml:space="preserve"> will disproportionately benefit people with a disability due to </w:t>
      </w:r>
      <w:r w:rsidR="00612834" w:rsidRPr="00433F80">
        <w:rPr>
          <w:color w:val="auto"/>
          <w:sz w:val="21"/>
          <w:szCs w:val="21"/>
          <w:lang w:val="en-AU"/>
        </w:rPr>
        <w:t>their reliance on health services</w:t>
      </w:r>
      <w:r w:rsidRPr="00433F80">
        <w:rPr>
          <w:color w:val="auto"/>
          <w:sz w:val="21"/>
          <w:szCs w:val="21"/>
          <w:lang w:val="en-AU"/>
        </w:rPr>
        <w:t xml:space="preserve"> and their overrepresentation in poor households (18.2 per cent - </w:t>
      </w:r>
      <w:r w:rsidR="000E3FD5" w:rsidRPr="00433F80">
        <w:rPr>
          <w:color w:val="auto"/>
          <w:sz w:val="21"/>
          <w:szCs w:val="21"/>
          <w:lang w:val="en-AU"/>
        </w:rPr>
        <w:t>Cambodia Socio-Economic Survey</w:t>
      </w:r>
      <w:r w:rsidR="000E3FD5" w:rsidRPr="00433F80" w:rsidDel="000E3FD5">
        <w:rPr>
          <w:color w:val="auto"/>
          <w:sz w:val="21"/>
          <w:szCs w:val="21"/>
          <w:lang w:val="en-AU"/>
        </w:rPr>
        <w:t xml:space="preserve"> </w:t>
      </w:r>
      <w:r w:rsidRPr="00433F80">
        <w:rPr>
          <w:color w:val="auto"/>
          <w:sz w:val="21"/>
          <w:szCs w:val="21"/>
          <w:lang w:val="en-AU"/>
        </w:rPr>
        <w:t>2014)</w:t>
      </w:r>
      <w:r w:rsidR="00612834" w:rsidRPr="00433F80">
        <w:rPr>
          <w:color w:val="auto"/>
          <w:sz w:val="21"/>
          <w:szCs w:val="21"/>
          <w:lang w:val="en-AU"/>
        </w:rPr>
        <w:t>.</w:t>
      </w:r>
      <w:r w:rsidR="004B36AC" w:rsidRPr="00433F80">
        <w:rPr>
          <w:color w:val="auto"/>
          <w:sz w:val="21"/>
          <w:szCs w:val="21"/>
          <w:lang w:val="en-AU"/>
        </w:rPr>
        <w:t xml:space="preserve"> We will use our position as an ISAF II contributor to enhance disability inclusion through the project, given that issues of voice, participation, and the accessibility and quality of services are all important to the lives of people with a disability.</w:t>
      </w:r>
    </w:p>
    <w:p w14:paraId="40D925F1" w14:textId="77777777" w:rsidR="003C3B6A" w:rsidRDefault="00175041" w:rsidP="005E6171">
      <w:pPr>
        <w:spacing w:line="360" w:lineRule="auto"/>
        <w:rPr>
          <w:color w:val="auto"/>
          <w:sz w:val="21"/>
          <w:szCs w:val="21"/>
          <w:lang w:val="en-AU"/>
        </w:rPr>
      </w:pPr>
      <w:r w:rsidRPr="00433F80">
        <w:rPr>
          <w:color w:val="auto"/>
          <w:sz w:val="21"/>
          <w:szCs w:val="21"/>
          <w:lang w:val="en-AU"/>
        </w:rPr>
        <w:t xml:space="preserve">There will be strong opportunities to leverage Australia’s ACCESS program, which works on policy and financing reforms to ensure people with </w:t>
      </w:r>
      <w:r w:rsidR="00B86EF5" w:rsidRPr="00433F80">
        <w:rPr>
          <w:color w:val="auto"/>
          <w:sz w:val="21"/>
          <w:szCs w:val="21"/>
          <w:lang w:val="en-AU"/>
        </w:rPr>
        <w:t xml:space="preserve">a </w:t>
      </w:r>
      <w:r w:rsidRPr="00433F80">
        <w:rPr>
          <w:color w:val="auto"/>
          <w:sz w:val="21"/>
          <w:szCs w:val="21"/>
          <w:lang w:val="en-AU"/>
        </w:rPr>
        <w:t xml:space="preserve">disability can access sustainable, quality and inclusive services. </w:t>
      </w:r>
      <w:r w:rsidR="0069416C" w:rsidRPr="00433F80">
        <w:rPr>
          <w:color w:val="auto"/>
          <w:sz w:val="21"/>
          <w:szCs w:val="21"/>
          <w:lang w:val="en-AU"/>
        </w:rPr>
        <w:t xml:space="preserve">We already provide support to the Cambodia Disabled People’s Organisation through ACCESS and will seek to ensure they are included in design and implementation of </w:t>
      </w:r>
      <w:r w:rsidR="00AA199A" w:rsidRPr="00433F80">
        <w:rPr>
          <w:color w:val="auto"/>
          <w:sz w:val="21"/>
          <w:szCs w:val="21"/>
          <w:lang w:val="en-AU"/>
        </w:rPr>
        <w:t xml:space="preserve">the </w:t>
      </w:r>
      <w:r w:rsidR="0069416C" w:rsidRPr="00433F80">
        <w:rPr>
          <w:color w:val="auto"/>
          <w:sz w:val="21"/>
          <w:szCs w:val="21"/>
          <w:lang w:val="en-AU"/>
        </w:rPr>
        <w:t>Partnership components.</w:t>
      </w:r>
    </w:p>
    <w:p w14:paraId="16029A24" w14:textId="77777777" w:rsidR="003C3B6A" w:rsidRDefault="003C3B6A">
      <w:pPr>
        <w:suppressAutoHyphens w:val="0"/>
        <w:spacing w:before="0" w:after="120" w:line="440" w:lineRule="atLeast"/>
        <w:rPr>
          <w:color w:val="auto"/>
          <w:sz w:val="21"/>
          <w:szCs w:val="21"/>
          <w:lang w:val="en-AU"/>
        </w:rPr>
      </w:pPr>
      <w:r>
        <w:rPr>
          <w:color w:val="auto"/>
          <w:sz w:val="21"/>
          <w:szCs w:val="21"/>
          <w:lang w:val="en-AU"/>
        </w:rPr>
        <w:br w:type="page"/>
      </w:r>
    </w:p>
    <w:p w14:paraId="0ED99A62" w14:textId="659165FD" w:rsidR="00AB79FD" w:rsidRPr="00433F80" w:rsidRDefault="00AB79FD" w:rsidP="005E6171">
      <w:pPr>
        <w:spacing w:line="360" w:lineRule="auto"/>
        <w:rPr>
          <w:b/>
          <w:color w:val="auto"/>
          <w:sz w:val="21"/>
          <w:szCs w:val="21"/>
          <w:lang w:val="en-AU"/>
        </w:rPr>
      </w:pPr>
      <w:r w:rsidRPr="00433F80">
        <w:rPr>
          <w:b/>
          <w:color w:val="auto"/>
          <w:sz w:val="21"/>
          <w:szCs w:val="21"/>
          <w:lang w:val="en-AU"/>
        </w:rPr>
        <w:lastRenderedPageBreak/>
        <w:t>Indigenous peoples</w:t>
      </w:r>
    </w:p>
    <w:p w14:paraId="04E5B05F" w14:textId="7CEB8637" w:rsidR="00AB79FD" w:rsidRPr="00433F80" w:rsidRDefault="00AB79FD" w:rsidP="005E6171">
      <w:pPr>
        <w:spacing w:before="0" w:line="360" w:lineRule="auto"/>
        <w:rPr>
          <w:color w:val="auto"/>
          <w:sz w:val="21"/>
          <w:szCs w:val="21"/>
          <w:lang w:val="en-AU"/>
        </w:rPr>
      </w:pPr>
      <w:r w:rsidRPr="00433F80">
        <w:rPr>
          <w:color w:val="auto"/>
          <w:sz w:val="21"/>
          <w:szCs w:val="21"/>
          <w:lang w:val="en-AU"/>
        </w:rPr>
        <w:t>H-EQIP’s approach to the inclusion of indigenous people</w:t>
      </w:r>
      <w:r w:rsidR="00550EE4" w:rsidRPr="00433F80">
        <w:rPr>
          <w:color w:val="auto"/>
          <w:sz w:val="21"/>
          <w:szCs w:val="21"/>
          <w:lang w:val="en-AU"/>
        </w:rPr>
        <w:t>—</w:t>
      </w:r>
      <w:r w:rsidRPr="00433F80">
        <w:rPr>
          <w:color w:val="auto"/>
          <w:sz w:val="21"/>
          <w:szCs w:val="21"/>
          <w:lang w:val="en-AU"/>
        </w:rPr>
        <w:t xml:space="preserve">involving additional performance-based grants and </w:t>
      </w:r>
      <w:r w:rsidR="00550EE4" w:rsidRPr="00433F80">
        <w:rPr>
          <w:color w:val="auto"/>
          <w:sz w:val="21"/>
          <w:szCs w:val="21"/>
          <w:lang w:val="en-AU"/>
        </w:rPr>
        <w:t xml:space="preserve">the </w:t>
      </w:r>
      <w:r w:rsidRPr="00433F80">
        <w:rPr>
          <w:color w:val="auto"/>
          <w:sz w:val="21"/>
          <w:szCs w:val="21"/>
          <w:lang w:val="en-AU"/>
        </w:rPr>
        <w:t xml:space="preserve">introduction of </w:t>
      </w:r>
      <w:r w:rsidR="00550EE4" w:rsidRPr="00433F80">
        <w:rPr>
          <w:color w:val="auto"/>
          <w:sz w:val="21"/>
          <w:szCs w:val="21"/>
          <w:lang w:val="en-AU"/>
        </w:rPr>
        <w:t>an Indigenous Peoples scorecard—</w:t>
      </w:r>
      <w:r w:rsidR="00C03798" w:rsidRPr="00433F80">
        <w:rPr>
          <w:color w:val="auto"/>
          <w:sz w:val="21"/>
          <w:szCs w:val="21"/>
          <w:lang w:val="en-AU"/>
        </w:rPr>
        <w:t>has</w:t>
      </w:r>
      <w:r w:rsidRPr="00433F80">
        <w:rPr>
          <w:color w:val="auto"/>
          <w:sz w:val="21"/>
          <w:szCs w:val="21"/>
          <w:lang w:val="en-AU"/>
        </w:rPr>
        <w:t xml:space="preserve"> improved outreach and services. </w:t>
      </w:r>
      <w:r w:rsidR="00706AD3" w:rsidRPr="00433F80">
        <w:rPr>
          <w:color w:val="auto"/>
          <w:sz w:val="21"/>
          <w:szCs w:val="21"/>
          <w:lang w:val="en-AU"/>
        </w:rPr>
        <w:t>We are seeking to maintain a focus for indigenous people in H-EQIP 2</w:t>
      </w:r>
      <w:r w:rsidR="00DD6D5F" w:rsidRPr="00433F80">
        <w:rPr>
          <w:color w:val="auto"/>
          <w:sz w:val="21"/>
          <w:szCs w:val="21"/>
          <w:lang w:val="en-AU"/>
        </w:rPr>
        <w:t xml:space="preserve"> and have ensured this is a priority agenda item during the design </w:t>
      </w:r>
      <w:r w:rsidR="00AA199A" w:rsidRPr="00433F80">
        <w:rPr>
          <w:color w:val="auto"/>
          <w:sz w:val="21"/>
          <w:szCs w:val="21"/>
          <w:lang w:val="en-AU"/>
        </w:rPr>
        <w:t>process</w:t>
      </w:r>
      <w:r w:rsidR="00706AD3" w:rsidRPr="00433F80">
        <w:rPr>
          <w:color w:val="auto"/>
          <w:sz w:val="21"/>
          <w:szCs w:val="21"/>
          <w:lang w:val="en-AU"/>
        </w:rPr>
        <w:t xml:space="preserve">. </w:t>
      </w:r>
      <w:r w:rsidR="00C03798" w:rsidRPr="00433F80">
        <w:rPr>
          <w:color w:val="auto"/>
          <w:sz w:val="21"/>
          <w:szCs w:val="21"/>
          <w:lang w:val="en-AU"/>
        </w:rPr>
        <w:t xml:space="preserve">There is also </w:t>
      </w:r>
      <w:proofErr w:type="gramStart"/>
      <w:r w:rsidR="00C03798" w:rsidRPr="00433F80">
        <w:rPr>
          <w:color w:val="auto"/>
          <w:sz w:val="21"/>
          <w:szCs w:val="21"/>
          <w:lang w:val="en-AU"/>
        </w:rPr>
        <w:t>scope</w:t>
      </w:r>
      <w:proofErr w:type="gramEnd"/>
      <w:r w:rsidR="00C03798" w:rsidRPr="00433F80">
        <w:rPr>
          <w:color w:val="auto"/>
          <w:sz w:val="21"/>
          <w:szCs w:val="21"/>
          <w:lang w:val="en-AU"/>
        </w:rPr>
        <w:t xml:space="preserve"> to address indigenous inclusion issues through the </w:t>
      </w:r>
      <w:r w:rsidR="00721E70" w:rsidRPr="00433F80">
        <w:rPr>
          <w:color w:val="auto"/>
          <w:sz w:val="21"/>
          <w:szCs w:val="21"/>
          <w:lang w:val="en-AU"/>
        </w:rPr>
        <w:t>PROMISE PASA</w:t>
      </w:r>
      <w:r w:rsidR="00C03798" w:rsidRPr="00433F80">
        <w:rPr>
          <w:color w:val="auto"/>
          <w:sz w:val="21"/>
          <w:szCs w:val="21"/>
          <w:lang w:val="en-AU"/>
        </w:rPr>
        <w:t>, which can be applied across the breadth of Australian and World Bank investments and interests.</w:t>
      </w:r>
      <w:r w:rsidR="00DD6D5F" w:rsidRPr="00433F80">
        <w:rPr>
          <w:color w:val="auto"/>
          <w:sz w:val="21"/>
          <w:szCs w:val="21"/>
          <w:lang w:val="en-AU"/>
        </w:rPr>
        <w:t xml:space="preserve"> </w:t>
      </w:r>
    </w:p>
    <w:p w14:paraId="1F6072FB" w14:textId="4B62FC8A" w:rsidR="006F116F" w:rsidRPr="00433F80" w:rsidRDefault="006F116F" w:rsidP="005E6171">
      <w:pPr>
        <w:spacing w:before="0" w:line="360" w:lineRule="auto"/>
        <w:rPr>
          <w:i/>
          <w:color w:val="auto"/>
          <w:sz w:val="21"/>
          <w:szCs w:val="21"/>
          <w:lang w:val="en-AU"/>
        </w:rPr>
      </w:pPr>
      <w:r w:rsidRPr="00433F80">
        <w:rPr>
          <w:b/>
          <w:color w:val="auto"/>
          <w:sz w:val="21"/>
          <w:szCs w:val="21"/>
          <w:lang w:val="en-AU"/>
        </w:rPr>
        <w:t>Innovation</w:t>
      </w:r>
    </w:p>
    <w:p w14:paraId="5227D209" w14:textId="06A37DD0" w:rsidR="006F116F" w:rsidRPr="00433F80" w:rsidRDefault="00C03798" w:rsidP="005E6171">
      <w:pPr>
        <w:spacing w:line="360" w:lineRule="auto"/>
        <w:rPr>
          <w:color w:val="auto"/>
          <w:sz w:val="21"/>
          <w:szCs w:val="21"/>
          <w:lang w:val="en-AU"/>
        </w:rPr>
      </w:pPr>
      <w:r w:rsidRPr="00433F80">
        <w:rPr>
          <w:color w:val="auto"/>
          <w:sz w:val="21"/>
          <w:szCs w:val="21"/>
        </w:rPr>
        <w:t>The World Bank has a track record of supporting reforms and using financing instruments to reward performance and innovation</w:t>
      </w:r>
      <w:r w:rsidR="00847EA1" w:rsidRPr="00433F80">
        <w:rPr>
          <w:color w:val="auto"/>
          <w:sz w:val="21"/>
          <w:szCs w:val="21"/>
        </w:rPr>
        <w:t xml:space="preserve">. </w:t>
      </w:r>
      <w:r w:rsidRPr="00433F80">
        <w:rPr>
          <w:color w:val="auto"/>
          <w:sz w:val="21"/>
          <w:szCs w:val="21"/>
        </w:rPr>
        <w:t xml:space="preserve">The </w:t>
      </w:r>
      <w:r w:rsidR="00721E70" w:rsidRPr="00433F80">
        <w:rPr>
          <w:color w:val="auto"/>
          <w:sz w:val="21"/>
          <w:szCs w:val="21"/>
        </w:rPr>
        <w:t xml:space="preserve">PROMISE PASA </w:t>
      </w:r>
      <w:r w:rsidRPr="00433F80">
        <w:rPr>
          <w:color w:val="auto"/>
          <w:sz w:val="21"/>
          <w:szCs w:val="21"/>
        </w:rPr>
        <w:t xml:space="preserve">provides a mechanism for </w:t>
      </w:r>
      <w:r w:rsidR="00847EA1" w:rsidRPr="00433F80">
        <w:rPr>
          <w:color w:val="auto"/>
          <w:sz w:val="21"/>
          <w:szCs w:val="21"/>
        </w:rPr>
        <w:t>piloting</w:t>
      </w:r>
      <w:r w:rsidRPr="00433F80">
        <w:rPr>
          <w:color w:val="auto"/>
          <w:sz w:val="21"/>
          <w:szCs w:val="21"/>
        </w:rPr>
        <w:t xml:space="preserve"> new ideas</w:t>
      </w:r>
      <w:r w:rsidR="00847EA1" w:rsidRPr="00433F80">
        <w:rPr>
          <w:color w:val="auto"/>
          <w:sz w:val="21"/>
          <w:szCs w:val="21"/>
        </w:rPr>
        <w:t>, conducting research and collecting evidence t</w:t>
      </w:r>
      <w:r w:rsidRPr="00433F80">
        <w:rPr>
          <w:color w:val="auto"/>
          <w:sz w:val="21"/>
          <w:szCs w:val="21"/>
        </w:rPr>
        <w:t>o promote new and innovated ways of working</w:t>
      </w:r>
      <w:r w:rsidR="00847EA1" w:rsidRPr="00433F80">
        <w:rPr>
          <w:color w:val="auto"/>
          <w:sz w:val="21"/>
          <w:szCs w:val="21"/>
        </w:rPr>
        <w:t xml:space="preserve"> through the Partnership</w:t>
      </w:r>
      <w:r w:rsidR="00AB79FD" w:rsidRPr="00433F80">
        <w:rPr>
          <w:color w:val="auto"/>
          <w:sz w:val="21"/>
          <w:szCs w:val="21"/>
          <w:lang w:val="en-AU"/>
        </w:rPr>
        <w:t>.</w:t>
      </w:r>
    </w:p>
    <w:p w14:paraId="7442CD75" w14:textId="119AF550" w:rsidR="00612834" w:rsidRPr="00433F80" w:rsidRDefault="00612834" w:rsidP="005E6171">
      <w:pPr>
        <w:spacing w:before="0" w:line="360" w:lineRule="auto"/>
        <w:rPr>
          <w:b/>
          <w:color w:val="auto"/>
          <w:sz w:val="21"/>
          <w:szCs w:val="21"/>
          <w:lang w:val="en-AU"/>
        </w:rPr>
      </w:pPr>
      <w:r w:rsidRPr="00433F80">
        <w:rPr>
          <w:b/>
          <w:color w:val="auto"/>
          <w:sz w:val="21"/>
          <w:szCs w:val="21"/>
          <w:lang w:val="en-AU"/>
        </w:rPr>
        <w:t>Emergency response</w:t>
      </w:r>
    </w:p>
    <w:p w14:paraId="00C1B105" w14:textId="056F9077" w:rsidR="00612834" w:rsidRPr="00433F80" w:rsidRDefault="00C07FCA" w:rsidP="005E6171">
      <w:pPr>
        <w:spacing w:line="360" w:lineRule="auto"/>
        <w:rPr>
          <w:color w:val="auto"/>
        </w:rPr>
      </w:pPr>
      <w:r w:rsidRPr="00433F80">
        <w:rPr>
          <w:color w:val="auto"/>
          <w:sz w:val="21"/>
          <w:szCs w:val="21"/>
          <w:lang w:val="en-AU"/>
        </w:rPr>
        <w:t>H-EQIP 2</w:t>
      </w:r>
      <w:r w:rsidR="00612834" w:rsidRPr="00433F80">
        <w:rPr>
          <w:color w:val="auto"/>
          <w:sz w:val="21"/>
          <w:szCs w:val="21"/>
          <w:lang w:val="en-AU"/>
        </w:rPr>
        <w:t xml:space="preserve"> is expected to retain an emergency response component, like the one in H-EQIP which was activated to respond to COVID-19. </w:t>
      </w:r>
      <w:r w:rsidR="00C374B2" w:rsidRPr="00433F80">
        <w:rPr>
          <w:color w:val="auto"/>
          <w:sz w:val="21"/>
          <w:szCs w:val="21"/>
          <w:lang w:val="en-AU"/>
        </w:rPr>
        <w:t>If required, the P</w:t>
      </w:r>
      <w:r w:rsidR="00612834" w:rsidRPr="00433F80">
        <w:rPr>
          <w:color w:val="auto"/>
          <w:sz w:val="21"/>
          <w:szCs w:val="21"/>
          <w:lang w:val="en-AU"/>
        </w:rPr>
        <w:t>artnership could also provide an efficient mechanism to provide funding in response to a major unforeseen emergency</w:t>
      </w:r>
      <w:r w:rsidR="00C374B2" w:rsidRPr="00433F80">
        <w:rPr>
          <w:color w:val="auto"/>
          <w:sz w:val="21"/>
          <w:szCs w:val="21"/>
          <w:lang w:val="en-AU"/>
        </w:rPr>
        <w:t xml:space="preserve"> </w:t>
      </w:r>
      <w:r w:rsidR="00612834" w:rsidRPr="00433F80">
        <w:rPr>
          <w:color w:val="auto"/>
          <w:sz w:val="21"/>
          <w:szCs w:val="21"/>
          <w:lang w:val="en-AU"/>
        </w:rPr>
        <w:t>by adding a third recipient</w:t>
      </w:r>
      <w:r w:rsidR="00D87C55" w:rsidRPr="00433F80">
        <w:rPr>
          <w:color w:val="auto"/>
          <w:sz w:val="21"/>
          <w:szCs w:val="21"/>
          <w:lang w:val="en-AU"/>
        </w:rPr>
        <w:t>-</w:t>
      </w:r>
      <w:r w:rsidR="00612834" w:rsidRPr="00433F80">
        <w:rPr>
          <w:color w:val="auto"/>
          <w:sz w:val="21"/>
          <w:szCs w:val="21"/>
          <w:lang w:val="en-AU"/>
        </w:rPr>
        <w:t>executed activity for emergency response in future if required (with additional delegate approval).</w:t>
      </w:r>
      <w:r w:rsidR="009516C7" w:rsidRPr="00433F80">
        <w:rPr>
          <w:color w:val="auto"/>
          <w:sz w:val="21"/>
          <w:szCs w:val="21"/>
          <w:lang w:val="en-AU"/>
        </w:rPr>
        <w:t xml:space="preserve"> </w:t>
      </w:r>
    </w:p>
    <w:p w14:paraId="5CB18EB7" w14:textId="77777777" w:rsidR="004608A2" w:rsidRPr="00433F80" w:rsidRDefault="004608A2" w:rsidP="005E6171">
      <w:pPr>
        <w:numPr>
          <w:ilvl w:val="0"/>
          <w:numId w:val="11"/>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line="360" w:lineRule="auto"/>
        <w:ind w:left="284" w:hanging="284"/>
        <w:rPr>
          <w:rFonts w:asciiTheme="majorHAnsi" w:hAnsiTheme="majorHAnsi"/>
          <w:b/>
          <w:color w:val="auto"/>
          <w:lang w:val="en-AU"/>
        </w:rPr>
      </w:pPr>
      <w:r w:rsidRPr="00433F80">
        <w:rPr>
          <w:rFonts w:asciiTheme="majorHAnsi" w:hAnsiTheme="majorHAnsi"/>
          <w:b/>
          <w:color w:val="auto"/>
          <w:lang w:val="en-AU"/>
        </w:rPr>
        <w:t xml:space="preserve">Budget </w:t>
      </w:r>
      <w:r w:rsidRPr="00433F80">
        <w:rPr>
          <w:rFonts w:asciiTheme="majorHAnsi" w:hAnsiTheme="majorHAnsi"/>
          <w:b/>
          <w:color w:val="auto"/>
          <w:szCs w:val="21"/>
          <w:lang w:val="en-AU"/>
        </w:rPr>
        <w:t>and</w:t>
      </w:r>
      <w:r w:rsidRPr="00433F80">
        <w:rPr>
          <w:rFonts w:asciiTheme="majorHAnsi" w:hAnsiTheme="majorHAnsi"/>
          <w:b/>
          <w:color w:val="auto"/>
          <w:lang w:val="en-AU"/>
        </w:rPr>
        <w:t xml:space="preserve"> Resourcing (What will it cost?)</w:t>
      </w:r>
    </w:p>
    <w:p w14:paraId="78DF653A" w14:textId="491E43FE" w:rsidR="00747250" w:rsidRPr="00433F80" w:rsidRDefault="00747250" w:rsidP="005E6171">
      <w:pPr>
        <w:tabs>
          <w:tab w:val="left" w:pos="284"/>
        </w:tabs>
        <w:suppressAutoHyphens w:val="0"/>
        <w:spacing w:before="0" w:after="120" w:line="360" w:lineRule="auto"/>
        <w:rPr>
          <w:color w:val="auto"/>
          <w:sz w:val="21"/>
          <w:szCs w:val="21"/>
          <w:lang w:val="en-AU"/>
        </w:rPr>
      </w:pPr>
      <w:r w:rsidRPr="00433F80">
        <w:rPr>
          <w:color w:val="auto"/>
          <w:sz w:val="21"/>
          <w:szCs w:val="21"/>
          <w:lang w:val="en-AU"/>
        </w:rPr>
        <w:t>Australia will</w:t>
      </w:r>
      <w:r w:rsidR="00BF5755" w:rsidRPr="00433F80">
        <w:rPr>
          <w:color w:val="auto"/>
          <w:sz w:val="21"/>
          <w:szCs w:val="21"/>
          <w:lang w:val="en-AU"/>
        </w:rPr>
        <w:t xml:space="preserve"> initially </w:t>
      </w:r>
      <w:r w:rsidRPr="00433F80">
        <w:rPr>
          <w:color w:val="auto"/>
          <w:sz w:val="21"/>
          <w:szCs w:val="21"/>
          <w:lang w:val="en-AU"/>
        </w:rPr>
        <w:t>allocate $50 million toward the Partnership, with the following indicative allocation:</w:t>
      </w:r>
    </w:p>
    <w:tbl>
      <w:tblPr>
        <w:tblStyle w:val="DFATTable1"/>
        <w:tblW w:w="9780" w:type="dxa"/>
        <w:tblLook w:val="04A0" w:firstRow="1" w:lastRow="0" w:firstColumn="1" w:lastColumn="0" w:noHBand="0" w:noVBand="1"/>
      </w:tblPr>
      <w:tblGrid>
        <w:gridCol w:w="2835"/>
        <w:gridCol w:w="2603"/>
        <w:gridCol w:w="4342"/>
      </w:tblGrid>
      <w:tr w:rsidR="00433F80" w:rsidRPr="00433F80" w14:paraId="625D4A3E" w14:textId="4FFF42BD" w:rsidTr="00D82DEF">
        <w:trPr>
          <w:cnfStyle w:val="100000000000" w:firstRow="1" w:lastRow="0" w:firstColumn="0" w:lastColumn="0" w:oddVBand="0" w:evenVBand="0" w:oddHBand="0"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835" w:type="dxa"/>
          </w:tcPr>
          <w:p w14:paraId="73F4C82B" w14:textId="2E5B5155" w:rsidR="004B36AC" w:rsidRPr="00433F80" w:rsidRDefault="004B36AC" w:rsidP="005E6171">
            <w:pPr>
              <w:tabs>
                <w:tab w:val="left" w:pos="284"/>
              </w:tabs>
              <w:suppressAutoHyphens w:val="0"/>
              <w:spacing w:before="0" w:after="120" w:line="360" w:lineRule="auto"/>
              <w:jc w:val="center"/>
              <w:rPr>
                <w:b/>
                <w:color w:val="auto"/>
                <w:sz w:val="21"/>
                <w:szCs w:val="21"/>
                <w:lang w:val="en-AU"/>
              </w:rPr>
            </w:pPr>
            <w:r w:rsidRPr="00433F80">
              <w:rPr>
                <w:b/>
                <w:color w:val="auto"/>
                <w:sz w:val="21"/>
                <w:szCs w:val="21"/>
                <w:lang w:val="en-AU"/>
              </w:rPr>
              <w:t>Component</w:t>
            </w:r>
          </w:p>
        </w:tc>
        <w:tc>
          <w:tcPr>
            <w:tcW w:w="2603" w:type="dxa"/>
          </w:tcPr>
          <w:p w14:paraId="10B01B66" w14:textId="283DAD57" w:rsidR="004B36AC" w:rsidRPr="00433F80" w:rsidRDefault="004B36AC" w:rsidP="005E6171">
            <w:pPr>
              <w:tabs>
                <w:tab w:val="left" w:pos="284"/>
              </w:tabs>
              <w:suppressAutoHyphens w:val="0"/>
              <w:spacing w:before="0" w:after="120" w:line="360" w:lineRule="auto"/>
              <w:jc w:val="center"/>
              <w:cnfStyle w:val="100000000000" w:firstRow="1" w:lastRow="0" w:firstColumn="0" w:lastColumn="0" w:oddVBand="0" w:evenVBand="0" w:oddHBand="0" w:evenHBand="0" w:firstRowFirstColumn="0" w:firstRowLastColumn="0" w:lastRowFirstColumn="0" w:lastRowLastColumn="0"/>
              <w:rPr>
                <w:b/>
                <w:color w:val="auto"/>
                <w:sz w:val="21"/>
                <w:szCs w:val="21"/>
                <w:lang w:val="en-AU"/>
              </w:rPr>
            </w:pPr>
            <w:r w:rsidRPr="00433F80">
              <w:rPr>
                <w:b/>
                <w:color w:val="auto"/>
                <w:sz w:val="21"/>
                <w:szCs w:val="21"/>
                <w:lang w:val="en-AU"/>
              </w:rPr>
              <w:t>Indicative allocation (AUD)</w:t>
            </w:r>
          </w:p>
        </w:tc>
        <w:tc>
          <w:tcPr>
            <w:tcW w:w="4342" w:type="dxa"/>
          </w:tcPr>
          <w:p w14:paraId="0EB026E1" w14:textId="1E3FA564" w:rsidR="004B36AC" w:rsidRPr="00433F80" w:rsidRDefault="004B36AC" w:rsidP="005E6171">
            <w:pPr>
              <w:tabs>
                <w:tab w:val="left" w:pos="284"/>
              </w:tabs>
              <w:suppressAutoHyphens w:val="0"/>
              <w:spacing w:before="0" w:after="120" w:line="360" w:lineRule="auto"/>
              <w:jc w:val="center"/>
              <w:cnfStyle w:val="100000000000" w:firstRow="1" w:lastRow="0" w:firstColumn="0" w:lastColumn="0" w:oddVBand="0" w:evenVBand="0" w:oddHBand="0" w:evenHBand="0" w:firstRowFirstColumn="0" w:firstRowLastColumn="0" w:lastRowFirstColumn="0" w:lastRowLastColumn="0"/>
              <w:rPr>
                <w:b/>
                <w:color w:val="auto"/>
                <w:sz w:val="21"/>
                <w:szCs w:val="21"/>
                <w:lang w:val="en-AU"/>
              </w:rPr>
            </w:pPr>
            <w:r w:rsidRPr="00433F80">
              <w:rPr>
                <w:b/>
                <w:color w:val="auto"/>
                <w:sz w:val="21"/>
                <w:szCs w:val="21"/>
                <w:lang w:val="en-AU"/>
              </w:rPr>
              <w:t>Note</w:t>
            </w:r>
          </w:p>
        </w:tc>
      </w:tr>
      <w:tr w:rsidR="00433F80" w:rsidRPr="00433F80" w14:paraId="0953C119" w14:textId="16D02D87" w:rsidTr="00D82D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2FF628FB" w14:textId="51FD46FD" w:rsidR="004B36AC" w:rsidRPr="00433F80" w:rsidRDefault="004B36AC" w:rsidP="005E6171">
            <w:pPr>
              <w:tabs>
                <w:tab w:val="left" w:pos="284"/>
              </w:tabs>
              <w:suppressAutoHyphens w:val="0"/>
              <w:spacing w:before="0" w:after="120" w:line="360" w:lineRule="auto"/>
              <w:rPr>
                <w:color w:val="auto"/>
                <w:sz w:val="21"/>
                <w:szCs w:val="21"/>
                <w:lang w:val="en-AU"/>
              </w:rPr>
            </w:pPr>
            <w:r w:rsidRPr="00433F80">
              <w:rPr>
                <w:rFonts w:cs="Calibri"/>
                <w:color w:val="auto"/>
                <w:sz w:val="18"/>
                <w:szCs w:val="20"/>
                <w:lang w:val="en-AU"/>
              </w:rPr>
              <w:t>1. Inclusive Public Health Services</w:t>
            </w:r>
          </w:p>
        </w:tc>
        <w:tc>
          <w:tcPr>
            <w:tcW w:w="2603" w:type="dxa"/>
          </w:tcPr>
          <w:p w14:paraId="118EF3B6" w14:textId="115BB6F0" w:rsidR="004B36AC" w:rsidRPr="00433F80" w:rsidRDefault="004B36AC" w:rsidP="005E6171">
            <w:pPr>
              <w:tabs>
                <w:tab w:val="left" w:pos="284"/>
              </w:tabs>
              <w:suppressAutoHyphens w:val="0"/>
              <w:spacing w:before="0" w:after="120" w:line="360" w:lineRule="auto"/>
              <w:cnfStyle w:val="000000100000" w:firstRow="0" w:lastRow="0" w:firstColumn="0" w:lastColumn="0" w:oddVBand="0" w:evenVBand="0" w:oddHBand="1" w:evenHBand="0" w:firstRowFirstColumn="0" w:firstRowLastColumn="0" w:lastRowFirstColumn="0" w:lastRowLastColumn="0"/>
              <w:rPr>
                <w:color w:val="auto"/>
                <w:sz w:val="21"/>
                <w:szCs w:val="21"/>
                <w:lang w:val="en-AU"/>
              </w:rPr>
            </w:pPr>
            <w:r w:rsidRPr="00433F80">
              <w:rPr>
                <w:rFonts w:cs="Calibri"/>
                <w:b/>
                <w:bCs/>
                <w:color w:val="auto"/>
                <w:sz w:val="18"/>
                <w:szCs w:val="20"/>
                <w:lang w:val="en-AU"/>
              </w:rPr>
              <w:t>3</w:t>
            </w:r>
            <w:r w:rsidR="00A7682D" w:rsidRPr="00433F80">
              <w:rPr>
                <w:rFonts w:cs="Calibri"/>
                <w:b/>
                <w:bCs/>
                <w:color w:val="auto"/>
                <w:sz w:val="18"/>
                <w:szCs w:val="20"/>
                <w:lang w:val="en-AU"/>
              </w:rPr>
              <w:t>0</w:t>
            </w:r>
            <w:r w:rsidRPr="00433F80">
              <w:rPr>
                <w:rFonts w:cs="Calibri"/>
                <w:b/>
                <w:bCs/>
                <w:color w:val="auto"/>
                <w:sz w:val="18"/>
                <w:szCs w:val="20"/>
                <w:lang w:val="en-AU"/>
              </w:rPr>
              <w:t>,</w:t>
            </w:r>
            <w:r w:rsidR="00A47493" w:rsidRPr="00433F80">
              <w:rPr>
                <w:rFonts w:cs="Calibri"/>
                <w:b/>
                <w:bCs/>
                <w:color w:val="auto"/>
                <w:sz w:val="18"/>
                <w:szCs w:val="20"/>
                <w:lang w:val="en-AU"/>
              </w:rPr>
              <w:t>0</w:t>
            </w:r>
            <w:r w:rsidRPr="00433F80">
              <w:rPr>
                <w:rFonts w:cs="Calibri"/>
                <w:b/>
                <w:bCs/>
                <w:color w:val="auto"/>
                <w:sz w:val="18"/>
                <w:szCs w:val="20"/>
                <w:lang w:val="en-AU"/>
              </w:rPr>
              <w:t xml:space="preserve">00,000 </w:t>
            </w:r>
          </w:p>
        </w:tc>
        <w:tc>
          <w:tcPr>
            <w:tcW w:w="4342" w:type="dxa"/>
          </w:tcPr>
          <w:p w14:paraId="4B6F58D4" w14:textId="4B729A61" w:rsidR="004B36AC" w:rsidRPr="00433F80" w:rsidDel="004B36AC" w:rsidRDefault="004B36AC" w:rsidP="005E6171">
            <w:pPr>
              <w:tabs>
                <w:tab w:val="left" w:pos="284"/>
              </w:tabs>
              <w:suppressAutoHyphens w:val="0"/>
              <w:spacing w:before="0" w:after="120" w:line="360" w:lineRule="auto"/>
              <w:cnfStyle w:val="000000100000" w:firstRow="0" w:lastRow="0" w:firstColumn="0" w:lastColumn="0" w:oddVBand="0" w:evenVBand="0" w:oddHBand="1" w:evenHBand="0" w:firstRowFirstColumn="0" w:firstRowLastColumn="0" w:lastRowFirstColumn="0" w:lastRowLastColumn="0"/>
              <w:rPr>
                <w:rFonts w:cs="Calibri"/>
                <w:color w:val="auto"/>
                <w:sz w:val="18"/>
                <w:szCs w:val="20"/>
                <w:lang w:val="en-AU"/>
              </w:rPr>
            </w:pPr>
            <w:r w:rsidRPr="00433F80">
              <w:rPr>
                <w:rFonts w:cs="Calibri"/>
                <w:color w:val="auto"/>
                <w:sz w:val="18"/>
                <w:szCs w:val="20"/>
                <w:lang w:val="en-AU"/>
              </w:rPr>
              <w:t>H-EQIP 2</w:t>
            </w:r>
          </w:p>
        </w:tc>
      </w:tr>
      <w:tr w:rsidR="00433F80" w:rsidRPr="00433F80" w14:paraId="3EDF7882" w14:textId="09AF8D1E" w:rsidTr="00D82D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6D239819" w14:textId="29B05C1E" w:rsidR="004B36AC" w:rsidRPr="00433F80" w:rsidRDefault="004B36AC" w:rsidP="005E6171">
            <w:pPr>
              <w:tabs>
                <w:tab w:val="left" w:pos="284"/>
              </w:tabs>
              <w:suppressAutoHyphens w:val="0"/>
              <w:spacing w:before="0" w:after="120" w:line="360" w:lineRule="auto"/>
              <w:rPr>
                <w:rFonts w:cs="Calibri"/>
                <w:color w:val="auto"/>
                <w:sz w:val="18"/>
                <w:szCs w:val="20"/>
                <w:lang w:val="en-AU"/>
              </w:rPr>
            </w:pPr>
            <w:r w:rsidRPr="00433F80">
              <w:rPr>
                <w:rFonts w:cs="Calibri"/>
                <w:color w:val="auto"/>
                <w:sz w:val="18"/>
                <w:szCs w:val="20"/>
                <w:lang w:val="en-AU"/>
              </w:rPr>
              <w:t>2. Social Accountability</w:t>
            </w:r>
          </w:p>
        </w:tc>
        <w:tc>
          <w:tcPr>
            <w:tcW w:w="2603" w:type="dxa"/>
          </w:tcPr>
          <w:p w14:paraId="098EE3E2" w14:textId="0685E152" w:rsidR="004B36AC" w:rsidRPr="00433F80" w:rsidRDefault="004B36AC" w:rsidP="005E6171">
            <w:pPr>
              <w:tabs>
                <w:tab w:val="left" w:pos="284"/>
              </w:tabs>
              <w:suppressAutoHyphens w:val="0"/>
              <w:spacing w:before="0" w:after="120" w:line="360" w:lineRule="auto"/>
              <w:cnfStyle w:val="000000010000" w:firstRow="0" w:lastRow="0" w:firstColumn="0" w:lastColumn="0" w:oddVBand="0" w:evenVBand="0" w:oddHBand="0" w:evenHBand="1" w:firstRowFirstColumn="0" w:firstRowLastColumn="0" w:lastRowFirstColumn="0" w:lastRowLastColumn="0"/>
              <w:rPr>
                <w:rFonts w:cs="Calibri"/>
                <w:b/>
                <w:bCs/>
                <w:color w:val="auto"/>
                <w:sz w:val="18"/>
                <w:szCs w:val="20"/>
                <w:lang w:val="en-AU"/>
              </w:rPr>
            </w:pPr>
            <w:r w:rsidRPr="00433F80">
              <w:rPr>
                <w:rFonts w:cs="Calibri"/>
                <w:b/>
                <w:bCs/>
                <w:color w:val="auto"/>
                <w:sz w:val="18"/>
                <w:szCs w:val="20"/>
                <w:lang w:val="en-AU"/>
              </w:rPr>
              <w:t>15,000,000</w:t>
            </w:r>
          </w:p>
        </w:tc>
        <w:tc>
          <w:tcPr>
            <w:tcW w:w="4342" w:type="dxa"/>
          </w:tcPr>
          <w:p w14:paraId="2EC5720B" w14:textId="6897420B" w:rsidR="004B36AC" w:rsidRPr="00433F80" w:rsidDel="004B36AC" w:rsidRDefault="004B36AC" w:rsidP="005E6171">
            <w:pPr>
              <w:tabs>
                <w:tab w:val="left" w:pos="284"/>
              </w:tabs>
              <w:suppressAutoHyphens w:val="0"/>
              <w:spacing w:before="0" w:after="120" w:line="360" w:lineRule="auto"/>
              <w:cnfStyle w:val="000000010000" w:firstRow="0" w:lastRow="0" w:firstColumn="0" w:lastColumn="0" w:oddVBand="0" w:evenVBand="0" w:oddHBand="0" w:evenHBand="1" w:firstRowFirstColumn="0" w:firstRowLastColumn="0" w:lastRowFirstColumn="0" w:lastRowLastColumn="0"/>
              <w:rPr>
                <w:rFonts w:cs="Calibri"/>
                <w:color w:val="auto"/>
                <w:sz w:val="18"/>
                <w:szCs w:val="20"/>
                <w:lang w:val="en-AU"/>
              </w:rPr>
            </w:pPr>
            <w:r w:rsidRPr="00433F80">
              <w:rPr>
                <w:rFonts w:cs="Calibri"/>
                <w:color w:val="auto"/>
                <w:sz w:val="18"/>
                <w:szCs w:val="20"/>
                <w:lang w:val="en-AU"/>
              </w:rPr>
              <w:t>ISAF II and successor initiatives</w:t>
            </w:r>
          </w:p>
        </w:tc>
      </w:tr>
      <w:tr w:rsidR="00433F80" w:rsidRPr="00433F80" w14:paraId="62A3165E" w14:textId="67B4E809" w:rsidTr="003C3B6A">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2835" w:type="dxa"/>
          </w:tcPr>
          <w:p w14:paraId="1E1EF383" w14:textId="4B985747" w:rsidR="004B36AC" w:rsidRPr="00433F80" w:rsidRDefault="004B36AC" w:rsidP="005E6171">
            <w:pPr>
              <w:tabs>
                <w:tab w:val="left" w:pos="284"/>
              </w:tabs>
              <w:suppressAutoHyphens w:val="0"/>
              <w:spacing w:before="0" w:after="120" w:line="360" w:lineRule="auto"/>
              <w:rPr>
                <w:rFonts w:cs="Calibri"/>
                <w:color w:val="auto"/>
                <w:sz w:val="18"/>
                <w:szCs w:val="20"/>
                <w:lang w:val="en-AU"/>
              </w:rPr>
            </w:pPr>
            <w:r w:rsidRPr="00433F80">
              <w:rPr>
                <w:rFonts w:cs="Calibri"/>
                <w:color w:val="auto"/>
                <w:sz w:val="18"/>
                <w:szCs w:val="20"/>
                <w:lang w:val="en-AU"/>
              </w:rPr>
              <w:t xml:space="preserve">3. Advisory Services and Analytics, </w:t>
            </w:r>
            <w:r w:rsidR="00FE668A" w:rsidRPr="00433F80">
              <w:rPr>
                <w:rFonts w:cs="Calibri"/>
                <w:color w:val="auto"/>
                <w:sz w:val="18"/>
                <w:szCs w:val="20"/>
                <w:lang w:val="en-AU"/>
              </w:rPr>
              <w:t xml:space="preserve">Partnership </w:t>
            </w:r>
            <w:r w:rsidRPr="00433F80">
              <w:rPr>
                <w:rFonts w:cs="Calibri"/>
                <w:color w:val="auto"/>
                <w:sz w:val="18"/>
                <w:szCs w:val="20"/>
                <w:lang w:val="en-AU"/>
              </w:rPr>
              <w:t>trust fund administration and management</w:t>
            </w:r>
          </w:p>
        </w:tc>
        <w:tc>
          <w:tcPr>
            <w:tcW w:w="2603" w:type="dxa"/>
          </w:tcPr>
          <w:p w14:paraId="426C2281" w14:textId="263E4FF7" w:rsidR="004B36AC" w:rsidRPr="00433F80" w:rsidRDefault="00040CE8" w:rsidP="005E6171">
            <w:pPr>
              <w:tabs>
                <w:tab w:val="left" w:pos="284"/>
              </w:tabs>
              <w:suppressAutoHyphens w:val="0"/>
              <w:spacing w:before="0" w:after="120" w:line="360" w:lineRule="auto"/>
              <w:cnfStyle w:val="000000100000" w:firstRow="0" w:lastRow="0" w:firstColumn="0" w:lastColumn="0" w:oddVBand="0" w:evenVBand="0" w:oddHBand="1" w:evenHBand="0" w:firstRowFirstColumn="0" w:firstRowLastColumn="0" w:lastRowFirstColumn="0" w:lastRowLastColumn="0"/>
              <w:rPr>
                <w:rFonts w:cs="Calibri"/>
                <w:b/>
                <w:bCs/>
                <w:color w:val="auto"/>
                <w:sz w:val="18"/>
                <w:szCs w:val="20"/>
                <w:lang w:val="en-AU"/>
              </w:rPr>
            </w:pPr>
            <w:r w:rsidRPr="00433F80">
              <w:rPr>
                <w:rFonts w:cs="Calibri"/>
                <w:b/>
                <w:bCs/>
                <w:color w:val="auto"/>
                <w:sz w:val="18"/>
                <w:szCs w:val="20"/>
                <w:lang w:val="en-AU"/>
              </w:rPr>
              <w:t>5</w:t>
            </w:r>
            <w:r w:rsidR="004B36AC" w:rsidRPr="00433F80">
              <w:rPr>
                <w:rFonts w:cs="Calibri"/>
                <w:b/>
                <w:bCs/>
                <w:color w:val="auto"/>
                <w:sz w:val="18"/>
                <w:szCs w:val="20"/>
                <w:lang w:val="en-AU"/>
              </w:rPr>
              <w:t>,</w:t>
            </w:r>
            <w:r w:rsidRPr="00433F80">
              <w:rPr>
                <w:rFonts w:cs="Calibri"/>
                <w:b/>
                <w:bCs/>
                <w:color w:val="auto"/>
                <w:sz w:val="18"/>
                <w:szCs w:val="20"/>
                <w:lang w:val="en-AU"/>
              </w:rPr>
              <w:t>0</w:t>
            </w:r>
            <w:r w:rsidR="004B36AC" w:rsidRPr="00433F80">
              <w:rPr>
                <w:rFonts w:cs="Calibri"/>
                <w:b/>
                <w:bCs/>
                <w:color w:val="auto"/>
                <w:sz w:val="18"/>
                <w:szCs w:val="20"/>
                <w:lang w:val="en-AU"/>
              </w:rPr>
              <w:t>00,000</w:t>
            </w:r>
          </w:p>
          <w:p w14:paraId="2470ABBA" w14:textId="15B6D026" w:rsidR="004B36AC" w:rsidRPr="00433F80" w:rsidRDefault="004B36AC" w:rsidP="005E6171">
            <w:pPr>
              <w:tabs>
                <w:tab w:val="left" w:pos="284"/>
              </w:tabs>
              <w:suppressAutoHyphens w:val="0"/>
              <w:spacing w:before="0" w:line="360" w:lineRule="auto"/>
              <w:jc w:val="center"/>
              <w:cnfStyle w:val="000000100000" w:firstRow="0" w:lastRow="0" w:firstColumn="0" w:lastColumn="0" w:oddVBand="0" w:evenVBand="0" w:oddHBand="1" w:evenHBand="0" w:firstRowFirstColumn="0" w:firstRowLastColumn="0" w:lastRowFirstColumn="0" w:lastRowLastColumn="0"/>
              <w:rPr>
                <w:i/>
                <w:color w:val="auto"/>
                <w:sz w:val="18"/>
                <w:szCs w:val="18"/>
                <w:lang w:val="en-AU" w:eastAsia="en-AU"/>
              </w:rPr>
            </w:pPr>
          </w:p>
        </w:tc>
        <w:tc>
          <w:tcPr>
            <w:tcW w:w="4342" w:type="dxa"/>
          </w:tcPr>
          <w:p w14:paraId="3D3640B4" w14:textId="3547A542" w:rsidR="00040CE8" w:rsidRPr="00433F80" w:rsidRDefault="004B36AC" w:rsidP="005E6171">
            <w:pPr>
              <w:tabs>
                <w:tab w:val="left" w:pos="284"/>
              </w:tabs>
              <w:suppressAutoHyphens w:val="0"/>
              <w:spacing w:before="0" w:after="120" w:line="360" w:lineRule="auto"/>
              <w:cnfStyle w:val="000000100000" w:firstRow="0" w:lastRow="0" w:firstColumn="0" w:lastColumn="0" w:oddVBand="0" w:evenVBand="0" w:oddHBand="1" w:evenHBand="0" w:firstRowFirstColumn="0" w:firstRowLastColumn="0" w:lastRowFirstColumn="0" w:lastRowLastColumn="0"/>
              <w:rPr>
                <w:iCs/>
                <w:color w:val="auto"/>
                <w:sz w:val="18"/>
                <w:szCs w:val="18"/>
                <w:lang w:val="en-AU" w:eastAsia="en-AU"/>
              </w:rPr>
            </w:pPr>
            <w:r w:rsidRPr="00433F80">
              <w:rPr>
                <w:iCs/>
                <w:color w:val="auto"/>
                <w:sz w:val="18"/>
                <w:szCs w:val="18"/>
                <w:lang w:val="en-AU" w:eastAsia="en-AU"/>
              </w:rPr>
              <w:t>PASA: AUD</w:t>
            </w:r>
            <w:r w:rsidR="00040CE8" w:rsidRPr="00433F80">
              <w:rPr>
                <w:iCs/>
                <w:color w:val="auto"/>
                <w:sz w:val="18"/>
                <w:szCs w:val="18"/>
                <w:lang w:val="en-AU" w:eastAsia="en-AU"/>
              </w:rPr>
              <w:t>4</w:t>
            </w:r>
            <w:r w:rsidRPr="00433F80">
              <w:rPr>
                <w:iCs/>
                <w:color w:val="auto"/>
                <w:sz w:val="18"/>
                <w:szCs w:val="18"/>
                <w:lang w:val="en-AU" w:eastAsia="en-AU"/>
              </w:rPr>
              <w:t>.</w:t>
            </w:r>
            <w:r w:rsidR="00040CE8" w:rsidRPr="00433F80">
              <w:rPr>
                <w:iCs/>
                <w:color w:val="auto"/>
                <w:sz w:val="18"/>
                <w:szCs w:val="18"/>
                <w:lang w:val="en-AU" w:eastAsia="en-AU"/>
              </w:rPr>
              <w:t>5</w:t>
            </w:r>
            <w:r w:rsidRPr="00433F80">
              <w:rPr>
                <w:iCs/>
                <w:color w:val="auto"/>
                <w:sz w:val="18"/>
                <w:szCs w:val="18"/>
                <w:lang w:val="en-AU" w:eastAsia="en-AU"/>
              </w:rPr>
              <w:t xml:space="preserve"> million </w:t>
            </w:r>
          </w:p>
          <w:p w14:paraId="22368B85" w14:textId="0DFE19BE" w:rsidR="004B36AC" w:rsidRPr="00433F80" w:rsidRDefault="00FE668A" w:rsidP="005E6171">
            <w:pPr>
              <w:tabs>
                <w:tab w:val="left" w:pos="284"/>
              </w:tabs>
              <w:suppressAutoHyphens w:val="0"/>
              <w:spacing w:before="0" w:after="120" w:line="360" w:lineRule="auto"/>
              <w:cnfStyle w:val="000000100000" w:firstRow="0" w:lastRow="0" w:firstColumn="0" w:lastColumn="0" w:oddVBand="0" w:evenVBand="0" w:oddHBand="1" w:evenHBand="0" w:firstRowFirstColumn="0" w:firstRowLastColumn="0" w:lastRowFirstColumn="0" w:lastRowLastColumn="0"/>
              <w:rPr>
                <w:rFonts w:cs="Calibri"/>
                <w:b/>
                <w:bCs/>
                <w:iCs/>
                <w:color w:val="auto"/>
                <w:sz w:val="18"/>
                <w:szCs w:val="20"/>
                <w:lang w:val="en-AU"/>
              </w:rPr>
            </w:pPr>
            <w:r w:rsidRPr="00433F80">
              <w:rPr>
                <w:iCs/>
                <w:color w:val="auto"/>
                <w:sz w:val="18"/>
                <w:szCs w:val="18"/>
                <w:lang w:val="en-AU" w:eastAsia="en-AU"/>
              </w:rPr>
              <w:t>A</w:t>
            </w:r>
            <w:r w:rsidR="004B36AC" w:rsidRPr="00433F80">
              <w:rPr>
                <w:iCs/>
                <w:color w:val="auto"/>
                <w:sz w:val="18"/>
                <w:szCs w:val="18"/>
                <w:lang w:val="en-AU" w:eastAsia="en-AU"/>
              </w:rPr>
              <w:t>dministration and management: AUD</w:t>
            </w:r>
            <w:r w:rsidR="00040CE8" w:rsidRPr="00433F80">
              <w:rPr>
                <w:iCs/>
                <w:color w:val="auto"/>
                <w:sz w:val="18"/>
                <w:szCs w:val="18"/>
                <w:lang w:val="en-AU" w:eastAsia="en-AU"/>
              </w:rPr>
              <w:t>500,000</w:t>
            </w:r>
            <w:r w:rsidR="004B36AC" w:rsidRPr="00433F80">
              <w:rPr>
                <w:iCs/>
                <w:color w:val="auto"/>
                <w:sz w:val="18"/>
                <w:szCs w:val="18"/>
                <w:lang w:val="en-AU" w:eastAsia="en-AU"/>
              </w:rPr>
              <w:t xml:space="preserve"> </w:t>
            </w:r>
          </w:p>
        </w:tc>
      </w:tr>
    </w:tbl>
    <w:p w14:paraId="5769D93F" w14:textId="427ECFA8" w:rsidR="00C41ADE" w:rsidRPr="00433F80" w:rsidRDefault="0011346D" w:rsidP="005E6171">
      <w:pPr>
        <w:tabs>
          <w:tab w:val="left" w:pos="284"/>
        </w:tabs>
        <w:suppressAutoHyphens w:val="0"/>
        <w:spacing w:before="240" w:line="360" w:lineRule="auto"/>
        <w:rPr>
          <w:color w:val="auto"/>
          <w:sz w:val="21"/>
          <w:szCs w:val="21"/>
          <w:lang w:val="en-AU"/>
        </w:rPr>
      </w:pPr>
      <w:r w:rsidRPr="00433F80">
        <w:rPr>
          <w:color w:val="auto"/>
          <w:sz w:val="21"/>
          <w:szCs w:val="21"/>
        </w:rPr>
        <w:t>Approximately</w:t>
      </w:r>
      <w:r w:rsidR="00BF5755" w:rsidRPr="00433F80">
        <w:rPr>
          <w:color w:val="auto"/>
          <w:sz w:val="21"/>
          <w:szCs w:val="21"/>
        </w:rPr>
        <w:t xml:space="preserve"> $100,000 will be allocated per year </w:t>
      </w:r>
      <w:r w:rsidRPr="00433F80">
        <w:rPr>
          <w:color w:val="auto"/>
          <w:sz w:val="21"/>
          <w:szCs w:val="21"/>
        </w:rPr>
        <w:t xml:space="preserve">in DFAT’s program fund plan </w:t>
      </w:r>
      <w:r w:rsidR="00BF5755" w:rsidRPr="00433F80">
        <w:rPr>
          <w:color w:val="auto"/>
          <w:sz w:val="21"/>
          <w:szCs w:val="21"/>
        </w:rPr>
        <w:t xml:space="preserve">to support DFAT engagement in the Partnership (e.g., monitoring, </w:t>
      </w:r>
      <w:proofErr w:type="gramStart"/>
      <w:r w:rsidR="00BF5755" w:rsidRPr="00433F80">
        <w:rPr>
          <w:color w:val="auto"/>
          <w:sz w:val="21"/>
          <w:szCs w:val="21"/>
        </w:rPr>
        <w:t>communications</w:t>
      </w:r>
      <w:proofErr w:type="gramEnd"/>
      <w:r w:rsidR="00BF5755" w:rsidRPr="00433F80">
        <w:rPr>
          <w:color w:val="auto"/>
          <w:sz w:val="21"/>
          <w:szCs w:val="21"/>
        </w:rPr>
        <w:t xml:space="preserve"> and technical assistance).</w:t>
      </w:r>
      <w:r w:rsidR="00EA1EC2" w:rsidRPr="00433F80">
        <w:rPr>
          <w:color w:val="auto"/>
          <w:sz w:val="21"/>
          <w:szCs w:val="21"/>
        </w:rPr>
        <w:t xml:space="preserve"> </w:t>
      </w:r>
      <w:r w:rsidR="00EA1EC2" w:rsidRPr="00433F80">
        <w:rPr>
          <w:color w:val="auto"/>
          <w:sz w:val="21"/>
          <w:szCs w:val="21"/>
          <w:lang w:val="en-AU"/>
        </w:rPr>
        <w:t>The Partnership structure is scalable</w:t>
      </w:r>
      <w:r w:rsidR="00BF5755" w:rsidRPr="00433F80">
        <w:rPr>
          <w:color w:val="auto"/>
          <w:sz w:val="21"/>
          <w:szCs w:val="21"/>
        </w:rPr>
        <w:t xml:space="preserve"> </w:t>
      </w:r>
      <w:r w:rsidR="00EA1EC2" w:rsidRPr="00433F80">
        <w:rPr>
          <w:color w:val="auto"/>
          <w:sz w:val="21"/>
          <w:szCs w:val="21"/>
        </w:rPr>
        <w:t>and f</w:t>
      </w:r>
      <w:r w:rsidR="00BF5755" w:rsidRPr="00433F80">
        <w:rPr>
          <w:color w:val="auto"/>
          <w:sz w:val="21"/>
          <w:szCs w:val="21"/>
        </w:rPr>
        <w:t>urther funds up to an overall total of AUD</w:t>
      </w:r>
      <w:r w:rsidR="00B669F5" w:rsidRPr="00433F80">
        <w:rPr>
          <w:color w:val="auto"/>
          <w:sz w:val="21"/>
          <w:szCs w:val="21"/>
        </w:rPr>
        <w:t>90</w:t>
      </w:r>
      <w:r w:rsidR="00BF5755" w:rsidRPr="00433F80">
        <w:rPr>
          <w:color w:val="auto"/>
          <w:sz w:val="21"/>
          <w:szCs w:val="21"/>
        </w:rPr>
        <w:t xml:space="preserve"> million may be allocated in future based on availability</w:t>
      </w:r>
      <w:r w:rsidR="00B669F5" w:rsidRPr="00433F80">
        <w:rPr>
          <w:color w:val="auto"/>
          <w:sz w:val="21"/>
          <w:szCs w:val="21"/>
        </w:rPr>
        <w:t>, opportunity and</w:t>
      </w:r>
      <w:r w:rsidR="00BF5755" w:rsidRPr="00433F80">
        <w:rPr>
          <w:color w:val="auto"/>
          <w:sz w:val="21"/>
          <w:szCs w:val="21"/>
        </w:rPr>
        <w:t xml:space="preserve"> performance, subject to appropriate DFAT approvals. </w:t>
      </w:r>
      <w:r w:rsidR="00EA1EC2" w:rsidRPr="00433F80">
        <w:rPr>
          <w:color w:val="auto"/>
          <w:sz w:val="21"/>
          <w:szCs w:val="21"/>
          <w:lang w:val="en-AU"/>
        </w:rPr>
        <w:t xml:space="preserve">DFAT retains added flexibility </w:t>
      </w:r>
      <w:r w:rsidR="00EA1EC2" w:rsidRPr="00433F80">
        <w:rPr>
          <w:color w:val="auto"/>
          <w:sz w:val="21"/>
          <w:szCs w:val="21"/>
        </w:rPr>
        <w:t xml:space="preserve">through the </w:t>
      </w:r>
      <w:proofErr w:type="gramStart"/>
      <w:r w:rsidR="009A3C18" w:rsidRPr="00433F80">
        <w:rPr>
          <w:color w:val="auto"/>
          <w:sz w:val="21"/>
          <w:szCs w:val="21"/>
          <w:lang w:val="en-AU"/>
        </w:rPr>
        <w:t>bank-executed</w:t>
      </w:r>
      <w:proofErr w:type="gramEnd"/>
      <w:r w:rsidR="00721E70" w:rsidRPr="00433F80">
        <w:rPr>
          <w:color w:val="auto"/>
          <w:sz w:val="21"/>
          <w:szCs w:val="21"/>
          <w:lang w:val="en-AU"/>
        </w:rPr>
        <w:t xml:space="preserve"> </w:t>
      </w:r>
      <w:r w:rsidR="009A3C18" w:rsidRPr="00433F80">
        <w:rPr>
          <w:color w:val="auto"/>
          <w:sz w:val="21"/>
          <w:szCs w:val="21"/>
          <w:lang w:val="en-AU"/>
        </w:rPr>
        <w:t xml:space="preserve">PASA </w:t>
      </w:r>
      <w:r w:rsidR="00C41ADE" w:rsidRPr="00433F80">
        <w:rPr>
          <w:color w:val="auto"/>
          <w:sz w:val="21"/>
          <w:szCs w:val="21"/>
          <w:lang w:val="en-AU"/>
        </w:rPr>
        <w:t>component</w:t>
      </w:r>
      <w:r w:rsidR="002C270D" w:rsidRPr="00433F80">
        <w:rPr>
          <w:color w:val="auto"/>
          <w:sz w:val="21"/>
          <w:szCs w:val="21"/>
          <w:lang w:val="en-AU"/>
        </w:rPr>
        <w:t xml:space="preserve">. We will be able to bring forward or push back this funding </w:t>
      </w:r>
      <w:r w:rsidR="00C41ADE" w:rsidRPr="00433F80">
        <w:rPr>
          <w:color w:val="auto"/>
          <w:sz w:val="21"/>
          <w:szCs w:val="21"/>
          <w:lang w:val="en-AU"/>
        </w:rPr>
        <w:t>depending on circumstances</w:t>
      </w:r>
      <w:r w:rsidR="002C270D" w:rsidRPr="00433F80">
        <w:rPr>
          <w:color w:val="auto"/>
          <w:sz w:val="21"/>
          <w:szCs w:val="21"/>
          <w:lang w:val="en-AU"/>
        </w:rPr>
        <w:t>, such as the number of compelling funding proposals available or DFAT budget dynamics.</w:t>
      </w:r>
      <w:r w:rsidR="00C41ADE" w:rsidRPr="00433F80">
        <w:rPr>
          <w:color w:val="auto"/>
          <w:sz w:val="21"/>
          <w:szCs w:val="21"/>
          <w:lang w:val="en-AU"/>
        </w:rPr>
        <w:t xml:space="preserve"> </w:t>
      </w:r>
      <w:r w:rsidR="00A64CCF" w:rsidRPr="00433F80">
        <w:rPr>
          <w:color w:val="auto"/>
          <w:sz w:val="21"/>
          <w:szCs w:val="21"/>
          <w:lang w:val="en-AU"/>
        </w:rPr>
        <w:t xml:space="preserve">A Partnership Trust Fund budget that includes a break-down of World Bank fees and management costs is </w:t>
      </w:r>
      <w:r w:rsidR="005E73AD" w:rsidRPr="00433F80">
        <w:rPr>
          <w:color w:val="auto"/>
          <w:sz w:val="21"/>
          <w:szCs w:val="21"/>
          <w:lang w:val="en-AU"/>
        </w:rPr>
        <w:t xml:space="preserve">Annex </w:t>
      </w:r>
      <w:r w:rsidR="00C955A6" w:rsidRPr="00433F80">
        <w:rPr>
          <w:color w:val="auto"/>
          <w:sz w:val="21"/>
          <w:szCs w:val="21"/>
          <w:lang w:val="en-AU"/>
        </w:rPr>
        <w:t>7</w:t>
      </w:r>
      <w:r w:rsidR="00A64CCF" w:rsidRPr="00433F80">
        <w:rPr>
          <w:color w:val="auto"/>
          <w:sz w:val="21"/>
          <w:szCs w:val="21"/>
          <w:lang w:val="en-AU"/>
        </w:rPr>
        <w:t>.</w:t>
      </w:r>
      <w:r w:rsidR="006D6DDB" w:rsidRPr="00433F80">
        <w:rPr>
          <w:color w:val="auto"/>
          <w:sz w:val="21"/>
          <w:szCs w:val="21"/>
          <w:lang w:val="en-AU"/>
        </w:rPr>
        <w:t xml:space="preserve"> </w:t>
      </w:r>
    </w:p>
    <w:p w14:paraId="2DC96F22" w14:textId="305549B8" w:rsidR="00523485" w:rsidRPr="00433F80" w:rsidRDefault="00335F17" w:rsidP="005E6171">
      <w:pPr>
        <w:tabs>
          <w:tab w:val="left" w:pos="284"/>
        </w:tabs>
        <w:suppressAutoHyphens w:val="0"/>
        <w:spacing w:before="0" w:line="360" w:lineRule="auto"/>
        <w:rPr>
          <w:color w:val="auto"/>
          <w:sz w:val="21"/>
          <w:szCs w:val="21"/>
          <w:lang w:val="en-AU"/>
        </w:rPr>
      </w:pPr>
      <w:r w:rsidRPr="00433F80">
        <w:rPr>
          <w:color w:val="auto"/>
          <w:sz w:val="21"/>
          <w:szCs w:val="21"/>
        </w:rPr>
        <w:lastRenderedPageBreak/>
        <w:t>The detailed</w:t>
      </w:r>
      <w:r w:rsidR="00523485" w:rsidRPr="00433F80">
        <w:rPr>
          <w:color w:val="auto"/>
          <w:sz w:val="21"/>
          <w:szCs w:val="21"/>
          <w:lang w:val="en-AU"/>
        </w:rPr>
        <w:t xml:space="preserve"> budget for</w:t>
      </w:r>
      <w:r w:rsidRPr="00433F80">
        <w:rPr>
          <w:color w:val="auto"/>
          <w:sz w:val="21"/>
          <w:szCs w:val="21"/>
          <w:lang w:val="en-AU"/>
        </w:rPr>
        <w:t xml:space="preserve"> the</w:t>
      </w:r>
      <w:r w:rsidR="00523485" w:rsidRPr="00433F80">
        <w:rPr>
          <w:color w:val="auto"/>
          <w:sz w:val="21"/>
          <w:szCs w:val="21"/>
          <w:lang w:val="en-AU"/>
        </w:rPr>
        <w:t xml:space="preserve"> </w:t>
      </w:r>
      <w:r w:rsidR="00C07FCA" w:rsidRPr="00433F80">
        <w:rPr>
          <w:color w:val="auto"/>
          <w:sz w:val="21"/>
          <w:szCs w:val="21"/>
          <w:lang w:val="en-AU"/>
        </w:rPr>
        <w:t>ISAF II</w:t>
      </w:r>
      <w:r w:rsidRPr="00433F80">
        <w:rPr>
          <w:color w:val="auto"/>
          <w:sz w:val="21"/>
          <w:szCs w:val="21"/>
          <w:lang w:val="en-AU"/>
        </w:rPr>
        <w:t xml:space="preserve">-related grants to be made through the Partnership Trust Fund will be formulated by a World Bank identification mission that can be initiated as soon as the Administrative Agreement </w:t>
      </w:r>
      <w:r w:rsidR="00C374B2" w:rsidRPr="00433F80">
        <w:rPr>
          <w:color w:val="auto"/>
          <w:sz w:val="21"/>
          <w:szCs w:val="21"/>
          <w:lang w:val="en-AU"/>
        </w:rPr>
        <w:t xml:space="preserve">for this Partnership </w:t>
      </w:r>
      <w:r w:rsidRPr="00433F80">
        <w:rPr>
          <w:color w:val="auto"/>
          <w:sz w:val="21"/>
          <w:szCs w:val="21"/>
          <w:lang w:val="en-AU"/>
        </w:rPr>
        <w:t xml:space="preserve">is signed. </w:t>
      </w:r>
      <w:r w:rsidR="0011346D" w:rsidRPr="00433F80">
        <w:rPr>
          <w:color w:val="auto"/>
          <w:sz w:val="21"/>
          <w:szCs w:val="21"/>
          <w:lang w:val="en-AU"/>
        </w:rPr>
        <w:t>Likewise, the</w:t>
      </w:r>
      <w:r w:rsidR="00B86EF5" w:rsidRPr="00433F80">
        <w:rPr>
          <w:color w:val="auto"/>
          <w:sz w:val="21"/>
          <w:szCs w:val="21"/>
          <w:lang w:val="en-AU"/>
        </w:rPr>
        <w:t xml:space="preserve"> H-EQIP </w:t>
      </w:r>
      <w:proofErr w:type="gramStart"/>
      <w:r w:rsidR="00B86EF5" w:rsidRPr="00433F80">
        <w:rPr>
          <w:color w:val="auto"/>
          <w:sz w:val="21"/>
          <w:szCs w:val="21"/>
          <w:lang w:val="en-AU"/>
        </w:rPr>
        <w:t xml:space="preserve">2 </w:t>
      </w:r>
      <w:r w:rsidR="0011346D" w:rsidRPr="00433F80">
        <w:rPr>
          <w:color w:val="auto"/>
          <w:sz w:val="21"/>
          <w:szCs w:val="21"/>
          <w:lang w:val="en-AU"/>
        </w:rPr>
        <w:t xml:space="preserve"> budget</w:t>
      </w:r>
      <w:proofErr w:type="gramEnd"/>
      <w:r w:rsidR="0011346D" w:rsidRPr="00433F80">
        <w:rPr>
          <w:color w:val="auto"/>
          <w:sz w:val="21"/>
          <w:szCs w:val="21"/>
          <w:lang w:val="en-AU"/>
        </w:rPr>
        <w:t xml:space="preserve"> will be developed once the H-EQIP II design has been progressed. </w:t>
      </w:r>
      <w:r w:rsidR="00B86EF5" w:rsidRPr="00433F80">
        <w:rPr>
          <w:color w:val="auto"/>
          <w:sz w:val="21"/>
          <w:szCs w:val="21"/>
          <w:lang w:val="en-AU"/>
        </w:rPr>
        <w:t xml:space="preserve"> </w:t>
      </w:r>
      <w:r w:rsidRPr="00433F80">
        <w:rPr>
          <w:color w:val="auto"/>
          <w:sz w:val="21"/>
          <w:szCs w:val="21"/>
          <w:lang w:val="en-AU"/>
        </w:rPr>
        <w:t xml:space="preserve">DFAT will review </w:t>
      </w:r>
      <w:r w:rsidR="00D87C55" w:rsidRPr="00433F80">
        <w:rPr>
          <w:color w:val="auto"/>
          <w:sz w:val="21"/>
          <w:szCs w:val="21"/>
          <w:lang w:val="en-AU"/>
        </w:rPr>
        <w:t xml:space="preserve">all </w:t>
      </w:r>
      <w:r w:rsidR="000E5449" w:rsidRPr="00433F80">
        <w:rPr>
          <w:color w:val="auto"/>
          <w:sz w:val="21"/>
          <w:szCs w:val="21"/>
          <w:lang w:val="en-AU"/>
        </w:rPr>
        <w:t xml:space="preserve">annual workplans and </w:t>
      </w:r>
      <w:r w:rsidRPr="00433F80">
        <w:rPr>
          <w:color w:val="auto"/>
          <w:sz w:val="21"/>
          <w:szCs w:val="21"/>
          <w:lang w:val="en-AU"/>
        </w:rPr>
        <w:t>budgets</w:t>
      </w:r>
      <w:r w:rsidR="00D87C55" w:rsidRPr="00433F80">
        <w:rPr>
          <w:color w:val="auto"/>
          <w:sz w:val="21"/>
          <w:szCs w:val="21"/>
          <w:lang w:val="en-AU"/>
        </w:rPr>
        <w:t xml:space="preserve"> funded through the Partnership </w:t>
      </w:r>
      <w:r w:rsidRPr="00433F80">
        <w:rPr>
          <w:color w:val="auto"/>
          <w:sz w:val="21"/>
          <w:szCs w:val="21"/>
          <w:lang w:val="en-AU"/>
        </w:rPr>
        <w:t xml:space="preserve">prior to approval. </w:t>
      </w:r>
    </w:p>
    <w:p w14:paraId="68C318D6" w14:textId="054D2AC7" w:rsidR="00717254" w:rsidRPr="00433F80" w:rsidRDefault="00717254" w:rsidP="005E6171">
      <w:pPr>
        <w:tabs>
          <w:tab w:val="left" w:pos="284"/>
        </w:tabs>
        <w:suppressAutoHyphens w:val="0"/>
        <w:spacing w:before="0" w:line="360" w:lineRule="auto"/>
        <w:rPr>
          <w:color w:val="auto"/>
          <w:sz w:val="21"/>
          <w:szCs w:val="21"/>
          <w:lang w:val="en-AU"/>
        </w:rPr>
      </w:pPr>
      <w:r w:rsidRPr="00433F80">
        <w:rPr>
          <w:color w:val="auto"/>
          <w:sz w:val="21"/>
          <w:szCs w:val="21"/>
          <w:lang w:val="en-AU"/>
        </w:rPr>
        <w:t>The Partnership will be managed by the Human Development Team at Post</w:t>
      </w:r>
      <w:r w:rsidR="0038695D" w:rsidRPr="00433F80">
        <w:rPr>
          <w:color w:val="auto"/>
          <w:sz w:val="21"/>
          <w:szCs w:val="21"/>
          <w:lang w:val="en-AU"/>
        </w:rPr>
        <w:t>.</w:t>
      </w:r>
      <w:r w:rsidRPr="00433F80">
        <w:rPr>
          <w:color w:val="auto"/>
          <w:sz w:val="21"/>
          <w:szCs w:val="21"/>
          <w:lang w:val="en-AU"/>
        </w:rPr>
        <w:t xml:space="preserve"> </w:t>
      </w:r>
      <w:r w:rsidR="000E5449" w:rsidRPr="00433F80">
        <w:rPr>
          <w:color w:val="auto"/>
          <w:sz w:val="21"/>
          <w:szCs w:val="21"/>
          <w:lang w:val="en-AU"/>
        </w:rPr>
        <w:t>It will require a significant degree of oversight by the First Secretary (Human Development)</w:t>
      </w:r>
      <w:r w:rsidR="006D6DDB" w:rsidRPr="00433F80">
        <w:rPr>
          <w:color w:val="auto"/>
          <w:sz w:val="21"/>
          <w:szCs w:val="21"/>
          <w:lang w:val="en-AU"/>
        </w:rPr>
        <w:t xml:space="preserve"> commensurate with the fact it represents nearly one quarter of the bilateral budget. Other officers at Post will need to engage on topics which affect their areas of responsibility (e.g., economic governance). </w:t>
      </w:r>
      <w:r w:rsidRPr="00433F80">
        <w:rPr>
          <w:color w:val="auto"/>
          <w:sz w:val="21"/>
          <w:szCs w:val="21"/>
          <w:lang w:val="en-AU"/>
        </w:rPr>
        <w:t xml:space="preserve">We estimate the total LES input to be equivalent to two FTE. </w:t>
      </w:r>
      <w:r w:rsidR="009E3B8B" w:rsidRPr="00433F80">
        <w:rPr>
          <w:color w:val="auto"/>
          <w:sz w:val="21"/>
          <w:szCs w:val="21"/>
          <w:lang w:val="en-AU"/>
        </w:rPr>
        <w:t>There may also be some engagement of specialist advisers</w:t>
      </w:r>
      <w:r w:rsidR="00C94FE7" w:rsidRPr="00433F80">
        <w:rPr>
          <w:color w:val="auto"/>
          <w:sz w:val="21"/>
          <w:szCs w:val="21"/>
          <w:lang w:val="en-AU"/>
        </w:rPr>
        <w:t xml:space="preserve"> during implementation</w:t>
      </w:r>
      <w:r w:rsidR="009E3B8B" w:rsidRPr="00433F80">
        <w:rPr>
          <w:color w:val="auto"/>
          <w:sz w:val="21"/>
          <w:szCs w:val="21"/>
          <w:lang w:val="en-AU"/>
        </w:rPr>
        <w:t>.</w:t>
      </w:r>
      <w:r w:rsidR="0061714B" w:rsidRPr="00433F80">
        <w:rPr>
          <w:color w:val="auto"/>
        </w:rPr>
        <w:t xml:space="preserve"> </w:t>
      </w:r>
      <w:r w:rsidR="0061714B" w:rsidRPr="00433F80">
        <w:rPr>
          <w:color w:val="auto"/>
          <w:sz w:val="21"/>
          <w:szCs w:val="21"/>
          <w:lang w:val="en-AU"/>
        </w:rPr>
        <w:t xml:space="preserve">Post will ensure the </w:t>
      </w:r>
      <w:r w:rsidR="00931C61" w:rsidRPr="00433F80">
        <w:rPr>
          <w:color w:val="auto"/>
          <w:sz w:val="21"/>
          <w:szCs w:val="21"/>
          <w:lang w:val="en-AU"/>
        </w:rPr>
        <w:t>P</w:t>
      </w:r>
      <w:r w:rsidR="0061714B" w:rsidRPr="00433F80">
        <w:rPr>
          <w:color w:val="auto"/>
          <w:sz w:val="21"/>
          <w:szCs w:val="21"/>
          <w:lang w:val="en-AU"/>
        </w:rPr>
        <w:t>artnership is considered in all internal succession planning.</w:t>
      </w:r>
    </w:p>
    <w:p w14:paraId="44842CCC" w14:textId="77777777" w:rsidR="002D4DE7" w:rsidRPr="00433F80" w:rsidRDefault="002D4DE7" w:rsidP="005E6171">
      <w:pPr>
        <w:numPr>
          <w:ilvl w:val="0"/>
          <w:numId w:val="11"/>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line="360" w:lineRule="auto"/>
        <w:ind w:left="284" w:hanging="284"/>
        <w:rPr>
          <w:rFonts w:asciiTheme="majorHAnsi" w:hAnsiTheme="majorHAnsi"/>
          <w:b/>
          <w:color w:val="auto"/>
          <w:szCs w:val="21"/>
          <w:lang w:val="en-AU"/>
        </w:rPr>
      </w:pPr>
      <w:r w:rsidRPr="00433F80">
        <w:rPr>
          <w:rFonts w:asciiTheme="majorHAnsi" w:hAnsiTheme="majorHAnsi"/>
          <w:b/>
          <w:color w:val="auto"/>
          <w:szCs w:val="21"/>
          <w:lang w:val="en-AU"/>
        </w:rPr>
        <w:t>Risk Management and Safeguards (What might go wrong?)</w:t>
      </w:r>
    </w:p>
    <w:p w14:paraId="75EFB4A5" w14:textId="7B9A4158" w:rsidR="00B1552C" w:rsidRPr="00433F80" w:rsidRDefault="00B1552C" w:rsidP="005E6171">
      <w:pPr>
        <w:tabs>
          <w:tab w:val="left" w:pos="284"/>
        </w:tabs>
        <w:suppressAutoHyphens w:val="0"/>
        <w:spacing w:before="0" w:line="360" w:lineRule="auto"/>
        <w:rPr>
          <w:color w:val="auto"/>
          <w:sz w:val="21"/>
          <w:szCs w:val="21"/>
          <w:lang w:val="en-AU"/>
        </w:rPr>
      </w:pPr>
      <w:r w:rsidRPr="00433F80">
        <w:rPr>
          <w:color w:val="auto"/>
          <w:sz w:val="21"/>
          <w:szCs w:val="21"/>
          <w:lang w:val="en-AU"/>
        </w:rPr>
        <w:t xml:space="preserve">The World Bank will apply </w:t>
      </w:r>
      <w:r w:rsidR="00EA1EC2" w:rsidRPr="00433F80">
        <w:rPr>
          <w:color w:val="auto"/>
          <w:sz w:val="21"/>
          <w:szCs w:val="21"/>
          <w:lang w:val="en-AU"/>
        </w:rPr>
        <w:t xml:space="preserve">its </w:t>
      </w:r>
      <w:r w:rsidRPr="00433F80">
        <w:rPr>
          <w:color w:val="auto"/>
          <w:sz w:val="21"/>
          <w:szCs w:val="21"/>
          <w:lang w:val="en-AU"/>
        </w:rPr>
        <w:t xml:space="preserve">risk management and safeguarding systems across </w:t>
      </w:r>
      <w:r w:rsidR="00EA1EC2" w:rsidRPr="00433F80">
        <w:rPr>
          <w:color w:val="auto"/>
          <w:sz w:val="21"/>
          <w:szCs w:val="21"/>
          <w:lang w:val="en-AU"/>
        </w:rPr>
        <w:t xml:space="preserve">the </w:t>
      </w:r>
      <w:r w:rsidRPr="00433F80">
        <w:rPr>
          <w:color w:val="auto"/>
          <w:sz w:val="21"/>
          <w:szCs w:val="21"/>
          <w:lang w:val="en-AU"/>
        </w:rPr>
        <w:t xml:space="preserve">Partnership. We will </w:t>
      </w:r>
      <w:r w:rsidR="00F15319" w:rsidRPr="00433F80">
        <w:rPr>
          <w:color w:val="auto"/>
          <w:sz w:val="21"/>
          <w:szCs w:val="21"/>
          <w:lang w:val="en-AU"/>
        </w:rPr>
        <w:t xml:space="preserve">also </w:t>
      </w:r>
      <w:r w:rsidRPr="00433F80">
        <w:rPr>
          <w:color w:val="auto"/>
          <w:sz w:val="21"/>
          <w:szCs w:val="21"/>
          <w:lang w:val="en-AU"/>
        </w:rPr>
        <w:t xml:space="preserve">use our position on the various levels of governance mechanisms and our engagement with RGC </w:t>
      </w:r>
      <w:r w:rsidR="00EA1EC2" w:rsidRPr="00433F80">
        <w:rPr>
          <w:color w:val="auto"/>
          <w:sz w:val="21"/>
          <w:szCs w:val="21"/>
          <w:lang w:val="en-AU"/>
        </w:rPr>
        <w:t xml:space="preserve">counterparts </w:t>
      </w:r>
      <w:r w:rsidRPr="00433F80">
        <w:rPr>
          <w:color w:val="auto"/>
          <w:sz w:val="21"/>
          <w:szCs w:val="21"/>
          <w:lang w:val="en-AU"/>
        </w:rPr>
        <w:t>to identify and prompt a response to emerging risks.</w:t>
      </w:r>
      <w:r w:rsidR="006D6DDB" w:rsidRPr="00433F80">
        <w:rPr>
          <w:color w:val="auto"/>
          <w:sz w:val="21"/>
          <w:szCs w:val="21"/>
          <w:lang w:val="en-AU"/>
        </w:rPr>
        <w:t xml:space="preserve"> Very serious issues can be discussed at the Headquarters level </w:t>
      </w:r>
      <w:r w:rsidR="00CF54A3" w:rsidRPr="00433F80">
        <w:rPr>
          <w:color w:val="auto"/>
          <w:sz w:val="21"/>
          <w:szCs w:val="21"/>
          <w:lang w:val="en-AU"/>
        </w:rPr>
        <w:t xml:space="preserve">through senior officials talks or via DFAT’s adviser in the Executive Director’s office in Washington. </w:t>
      </w:r>
    </w:p>
    <w:p w14:paraId="7FDF47CD" w14:textId="67C9B438" w:rsidR="00B1552C" w:rsidRPr="00433F80" w:rsidRDefault="00B1552C" w:rsidP="005E6171">
      <w:pPr>
        <w:tabs>
          <w:tab w:val="left" w:pos="284"/>
        </w:tabs>
        <w:suppressAutoHyphens w:val="0"/>
        <w:spacing w:before="0" w:line="360" w:lineRule="auto"/>
        <w:rPr>
          <w:color w:val="auto"/>
          <w:sz w:val="21"/>
          <w:szCs w:val="21"/>
          <w:lang w:val="en-AU"/>
        </w:rPr>
      </w:pPr>
      <w:r w:rsidRPr="00433F80">
        <w:rPr>
          <w:color w:val="auto"/>
          <w:sz w:val="21"/>
          <w:szCs w:val="21"/>
          <w:lang w:val="en-AU"/>
        </w:rPr>
        <w:t xml:space="preserve">The </w:t>
      </w:r>
      <w:r w:rsidR="00194471" w:rsidRPr="00433F80">
        <w:rPr>
          <w:color w:val="auto"/>
          <w:sz w:val="21"/>
          <w:szCs w:val="21"/>
          <w:lang w:val="en-AU"/>
        </w:rPr>
        <w:t xml:space="preserve">World </w:t>
      </w:r>
      <w:r w:rsidRPr="00433F80">
        <w:rPr>
          <w:color w:val="auto"/>
          <w:sz w:val="21"/>
          <w:szCs w:val="21"/>
          <w:lang w:val="en-AU"/>
        </w:rPr>
        <w:t xml:space="preserve">Bank </w:t>
      </w:r>
      <w:r w:rsidR="00CF54A3" w:rsidRPr="00433F80">
        <w:rPr>
          <w:color w:val="auto"/>
          <w:sz w:val="21"/>
          <w:szCs w:val="21"/>
          <w:lang w:val="en-AU"/>
        </w:rPr>
        <w:t xml:space="preserve">has </w:t>
      </w:r>
      <w:r w:rsidRPr="00433F80">
        <w:rPr>
          <w:color w:val="auto"/>
          <w:sz w:val="21"/>
          <w:szCs w:val="21"/>
          <w:lang w:val="en-AU"/>
        </w:rPr>
        <w:t xml:space="preserve">rated the Partnership Trust Fund itself to be low risk, noting that risks primarily stem from activities funded at the project level. As discussed in the </w:t>
      </w:r>
      <w:r w:rsidRPr="00433F80">
        <w:rPr>
          <w:b/>
          <w:color w:val="auto"/>
          <w:sz w:val="21"/>
          <w:szCs w:val="21"/>
          <w:lang w:val="en-AU"/>
        </w:rPr>
        <w:t xml:space="preserve">DFAT </w:t>
      </w:r>
      <w:hyperlink r:id="rId12" w:history="1">
        <w:r w:rsidRPr="00433F80">
          <w:rPr>
            <w:b/>
            <w:color w:val="auto"/>
            <w:sz w:val="21"/>
            <w:szCs w:val="21"/>
            <w:lang w:val="en-AU"/>
          </w:rPr>
          <w:t>Risk and Safeguards Tool</w:t>
        </w:r>
      </w:hyperlink>
      <w:r w:rsidRPr="00433F80">
        <w:rPr>
          <w:b/>
          <w:color w:val="auto"/>
          <w:sz w:val="21"/>
          <w:szCs w:val="21"/>
          <w:lang w:val="en-AU"/>
        </w:rPr>
        <w:t xml:space="preserve"> (</w:t>
      </w:r>
      <w:r w:rsidR="005E73AD" w:rsidRPr="00433F80">
        <w:rPr>
          <w:b/>
          <w:color w:val="auto"/>
          <w:sz w:val="21"/>
          <w:szCs w:val="21"/>
          <w:lang w:val="en-AU"/>
        </w:rPr>
        <w:t xml:space="preserve">Annex </w:t>
      </w:r>
      <w:r w:rsidR="00C955A6" w:rsidRPr="00433F80">
        <w:rPr>
          <w:b/>
          <w:color w:val="auto"/>
          <w:sz w:val="21"/>
          <w:szCs w:val="21"/>
          <w:lang w:val="en-AU"/>
        </w:rPr>
        <w:t>8</w:t>
      </w:r>
      <w:r w:rsidRPr="00433F80">
        <w:rPr>
          <w:b/>
          <w:color w:val="auto"/>
          <w:sz w:val="21"/>
          <w:szCs w:val="21"/>
          <w:lang w:val="en-AU"/>
        </w:rPr>
        <w:t>)</w:t>
      </w:r>
      <w:r w:rsidRPr="00433F80">
        <w:rPr>
          <w:color w:val="auto"/>
          <w:sz w:val="21"/>
          <w:szCs w:val="21"/>
          <w:lang w:val="en-AU"/>
        </w:rPr>
        <w:t xml:space="preserve">, both major projects to be funded under this Partnership are </w:t>
      </w:r>
      <w:r w:rsidR="00CF54A3" w:rsidRPr="00433F80">
        <w:rPr>
          <w:color w:val="auto"/>
          <w:sz w:val="21"/>
          <w:szCs w:val="21"/>
          <w:lang w:val="en-AU"/>
        </w:rPr>
        <w:t>second phases</w:t>
      </w:r>
      <w:r w:rsidRPr="00433F80">
        <w:rPr>
          <w:color w:val="auto"/>
          <w:sz w:val="21"/>
          <w:szCs w:val="21"/>
          <w:lang w:val="en-AU"/>
        </w:rPr>
        <w:t xml:space="preserve"> building on successful models and have demonstrated risk management systems in place. </w:t>
      </w:r>
      <w:r w:rsidR="002B45E7" w:rsidRPr="00433F80">
        <w:rPr>
          <w:color w:val="auto"/>
          <w:sz w:val="21"/>
          <w:szCs w:val="21"/>
          <w:lang w:val="en-AU"/>
        </w:rPr>
        <w:t xml:space="preserve">An </w:t>
      </w:r>
      <w:r w:rsidR="002B45E7" w:rsidRPr="00433F80">
        <w:rPr>
          <w:b/>
          <w:color w:val="auto"/>
          <w:sz w:val="21"/>
          <w:szCs w:val="21"/>
          <w:lang w:val="en-AU"/>
        </w:rPr>
        <w:t xml:space="preserve">Environmental Risk and Safeguard Screening </w:t>
      </w:r>
      <w:r w:rsidR="002B45E7" w:rsidRPr="00433F80">
        <w:rPr>
          <w:color w:val="auto"/>
          <w:sz w:val="21"/>
          <w:szCs w:val="21"/>
          <w:lang w:val="en-AU"/>
        </w:rPr>
        <w:t xml:space="preserve">for H-EQIP 2 is scheduled for late 2020-21 and one has already been completed for </w:t>
      </w:r>
      <w:r w:rsidR="00C07FCA" w:rsidRPr="00433F80">
        <w:rPr>
          <w:color w:val="auto"/>
          <w:sz w:val="21"/>
          <w:szCs w:val="21"/>
          <w:lang w:val="en-AU"/>
        </w:rPr>
        <w:t>ISAF II</w:t>
      </w:r>
      <w:r w:rsidR="002B45E7" w:rsidRPr="00433F80">
        <w:rPr>
          <w:color w:val="auto"/>
          <w:sz w:val="21"/>
          <w:szCs w:val="21"/>
          <w:lang w:val="en-AU"/>
        </w:rPr>
        <w:t xml:space="preserve">. Independent consultants are engaged </w:t>
      </w:r>
      <w:r w:rsidR="00D87C55" w:rsidRPr="00433F80">
        <w:rPr>
          <w:color w:val="auto"/>
          <w:sz w:val="21"/>
          <w:szCs w:val="21"/>
          <w:lang w:val="en-AU"/>
        </w:rPr>
        <w:t xml:space="preserve">by the World Bank </w:t>
      </w:r>
      <w:r w:rsidR="002B45E7" w:rsidRPr="00433F80">
        <w:rPr>
          <w:color w:val="auto"/>
          <w:sz w:val="21"/>
          <w:szCs w:val="21"/>
          <w:lang w:val="en-AU"/>
        </w:rPr>
        <w:t xml:space="preserve">to provide </w:t>
      </w:r>
      <w:r w:rsidR="00CF54A3" w:rsidRPr="00433F80">
        <w:rPr>
          <w:color w:val="auto"/>
          <w:sz w:val="21"/>
          <w:szCs w:val="21"/>
          <w:lang w:val="en-AU"/>
        </w:rPr>
        <w:t>additional oversight</w:t>
      </w:r>
      <w:r w:rsidR="002B45E7" w:rsidRPr="00433F80">
        <w:rPr>
          <w:color w:val="auto"/>
          <w:sz w:val="21"/>
          <w:szCs w:val="21"/>
          <w:lang w:val="en-AU"/>
        </w:rPr>
        <w:t xml:space="preserve"> </w:t>
      </w:r>
      <w:r w:rsidR="00CF54A3" w:rsidRPr="00433F80">
        <w:rPr>
          <w:color w:val="auto"/>
          <w:sz w:val="21"/>
          <w:szCs w:val="21"/>
          <w:lang w:val="en-AU"/>
        </w:rPr>
        <w:t xml:space="preserve">and </w:t>
      </w:r>
      <w:r w:rsidR="002B45E7" w:rsidRPr="00433F80">
        <w:rPr>
          <w:color w:val="auto"/>
          <w:sz w:val="21"/>
          <w:szCs w:val="21"/>
          <w:lang w:val="en-AU"/>
        </w:rPr>
        <w:t>monitoring during project implementation.</w:t>
      </w:r>
    </w:p>
    <w:p w14:paraId="108B13CD" w14:textId="11EF0D5A" w:rsidR="00CF4CC4" w:rsidRPr="00433F80" w:rsidRDefault="00CF4CC4" w:rsidP="005E6171">
      <w:pPr>
        <w:tabs>
          <w:tab w:val="left" w:pos="284"/>
        </w:tabs>
        <w:suppressAutoHyphens w:val="0"/>
        <w:spacing w:before="0" w:line="360" w:lineRule="auto"/>
        <w:rPr>
          <w:color w:val="auto"/>
          <w:sz w:val="21"/>
          <w:szCs w:val="21"/>
          <w:lang w:val="en-AU"/>
        </w:rPr>
      </w:pPr>
      <w:r w:rsidRPr="00433F80">
        <w:rPr>
          <w:b/>
          <w:color w:val="auto"/>
          <w:sz w:val="21"/>
          <w:szCs w:val="21"/>
          <w:lang w:val="en-AU"/>
        </w:rPr>
        <w:t>Fraud and fiduciary risks</w:t>
      </w:r>
      <w:r w:rsidRPr="00433F80">
        <w:rPr>
          <w:color w:val="auto"/>
          <w:sz w:val="21"/>
          <w:szCs w:val="21"/>
          <w:lang w:val="en-AU"/>
        </w:rPr>
        <w:t xml:space="preserve"> remain high in Cambodia. </w:t>
      </w:r>
      <w:r w:rsidR="00CF54A3" w:rsidRPr="00433F80">
        <w:rPr>
          <w:color w:val="auto"/>
          <w:sz w:val="21"/>
          <w:szCs w:val="21"/>
          <w:lang w:val="en-AU"/>
        </w:rPr>
        <w:t>T</w:t>
      </w:r>
      <w:r w:rsidRPr="00433F80">
        <w:rPr>
          <w:color w:val="auto"/>
          <w:sz w:val="21"/>
          <w:szCs w:val="21"/>
          <w:lang w:val="en-AU"/>
        </w:rPr>
        <w:t>he World Bank</w:t>
      </w:r>
      <w:r w:rsidR="00CF54A3" w:rsidRPr="00433F80">
        <w:rPr>
          <w:color w:val="auto"/>
          <w:sz w:val="21"/>
          <w:szCs w:val="21"/>
          <w:lang w:val="en-AU"/>
        </w:rPr>
        <w:t xml:space="preserve"> </w:t>
      </w:r>
      <w:r w:rsidRPr="00433F80">
        <w:rPr>
          <w:color w:val="auto"/>
          <w:sz w:val="21"/>
          <w:szCs w:val="21"/>
          <w:lang w:val="en-AU"/>
        </w:rPr>
        <w:t xml:space="preserve">has systems for managing fiduciary risk that are well regarded and have been </w:t>
      </w:r>
      <w:r w:rsidR="00B1552C" w:rsidRPr="00433F80">
        <w:rPr>
          <w:color w:val="auto"/>
          <w:sz w:val="21"/>
          <w:szCs w:val="21"/>
          <w:lang w:val="en-AU"/>
        </w:rPr>
        <w:t xml:space="preserve">positively </w:t>
      </w:r>
      <w:r w:rsidRPr="00433F80">
        <w:rPr>
          <w:color w:val="auto"/>
          <w:sz w:val="21"/>
          <w:szCs w:val="21"/>
          <w:lang w:val="en-AU"/>
        </w:rPr>
        <w:t xml:space="preserve">assessed by DFAT </w:t>
      </w:r>
      <w:r w:rsidR="00B1552C" w:rsidRPr="00433F80">
        <w:rPr>
          <w:color w:val="auto"/>
          <w:sz w:val="21"/>
          <w:szCs w:val="21"/>
          <w:lang w:val="en-AU"/>
        </w:rPr>
        <w:t>(</w:t>
      </w:r>
      <w:r w:rsidR="00F15319" w:rsidRPr="00433F80">
        <w:rPr>
          <w:color w:val="auto"/>
          <w:sz w:val="21"/>
          <w:szCs w:val="21"/>
          <w:lang w:val="en-AU"/>
        </w:rPr>
        <w:t xml:space="preserve">fraud-prevention was </w:t>
      </w:r>
      <w:r w:rsidR="00B1552C" w:rsidRPr="00433F80">
        <w:rPr>
          <w:color w:val="auto"/>
          <w:sz w:val="21"/>
          <w:szCs w:val="21"/>
          <w:lang w:val="en-AU"/>
        </w:rPr>
        <w:t xml:space="preserve">rated five out of six in </w:t>
      </w:r>
      <w:r w:rsidR="00E97A62" w:rsidRPr="00433F80">
        <w:rPr>
          <w:color w:val="auto"/>
          <w:sz w:val="21"/>
          <w:szCs w:val="21"/>
          <w:lang w:val="en-AU"/>
        </w:rPr>
        <w:t xml:space="preserve">DFAT’s </w:t>
      </w:r>
      <w:r w:rsidR="00B1552C" w:rsidRPr="00433F80">
        <w:rPr>
          <w:color w:val="auto"/>
          <w:sz w:val="21"/>
          <w:szCs w:val="21"/>
          <w:lang w:val="en-AU"/>
        </w:rPr>
        <w:t>most recent Multilateral Performance Assessment</w:t>
      </w:r>
      <w:r w:rsidR="00E924A6" w:rsidRPr="00433F80">
        <w:rPr>
          <w:color w:val="auto"/>
          <w:sz w:val="21"/>
          <w:szCs w:val="21"/>
          <w:lang w:val="en-AU"/>
        </w:rPr>
        <w:t>, which assesse</w:t>
      </w:r>
      <w:r w:rsidR="00E97A62" w:rsidRPr="00433F80">
        <w:rPr>
          <w:color w:val="auto"/>
          <w:sz w:val="21"/>
          <w:szCs w:val="21"/>
          <w:lang w:val="en-AU"/>
        </w:rPr>
        <w:t>d</w:t>
      </w:r>
      <w:r w:rsidR="00E924A6" w:rsidRPr="00433F80">
        <w:rPr>
          <w:color w:val="auto"/>
          <w:sz w:val="21"/>
          <w:szCs w:val="21"/>
          <w:lang w:val="en-AU"/>
        </w:rPr>
        <w:t xml:space="preserve"> the World Bank’s systems on a global level</w:t>
      </w:r>
      <w:r w:rsidR="00B1552C" w:rsidRPr="00433F80">
        <w:rPr>
          <w:color w:val="auto"/>
          <w:sz w:val="21"/>
          <w:szCs w:val="21"/>
          <w:lang w:val="en-AU"/>
        </w:rPr>
        <w:t>)</w:t>
      </w:r>
      <w:r w:rsidRPr="00433F80">
        <w:rPr>
          <w:color w:val="auto"/>
          <w:sz w:val="21"/>
          <w:szCs w:val="21"/>
          <w:lang w:val="en-AU"/>
        </w:rPr>
        <w:t xml:space="preserve">. </w:t>
      </w:r>
      <w:r w:rsidR="00E97A62" w:rsidRPr="00433F80">
        <w:rPr>
          <w:color w:val="auto"/>
          <w:sz w:val="21"/>
          <w:szCs w:val="21"/>
          <w:lang w:val="en-AU"/>
        </w:rPr>
        <w:t xml:space="preserve">The World Bank’s record in Cambodia has been one of successfully managing </w:t>
      </w:r>
      <w:r w:rsidR="00E97A62" w:rsidRPr="00433F80">
        <w:rPr>
          <w:rFonts w:eastAsia="Times New Roman" w:cs="Arial"/>
          <w:color w:val="auto"/>
          <w:sz w:val="21"/>
          <w:szCs w:val="21"/>
          <w:lang w:val="en-AU" w:eastAsia="en-AU"/>
        </w:rPr>
        <w:t xml:space="preserve">fiduciary risks associated with working with Cambodian Government entities, which is borne out in </w:t>
      </w:r>
      <w:r w:rsidR="00E97A62" w:rsidRPr="00433F80">
        <w:rPr>
          <w:color w:val="auto"/>
          <w:sz w:val="21"/>
          <w:szCs w:val="21"/>
          <w:lang w:val="en-AU"/>
        </w:rPr>
        <w:t xml:space="preserve">Post’s Aid Quality Checks and Partner Performance Assessments for H-EQIP. The H-EQIP model of pooled funds which are only disbursed in return for tangible reform and services delivered helps mitigate fraud risks. Post </w:t>
      </w:r>
      <w:r w:rsidR="009516C7" w:rsidRPr="00433F80">
        <w:rPr>
          <w:color w:val="auto"/>
          <w:sz w:val="21"/>
          <w:szCs w:val="21"/>
          <w:lang w:val="en-AU"/>
        </w:rPr>
        <w:t>can</w:t>
      </w:r>
      <w:r w:rsidR="00BB4BAA" w:rsidRPr="00433F80">
        <w:rPr>
          <w:color w:val="auto"/>
          <w:sz w:val="21"/>
          <w:szCs w:val="21"/>
          <w:lang w:val="en-AU"/>
        </w:rPr>
        <w:t xml:space="preserve"> continue to</w:t>
      </w:r>
      <w:r w:rsidR="00E97A62" w:rsidRPr="00433F80">
        <w:rPr>
          <w:color w:val="auto"/>
          <w:sz w:val="21"/>
          <w:szCs w:val="21"/>
          <w:lang w:val="en-AU"/>
        </w:rPr>
        <w:t xml:space="preserve"> employ a PFM adviser to assist in maintaining confidence in the financial systems underpinning </w:t>
      </w:r>
      <w:r w:rsidR="00BB4BAA" w:rsidRPr="00433F80">
        <w:rPr>
          <w:color w:val="auto"/>
          <w:sz w:val="21"/>
          <w:szCs w:val="21"/>
          <w:lang w:val="en-AU"/>
        </w:rPr>
        <w:t>H-EQIP 2</w:t>
      </w:r>
      <w:r w:rsidR="00E97A62" w:rsidRPr="00433F80">
        <w:rPr>
          <w:color w:val="auto"/>
          <w:sz w:val="21"/>
          <w:szCs w:val="21"/>
          <w:lang w:val="en-AU"/>
        </w:rPr>
        <w:t xml:space="preserve">. </w:t>
      </w:r>
      <w:r w:rsidR="00C07FCA" w:rsidRPr="00433F80">
        <w:rPr>
          <w:color w:val="auto"/>
          <w:sz w:val="21"/>
          <w:szCs w:val="21"/>
          <w:lang w:val="en-AU"/>
        </w:rPr>
        <w:t>ISAF II</w:t>
      </w:r>
      <w:r w:rsidR="00E97A62" w:rsidRPr="00433F80">
        <w:rPr>
          <w:color w:val="auto"/>
          <w:sz w:val="21"/>
          <w:szCs w:val="21"/>
          <w:lang w:val="en-AU"/>
        </w:rPr>
        <w:t xml:space="preserve"> </w:t>
      </w:r>
      <w:r w:rsidR="00B1552C" w:rsidRPr="00433F80">
        <w:rPr>
          <w:color w:val="auto"/>
          <w:sz w:val="21"/>
          <w:szCs w:val="21"/>
          <w:lang w:val="en-AU"/>
        </w:rPr>
        <w:t xml:space="preserve">will include a modest allocation to the RGC for supply-side accountability activities, subject to systematic World Bank oversight. </w:t>
      </w:r>
    </w:p>
    <w:p w14:paraId="1A719698" w14:textId="13C96F50" w:rsidR="00160BC4" w:rsidRPr="00433F80" w:rsidRDefault="00160BC4" w:rsidP="005E6171">
      <w:pPr>
        <w:tabs>
          <w:tab w:val="left" w:pos="284"/>
        </w:tabs>
        <w:suppressAutoHyphens w:val="0"/>
        <w:spacing w:before="0" w:line="360" w:lineRule="auto"/>
        <w:rPr>
          <w:color w:val="auto"/>
          <w:sz w:val="21"/>
          <w:szCs w:val="21"/>
          <w:lang w:val="en-AU"/>
        </w:rPr>
      </w:pPr>
      <w:r w:rsidRPr="00433F80">
        <w:rPr>
          <w:color w:val="auto"/>
          <w:sz w:val="21"/>
          <w:szCs w:val="21"/>
          <w:lang w:val="en-AU"/>
        </w:rPr>
        <w:t xml:space="preserve">The World Bank has also demonstrated </w:t>
      </w:r>
      <w:r w:rsidR="00CF54A3" w:rsidRPr="00433F80">
        <w:rPr>
          <w:color w:val="auto"/>
          <w:sz w:val="21"/>
          <w:szCs w:val="21"/>
          <w:lang w:val="en-AU"/>
        </w:rPr>
        <w:t xml:space="preserve">appropriate </w:t>
      </w:r>
      <w:r w:rsidRPr="00433F80">
        <w:rPr>
          <w:color w:val="auto"/>
          <w:sz w:val="21"/>
          <w:szCs w:val="21"/>
          <w:lang w:val="en-AU"/>
        </w:rPr>
        <w:t xml:space="preserve">practice for </w:t>
      </w:r>
      <w:r w:rsidRPr="00433F80">
        <w:rPr>
          <w:b/>
          <w:color w:val="auto"/>
          <w:sz w:val="21"/>
          <w:szCs w:val="21"/>
          <w:lang w:val="en-AU"/>
        </w:rPr>
        <w:t xml:space="preserve">child protection and </w:t>
      </w:r>
      <w:r w:rsidR="00B86EF5" w:rsidRPr="00433F80">
        <w:rPr>
          <w:b/>
          <w:color w:val="auto"/>
          <w:sz w:val="21"/>
          <w:szCs w:val="21"/>
          <w:lang w:val="en-AU"/>
        </w:rPr>
        <w:t xml:space="preserve">social and </w:t>
      </w:r>
      <w:r w:rsidRPr="00433F80">
        <w:rPr>
          <w:b/>
          <w:color w:val="auto"/>
          <w:sz w:val="21"/>
          <w:szCs w:val="21"/>
          <w:lang w:val="en-AU"/>
        </w:rPr>
        <w:t>environmental safeguard issues</w:t>
      </w:r>
      <w:r w:rsidRPr="00433F80">
        <w:rPr>
          <w:color w:val="auto"/>
          <w:sz w:val="21"/>
          <w:szCs w:val="21"/>
          <w:lang w:val="en-AU"/>
        </w:rPr>
        <w:t xml:space="preserve"> under the H-EQIP construction component</w:t>
      </w:r>
      <w:r w:rsidR="00C6164C" w:rsidRPr="00433F80">
        <w:rPr>
          <w:color w:val="auto"/>
          <w:sz w:val="21"/>
          <w:szCs w:val="21"/>
          <w:lang w:val="en-AU"/>
        </w:rPr>
        <w:t>.</w:t>
      </w:r>
      <w:r w:rsidRPr="00433F80">
        <w:rPr>
          <w:color w:val="auto"/>
          <w:sz w:val="21"/>
          <w:szCs w:val="21"/>
          <w:lang w:val="en-AU"/>
        </w:rPr>
        <w:t xml:space="preserve"> The role of both the World Bank and World Vision provides good systematic coverage of </w:t>
      </w:r>
      <w:r w:rsidR="00F15319" w:rsidRPr="00433F80">
        <w:rPr>
          <w:color w:val="auto"/>
          <w:sz w:val="21"/>
          <w:szCs w:val="21"/>
          <w:lang w:val="en-AU"/>
        </w:rPr>
        <w:t xml:space="preserve">child protection </w:t>
      </w:r>
      <w:r w:rsidRPr="00433F80">
        <w:rPr>
          <w:color w:val="auto"/>
          <w:sz w:val="21"/>
          <w:szCs w:val="21"/>
          <w:lang w:val="en-AU"/>
        </w:rPr>
        <w:t xml:space="preserve">risks for </w:t>
      </w:r>
      <w:r w:rsidR="00C07FCA" w:rsidRPr="00433F80">
        <w:rPr>
          <w:color w:val="auto"/>
          <w:sz w:val="21"/>
          <w:szCs w:val="21"/>
          <w:lang w:val="en-AU"/>
        </w:rPr>
        <w:t>ISAF II</w:t>
      </w:r>
      <w:r w:rsidRPr="00433F80">
        <w:rPr>
          <w:color w:val="auto"/>
          <w:sz w:val="21"/>
          <w:szCs w:val="21"/>
          <w:lang w:val="en-AU"/>
        </w:rPr>
        <w:t xml:space="preserve"> as well—these project activities do not involve working with children but there may be some children present. </w:t>
      </w:r>
      <w:r w:rsidR="00E924A6" w:rsidRPr="00433F80">
        <w:rPr>
          <w:color w:val="auto"/>
          <w:sz w:val="21"/>
          <w:szCs w:val="21"/>
          <w:lang w:val="en-AU"/>
        </w:rPr>
        <w:t xml:space="preserve">The World Bank has also made </w:t>
      </w:r>
      <w:r w:rsidR="00E924A6" w:rsidRPr="00433F80">
        <w:rPr>
          <w:b/>
          <w:color w:val="auto"/>
          <w:sz w:val="21"/>
          <w:szCs w:val="21"/>
          <w:lang w:val="en-AU"/>
        </w:rPr>
        <w:lastRenderedPageBreak/>
        <w:t>commitments to combat sexual harassment, abuse and exploitation</w:t>
      </w:r>
      <w:r w:rsidR="00E924A6" w:rsidRPr="00433F80">
        <w:rPr>
          <w:color w:val="auto"/>
          <w:sz w:val="21"/>
          <w:szCs w:val="21"/>
          <w:lang w:val="en-AU"/>
        </w:rPr>
        <w:t xml:space="preserve"> and is implementing internal procedures to operationalise this commitment, consistent with the requirements of DFAT's Preventing Sexual Exploitation, Abuse and Harassment (</w:t>
      </w:r>
      <w:r w:rsidR="00E924A6" w:rsidRPr="00433F80">
        <w:rPr>
          <w:color w:val="auto"/>
          <w:lang w:val="en-AU"/>
        </w:rPr>
        <w:t>PSEAH</w:t>
      </w:r>
      <w:r w:rsidR="00E924A6" w:rsidRPr="00433F80">
        <w:rPr>
          <w:color w:val="auto"/>
          <w:sz w:val="21"/>
          <w:szCs w:val="21"/>
          <w:lang w:val="en-AU"/>
        </w:rPr>
        <w:t xml:space="preserve">) Policy. We will request the inclusion of relevant PSEAH text in the Administrative Agreement. </w:t>
      </w:r>
    </w:p>
    <w:p w14:paraId="51BE5D5C" w14:textId="2FA42725" w:rsidR="00237DD9" w:rsidRDefault="00374F2C" w:rsidP="005E6171">
      <w:pPr>
        <w:tabs>
          <w:tab w:val="left" w:pos="284"/>
        </w:tabs>
        <w:suppressAutoHyphens w:val="0"/>
        <w:spacing w:before="0" w:line="360" w:lineRule="auto"/>
        <w:rPr>
          <w:color w:val="auto"/>
          <w:sz w:val="21"/>
          <w:szCs w:val="21"/>
          <w:lang w:val="en-AU"/>
        </w:rPr>
      </w:pPr>
      <w:r w:rsidRPr="00433F80">
        <w:rPr>
          <w:b/>
          <w:color w:val="auto"/>
          <w:sz w:val="21"/>
          <w:szCs w:val="21"/>
          <w:lang w:val="en-AU"/>
        </w:rPr>
        <w:t>Capacity within the World Bank country office</w:t>
      </w:r>
      <w:r w:rsidRPr="00433F80">
        <w:rPr>
          <w:color w:val="auto"/>
          <w:sz w:val="21"/>
          <w:szCs w:val="21"/>
          <w:lang w:val="en-AU"/>
        </w:rPr>
        <w:t xml:space="preserve"> remains an issue that Post believes could pose some degree of risk to the Partnership </w:t>
      </w:r>
      <w:r w:rsidR="00815476" w:rsidRPr="00433F80">
        <w:rPr>
          <w:color w:val="auto"/>
          <w:sz w:val="21"/>
          <w:szCs w:val="21"/>
          <w:lang w:val="en-AU"/>
        </w:rPr>
        <w:t xml:space="preserve">achieving the full scope of its objectives outlined above. </w:t>
      </w:r>
      <w:r w:rsidR="006F5E1A" w:rsidRPr="00433F80">
        <w:rPr>
          <w:color w:val="auto"/>
          <w:sz w:val="21"/>
          <w:szCs w:val="21"/>
          <w:lang w:val="en-AU"/>
        </w:rPr>
        <w:t>Post and World Bank</w:t>
      </w:r>
      <w:r w:rsidR="00815476" w:rsidRPr="00433F80">
        <w:rPr>
          <w:color w:val="auto"/>
          <w:sz w:val="21"/>
          <w:szCs w:val="21"/>
          <w:lang w:val="en-AU"/>
        </w:rPr>
        <w:t xml:space="preserve"> held a plenary </w:t>
      </w:r>
      <w:r w:rsidR="00F15319" w:rsidRPr="00433F80">
        <w:rPr>
          <w:color w:val="auto"/>
          <w:sz w:val="21"/>
          <w:szCs w:val="21"/>
          <w:lang w:val="en-AU"/>
        </w:rPr>
        <w:t xml:space="preserve">during the design process </w:t>
      </w:r>
      <w:r w:rsidR="00815476" w:rsidRPr="00433F80">
        <w:rPr>
          <w:color w:val="auto"/>
          <w:sz w:val="21"/>
          <w:szCs w:val="21"/>
          <w:lang w:val="en-AU"/>
        </w:rPr>
        <w:t xml:space="preserve">to identify mutual benefits of </w:t>
      </w:r>
      <w:r w:rsidR="006F5E1A" w:rsidRPr="00433F80">
        <w:rPr>
          <w:color w:val="auto"/>
          <w:sz w:val="21"/>
          <w:szCs w:val="21"/>
          <w:lang w:val="en-AU"/>
        </w:rPr>
        <w:t>the P</w:t>
      </w:r>
      <w:r w:rsidR="00815476" w:rsidRPr="00433F80">
        <w:rPr>
          <w:color w:val="auto"/>
          <w:sz w:val="21"/>
          <w:szCs w:val="21"/>
          <w:lang w:val="en-AU"/>
        </w:rPr>
        <w:t xml:space="preserve">artnership approach, discussed the staff resources required on both sides in the agreement, and </w:t>
      </w:r>
      <w:r w:rsidR="00F15319" w:rsidRPr="00433F80">
        <w:rPr>
          <w:color w:val="auto"/>
          <w:sz w:val="21"/>
          <w:szCs w:val="21"/>
          <w:lang w:val="en-AU"/>
        </w:rPr>
        <w:t>agreed</w:t>
      </w:r>
      <w:r w:rsidR="00815476" w:rsidRPr="00433F80">
        <w:rPr>
          <w:color w:val="auto"/>
          <w:sz w:val="21"/>
          <w:szCs w:val="21"/>
          <w:lang w:val="en-AU"/>
        </w:rPr>
        <w:t xml:space="preserve"> to draft </w:t>
      </w:r>
      <w:r w:rsidR="00A27CFB" w:rsidRPr="00433F80">
        <w:rPr>
          <w:color w:val="auto"/>
          <w:sz w:val="21"/>
          <w:szCs w:val="21"/>
          <w:lang w:val="en-AU"/>
        </w:rPr>
        <w:t>the</w:t>
      </w:r>
      <w:r w:rsidR="00815476" w:rsidRPr="00433F80">
        <w:rPr>
          <w:color w:val="auto"/>
          <w:sz w:val="21"/>
          <w:szCs w:val="21"/>
          <w:lang w:val="en-AU"/>
        </w:rPr>
        <w:t xml:space="preserve"> </w:t>
      </w:r>
      <w:r w:rsidR="006F5E1A" w:rsidRPr="00433F80">
        <w:rPr>
          <w:color w:val="auto"/>
          <w:sz w:val="21"/>
          <w:szCs w:val="21"/>
          <w:lang w:val="en-AU"/>
        </w:rPr>
        <w:t>Operations Manual</w:t>
      </w:r>
      <w:r w:rsidR="00815476" w:rsidRPr="00433F80">
        <w:rPr>
          <w:color w:val="auto"/>
          <w:sz w:val="21"/>
          <w:szCs w:val="21"/>
          <w:lang w:val="en-AU"/>
        </w:rPr>
        <w:t xml:space="preserve"> to clarify roles and responsibilities (to ensure arrangements are sustained through staff turnover). </w:t>
      </w:r>
    </w:p>
    <w:p w14:paraId="477E7CCD" w14:textId="77777777" w:rsidR="00237DD9" w:rsidRDefault="00237DD9">
      <w:pPr>
        <w:suppressAutoHyphens w:val="0"/>
        <w:spacing w:before="0" w:after="120" w:line="440" w:lineRule="atLeast"/>
        <w:rPr>
          <w:color w:val="auto"/>
          <w:sz w:val="21"/>
          <w:szCs w:val="21"/>
          <w:lang w:val="en-AU"/>
        </w:rPr>
      </w:pPr>
      <w:r>
        <w:rPr>
          <w:color w:val="auto"/>
          <w:sz w:val="21"/>
          <w:szCs w:val="21"/>
          <w:lang w:val="en-AU"/>
        </w:rPr>
        <w:br w:type="page"/>
      </w:r>
    </w:p>
    <w:p w14:paraId="2B7ED1A2" w14:textId="2241F5F5" w:rsidR="002D4DE7" w:rsidRPr="00433F80" w:rsidRDefault="002D4DE7" w:rsidP="005E6171">
      <w:pPr>
        <w:numPr>
          <w:ilvl w:val="0"/>
          <w:numId w:val="11"/>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180" w:after="120" w:line="360" w:lineRule="auto"/>
        <w:ind w:left="284" w:hanging="284"/>
        <w:rPr>
          <w:rFonts w:asciiTheme="majorHAnsi" w:hAnsiTheme="majorHAnsi"/>
          <w:color w:val="auto"/>
          <w:lang w:val="en-AU"/>
        </w:rPr>
      </w:pPr>
      <w:r w:rsidRPr="00433F80">
        <w:rPr>
          <w:rFonts w:asciiTheme="majorHAnsi" w:hAnsiTheme="majorHAnsi"/>
          <w:b/>
          <w:color w:val="auto"/>
          <w:lang w:val="en-AU"/>
        </w:rPr>
        <w:lastRenderedPageBreak/>
        <w:t xml:space="preserve">Quality </w:t>
      </w:r>
      <w:r w:rsidRPr="00433F80">
        <w:rPr>
          <w:rFonts w:asciiTheme="majorHAnsi" w:hAnsiTheme="majorHAnsi"/>
          <w:b/>
          <w:color w:val="auto"/>
          <w:szCs w:val="21"/>
          <w:lang w:val="en-AU"/>
        </w:rPr>
        <w:t>assurance</w:t>
      </w:r>
      <w:r w:rsidRPr="00433F80">
        <w:rPr>
          <w:rFonts w:asciiTheme="majorHAnsi" w:hAnsiTheme="majorHAnsi"/>
          <w:b/>
          <w:color w:val="auto"/>
          <w:lang w:val="en-AU"/>
        </w:rPr>
        <w:t xml:space="preserve"> (Does the design meet DFAT’s quality criteria?)</w:t>
      </w:r>
    </w:p>
    <w:p w14:paraId="525E4242" w14:textId="57857837" w:rsidR="00F46ED4" w:rsidRPr="00433F80" w:rsidRDefault="00196CFD" w:rsidP="005E6171">
      <w:pPr>
        <w:tabs>
          <w:tab w:val="left" w:pos="284"/>
        </w:tabs>
        <w:suppressAutoHyphens w:val="0"/>
        <w:spacing w:before="0" w:line="360" w:lineRule="auto"/>
        <w:rPr>
          <w:color w:val="auto"/>
          <w:sz w:val="21"/>
          <w:szCs w:val="21"/>
          <w:lang w:val="en-AU"/>
        </w:rPr>
      </w:pPr>
      <w:r w:rsidRPr="00433F80">
        <w:rPr>
          <w:color w:val="auto"/>
          <w:sz w:val="21"/>
          <w:szCs w:val="21"/>
          <w:lang w:val="en-AU"/>
        </w:rPr>
        <w:t xml:space="preserve">The design is the result of </w:t>
      </w:r>
      <w:r w:rsidR="00876D63" w:rsidRPr="00433F80">
        <w:rPr>
          <w:color w:val="auto"/>
          <w:sz w:val="21"/>
          <w:szCs w:val="21"/>
          <w:lang w:val="en-AU"/>
        </w:rPr>
        <w:t>more tha</w:t>
      </w:r>
      <w:r w:rsidR="000F1BB0" w:rsidRPr="00433F80">
        <w:rPr>
          <w:color w:val="auto"/>
          <w:sz w:val="21"/>
          <w:szCs w:val="21"/>
          <w:lang w:val="en-AU"/>
        </w:rPr>
        <w:t>n 18 months of dialogue between the World Bank and DFAT country offices</w:t>
      </w:r>
      <w:r w:rsidR="009F7A98" w:rsidRPr="00433F80">
        <w:rPr>
          <w:color w:val="auto"/>
          <w:sz w:val="21"/>
          <w:szCs w:val="21"/>
          <w:lang w:val="en-AU"/>
        </w:rPr>
        <w:t>.</w:t>
      </w:r>
    </w:p>
    <w:p w14:paraId="361A6B6D" w14:textId="3661C95F" w:rsidR="00F46ED4" w:rsidRPr="00433F80" w:rsidRDefault="00F46ED4" w:rsidP="005E6171">
      <w:pPr>
        <w:tabs>
          <w:tab w:val="left" w:pos="284"/>
        </w:tabs>
        <w:suppressAutoHyphens w:val="0"/>
        <w:spacing w:before="0" w:line="360" w:lineRule="auto"/>
        <w:rPr>
          <w:color w:val="auto"/>
          <w:sz w:val="21"/>
          <w:szCs w:val="21"/>
          <w:lang w:val="en-AU"/>
        </w:rPr>
      </w:pPr>
      <w:r w:rsidRPr="00433F80">
        <w:rPr>
          <w:color w:val="auto"/>
          <w:sz w:val="21"/>
          <w:szCs w:val="21"/>
          <w:lang w:val="en-AU"/>
        </w:rPr>
        <w:t>The Partnership structure has been informed by lessons learned from DFAT-World Bank partnerships in other Indo-Pacific countries</w:t>
      </w:r>
      <w:r w:rsidR="000F1BB0" w:rsidRPr="00433F80">
        <w:rPr>
          <w:color w:val="auto"/>
          <w:sz w:val="21"/>
          <w:szCs w:val="21"/>
          <w:lang w:val="en-AU"/>
        </w:rPr>
        <w:t xml:space="preserve">, </w:t>
      </w:r>
      <w:r w:rsidR="00743B0C" w:rsidRPr="00433F80">
        <w:rPr>
          <w:color w:val="auto"/>
          <w:sz w:val="21"/>
          <w:szCs w:val="21"/>
          <w:lang w:val="en-AU"/>
        </w:rPr>
        <w:t xml:space="preserve">which were </w:t>
      </w:r>
      <w:r w:rsidR="000F1BB0" w:rsidRPr="00433F80">
        <w:rPr>
          <w:color w:val="auto"/>
          <w:sz w:val="21"/>
          <w:szCs w:val="21"/>
          <w:lang w:val="en-AU"/>
        </w:rPr>
        <w:t>documented for the Indonesia program partnership design in 2019.</w:t>
      </w:r>
      <w:r w:rsidRPr="00433F80">
        <w:rPr>
          <w:color w:val="auto"/>
          <w:sz w:val="21"/>
          <w:szCs w:val="21"/>
          <w:lang w:val="en-AU"/>
        </w:rPr>
        <w:t xml:space="preserve"> These emphasise the importance of clearly agreed expectations in the Partnership agreement, especially in terms of governance, gender, communications (branding), monitoring and evaluation and reporting arrangements. </w:t>
      </w:r>
    </w:p>
    <w:p w14:paraId="32A58268" w14:textId="23EE3C31" w:rsidR="00280CB5" w:rsidRPr="00433F80" w:rsidRDefault="00A12C04" w:rsidP="005E6171">
      <w:pPr>
        <w:tabs>
          <w:tab w:val="left" w:pos="284"/>
        </w:tabs>
        <w:suppressAutoHyphens w:val="0"/>
        <w:spacing w:before="0" w:line="360" w:lineRule="auto"/>
        <w:rPr>
          <w:color w:val="auto"/>
          <w:sz w:val="21"/>
          <w:szCs w:val="21"/>
          <w:lang w:val="en-AU"/>
        </w:rPr>
      </w:pPr>
      <w:r w:rsidRPr="00433F80">
        <w:rPr>
          <w:color w:val="auto"/>
          <w:sz w:val="21"/>
          <w:szCs w:val="21"/>
          <w:lang w:val="en-AU"/>
        </w:rPr>
        <w:t xml:space="preserve">A 2018 Governance Review commissioned by Post identified ISAF as a potential investment under DFAT’s future aid program plan in Cambodia. The review also emphasised the importance of consolidated and coordinated management of Post investments. </w:t>
      </w:r>
      <w:r w:rsidR="00280CB5" w:rsidRPr="00433F80">
        <w:rPr>
          <w:color w:val="auto"/>
          <w:sz w:val="21"/>
          <w:szCs w:val="21"/>
          <w:lang w:val="en-AU"/>
        </w:rPr>
        <w:t xml:space="preserve">The </w:t>
      </w:r>
      <w:r w:rsidRPr="00433F80">
        <w:rPr>
          <w:color w:val="auto"/>
          <w:sz w:val="21"/>
          <w:szCs w:val="21"/>
          <w:lang w:val="en-AU"/>
        </w:rPr>
        <w:t>importance of</w:t>
      </w:r>
      <w:r w:rsidR="000F1BB0" w:rsidRPr="00433F80">
        <w:rPr>
          <w:color w:val="auto"/>
          <w:sz w:val="21"/>
          <w:szCs w:val="21"/>
          <w:lang w:val="en-AU"/>
        </w:rPr>
        <w:t xml:space="preserve"> sustainable social services</w:t>
      </w:r>
      <w:r w:rsidRPr="00433F80">
        <w:rPr>
          <w:color w:val="auto"/>
          <w:sz w:val="21"/>
          <w:szCs w:val="21"/>
          <w:lang w:val="en-AU"/>
        </w:rPr>
        <w:t xml:space="preserve"> was </w:t>
      </w:r>
      <w:r w:rsidR="00280CB5" w:rsidRPr="00433F80">
        <w:rPr>
          <w:color w:val="auto"/>
          <w:sz w:val="21"/>
          <w:szCs w:val="21"/>
          <w:lang w:val="en-AU"/>
        </w:rPr>
        <w:t xml:space="preserve">informed by in-country consultations </w:t>
      </w:r>
      <w:r w:rsidR="000F1BB0" w:rsidRPr="00433F80">
        <w:rPr>
          <w:color w:val="auto"/>
          <w:sz w:val="21"/>
          <w:szCs w:val="21"/>
          <w:lang w:val="en-AU"/>
        </w:rPr>
        <w:t xml:space="preserve">with the Cambodian Government and development partners </w:t>
      </w:r>
      <w:r w:rsidR="00280CB5" w:rsidRPr="00433F80">
        <w:rPr>
          <w:color w:val="auto"/>
          <w:sz w:val="21"/>
          <w:szCs w:val="21"/>
          <w:lang w:val="en-AU"/>
        </w:rPr>
        <w:t xml:space="preserve">in August 2019 led by the </w:t>
      </w:r>
      <w:r w:rsidR="00196CFD" w:rsidRPr="00433F80">
        <w:rPr>
          <w:color w:val="auto"/>
          <w:sz w:val="21"/>
          <w:szCs w:val="21"/>
          <w:lang w:val="en-AU"/>
        </w:rPr>
        <w:t xml:space="preserve">DFAT </w:t>
      </w:r>
      <w:r w:rsidR="00280CB5" w:rsidRPr="00433F80">
        <w:rPr>
          <w:color w:val="auto"/>
          <w:sz w:val="21"/>
          <w:szCs w:val="21"/>
          <w:lang w:val="en-AU"/>
        </w:rPr>
        <w:t xml:space="preserve">Principal Governance Specialist and an Assistant Director from the Poverty and Social Transfers team in DPD. </w:t>
      </w:r>
      <w:r w:rsidR="00280CB5" w:rsidRPr="00433F80">
        <w:rPr>
          <w:rFonts w:eastAsia="Times New Roman" w:cs="Arial"/>
          <w:color w:val="auto"/>
          <w:sz w:val="21"/>
          <w:szCs w:val="21"/>
          <w:lang w:val="en-AU" w:eastAsia="en-AU"/>
        </w:rPr>
        <w:t>The draft concept was shared with an internal DFAT reference group in November 2019</w:t>
      </w:r>
      <w:r w:rsidRPr="00433F80">
        <w:rPr>
          <w:rFonts w:eastAsia="Times New Roman" w:cs="Arial"/>
          <w:color w:val="auto"/>
          <w:sz w:val="21"/>
          <w:szCs w:val="21"/>
          <w:lang w:val="en-AU" w:eastAsia="en-AU"/>
        </w:rPr>
        <w:t>, with f</w:t>
      </w:r>
      <w:r w:rsidR="00280CB5" w:rsidRPr="00433F80">
        <w:rPr>
          <w:rFonts w:eastAsia="Times New Roman" w:cs="Arial"/>
          <w:color w:val="auto"/>
          <w:sz w:val="21"/>
          <w:szCs w:val="21"/>
          <w:lang w:val="en-AU" w:eastAsia="en-AU"/>
        </w:rPr>
        <w:t xml:space="preserve">eedback </w:t>
      </w:r>
      <w:r w:rsidR="00280CB5" w:rsidRPr="00433F80">
        <w:rPr>
          <w:color w:val="auto"/>
          <w:sz w:val="21"/>
          <w:szCs w:val="21"/>
          <w:lang w:val="en-AU"/>
        </w:rPr>
        <w:t>incorporated.</w:t>
      </w:r>
    </w:p>
    <w:p w14:paraId="438584FE" w14:textId="13DDEDB7" w:rsidR="002B45E7" w:rsidRPr="00433F80" w:rsidRDefault="002B45E7" w:rsidP="005E6171">
      <w:pPr>
        <w:pStyle w:val="Bullet1"/>
        <w:spacing w:line="360" w:lineRule="auto"/>
        <w:ind w:left="0" w:firstLine="0"/>
        <w:rPr>
          <w:color w:val="auto"/>
          <w:sz w:val="21"/>
          <w:szCs w:val="21"/>
          <w:lang w:val="en-AU"/>
        </w:rPr>
      </w:pPr>
      <w:r w:rsidRPr="00433F80">
        <w:rPr>
          <w:color w:val="auto"/>
          <w:sz w:val="21"/>
          <w:szCs w:val="21"/>
          <w:lang w:val="en-AU"/>
        </w:rPr>
        <w:t>T</w:t>
      </w:r>
      <w:r w:rsidR="00F6159A" w:rsidRPr="00433F80">
        <w:rPr>
          <w:color w:val="auto"/>
          <w:sz w:val="21"/>
          <w:szCs w:val="21"/>
          <w:lang w:val="en-AU"/>
        </w:rPr>
        <w:t xml:space="preserve">he Partnership design </w:t>
      </w:r>
      <w:r w:rsidR="00264454" w:rsidRPr="00433F80">
        <w:rPr>
          <w:color w:val="auto"/>
          <w:sz w:val="21"/>
          <w:szCs w:val="21"/>
          <w:lang w:val="en-AU"/>
        </w:rPr>
        <w:t xml:space="preserve">was </w:t>
      </w:r>
      <w:r w:rsidR="002813E7" w:rsidRPr="00433F80">
        <w:rPr>
          <w:color w:val="auto"/>
          <w:sz w:val="21"/>
          <w:szCs w:val="21"/>
          <w:lang w:val="en-AU"/>
        </w:rPr>
        <w:t xml:space="preserve">subject to </w:t>
      </w:r>
      <w:r w:rsidR="00B80D38" w:rsidRPr="00433F80">
        <w:rPr>
          <w:color w:val="auto"/>
          <w:sz w:val="21"/>
          <w:szCs w:val="21"/>
          <w:lang w:val="en-AU"/>
        </w:rPr>
        <w:t xml:space="preserve">independent </w:t>
      </w:r>
      <w:r w:rsidR="00437C65" w:rsidRPr="00433F80">
        <w:rPr>
          <w:color w:val="auto"/>
          <w:sz w:val="21"/>
          <w:szCs w:val="21"/>
          <w:lang w:val="en-AU"/>
        </w:rPr>
        <w:t xml:space="preserve">appraisal by two experts in social accountability, health and gender. The appraisals </w:t>
      </w:r>
      <w:r w:rsidRPr="00433F80">
        <w:rPr>
          <w:color w:val="auto"/>
          <w:sz w:val="21"/>
          <w:szCs w:val="21"/>
          <w:lang w:val="en-AU"/>
        </w:rPr>
        <w:t>support</w:t>
      </w:r>
      <w:r w:rsidR="00264454" w:rsidRPr="00433F80">
        <w:rPr>
          <w:color w:val="auto"/>
          <w:sz w:val="21"/>
          <w:szCs w:val="21"/>
          <w:lang w:val="en-AU"/>
        </w:rPr>
        <w:t>ed</w:t>
      </w:r>
      <w:r w:rsidR="00437C65" w:rsidRPr="00433F80">
        <w:rPr>
          <w:color w:val="auto"/>
          <w:sz w:val="21"/>
          <w:szCs w:val="21"/>
          <w:lang w:val="en-AU"/>
        </w:rPr>
        <w:t xml:space="preserve"> a DFAT peer review</w:t>
      </w:r>
      <w:r w:rsidR="00B80D38" w:rsidRPr="00433F80">
        <w:rPr>
          <w:rStyle w:val="FootnoteReference"/>
          <w:color w:val="auto"/>
          <w:sz w:val="21"/>
          <w:szCs w:val="21"/>
          <w:lang w:val="en-AU"/>
        </w:rPr>
        <w:footnoteReference w:id="1"/>
      </w:r>
      <w:r w:rsidR="002813E7" w:rsidRPr="00433F80">
        <w:rPr>
          <w:color w:val="auto"/>
          <w:sz w:val="21"/>
          <w:szCs w:val="21"/>
          <w:lang w:val="en-AU"/>
        </w:rPr>
        <w:t xml:space="preserve"> </w:t>
      </w:r>
      <w:r w:rsidRPr="00433F80">
        <w:rPr>
          <w:color w:val="auto"/>
          <w:sz w:val="21"/>
          <w:szCs w:val="21"/>
          <w:lang w:val="en-AU"/>
        </w:rPr>
        <w:t xml:space="preserve">to confirm </w:t>
      </w:r>
      <w:r w:rsidR="00264454" w:rsidRPr="00433F80">
        <w:rPr>
          <w:color w:val="auto"/>
          <w:sz w:val="21"/>
          <w:szCs w:val="21"/>
          <w:lang w:val="en-AU"/>
        </w:rPr>
        <w:t xml:space="preserve">that </w:t>
      </w:r>
      <w:r w:rsidRPr="00433F80">
        <w:rPr>
          <w:color w:val="auto"/>
          <w:sz w:val="21"/>
          <w:szCs w:val="21"/>
          <w:lang w:val="en-AU"/>
        </w:rPr>
        <w:t>the design meets DFAT’s quality criteria and identify any areas to strengthen prior to approval</w:t>
      </w:r>
      <w:r w:rsidR="00264454" w:rsidRPr="00433F80">
        <w:rPr>
          <w:color w:val="auto"/>
          <w:sz w:val="21"/>
          <w:szCs w:val="21"/>
          <w:lang w:val="en-AU"/>
        </w:rPr>
        <w:t xml:space="preserve">. The average score for each of the eight sections under </w:t>
      </w:r>
      <w:r w:rsidR="002A4B4D" w:rsidRPr="00433F80">
        <w:rPr>
          <w:color w:val="auto"/>
          <w:sz w:val="21"/>
          <w:szCs w:val="21"/>
          <w:lang w:val="en-AU"/>
        </w:rPr>
        <w:t xml:space="preserve">peer </w:t>
      </w:r>
      <w:r w:rsidR="00264454" w:rsidRPr="00433F80">
        <w:rPr>
          <w:color w:val="auto"/>
          <w:sz w:val="21"/>
          <w:szCs w:val="21"/>
          <w:lang w:val="en-AU"/>
        </w:rPr>
        <w:t xml:space="preserve">review was between </w:t>
      </w:r>
      <w:r w:rsidR="002A4B4D" w:rsidRPr="00433F80">
        <w:rPr>
          <w:color w:val="auto"/>
          <w:sz w:val="21"/>
          <w:szCs w:val="21"/>
          <w:lang w:val="en-AU"/>
        </w:rPr>
        <w:t>four and six</w:t>
      </w:r>
      <w:r w:rsidR="00264454" w:rsidRPr="00433F80">
        <w:rPr>
          <w:color w:val="auto"/>
          <w:sz w:val="21"/>
          <w:szCs w:val="21"/>
          <w:lang w:val="en-AU"/>
        </w:rPr>
        <w:t xml:space="preserve">, </w:t>
      </w:r>
      <w:r w:rsidR="002A4B4D" w:rsidRPr="00433F80">
        <w:rPr>
          <w:color w:val="auto"/>
          <w:sz w:val="21"/>
          <w:szCs w:val="21"/>
          <w:lang w:val="en-AU"/>
        </w:rPr>
        <w:t>i</w:t>
      </w:r>
      <w:r w:rsidR="00264454" w:rsidRPr="00433F80">
        <w:rPr>
          <w:color w:val="auto"/>
          <w:sz w:val="21"/>
          <w:szCs w:val="21"/>
          <w:lang w:val="en-AU"/>
        </w:rPr>
        <w:t>ndicating that the design met quality criteria. A range of adjustments were made and details added to the design documentation in response to issues raised during the peer review (a formal peer review record is being provided to the delegate)</w:t>
      </w:r>
      <w:r w:rsidR="007A311D" w:rsidRPr="00433F80">
        <w:rPr>
          <w:color w:val="auto"/>
          <w:sz w:val="21"/>
          <w:szCs w:val="21"/>
          <w:lang w:val="en-AU"/>
        </w:rPr>
        <w:t>. Key changes were made in the following areas:</w:t>
      </w:r>
    </w:p>
    <w:p w14:paraId="4AA5EEAD" w14:textId="7F91F457" w:rsidR="00264454" w:rsidRPr="00433F80" w:rsidRDefault="00EF3586" w:rsidP="005E6171">
      <w:pPr>
        <w:pStyle w:val="NumberedList1"/>
        <w:numPr>
          <w:ilvl w:val="0"/>
          <w:numId w:val="52"/>
        </w:numPr>
        <w:spacing w:line="360" w:lineRule="auto"/>
        <w:rPr>
          <w:color w:val="auto"/>
          <w:sz w:val="21"/>
          <w:szCs w:val="21"/>
          <w:lang w:val="en-AU"/>
        </w:rPr>
      </w:pPr>
      <w:r w:rsidRPr="00433F80">
        <w:rPr>
          <w:color w:val="auto"/>
          <w:sz w:val="21"/>
          <w:szCs w:val="21"/>
          <w:lang w:val="en-AU"/>
        </w:rPr>
        <w:t>Results framework</w:t>
      </w:r>
      <w:r w:rsidR="007A311D" w:rsidRPr="00433F80">
        <w:rPr>
          <w:color w:val="auto"/>
          <w:sz w:val="21"/>
          <w:szCs w:val="21"/>
          <w:lang w:val="en-AU"/>
        </w:rPr>
        <w:t>: A central Results Framework has been added for the Partnership, which will be progressively updated as the components</w:t>
      </w:r>
      <w:r w:rsidR="00180389" w:rsidRPr="00433F80">
        <w:rPr>
          <w:color w:val="auto"/>
          <w:sz w:val="21"/>
          <w:szCs w:val="21"/>
          <w:lang w:val="en-AU"/>
        </w:rPr>
        <w:t xml:space="preserve"> are developed. </w:t>
      </w:r>
    </w:p>
    <w:p w14:paraId="739075D2" w14:textId="2E551160" w:rsidR="002A4B4D" w:rsidRPr="00433F80" w:rsidRDefault="002A4B4D" w:rsidP="005E6171">
      <w:pPr>
        <w:pStyle w:val="NumberedList1"/>
        <w:spacing w:line="360" w:lineRule="auto"/>
        <w:rPr>
          <w:color w:val="auto"/>
          <w:sz w:val="21"/>
          <w:szCs w:val="21"/>
          <w:lang w:val="en-AU"/>
        </w:rPr>
      </w:pPr>
      <w:r w:rsidRPr="00433F80">
        <w:rPr>
          <w:color w:val="auto"/>
          <w:sz w:val="21"/>
          <w:szCs w:val="21"/>
          <w:lang w:val="en-AU"/>
        </w:rPr>
        <w:t>Governance</w:t>
      </w:r>
      <w:r w:rsidR="00180389" w:rsidRPr="00433F80">
        <w:rPr>
          <w:color w:val="auto"/>
          <w:sz w:val="21"/>
          <w:szCs w:val="21"/>
          <w:lang w:val="en-AU"/>
        </w:rPr>
        <w:t xml:space="preserve">: The role of the SC as the formal oversight </w:t>
      </w:r>
      <w:r w:rsidR="006F32C7" w:rsidRPr="00433F80">
        <w:rPr>
          <w:color w:val="auto"/>
          <w:sz w:val="21"/>
          <w:szCs w:val="21"/>
          <w:lang w:val="en-AU"/>
        </w:rPr>
        <w:t>for all components has been clarified</w:t>
      </w:r>
      <w:r w:rsidR="002D1BCE" w:rsidRPr="00433F80">
        <w:rPr>
          <w:color w:val="auto"/>
          <w:sz w:val="21"/>
          <w:szCs w:val="21"/>
          <w:lang w:val="en-AU"/>
        </w:rPr>
        <w:t>, and informal processes to support governance identified, such as the annual Partnership Forum</w:t>
      </w:r>
      <w:r w:rsidR="006F32C7" w:rsidRPr="00433F80">
        <w:rPr>
          <w:color w:val="auto"/>
          <w:sz w:val="21"/>
          <w:szCs w:val="21"/>
          <w:lang w:val="en-AU"/>
        </w:rPr>
        <w:t>.</w:t>
      </w:r>
    </w:p>
    <w:p w14:paraId="0AB7CE13" w14:textId="0CC81725" w:rsidR="002A4B4D" w:rsidRPr="00433F80" w:rsidRDefault="002A4B4D" w:rsidP="005E6171">
      <w:pPr>
        <w:pStyle w:val="NumberedList1"/>
        <w:spacing w:line="360" w:lineRule="auto"/>
        <w:rPr>
          <w:color w:val="auto"/>
          <w:sz w:val="21"/>
          <w:szCs w:val="21"/>
          <w:lang w:val="en-AU"/>
        </w:rPr>
      </w:pPr>
      <w:r w:rsidRPr="00433F80">
        <w:rPr>
          <w:color w:val="auto"/>
          <w:sz w:val="21"/>
          <w:szCs w:val="21"/>
          <w:lang w:val="en-AU"/>
        </w:rPr>
        <w:t>PASA</w:t>
      </w:r>
      <w:r w:rsidR="006F32C7" w:rsidRPr="00433F80">
        <w:rPr>
          <w:color w:val="auto"/>
          <w:sz w:val="21"/>
          <w:szCs w:val="21"/>
          <w:lang w:val="en-AU"/>
        </w:rPr>
        <w:t>: A draft PASA Concept Note has been developed</w:t>
      </w:r>
      <w:r w:rsidR="002D1BCE" w:rsidRPr="00433F80">
        <w:rPr>
          <w:color w:val="auto"/>
          <w:sz w:val="21"/>
          <w:szCs w:val="21"/>
          <w:lang w:val="en-AU"/>
        </w:rPr>
        <w:t xml:space="preserve"> which contains information about the criteria for prioritising activities to be funded and the selection process, including a proposal template.</w:t>
      </w:r>
    </w:p>
    <w:p w14:paraId="02DAD178" w14:textId="2F859F00" w:rsidR="002A4B4D" w:rsidRPr="00433F80" w:rsidRDefault="002A4B4D" w:rsidP="005E6171">
      <w:pPr>
        <w:pStyle w:val="NumberedList1"/>
        <w:spacing w:line="360" w:lineRule="auto"/>
        <w:rPr>
          <w:color w:val="auto"/>
          <w:sz w:val="21"/>
          <w:szCs w:val="21"/>
          <w:lang w:val="en-AU"/>
        </w:rPr>
      </w:pPr>
      <w:r w:rsidRPr="00433F80">
        <w:rPr>
          <w:color w:val="auto"/>
          <w:sz w:val="21"/>
          <w:szCs w:val="21"/>
          <w:lang w:val="en-AU"/>
        </w:rPr>
        <w:t>Gender</w:t>
      </w:r>
      <w:r w:rsidR="002D1BCE" w:rsidRPr="00433F80">
        <w:rPr>
          <w:color w:val="auto"/>
          <w:sz w:val="21"/>
          <w:szCs w:val="21"/>
          <w:lang w:val="en-AU"/>
        </w:rPr>
        <w:t xml:space="preserve">: The World Bank’s East Asia Pacific gender specialist will participate in project governance. </w:t>
      </w:r>
      <w:r w:rsidR="00B80D38" w:rsidRPr="00433F80">
        <w:rPr>
          <w:color w:val="auto"/>
          <w:sz w:val="21"/>
          <w:szCs w:val="21"/>
          <w:lang w:val="en-AU"/>
        </w:rPr>
        <w:t>G</w:t>
      </w:r>
      <w:r w:rsidR="002D1BCE" w:rsidRPr="00433F80">
        <w:rPr>
          <w:color w:val="auto"/>
          <w:sz w:val="21"/>
          <w:szCs w:val="21"/>
          <w:lang w:val="en-AU"/>
        </w:rPr>
        <w:t xml:space="preserve">ender and inclusion are </w:t>
      </w:r>
      <w:r w:rsidR="00B80D38" w:rsidRPr="00433F80">
        <w:rPr>
          <w:color w:val="auto"/>
          <w:sz w:val="21"/>
          <w:szCs w:val="21"/>
          <w:lang w:val="en-AU"/>
        </w:rPr>
        <w:t>now</w:t>
      </w:r>
      <w:r w:rsidR="002D1BCE" w:rsidRPr="00433F80">
        <w:rPr>
          <w:color w:val="auto"/>
          <w:sz w:val="21"/>
          <w:szCs w:val="21"/>
          <w:lang w:val="en-AU"/>
        </w:rPr>
        <w:t xml:space="preserve"> reflected in the indicators for each component, </w:t>
      </w:r>
      <w:r w:rsidR="00B80D38" w:rsidRPr="00433F80">
        <w:rPr>
          <w:color w:val="auto"/>
          <w:sz w:val="21"/>
          <w:szCs w:val="21"/>
          <w:lang w:val="en-AU"/>
        </w:rPr>
        <w:t>using</w:t>
      </w:r>
      <w:r w:rsidR="002D1BCE" w:rsidRPr="00433F80">
        <w:rPr>
          <w:color w:val="auto"/>
          <w:sz w:val="21"/>
          <w:szCs w:val="21"/>
          <w:lang w:val="en-AU"/>
        </w:rPr>
        <w:t xml:space="preserve"> qualitative and quantitative </w:t>
      </w:r>
      <w:r w:rsidR="00A12C04" w:rsidRPr="00433F80">
        <w:rPr>
          <w:color w:val="auto"/>
          <w:sz w:val="21"/>
          <w:szCs w:val="21"/>
          <w:lang w:val="en-AU"/>
        </w:rPr>
        <w:t xml:space="preserve">methods. </w:t>
      </w:r>
    </w:p>
    <w:p w14:paraId="3212A8C3" w14:textId="2B4CA538" w:rsidR="00437C65" w:rsidRPr="00433F80" w:rsidRDefault="00196CFD" w:rsidP="005E6171">
      <w:pPr>
        <w:pStyle w:val="Bullet1"/>
        <w:spacing w:before="120" w:line="360" w:lineRule="auto"/>
        <w:ind w:left="0" w:firstLine="0"/>
        <w:rPr>
          <w:b/>
          <w:color w:val="auto"/>
          <w:sz w:val="21"/>
          <w:szCs w:val="21"/>
          <w:lang w:val="en-AU"/>
        </w:rPr>
      </w:pPr>
      <w:r w:rsidRPr="00433F80">
        <w:rPr>
          <w:b/>
          <w:color w:val="auto"/>
          <w:sz w:val="21"/>
          <w:szCs w:val="21"/>
          <w:lang w:val="en-AU"/>
        </w:rPr>
        <w:t xml:space="preserve">World Bank </w:t>
      </w:r>
      <w:r w:rsidR="002B45E7" w:rsidRPr="00433F80">
        <w:rPr>
          <w:b/>
          <w:color w:val="auto"/>
          <w:sz w:val="21"/>
          <w:szCs w:val="21"/>
          <w:lang w:val="en-AU"/>
        </w:rPr>
        <w:t>quality assurance</w:t>
      </w:r>
      <w:r w:rsidRPr="00433F80">
        <w:rPr>
          <w:b/>
          <w:color w:val="auto"/>
          <w:sz w:val="21"/>
          <w:szCs w:val="21"/>
          <w:lang w:val="en-AU"/>
        </w:rPr>
        <w:t xml:space="preserve"> </w:t>
      </w:r>
    </w:p>
    <w:p w14:paraId="6F0789C6" w14:textId="40DF5BB7" w:rsidR="00EA1EC2" w:rsidRPr="00433F80" w:rsidRDefault="00A46345" w:rsidP="005E6171">
      <w:pPr>
        <w:tabs>
          <w:tab w:val="left" w:pos="284"/>
        </w:tabs>
        <w:suppressAutoHyphens w:val="0"/>
        <w:spacing w:before="0" w:line="360" w:lineRule="auto"/>
        <w:rPr>
          <w:color w:val="auto"/>
          <w:sz w:val="21"/>
          <w:szCs w:val="21"/>
          <w:lang w:val="en-AU"/>
        </w:rPr>
      </w:pPr>
      <w:r w:rsidRPr="00433F80">
        <w:rPr>
          <w:color w:val="auto"/>
          <w:sz w:val="21"/>
          <w:szCs w:val="21"/>
          <w:lang w:val="en-AU"/>
        </w:rPr>
        <w:t xml:space="preserve">The Partnership has been approved by the Regional Vice President based in Washington DC in line with the Bank’s Umbrella 2.0 trust fund reforms. </w:t>
      </w:r>
      <w:r w:rsidR="002B45E7" w:rsidRPr="00433F80">
        <w:rPr>
          <w:color w:val="auto"/>
          <w:sz w:val="21"/>
          <w:szCs w:val="21"/>
          <w:lang w:val="en-AU"/>
        </w:rPr>
        <w:t xml:space="preserve">The Partnership design has included extensive input from the World Bank’s in-country Senior Social Development Specialist and </w:t>
      </w:r>
      <w:r w:rsidR="00906114" w:rsidRPr="00433F80">
        <w:rPr>
          <w:color w:val="auto"/>
          <w:sz w:val="21"/>
          <w:szCs w:val="21"/>
          <w:lang w:val="en-AU"/>
        </w:rPr>
        <w:t>G</w:t>
      </w:r>
      <w:r w:rsidR="002B45E7" w:rsidRPr="00433F80">
        <w:rPr>
          <w:color w:val="auto"/>
          <w:sz w:val="21"/>
          <w:szCs w:val="21"/>
          <w:lang w:val="en-AU"/>
        </w:rPr>
        <w:t xml:space="preserve">ender </w:t>
      </w:r>
      <w:r w:rsidR="00906114" w:rsidRPr="00433F80">
        <w:rPr>
          <w:color w:val="auto"/>
          <w:sz w:val="21"/>
          <w:szCs w:val="21"/>
          <w:lang w:val="en-AU"/>
        </w:rPr>
        <w:t>F</w:t>
      </w:r>
      <w:r w:rsidR="002B45E7" w:rsidRPr="00433F80">
        <w:rPr>
          <w:color w:val="auto"/>
          <w:sz w:val="21"/>
          <w:szCs w:val="21"/>
          <w:lang w:val="en-AU"/>
        </w:rPr>
        <w:t xml:space="preserve">ocal </w:t>
      </w:r>
      <w:r w:rsidR="00906114" w:rsidRPr="00433F80">
        <w:rPr>
          <w:color w:val="auto"/>
          <w:sz w:val="21"/>
          <w:szCs w:val="21"/>
          <w:lang w:val="en-AU"/>
        </w:rPr>
        <w:t>P</w:t>
      </w:r>
      <w:r w:rsidR="002B45E7" w:rsidRPr="00433F80">
        <w:rPr>
          <w:color w:val="auto"/>
          <w:sz w:val="21"/>
          <w:szCs w:val="21"/>
          <w:lang w:val="en-AU"/>
        </w:rPr>
        <w:t xml:space="preserve">oint as well as the Country Manager. </w:t>
      </w:r>
      <w:r w:rsidRPr="00433F80">
        <w:rPr>
          <w:color w:val="auto"/>
          <w:sz w:val="21"/>
          <w:szCs w:val="21"/>
          <w:lang w:val="en-AU"/>
        </w:rPr>
        <w:t xml:space="preserve">Simultaneous with the DFAT appraisal and peer review, the Partnership Concept Note </w:t>
      </w:r>
      <w:r w:rsidR="001832C7" w:rsidRPr="00433F80">
        <w:rPr>
          <w:color w:val="auto"/>
          <w:sz w:val="21"/>
          <w:szCs w:val="21"/>
          <w:lang w:val="en-AU"/>
        </w:rPr>
        <w:t>underwent</w:t>
      </w:r>
      <w:r w:rsidRPr="00433F80">
        <w:rPr>
          <w:color w:val="auto"/>
          <w:sz w:val="21"/>
          <w:szCs w:val="21"/>
          <w:lang w:val="en-AU"/>
        </w:rPr>
        <w:t xml:space="preserve"> an internal </w:t>
      </w:r>
      <w:r w:rsidRPr="00433F80">
        <w:rPr>
          <w:color w:val="auto"/>
          <w:sz w:val="21"/>
          <w:szCs w:val="21"/>
          <w:lang w:val="en-AU"/>
        </w:rPr>
        <w:lastRenderedPageBreak/>
        <w:t>World Bank review</w:t>
      </w:r>
      <w:r w:rsidR="001832C7" w:rsidRPr="00433F80">
        <w:rPr>
          <w:color w:val="auto"/>
          <w:sz w:val="21"/>
          <w:szCs w:val="21"/>
          <w:lang w:val="en-AU"/>
        </w:rPr>
        <w:t xml:space="preserve"> in October 2020</w:t>
      </w:r>
      <w:r w:rsidRPr="00433F80">
        <w:rPr>
          <w:color w:val="auto"/>
          <w:sz w:val="21"/>
          <w:szCs w:val="21"/>
          <w:lang w:val="en-AU"/>
        </w:rPr>
        <w:t>, including by officials involved in Australia-World Bank Partnership in Vietnam</w:t>
      </w:r>
      <w:r w:rsidR="00D722F8" w:rsidRPr="00433F80">
        <w:rPr>
          <w:color w:val="auto"/>
          <w:sz w:val="21"/>
          <w:szCs w:val="21"/>
          <w:lang w:val="en-AU"/>
        </w:rPr>
        <w:t xml:space="preserve"> and a regional nutrition specialist</w:t>
      </w:r>
      <w:r w:rsidRPr="00433F80">
        <w:rPr>
          <w:color w:val="auto"/>
          <w:sz w:val="21"/>
          <w:szCs w:val="21"/>
          <w:lang w:val="en-AU"/>
        </w:rPr>
        <w:t>.</w:t>
      </w:r>
      <w:r w:rsidR="001832C7" w:rsidRPr="00433F80">
        <w:rPr>
          <w:color w:val="auto"/>
          <w:sz w:val="21"/>
          <w:szCs w:val="21"/>
          <w:lang w:val="en-AU"/>
        </w:rPr>
        <w:t xml:space="preserve"> The World Bank review process received strong internal engagement</w:t>
      </w:r>
      <w:r w:rsidR="007A311D" w:rsidRPr="00433F80">
        <w:rPr>
          <w:color w:val="auto"/>
          <w:sz w:val="21"/>
          <w:szCs w:val="21"/>
          <w:lang w:val="en-AU"/>
        </w:rPr>
        <w:t>. Post and the World Bank met to discuss the peer review recommendations, many of which were consistent with recommendations emanating from the DFAT peer review. Key actions implemented subsequent to the World Bank review included: adjusting the proposed governance approach in line with internal World Bank requirements (with DFAT’s consent), adding a unified results framework, and incorporating COVID-19 into the risk assessment</w:t>
      </w:r>
      <w:r w:rsidR="006B3A43" w:rsidRPr="00433F80">
        <w:rPr>
          <w:color w:val="auto"/>
          <w:sz w:val="21"/>
          <w:szCs w:val="21"/>
          <w:lang w:val="en-AU"/>
        </w:rPr>
        <w:t>.</w:t>
      </w:r>
      <w:r w:rsidR="007A311D" w:rsidRPr="00433F80">
        <w:rPr>
          <w:color w:val="auto"/>
          <w:sz w:val="21"/>
          <w:szCs w:val="21"/>
          <w:lang w:val="en-AU"/>
        </w:rPr>
        <w:t xml:space="preserve"> </w:t>
      </w:r>
    </w:p>
    <w:p w14:paraId="637D27EF" w14:textId="71A17124" w:rsidR="00A12C04" w:rsidRPr="00433F80" w:rsidRDefault="00F46ED4" w:rsidP="005E6171">
      <w:pPr>
        <w:tabs>
          <w:tab w:val="left" w:pos="284"/>
        </w:tabs>
        <w:suppressAutoHyphens w:val="0"/>
        <w:spacing w:before="0" w:line="360" w:lineRule="auto"/>
        <w:rPr>
          <w:color w:val="auto"/>
          <w:sz w:val="21"/>
          <w:szCs w:val="21"/>
          <w:lang w:val="en-AU"/>
        </w:rPr>
      </w:pPr>
      <w:r w:rsidRPr="00433F80">
        <w:rPr>
          <w:color w:val="auto"/>
          <w:sz w:val="21"/>
          <w:szCs w:val="21"/>
          <w:lang w:val="en-AU"/>
        </w:rPr>
        <w:t>The World Bank will apply its quality assurance processes to the design</w:t>
      </w:r>
      <w:r w:rsidR="00A46345" w:rsidRPr="00433F80">
        <w:rPr>
          <w:color w:val="auto"/>
          <w:sz w:val="21"/>
          <w:szCs w:val="21"/>
          <w:lang w:val="en-AU"/>
        </w:rPr>
        <w:t xml:space="preserve"> and implementation </w:t>
      </w:r>
      <w:r w:rsidRPr="00433F80">
        <w:rPr>
          <w:color w:val="auto"/>
          <w:sz w:val="21"/>
          <w:szCs w:val="21"/>
          <w:lang w:val="en-AU"/>
        </w:rPr>
        <w:t>of the Partnership</w:t>
      </w:r>
      <w:r w:rsidR="002B45E7" w:rsidRPr="00433F80">
        <w:rPr>
          <w:color w:val="auto"/>
          <w:sz w:val="21"/>
          <w:szCs w:val="21"/>
          <w:lang w:val="en-AU"/>
        </w:rPr>
        <w:t xml:space="preserve"> components</w:t>
      </w:r>
      <w:r w:rsidRPr="00433F80">
        <w:rPr>
          <w:color w:val="auto"/>
          <w:sz w:val="21"/>
          <w:szCs w:val="21"/>
          <w:lang w:val="en-AU"/>
        </w:rPr>
        <w:t>. This will include technical assessment</w:t>
      </w:r>
      <w:r w:rsidR="00F15319" w:rsidRPr="00433F80">
        <w:rPr>
          <w:color w:val="auto"/>
          <w:sz w:val="21"/>
          <w:szCs w:val="21"/>
          <w:lang w:val="en-AU"/>
        </w:rPr>
        <w:t>s,</w:t>
      </w:r>
      <w:r w:rsidRPr="00433F80">
        <w:rPr>
          <w:color w:val="auto"/>
          <w:sz w:val="21"/>
          <w:szCs w:val="21"/>
          <w:lang w:val="en-AU"/>
        </w:rPr>
        <w:t xml:space="preserve"> social and environmental risks, procurement, institutional and financial arrangements, and performance expectations. </w:t>
      </w:r>
      <w:r w:rsidR="00A12C04" w:rsidRPr="00433F80">
        <w:rPr>
          <w:color w:val="auto"/>
          <w:sz w:val="21"/>
          <w:szCs w:val="21"/>
          <w:lang w:val="en-AU"/>
        </w:rPr>
        <w:br w:type="page"/>
      </w:r>
    </w:p>
    <w:p w14:paraId="2F09BF12" w14:textId="77777777" w:rsidR="002D4DE7" w:rsidRPr="00433F80" w:rsidRDefault="002D4DE7" w:rsidP="005E6171">
      <w:pPr>
        <w:numPr>
          <w:ilvl w:val="0"/>
          <w:numId w:val="11"/>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line="360" w:lineRule="auto"/>
        <w:ind w:left="284" w:hanging="284"/>
        <w:rPr>
          <w:rFonts w:asciiTheme="majorHAnsi" w:hAnsiTheme="majorHAnsi"/>
          <w:b/>
          <w:color w:val="auto"/>
          <w:lang w:val="en-AU"/>
        </w:rPr>
      </w:pPr>
      <w:r w:rsidRPr="00433F80">
        <w:rPr>
          <w:rFonts w:asciiTheme="majorHAnsi" w:hAnsiTheme="majorHAnsi"/>
          <w:b/>
          <w:color w:val="auto"/>
          <w:lang w:val="en-AU"/>
        </w:rPr>
        <w:lastRenderedPageBreak/>
        <w:t>Annexes</w:t>
      </w:r>
    </w:p>
    <w:p w14:paraId="1FF014A6" w14:textId="0B05728D" w:rsidR="0069416C" w:rsidRPr="00433F80" w:rsidRDefault="00CC150E" w:rsidP="005E6171">
      <w:pPr>
        <w:numPr>
          <w:ilvl w:val="2"/>
          <w:numId w:val="13"/>
        </w:numPr>
        <w:suppressAutoHyphens w:val="0"/>
        <w:spacing w:before="0" w:after="120" w:line="360" w:lineRule="auto"/>
        <w:ind w:left="567" w:hanging="425"/>
        <w:rPr>
          <w:color w:val="auto"/>
          <w:sz w:val="21"/>
          <w:szCs w:val="21"/>
          <w:lang w:val="en-AU"/>
        </w:rPr>
      </w:pPr>
      <w:r w:rsidRPr="00433F80">
        <w:rPr>
          <w:color w:val="auto"/>
          <w:sz w:val="21"/>
          <w:szCs w:val="21"/>
          <w:lang w:val="en-AU"/>
        </w:rPr>
        <w:t xml:space="preserve">PROMISE Partnership </w:t>
      </w:r>
      <w:r w:rsidR="00AC5F23" w:rsidRPr="00433F80">
        <w:rPr>
          <w:color w:val="auto"/>
          <w:sz w:val="21"/>
          <w:szCs w:val="21"/>
          <w:lang w:val="en-AU"/>
        </w:rPr>
        <w:t xml:space="preserve">Trust Fund </w:t>
      </w:r>
      <w:r w:rsidRPr="00433F80">
        <w:rPr>
          <w:color w:val="auto"/>
          <w:sz w:val="21"/>
          <w:szCs w:val="21"/>
          <w:lang w:val="en-AU"/>
        </w:rPr>
        <w:t xml:space="preserve">Proposal </w:t>
      </w:r>
      <w:r w:rsidR="009933F7" w:rsidRPr="00433F80">
        <w:rPr>
          <w:color w:val="auto"/>
          <w:sz w:val="21"/>
          <w:szCs w:val="21"/>
          <w:lang w:val="en-AU"/>
        </w:rPr>
        <w:t>(separate attachment</w:t>
      </w:r>
      <w:r w:rsidRPr="00433F80">
        <w:rPr>
          <w:color w:val="auto"/>
          <w:sz w:val="21"/>
          <w:szCs w:val="21"/>
          <w:lang w:val="en-AU"/>
        </w:rPr>
        <w:t xml:space="preserve"> in PDF format</w:t>
      </w:r>
      <w:r w:rsidR="009933F7" w:rsidRPr="00433F80">
        <w:rPr>
          <w:color w:val="auto"/>
          <w:sz w:val="21"/>
          <w:szCs w:val="21"/>
          <w:lang w:val="en-AU"/>
        </w:rPr>
        <w:t>)</w:t>
      </w:r>
    </w:p>
    <w:p w14:paraId="05A69D27" w14:textId="15843591" w:rsidR="00C80DD2" w:rsidRPr="00433F80" w:rsidRDefault="00C80DD2" w:rsidP="005E6171">
      <w:pPr>
        <w:numPr>
          <w:ilvl w:val="2"/>
          <w:numId w:val="13"/>
        </w:numPr>
        <w:suppressAutoHyphens w:val="0"/>
        <w:spacing w:before="0" w:after="120" w:line="360" w:lineRule="auto"/>
        <w:ind w:left="567" w:hanging="425"/>
        <w:rPr>
          <w:color w:val="auto"/>
          <w:sz w:val="21"/>
          <w:szCs w:val="21"/>
          <w:lang w:val="en-AU"/>
        </w:rPr>
      </w:pPr>
      <w:r w:rsidRPr="00433F80">
        <w:rPr>
          <w:color w:val="auto"/>
          <w:sz w:val="21"/>
          <w:szCs w:val="21"/>
          <w:lang w:val="en-AU"/>
        </w:rPr>
        <w:t>Overview of the Health Equity and Quality Improvement Project</w:t>
      </w:r>
    </w:p>
    <w:p w14:paraId="1414E239" w14:textId="6B0847FD" w:rsidR="00C80DD2" w:rsidRPr="00433F80" w:rsidRDefault="00C80DD2" w:rsidP="005E6171">
      <w:pPr>
        <w:numPr>
          <w:ilvl w:val="2"/>
          <w:numId w:val="13"/>
        </w:numPr>
        <w:suppressAutoHyphens w:val="0"/>
        <w:spacing w:before="0" w:after="120" w:line="360" w:lineRule="auto"/>
        <w:ind w:left="567" w:hanging="425"/>
        <w:rPr>
          <w:color w:val="auto"/>
          <w:sz w:val="21"/>
          <w:szCs w:val="21"/>
          <w:lang w:val="en-AU"/>
        </w:rPr>
      </w:pPr>
      <w:r w:rsidRPr="00433F80">
        <w:rPr>
          <w:color w:val="auto"/>
          <w:sz w:val="21"/>
          <w:szCs w:val="21"/>
          <w:lang w:val="en-AU"/>
        </w:rPr>
        <w:t>Overview of the Implementation of the Social Accountability Framework</w:t>
      </w:r>
      <w:r w:rsidR="00ED4415" w:rsidRPr="00433F80">
        <w:rPr>
          <w:color w:val="auto"/>
          <w:sz w:val="21"/>
          <w:szCs w:val="21"/>
          <w:lang w:val="en-AU"/>
        </w:rPr>
        <w:t xml:space="preserve"> project</w:t>
      </w:r>
    </w:p>
    <w:p w14:paraId="11BF585A" w14:textId="4F956F5A" w:rsidR="00AC5F23" w:rsidRPr="00433F80" w:rsidRDefault="00AC5F23" w:rsidP="005E6171">
      <w:pPr>
        <w:numPr>
          <w:ilvl w:val="2"/>
          <w:numId w:val="13"/>
        </w:numPr>
        <w:suppressAutoHyphens w:val="0"/>
        <w:spacing w:before="0" w:after="120" w:line="360" w:lineRule="auto"/>
        <w:ind w:left="567" w:hanging="425"/>
        <w:rPr>
          <w:color w:val="auto"/>
          <w:sz w:val="21"/>
          <w:szCs w:val="21"/>
          <w:lang w:val="en-AU"/>
        </w:rPr>
      </w:pPr>
      <w:r w:rsidRPr="00433F80">
        <w:rPr>
          <w:color w:val="auto"/>
          <w:sz w:val="21"/>
          <w:szCs w:val="21"/>
          <w:lang w:val="en-AU"/>
        </w:rPr>
        <w:t xml:space="preserve">Draft Operations Manual for Partnership Trust Fund </w:t>
      </w:r>
      <w:r w:rsidR="000E3FD5" w:rsidRPr="00433F80">
        <w:rPr>
          <w:color w:val="auto"/>
          <w:sz w:val="21"/>
          <w:szCs w:val="21"/>
          <w:lang w:val="en-AU"/>
        </w:rPr>
        <w:t>G</w:t>
      </w:r>
      <w:r w:rsidRPr="00433F80">
        <w:rPr>
          <w:color w:val="auto"/>
          <w:sz w:val="21"/>
          <w:szCs w:val="21"/>
          <w:lang w:val="en-AU"/>
        </w:rPr>
        <w:t>overnance</w:t>
      </w:r>
      <w:r w:rsidR="009933F7" w:rsidRPr="00433F80">
        <w:rPr>
          <w:color w:val="auto"/>
          <w:sz w:val="21"/>
          <w:szCs w:val="21"/>
          <w:lang w:val="en-AU"/>
        </w:rPr>
        <w:t xml:space="preserve"> (separate attachment</w:t>
      </w:r>
      <w:r w:rsidR="00C955A6" w:rsidRPr="00433F80">
        <w:rPr>
          <w:color w:val="auto"/>
          <w:sz w:val="21"/>
          <w:szCs w:val="21"/>
          <w:lang w:val="en-AU"/>
        </w:rPr>
        <w:t xml:space="preserve"> in Word format</w:t>
      </w:r>
      <w:r w:rsidR="009933F7" w:rsidRPr="00433F80">
        <w:rPr>
          <w:color w:val="auto"/>
          <w:sz w:val="21"/>
          <w:szCs w:val="21"/>
          <w:lang w:val="en-AU"/>
        </w:rPr>
        <w:t>)</w:t>
      </w:r>
    </w:p>
    <w:p w14:paraId="18D6E295" w14:textId="24DA0ABC" w:rsidR="00820932" w:rsidRPr="00433F80" w:rsidRDefault="00820932" w:rsidP="005E6171">
      <w:pPr>
        <w:numPr>
          <w:ilvl w:val="2"/>
          <w:numId w:val="13"/>
        </w:numPr>
        <w:suppressAutoHyphens w:val="0"/>
        <w:spacing w:before="0" w:after="120" w:line="360" w:lineRule="auto"/>
        <w:ind w:left="567" w:hanging="425"/>
        <w:rPr>
          <w:color w:val="auto"/>
          <w:sz w:val="21"/>
          <w:szCs w:val="21"/>
          <w:lang w:val="en-AU"/>
        </w:rPr>
      </w:pPr>
      <w:r w:rsidRPr="00433F80">
        <w:rPr>
          <w:color w:val="auto"/>
          <w:sz w:val="21"/>
          <w:szCs w:val="21"/>
          <w:lang w:val="en-AU" w:eastAsia="en-AU"/>
        </w:rPr>
        <w:t>Indicative PROMISE Partnership Results Framework</w:t>
      </w:r>
    </w:p>
    <w:p w14:paraId="6395315C" w14:textId="08D7E5FC" w:rsidR="00CF4CC4" w:rsidRPr="00433F80" w:rsidRDefault="00C07FCA" w:rsidP="005E6171">
      <w:pPr>
        <w:numPr>
          <w:ilvl w:val="2"/>
          <w:numId w:val="13"/>
        </w:numPr>
        <w:suppressAutoHyphens w:val="0"/>
        <w:spacing w:before="0" w:after="120" w:line="360" w:lineRule="auto"/>
        <w:ind w:left="567" w:hanging="425"/>
        <w:rPr>
          <w:color w:val="auto"/>
          <w:sz w:val="21"/>
          <w:szCs w:val="21"/>
          <w:lang w:val="en-AU"/>
        </w:rPr>
      </w:pPr>
      <w:r w:rsidRPr="00433F80">
        <w:rPr>
          <w:color w:val="auto"/>
          <w:sz w:val="21"/>
          <w:szCs w:val="21"/>
          <w:lang w:val="en-AU"/>
        </w:rPr>
        <w:t>ISAF II</w:t>
      </w:r>
      <w:r w:rsidR="00AC5F23" w:rsidRPr="00433F80">
        <w:rPr>
          <w:color w:val="auto"/>
          <w:sz w:val="21"/>
          <w:szCs w:val="21"/>
          <w:lang w:val="en-AU"/>
        </w:rPr>
        <w:t xml:space="preserve"> Theory of Change </w:t>
      </w:r>
    </w:p>
    <w:p w14:paraId="185482B2" w14:textId="77777777" w:rsidR="00C955A6" w:rsidRPr="00433F80" w:rsidRDefault="00ED4415" w:rsidP="005E6171">
      <w:pPr>
        <w:numPr>
          <w:ilvl w:val="2"/>
          <w:numId w:val="13"/>
        </w:numPr>
        <w:suppressAutoHyphens w:val="0"/>
        <w:spacing w:before="0" w:after="120" w:line="360" w:lineRule="auto"/>
        <w:ind w:left="567" w:hanging="425"/>
        <w:rPr>
          <w:color w:val="auto"/>
          <w:sz w:val="21"/>
          <w:szCs w:val="21"/>
          <w:lang w:val="en-AU"/>
        </w:rPr>
      </w:pPr>
      <w:r w:rsidRPr="00433F80">
        <w:rPr>
          <w:color w:val="auto"/>
          <w:sz w:val="21"/>
          <w:szCs w:val="21"/>
          <w:lang w:val="en-AU"/>
        </w:rPr>
        <w:t xml:space="preserve">PROMISE Partnership </w:t>
      </w:r>
      <w:r w:rsidR="000E3FD5" w:rsidRPr="00433F80">
        <w:rPr>
          <w:color w:val="auto"/>
          <w:sz w:val="21"/>
          <w:szCs w:val="21"/>
          <w:lang w:val="en-AU"/>
        </w:rPr>
        <w:t xml:space="preserve">Trust Fund </w:t>
      </w:r>
      <w:r w:rsidR="002D4DE7" w:rsidRPr="00433F80">
        <w:rPr>
          <w:color w:val="auto"/>
          <w:sz w:val="21"/>
          <w:szCs w:val="21"/>
          <w:lang w:val="en-AU"/>
        </w:rPr>
        <w:t>Budget</w:t>
      </w:r>
    </w:p>
    <w:p w14:paraId="13E805C5" w14:textId="452BC413" w:rsidR="002D4DE7" w:rsidRPr="00433F80" w:rsidRDefault="00C955A6" w:rsidP="005E6171">
      <w:pPr>
        <w:numPr>
          <w:ilvl w:val="2"/>
          <w:numId w:val="13"/>
        </w:numPr>
        <w:suppressAutoHyphens w:val="0"/>
        <w:spacing w:before="0" w:after="120" w:line="360" w:lineRule="auto"/>
        <w:ind w:left="567" w:hanging="425"/>
        <w:rPr>
          <w:color w:val="auto"/>
          <w:sz w:val="21"/>
          <w:szCs w:val="21"/>
          <w:lang w:val="en-AU"/>
        </w:rPr>
      </w:pPr>
      <w:r w:rsidRPr="00433F80">
        <w:rPr>
          <w:color w:val="auto"/>
          <w:sz w:val="21"/>
          <w:szCs w:val="21"/>
          <w:lang w:val="en-AU"/>
        </w:rPr>
        <w:t>DFAT Risk and Safeguards Screening Tool (Separate Attachment in Excel format)</w:t>
      </w:r>
      <w:r w:rsidR="002D4DE7" w:rsidRPr="00433F80">
        <w:rPr>
          <w:color w:val="auto"/>
          <w:sz w:val="21"/>
          <w:szCs w:val="21"/>
          <w:lang w:val="en-AU"/>
        </w:rPr>
        <w:t xml:space="preserve"> </w:t>
      </w:r>
    </w:p>
    <w:p w14:paraId="303757E0" w14:textId="48EBCBD9" w:rsidR="002D4DE7" w:rsidRPr="00433F80" w:rsidRDefault="002D4DE7" w:rsidP="005E6171">
      <w:pPr>
        <w:tabs>
          <w:tab w:val="left" w:pos="284"/>
        </w:tabs>
        <w:suppressAutoHyphens w:val="0"/>
        <w:spacing w:before="0" w:line="360" w:lineRule="auto"/>
        <w:rPr>
          <w:rFonts w:eastAsia="Times New Roman" w:cs="Arial"/>
          <w:i/>
          <w:color w:val="auto"/>
          <w:sz w:val="21"/>
          <w:szCs w:val="21"/>
          <w:lang w:val="en-AU" w:eastAsia="en-AU"/>
        </w:rPr>
      </w:pPr>
    </w:p>
    <w:p w14:paraId="212B7D7D" w14:textId="17821452" w:rsidR="0002644C" w:rsidRPr="00433F80" w:rsidRDefault="0002644C" w:rsidP="005E6171">
      <w:pPr>
        <w:suppressAutoHyphens w:val="0"/>
        <w:spacing w:before="0" w:after="120" w:line="360" w:lineRule="auto"/>
        <w:rPr>
          <w:color w:val="auto"/>
          <w:lang w:val="en-AU"/>
        </w:rPr>
      </w:pPr>
    </w:p>
    <w:p w14:paraId="74524F59" w14:textId="5110197D" w:rsidR="009516C7" w:rsidRPr="00433F80" w:rsidRDefault="009516C7" w:rsidP="005E6171">
      <w:pPr>
        <w:suppressAutoHyphens w:val="0"/>
        <w:spacing w:before="0" w:after="120" w:line="360" w:lineRule="auto"/>
        <w:rPr>
          <w:color w:val="auto"/>
          <w:lang w:val="en-AU"/>
        </w:rPr>
      </w:pPr>
      <w:r w:rsidRPr="00433F80">
        <w:rPr>
          <w:color w:val="auto"/>
          <w:lang w:val="en-AU"/>
        </w:rPr>
        <w:br w:type="page"/>
      </w:r>
    </w:p>
    <w:p w14:paraId="2FF133FF" w14:textId="4A856C81" w:rsidR="00C80DD2" w:rsidRPr="00433F80" w:rsidRDefault="00C80DD2" w:rsidP="005E6171">
      <w:pPr>
        <w:pBdr>
          <w:bottom w:val="single" w:sz="4" w:space="1" w:color="auto"/>
        </w:pBdr>
        <w:suppressAutoHyphens w:val="0"/>
        <w:spacing w:before="0" w:after="120" w:line="360" w:lineRule="auto"/>
        <w:rPr>
          <w:rFonts w:eastAsiaTheme="majorEastAsia" w:cstheme="majorBidi"/>
          <w:color w:val="auto"/>
          <w:sz w:val="38"/>
          <w:szCs w:val="38"/>
          <w:lang w:val="en-AU"/>
        </w:rPr>
      </w:pPr>
      <w:r w:rsidRPr="00433F80">
        <w:rPr>
          <w:rFonts w:eastAsiaTheme="majorEastAsia" w:cstheme="majorBidi"/>
          <w:color w:val="auto"/>
          <w:sz w:val="38"/>
          <w:szCs w:val="38"/>
          <w:lang w:val="en-AU"/>
        </w:rPr>
        <w:lastRenderedPageBreak/>
        <w:t>Annex 2: Overview of the Health Equity and Quality Improvement Project (H-EQIP)</w:t>
      </w:r>
    </w:p>
    <w:p w14:paraId="5364850B" w14:textId="77777777" w:rsidR="00C80DD2" w:rsidRPr="00433F80" w:rsidRDefault="00C80DD2" w:rsidP="005E6171">
      <w:pPr>
        <w:spacing w:line="360" w:lineRule="auto"/>
        <w:jc w:val="both"/>
        <w:rPr>
          <w:color w:val="auto"/>
          <w:sz w:val="21"/>
          <w:szCs w:val="21"/>
          <w:lang w:val="en-AU"/>
        </w:rPr>
      </w:pPr>
      <w:r w:rsidRPr="00433F80">
        <w:rPr>
          <w:color w:val="auto"/>
          <w:sz w:val="21"/>
          <w:szCs w:val="21"/>
          <w:lang w:val="en-AU"/>
        </w:rPr>
        <w:t xml:space="preserve">H-EQIP aims to improve the quality of healthcare in Cambodia, increase utilisation of services by the poor and strengthen health systems. A large portion of H-EQIP funding is tied to results and is designed to reward reform and tangible improvement in health service delivery at 1,300 health facilities nation-wide.  </w:t>
      </w:r>
    </w:p>
    <w:p w14:paraId="5250D4CE" w14:textId="77777777" w:rsidR="00C80DD2" w:rsidRPr="00433F80" w:rsidRDefault="00C80DD2" w:rsidP="005E6171">
      <w:pPr>
        <w:spacing w:line="360" w:lineRule="auto"/>
        <w:jc w:val="both"/>
        <w:rPr>
          <w:color w:val="auto"/>
          <w:sz w:val="21"/>
          <w:szCs w:val="21"/>
          <w:lang w:val="en-AU"/>
        </w:rPr>
      </w:pPr>
      <w:r w:rsidRPr="00433F80">
        <w:rPr>
          <w:color w:val="auto"/>
          <w:sz w:val="21"/>
          <w:szCs w:val="21"/>
          <w:lang w:val="en-AU"/>
        </w:rPr>
        <w:t xml:space="preserve">Australia is investing AUD50 million in H-EQIP (2016-2022) through a Multi-Donor Trust Fund (MDTF) of USD181 million, which is administered by the World Bank. The Cambodian Ministry of Health implements the project. The Cambodian Government contributes more than two thirds of H-EQIP-related funding, including an International Development Association loan of USD30 million. Australia is the largest MDTF donor and played a lead role in the design of project. Australia cooperates closely with Germany and Korea, the other two MDTF donors, through the MDTF management committee which Australia currently chairs. H-EQIP was Korea’s first time participating in a pooled funding arrangement globally. </w:t>
      </w:r>
    </w:p>
    <w:p w14:paraId="0200CC90" w14:textId="77777777" w:rsidR="00C80DD2" w:rsidRPr="00433F80" w:rsidRDefault="00C80DD2" w:rsidP="005E6171">
      <w:pPr>
        <w:spacing w:line="360" w:lineRule="auto"/>
        <w:jc w:val="both"/>
        <w:rPr>
          <w:color w:val="auto"/>
          <w:sz w:val="21"/>
          <w:szCs w:val="21"/>
          <w:lang w:val="en-AU"/>
        </w:rPr>
      </w:pPr>
      <w:r w:rsidRPr="00433F80">
        <w:rPr>
          <w:color w:val="auto"/>
          <w:sz w:val="21"/>
          <w:szCs w:val="21"/>
          <w:lang w:val="en-AU"/>
        </w:rPr>
        <w:t>Mid-term results are very encouraging. The new Payment Certification Agency has enabled the Cambodian Government to take over “check and balance” quality assurance functions previously undertaken by international partners. This includes verifying payments to health facilities to reimburse the cost of providing services to approximately 2.4 million poor Cambodians (more than 15 percent of the population) through the Health Equity Fund. The Cambodian Government contributed 67 per cent of costs in 2019. Approximately USD35 million in Australian grants is leveraging more than USD120 in Cambodian Government and IDA financing.</w:t>
      </w:r>
    </w:p>
    <w:p w14:paraId="73B46F19" w14:textId="7CB2C2F0" w:rsidR="00C80DD2" w:rsidRPr="00433F80" w:rsidRDefault="00C80DD2" w:rsidP="005E6171">
      <w:pPr>
        <w:spacing w:line="360" w:lineRule="auto"/>
        <w:jc w:val="both"/>
        <w:rPr>
          <w:color w:val="auto"/>
          <w:sz w:val="21"/>
          <w:szCs w:val="21"/>
          <w:lang w:val="en-AU"/>
        </w:rPr>
      </w:pPr>
      <w:r w:rsidRPr="00433F80">
        <w:rPr>
          <w:color w:val="auto"/>
          <w:sz w:val="21"/>
          <w:szCs w:val="21"/>
          <w:lang w:val="en-AU"/>
        </w:rPr>
        <w:t xml:space="preserve">The quality of services at most local health centres and hospitals is improving (average scores on a standardised quality assessment have increased from 45 per cent to 77 per cent). There are early signs that the proportion of households experiencing impoverishing health expenditure </w:t>
      </w:r>
      <w:r w:rsidR="009516C7" w:rsidRPr="00433F80">
        <w:rPr>
          <w:color w:val="auto"/>
          <w:sz w:val="21"/>
          <w:szCs w:val="21"/>
          <w:lang w:val="en-AU"/>
        </w:rPr>
        <w:t>may be</w:t>
      </w:r>
      <w:r w:rsidRPr="00433F80">
        <w:rPr>
          <w:color w:val="auto"/>
          <w:sz w:val="21"/>
          <w:szCs w:val="21"/>
          <w:lang w:val="en-AU"/>
        </w:rPr>
        <w:t xml:space="preserve"> declining. Senior officials from the Ministry of Economy and Finance see H-EQIP as a model of reform to be replicated in other social sectors (for example improving services using performance-based financing, information technology reform, integration of stakeholder feedback, and institutional reforms).  </w:t>
      </w:r>
    </w:p>
    <w:p w14:paraId="6C171A87" w14:textId="0CAA99E6" w:rsidR="00C80DD2" w:rsidRPr="00433F80" w:rsidRDefault="00C80DD2" w:rsidP="005E6171">
      <w:pPr>
        <w:spacing w:line="360" w:lineRule="auto"/>
        <w:jc w:val="both"/>
        <w:rPr>
          <w:color w:val="auto"/>
          <w:sz w:val="21"/>
          <w:szCs w:val="21"/>
          <w:lang w:val="en-AU"/>
        </w:rPr>
      </w:pPr>
      <w:r w:rsidRPr="00433F80">
        <w:rPr>
          <w:color w:val="auto"/>
          <w:sz w:val="21"/>
          <w:szCs w:val="21"/>
          <w:lang w:val="en-AU"/>
        </w:rPr>
        <w:t>H-EQIP’s Contingency Emergency Response Component was activated for the first time in response to COVID-19. This in-built mechanism enabled the Cambodian Government to procure a range of vital medical equipment and supplies including a PCR machine, testing reagents and ventilators, valued at approximately USD14 million. This amount included a grant from H-EQIP pooled fund partners for 20 ambulances, valued at approximately US</w:t>
      </w:r>
      <w:r w:rsidR="00B973B7" w:rsidRPr="00433F80">
        <w:rPr>
          <w:color w:val="auto"/>
          <w:sz w:val="21"/>
          <w:szCs w:val="21"/>
          <w:lang w:val="en-AU"/>
        </w:rPr>
        <w:t>D</w:t>
      </w:r>
      <w:r w:rsidRPr="00433F80">
        <w:rPr>
          <w:color w:val="auto"/>
          <w:sz w:val="21"/>
          <w:szCs w:val="21"/>
          <w:lang w:val="en-AU"/>
        </w:rPr>
        <w:t>1 million.</w:t>
      </w:r>
    </w:p>
    <w:p w14:paraId="0E34D84A" w14:textId="77777777" w:rsidR="00237DD9" w:rsidRDefault="00C80DD2" w:rsidP="005E6171">
      <w:pPr>
        <w:spacing w:line="360" w:lineRule="auto"/>
        <w:jc w:val="both"/>
        <w:rPr>
          <w:color w:val="auto"/>
          <w:sz w:val="21"/>
          <w:szCs w:val="21"/>
          <w:lang w:val="en-AU"/>
        </w:rPr>
      </w:pPr>
      <w:r w:rsidRPr="00433F80">
        <w:rPr>
          <w:color w:val="auto"/>
          <w:sz w:val="21"/>
          <w:szCs w:val="21"/>
          <w:lang w:val="en-AU"/>
        </w:rPr>
        <w:t xml:space="preserve">Phase 1 of H-EQIP will conclude by the end of June 2022, with </w:t>
      </w:r>
      <w:r w:rsidR="00834A56" w:rsidRPr="00433F80">
        <w:rPr>
          <w:color w:val="auto"/>
          <w:sz w:val="21"/>
          <w:szCs w:val="21"/>
          <w:lang w:val="en-AU"/>
        </w:rPr>
        <w:t>activities</w:t>
      </w:r>
      <w:r w:rsidR="009516C7" w:rsidRPr="00433F80">
        <w:rPr>
          <w:color w:val="auto"/>
          <w:sz w:val="21"/>
          <w:szCs w:val="21"/>
          <w:lang w:val="en-AU"/>
        </w:rPr>
        <w:t xml:space="preserve"> expected to end by around</w:t>
      </w:r>
      <w:r w:rsidRPr="00433F80">
        <w:rPr>
          <w:color w:val="auto"/>
          <w:sz w:val="21"/>
          <w:szCs w:val="21"/>
          <w:lang w:val="en-AU"/>
        </w:rPr>
        <w:t xml:space="preserve"> December 2021. </w:t>
      </w:r>
    </w:p>
    <w:p w14:paraId="509073FC" w14:textId="77777777" w:rsidR="00237DD9" w:rsidRDefault="00237DD9">
      <w:pPr>
        <w:suppressAutoHyphens w:val="0"/>
        <w:spacing w:before="0" w:after="120" w:line="440" w:lineRule="atLeast"/>
        <w:rPr>
          <w:color w:val="auto"/>
          <w:sz w:val="21"/>
          <w:szCs w:val="21"/>
          <w:lang w:val="en-AU"/>
        </w:rPr>
      </w:pPr>
      <w:r>
        <w:rPr>
          <w:color w:val="auto"/>
          <w:sz w:val="21"/>
          <w:szCs w:val="21"/>
          <w:lang w:val="en-AU"/>
        </w:rPr>
        <w:br w:type="page"/>
      </w:r>
    </w:p>
    <w:p w14:paraId="339CC589" w14:textId="1C5A558B" w:rsidR="00C80DD2" w:rsidRPr="00433F80" w:rsidRDefault="00C80DD2" w:rsidP="005E6171">
      <w:pPr>
        <w:spacing w:line="360" w:lineRule="auto"/>
        <w:jc w:val="both"/>
        <w:rPr>
          <w:b/>
          <w:color w:val="auto"/>
          <w:sz w:val="21"/>
          <w:szCs w:val="21"/>
          <w:lang w:val="en-AU"/>
        </w:rPr>
      </w:pPr>
      <w:r w:rsidRPr="00433F80">
        <w:rPr>
          <w:b/>
          <w:color w:val="auto"/>
          <w:sz w:val="21"/>
          <w:szCs w:val="21"/>
          <w:lang w:val="en-AU"/>
        </w:rPr>
        <w:lastRenderedPageBreak/>
        <w:t>Design of H-EQIP 2</w:t>
      </w:r>
    </w:p>
    <w:p w14:paraId="2052F1A3" w14:textId="77777777" w:rsidR="00C80DD2" w:rsidRPr="00433F80" w:rsidRDefault="00C80DD2" w:rsidP="005E6171">
      <w:pPr>
        <w:spacing w:line="360" w:lineRule="auto"/>
        <w:jc w:val="both"/>
        <w:rPr>
          <w:color w:val="auto"/>
          <w:sz w:val="21"/>
          <w:szCs w:val="21"/>
          <w:lang w:val="en-AU"/>
        </w:rPr>
      </w:pPr>
      <w:r w:rsidRPr="00433F80">
        <w:rPr>
          <w:color w:val="auto"/>
          <w:sz w:val="21"/>
          <w:szCs w:val="21"/>
          <w:lang w:val="en-AU"/>
        </w:rPr>
        <w:t xml:space="preserve">Preparation has commenced for a H-EQIP successor program to be implemented from November 2021. A H-EQIP 2 will build on the strengths of H-EQIP 1, continuing to focus on Cambodian Government ownership and financing, institutional sustainability and inclusive social health protection. The World Bank is leading planning with the Cambodian Government, backed by indications of support from all three existing pooled fund partners. </w:t>
      </w:r>
    </w:p>
    <w:p w14:paraId="300B587E" w14:textId="77777777" w:rsidR="00834A56" w:rsidRPr="00433F80" w:rsidRDefault="00C80DD2" w:rsidP="005E6171">
      <w:pPr>
        <w:spacing w:line="360" w:lineRule="auto"/>
        <w:jc w:val="both"/>
        <w:rPr>
          <w:color w:val="auto"/>
          <w:sz w:val="21"/>
          <w:szCs w:val="21"/>
          <w:lang w:val="en-AU"/>
        </w:rPr>
      </w:pPr>
      <w:r w:rsidRPr="00433F80">
        <w:rPr>
          <w:color w:val="auto"/>
          <w:sz w:val="21"/>
          <w:szCs w:val="21"/>
          <w:lang w:val="en-AU"/>
        </w:rPr>
        <w:t>Australia is well positioned to influence the H-EQIP 2 design process through our established reputation and experience in Cambodian health systems reform.</w:t>
      </w:r>
      <w:r w:rsidR="00834A56" w:rsidRPr="00433F80">
        <w:rPr>
          <w:color w:val="auto"/>
          <w:sz w:val="21"/>
          <w:szCs w:val="21"/>
          <w:lang w:val="en-AU"/>
        </w:rPr>
        <w:t xml:space="preserve"> DFAT is also currently chair of the Pooled Fund Partners Management Committee, which involves chairing many of the design and regular management meetings.</w:t>
      </w:r>
    </w:p>
    <w:p w14:paraId="290CBE07" w14:textId="05E8158D" w:rsidR="00C80DD2" w:rsidRPr="00433F80" w:rsidRDefault="00C80DD2" w:rsidP="005E6171">
      <w:pPr>
        <w:spacing w:line="360" w:lineRule="auto"/>
        <w:jc w:val="both"/>
        <w:rPr>
          <w:color w:val="auto"/>
          <w:sz w:val="21"/>
          <w:szCs w:val="21"/>
          <w:lang w:val="en-AU"/>
        </w:rPr>
      </w:pPr>
      <w:r w:rsidRPr="00433F80">
        <w:rPr>
          <w:color w:val="auto"/>
          <w:sz w:val="21"/>
          <w:szCs w:val="21"/>
          <w:lang w:val="en-AU"/>
        </w:rPr>
        <w:t xml:space="preserve">Enhancing gender and ensuring H-EQIP continues to be a platform that drives reform across the Cambodian Government are important priorities for DFAT. The World Bank has mobilised two gender specialists (one international and one national) to aid with the design process. The World Bank conducted an Identification Mission in August 2020 and is now preparing a H-EQIP 2 Concept Note. </w:t>
      </w:r>
      <w:r w:rsidR="00834A56" w:rsidRPr="00433F80">
        <w:rPr>
          <w:color w:val="auto"/>
          <w:sz w:val="21"/>
          <w:szCs w:val="21"/>
          <w:lang w:val="en-AU"/>
        </w:rPr>
        <w:t>Post is drawing on inputs from a PFM adviser, a health financing adviser and a gender adviser to influence the design.</w:t>
      </w:r>
    </w:p>
    <w:p w14:paraId="68E2D4C7" w14:textId="77777777" w:rsidR="00C80DD2" w:rsidRPr="00433F80" w:rsidRDefault="00C80DD2" w:rsidP="005E6171">
      <w:pPr>
        <w:spacing w:line="360" w:lineRule="auto"/>
        <w:jc w:val="both"/>
        <w:rPr>
          <w:color w:val="auto"/>
          <w:sz w:val="21"/>
          <w:szCs w:val="21"/>
          <w:lang w:val="en-AU"/>
        </w:rPr>
      </w:pPr>
    </w:p>
    <w:p w14:paraId="6109C602" w14:textId="77777777" w:rsidR="00C80DD2" w:rsidRPr="00433F80" w:rsidRDefault="00C80DD2" w:rsidP="005E6171">
      <w:pPr>
        <w:spacing w:line="360" w:lineRule="auto"/>
        <w:jc w:val="both"/>
        <w:rPr>
          <w:color w:val="auto"/>
          <w:sz w:val="21"/>
          <w:szCs w:val="21"/>
          <w:lang w:val="en-AU"/>
        </w:rPr>
      </w:pPr>
    </w:p>
    <w:p w14:paraId="0927B9A5" w14:textId="74C88FC5" w:rsidR="00C80DD2" w:rsidRPr="00433F80" w:rsidRDefault="00C80DD2" w:rsidP="005E6171">
      <w:pPr>
        <w:pBdr>
          <w:bottom w:val="single" w:sz="4" w:space="1" w:color="auto"/>
        </w:pBdr>
        <w:suppressAutoHyphens w:val="0"/>
        <w:spacing w:before="0" w:after="120" w:line="360" w:lineRule="auto"/>
        <w:rPr>
          <w:rFonts w:eastAsiaTheme="majorEastAsia" w:cstheme="majorBidi"/>
          <w:color w:val="auto"/>
          <w:sz w:val="38"/>
          <w:szCs w:val="38"/>
          <w:lang w:val="en-AU"/>
        </w:rPr>
      </w:pPr>
      <w:r w:rsidRPr="00433F80">
        <w:rPr>
          <w:rFonts w:eastAsia="Times New Roman" w:cs="Arial"/>
          <w:color w:val="auto"/>
          <w:sz w:val="21"/>
          <w:szCs w:val="21"/>
          <w:lang w:val="en-AU" w:eastAsia="en-AU"/>
        </w:rPr>
        <w:br w:type="page"/>
      </w:r>
      <w:r w:rsidRPr="00433F80">
        <w:rPr>
          <w:rFonts w:eastAsiaTheme="majorEastAsia" w:cstheme="majorBidi"/>
          <w:color w:val="auto"/>
          <w:sz w:val="38"/>
          <w:szCs w:val="38"/>
          <w:lang w:val="en-AU"/>
        </w:rPr>
        <w:lastRenderedPageBreak/>
        <w:t>Annex 3: Overview of the Implementation of the Social Accountability Framework (ISAF)</w:t>
      </w:r>
    </w:p>
    <w:p w14:paraId="5409B779" w14:textId="77777777" w:rsidR="00C80DD2" w:rsidRPr="00433F80" w:rsidRDefault="00C80DD2" w:rsidP="005E6171">
      <w:pPr>
        <w:spacing w:line="360" w:lineRule="auto"/>
        <w:rPr>
          <w:color w:val="auto"/>
          <w:sz w:val="21"/>
          <w:szCs w:val="21"/>
          <w:lang w:val="en-AU"/>
        </w:rPr>
      </w:pPr>
      <w:r w:rsidRPr="00433F80">
        <w:rPr>
          <w:color w:val="auto"/>
          <w:sz w:val="21"/>
          <w:szCs w:val="21"/>
          <w:lang w:val="en-AU"/>
        </w:rPr>
        <w:t>ISAF is the implementation plan for the Cambodian Government’s Social Accountability Framework, which aims to empower citizens to hold local government officials accountable for service delivery and budget allocation. ISAF is the responsibility of the National Committee for Sub-National Democratic Development (an inter-agency committee headed by the Minister of Interior). The initiative is currently moving from Phase 1 to Phase 2.</w:t>
      </w:r>
    </w:p>
    <w:p w14:paraId="13D07035" w14:textId="77777777" w:rsidR="00C80DD2" w:rsidRPr="00433F80" w:rsidRDefault="00C80DD2" w:rsidP="005E6171">
      <w:pPr>
        <w:spacing w:line="360" w:lineRule="auto"/>
        <w:rPr>
          <w:color w:val="auto"/>
          <w:sz w:val="21"/>
          <w:szCs w:val="21"/>
          <w:u w:val="single"/>
          <w:lang w:val="en-AU"/>
        </w:rPr>
      </w:pPr>
      <w:r w:rsidRPr="00433F80">
        <w:rPr>
          <w:color w:val="auto"/>
          <w:sz w:val="21"/>
          <w:szCs w:val="21"/>
          <w:u w:val="single"/>
          <w:lang w:val="en-AU"/>
        </w:rPr>
        <w:t>Phase 1</w:t>
      </w:r>
    </w:p>
    <w:p w14:paraId="3E6D4D2A" w14:textId="77777777" w:rsidR="00C80DD2" w:rsidRPr="00433F80" w:rsidRDefault="00C80DD2" w:rsidP="005E6171">
      <w:pPr>
        <w:spacing w:line="360" w:lineRule="auto"/>
        <w:rPr>
          <w:color w:val="auto"/>
          <w:sz w:val="21"/>
          <w:szCs w:val="21"/>
          <w:lang w:val="en-AU"/>
        </w:rPr>
      </w:pPr>
      <w:r w:rsidRPr="00433F80">
        <w:rPr>
          <w:color w:val="auto"/>
          <w:sz w:val="21"/>
          <w:szCs w:val="21"/>
          <w:lang w:val="en-AU"/>
        </w:rPr>
        <w:t xml:space="preserve">ISAF Phase 1 (2015-18) focussed on primary schools, health centres and commune services. Under the project, these facilities publicly release budget and performance data and have their services monitored and assessed by community volunteers, resulting in agreed actions for improvement. Implementer reviews and stakeholder feedback on the project are positive (Post has visited several ISAF sites). </w:t>
      </w:r>
    </w:p>
    <w:p w14:paraId="023608AC" w14:textId="77777777" w:rsidR="00C80DD2" w:rsidRPr="00433F80" w:rsidRDefault="00C80DD2" w:rsidP="005E6171">
      <w:pPr>
        <w:spacing w:after="120" w:line="360" w:lineRule="auto"/>
        <w:rPr>
          <w:color w:val="auto"/>
          <w:sz w:val="21"/>
          <w:szCs w:val="21"/>
          <w:lang w:val="en-AU"/>
        </w:rPr>
      </w:pPr>
      <w:r w:rsidRPr="00433F80">
        <w:rPr>
          <w:color w:val="auto"/>
          <w:sz w:val="21"/>
          <w:szCs w:val="21"/>
          <w:lang w:val="en-AU"/>
        </w:rPr>
        <w:t>A 2018 governance review commissioned by Post identified ISAF as a potential investment under DFAT’s future aid program in Cambodia. It noted that several DFAT governance activities were ending, and that ISAF may represent an effective way to strengthen social accountability in coordination with other development partners while also meeting DFAT priorities in terms of consolidating the number of aid investment being managed by Post.</w:t>
      </w:r>
    </w:p>
    <w:p w14:paraId="6DF75BBD" w14:textId="409A3EF5" w:rsidR="00C80DD2" w:rsidRPr="00433F80" w:rsidRDefault="00C80DD2" w:rsidP="005E6171">
      <w:pPr>
        <w:spacing w:after="120" w:line="360" w:lineRule="auto"/>
        <w:rPr>
          <w:color w:val="auto"/>
          <w:sz w:val="21"/>
          <w:szCs w:val="21"/>
          <w:lang w:val="en-AU"/>
        </w:rPr>
      </w:pPr>
      <w:r w:rsidRPr="00433F80">
        <w:rPr>
          <w:color w:val="auto"/>
          <w:sz w:val="21"/>
          <w:szCs w:val="21"/>
          <w:lang w:val="en-AU"/>
        </w:rPr>
        <w:t xml:space="preserve">Phase I was implemented by multiple international and local NGOs and funded by several development partners. The ISAF Partnership Steering Committee, convened by </w:t>
      </w:r>
      <w:proofErr w:type="spellStart"/>
      <w:r w:rsidRPr="00433F80">
        <w:rPr>
          <w:color w:val="auto"/>
          <w:sz w:val="21"/>
          <w:szCs w:val="21"/>
          <w:lang w:val="en-AU"/>
        </w:rPr>
        <w:t>MoI</w:t>
      </w:r>
      <w:proofErr w:type="spellEnd"/>
      <w:r w:rsidRPr="00433F80">
        <w:rPr>
          <w:color w:val="auto"/>
          <w:sz w:val="21"/>
          <w:szCs w:val="21"/>
          <w:lang w:val="en-AU"/>
        </w:rPr>
        <w:t xml:space="preserve">, provides a platform for </w:t>
      </w:r>
      <w:r w:rsidR="000D2664" w:rsidRPr="00433F80">
        <w:rPr>
          <w:color w:val="auto"/>
          <w:sz w:val="21"/>
          <w:szCs w:val="21"/>
          <w:lang w:val="en-AU"/>
        </w:rPr>
        <w:t>government</w:t>
      </w:r>
      <w:r w:rsidRPr="00433F80">
        <w:rPr>
          <w:color w:val="auto"/>
          <w:sz w:val="21"/>
          <w:szCs w:val="21"/>
          <w:lang w:val="en-AU"/>
        </w:rPr>
        <w:t xml:space="preserve"> and civil society organisations to make decisions and to ensure oversight of joint ISAF implementation. Some donor support during Phase 1 was channelled through the World Bank, which has now established the </w:t>
      </w:r>
      <w:r w:rsidRPr="00433F80">
        <w:rPr>
          <w:rFonts w:eastAsia="Times New Roman" w:cs="Times New Roman"/>
          <w:color w:val="auto"/>
          <w:sz w:val="21"/>
          <w:szCs w:val="21"/>
          <w:lang w:val="en-AU"/>
        </w:rPr>
        <w:t>Cambodia Social Accountability and Service Delivery Multi-Donor Trust Fund (MDTF)</w:t>
      </w:r>
      <w:r w:rsidRPr="00433F80">
        <w:rPr>
          <w:color w:val="auto"/>
          <w:sz w:val="21"/>
          <w:szCs w:val="21"/>
          <w:lang w:val="en-AU"/>
        </w:rPr>
        <w:t xml:space="preserve"> to improve coordination for </w:t>
      </w:r>
      <w:r w:rsidR="00C07FCA" w:rsidRPr="00433F80">
        <w:rPr>
          <w:color w:val="auto"/>
          <w:sz w:val="21"/>
          <w:szCs w:val="21"/>
          <w:lang w:val="en-AU"/>
        </w:rPr>
        <w:t>ISAF Phase II</w:t>
      </w:r>
      <w:r w:rsidRPr="00433F80">
        <w:rPr>
          <w:color w:val="auto"/>
          <w:sz w:val="21"/>
          <w:szCs w:val="21"/>
          <w:lang w:val="en-AU"/>
        </w:rPr>
        <w:t xml:space="preserve"> (2019-2023).</w:t>
      </w:r>
    </w:p>
    <w:p w14:paraId="458756C7" w14:textId="77777777" w:rsidR="00C80DD2" w:rsidRPr="00433F80" w:rsidRDefault="00C80DD2" w:rsidP="005E6171">
      <w:pPr>
        <w:spacing w:after="120" w:line="360" w:lineRule="auto"/>
        <w:rPr>
          <w:color w:val="auto"/>
          <w:sz w:val="21"/>
          <w:szCs w:val="21"/>
          <w:u w:val="single"/>
          <w:lang w:val="en-AU"/>
        </w:rPr>
      </w:pPr>
      <w:r w:rsidRPr="00433F80">
        <w:rPr>
          <w:color w:val="auto"/>
          <w:sz w:val="21"/>
          <w:szCs w:val="21"/>
          <w:u w:val="single"/>
          <w:lang w:val="en-AU"/>
        </w:rPr>
        <w:t>Phase 2</w:t>
      </w:r>
    </w:p>
    <w:p w14:paraId="7418D719" w14:textId="4A468231" w:rsidR="00C80DD2" w:rsidRPr="00433F80" w:rsidRDefault="00C80DD2" w:rsidP="005E6171">
      <w:pPr>
        <w:spacing w:after="120" w:line="360" w:lineRule="auto"/>
        <w:rPr>
          <w:color w:val="auto"/>
          <w:sz w:val="21"/>
          <w:szCs w:val="21"/>
          <w:lang w:val="en-AU"/>
        </w:rPr>
      </w:pPr>
      <w:r w:rsidRPr="00433F80">
        <w:rPr>
          <w:color w:val="auto"/>
          <w:sz w:val="21"/>
          <w:szCs w:val="21"/>
          <w:lang w:val="en-AU"/>
        </w:rPr>
        <w:t xml:space="preserve">The </w:t>
      </w:r>
      <w:r w:rsidR="00C07FCA" w:rsidRPr="00433F80">
        <w:rPr>
          <w:color w:val="auto"/>
          <w:sz w:val="21"/>
          <w:szCs w:val="21"/>
          <w:lang w:val="en-AU"/>
        </w:rPr>
        <w:t>ISAF Phase II</w:t>
      </w:r>
      <w:r w:rsidRPr="00433F80">
        <w:rPr>
          <w:color w:val="auto"/>
          <w:sz w:val="21"/>
          <w:szCs w:val="21"/>
          <w:lang w:val="en-AU"/>
        </w:rPr>
        <w:t xml:space="preserve"> Implementation Plan is based on lessons learned from Phase 1. It aims to expand geographical coverage, embed sustainable accountability systems, and extend into new services such as water supply, sanitation, agricultural extension, protected area management, solid waste management, referral hospitals or secondary schools. The World Bank, through the MDTF, is currently the only development partner working to support supply-side (Cambodian Government) efforts to strengthen social accountability.</w:t>
      </w:r>
    </w:p>
    <w:p w14:paraId="7800CCDE" w14:textId="77777777" w:rsidR="00C80DD2" w:rsidRPr="00433F80" w:rsidRDefault="00C80DD2" w:rsidP="005E6171">
      <w:pPr>
        <w:spacing w:after="120" w:line="360" w:lineRule="auto"/>
        <w:rPr>
          <w:color w:val="auto"/>
          <w:sz w:val="21"/>
          <w:szCs w:val="21"/>
          <w:lang w:val="en-AU"/>
        </w:rPr>
      </w:pPr>
      <w:r w:rsidRPr="00433F80">
        <w:rPr>
          <w:color w:val="auto"/>
          <w:sz w:val="21"/>
          <w:szCs w:val="21"/>
          <w:lang w:val="en-AU"/>
        </w:rPr>
        <w:t xml:space="preserve">Gender within ISAF remains an incomplete picture. Participation by women is high, estimated at 65-70 per cent among the community groups, and implementers note the challenge of recruiting more men to be involved. Implementing NGOs report that they are looking for ways to better mainstream gender into the project during Phase 2, such as through enhancing the gender focus of communications materials or tracking </w:t>
      </w:r>
      <w:proofErr w:type="gramStart"/>
      <w:r w:rsidRPr="00433F80">
        <w:rPr>
          <w:color w:val="auto"/>
          <w:sz w:val="21"/>
          <w:szCs w:val="21"/>
          <w:lang w:val="en-AU"/>
        </w:rPr>
        <w:t>beneficiaries</w:t>
      </w:r>
      <w:proofErr w:type="gramEnd"/>
      <w:r w:rsidRPr="00433F80">
        <w:rPr>
          <w:color w:val="auto"/>
          <w:sz w:val="21"/>
          <w:szCs w:val="21"/>
          <w:lang w:val="en-AU"/>
        </w:rPr>
        <w:t xml:space="preserve"> </w:t>
      </w:r>
      <w:r w:rsidRPr="00433F80">
        <w:rPr>
          <w:color w:val="auto"/>
          <w:sz w:val="21"/>
          <w:szCs w:val="21"/>
          <w:lang w:val="en-AU"/>
        </w:rPr>
        <w:lastRenderedPageBreak/>
        <w:t>groups in more detail (this could also include people with a disability and poor people eligible for extra government support).</w:t>
      </w:r>
    </w:p>
    <w:p w14:paraId="51C06B57" w14:textId="23CB5F9C" w:rsidR="00C80DD2" w:rsidRPr="00433F80" w:rsidRDefault="00C80DD2" w:rsidP="005E6171">
      <w:pPr>
        <w:spacing w:after="120" w:line="360" w:lineRule="auto"/>
        <w:rPr>
          <w:color w:val="auto"/>
          <w:sz w:val="21"/>
          <w:szCs w:val="21"/>
          <w:lang w:val="en-AU"/>
        </w:rPr>
      </w:pPr>
      <w:r w:rsidRPr="00433F80">
        <w:rPr>
          <w:color w:val="auto"/>
          <w:sz w:val="21"/>
          <w:szCs w:val="21"/>
          <w:lang w:val="en-AU"/>
        </w:rPr>
        <w:t xml:space="preserve">The total budget for the </w:t>
      </w:r>
      <w:r w:rsidR="00C07FCA" w:rsidRPr="00433F80">
        <w:rPr>
          <w:color w:val="auto"/>
          <w:sz w:val="21"/>
          <w:szCs w:val="21"/>
          <w:lang w:val="en-AU"/>
        </w:rPr>
        <w:t>ISAF II</w:t>
      </w:r>
      <w:r w:rsidRPr="00433F80">
        <w:rPr>
          <w:color w:val="auto"/>
          <w:sz w:val="21"/>
          <w:szCs w:val="21"/>
          <w:lang w:val="en-AU"/>
        </w:rPr>
        <w:t xml:space="preserve"> MDTF is estimated at USD27.7 million. Support is confirmed from Switzerland (USD4 million) and Germany (USD5.5 million). The project has commenced with grants to World Vision International (USD5.95 million) and the National Committee for Subnational Democratic Development Secretariat (USD1.72). </w:t>
      </w:r>
      <w:r w:rsidR="00CC150E" w:rsidRPr="00433F80">
        <w:rPr>
          <w:color w:val="auto"/>
          <w:sz w:val="21"/>
          <w:szCs w:val="21"/>
          <w:lang w:val="en-AU"/>
        </w:rPr>
        <w:t xml:space="preserve">Australia’s investment </w:t>
      </w:r>
      <w:r w:rsidR="000D4705" w:rsidRPr="00433F80">
        <w:rPr>
          <w:color w:val="auto"/>
          <w:sz w:val="21"/>
          <w:szCs w:val="21"/>
          <w:lang w:val="en-AU"/>
        </w:rPr>
        <w:t>will</w:t>
      </w:r>
      <w:r w:rsidR="00CC150E" w:rsidRPr="00433F80">
        <w:rPr>
          <w:color w:val="auto"/>
          <w:sz w:val="21"/>
          <w:szCs w:val="21"/>
          <w:lang w:val="en-AU"/>
        </w:rPr>
        <w:t xml:space="preserve"> </w:t>
      </w:r>
      <w:r w:rsidR="0011346D" w:rsidRPr="00433F80">
        <w:rPr>
          <w:color w:val="auto"/>
          <w:sz w:val="21"/>
          <w:szCs w:val="21"/>
          <w:lang w:val="en-AU"/>
        </w:rPr>
        <w:t xml:space="preserve">build on the MDTF funding and </w:t>
      </w:r>
      <w:r w:rsidR="000D4705" w:rsidRPr="00433F80">
        <w:rPr>
          <w:color w:val="auto"/>
          <w:sz w:val="21"/>
          <w:szCs w:val="21"/>
          <w:lang w:val="en-AU"/>
        </w:rPr>
        <w:t xml:space="preserve">will be managed in tandem with the existing MDTF contributions under shared governance arrangements. </w:t>
      </w:r>
    </w:p>
    <w:p w14:paraId="5DE2CAD6" w14:textId="33059C51" w:rsidR="00C80DD2" w:rsidRPr="00433F80" w:rsidRDefault="00C80DD2" w:rsidP="005E6171">
      <w:pPr>
        <w:spacing w:after="120" w:line="360" w:lineRule="auto"/>
        <w:rPr>
          <w:color w:val="auto"/>
          <w:sz w:val="21"/>
          <w:szCs w:val="21"/>
          <w:lang w:val="en-AU"/>
        </w:rPr>
      </w:pPr>
      <w:r w:rsidRPr="00433F80">
        <w:rPr>
          <w:color w:val="auto"/>
          <w:sz w:val="21"/>
          <w:szCs w:val="21"/>
          <w:lang w:val="en-AU"/>
        </w:rPr>
        <w:t xml:space="preserve">Other social accountability initiatives in Cambodia include a USAID project designed to complement the work of </w:t>
      </w:r>
      <w:r w:rsidR="00C07FCA" w:rsidRPr="00433F80">
        <w:rPr>
          <w:color w:val="auto"/>
          <w:sz w:val="21"/>
          <w:szCs w:val="21"/>
          <w:lang w:val="en-AU"/>
        </w:rPr>
        <w:t>ISAF II</w:t>
      </w:r>
      <w:r w:rsidRPr="00433F80">
        <w:rPr>
          <w:color w:val="auto"/>
          <w:sz w:val="21"/>
          <w:szCs w:val="21"/>
          <w:lang w:val="en-AU"/>
        </w:rPr>
        <w:t xml:space="preserve"> and an EU-funded initiative focussing on the northeast provinces (where the majority of Cambodia’s indigenous people are present). </w:t>
      </w:r>
    </w:p>
    <w:p w14:paraId="12E3CD63" w14:textId="022EA095" w:rsidR="009F7A98" w:rsidRPr="00433F80" w:rsidRDefault="00834A56" w:rsidP="005E6171">
      <w:pPr>
        <w:spacing w:after="120" w:line="360" w:lineRule="auto"/>
        <w:rPr>
          <w:color w:val="auto"/>
          <w:sz w:val="21"/>
          <w:szCs w:val="21"/>
          <w:lang w:val="en-AU"/>
        </w:rPr>
        <w:sectPr w:rsidR="009F7A98" w:rsidRPr="00433F80" w:rsidSect="00FC322F">
          <w:headerReference w:type="even" r:id="rId13"/>
          <w:headerReference w:type="default" r:id="rId14"/>
          <w:footerReference w:type="even" r:id="rId15"/>
          <w:footerReference w:type="default" r:id="rId16"/>
          <w:headerReference w:type="first" r:id="rId17"/>
          <w:footerReference w:type="first" r:id="rId18"/>
          <w:pgSz w:w="11906" w:h="16838" w:code="9"/>
          <w:pgMar w:top="1701" w:right="1134" w:bottom="1418" w:left="1134" w:header="425" w:footer="493" w:gutter="0"/>
          <w:cols w:space="397"/>
          <w:titlePg/>
          <w:docGrid w:linePitch="360"/>
        </w:sectPr>
      </w:pPr>
      <w:r w:rsidRPr="00433F80">
        <w:rPr>
          <w:color w:val="auto"/>
          <w:sz w:val="21"/>
          <w:szCs w:val="21"/>
          <w:lang w:val="en-AU"/>
        </w:rPr>
        <w:t xml:space="preserve">Post has already participated in field trips to observe ISAF, engaged with stakeholders including implementing partners, </w:t>
      </w:r>
      <w:proofErr w:type="spellStart"/>
      <w:r w:rsidRPr="00433F80">
        <w:rPr>
          <w:color w:val="auto"/>
          <w:sz w:val="21"/>
          <w:szCs w:val="21"/>
          <w:lang w:val="en-AU"/>
        </w:rPr>
        <w:t>MoI</w:t>
      </w:r>
      <w:proofErr w:type="spellEnd"/>
      <w:r w:rsidRPr="00433F80">
        <w:rPr>
          <w:color w:val="auto"/>
          <w:sz w:val="21"/>
          <w:szCs w:val="21"/>
          <w:lang w:val="en-AU"/>
        </w:rPr>
        <w:t xml:space="preserve"> and other development partners, and participated in an October 2020 monitoring mission.   The details of how Australia’s additional financing will be used to scale up ISAF will be set out following World Bank procedures that will be initiated on the signing of the Partnership Agreement. Priorities for DFAT will be gender equality, social inclusion, promoting social accountability and drawing the links for improved service quality with other DFAT programs, including PFM, ACCESS, H-EQIP.  </w:t>
      </w:r>
    </w:p>
    <w:p w14:paraId="06FC63FC" w14:textId="51D32103" w:rsidR="00833F5A" w:rsidRPr="00433F80" w:rsidRDefault="00833F5A" w:rsidP="005E6171">
      <w:pPr>
        <w:pBdr>
          <w:bottom w:val="single" w:sz="4" w:space="1" w:color="auto"/>
        </w:pBdr>
        <w:suppressAutoHyphens w:val="0"/>
        <w:spacing w:before="0" w:after="120" w:line="360" w:lineRule="auto"/>
        <w:rPr>
          <w:rFonts w:eastAsiaTheme="majorEastAsia" w:cstheme="majorBidi"/>
          <w:color w:val="auto"/>
          <w:sz w:val="38"/>
          <w:szCs w:val="38"/>
          <w:lang w:val="en-AU"/>
        </w:rPr>
      </w:pPr>
      <w:r w:rsidRPr="00433F80">
        <w:rPr>
          <w:rFonts w:eastAsiaTheme="majorEastAsia" w:cstheme="majorBidi"/>
          <w:color w:val="auto"/>
          <w:sz w:val="38"/>
          <w:szCs w:val="38"/>
          <w:lang w:val="en-AU"/>
        </w:rPr>
        <w:lastRenderedPageBreak/>
        <w:t>Annex 5: PROMISE Partnership Results Framework</w:t>
      </w:r>
    </w:p>
    <w:p w14:paraId="39BB62D4" w14:textId="77777777" w:rsidR="00833F5A" w:rsidRPr="00433F80" w:rsidRDefault="00833F5A" w:rsidP="005E6171">
      <w:pPr>
        <w:suppressAutoHyphens w:val="0"/>
        <w:autoSpaceDE w:val="0"/>
        <w:autoSpaceDN w:val="0"/>
        <w:adjustRightInd w:val="0"/>
        <w:spacing w:after="120" w:line="360" w:lineRule="auto"/>
        <w:jc w:val="center"/>
        <w:rPr>
          <w:rFonts w:ascii="Arial" w:eastAsia="Calibri" w:hAnsi="Arial" w:cs="Arial"/>
          <w:b/>
          <w:bCs/>
          <w:color w:val="auto"/>
          <w:lang w:val="en-US"/>
        </w:rPr>
      </w:pPr>
      <w:r w:rsidRPr="00433F80">
        <w:rPr>
          <w:rFonts w:ascii="Arial" w:eastAsia="Calibri" w:hAnsi="Arial" w:cs="Arial"/>
          <w:b/>
          <w:bCs/>
          <w:color w:val="auto"/>
          <w:lang w:val="en-US"/>
        </w:rPr>
        <w:t>TF#2406</w:t>
      </w:r>
    </w:p>
    <w:p w14:paraId="176810CC" w14:textId="3624A0D5" w:rsidR="001A2CDA" w:rsidRDefault="00833F5A" w:rsidP="00EF2E3A">
      <w:pPr>
        <w:suppressAutoHyphens w:val="0"/>
        <w:autoSpaceDE w:val="0"/>
        <w:autoSpaceDN w:val="0"/>
        <w:adjustRightInd w:val="0"/>
        <w:spacing w:before="0" w:after="0" w:line="360" w:lineRule="auto"/>
        <w:jc w:val="center"/>
        <w:rPr>
          <w:rFonts w:ascii="Arial" w:eastAsia="Calibri" w:hAnsi="Arial" w:cs="Arial"/>
          <w:b/>
          <w:bCs/>
          <w:color w:val="auto"/>
          <w:lang w:val="en-US"/>
        </w:rPr>
      </w:pPr>
      <w:r w:rsidRPr="00433F80">
        <w:rPr>
          <w:rFonts w:ascii="Arial" w:eastAsia="Calibri" w:hAnsi="Arial" w:cs="Arial"/>
          <w:b/>
          <w:bCs/>
          <w:color w:val="auto"/>
          <w:lang w:val="en-US"/>
        </w:rPr>
        <w:t>The Australia-World Bank Partnership for Promoting Inclusion, Sustainability and Equality in Cambodia ‘The PROMISE Partnership’</w:t>
      </w:r>
    </w:p>
    <w:p w14:paraId="114FB39C" w14:textId="332634D5" w:rsidR="00833F5A" w:rsidRDefault="001A2CDA" w:rsidP="001A2CDA">
      <w:pPr>
        <w:suppressAutoHyphens w:val="0"/>
        <w:autoSpaceDE w:val="0"/>
        <w:autoSpaceDN w:val="0"/>
        <w:adjustRightInd w:val="0"/>
        <w:spacing w:before="0" w:after="0" w:line="360" w:lineRule="auto"/>
        <w:rPr>
          <w:rFonts w:ascii="Arial" w:eastAsia="Calibri" w:hAnsi="Arial" w:cs="Arial"/>
          <w:color w:val="auto"/>
          <w:lang w:val="en-AU" w:bidi="km-KH"/>
        </w:rPr>
      </w:pPr>
      <w:r w:rsidRPr="00433F80">
        <w:rPr>
          <w:rFonts w:ascii="Arial" w:eastAsia="Calibri" w:hAnsi="Arial" w:cs="Arial"/>
          <w:b/>
          <w:bCs/>
          <w:color w:val="auto"/>
          <w:lang w:val="en-US" w:bidi="km-KH"/>
        </w:rPr>
        <w:t xml:space="preserve">The Program Development objective (PDO) </w:t>
      </w:r>
      <w:r w:rsidRPr="00433F80">
        <w:rPr>
          <w:rFonts w:ascii="Arial" w:eastAsia="Calibri" w:hAnsi="Arial" w:cs="Arial"/>
          <w:color w:val="auto"/>
          <w:lang w:val="en-AU" w:bidi="km-KH"/>
        </w:rPr>
        <w:t xml:space="preserve">is to provide a platform for collaboration to strengthen the sustainability and inclusiveness of public services, economic </w:t>
      </w:r>
      <w:proofErr w:type="gramStart"/>
      <w:r w:rsidRPr="00433F80">
        <w:rPr>
          <w:rFonts w:ascii="Arial" w:eastAsia="Calibri" w:hAnsi="Arial" w:cs="Arial"/>
          <w:color w:val="auto"/>
          <w:lang w:val="en-AU" w:bidi="km-KH"/>
        </w:rPr>
        <w:t>opportunities</w:t>
      </w:r>
      <w:proofErr w:type="gramEnd"/>
      <w:r w:rsidRPr="00433F80">
        <w:rPr>
          <w:rFonts w:ascii="Arial" w:eastAsia="Calibri" w:hAnsi="Arial" w:cs="Arial"/>
          <w:color w:val="auto"/>
          <w:lang w:val="en-AU" w:bidi="km-KH"/>
        </w:rPr>
        <w:t xml:space="preserve"> and COVID-19 recovery in Cambodia.</w:t>
      </w:r>
    </w:p>
    <w:p w14:paraId="5BC5A10D" w14:textId="47C0491D" w:rsidR="001A2CDA" w:rsidRPr="00433F80" w:rsidRDefault="001A2CDA" w:rsidP="001A2CDA">
      <w:pPr>
        <w:suppressAutoHyphens w:val="0"/>
        <w:autoSpaceDE w:val="0"/>
        <w:autoSpaceDN w:val="0"/>
        <w:adjustRightInd w:val="0"/>
        <w:spacing w:before="0" w:after="0" w:line="360" w:lineRule="auto"/>
        <w:rPr>
          <w:rFonts w:ascii="Arial" w:eastAsia="Calibri" w:hAnsi="Arial" w:cs="Arial"/>
          <w:b/>
          <w:bCs/>
          <w:color w:val="auto"/>
          <w:lang w:val="en-US"/>
        </w:rPr>
      </w:pPr>
      <w:r w:rsidRPr="00433F80">
        <w:rPr>
          <w:rFonts w:ascii="Arial" w:eastAsia="Calibri" w:hAnsi="Arial" w:cs="Arial"/>
          <w:b/>
          <w:bCs/>
          <w:color w:val="auto"/>
          <w:lang w:val="en-AU"/>
        </w:rPr>
        <w:t>PDO Results</w:t>
      </w:r>
    </w:p>
    <w:tbl>
      <w:tblPr>
        <w:tblStyle w:val="TableGrid2"/>
        <w:tblW w:w="14743" w:type="dxa"/>
        <w:tblInd w:w="-289" w:type="dxa"/>
        <w:tblLook w:val="04A0" w:firstRow="1" w:lastRow="0" w:firstColumn="1" w:lastColumn="0" w:noHBand="0" w:noVBand="1"/>
      </w:tblPr>
      <w:tblGrid>
        <w:gridCol w:w="2035"/>
        <w:gridCol w:w="2644"/>
        <w:gridCol w:w="1168"/>
        <w:gridCol w:w="1073"/>
        <w:gridCol w:w="1073"/>
        <w:gridCol w:w="1073"/>
        <w:gridCol w:w="1073"/>
        <w:gridCol w:w="1110"/>
        <w:gridCol w:w="1082"/>
        <w:gridCol w:w="2412"/>
      </w:tblGrid>
      <w:tr w:rsidR="00433F80" w:rsidRPr="00433F80" w14:paraId="79E9C0D8" w14:textId="77777777" w:rsidTr="00EF2E3A">
        <w:trPr>
          <w:tblHeader/>
        </w:trPr>
        <w:tc>
          <w:tcPr>
            <w:tcW w:w="2035" w:type="dxa"/>
          </w:tcPr>
          <w:p w14:paraId="2F7BB8A3" w14:textId="77777777" w:rsidR="00833F5A" w:rsidRPr="00433F80" w:rsidRDefault="00833F5A" w:rsidP="005E6171">
            <w:pPr>
              <w:suppressAutoHyphens w:val="0"/>
              <w:spacing w:before="0" w:after="0" w:line="360" w:lineRule="auto"/>
              <w:rPr>
                <w:rFonts w:ascii="Arial" w:eastAsia="Calibri" w:hAnsi="Arial" w:cs="Arial"/>
                <w:color w:val="auto"/>
                <w:lang w:val="en-US"/>
              </w:rPr>
            </w:pPr>
            <w:bookmarkStart w:id="6" w:name="_Hlk58229087"/>
            <w:r w:rsidRPr="00433F80">
              <w:rPr>
                <w:rFonts w:ascii="Arial" w:eastAsia="Calibri" w:hAnsi="Arial" w:cs="Arial"/>
                <w:color w:val="auto"/>
                <w:lang w:val="en-US"/>
              </w:rPr>
              <w:t>Outcome</w:t>
            </w:r>
          </w:p>
        </w:tc>
        <w:tc>
          <w:tcPr>
            <w:tcW w:w="2644" w:type="dxa"/>
          </w:tcPr>
          <w:p w14:paraId="38670F8B" w14:textId="77777777" w:rsidR="00833F5A" w:rsidRPr="00433F80" w:rsidRDefault="00833F5A" w:rsidP="005E6171">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Indicator</w:t>
            </w:r>
          </w:p>
        </w:tc>
        <w:tc>
          <w:tcPr>
            <w:tcW w:w="1168" w:type="dxa"/>
          </w:tcPr>
          <w:p w14:paraId="64CC2887" w14:textId="77777777" w:rsidR="00833F5A" w:rsidRPr="00433F80" w:rsidRDefault="00833F5A" w:rsidP="005E6171">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Unit of Measure</w:t>
            </w:r>
          </w:p>
        </w:tc>
        <w:tc>
          <w:tcPr>
            <w:tcW w:w="1073" w:type="dxa"/>
          </w:tcPr>
          <w:p w14:paraId="073BA581" w14:textId="77777777" w:rsidR="00833F5A" w:rsidRPr="00433F80" w:rsidRDefault="00833F5A" w:rsidP="005E6171">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Baseline</w:t>
            </w:r>
          </w:p>
        </w:tc>
        <w:tc>
          <w:tcPr>
            <w:tcW w:w="1073" w:type="dxa"/>
          </w:tcPr>
          <w:p w14:paraId="1648ECE7" w14:textId="77777777" w:rsidR="00833F5A" w:rsidRPr="00433F80" w:rsidRDefault="00833F5A" w:rsidP="005E6171">
            <w:pPr>
              <w:suppressAutoHyphens w:val="0"/>
              <w:spacing w:before="0" w:after="0" w:line="360" w:lineRule="auto"/>
              <w:jc w:val="center"/>
              <w:rPr>
                <w:rFonts w:ascii="Arial" w:eastAsia="Calibri" w:hAnsi="Arial" w:cs="Arial"/>
                <w:color w:val="auto"/>
                <w:lang w:val="en-US"/>
              </w:rPr>
            </w:pPr>
            <w:r w:rsidRPr="00433F80">
              <w:rPr>
                <w:rFonts w:ascii="Arial" w:eastAsia="Calibri" w:hAnsi="Arial" w:cs="Arial"/>
                <w:color w:val="auto"/>
                <w:lang w:val="en-US"/>
              </w:rPr>
              <w:t>Target</w:t>
            </w:r>
          </w:p>
          <w:p w14:paraId="06B525C0" w14:textId="77777777" w:rsidR="00833F5A" w:rsidRPr="00433F80" w:rsidRDefault="00833F5A" w:rsidP="005E6171">
            <w:pPr>
              <w:suppressAutoHyphens w:val="0"/>
              <w:spacing w:before="0" w:after="0" w:line="360" w:lineRule="auto"/>
              <w:jc w:val="center"/>
              <w:rPr>
                <w:rFonts w:ascii="Arial" w:eastAsia="Calibri" w:hAnsi="Arial" w:cs="Arial"/>
                <w:color w:val="auto"/>
                <w:lang w:val="en-US"/>
              </w:rPr>
            </w:pPr>
            <w:r w:rsidRPr="00433F80">
              <w:rPr>
                <w:rFonts w:ascii="Arial" w:eastAsia="Calibri" w:hAnsi="Arial" w:cs="Arial"/>
                <w:color w:val="auto"/>
                <w:lang w:val="en-US"/>
              </w:rPr>
              <w:t>Y1</w:t>
            </w:r>
          </w:p>
        </w:tc>
        <w:tc>
          <w:tcPr>
            <w:tcW w:w="1073" w:type="dxa"/>
          </w:tcPr>
          <w:p w14:paraId="6E75E354" w14:textId="77777777" w:rsidR="00833F5A" w:rsidRPr="00433F80" w:rsidRDefault="00833F5A" w:rsidP="005E6171">
            <w:pPr>
              <w:suppressAutoHyphens w:val="0"/>
              <w:spacing w:before="0" w:after="0" w:line="360" w:lineRule="auto"/>
              <w:jc w:val="center"/>
              <w:rPr>
                <w:rFonts w:ascii="Arial" w:eastAsia="Calibri" w:hAnsi="Arial" w:cs="Arial"/>
                <w:color w:val="auto"/>
                <w:lang w:val="en-US"/>
              </w:rPr>
            </w:pPr>
            <w:r w:rsidRPr="00433F80">
              <w:rPr>
                <w:rFonts w:ascii="Arial" w:eastAsia="Calibri" w:hAnsi="Arial" w:cs="Arial"/>
                <w:color w:val="auto"/>
                <w:lang w:val="en-US"/>
              </w:rPr>
              <w:t>Target</w:t>
            </w:r>
          </w:p>
          <w:p w14:paraId="3B9F10A4" w14:textId="77777777" w:rsidR="00833F5A" w:rsidRPr="00433F80" w:rsidRDefault="00833F5A" w:rsidP="005E6171">
            <w:pPr>
              <w:suppressAutoHyphens w:val="0"/>
              <w:spacing w:before="0" w:after="0" w:line="360" w:lineRule="auto"/>
              <w:jc w:val="center"/>
              <w:rPr>
                <w:rFonts w:ascii="Arial" w:eastAsia="Calibri" w:hAnsi="Arial" w:cs="Arial"/>
                <w:color w:val="auto"/>
                <w:lang w:val="en-US"/>
              </w:rPr>
            </w:pPr>
            <w:r w:rsidRPr="00433F80">
              <w:rPr>
                <w:rFonts w:ascii="Arial" w:eastAsia="Calibri" w:hAnsi="Arial" w:cs="Arial"/>
                <w:color w:val="auto"/>
                <w:lang w:val="en-US"/>
              </w:rPr>
              <w:t>Y2</w:t>
            </w:r>
          </w:p>
        </w:tc>
        <w:tc>
          <w:tcPr>
            <w:tcW w:w="1073" w:type="dxa"/>
          </w:tcPr>
          <w:p w14:paraId="604E389F" w14:textId="77777777" w:rsidR="00833F5A" w:rsidRPr="00433F80" w:rsidRDefault="00833F5A" w:rsidP="005E6171">
            <w:pPr>
              <w:suppressAutoHyphens w:val="0"/>
              <w:spacing w:before="0" w:after="0" w:line="360" w:lineRule="auto"/>
              <w:jc w:val="center"/>
              <w:rPr>
                <w:rFonts w:ascii="Arial" w:eastAsia="Calibri" w:hAnsi="Arial" w:cs="Arial"/>
                <w:color w:val="auto"/>
                <w:lang w:val="en-US"/>
              </w:rPr>
            </w:pPr>
            <w:r w:rsidRPr="00433F80">
              <w:rPr>
                <w:rFonts w:ascii="Arial" w:eastAsia="Calibri" w:hAnsi="Arial" w:cs="Arial"/>
                <w:color w:val="auto"/>
                <w:lang w:val="en-US"/>
              </w:rPr>
              <w:t>Target</w:t>
            </w:r>
          </w:p>
          <w:p w14:paraId="33DF0BD2" w14:textId="77777777" w:rsidR="00833F5A" w:rsidRPr="00433F80" w:rsidRDefault="00833F5A" w:rsidP="005E6171">
            <w:pPr>
              <w:suppressAutoHyphens w:val="0"/>
              <w:spacing w:before="0" w:after="0" w:line="360" w:lineRule="auto"/>
              <w:jc w:val="center"/>
              <w:rPr>
                <w:rFonts w:ascii="Arial" w:eastAsia="Calibri" w:hAnsi="Arial" w:cs="Arial"/>
                <w:color w:val="auto"/>
                <w:lang w:val="en-US"/>
              </w:rPr>
            </w:pPr>
            <w:r w:rsidRPr="00433F80">
              <w:rPr>
                <w:rFonts w:ascii="Arial" w:eastAsia="Calibri" w:hAnsi="Arial" w:cs="Arial"/>
                <w:color w:val="auto"/>
                <w:lang w:val="en-US"/>
              </w:rPr>
              <w:t>Y3</w:t>
            </w:r>
          </w:p>
        </w:tc>
        <w:tc>
          <w:tcPr>
            <w:tcW w:w="1110" w:type="dxa"/>
          </w:tcPr>
          <w:p w14:paraId="0ED54BE3" w14:textId="77777777" w:rsidR="00833F5A" w:rsidRPr="00433F80" w:rsidRDefault="00833F5A" w:rsidP="005E6171">
            <w:pPr>
              <w:suppressAutoHyphens w:val="0"/>
              <w:spacing w:before="0" w:after="0" w:line="360" w:lineRule="auto"/>
              <w:jc w:val="center"/>
              <w:rPr>
                <w:rFonts w:ascii="Arial" w:eastAsia="Calibri" w:hAnsi="Arial" w:cs="Arial"/>
                <w:color w:val="auto"/>
                <w:lang w:val="en-US"/>
              </w:rPr>
            </w:pPr>
            <w:r w:rsidRPr="00433F80">
              <w:rPr>
                <w:rFonts w:ascii="Arial" w:eastAsia="Calibri" w:hAnsi="Arial" w:cs="Arial"/>
                <w:color w:val="auto"/>
                <w:lang w:val="en-US"/>
              </w:rPr>
              <w:t>Target</w:t>
            </w:r>
          </w:p>
          <w:p w14:paraId="27CCF9B7" w14:textId="77777777" w:rsidR="00833F5A" w:rsidRPr="00433F80" w:rsidRDefault="00833F5A" w:rsidP="005E6171">
            <w:pPr>
              <w:suppressAutoHyphens w:val="0"/>
              <w:spacing w:before="0" w:after="0" w:line="360" w:lineRule="auto"/>
              <w:jc w:val="center"/>
              <w:rPr>
                <w:rFonts w:ascii="Arial" w:eastAsia="Calibri" w:hAnsi="Arial" w:cs="Arial"/>
                <w:color w:val="auto"/>
                <w:lang w:val="en-US"/>
              </w:rPr>
            </w:pPr>
            <w:r w:rsidRPr="00433F80">
              <w:rPr>
                <w:rFonts w:ascii="Arial" w:eastAsia="Calibri" w:hAnsi="Arial" w:cs="Arial"/>
                <w:color w:val="auto"/>
                <w:lang w:val="en-US"/>
              </w:rPr>
              <w:t>Y4</w:t>
            </w:r>
          </w:p>
        </w:tc>
        <w:tc>
          <w:tcPr>
            <w:tcW w:w="1082" w:type="dxa"/>
          </w:tcPr>
          <w:p w14:paraId="7D94A86F" w14:textId="77777777" w:rsidR="00833F5A" w:rsidRPr="00433F80" w:rsidRDefault="00833F5A" w:rsidP="005E6171">
            <w:pPr>
              <w:suppressAutoHyphens w:val="0"/>
              <w:spacing w:before="0" w:after="0" w:line="360" w:lineRule="auto"/>
              <w:jc w:val="center"/>
              <w:rPr>
                <w:rFonts w:ascii="Arial" w:eastAsia="Calibri" w:hAnsi="Arial" w:cs="Arial"/>
                <w:color w:val="auto"/>
                <w:lang w:val="en-US"/>
              </w:rPr>
            </w:pPr>
            <w:r w:rsidRPr="00433F80">
              <w:rPr>
                <w:rFonts w:ascii="Arial" w:eastAsia="Calibri" w:hAnsi="Arial" w:cs="Arial"/>
                <w:color w:val="auto"/>
                <w:lang w:val="en-US"/>
              </w:rPr>
              <w:t>Target</w:t>
            </w:r>
          </w:p>
          <w:p w14:paraId="4B0EAB0D" w14:textId="77777777" w:rsidR="00833F5A" w:rsidRPr="00433F80" w:rsidRDefault="00833F5A" w:rsidP="005E6171">
            <w:pPr>
              <w:suppressAutoHyphens w:val="0"/>
              <w:spacing w:before="0" w:after="0" w:line="360" w:lineRule="auto"/>
              <w:jc w:val="center"/>
              <w:rPr>
                <w:rFonts w:ascii="Arial" w:eastAsia="Calibri" w:hAnsi="Arial" w:cs="Arial"/>
                <w:color w:val="auto"/>
                <w:lang w:val="en-US"/>
              </w:rPr>
            </w:pPr>
            <w:r w:rsidRPr="00433F80">
              <w:rPr>
                <w:rFonts w:ascii="Arial" w:eastAsia="Calibri" w:hAnsi="Arial" w:cs="Arial"/>
                <w:color w:val="auto"/>
                <w:lang w:val="en-US"/>
              </w:rPr>
              <w:t>Y5</w:t>
            </w:r>
          </w:p>
        </w:tc>
        <w:tc>
          <w:tcPr>
            <w:tcW w:w="2412" w:type="dxa"/>
          </w:tcPr>
          <w:p w14:paraId="0CC4EDF6" w14:textId="12AE0ACB" w:rsidR="00833F5A" w:rsidRPr="00433F80" w:rsidRDefault="001A2CDA" w:rsidP="005E6171">
            <w:pPr>
              <w:suppressAutoHyphens w:val="0"/>
              <w:spacing w:before="0" w:after="0" w:line="360" w:lineRule="auto"/>
              <w:rPr>
                <w:rFonts w:ascii="Arial" w:eastAsia="Calibri" w:hAnsi="Arial" w:cs="Arial"/>
                <w:color w:val="auto"/>
                <w:lang w:val="en-US"/>
              </w:rPr>
            </w:pPr>
            <w:r w:rsidRPr="00433F80">
              <w:rPr>
                <w:rFonts w:ascii="Arial" w:eastAsia="Calibri" w:hAnsi="Arial" w:cs="Arial"/>
                <w:b/>
                <w:bCs/>
                <w:color w:val="auto"/>
                <w:lang w:val="en-AU"/>
              </w:rPr>
              <w:t>Comments</w:t>
            </w:r>
          </w:p>
        </w:tc>
      </w:tr>
      <w:tr w:rsidR="00EF2E3A" w:rsidRPr="00433F80" w14:paraId="1FB8A5E8" w14:textId="77777777" w:rsidTr="00E86EC5">
        <w:trPr>
          <w:trHeight w:val="4278"/>
        </w:trPr>
        <w:tc>
          <w:tcPr>
            <w:tcW w:w="2035" w:type="dxa"/>
          </w:tcPr>
          <w:p w14:paraId="17980D71" w14:textId="77777777" w:rsidR="00EF2E3A" w:rsidRPr="00433F80" w:rsidRDefault="00EF2E3A" w:rsidP="005E6171">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PDO1. Improved equity of health services</w:t>
            </w:r>
          </w:p>
        </w:tc>
        <w:tc>
          <w:tcPr>
            <w:tcW w:w="2644" w:type="dxa"/>
          </w:tcPr>
          <w:p w14:paraId="0838DB9A" w14:textId="77777777" w:rsidR="00EF2E3A" w:rsidRPr="00433F80" w:rsidRDefault="00EF2E3A" w:rsidP="005E6171">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 xml:space="preserve">Utilization of health services </w:t>
            </w:r>
            <w:proofErr w:type="spellStart"/>
            <w:r w:rsidRPr="00433F80">
              <w:rPr>
                <w:rFonts w:ascii="Arial" w:eastAsia="Calibri" w:hAnsi="Arial" w:cs="Arial"/>
                <w:color w:val="auto"/>
                <w:lang w:val="en-US"/>
              </w:rPr>
              <w:t>bv</w:t>
            </w:r>
            <w:proofErr w:type="spellEnd"/>
            <w:r w:rsidRPr="00433F80">
              <w:rPr>
                <w:rFonts w:ascii="Arial" w:eastAsia="Calibri" w:hAnsi="Arial" w:cs="Arial"/>
                <w:color w:val="auto"/>
                <w:lang w:val="en-US"/>
              </w:rPr>
              <w:t xml:space="preserve"> HEF beneficiaries increased</w:t>
            </w:r>
          </w:p>
          <w:p w14:paraId="084D5959" w14:textId="77777777" w:rsidR="00EF2E3A" w:rsidRPr="00433F80" w:rsidRDefault="00EF2E3A" w:rsidP="005E6171">
            <w:pPr>
              <w:suppressAutoHyphens w:val="0"/>
              <w:spacing w:before="0" w:after="0" w:line="360" w:lineRule="auto"/>
              <w:jc w:val="right"/>
              <w:rPr>
                <w:rFonts w:ascii="Arial" w:eastAsia="Calibri" w:hAnsi="Arial" w:cs="Arial"/>
                <w:color w:val="auto"/>
                <w:lang w:val="en-US"/>
              </w:rPr>
            </w:pPr>
            <w:r w:rsidRPr="00433F80">
              <w:rPr>
                <w:rFonts w:ascii="Arial" w:eastAsia="Calibri" w:hAnsi="Arial" w:cs="Arial"/>
                <w:color w:val="auto"/>
                <w:sz w:val="18"/>
                <w:szCs w:val="18"/>
                <w:lang w:val="en-US"/>
              </w:rPr>
              <w:t>Females with a disability</w:t>
            </w:r>
          </w:p>
          <w:p w14:paraId="1A6959DD" w14:textId="77777777" w:rsidR="00EF2E3A" w:rsidRPr="00433F80" w:rsidRDefault="00EF2E3A" w:rsidP="005E6171">
            <w:pPr>
              <w:suppressAutoHyphens w:val="0"/>
              <w:spacing w:before="0" w:after="0" w:line="360" w:lineRule="auto"/>
              <w:jc w:val="right"/>
              <w:rPr>
                <w:rFonts w:ascii="Arial" w:eastAsia="Calibri" w:hAnsi="Arial" w:cs="Arial"/>
                <w:color w:val="auto"/>
                <w:lang w:val="en-US"/>
              </w:rPr>
            </w:pPr>
            <w:r w:rsidRPr="00433F80">
              <w:rPr>
                <w:rFonts w:ascii="Arial" w:eastAsia="Calibri" w:hAnsi="Arial" w:cs="Arial"/>
                <w:color w:val="auto"/>
                <w:sz w:val="18"/>
                <w:szCs w:val="18"/>
                <w:lang w:val="en-US"/>
              </w:rPr>
              <w:t>Males with a disability</w:t>
            </w:r>
          </w:p>
          <w:p w14:paraId="56A94568" w14:textId="77777777" w:rsidR="00EF2E3A" w:rsidRPr="00433F80" w:rsidRDefault="00EF2E3A" w:rsidP="005E6171">
            <w:pPr>
              <w:suppressAutoHyphens w:val="0"/>
              <w:spacing w:before="0" w:after="0" w:line="360" w:lineRule="auto"/>
              <w:jc w:val="right"/>
              <w:rPr>
                <w:rFonts w:ascii="Arial" w:eastAsia="Calibri" w:hAnsi="Arial" w:cs="Arial"/>
                <w:color w:val="auto"/>
                <w:lang w:val="en-US"/>
              </w:rPr>
            </w:pPr>
            <w:r w:rsidRPr="00433F80">
              <w:rPr>
                <w:rFonts w:ascii="Arial" w:eastAsia="Calibri" w:hAnsi="Arial" w:cs="Arial"/>
                <w:color w:val="auto"/>
                <w:sz w:val="18"/>
                <w:szCs w:val="18"/>
                <w:lang w:val="en-US"/>
              </w:rPr>
              <w:t>Elderly females</w:t>
            </w:r>
          </w:p>
          <w:p w14:paraId="36D8839E" w14:textId="77777777" w:rsidR="00EF2E3A" w:rsidRPr="00433F80" w:rsidRDefault="00EF2E3A" w:rsidP="005E6171">
            <w:pPr>
              <w:suppressAutoHyphens w:val="0"/>
              <w:spacing w:before="0" w:after="0" w:line="360" w:lineRule="auto"/>
              <w:jc w:val="right"/>
              <w:rPr>
                <w:rFonts w:ascii="Arial" w:eastAsia="Calibri" w:hAnsi="Arial" w:cs="Arial"/>
                <w:color w:val="auto"/>
                <w:lang w:val="en-US"/>
              </w:rPr>
            </w:pPr>
            <w:r w:rsidRPr="00433F80">
              <w:rPr>
                <w:rFonts w:ascii="Arial" w:eastAsia="Calibri" w:hAnsi="Arial" w:cs="Arial"/>
                <w:color w:val="auto"/>
                <w:sz w:val="18"/>
                <w:szCs w:val="18"/>
                <w:lang w:val="en-US"/>
              </w:rPr>
              <w:t>Elderly males</w:t>
            </w:r>
          </w:p>
          <w:p w14:paraId="3F485BFA" w14:textId="2B3E2043" w:rsidR="00EF2E3A" w:rsidRPr="00433F80" w:rsidRDefault="00EF2E3A" w:rsidP="005E6171">
            <w:pPr>
              <w:spacing w:before="0" w:after="0" w:line="360" w:lineRule="auto"/>
              <w:rPr>
                <w:rFonts w:ascii="Arial" w:eastAsia="Calibri" w:hAnsi="Arial" w:cs="Arial"/>
                <w:color w:val="auto"/>
                <w:lang w:val="en-US"/>
              </w:rPr>
            </w:pPr>
            <w:r w:rsidRPr="00433F80">
              <w:rPr>
                <w:rFonts w:ascii="Arial" w:eastAsia="Calibri" w:hAnsi="Arial" w:cs="Arial"/>
                <w:color w:val="auto"/>
                <w:lang w:val="en-US"/>
              </w:rPr>
              <w:t xml:space="preserve">Reduction in the gap in </w:t>
            </w:r>
            <w:proofErr w:type="spellStart"/>
            <w:r w:rsidRPr="00433F80">
              <w:rPr>
                <w:rFonts w:ascii="Arial" w:eastAsia="Calibri" w:hAnsi="Arial" w:cs="Arial"/>
                <w:color w:val="auto"/>
                <w:lang w:val="en-US"/>
              </w:rPr>
              <w:t>utilisation</w:t>
            </w:r>
            <w:proofErr w:type="spellEnd"/>
            <w:r w:rsidRPr="00433F80">
              <w:rPr>
                <w:rFonts w:ascii="Arial" w:eastAsia="Calibri" w:hAnsi="Arial" w:cs="Arial"/>
                <w:color w:val="auto"/>
                <w:lang w:val="en-US"/>
              </w:rPr>
              <w:t xml:space="preserve"> of RMNACH services between the lowest performing ODs and the national average</w:t>
            </w:r>
          </w:p>
        </w:tc>
        <w:tc>
          <w:tcPr>
            <w:tcW w:w="1168" w:type="dxa"/>
          </w:tcPr>
          <w:p w14:paraId="2A2C6C26" w14:textId="77777777" w:rsidR="00EF2E3A" w:rsidRPr="00433F80" w:rsidRDefault="00EF2E3A" w:rsidP="005E6171">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Case</w:t>
            </w:r>
          </w:p>
          <w:p w14:paraId="55FD5AF0" w14:textId="053DC506" w:rsidR="00EF2E3A" w:rsidRPr="00433F80" w:rsidRDefault="00EF2E3A" w:rsidP="005E6171">
            <w:pPr>
              <w:spacing w:before="0" w:after="0" w:line="360" w:lineRule="auto"/>
              <w:rPr>
                <w:rFonts w:ascii="Arial" w:eastAsia="Calibri" w:hAnsi="Arial" w:cs="Arial"/>
                <w:color w:val="auto"/>
                <w:lang w:val="en-US"/>
              </w:rPr>
            </w:pPr>
            <w:r w:rsidRPr="00433F80">
              <w:rPr>
                <w:rFonts w:ascii="Arial" w:eastAsia="Calibri" w:hAnsi="Arial" w:cs="Arial"/>
                <w:color w:val="auto"/>
                <w:lang w:val="en-US"/>
              </w:rPr>
              <w:t>TBC</w:t>
            </w:r>
          </w:p>
        </w:tc>
        <w:tc>
          <w:tcPr>
            <w:tcW w:w="1073" w:type="dxa"/>
          </w:tcPr>
          <w:p w14:paraId="73969036" w14:textId="77777777" w:rsidR="00EF2E3A" w:rsidRPr="00433F80" w:rsidRDefault="00EF2E3A" w:rsidP="005E6171">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2959186</w:t>
            </w:r>
          </w:p>
        </w:tc>
        <w:tc>
          <w:tcPr>
            <w:tcW w:w="1073" w:type="dxa"/>
          </w:tcPr>
          <w:p w14:paraId="72275E73" w14:textId="77777777" w:rsidR="00EF2E3A" w:rsidRPr="00433F80" w:rsidRDefault="00EF2E3A" w:rsidP="005E6171">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3029186</w:t>
            </w:r>
          </w:p>
        </w:tc>
        <w:tc>
          <w:tcPr>
            <w:tcW w:w="1073" w:type="dxa"/>
          </w:tcPr>
          <w:p w14:paraId="6B5F6546" w14:textId="77777777" w:rsidR="00EF2E3A" w:rsidRPr="00433F80" w:rsidRDefault="00EF2E3A" w:rsidP="005E6171">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3099186</w:t>
            </w:r>
          </w:p>
        </w:tc>
        <w:tc>
          <w:tcPr>
            <w:tcW w:w="1073" w:type="dxa"/>
          </w:tcPr>
          <w:p w14:paraId="45BD263D" w14:textId="77777777" w:rsidR="00EF2E3A" w:rsidRPr="00433F80" w:rsidRDefault="00EF2E3A" w:rsidP="005E6171">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3169186</w:t>
            </w:r>
          </w:p>
        </w:tc>
        <w:tc>
          <w:tcPr>
            <w:tcW w:w="1110" w:type="dxa"/>
          </w:tcPr>
          <w:p w14:paraId="0470DD16" w14:textId="77777777" w:rsidR="00EF2E3A" w:rsidRPr="00433F80" w:rsidRDefault="00EF2E3A" w:rsidP="005E6171">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3239186</w:t>
            </w:r>
          </w:p>
        </w:tc>
        <w:tc>
          <w:tcPr>
            <w:tcW w:w="1082" w:type="dxa"/>
          </w:tcPr>
          <w:p w14:paraId="78DE502F" w14:textId="77777777" w:rsidR="00EF2E3A" w:rsidRPr="00433F80" w:rsidRDefault="00EF2E3A" w:rsidP="005E6171">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3309186</w:t>
            </w:r>
          </w:p>
        </w:tc>
        <w:tc>
          <w:tcPr>
            <w:tcW w:w="2412" w:type="dxa"/>
          </w:tcPr>
          <w:p w14:paraId="03B707F3" w14:textId="77777777" w:rsidR="00EF2E3A" w:rsidRPr="00433F80" w:rsidRDefault="00EF2E3A" w:rsidP="005E6171">
            <w:pPr>
              <w:suppressAutoHyphens w:val="0"/>
              <w:spacing w:before="0" w:after="0" w:line="360" w:lineRule="auto"/>
              <w:rPr>
                <w:rFonts w:ascii="Arial" w:eastAsia="Calibri" w:hAnsi="Arial" w:cs="Arial"/>
                <w:color w:val="auto"/>
                <w:sz w:val="20"/>
                <w:szCs w:val="20"/>
                <w:lang w:val="en-US"/>
              </w:rPr>
            </w:pPr>
            <w:r w:rsidRPr="00433F80">
              <w:rPr>
                <w:rFonts w:ascii="Arial" w:eastAsia="Calibri" w:hAnsi="Arial" w:cs="Arial"/>
                <w:color w:val="auto"/>
                <w:sz w:val="20"/>
                <w:szCs w:val="20"/>
                <w:lang w:val="en-US"/>
              </w:rPr>
              <w:t xml:space="preserve">Indicative indicators at this stage, pending design completion. A full list of PDO indicators will be contained in the project-level results framework for H-EQIP 2. The option of including an indicator for adolescent access to health services will also be considered.  </w:t>
            </w:r>
          </w:p>
        </w:tc>
      </w:tr>
      <w:tr w:rsidR="00433F80" w:rsidRPr="00433F80" w14:paraId="25ADD784" w14:textId="77777777" w:rsidTr="001A2CDA">
        <w:tc>
          <w:tcPr>
            <w:tcW w:w="2035" w:type="dxa"/>
          </w:tcPr>
          <w:p w14:paraId="06906B31" w14:textId="77777777" w:rsidR="00833F5A" w:rsidRPr="00433F80" w:rsidRDefault="00833F5A" w:rsidP="005E6171">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bidi="km-KH"/>
              </w:rPr>
              <w:lastRenderedPageBreak/>
              <w:t>PDO2. Performance of public service providers (primary schools, health centers and communes) is improved</w:t>
            </w:r>
          </w:p>
        </w:tc>
        <w:tc>
          <w:tcPr>
            <w:tcW w:w="2644" w:type="dxa"/>
          </w:tcPr>
          <w:p w14:paraId="0647B8C3" w14:textId="7C02DEEA" w:rsidR="00833F5A" w:rsidRPr="00433F80" w:rsidRDefault="00833F5A" w:rsidP="005E6171">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 xml:space="preserve">% </w:t>
            </w:r>
            <w:proofErr w:type="gramStart"/>
            <w:r w:rsidRPr="00433F80">
              <w:rPr>
                <w:rFonts w:ascii="Arial" w:eastAsia="Calibri" w:hAnsi="Arial" w:cs="Arial"/>
                <w:color w:val="auto"/>
                <w:lang w:val="en-US"/>
              </w:rPr>
              <w:t>of</w:t>
            </w:r>
            <w:proofErr w:type="gramEnd"/>
            <w:r w:rsidRPr="00433F80">
              <w:rPr>
                <w:rFonts w:ascii="Arial" w:eastAsia="Calibri" w:hAnsi="Arial" w:cs="Arial"/>
                <w:color w:val="auto"/>
                <w:lang w:val="en-US"/>
              </w:rPr>
              <w:t xml:space="preserve"> targeted public service providers </w:t>
            </w:r>
            <w:r w:rsidRPr="00433F80">
              <w:rPr>
                <w:rFonts w:ascii="Arial" w:eastAsia="Calibri" w:hAnsi="Arial" w:cs="Arial"/>
                <w:color w:val="auto"/>
                <w:lang w:val="en-US" w:bidi="km-KH"/>
              </w:rPr>
              <w:t xml:space="preserve">(primary schools, health centers and communes) </w:t>
            </w:r>
            <w:r w:rsidRPr="00433F80">
              <w:rPr>
                <w:rFonts w:ascii="Arial" w:eastAsia="Calibri" w:hAnsi="Arial" w:cs="Arial"/>
                <w:color w:val="auto"/>
                <w:lang w:val="en-US"/>
              </w:rPr>
              <w:t xml:space="preserve">demonstrating improved performance </w:t>
            </w:r>
          </w:p>
        </w:tc>
        <w:tc>
          <w:tcPr>
            <w:tcW w:w="1168" w:type="dxa"/>
          </w:tcPr>
          <w:p w14:paraId="0887C6B8" w14:textId="77777777" w:rsidR="00833F5A" w:rsidRPr="00433F80" w:rsidRDefault="00833F5A" w:rsidP="005E6171">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Percent</w:t>
            </w:r>
          </w:p>
        </w:tc>
        <w:tc>
          <w:tcPr>
            <w:tcW w:w="1073" w:type="dxa"/>
          </w:tcPr>
          <w:p w14:paraId="5BDF24F5" w14:textId="77777777" w:rsidR="00833F5A" w:rsidRPr="00433F80" w:rsidRDefault="00833F5A" w:rsidP="005E6171">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47</w:t>
            </w:r>
          </w:p>
        </w:tc>
        <w:tc>
          <w:tcPr>
            <w:tcW w:w="1073" w:type="dxa"/>
          </w:tcPr>
          <w:p w14:paraId="1A99B9FA" w14:textId="77777777" w:rsidR="00833F5A" w:rsidRPr="00433F80" w:rsidRDefault="00833F5A" w:rsidP="005E6171">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50</w:t>
            </w:r>
          </w:p>
        </w:tc>
        <w:tc>
          <w:tcPr>
            <w:tcW w:w="1073" w:type="dxa"/>
          </w:tcPr>
          <w:p w14:paraId="16805FAC" w14:textId="77777777" w:rsidR="00833F5A" w:rsidRPr="00433F80" w:rsidRDefault="00833F5A" w:rsidP="005E6171">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55</w:t>
            </w:r>
          </w:p>
        </w:tc>
        <w:tc>
          <w:tcPr>
            <w:tcW w:w="1073" w:type="dxa"/>
          </w:tcPr>
          <w:p w14:paraId="55E317A2" w14:textId="77777777" w:rsidR="00833F5A" w:rsidRPr="00433F80" w:rsidRDefault="00833F5A" w:rsidP="005E6171">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60</w:t>
            </w:r>
          </w:p>
        </w:tc>
        <w:tc>
          <w:tcPr>
            <w:tcW w:w="1110" w:type="dxa"/>
          </w:tcPr>
          <w:p w14:paraId="040E8D01" w14:textId="77777777" w:rsidR="00833F5A" w:rsidRPr="00433F80" w:rsidRDefault="00833F5A" w:rsidP="005E6171">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70</w:t>
            </w:r>
          </w:p>
        </w:tc>
        <w:tc>
          <w:tcPr>
            <w:tcW w:w="1082" w:type="dxa"/>
          </w:tcPr>
          <w:p w14:paraId="3D440919" w14:textId="77777777" w:rsidR="00833F5A" w:rsidRPr="00433F80" w:rsidRDefault="00833F5A" w:rsidP="005E6171">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80</w:t>
            </w:r>
          </w:p>
        </w:tc>
        <w:tc>
          <w:tcPr>
            <w:tcW w:w="2412" w:type="dxa"/>
          </w:tcPr>
          <w:p w14:paraId="73D74CE5" w14:textId="6AA111CA" w:rsidR="00833F5A" w:rsidRPr="00433F80" w:rsidRDefault="00833F5A" w:rsidP="005E6171">
            <w:pPr>
              <w:suppressAutoHyphens w:val="0"/>
              <w:spacing w:before="0" w:after="0" w:line="360" w:lineRule="auto"/>
              <w:rPr>
                <w:rFonts w:ascii="Arial" w:eastAsia="Calibri" w:hAnsi="Arial" w:cs="Arial"/>
                <w:color w:val="auto"/>
                <w:sz w:val="20"/>
                <w:szCs w:val="20"/>
                <w:lang w:val="en-US"/>
              </w:rPr>
            </w:pPr>
            <w:r w:rsidRPr="00433F80">
              <w:rPr>
                <w:rFonts w:ascii="Arial" w:eastAsia="Calibri" w:hAnsi="Arial" w:cs="Arial"/>
                <w:color w:val="auto"/>
                <w:sz w:val="20"/>
                <w:szCs w:val="20"/>
                <w:lang w:val="en-US"/>
              </w:rPr>
              <w:t>Indicative indicators at this stage, pending project identification process. A full list of PDO indicators will be contained in the project-level results framework for ISAF II.</w:t>
            </w:r>
          </w:p>
        </w:tc>
      </w:tr>
      <w:bookmarkEnd w:id="6"/>
      <w:tr w:rsidR="00433F80" w:rsidRPr="00433F80" w14:paraId="115B990E" w14:textId="77777777" w:rsidTr="001A2CDA">
        <w:tc>
          <w:tcPr>
            <w:tcW w:w="2035" w:type="dxa"/>
          </w:tcPr>
          <w:p w14:paraId="1931B334" w14:textId="31576C1A" w:rsidR="00833F5A" w:rsidRPr="00433F80" w:rsidRDefault="00EF2E3A" w:rsidP="005E6171">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bidi="km-KH"/>
              </w:rPr>
              <w:t>PDO2</w:t>
            </w:r>
          </w:p>
        </w:tc>
        <w:tc>
          <w:tcPr>
            <w:tcW w:w="2644" w:type="dxa"/>
          </w:tcPr>
          <w:p w14:paraId="22B499F9" w14:textId="77777777" w:rsidR="00833F5A" w:rsidRPr="00433F80" w:rsidRDefault="00833F5A" w:rsidP="005E6171">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Increased participation of people with gender differences and vulnerable population in activities of local public service providers</w:t>
            </w:r>
          </w:p>
        </w:tc>
        <w:tc>
          <w:tcPr>
            <w:tcW w:w="1168" w:type="dxa"/>
          </w:tcPr>
          <w:p w14:paraId="0583B542" w14:textId="77777777" w:rsidR="00833F5A" w:rsidRPr="00433F80" w:rsidRDefault="00833F5A" w:rsidP="005E6171">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Percent</w:t>
            </w:r>
          </w:p>
        </w:tc>
        <w:tc>
          <w:tcPr>
            <w:tcW w:w="1073" w:type="dxa"/>
          </w:tcPr>
          <w:p w14:paraId="28CD699D" w14:textId="77777777" w:rsidR="00833F5A" w:rsidRPr="00433F80" w:rsidRDefault="00833F5A" w:rsidP="005E6171">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10</w:t>
            </w:r>
          </w:p>
        </w:tc>
        <w:tc>
          <w:tcPr>
            <w:tcW w:w="1073" w:type="dxa"/>
          </w:tcPr>
          <w:p w14:paraId="6B596E32" w14:textId="77777777" w:rsidR="00833F5A" w:rsidRPr="00433F80" w:rsidRDefault="00833F5A" w:rsidP="005E6171">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10</w:t>
            </w:r>
          </w:p>
        </w:tc>
        <w:tc>
          <w:tcPr>
            <w:tcW w:w="1073" w:type="dxa"/>
          </w:tcPr>
          <w:p w14:paraId="60E55CEA" w14:textId="77777777" w:rsidR="00833F5A" w:rsidRPr="00433F80" w:rsidRDefault="00833F5A" w:rsidP="005E6171">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20</w:t>
            </w:r>
          </w:p>
        </w:tc>
        <w:tc>
          <w:tcPr>
            <w:tcW w:w="1073" w:type="dxa"/>
          </w:tcPr>
          <w:p w14:paraId="5A2A5473" w14:textId="77777777" w:rsidR="00833F5A" w:rsidRPr="00433F80" w:rsidRDefault="00833F5A" w:rsidP="005E6171">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30</w:t>
            </w:r>
          </w:p>
        </w:tc>
        <w:tc>
          <w:tcPr>
            <w:tcW w:w="1110" w:type="dxa"/>
          </w:tcPr>
          <w:p w14:paraId="24F698A5" w14:textId="77777777" w:rsidR="00833F5A" w:rsidRPr="00433F80" w:rsidRDefault="00833F5A" w:rsidP="005E6171">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40</w:t>
            </w:r>
          </w:p>
        </w:tc>
        <w:tc>
          <w:tcPr>
            <w:tcW w:w="1082" w:type="dxa"/>
          </w:tcPr>
          <w:p w14:paraId="234AB5C1" w14:textId="77777777" w:rsidR="00833F5A" w:rsidRPr="00433F80" w:rsidRDefault="00833F5A" w:rsidP="005E6171">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50</w:t>
            </w:r>
          </w:p>
        </w:tc>
        <w:tc>
          <w:tcPr>
            <w:tcW w:w="2412" w:type="dxa"/>
          </w:tcPr>
          <w:p w14:paraId="042B6F5B" w14:textId="40346C71" w:rsidR="00833F5A" w:rsidRPr="00433F80" w:rsidRDefault="00EF2E3A" w:rsidP="005E6171">
            <w:pPr>
              <w:suppressAutoHyphens w:val="0"/>
              <w:spacing w:before="0" w:after="0" w:line="360" w:lineRule="auto"/>
              <w:rPr>
                <w:rFonts w:ascii="Arial" w:eastAsia="Calibri" w:hAnsi="Arial" w:cs="Arial"/>
                <w:color w:val="auto"/>
                <w:sz w:val="20"/>
                <w:szCs w:val="20"/>
                <w:lang w:val="en-US"/>
              </w:rPr>
            </w:pPr>
            <w:r w:rsidRPr="00433F80">
              <w:rPr>
                <w:rFonts w:ascii="Arial" w:eastAsia="Calibri" w:hAnsi="Arial" w:cs="Arial"/>
                <w:color w:val="auto"/>
                <w:sz w:val="20"/>
                <w:szCs w:val="20"/>
                <w:lang w:val="en-US"/>
              </w:rPr>
              <w:t>The first indicator is a composite indicator based on several impact survey questions.</w:t>
            </w:r>
          </w:p>
        </w:tc>
      </w:tr>
      <w:tr w:rsidR="00433F80" w:rsidRPr="00433F80" w14:paraId="10AA6CE4" w14:textId="77777777" w:rsidTr="001A2CDA">
        <w:tc>
          <w:tcPr>
            <w:tcW w:w="2035" w:type="dxa"/>
          </w:tcPr>
          <w:p w14:paraId="08AACE7F" w14:textId="69655E65" w:rsidR="00833F5A" w:rsidRPr="00433F80" w:rsidRDefault="00833F5A" w:rsidP="005E6171">
            <w:pPr>
              <w:suppressAutoHyphens w:val="0"/>
              <w:spacing w:after="120" w:line="360" w:lineRule="auto"/>
              <w:rPr>
                <w:rFonts w:ascii="Arial" w:eastAsia="Calibri" w:hAnsi="Arial" w:cs="Arial"/>
                <w:color w:val="auto"/>
                <w:lang w:val="en-US"/>
              </w:rPr>
            </w:pPr>
            <w:r w:rsidRPr="00433F80">
              <w:rPr>
                <w:rFonts w:ascii="Arial" w:eastAsia="Calibri" w:hAnsi="Arial" w:cs="Arial"/>
                <w:color w:val="auto"/>
                <w:lang w:val="en-AU"/>
              </w:rPr>
              <w:t xml:space="preserve">PDO3. Social and economic analysis informs dialogue and the development and </w:t>
            </w:r>
            <w:r w:rsidRPr="00433F80">
              <w:rPr>
                <w:rFonts w:ascii="Arial" w:eastAsia="Calibri" w:hAnsi="Arial" w:cs="Arial"/>
                <w:color w:val="auto"/>
                <w:lang w:val="en-AU"/>
              </w:rPr>
              <w:lastRenderedPageBreak/>
              <w:t xml:space="preserve">implementation of national policies, programmes and projects </w:t>
            </w:r>
          </w:p>
        </w:tc>
        <w:tc>
          <w:tcPr>
            <w:tcW w:w="2644" w:type="dxa"/>
          </w:tcPr>
          <w:p w14:paraId="1BC0A6AC" w14:textId="77777777" w:rsidR="00833F5A" w:rsidRPr="00433F80" w:rsidRDefault="00833F5A" w:rsidP="005E6171">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lastRenderedPageBreak/>
              <w:t xml:space="preserve">Evidence of PASA contributing to national policies, programs and projects are captured </w:t>
            </w:r>
            <w:r w:rsidRPr="00433F80">
              <w:rPr>
                <w:rFonts w:ascii="Arial" w:eastAsia="Calibri" w:hAnsi="Arial" w:cs="Arial"/>
                <w:color w:val="auto"/>
                <w:lang w:val="en-US"/>
              </w:rPr>
              <w:lastRenderedPageBreak/>
              <w:t>and reported/communicated</w:t>
            </w:r>
          </w:p>
        </w:tc>
        <w:tc>
          <w:tcPr>
            <w:tcW w:w="1168" w:type="dxa"/>
          </w:tcPr>
          <w:p w14:paraId="48C6D85C" w14:textId="77777777" w:rsidR="00833F5A" w:rsidRPr="00433F80" w:rsidRDefault="00833F5A" w:rsidP="005E6171">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lastRenderedPageBreak/>
              <w:t>Report</w:t>
            </w:r>
          </w:p>
        </w:tc>
        <w:tc>
          <w:tcPr>
            <w:tcW w:w="1073" w:type="dxa"/>
          </w:tcPr>
          <w:p w14:paraId="0F6721BF" w14:textId="77777777" w:rsidR="00833F5A" w:rsidRPr="00433F80" w:rsidRDefault="00833F5A" w:rsidP="005E6171">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0</w:t>
            </w:r>
          </w:p>
        </w:tc>
        <w:tc>
          <w:tcPr>
            <w:tcW w:w="1073" w:type="dxa"/>
          </w:tcPr>
          <w:p w14:paraId="02864FCB" w14:textId="77777777" w:rsidR="00833F5A" w:rsidRPr="00433F80" w:rsidRDefault="00833F5A" w:rsidP="005E6171">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1</w:t>
            </w:r>
          </w:p>
        </w:tc>
        <w:tc>
          <w:tcPr>
            <w:tcW w:w="1073" w:type="dxa"/>
          </w:tcPr>
          <w:p w14:paraId="75AFC315" w14:textId="77777777" w:rsidR="00833F5A" w:rsidRPr="00433F80" w:rsidRDefault="00833F5A" w:rsidP="005E6171">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2</w:t>
            </w:r>
          </w:p>
        </w:tc>
        <w:tc>
          <w:tcPr>
            <w:tcW w:w="1073" w:type="dxa"/>
          </w:tcPr>
          <w:p w14:paraId="72DC0081" w14:textId="77777777" w:rsidR="00833F5A" w:rsidRPr="00433F80" w:rsidRDefault="00833F5A" w:rsidP="005E6171">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3</w:t>
            </w:r>
          </w:p>
        </w:tc>
        <w:tc>
          <w:tcPr>
            <w:tcW w:w="1110" w:type="dxa"/>
          </w:tcPr>
          <w:p w14:paraId="7D0C39CA" w14:textId="77777777" w:rsidR="00833F5A" w:rsidRPr="00433F80" w:rsidRDefault="00833F5A" w:rsidP="005E6171">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 xml:space="preserve">4 </w:t>
            </w:r>
          </w:p>
        </w:tc>
        <w:tc>
          <w:tcPr>
            <w:tcW w:w="1082" w:type="dxa"/>
          </w:tcPr>
          <w:p w14:paraId="5911EDFF" w14:textId="77777777" w:rsidR="00833F5A" w:rsidRPr="00433F80" w:rsidRDefault="00833F5A" w:rsidP="005E6171">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5</w:t>
            </w:r>
          </w:p>
        </w:tc>
        <w:tc>
          <w:tcPr>
            <w:tcW w:w="2412" w:type="dxa"/>
          </w:tcPr>
          <w:p w14:paraId="1FE433F8" w14:textId="77777777" w:rsidR="00833F5A" w:rsidRPr="00433F80" w:rsidRDefault="00833F5A" w:rsidP="005E6171">
            <w:pPr>
              <w:suppressAutoHyphens w:val="0"/>
              <w:spacing w:before="0" w:after="0" w:line="360" w:lineRule="auto"/>
              <w:rPr>
                <w:rFonts w:ascii="Arial" w:eastAsia="Calibri" w:hAnsi="Arial" w:cs="Arial"/>
                <w:color w:val="auto"/>
                <w:sz w:val="20"/>
                <w:szCs w:val="20"/>
                <w:lang w:val="en-US"/>
              </w:rPr>
            </w:pPr>
            <w:r w:rsidRPr="00433F80">
              <w:rPr>
                <w:rFonts w:ascii="Arial" w:eastAsia="Calibri" w:hAnsi="Arial" w:cs="Arial"/>
                <w:color w:val="auto"/>
                <w:sz w:val="20"/>
                <w:szCs w:val="20"/>
                <w:lang w:val="en-US"/>
              </w:rPr>
              <w:t>One report per year</w:t>
            </w:r>
          </w:p>
        </w:tc>
      </w:tr>
      <w:tr w:rsidR="00433F80" w:rsidRPr="00433F80" w14:paraId="0B06619F" w14:textId="77777777" w:rsidTr="001A2CDA">
        <w:tc>
          <w:tcPr>
            <w:tcW w:w="2035" w:type="dxa"/>
          </w:tcPr>
          <w:p w14:paraId="7520185A" w14:textId="77777777" w:rsidR="00833F5A" w:rsidRPr="00433F80" w:rsidRDefault="00833F5A" w:rsidP="005E6171">
            <w:pPr>
              <w:suppressAutoHyphens w:val="0"/>
              <w:spacing w:after="120" w:line="360" w:lineRule="auto"/>
              <w:rPr>
                <w:rFonts w:ascii="Arial" w:eastAsia="Calibri" w:hAnsi="Arial" w:cs="Arial"/>
                <w:color w:val="auto"/>
                <w:lang w:val="en-US"/>
              </w:rPr>
            </w:pPr>
            <w:r w:rsidRPr="00433F80">
              <w:rPr>
                <w:rFonts w:ascii="Arial" w:eastAsia="Calibri" w:hAnsi="Arial" w:cs="Arial"/>
                <w:color w:val="auto"/>
                <w:lang w:val="en-AU"/>
              </w:rPr>
              <w:t>PDO4. Gender equality and social inclusion advanced through analysis, advocacy and/or action conducted and promoted through the Partnership</w:t>
            </w:r>
          </w:p>
        </w:tc>
        <w:tc>
          <w:tcPr>
            <w:tcW w:w="2644" w:type="dxa"/>
          </w:tcPr>
          <w:p w14:paraId="6B53375E" w14:textId="77777777" w:rsidR="00833F5A" w:rsidRPr="00433F80" w:rsidRDefault="00833F5A" w:rsidP="005E6171">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Instances of policies, projects, and programs informed by additional gender analysis and/or adopting additional gender actions plan or gender targets</w:t>
            </w:r>
          </w:p>
        </w:tc>
        <w:tc>
          <w:tcPr>
            <w:tcW w:w="1168" w:type="dxa"/>
          </w:tcPr>
          <w:p w14:paraId="728008F5" w14:textId="77777777" w:rsidR="00833F5A" w:rsidRPr="00433F80" w:rsidRDefault="00833F5A" w:rsidP="005E6171">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Report</w:t>
            </w:r>
          </w:p>
        </w:tc>
        <w:tc>
          <w:tcPr>
            <w:tcW w:w="1073" w:type="dxa"/>
          </w:tcPr>
          <w:p w14:paraId="34E489ED" w14:textId="77777777" w:rsidR="00833F5A" w:rsidRPr="00433F80" w:rsidRDefault="00833F5A" w:rsidP="005E6171">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0</w:t>
            </w:r>
          </w:p>
        </w:tc>
        <w:tc>
          <w:tcPr>
            <w:tcW w:w="1073" w:type="dxa"/>
          </w:tcPr>
          <w:p w14:paraId="3E8C2ABB" w14:textId="77777777" w:rsidR="00833F5A" w:rsidRPr="00433F80" w:rsidRDefault="00833F5A" w:rsidP="005E6171">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1</w:t>
            </w:r>
          </w:p>
        </w:tc>
        <w:tc>
          <w:tcPr>
            <w:tcW w:w="1073" w:type="dxa"/>
          </w:tcPr>
          <w:p w14:paraId="22501569" w14:textId="77777777" w:rsidR="00833F5A" w:rsidRPr="00433F80" w:rsidRDefault="00833F5A" w:rsidP="005E6171">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2</w:t>
            </w:r>
          </w:p>
        </w:tc>
        <w:tc>
          <w:tcPr>
            <w:tcW w:w="1073" w:type="dxa"/>
          </w:tcPr>
          <w:p w14:paraId="75522FF0" w14:textId="77777777" w:rsidR="00833F5A" w:rsidRPr="00433F80" w:rsidRDefault="00833F5A" w:rsidP="005E6171">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3</w:t>
            </w:r>
          </w:p>
        </w:tc>
        <w:tc>
          <w:tcPr>
            <w:tcW w:w="1110" w:type="dxa"/>
          </w:tcPr>
          <w:p w14:paraId="6D05FF5F" w14:textId="77777777" w:rsidR="00833F5A" w:rsidRPr="00433F80" w:rsidRDefault="00833F5A" w:rsidP="005E6171">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 xml:space="preserve">4 </w:t>
            </w:r>
          </w:p>
        </w:tc>
        <w:tc>
          <w:tcPr>
            <w:tcW w:w="1082" w:type="dxa"/>
          </w:tcPr>
          <w:p w14:paraId="1A22E303" w14:textId="77777777" w:rsidR="00833F5A" w:rsidRPr="00433F80" w:rsidRDefault="00833F5A" w:rsidP="005E6171">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5</w:t>
            </w:r>
          </w:p>
        </w:tc>
        <w:tc>
          <w:tcPr>
            <w:tcW w:w="2412" w:type="dxa"/>
          </w:tcPr>
          <w:p w14:paraId="476BBB89" w14:textId="77777777" w:rsidR="00833F5A" w:rsidRPr="00433F80" w:rsidRDefault="00833F5A" w:rsidP="005E6171">
            <w:pPr>
              <w:suppressAutoHyphens w:val="0"/>
              <w:spacing w:before="0" w:after="0" w:line="360" w:lineRule="auto"/>
              <w:rPr>
                <w:rFonts w:ascii="Arial" w:eastAsia="Calibri" w:hAnsi="Arial" w:cs="Arial"/>
                <w:color w:val="auto"/>
                <w:sz w:val="20"/>
                <w:szCs w:val="20"/>
                <w:lang w:val="en-US"/>
              </w:rPr>
            </w:pPr>
            <w:r w:rsidRPr="00433F80">
              <w:rPr>
                <w:rFonts w:ascii="Arial" w:eastAsia="Calibri" w:hAnsi="Arial" w:cs="Arial"/>
                <w:color w:val="auto"/>
                <w:sz w:val="20"/>
                <w:szCs w:val="20"/>
                <w:lang w:val="en-US"/>
              </w:rPr>
              <w:t>One policy/project/program informed per year</w:t>
            </w:r>
          </w:p>
        </w:tc>
      </w:tr>
    </w:tbl>
    <w:p w14:paraId="363ADC27" w14:textId="51AD6F73" w:rsidR="00EF2E3A" w:rsidRDefault="00EF2E3A">
      <w:pPr>
        <w:rPr>
          <w:rFonts w:ascii="Arial" w:eastAsia="Calibri" w:hAnsi="Arial" w:cs="Arial"/>
          <w:b/>
          <w:bCs/>
          <w:color w:val="auto"/>
          <w:lang w:val="en-AU"/>
        </w:rPr>
      </w:pPr>
      <w:r w:rsidRPr="00433F80">
        <w:rPr>
          <w:rFonts w:ascii="Arial" w:eastAsia="Calibri" w:hAnsi="Arial" w:cs="Arial"/>
          <w:b/>
          <w:bCs/>
          <w:color w:val="auto"/>
          <w:lang w:val="en-AU"/>
        </w:rPr>
        <w:t>Intermediate Results</w:t>
      </w:r>
    </w:p>
    <w:p w14:paraId="059966BF" w14:textId="69076A4D" w:rsidR="00EF2E3A" w:rsidRDefault="00EF2E3A">
      <w:r w:rsidRPr="00433F80">
        <w:rPr>
          <w:rFonts w:ascii="Arial" w:eastAsia="Calibri" w:hAnsi="Arial" w:cs="Arial"/>
          <w:b/>
          <w:bCs/>
          <w:color w:val="auto"/>
          <w:sz w:val="20"/>
          <w:szCs w:val="20"/>
          <w:lang w:val="en-AU"/>
        </w:rPr>
        <w:t>Component 1: Promoting sustainable and inclusive public services</w:t>
      </w:r>
    </w:p>
    <w:tbl>
      <w:tblPr>
        <w:tblStyle w:val="TableGrid2"/>
        <w:tblW w:w="14743" w:type="dxa"/>
        <w:tblInd w:w="-289" w:type="dxa"/>
        <w:tblLook w:val="04A0" w:firstRow="1" w:lastRow="0" w:firstColumn="1" w:lastColumn="0" w:noHBand="0" w:noVBand="1"/>
      </w:tblPr>
      <w:tblGrid>
        <w:gridCol w:w="2035"/>
        <w:gridCol w:w="2644"/>
        <w:gridCol w:w="1168"/>
        <w:gridCol w:w="1073"/>
        <w:gridCol w:w="1073"/>
        <w:gridCol w:w="1073"/>
        <w:gridCol w:w="1073"/>
        <w:gridCol w:w="1110"/>
        <w:gridCol w:w="1082"/>
        <w:gridCol w:w="2412"/>
      </w:tblGrid>
      <w:tr w:rsidR="00433F80" w:rsidRPr="00433F80" w14:paraId="7C61D109" w14:textId="77777777" w:rsidTr="00EF2E3A">
        <w:trPr>
          <w:tblHeader/>
        </w:trPr>
        <w:tc>
          <w:tcPr>
            <w:tcW w:w="2035" w:type="dxa"/>
          </w:tcPr>
          <w:p w14:paraId="0D09DAD3" w14:textId="77777777" w:rsidR="00833F5A" w:rsidRPr="00433F80" w:rsidRDefault="00833F5A" w:rsidP="005E6171">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lastRenderedPageBreak/>
              <w:t>Output</w:t>
            </w:r>
          </w:p>
        </w:tc>
        <w:tc>
          <w:tcPr>
            <w:tcW w:w="2644" w:type="dxa"/>
          </w:tcPr>
          <w:p w14:paraId="4E1C7930" w14:textId="77777777" w:rsidR="00833F5A" w:rsidRPr="00433F80" w:rsidRDefault="00833F5A" w:rsidP="005E6171">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Indicator</w:t>
            </w:r>
          </w:p>
        </w:tc>
        <w:tc>
          <w:tcPr>
            <w:tcW w:w="1168" w:type="dxa"/>
          </w:tcPr>
          <w:p w14:paraId="35620A8B" w14:textId="77777777" w:rsidR="00833F5A" w:rsidRPr="00433F80" w:rsidRDefault="00833F5A" w:rsidP="005E6171">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Unit of Measure</w:t>
            </w:r>
          </w:p>
        </w:tc>
        <w:tc>
          <w:tcPr>
            <w:tcW w:w="1073" w:type="dxa"/>
          </w:tcPr>
          <w:p w14:paraId="0D3B43C0" w14:textId="77777777" w:rsidR="00833F5A" w:rsidRPr="00433F80" w:rsidRDefault="00833F5A" w:rsidP="005E6171">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Baseline</w:t>
            </w:r>
          </w:p>
        </w:tc>
        <w:tc>
          <w:tcPr>
            <w:tcW w:w="1073" w:type="dxa"/>
          </w:tcPr>
          <w:p w14:paraId="35A2DAA4" w14:textId="77777777" w:rsidR="00833F5A" w:rsidRPr="00433F80" w:rsidRDefault="00833F5A" w:rsidP="005E6171">
            <w:pPr>
              <w:suppressAutoHyphens w:val="0"/>
              <w:spacing w:before="0" w:after="0" w:line="360" w:lineRule="auto"/>
              <w:jc w:val="center"/>
              <w:rPr>
                <w:rFonts w:ascii="Arial" w:eastAsia="Calibri" w:hAnsi="Arial" w:cs="Arial"/>
                <w:color w:val="auto"/>
                <w:lang w:val="en-US"/>
              </w:rPr>
            </w:pPr>
            <w:r w:rsidRPr="00433F80">
              <w:rPr>
                <w:rFonts w:ascii="Arial" w:eastAsia="Calibri" w:hAnsi="Arial" w:cs="Arial"/>
                <w:color w:val="auto"/>
                <w:lang w:val="en-US"/>
              </w:rPr>
              <w:t>Target</w:t>
            </w:r>
          </w:p>
          <w:p w14:paraId="43AAA0C4" w14:textId="77777777" w:rsidR="00833F5A" w:rsidRPr="00433F80" w:rsidRDefault="00833F5A" w:rsidP="005E6171">
            <w:pPr>
              <w:suppressAutoHyphens w:val="0"/>
              <w:spacing w:before="0" w:after="0" w:line="360" w:lineRule="auto"/>
              <w:jc w:val="center"/>
              <w:rPr>
                <w:rFonts w:ascii="Arial" w:eastAsia="Calibri" w:hAnsi="Arial" w:cs="Arial"/>
                <w:color w:val="auto"/>
                <w:lang w:val="en-US"/>
              </w:rPr>
            </w:pPr>
            <w:r w:rsidRPr="00433F80">
              <w:rPr>
                <w:rFonts w:ascii="Arial" w:eastAsia="Calibri" w:hAnsi="Arial" w:cs="Arial"/>
                <w:color w:val="auto"/>
                <w:lang w:val="en-US"/>
              </w:rPr>
              <w:t>Y1</w:t>
            </w:r>
          </w:p>
        </w:tc>
        <w:tc>
          <w:tcPr>
            <w:tcW w:w="1073" w:type="dxa"/>
          </w:tcPr>
          <w:p w14:paraId="03E65B38" w14:textId="77777777" w:rsidR="00833F5A" w:rsidRPr="00433F80" w:rsidRDefault="00833F5A" w:rsidP="005E6171">
            <w:pPr>
              <w:suppressAutoHyphens w:val="0"/>
              <w:spacing w:before="0" w:after="0" w:line="360" w:lineRule="auto"/>
              <w:jc w:val="center"/>
              <w:rPr>
                <w:rFonts w:ascii="Arial" w:eastAsia="Calibri" w:hAnsi="Arial" w:cs="Arial"/>
                <w:color w:val="auto"/>
                <w:lang w:val="en-US"/>
              </w:rPr>
            </w:pPr>
            <w:r w:rsidRPr="00433F80">
              <w:rPr>
                <w:rFonts w:ascii="Arial" w:eastAsia="Calibri" w:hAnsi="Arial" w:cs="Arial"/>
                <w:color w:val="auto"/>
                <w:lang w:val="en-US"/>
              </w:rPr>
              <w:t>Target</w:t>
            </w:r>
          </w:p>
          <w:p w14:paraId="374628EB" w14:textId="77777777" w:rsidR="00833F5A" w:rsidRPr="00433F80" w:rsidRDefault="00833F5A" w:rsidP="005E6171">
            <w:pPr>
              <w:suppressAutoHyphens w:val="0"/>
              <w:spacing w:before="0" w:after="0" w:line="360" w:lineRule="auto"/>
              <w:jc w:val="center"/>
              <w:rPr>
                <w:rFonts w:ascii="Arial" w:eastAsia="Calibri" w:hAnsi="Arial" w:cs="Arial"/>
                <w:color w:val="auto"/>
                <w:lang w:val="en-US"/>
              </w:rPr>
            </w:pPr>
            <w:r w:rsidRPr="00433F80">
              <w:rPr>
                <w:rFonts w:ascii="Arial" w:eastAsia="Calibri" w:hAnsi="Arial" w:cs="Arial"/>
                <w:color w:val="auto"/>
                <w:lang w:val="en-US"/>
              </w:rPr>
              <w:t>Y2</w:t>
            </w:r>
          </w:p>
        </w:tc>
        <w:tc>
          <w:tcPr>
            <w:tcW w:w="1073" w:type="dxa"/>
          </w:tcPr>
          <w:p w14:paraId="199C9458" w14:textId="77777777" w:rsidR="00833F5A" w:rsidRPr="00433F80" w:rsidRDefault="00833F5A" w:rsidP="005E6171">
            <w:pPr>
              <w:suppressAutoHyphens w:val="0"/>
              <w:spacing w:before="0" w:after="0" w:line="360" w:lineRule="auto"/>
              <w:jc w:val="center"/>
              <w:rPr>
                <w:rFonts w:ascii="Arial" w:eastAsia="Calibri" w:hAnsi="Arial" w:cs="Arial"/>
                <w:color w:val="auto"/>
                <w:lang w:val="en-US"/>
              </w:rPr>
            </w:pPr>
            <w:r w:rsidRPr="00433F80">
              <w:rPr>
                <w:rFonts w:ascii="Arial" w:eastAsia="Calibri" w:hAnsi="Arial" w:cs="Arial"/>
                <w:color w:val="auto"/>
                <w:lang w:val="en-US"/>
              </w:rPr>
              <w:t>Target</w:t>
            </w:r>
          </w:p>
          <w:p w14:paraId="26F3A6B2" w14:textId="77777777" w:rsidR="00833F5A" w:rsidRPr="00433F80" w:rsidRDefault="00833F5A" w:rsidP="005E6171">
            <w:pPr>
              <w:suppressAutoHyphens w:val="0"/>
              <w:spacing w:before="0" w:after="0" w:line="360" w:lineRule="auto"/>
              <w:jc w:val="center"/>
              <w:rPr>
                <w:rFonts w:ascii="Arial" w:eastAsia="Calibri" w:hAnsi="Arial" w:cs="Arial"/>
                <w:color w:val="auto"/>
                <w:lang w:val="en-US"/>
              </w:rPr>
            </w:pPr>
            <w:r w:rsidRPr="00433F80">
              <w:rPr>
                <w:rFonts w:ascii="Arial" w:eastAsia="Calibri" w:hAnsi="Arial" w:cs="Arial"/>
                <w:color w:val="auto"/>
                <w:lang w:val="en-US"/>
              </w:rPr>
              <w:t>Y3</w:t>
            </w:r>
          </w:p>
        </w:tc>
        <w:tc>
          <w:tcPr>
            <w:tcW w:w="1110" w:type="dxa"/>
          </w:tcPr>
          <w:p w14:paraId="6C4ED360" w14:textId="77777777" w:rsidR="00833F5A" w:rsidRPr="00433F80" w:rsidRDefault="00833F5A" w:rsidP="005E6171">
            <w:pPr>
              <w:suppressAutoHyphens w:val="0"/>
              <w:spacing w:before="0" w:after="0" w:line="360" w:lineRule="auto"/>
              <w:jc w:val="center"/>
              <w:rPr>
                <w:rFonts w:ascii="Arial" w:eastAsia="Calibri" w:hAnsi="Arial" w:cs="Arial"/>
                <w:color w:val="auto"/>
                <w:lang w:val="en-US"/>
              </w:rPr>
            </w:pPr>
            <w:r w:rsidRPr="00433F80">
              <w:rPr>
                <w:rFonts w:ascii="Arial" w:eastAsia="Calibri" w:hAnsi="Arial" w:cs="Arial"/>
                <w:color w:val="auto"/>
                <w:lang w:val="en-US"/>
              </w:rPr>
              <w:t>Target</w:t>
            </w:r>
          </w:p>
          <w:p w14:paraId="27100C7A" w14:textId="77777777" w:rsidR="00833F5A" w:rsidRPr="00433F80" w:rsidRDefault="00833F5A" w:rsidP="005E6171">
            <w:pPr>
              <w:suppressAutoHyphens w:val="0"/>
              <w:spacing w:before="0" w:after="0" w:line="360" w:lineRule="auto"/>
              <w:jc w:val="center"/>
              <w:rPr>
                <w:rFonts w:ascii="Arial" w:eastAsia="Calibri" w:hAnsi="Arial" w:cs="Arial"/>
                <w:color w:val="auto"/>
                <w:lang w:val="en-US"/>
              </w:rPr>
            </w:pPr>
            <w:r w:rsidRPr="00433F80">
              <w:rPr>
                <w:rFonts w:ascii="Arial" w:eastAsia="Calibri" w:hAnsi="Arial" w:cs="Arial"/>
                <w:color w:val="auto"/>
                <w:lang w:val="en-US"/>
              </w:rPr>
              <w:t>Y4</w:t>
            </w:r>
          </w:p>
        </w:tc>
        <w:tc>
          <w:tcPr>
            <w:tcW w:w="1082" w:type="dxa"/>
          </w:tcPr>
          <w:p w14:paraId="2DBB6EE0" w14:textId="77777777" w:rsidR="00833F5A" w:rsidRPr="00433F80" w:rsidRDefault="00833F5A" w:rsidP="005E6171">
            <w:pPr>
              <w:suppressAutoHyphens w:val="0"/>
              <w:spacing w:before="0" w:after="0" w:line="360" w:lineRule="auto"/>
              <w:jc w:val="center"/>
              <w:rPr>
                <w:rFonts w:ascii="Arial" w:eastAsia="Calibri" w:hAnsi="Arial" w:cs="Arial"/>
                <w:color w:val="auto"/>
                <w:lang w:val="en-US"/>
              </w:rPr>
            </w:pPr>
            <w:r w:rsidRPr="00433F80">
              <w:rPr>
                <w:rFonts w:ascii="Arial" w:eastAsia="Calibri" w:hAnsi="Arial" w:cs="Arial"/>
                <w:color w:val="auto"/>
                <w:lang w:val="en-US"/>
              </w:rPr>
              <w:t>Target</w:t>
            </w:r>
          </w:p>
          <w:p w14:paraId="0A9956F4" w14:textId="77777777" w:rsidR="00833F5A" w:rsidRPr="00433F80" w:rsidRDefault="00833F5A" w:rsidP="005E6171">
            <w:pPr>
              <w:suppressAutoHyphens w:val="0"/>
              <w:spacing w:before="0" w:after="0" w:line="360" w:lineRule="auto"/>
              <w:jc w:val="center"/>
              <w:rPr>
                <w:rFonts w:ascii="Arial" w:eastAsia="Calibri" w:hAnsi="Arial" w:cs="Arial"/>
                <w:color w:val="auto"/>
                <w:lang w:val="en-US"/>
              </w:rPr>
            </w:pPr>
            <w:r w:rsidRPr="00433F80">
              <w:rPr>
                <w:rFonts w:ascii="Arial" w:eastAsia="Calibri" w:hAnsi="Arial" w:cs="Arial"/>
                <w:color w:val="auto"/>
                <w:lang w:val="en-US"/>
              </w:rPr>
              <w:t>Y5</w:t>
            </w:r>
          </w:p>
        </w:tc>
        <w:tc>
          <w:tcPr>
            <w:tcW w:w="2412" w:type="dxa"/>
          </w:tcPr>
          <w:p w14:paraId="37A97E5F" w14:textId="1270B27A" w:rsidR="00833F5A" w:rsidRPr="00433F80" w:rsidRDefault="00EF2E3A" w:rsidP="005E6171">
            <w:pPr>
              <w:suppressAutoHyphens w:val="0"/>
              <w:spacing w:before="0" w:after="0" w:line="360" w:lineRule="auto"/>
              <w:rPr>
                <w:rFonts w:ascii="Arial" w:eastAsia="Calibri" w:hAnsi="Arial" w:cs="Arial"/>
                <w:color w:val="auto"/>
                <w:sz w:val="20"/>
                <w:szCs w:val="20"/>
                <w:lang w:val="en-US"/>
              </w:rPr>
            </w:pPr>
            <w:r>
              <w:rPr>
                <w:rFonts w:ascii="Arial" w:eastAsia="Calibri" w:hAnsi="Arial" w:cs="Arial"/>
                <w:color w:val="auto"/>
                <w:sz w:val="20"/>
                <w:szCs w:val="20"/>
                <w:lang w:val="en-US"/>
              </w:rPr>
              <w:t>Comments</w:t>
            </w:r>
          </w:p>
        </w:tc>
      </w:tr>
      <w:tr w:rsidR="00433F80" w:rsidRPr="00433F80" w14:paraId="57C43E79" w14:textId="77777777" w:rsidTr="001A2CDA">
        <w:tc>
          <w:tcPr>
            <w:tcW w:w="2035" w:type="dxa"/>
          </w:tcPr>
          <w:p w14:paraId="1C6A6A9D" w14:textId="77777777" w:rsidR="00833F5A" w:rsidRPr="00433F80" w:rsidRDefault="00833F5A" w:rsidP="005E6171">
            <w:pPr>
              <w:suppressAutoHyphens w:val="0"/>
              <w:spacing w:before="0" w:after="120" w:line="360" w:lineRule="auto"/>
              <w:rPr>
                <w:rFonts w:ascii="Arial" w:eastAsia="Calibri" w:hAnsi="Arial" w:cs="Arial"/>
                <w:color w:val="auto"/>
                <w:lang w:val="en-US"/>
              </w:rPr>
            </w:pPr>
            <w:r w:rsidRPr="00433F80">
              <w:rPr>
                <w:rFonts w:ascii="Arial" w:eastAsia="Calibri" w:hAnsi="Arial" w:cs="Arial"/>
                <w:color w:val="auto"/>
                <w:lang w:val="en-US"/>
              </w:rPr>
              <w:t xml:space="preserve">IR1. Improved supervision, </w:t>
            </w:r>
            <w:proofErr w:type="gramStart"/>
            <w:r w:rsidRPr="00433F80">
              <w:rPr>
                <w:rFonts w:ascii="Arial" w:eastAsia="Calibri" w:hAnsi="Arial" w:cs="Arial"/>
                <w:color w:val="auto"/>
                <w:lang w:val="en-US"/>
              </w:rPr>
              <w:t>management</w:t>
            </w:r>
            <w:proofErr w:type="gramEnd"/>
            <w:r w:rsidRPr="00433F80">
              <w:rPr>
                <w:rFonts w:ascii="Arial" w:eastAsia="Calibri" w:hAnsi="Arial" w:cs="Arial"/>
                <w:color w:val="auto"/>
                <w:lang w:val="en-US"/>
              </w:rPr>
              <w:t xml:space="preserve"> and accountability in health facilities and in all health management agencies </w:t>
            </w:r>
          </w:p>
        </w:tc>
        <w:tc>
          <w:tcPr>
            <w:tcW w:w="2644" w:type="dxa"/>
          </w:tcPr>
          <w:p w14:paraId="3988CB59" w14:textId="77777777" w:rsidR="00833F5A" w:rsidRPr="00433F80" w:rsidRDefault="00833F5A" w:rsidP="005E6171">
            <w:pPr>
              <w:suppressAutoHyphens w:val="0"/>
              <w:spacing w:before="0" w:after="120" w:line="360" w:lineRule="auto"/>
              <w:rPr>
                <w:rFonts w:ascii="Arial" w:eastAsia="Calibri" w:hAnsi="Arial" w:cs="Arial"/>
                <w:color w:val="auto"/>
                <w:lang w:val="en-US"/>
              </w:rPr>
            </w:pPr>
            <w:r w:rsidRPr="00433F80">
              <w:rPr>
                <w:rFonts w:ascii="Arial" w:eastAsia="Calibri" w:hAnsi="Arial" w:cs="Arial"/>
                <w:color w:val="auto"/>
                <w:lang w:val="en-US"/>
              </w:rPr>
              <w:t>Proportion of health centers with functioning health center management committees</w:t>
            </w:r>
          </w:p>
        </w:tc>
        <w:tc>
          <w:tcPr>
            <w:tcW w:w="1168" w:type="dxa"/>
          </w:tcPr>
          <w:p w14:paraId="4FEDE5A8" w14:textId="77777777" w:rsidR="00833F5A" w:rsidRPr="00433F80" w:rsidRDefault="00833F5A" w:rsidP="005E6171">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Percent</w:t>
            </w:r>
          </w:p>
        </w:tc>
        <w:tc>
          <w:tcPr>
            <w:tcW w:w="1073" w:type="dxa"/>
          </w:tcPr>
          <w:p w14:paraId="74902D14" w14:textId="77777777" w:rsidR="00833F5A" w:rsidRPr="00433F80" w:rsidRDefault="00833F5A" w:rsidP="005E6171">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89</w:t>
            </w:r>
          </w:p>
        </w:tc>
        <w:tc>
          <w:tcPr>
            <w:tcW w:w="1073" w:type="dxa"/>
          </w:tcPr>
          <w:p w14:paraId="5A1E4A4E" w14:textId="77777777" w:rsidR="00833F5A" w:rsidRPr="00433F80" w:rsidRDefault="00833F5A" w:rsidP="005E6171">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91</w:t>
            </w:r>
          </w:p>
        </w:tc>
        <w:tc>
          <w:tcPr>
            <w:tcW w:w="1073" w:type="dxa"/>
          </w:tcPr>
          <w:p w14:paraId="57157DDB" w14:textId="77777777" w:rsidR="00833F5A" w:rsidRPr="00433F80" w:rsidRDefault="00833F5A" w:rsidP="005E6171">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93</w:t>
            </w:r>
          </w:p>
        </w:tc>
        <w:tc>
          <w:tcPr>
            <w:tcW w:w="1073" w:type="dxa"/>
          </w:tcPr>
          <w:p w14:paraId="6E8A2D7F" w14:textId="77777777" w:rsidR="00833F5A" w:rsidRPr="00433F80" w:rsidRDefault="00833F5A" w:rsidP="005E6171">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95</w:t>
            </w:r>
          </w:p>
        </w:tc>
        <w:tc>
          <w:tcPr>
            <w:tcW w:w="1110" w:type="dxa"/>
          </w:tcPr>
          <w:p w14:paraId="46005367" w14:textId="77777777" w:rsidR="00833F5A" w:rsidRPr="00433F80" w:rsidRDefault="00833F5A" w:rsidP="005E6171">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97</w:t>
            </w:r>
          </w:p>
        </w:tc>
        <w:tc>
          <w:tcPr>
            <w:tcW w:w="1082" w:type="dxa"/>
          </w:tcPr>
          <w:p w14:paraId="158C7069" w14:textId="77777777" w:rsidR="00833F5A" w:rsidRPr="00433F80" w:rsidRDefault="00833F5A" w:rsidP="005E6171">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99</w:t>
            </w:r>
          </w:p>
        </w:tc>
        <w:tc>
          <w:tcPr>
            <w:tcW w:w="2412" w:type="dxa"/>
          </w:tcPr>
          <w:p w14:paraId="47C12564" w14:textId="77777777" w:rsidR="00833F5A" w:rsidRPr="00433F80" w:rsidRDefault="00833F5A" w:rsidP="005E6171">
            <w:pPr>
              <w:suppressAutoHyphens w:val="0"/>
              <w:spacing w:before="0" w:after="0" w:line="360" w:lineRule="auto"/>
              <w:rPr>
                <w:rFonts w:ascii="Arial" w:eastAsia="Calibri" w:hAnsi="Arial" w:cs="Arial"/>
                <w:color w:val="auto"/>
                <w:sz w:val="20"/>
                <w:szCs w:val="20"/>
                <w:lang w:val="en-US"/>
              </w:rPr>
            </w:pPr>
            <w:r w:rsidRPr="00433F80">
              <w:rPr>
                <w:rFonts w:ascii="Arial" w:eastAsia="Calibri" w:hAnsi="Arial" w:cs="Arial"/>
                <w:color w:val="auto"/>
                <w:sz w:val="20"/>
                <w:szCs w:val="20"/>
                <w:lang w:val="en-US"/>
              </w:rPr>
              <w:t xml:space="preserve">Full list of IR indicators will be contained in the project-level results framework for H-EQIPII. </w:t>
            </w:r>
          </w:p>
        </w:tc>
      </w:tr>
      <w:tr w:rsidR="00433F80" w:rsidRPr="00433F80" w14:paraId="0D844781" w14:textId="77777777" w:rsidTr="001A2CDA">
        <w:tc>
          <w:tcPr>
            <w:tcW w:w="2035" w:type="dxa"/>
          </w:tcPr>
          <w:p w14:paraId="1E9D9D4C" w14:textId="7F1350BF" w:rsidR="00833F5A" w:rsidRPr="00433F80" w:rsidRDefault="00EF2E3A" w:rsidP="005E6171">
            <w:pPr>
              <w:suppressAutoHyphens w:val="0"/>
              <w:spacing w:before="0" w:after="120" w:line="360" w:lineRule="auto"/>
              <w:rPr>
                <w:rFonts w:ascii="Arial" w:eastAsia="Calibri" w:hAnsi="Arial" w:cs="Arial"/>
                <w:color w:val="auto"/>
                <w:lang w:val="en-US"/>
              </w:rPr>
            </w:pPr>
            <w:r>
              <w:rPr>
                <w:rFonts w:ascii="Arial" w:eastAsia="Calibri" w:hAnsi="Arial" w:cs="Arial"/>
                <w:color w:val="auto"/>
                <w:lang w:val="en-US"/>
              </w:rPr>
              <w:t>IR1</w:t>
            </w:r>
          </w:p>
        </w:tc>
        <w:tc>
          <w:tcPr>
            <w:tcW w:w="2644" w:type="dxa"/>
          </w:tcPr>
          <w:p w14:paraId="1FA83152" w14:textId="77777777" w:rsidR="00833F5A" w:rsidRPr="00433F80" w:rsidRDefault="00833F5A" w:rsidP="005E6171">
            <w:pPr>
              <w:suppressAutoHyphens w:val="0"/>
              <w:spacing w:before="0" w:after="120" w:line="360" w:lineRule="auto"/>
              <w:rPr>
                <w:rFonts w:ascii="Arial" w:eastAsia="Calibri" w:hAnsi="Arial" w:cs="Arial"/>
                <w:b/>
                <w:color w:val="auto"/>
                <w:lang w:val="en-US"/>
              </w:rPr>
            </w:pPr>
            <w:r w:rsidRPr="00433F80">
              <w:rPr>
                <w:rFonts w:ascii="Arial" w:eastAsia="Calibri" w:hAnsi="Arial" w:cs="Arial"/>
                <w:color w:val="auto"/>
                <w:lang w:val="en-US"/>
              </w:rPr>
              <w:t>Average score on clinical vignette for health workers improved</w:t>
            </w:r>
          </w:p>
          <w:p w14:paraId="1278DFEC" w14:textId="77777777" w:rsidR="00833F5A" w:rsidRPr="00433F80" w:rsidRDefault="00833F5A" w:rsidP="005E6171">
            <w:pPr>
              <w:suppressAutoHyphens w:val="0"/>
              <w:spacing w:before="0" w:after="0" w:line="360" w:lineRule="auto"/>
              <w:rPr>
                <w:rFonts w:ascii="Arial" w:eastAsia="Calibri" w:hAnsi="Arial" w:cs="Arial"/>
                <w:color w:val="auto"/>
                <w:lang w:val="en-US"/>
              </w:rPr>
            </w:pPr>
          </w:p>
        </w:tc>
        <w:tc>
          <w:tcPr>
            <w:tcW w:w="1168" w:type="dxa"/>
          </w:tcPr>
          <w:p w14:paraId="42331F00" w14:textId="77777777" w:rsidR="00833F5A" w:rsidRPr="00433F80" w:rsidRDefault="00833F5A" w:rsidP="005E6171">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Percent</w:t>
            </w:r>
          </w:p>
        </w:tc>
        <w:tc>
          <w:tcPr>
            <w:tcW w:w="1073" w:type="dxa"/>
          </w:tcPr>
          <w:p w14:paraId="3E391AAB" w14:textId="77777777" w:rsidR="00833F5A" w:rsidRPr="00433F80" w:rsidRDefault="00833F5A" w:rsidP="005E6171">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79</w:t>
            </w:r>
          </w:p>
        </w:tc>
        <w:tc>
          <w:tcPr>
            <w:tcW w:w="1073" w:type="dxa"/>
          </w:tcPr>
          <w:p w14:paraId="2FC0D987" w14:textId="77777777" w:rsidR="00833F5A" w:rsidRPr="00433F80" w:rsidRDefault="00833F5A" w:rsidP="005E6171">
            <w:pPr>
              <w:suppressAutoHyphens w:val="0"/>
              <w:spacing w:before="0" w:after="0" w:line="360" w:lineRule="auto"/>
              <w:rPr>
                <w:rFonts w:ascii="Arial" w:eastAsia="Calibri" w:hAnsi="Arial" w:cs="Arial"/>
                <w:color w:val="auto"/>
                <w:lang w:val="en-US"/>
              </w:rPr>
            </w:pPr>
          </w:p>
        </w:tc>
        <w:tc>
          <w:tcPr>
            <w:tcW w:w="1073" w:type="dxa"/>
          </w:tcPr>
          <w:p w14:paraId="1465EDDB" w14:textId="77777777" w:rsidR="00833F5A" w:rsidRPr="00433F80" w:rsidRDefault="00833F5A" w:rsidP="005E6171">
            <w:pPr>
              <w:suppressAutoHyphens w:val="0"/>
              <w:spacing w:before="0" w:after="0" w:line="360" w:lineRule="auto"/>
              <w:rPr>
                <w:rFonts w:ascii="Arial" w:eastAsia="Calibri" w:hAnsi="Arial" w:cs="Arial"/>
                <w:color w:val="auto"/>
                <w:lang w:val="en-US"/>
              </w:rPr>
            </w:pPr>
          </w:p>
        </w:tc>
        <w:tc>
          <w:tcPr>
            <w:tcW w:w="1073" w:type="dxa"/>
          </w:tcPr>
          <w:p w14:paraId="2562ADEC" w14:textId="77777777" w:rsidR="00833F5A" w:rsidRPr="00433F80" w:rsidRDefault="00833F5A" w:rsidP="005E6171">
            <w:pPr>
              <w:suppressAutoHyphens w:val="0"/>
              <w:spacing w:before="0" w:after="0" w:line="360" w:lineRule="auto"/>
              <w:rPr>
                <w:rFonts w:ascii="Arial" w:eastAsia="Calibri" w:hAnsi="Arial" w:cs="Arial"/>
                <w:color w:val="auto"/>
                <w:lang w:val="en-US"/>
              </w:rPr>
            </w:pPr>
          </w:p>
        </w:tc>
        <w:tc>
          <w:tcPr>
            <w:tcW w:w="1110" w:type="dxa"/>
          </w:tcPr>
          <w:p w14:paraId="55B6F586" w14:textId="77777777" w:rsidR="00833F5A" w:rsidRPr="00433F80" w:rsidRDefault="00833F5A" w:rsidP="005E6171">
            <w:pPr>
              <w:suppressAutoHyphens w:val="0"/>
              <w:spacing w:before="0" w:after="0" w:line="360" w:lineRule="auto"/>
              <w:rPr>
                <w:rFonts w:ascii="Arial" w:eastAsia="Calibri" w:hAnsi="Arial" w:cs="Arial"/>
                <w:color w:val="auto"/>
                <w:lang w:val="en-US"/>
              </w:rPr>
            </w:pPr>
          </w:p>
        </w:tc>
        <w:tc>
          <w:tcPr>
            <w:tcW w:w="1082" w:type="dxa"/>
          </w:tcPr>
          <w:p w14:paraId="66F5F7C2" w14:textId="77777777" w:rsidR="00833F5A" w:rsidRPr="00433F80" w:rsidRDefault="00833F5A" w:rsidP="005E6171">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85</w:t>
            </w:r>
          </w:p>
        </w:tc>
        <w:tc>
          <w:tcPr>
            <w:tcW w:w="2412" w:type="dxa"/>
          </w:tcPr>
          <w:p w14:paraId="6E3F4D45" w14:textId="6C46BB3E" w:rsidR="00833F5A" w:rsidRPr="00433F80" w:rsidRDefault="00833F5A" w:rsidP="005E6171">
            <w:pPr>
              <w:suppressAutoHyphens w:val="0"/>
              <w:spacing w:before="0" w:after="0" w:line="360" w:lineRule="auto"/>
              <w:rPr>
                <w:rFonts w:ascii="Arial" w:eastAsia="Calibri" w:hAnsi="Arial" w:cs="Arial"/>
                <w:color w:val="auto"/>
                <w:sz w:val="20"/>
                <w:szCs w:val="20"/>
                <w:lang w:val="en-US"/>
              </w:rPr>
            </w:pPr>
            <w:r w:rsidRPr="00433F80">
              <w:rPr>
                <w:rFonts w:ascii="Arial" w:eastAsia="Calibri" w:hAnsi="Arial" w:cs="Arial"/>
                <w:color w:val="auto"/>
                <w:sz w:val="20"/>
                <w:szCs w:val="20"/>
                <w:lang w:val="en-US"/>
              </w:rPr>
              <w:t>Average score of the health center’s quarterly quality assessment under Vignette and competency test section. Once we introduce new vignette, the average score will reduce.</w:t>
            </w:r>
          </w:p>
        </w:tc>
      </w:tr>
    </w:tbl>
    <w:p w14:paraId="528D0863" w14:textId="77777777" w:rsidR="00EF2E3A" w:rsidRDefault="00EF2E3A">
      <w:pPr>
        <w:rPr>
          <w:rFonts w:ascii="Arial" w:eastAsia="Calibri" w:hAnsi="Arial" w:cs="Arial"/>
          <w:b/>
          <w:bCs/>
          <w:color w:val="auto"/>
          <w:sz w:val="20"/>
          <w:szCs w:val="20"/>
          <w:lang w:val="en-AU"/>
        </w:rPr>
      </w:pPr>
    </w:p>
    <w:p w14:paraId="768CFA61" w14:textId="77777777" w:rsidR="00EF2E3A" w:rsidRDefault="00EF2E3A">
      <w:pPr>
        <w:suppressAutoHyphens w:val="0"/>
        <w:spacing w:before="0" w:after="120" w:line="440" w:lineRule="atLeast"/>
        <w:rPr>
          <w:rFonts w:ascii="Arial" w:eastAsia="Calibri" w:hAnsi="Arial" w:cs="Arial"/>
          <w:b/>
          <w:bCs/>
          <w:color w:val="auto"/>
          <w:sz w:val="20"/>
          <w:szCs w:val="20"/>
          <w:lang w:val="en-AU"/>
        </w:rPr>
      </w:pPr>
      <w:r>
        <w:rPr>
          <w:rFonts w:ascii="Arial" w:eastAsia="Calibri" w:hAnsi="Arial" w:cs="Arial"/>
          <w:b/>
          <w:bCs/>
          <w:color w:val="auto"/>
          <w:sz w:val="20"/>
          <w:szCs w:val="20"/>
          <w:lang w:val="en-AU"/>
        </w:rPr>
        <w:br w:type="page"/>
      </w:r>
    </w:p>
    <w:p w14:paraId="230DBE34" w14:textId="07878F31" w:rsidR="00EF2E3A" w:rsidRDefault="00EF2E3A">
      <w:r w:rsidRPr="00433F80">
        <w:rPr>
          <w:rFonts w:ascii="Arial" w:eastAsia="Calibri" w:hAnsi="Arial" w:cs="Arial"/>
          <w:b/>
          <w:bCs/>
          <w:color w:val="auto"/>
          <w:sz w:val="20"/>
          <w:szCs w:val="20"/>
          <w:lang w:val="en-AU"/>
        </w:rPr>
        <w:lastRenderedPageBreak/>
        <w:t>Component 2: Enhancing social accountability and service delivery (results from Implementing the Social Accountability Framework Phase 2)</w:t>
      </w:r>
    </w:p>
    <w:tbl>
      <w:tblPr>
        <w:tblStyle w:val="TableGrid2"/>
        <w:tblW w:w="14743" w:type="dxa"/>
        <w:tblInd w:w="-289" w:type="dxa"/>
        <w:tblLook w:val="04A0" w:firstRow="1" w:lastRow="0" w:firstColumn="1" w:lastColumn="0" w:noHBand="0" w:noVBand="1"/>
      </w:tblPr>
      <w:tblGrid>
        <w:gridCol w:w="2035"/>
        <w:gridCol w:w="2644"/>
        <w:gridCol w:w="1168"/>
        <w:gridCol w:w="1073"/>
        <w:gridCol w:w="1073"/>
        <w:gridCol w:w="1073"/>
        <w:gridCol w:w="1073"/>
        <w:gridCol w:w="1110"/>
        <w:gridCol w:w="1082"/>
        <w:gridCol w:w="2412"/>
      </w:tblGrid>
      <w:tr w:rsidR="00EF2E3A" w:rsidRPr="00433F80" w14:paraId="3F8EBE7F" w14:textId="77777777" w:rsidTr="001A2CDA">
        <w:tc>
          <w:tcPr>
            <w:tcW w:w="2035" w:type="dxa"/>
          </w:tcPr>
          <w:p w14:paraId="27804C8C" w14:textId="76102FF0" w:rsidR="00EF2E3A" w:rsidRPr="00433F80" w:rsidRDefault="00EF2E3A" w:rsidP="00EF2E3A">
            <w:pPr>
              <w:suppressAutoHyphens w:val="0"/>
              <w:autoSpaceDE w:val="0"/>
              <w:autoSpaceDN w:val="0"/>
              <w:adjustRightInd w:val="0"/>
              <w:spacing w:before="0" w:after="0" w:line="360" w:lineRule="auto"/>
              <w:rPr>
                <w:rFonts w:ascii="Arial" w:eastAsia="Calibri" w:hAnsi="Arial" w:cs="Arial"/>
                <w:color w:val="auto"/>
                <w:lang w:val="en-US" w:bidi="km-KH"/>
              </w:rPr>
            </w:pPr>
            <w:r w:rsidRPr="00433F80">
              <w:rPr>
                <w:rFonts w:ascii="Arial" w:eastAsia="Calibri" w:hAnsi="Arial" w:cs="Arial"/>
                <w:color w:val="auto"/>
                <w:lang w:val="en-US"/>
              </w:rPr>
              <w:t>Output</w:t>
            </w:r>
          </w:p>
        </w:tc>
        <w:tc>
          <w:tcPr>
            <w:tcW w:w="2644" w:type="dxa"/>
          </w:tcPr>
          <w:p w14:paraId="00056FBB" w14:textId="660C0990" w:rsidR="00EF2E3A" w:rsidRPr="00433F80" w:rsidRDefault="00EF2E3A" w:rsidP="00EF2E3A">
            <w:pPr>
              <w:suppressAutoHyphens w:val="0"/>
              <w:spacing w:before="0" w:after="0" w:line="360" w:lineRule="auto"/>
              <w:rPr>
                <w:rFonts w:ascii="Arial" w:eastAsia="Times New Roman" w:hAnsi="Arial" w:cs="Arial"/>
                <w:color w:val="auto"/>
                <w:lang w:val="en-US"/>
              </w:rPr>
            </w:pPr>
            <w:r w:rsidRPr="00433F80">
              <w:rPr>
                <w:rFonts w:ascii="Arial" w:eastAsia="Calibri" w:hAnsi="Arial" w:cs="Arial"/>
                <w:color w:val="auto"/>
                <w:lang w:val="en-US"/>
              </w:rPr>
              <w:t>Indicator</w:t>
            </w:r>
          </w:p>
        </w:tc>
        <w:tc>
          <w:tcPr>
            <w:tcW w:w="1168" w:type="dxa"/>
          </w:tcPr>
          <w:p w14:paraId="6B9BF661" w14:textId="76D7D16B" w:rsidR="00EF2E3A" w:rsidRPr="00433F80" w:rsidRDefault="00EF2E3A" w:rsidP="00EF2E3A">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Unit of Measure</w:t>
            </w:r>
          </w:p>
        </w:tc>
        <w:tc>
          <w:tcPr>
            <w:tcW w:w="1073" w:type="dxa"/>
          </w:tcPr>
          <w:p w14:paraId="5947CFD7" w14:textId="5089FC97" w:rsidR="00EF2E3A" w:rsidRPr="00433F80" w:rsidRDefault="00EF2E3A" w:rsidP="00EF2E3A">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Baseline</w:t>
            </w:r>
          </w:p>
        </w:tc>
        <w:tc>
          <w:tcPr>
            <w:tcW w:w="1073" w:type="dxa"/>
          </w:tcPr>
          <w:p w14:paraId="58AC1D79" w14:textId="77777777" w:rsidR="00EF2E3A" w:rsidRPr="00433F80" w:rsidRDefault="00EF2E3A" w:rsidP="00EF2E3A">
            <w:pPr>
              <w:suppressAutoHyphens w:val="0"/>
              <w:spacing w:before="0" w:after="0" w:line="360" w:lineRule="auto"/>
              <w:jc w:val="center"/>
              <w:rPr>
                <w:rFonts w:ascii="Arial" w:eastAsia="Calibri" w:hAnsi="Arial" w:cs="Arial"/>
                <w:color w:val="auto"/>
                <w:lang w:val="en-US"/>
              </w:rPr>
            </w:pPr>
            <w:r w:rsidRPr="00433F80">
              <w:rPr>
                <w:rFonts w:ascii="Arial" w:eastAsia="Calibri" w:hAnsi="Arial" w:cs="Arial"/>
                <w:color w:val="auto"/>
                <w:lang w:val="en-US"/>
              </w:rPr>
              <w:t>Target</w:t>
            </w:r>
          </w:p>
          <w:p w14:paraId="32FD4266" w14:textId="5DF38505" w:rsidR="00EF2E3A" w:rsidRPr="00433F80" w:rsidRDefault="00EF2E3A" w:rsidP="00EF2E3A">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Y1</w:t>
            </w:r>
          </w:p>
        </w:tc>
        <w:tc>
          <w:tcPr>
            <w:tcW w:w="1073" w:type="dxa"/>
          </w:tcPr>
          <w:p w14:paraId="6242F764" w14:textId="77777777" w:rsidR="00EF2E3A" w:rsidRPr="00433F80" w:rsidRDefault="00EF2E3A" w:rsidP="00EF2E3A">
            <w:pPr>
              <w:suppressAutoHyphens w:val="0"/>
              <w:spacing w:before="0" w:after="0" w:line="360" w:lineRule="auto"/>
              <w:jc w:val="center"/>
              <w:rPr>
                <w:rFonts w:ascii="Arial" w:eastAsia="Calibri" w:hAnsi="Arial" w:cs="Arial"/>
                <w:color w:val="auto"/>
                <w:lang w:val="en-US"/>
              </w:rPr>
            </w:pPr>
            <w:r w:rsidRPr="00433F80">
              <w:rPr>
                <w:rFonts w:ascii="Arial" w:eastAsia="Calibri" w:hAnsi="Arial" w:cs="Arial"/>
                <w:color w:val="auto"/>
                <w:lang w:val="en-US"/>
              </w:rPr>
              <w:t>Target</w:t>
            </w:r>
          </w:p>
          <w:p w14:paraId="38E90DFC" w14:textId="3E19AAB8" w:rsidR="00EF2E3A" w:rsidRPr="00433F80" w:rsidRDefault="00EF2E3A" w:rsidP="00EF2E3A">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Y2</w:t>
            </w:r>
          </w:p>
        </w:tc>
        <w:tc>
          <w:tcPr>
            <w:tcW w:w="1073" w:type="dxa"/>
          </w:tcPr>
          <w:p w14:paraId="79B72431" w14:textId="77777777" w:rsidR="00EF2E3A" w:rsidRPr="00433F80" w:rsidRDefault="00EF2E3A" w:rsidP="00EF2E3A">
            <w:pPr>
              <w:suppressAutoHyphens w:val="0"/>
              <w:spacing w:before="0" w:after="0" w:line="360" w:lineRule="auto"/>
              <w:jc w:val="center"/>
              <w:rPr>
                <w:rFonts w:ascii="Arial" w:eastAsia="Calibri" w:hAnsi="Arial" w:cs="Arial"/>
                <w:color w:val="auto"/>
                <w:lang w:val="en-US"/>
              </w:rPr>
            </w:pPr>
            <w:r w:rsidRPr="00433F80">
              <w:rPr>
                <w:rFonts w:ascii="Arial" w:eastAsia="Calibri" w:hAnsi="Arial" w:cs="Arial"/>
                <w:color w:val="auto"/>
                <w:lang w:val="en-US"/>
              </w:rPr>
              <w:t>Target</w:t>
            </w:r>
          </w:p>
          <w:p w14:paraId="5FCA4899" w14:textId="01F4535B" w:rsidR="00EF2E3A" w:rsidRPr="00433F80" w:rsidRDefault="00EF2E3A" w:rsidP="00EF2E3A">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Y3</w:t>
            </w:r>
          </w:p>
        </w:tc>
        <w:tc>
          <w:tcPr>
            <w:tcW w:w="1110" w:type="dxa"/>
          </w:tcPr>
          <w:p w14:paraId="152E7EBC" w14:textId="77777777" w:rsidR="00EF2E3A" w:rsidRPr="00433F80" w:rsidRDefault="00EF2E3A" w:rsidP="00EF2E3A">
            <w:pPr>
              <w:suppressAutoHyphens w:val="0"/>
              <w:spacing w:before="0" w:after="0" w:line="360" w:lineRule="auto"/>
              <w:jc w:val="center"/>
              <w:rPr>
                <w:rFonts w:ascii="Arial" w:eastAsia="Calibri" w:hAnsi="Arial" w:cs="Arial"/>
                <w:color w:val="auto"/>
                <w:lang w:val="en-US"/>
              </w:rPr>
            </w:pPr>
            <w:r w:rsidRPr="00433F80">
              <w:rPr>
                <w:rFonts w:ascii="Arial" w:eastAsia="Calibri" w:hAnsi="Arial" w:cs="Arial"/>
                <w:color w:val="auto"/>
                <w:lang w:val="en-US"/>
              </w:rPr>
              <w:t>Target</w:t>
            </w:r>
          </w:p>
          <w:p w14:paraId="6E4FFD6E" w14:textId="33C0C060" w:rsidR="00EF2E3A" w:rsidRPr="00433F80" w:rsidRDefault="00EF2E3A" w:rsidP="00EF2E3A">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Y4</w:t>
            </w:r>
          </w:p>
        </w:tc>
        <w:tc>
          <w:tcPr>
            <w:tcW w:w="1082" w:type="dxa"/>
          </w:tcPr>
          <w:p w14:paraId="04A0F7B3" w14:textId="77777777" w:rsidR="00EF2E3A" w:rsidRPr="00433F80" w:rsidRDefault="00EF2E3A" w:rsidP="00EF2E3A">
            <w:pPr>
              <w:suppressAutoHyphens w:val="0"/>
              <w:spacing w:before="0" w:after="0" w:line="360" w:lineRule="auto"/>
              <w:jc w:val="center"/>
              <w:rPr>
                <w:rFonts w:ascii="Arial" w:eastAsia="Calibri" w:hAnsi="Arial" w:cs="Arial"/>
                <w:color w:val="auto"/>
                <w:lang w:val="en-US"/>
              </w:rPr>
            </w:pPr>
            <w:r w:rsidRPr="00433F80">
              <w:rPr>
                <w:rFonts w:ascii="Arial" w:eastAsia="Calibri" w:hAnsi="Arial" w:cs="Arial"/>
                <w:color w:val="auto"/>
                <w:lang w:val="en-US"/>
              </w:rPr>
              <w:t>Target</w:t>
            </w:r>
          </w:p>
          <w:p w14:paraId="0DBA5BBA" w14:textId="2E4B32D2" w:rsidR="00EF2E3A" w:rsidRPr="00433F80" w:rsidRDefault="00EF2E3A" w:rsidP="00EF2E3A">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Y5</w:t>
            </w:r>
          </w:p>
        </w:tc>
        <w:tc>
          <w:tcPr>
            <w:tcW w:w="2412" w:type="dxa"/>
          </w:tcPr>
          <w:p w14:paraId="415D9E4D" w14:textId="15E95CE3" w:rsidR="00EF2E3A" w:rsidRPr="00433F80" w:rsidRDefault="00EF2E3A" w:rsidP="00EF2E3A">
            <w:pPr>
              <w:suppressAutoHyphens w:val="0"/>
              <w:spacing w:before="0" w:after="0" w:line="360" w:lineRule="auto"/>
              <w:rPr>
                <w:rFonts w:ascii="Arial" w:eastAsia="Calibri" w:hAnsi="Arial" w:cs="Arial"/>
                <w:color w:val="auto"/>
                <w:sz w:val="20"/>
                <w:szCs w:val="20"/>
                <w:lang w:val="en-US"/>
              </w:rPr>
            </w:pPr>
            <w:r>
              <w:rPr>
                <w:rFonts w:ascii="Arial" w:eastAsia="Calibri" w:hAnsi="Arial" w:cs="Arial"/>
                <w:color w:val="auto"/>
                <w:sz w:val="20"/>
                <w:szCs w:val="20"/>
                <w:lang w:val="en-US"/>
              </w:rPr>
              <w:t>Comments</w:t>
            </w:r>
          </w:p>
        </w:tc>
      </w:tr>
      <w:tr w:rsidR="00EF2E3A" w:rsidRPr="00433F80" w14:paraId="15364CEB" w14:textId="77777777" w:rsidTr="001A2CDA">
        <w:tc>
          <w:tcPr>
            <w:tcW w:w="2035" w:type="dxa"/>
          </w:tcPr>
          <w:p w14:paraId="3803E102" w14:textId="77777777" w:rsidR="00EF2E3A" w:rsidRPr="00433F80" w:rsidRDefault="00EF2E3A" w:rsidP="00EF2E3A">
            <w:pPr>
              <w:suppressAutoHyphens w:val="0"/>
              <w:autoSpaceDE w:val="0"/>
              <w:autoSpaceDN w:val="0"/>
              <w:adjustRightInd w:val="0"/>
              <w:spacing w:before="0" w:after="0" w:line="360" w:lineRule="auto"/>
              <w:rPr>
                <w:rFonts w:ascii="Arial" w:eastAsia="Calibri" w:hAnsi="Arial" w:cs="Arial"/>
                <w:color w:val="auto"/>
                <w:lang w:val="en-US" w:bidi="km-KH"/>
              </w:rPr>
            </w:pPr>
            <w:r w:rsidRPr="00433F80">
              <w:rPr>
                <w:rFonts w:ascii="Arial" w:eastAsia="Calibri" w:hAnsi="Arial" w:cs="Arial"/>
                <w:color w:val="auto"/>
                <w:lang w:val="en-US" w:bidi="km-KH"/>
              </w:rPr>
              <w:t>IR2. Transparency of public service providers (primary schools, health</w:t>
            </w:r>
          </w:p>
          <w:p w14:paraId="07DBCC57" w14:textId="77777777" w:rsidR="00EF2E3A" w:rsidRPr="00433F80" w:rsidRDefault="00EF2E3A" w:rsidP="00EF2E3A">
            <w:pPr>
              <w:suppressAutoHyphens w:val="0"/>
              <w:autoSpaceDE w:val="0"/>
              <w:autoSpaceDN w:val="0"/>
              <w:adjustRightInd w:val="0"/>
              <w:spacing w:before="0" w:after="0" w:line="360" w:lineRule="auto"/>
              <w:rPr>
                <w:rFonts w:ascii="Arial" w:eastAsia="Calibri" w:hAnsi="Arial" w:cs="Arial"/>
                <w:color w:val="auto"/>
                <w:lang w:val="en-US" w:bidi="km-KH"/>
              </w:rPr>
            </w:pPr>
            <w:r w:rsidRPr="00433F80">
              <w:rPr>
                <w:rFonts w:ascii="Arial" w:eastAsia="Calibri" w:hAnsi="Arial" w:cs="Arial"/>
                <w:color w:val="auto"/>
                <w:lang w:val="en-US" w:bidi="km-KH"/>
              </w:rPr>
              <w:t xml:space="preserve">centers and communes) </w:t>
            </w:r>
            <w:proofErr w:type="gramStart"/>
            <w:r w:rsidRPr="00433F80">
              <w:rPr>
                <w:rFonts w:ascii="Arial" w:eastAsia="Calibri" w:hAnsi="Arial" w:cs="Arial"/>
                <w:color w:val="auto"/>
                <w:lang w:val="en-US" w:bidi="km-KH"/>
              </w:rPr>
              <w:t>is</w:t>
            </w:r>
            <w:proofErr w:type="gramEnd"/>
            <w:r w:rsidRPr="00433F80">
              <w:rPr>
                <w:rFonts w:ascii="Arial" w:eastAsia="Calibri" w:hAnsi="Arial" w:cs="Arial"/>
                <w:color w:val="auto"/>
                <w:lang w:val="en-US" w:bidi="km-KH"/>
              </w:rPr>
              <w:t xml:space="preserve"> improved</w:t>
            </w:r>
          </w:p>
        </w:tc>
        <w:tc>
          <w:tcPr>
            <w:tcW w:w="2644" w:type="dxa"/>
          </w:tcPr>
          <w:p w14:paraId="163AEB71" w14:textId="77777777" w:rsidR="00EF2E3A" w:rsidRPr="00433F80" w:rsidRDefault="00EF2E3A" w:rsidP="00EF2E3A">
            <w:pPr>
              <w:suppressAutoHyphens w:val="0"/>
              <w:spacing w:before="0" w:after="0" w:line="360" w:lineRule="auto"/>
              <w:rPr>
                <w:rFonts w:ascii="Arial" w:eastAsia="Calibri" w:hAnsi="Arial" w:cs="Arial"/>
                <w:color w:val="auto"/>
                <w:lang w:val="en-US"/>
              </w:rPr>
            </w:pPr>
            <w:r w:rsidRPr="00433F80">
              <w:rPr>
                <w:rFonts w:ascii="Arial" w:eastAsia="Times New Roman" w:hAnsi="Arial" w:cs="Arial"/>
                <w:color w:val="auto"/>
                <w:lang w:val="en-US"/>
              </w:rPr>
              <w:t xml:space="preserve">% </w:t>
            </w:r>
            <w:proofErr w:type="gramStart"/>
            <w:r w:rsidRPr="00433F80">
              <w:rPr>
                <w:rFonts w:ascii="Arial" w:eastAsia="Times New Roman" w:hAnsi="Arial" w:cs="Arial"/>
                <w:color w:val="auto"/>
                <w:lang w:val="en-US"/>
              </w:rPr>
              <w:t>of</w:t>
            </w:r>
            <w:proofErr w:type="gramEnd"/>
            <w:r w:rsidRPr="00433F80">
              <w:rPr>
                <w:rFonts w:ascii="Arial" w:eastAsia="Times New Roman" w:hAnsi="Arial" w:cs="Arial"/>
                <w:color w:val="auto"/>
                <w:lang w:val="en-US"/>
              </w:rPr>
              <w:t xml:space="preserve"> targeted public service providers that post and annually update full and complete I4C information (including standards, performance data and budget information).</w:t>
            </w:r>
          </w:p>
        </w:tc>
        <w:tc>
          <w:tcPr>
            <w:tcW w:w="1168" w:type="dxa"/>
          </w:tcPr>
          <w:p w14:paraId="6D670C9D" w14:textId="77777777" w:rsidR="00EF2E3A" w:rsidRPr="00433F80" w:rsidRDefault="00EF2E3A" w:rsidP="00EF2E3A">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Percent</w:t>
            </w:r>
          </w:p>
        </w:tc>
        <w:tc>
          <w:tcPr>
            <w:tcW w:w="1073" w:type="dxa"/>
          </w:tcPr>
          <w:p w14:paraId="255BD694" w14:textId="77777777" w:rsidR="00EF2E3A" w:rsidRPr="00433F80" w:rsidRDefault="00EF2E3A" w:rsidP="00EF2E3A">
            <w:pPr>
              <w:suppressAutoHyphens w:val="0"/>
              <w:spacing w:before="0" w:after="0" w:line="360" w:lineRule="auto"/>
              <w:rPr>
                <w:rFonts w:ascii="Arial" w:eastAsia="Calibri" w:hAnsi="Arial" w:cs="Arial"/>
                <w:color w:val="auto"/>
                <w:lang w:val="en-US"/>
              </w:rPr>
            </w:pPr>
          </w:p>
        </w:tc>
        <w:tc>
          <w:tcPr>
            <w:tcW w:w="1073" w:type="dxa"/>
          </w:tcPr>
          <w:p w14:paraId="4F43A2D6" w14:textId="77777777" w:rsidR="00EF2E3A" w:rsidRPr="00433F80" w:rsidRDefault="00EF2E3A" w:rsidP="00EF2E3A">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30</w:t>
            </w:r>
          </w:p>
        </w:tc>
        <w:tc>
          <w:tcPr>
            <w:tcW w:w="1073" w:type="dxa"/>
          </w:tcPr>
          <w:p w14:paraId="70CAD8FC" w14:textId="77777777" w:rsidR="00EF2E3A" w:rsidRPr="00433F80" w:rsidRDefault="00EF2E3A" w:rsidP="00EF2E3A">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40</w:t>
            </w:r>
          </w:p>
        </w:tc>
        <w:tc>
          <w:tcPr>
            <w:tcW w:w="1073" w:type="dxa"/>
          </w:tcPr>
          <w:p w14:paraId="30F3354E" w14:textId="77777777" w:rsidR="00EF2E3A" w:rsidRPr="00433F80" w:rsidRDefault="00EF2E3A" w:rsidP="00EF2E3A">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60</w:t>
            </w:r>
          </w:p>
        </w:tc>
        <w:tc>
          <w:tcPr>
            <w:tcW w:w="1110" w:type="dxa"/>
          </w:tcPr>
          <w:p w14:paraId="7D50D19E" w14:textId="77777777" w:rsidR="00EF2E3A" w:rsidRPr="00433F80" w:rsidRDefault="00EF2E3A" w:rsidP="00EF2E3A">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80</w:t>
            </w:r>
          </w:p>
        </w:tc>
        <w:tc>
          <w:tcPr>
            <w:tcW w:w="1082" w:type="dxa"/>
          </w:tcPr>
          <w:p w14:paraId="208683E6" w14:textId="77777777" w:rsidR="00EF2E3A" w:rsidRPr="00433F80" w:rsidRDefault="00EF2E3A" w:rsidP="00EF2E3A">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100</w:t>
            </w:r>
          </w:p>
        </w:tc>
        <w:tc>
          <w:tcPr>
            <w:tcW w:w="2412" w:type="dxa"/>
          </w:tcPr>
          <w:p w14:paraId="637EDECD" w14:textId="77777777" w:rsidR="00EF2E3A" w:rsidRPr="00433F80" w:rsidRDefault="00EF2E3A" w:rsidP="00EF2E3A">
            <w:pPr>
              <w:suppressAutoHyphens w:val="0"/>
              <w:spacing w:before="0" w:after="0" w:line="360" w:lineRule="auto"/>
              <w:rPr>
                <w:rFonts w:ascii="Arial" w:eastAsia="Calibri" w:hAnsi="Arial" w:cs="Arial"/>
                <w:color w:val="auto"/>
                <w:sz w:val="20"/>
                <w:szCs w:val="20"/>
                <w:lang w:val="en-US"/>
              </w:rPr>
            </w:pPr>
            <w:r w:rsidRPr="00433F80">
              <w:rPr>
                <w:rFonts w:ascii="Arial" w:eastAsia="Calibri" w:hAnsi="Arial" w:cs="Arial"/>
                <w:color w:val="auto"/>
                <w:sz w:val="20"/>
                <w:szCs w:val="20"/>
                <w:lang w:val="en-US"/>
              </w:rPr>
              <w:t>Full list of IR indicators will be contained in the project-level results framework for ISAFII.</w:t>
            </w:r>
          </w:p>
        </w:tc>
      </w:tr>
      <w:tr w:rsidR="00EF2E3A" w:rsidRPr="00433F80" w14:paraId="232177F1" w14:textId="77777777" w:rsidTr="001A2CDA">
        <w:tc>
          <w:tcPr>
            <w:tcW w:w="2035" w:type="dxa"/>
          </w:tcPr>
          <w:p w14:paraId="5F31A32B" w14:textId="77777777" w:rsidR="00EF2E3A" w:rsidRPr="00433F80" w:rsidRDefault="00EF2E3A" w:rsidP="00EF2E3A">
            <w:pPr>
              <w:suppressAutoHyphens w:val="0"/>
              <w:autoSpaceDE w:val="0"/>
              <w:autoSpaceDN w:val="0"/>
              <w:adjustRightInd w:val="0"/>
              <w:spacing w:before="0" w:after="0" w:line="360" w:lineRule="auto"/>
              <w:rPr>
                <w:rFonts w:ascii="Arial" w:eastAsia="Calibri" w:hAnsi="Arial" w:cs="Arial"/>
                <w:color w:val="auto"/>
                <w:lang w:val="en-US" w:bidi="km-KH"/>
              </w:rPr>
            </w:pPr>
            <w:r w:rsidRPr="00433F80">
              <w:rPr>
                <w:rFonts w:ascii="Arial" w:eastAsia="Calibri" w:hAnsi="Arial" w:cs="Arial"/>
                <w:color w:val="auto"/>
                <w:lang w:val="en-US" w:bidi="km-KH"/>
              </w:rPr>
              <w:t>IR3. Citizens are better informed about service</w:t>
            </w:r>
          </w:p>
          <w:p w14:paraId="0E4D939F" w14:textId="77777777" w:rsidR="00EF2E3A" w:rsidRPr="00433F80" w:rsidRDefault="00EF2E3A" w:rsidP="00EF2E3A">
            <w:pPr>
              <w:suppressAutoHyphens w:val="0"/>
              <w:autoSpaceDE w:val="0"/>
              <w:autoSpaceDN w:val="0"/>
              <w:adjustRightInd w:val="0"/>
              <w:spacing w:before="0" w:after="0" w:line="360" w:lineRule="auto"/>
              <w:rPr>
                <w:rFonts w:ascii="Arial" w:eastAsia="Calibri" w:hAnsi="Arial" w:cs="Arial"/>
                <w:color w:val="auto"/>
                <w:lang w:val="en-US" w:bidi="km-KH"/>
              </w:rPr>
            </w:pPr>
            <w:r w:rsidRPr="00433F80">
              <w:rPr>
                <w:rFonts w:ascii="Arial" w:eastAsia="Calibri" w:hAnsi="Arial" w:cs="Arial"/>
                <w:color w:val="auto"/>
                <w:lang w:val="en-US" w:bidi="km-KH"/>
              </w:rPr>
              <w:t>delivery standards, and budgets</w:t>
            </w:r>
          </w:p>
        </w:tc>
        <w:tc>
          <w:tcPr>
            <w:tcW w:w="2644" w:type="dxa"/>
          </w:tcPr>
          <w:p w14:paraId="5124FCEC" w14:textId="77777777" w:rsidR="00EF2E3A" w:rsidRPr="00433F80" w:rsidRDefault="00EF2E3A" w:rsidP="00EF2E3A">
            <w:pPr>
              <w:suppressAutoHyphens w:val="0"/>
              <w:spacing w:before="0" w:after="0" w:line="360" w:lineRule="auto"/>
              <w:rPr>
                <w:rFonts w:ascii="Arial" w:eastAsia="Calibri" w:hAnsi="Arial" w:cs="Arial"/>
                <w:color w:val="auto"/>
                <w:lang w:val="en-US"/>
              </w:rPr>
            </w:pPr>
            <w:r w:rsidRPr="00433F80">
              <w:rPr>
                <w:rFonts w:ascii="Arial" w:eastAsia="Times New Roman" w:hAnsi="Arial" w:cs="Arial"/>
                <w:color w:val="auto"/>
                <w:lang w:val="en-US"/>
              </w:rPr>
              <w:t xml:space="preserve">% </w:t>
            </w:r>
            <w:proofErr w:type="gramStart"/>
            <w:r w:rsidRPr="00433F80">
              <w:rPr>
                <w:rFonts w:ascii="Arial" w:eastAsia="Times New Roman" w:hAnsi="Arial" w:cs="Arial"/>
                <w:color w:val="auto"/>
                <w:lang w:val="en-US"/>
              </w:rPr>
              <w:t>of</w:t>
            </w:r>
            <w:proofErr w:type="gramEnd"/>
            <w:r w:rsidRPr="00433F80">
              <w:rPr>
                <w:rFonts w:ascii="Arial" w:eastAsia="Times New Roman" w:hAnsi="Arial" w:cs="Arial"/>
                <w:color w:val="auto"/>
                <w:lang w:val="en-US"/>
              </w:rPr>
              <w:t xml:space="preserve"> citizens (male/ female) participating in the ISAF process able to cite at least two (of 6) standards for each of the three services (primary school, health center and commune).</w:t>
            </w:r>
          </w:p>
        </w:tc>
        <w:tc>
          <w:tcPr>
            <w:tcW w:w="1168" w:type="dxa"/>
          </w:tcPr>
          <w:p w14:paraId="1307D27D" w14:textId="77777777" w:rsidR="00EF2E3A" w:rsidRPr="00433F80" w:rsidRDefault="00EF2E3A" w:rsidP="00EF2E3A">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Percent</w:t>
            </w:r>
          </w:p>
        </w:tc>
        <w:tc>
          <w:tcPr>
            <w:tcW w:w="1073" w:type="dxa"/>
          </w:tcPr>
          <w:p w14:paraId="2E22B657" w14:textId="77777777" w:rsidR="00EF2E3A" w:rsidRPr="00433F80" w:rsidRDefault="00EF2E3A" w:rsidP="00EF2E3A">
            <w:pPr>
              <w:suppressAutoHyphens w:val="0"/>
              <w:spacing w:before="0" w:after="0" w:line="360" w:lineRule="auto"/>
              <w:rPr>
                <w:rFonts w:ascii="Arial" w:eastAsia="Calibri" w:hAnsi="Arial" w:cs="Arial"/>
                <w:color w:val="auto"/>
                <w:lang w:val="en-US"/>
              </w:rPr>
            </w:pPr>
          </w:p>
        </w:tc>
        <w:tc>
          <w:tcPr>
            <w:tcW w:w="1073" w:type="dxa"/>
          </w:tcPr>
          <w:p w14:paraId="04B9F28A" w14:textId="77777777" w:rsidR="00EF2E3A" w:rsidRPr="00433F80" w:rsidRDefault="00EF2E3A" w:rsidP="00EF2E3A">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60</w:t>
            </w:r>
          </w:p>
        </w:tc>
        <w:tc>
          <w:tcPr>
            <w:tcW w:w="1073" w:type="dxa"/>
          </w:tcPr>
          <w:p w14:paraId="6C9A3DD2" w14:textId="77777777" w:rsidR="00EF2E3A" w:rsidRPr="00433F80" w:rsidRDefault="00EF2E3A" w:rsidP="00EF2E3A">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70</w:t>
            </w:r>
          </w:p>
        </w:tc>
        <w:tc>
          <w:tcPr>
            <w:tcW w:w="1073" w:type="dxa"/>
          </w:tcPr>
          <w:p w14:paraId="74428923" w14:textId="77777777" w:rsidR="00EF2E3A" w:rsidRPr="00433F80" w:rsidRDefault="00EF2E3A" w:rsidP="00EF2E3A">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80</w:t>
            </w:r>
          </w:p>
        </w:tc>
        <w:tc>
          <w:tcPr>
            <w:tcW w:w="1110" w:type="dxa"/>
          </w:tcPr>
          <w:p w14:paraId="3793FAA0" w14:textId="77777777" w:rsidR="00EF2E3A" w:rsidRPr="00433F80" w:rsidRDefault="00EF2E3A" w:rsidP="00EF2E3A">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90</w:t>
            </w:r>
          </w:p>
        </w:tc>
        <w:tc>
          <w:tcPr>
            <w:tcW w:w="1082" w:type="dxa"/>
          </w:tcPr>
          <w:p w14:paraId="4302B028" w14:textId="77777777" w:rsidR="00EF2E3A" w:rsidRPr="00433F80" w:rsidRDefault="00EF2E3A" w:rsidP="00EF2E3A">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90</w:t>
            </w:r>
          </w:p>
        </w:tc>
        <w:tc>
          <w:tcPr>
            <w:tcW w:w="2412" w:type="dxa"/>
          </w:tcPr>
          <w:p w14:paraId="592CB4D0" w14:textId="77777777" w:rsidR="00EF2E3A" w:rsidRPr="00433F80" w:rsidRDefault="00EF2E3A" w:rsidP="00EF2E3A">
            <w:pPr>
              <w:suppressAutoHyphens w:val="0"/>
              <w:spacing w:before="0" w:after="0" w:line="360" w:lineRule="auto"/>
              <w:rPr>
                <w:rFonts w:ascii="Arial" w:eastAsia="Calibri" w:hAnsi="Arial" w:cs="Arial"/>
                <w:color w:val="auto"/>
                <w:sz w:val="20"/>
                <w:szCs w:val="20"/>
                <w:lang w:val="en-US"/>
              </w:rPr>
            </w:pPr>
          </w:p>
        </w:tc>
      </w:tr>
    </w:tbl>
    <w:p w14:paraId="26D3AF03" w14:textId="55A0F1F5" w:rsidR="00EF2E3A" w:rsidRDefault="00EF2E3A"/>
    <w:p w14:paraId="1A6F2F74" w14:textId="77777777" w:rsidR="00EF2E3A" w:rsidRDefault="00EF2E3A">
      <w:pPr>
        <w:suppressAutoHyphens w:val="0"/>
        <w:spacing w:before="0" w:after="120" w:line="440" w:lineRule="atLeast"/>
      </w:pPr>
      <w:r>
        <w:br w:type="page"/>
      </w:r>
    </w:p>
    <w:p w14:paraId="1546BBD7" w14:textId="745E5FD7" w:rsidR="00EF2E3A" w:rsidRDefault="00EF2E3A">
      <w:pPr>
        <w:rPr>
          <w:rFonts w:ascii="Arial" w:eastAsia="Calibri" w:hAnsi="Arial" w:cs="Arial"/>
          <w:b/>
          <w:bCs/>
          <w:color w:val="auto"/>
          <w:sz w:val="20"/>
          <w:szCs w:val="20"/>
          <w:lang w:val="en-AU"/>
        </w:rPr>
      </w:pPr>
      <w:r w:rsidRPr="00433F80">
        <w:rPr>
          <w:rFonts w:ascii="Arial" w:eastAsia="Calibri" w:hAnsi="Arial" w:cs="Arial"/>
          <w:b/>
          <w:bCs/>
          <w:color w:val="auto"/>
          <w:sz w:val="20"/>
          <w:szCs w:val="20"/>
          <w:lang w:val="en-AU"/>
        </w:rPr>
        <w:lastRenderedPageBreak/>
        <w:t>Component 3: Strengthening evidence for inclusive and equitable social and economic development</w:t>
      </w:r>
    </w:p>
    <w:p w14:paraId="638FA307" w14:textId="5D8C2BA1" w:rsidR="00EF2E3A" w:rsidRPr="00EF2E3A" w:rsidRDefault="00EF2E3A" w:rsidP="00EF2E3A">
      <w:pPr>
        <w:suppressAutoHyphens w:val="0"/>
        <w:spacing w:before="0" w:after="0" w:line="360" w:lineRule="auto"/>
        <w:rPr>
          <w:rFonts w:ascii="Arial" w:eastAsia="Calibri" w:hAnsi="Arial" w:cs="Arial"/>
          <w:color w:val="auto"/>
          <w:lang w:val="en-US"/>
        </w:rPr>
      </w:pPr>
      <w:r>
        <w:rPr>
          <w:rFonts w:ascii="Arial" w:eastAsia="Calibri" w:hAnsi="Arial" w:cs="Arial"/>
          <w:color w:val="auto"/>
          <w:lang w:val="en-US"/>
        </w:rPr>
        <w:t xml:space="preserve">Output: </w:t>
      </w:r>
      <w:r w:rsidRPr="00433F80">
        <w:rPr>
          <w:rFonts w:ascii="Arial" w:eastAsia="Calibri" w:hAnsi="Arial" w:cs="Arial"/>
          <w:color w:val="auto"/>
          <w:lang w:val="en-US"/>
        </w:rPr>
        <w:t>IR4. Advice and Analytics inform policy and practice in PROMISE Partnership priority areas, which includes gender equality and social inclusion</w:t>
      </w:r>
    </w:p>
    <w:tbl>
      <w:tblPr>
        <w:tblStyle w:val="TableGrid2"/>
        <w:tblW w:w="14371" w:type="dxa"/>
        <w:tblInd w:w="-289" w:type="dxa"/>
        <w:tblLook w:val="04A0" w:firstRow="1" w:lastRow="0" w:firstColumn="1" w:lastColumn="0" w:noHBand="0" w:noVBand="1"/>
      </w:tblPr>
      <w:tblGrid>
        <w:gridCol w:w="2991"/>
        <w:gridCol w:w="1321"/>
        <w:gridCol w:w="1213"/>
        <w:gridCol w:w="1213"/>
        <w:gridCol w:w="1213"/>
        <w:gridCol w:w="1213"/>
        <w:gridCol w:w="1255"/>
        <w:gridCol w:w="1224"/>
        <w:gridCol w:w="2728"/>
      </w:tblGrid>
      <w:tr w:rsidR="00EF2E3A" w:rsidRPr="00433F80" w14:paraId="36888AD6" w14:textId="77777777" w:rsidTr="00EF2E3A">
        <w:trPr>
          <w:trHeight w:val="766"/>
        </w:trPr>
        <w:tc>
          <w:tcPr>
            <w:tcW w:w="2991" w:type="dxa"/>
          </w:tcPr>
          <w:p w14:paraId="399FC6F6" w14:textId="7F286D1A" w:rsidR="00EF2E3A" w:rsidRPr="00433F80" w:rsidRDefault="00EF2E3A" w:rsidP="00EF2E3A">
            <w:pPr>
              <w:suppressAutoHyphens w:val="0"/>
              <w:spacing w:before="0" w:after="0" w:line="360" w:lineRule="auto"/>
              <w:rPr>
                <w:rFonts w:ascii="Arial" w:eastAsia="Calibri" w:hAnsi="Arial" w:cs="Arial"/>
                <w:color w:val="auto"/>
              </w:rPr>
            </w:pPr>
            <w:r w:rsidRPr="00433F80">
              <w:rPr>
                <w:rFonts w:ascii="Arial" w:eastAsia="Calibri" w:hAnsi="Arial" w:cs="Arial"/>
                <w:color w:val="auto"/>
                <w:lang w:val="en-US"/>
              </w:rPr>
              <w:t>Indicator</w:t>
            </w:r>
          </w:p>
        </w:tc>
        <w:tc>
          <w:tcPr>
            <w:tcW w:w="1321" w:type="dxa"/>
          </w:tcPr>
          <w:p w14:paraId="41A097F2" w14:textId="4CEE6984" w:rsidR="00EF2E3A" w:rsidRPr="00433F80" w:rsidRDefault="00EF2E3A" w:rsidP="00EF2E3A">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Unit of Measure</w:t>
            </w:r>
          </w:p>
        </w:tc>
        <w:tc>
          <w:tcPr>
            <w:tcW w:w="1213" w:type="dxa"/>
          </w:tcPr>
          <w:p w14:paraId="48F1EAD1" w14:textId="7152DC85" w:rsidR="00EF2E3A" w:rsidRPr="00433F80" w:rsidRDefault="00EF2E3A" w:rsidP="00EF2E3A">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Baseline</w:t>
            </w:r>
          </w:p>
        </w:tc>
        <w:tc>
          <w:tcPr>
            <w:tcW w:w="1213" w:type="dxa"/>
          </w:tcPr>
          <w:p w14:paraId="12E2C5EB" w14:textId="77777777" w:rsidR="00EF2E3A" w:rsidRPr="00433F80" w:rsidRDefault="00EF2E3A" w:rsidP="00EF2E3A">
            <w:pPr>
              <w:suppressAutoHyphens w:val="0"/>
              <w:spacing w:before="0" w:after="0" w:line="360" w:lineRule="auto"/>
              <w:jc w:val="center"/>
              <w:rPr>
                <w:rFonts w:ascii="Arial" w:eastAsia="Calibri" w:hAnsi="Arial" w:cs="Arial"/>
                <w:color w:val="auto"/>
                <w:lang w:val="en-US"/>
              </w:rPr>
            </w:pPr>
            <w:r w:rsidRPr="00433F80">
              <w:rPr>
                <w:rFonts w:ascii="Arial" w:eastAsia="Calibri" w:hAnsi="Arial" w:cs="Arial"/>
                <w:color w:val="auto"/>
                <w:lang w:val="en-US"/>
              </w:rPr>
              <w:t>Target</w:t>
            </w:r>
          </w:p>
          <w:p w14:paraId="03CA2DD8" w14:textId="20CF758E" w:rsidR="00EF2E3A" w:rsidRPr="00433F80" w:rsidRDefault="00EF2E3A" w:rsidP="00EF2E3A">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Y1</w:t>
            </w:r>
          </w:p>
        </w:tc>
        <w:tc>
          <w:tcPr>
            <w:tcW w:w="1213" w:type="dxa"/>
          </w:tcPr>
          <w:p w14:paraId="51DD905E" w14:textId="77777777" w:rsidR="00EF2E3A" w:rsidRPr="00433F80" w:rsidRDefault="00EF2E3A" w:rsidP="00EF2E3A">
            <w:pPr>
              <w:suppressAutoHyphens w:val="0"/>
              <w:spacing w:before="0" w:after="0" w:line="360" w:lineRule="auto"/>
              <w:jc w:val="center"/>
              <w:rPr>
                <w:rFonts w:ascii="Arial" w:eastAsia="Calibri" w:hAnsi="Arial" w:cs="Arial"/>
                <w:color w:val="auto"/>
                <w:lang w:val="en-US"/>
              </w:rPr>
            </w:pPr>
            <w:r w:rsidRPr="00433F80">
              <w:rPr>
                <w:rFonts w:ascii="Arial" w:eastAsia="Calibri" w:hAnsi="Arial" w:cs="Arial"/>
                <w:color w:val="auto"/>
                <w:lang w:val="en-US"/>
              </w:rPr>
              <w:t>Target</w:t>
            </w:r>
          </w:p>
          <w:p w14:paraId="7E4D69BE" w14:textId="3BF84070" w:rsidR="00EF2E3A" w:rsidRPr="00433F80" w:rsidRDefault="00EF2E3A" w:rsidP="00EF2E3A">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Y2</w:t>
            </w:r>
          </w:p>
        </w:tc>
        <w:tc>
          <w:tcPr>
            <w:tcW w:w="1213" w:type="dxa"/>
          </w:tcPr>
          <w:p w14:paraId="3DCCDDCE" w14:textId="77777777" w:rsidR="00EF2E3A" w:rsidRPr="00433F80" w:rsidRDefault="00EF2E3A" w:rsidP="00EF2E3A">
            <w:pPr>
              <w:suppressAutoHyphens w:val="0"/>
              <w:spacing w:before="0" w:after="0" w:line="360" w:lineRule="auto"/>
              <w:jc w:val="center"/>
              <w:rPr>
                <w:rFonts w:ascii="Arial" w:eastAsia="Calibri" w:hAnsi="Arial" w:cs="Arial"/>
                <w:color w:val="auto"/>
                <w:lang w:val="en-US"/>
              </w:rPr>
            </w:pPr>
            <w:r w:rsidRPr="00433F80">
              <w:rPr>
                <w:rFonts w:ascii="Arial" w:eastAsia="Calibri" w:hAnsi="Arial" w:cs="Arial"/>
                <w:color w:val="auto"/>
                <w:lang w:val="en-US"/>
              </w:rPr>
              <w:t>Target</w:t>
            </w:r>
          </w:p>
          <w:p w14:paraId="7ADE99A7" w14:textId="77660EDC" w:rsidR="00EF2E3A" w:rsidRPr="00433F80" w:rsidRDefault="00EF2E3A" w:rsidP="00EF2E3A">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Y3</w:t>
            </w:r>
          </w:p>
        </w:tc>
        <w:tc>
          <w:tcPr>
            <w:tcW w:w="1255" w:type="dxa"/>
          </w:tcPr>
          <w:p w14:paraId="215504C3" w14:textId="77777777" w:rsidR="00EF2E3A" w:rsidRPr="00433F80" w:rsidRDefault="00EF2E3A" w:rsidP="00EF2E3A">
            <w:pPr>
              <w:suppressAutoHyphens w:val="0"/>
              <w:spacing w:before="0" w:after="0" w:line="360" w:lineRule="auto"/>
              <w:jc w:val="center"/>
              <w:rPr>
                <w:rFonts w:ascii="Arial" w:eastAsia="Calibri" w:hAnsi="Arial" w:cs="Arial"/>
                <w:color w:val="auto"/>
                <w:lang w:val="en-US"/>
              </w:rPr>
            </w:pPr>
            <w:r w:rsidRPr="00433F80">
              <w:rPr>
                <w:rFonts w:ascii="Arial" w:eastAsia="Calibri" w:hAnsi="Arial" w:cs="Arial"/>
                <w:color w:val="auto"/>
                <w:lang w:val="en-US"/>
              </w:rPr>
              <w:t>Target</w:t>
            </w:r>
          </w:p>
          <w:p w14:paraId="48B990C8" w14:textId="55A4639D" w:rsidR="00EF2E3A" w:rsidRPr="00433F80" w:rsidRDefault="00EF2E3A" w:rsidP="00EF2E3A">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Y4</w:t>
            </w:r>
          </w:p>
        </w:tc>
        <w:tc>
          <w:tcPr>
            <w:tcW w:w="1224" w:type="dxa"/>
          </w:tcPr>
          <w:p w14:paraId="1E8E4F69" w14:textId="77777777" w:rsidR="00EF2E3A" w:rsidRPr="00433F80" w:rsidRDefault="00EF2E3A" w:rsidP="00EF2E3A">
            <w:pPr>
              <w:suppressAutoHyphens w:val="0"/>
              <w:spacing w:before="0" w:after="0" w:line="360" w:lineRule="auto"/>
              <w:jc w:val="center"/>
              <w:rPr>
                <w:rFonts w:ascii="Arial" w:eastAsia="Calibri" w:hAnsi="Arial" w:cs="Arial"/>
                <w:color w:val="auto"/>
                <w:lang w:val="en-US"/>
              </w:rPr>
            </w:pPr>
            <w:r w:rsidRPr="00433F80">
              <w:rPr>
                <w:rFonts w:ascii="Arial" w:eastAsia="Calibri" w:hAnsi="Arial" w:cs="Arial"/>
                <w:color w:val="auto"/>
                <w:lang w:val="en-US"/>
              </w:rPr>
              <w:t>Target</w:t>
            </w:r>
          </w:p>
          <w:p w14:paraId="11F41EE7" w14:textId="54892CA9" w:rsidR="00EF2E3A" w:rsidRPr="00433F80" w:rsidRDefault="00EF2E3A" w:rsidP="00EF2E3A">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Y5</w:t>
            </w:r>
          </w:p>
        </w:tc>
        <w:tc>
          <w:tcPr>
            <w:tcW w:w="2728" w:type="dxa"/>
          </w:tcPr>
          <w:p w14:paraId="5D523A04" w14:textId="2D832E1B" w:rsidR="00EF2E3A" w:rsidRPr="00433F80" w:rsidRDefault="00EF2E3A" w:rsidP="00EF2E3A">
            <w:pPr>
              <w:suppressAutoHyphens w:val="0"/>
              <w:spacing w:before="0" w:after="0" w:line="360" w:lineRule="auto"/>
              <w:rPr>
                <w:rFonts w:ascii="Arial" w:eastAsia="Calibri" w:hAnsi="Arial" w:cs="Arial"/>
                <w:color w:val="auto"/>
                <w:sz w:val="20"/>
                <w:szCs w:val="20"/>
                <w:lang w:val="en-US"/>
              </w:rPr>
            </w:pPr>
            <w:r>
              <w:rPr>
                <w:rFonts w:ascii="Arial" w:eastAsia="Calibri" w:hAnsi="Arial" w:cs="Arial"/>
                <w:color w:val="auto"/>
                <w:sz w:val="20"/>
                <w:szCs w:val="20"/>
                <w:lang w:val="en-US"/>
              </w:rPr>
              <w:t>Comments</w:t>
            </w:r>
          </w:p>
        </w:tc>
      </w:tr>
      <w:tr w:rsidR="00EF2E3A" w:rsidRPr="00433F80" w14:paraId="49D16822" w14:textId="77777777" w:rsidTr="00EF2E3A">
        <w:trPr>
          <w:trHeight w:val="1518"/>
        </w:trPr>
        <w:tc>
          <w:tcPr>
            <w:tcW w:w="2991" w:type="dxa"/>
          </w:tcPr>
          <w:p w14:paraId="5BF6A144" w14:textId="260F460F" w:rsidR="00EF2E3A" w:rsidRPr="00433F80" w:rsidRDefault="00EF2E3A" w:rsidP="00EF2E3A">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rPr>
              <w:t xml:space="preserve">Number of knowledge products (papers, analytical studies, briefs, articles etc) </w:t>
            </w:r>
            <w:proofErr w:type="gramStart"/>
            <w:r w:rsidRPr="00433F80">
              <w:rPr>
                <w:rFonts w:ascii="Arial" w:eastAsia="Calibri" w:hAnsi="Arial" w:cs="Arial"/>
                <w:color w:val="auto"/>
              </w:rPr>
              <w:t>produced</w:t>
            </w:r>
            <w:r w:rsidRPr="00433F80">
              <w:rPr>
                <w:rFonts w:ascii="Arial" w:eastAsia="Calibri" w:hAnsi="Arial" w:cs="Arial"/>
                <w:color w:val="auto"/>
                <w:vertAlign w:val="superscript"/>
              </w:rPr>
              <w:footnoteReference w:customMarkFollows="1" w:id="2"/>
              <w:t>[</w:t>
            </w:r>
            <w:proofErr w:type="gramEnd"/>
            <w:r w:rsidRPr="00433F80">
              <w:rPr>
                <w:rFonts w:ascii="Arial" w:eastAsia="Calibri" w:hAnsi="Arial" w:cs="Arial"/>
                <w:color w:val="auto"/>
                <w:vertAlign w:val="superscript"/>
              </w:rPr>
              <w:t>3]</w:t>
            </w:r>
            <w:r w:rsidRPr="00433F80">
              <w:rPr>
                <w:rFonts w:ascii="Arial" w:eastAsia="Calibri" w:hAnsi="Arial" w:cs="Arial"/>
                <w:color w:val="auto"/>
              </w:rPr>
              <w:t xml:space="preserve"> </w:t>
            </w:r>
          </w:p>
        </w:tc>
        <w:tc>
          <w:tcPr>
            <w:tcW w:w="1321" w:type="dxa"/>
          </w:tcPr>
          <w:p w14:paraId="1F95A6F0" w14:textId="77777777" w:rsidR="00EF2E3A" w:rsidRPr="00433F80" w:rsidRDefault="00EF2E3A" w:rsidP="00EF2E3A">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Number</w:t>
            </w:r>
          </w:p>
        </w:tc>
        <w:tc>
          <w:tcPr>
            <w:tcW w:w="1213" w:type="dxa"/>
          </w:tcPr>
          <w:p w14:paraId="4B321AFB" w14:textId="77777777" w:rsidR="00EF2E3A" w:rsidRPr="00433F80" w:rsidRDefault="00EF2E3A" w:rsidP="00EF2E3A">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0</w:t>
            </w:r>
          </w:p>
        </w:tc>
        <w:tc>
          <w:tcPr>
            <w:tcW w:w="1213" w:type="dxa"/>
          </w:tcPr>
          <w:p w14:paraId="5C41E832" w14:textId="77777777" w:rsidR="00EF2E3A" w:rsidRPr="00433F80" w:rsidRDefault="00EF2E3A" w:rsidP="00EF2E3A">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3</w:t>
            </w:r>
          </w:p>
        </w:tc>
        <w:tc>
          <w:tcPr>
            <w:tcW w:w="1213" w:type="dxa"/>
          </w:tcPr>
          <w:p w14:paraId="6775BE46" w14:textId="77777777" w:rsidR="00EF2E3A" w:rsidRPr="00433F80" w:rsidRDefault="00EF2E3A" w:rsidP="00EF2E3A">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6</w:t>
            </w:r>
          </w:p>
        </w:tc>
        <w:tc>
          <w:tcPr>
            <w:tcW w:w="1213" w:type="dxa"/>
          </w:tcPr>
          <w:p w14:paraId="2B1163CA" w14:textId="77777777" w:rsidR="00EF2E3A" w:rsidRPr="00433F80" w:rsidRDefault="00EF2E3A" w:rsidP="00EF2E3A">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9</w:t>
            </w:r>
          </w:p>
        </w:tc>
        <w:tc>
          <w:tcPr>
            <w:tcW w:w="1255" w:type="dxa"/>
          </w:tcPr>
          <w:p w14:paraId="552E067C" w14:textId="77777777" w:rsidR="00EF2E3A" w:rsidRPr="00433F80" w:rsidRDefault="00EF2E3A" w:rsidP="00EF2E3A">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12</w:t>
            </w:r>
          </w:p>
        </w:tc>
        <w:tc>
          <w:tcPr>
            <w:tcW w:w="1224" w:type="dxa"/>
          </w:tcPr>
          <w:p w14:paraId="61BBB589" w14:textId="77777777" w:rsidR="00EF2E3A" w:rsidRPr="00433F80" w:rsidRDefault="00EF2E3A" w:rsidP="00EF2E3A">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15</w:t>
            </w:r>
          </w:p>
        </w:tc>
        <w:tc>
          <w:tcPr>
            <w:tcW w:w="2728" w:type="dxa"/>
          </w:tcPr>
          <w:p w14:paraId="79303796" w14:textId="77777777" w:rsidR="00EF2E3A" w:rsidRPr="00433F80" w:rsidRDefault="00EF2E3A" w:rsidP="00EF2E3A">
            <w:pPr>
              <w:suppressAutoHyphens w:val="0"/>
              <w:spacing w:before="0" w:after="0" w:line="360" w:lineRule="auto"/>
              <w:rPr>
                <w:rFonts w:ascii="Arial" w:eastAsia="Calibri" w:hAnsi="Arial" w:cs="Arial"/>
                <w:color w:val="auto"/>
                <w:sz w:val="20"/>
                <w:szCs w:val="20"/>
                <w:lang w:val="en-US"/>
              </w:rPr>
            </w:pPr>
            <w:r w:rsidRPr="00433F80">
              <w:rPr>
                <w:rFonts w:ascii="Arial" w:eastAsia="Calibri" w:hAnsi="Arial" w:cs="Arial"/>
                <w:color w:val="auto"/>
                <w:sz w:val="20"/>
                <w:szCs w:val="20"/>
                <w:lang w:val="en-US"/>
              </w:rPr>
              <w:t>Three products per year</w:t>
            </w:r>
          </w:p>
        </w:tc>
      </w:tr>
      <w:tr w:rsidR="00EF2E3A" w:rsidRPr="00433F80" w14:paraId="4B18822B" w14:textId="77777777" w:rsidTr="00EF2E3A">
        <w:trPr>
          <w:trHeight w:val="1148"/>
        </w:trPr>
        <w:tc>
          <w:tcPr>
            <w:tcW w:w="2991" w:type="dxa"/>
            <w:vAlign w:val="center"/>
          </w:tcPr>
          <w:p w14:paraId="4139412A" w14:textId="77777777" w:rsidR="00EF2E3A" w:rsidRPr="00B2153C" w:rsidRDefault="00EF2E3A" w:rsidP="00EF2E3A">
            <w:pPr>
              <w:suppressAutoHyphens w:val="0"/>
              <w:spacing w:before="0" w:after="0" w:line="360" w:lineRule="auto"/>
              <w:rPr>
                <w:rFonts w:ascii="Arial" w:eastAsia="Calibri" w:hAnsi="Arial" w:cs="Arial"/>
                <w:color w:val="auto"/>
              </w:rPr>
            </w:pPr>
            <w:r w:rsidRPr="00B2153C">
              <w:rPr>
                <w:rFonts w:ascii="Arial" w:eastAsia="Calibri" w:hAnsi="Arial" w:cs="Arial"/>
                <w:color w:val="auto"/>
              </w:rPr>
              <w:t>Products with a primary or significant gender focus</w:t>
            </w:r>
          </w:p>
        </w:tc>
        <w:tc>
          <w:tcPr>
            <w:tcW w:w="1321" w:type="dxa"/>
          </w:tcPr>
          <w:p w14:paraId="4C85B728" w14:textId="77777777" w:rsidR="00EF2E3A" w:rsidRPr="00433F80" w:rsidRDefault="00EF2E3A" w:rsidP="00EF2E3A">
            <w:pPr>
              <w:suppressAutoHyphens w:val="0"/>
              <w:spacing w:before="0" w:after="0" w:line="360" w:lineRule="auto"/>
              <w:rPr>
                <w:rFonts w:ascii="Arial" w:eastAsia="Calibri" w:hAnsi="Arial" w:cs="Arial"/>
                <w:color w:val="auto"/>
                <w:lang w:val="en-US"/>
              </w:rPr>
            </w:pPr>
          </w:p>
        </w:tc>
        <w:tc>
          <w:tcPr>
            <w:tcW w:w="1213" w:type="dxa"/>
          </w:tcPr>
          <w:p w14:paraId="40D0691A" w14:textId="77777777" w:rsidR="00EF2E3A" w:rsidRPr="00433F80" w:rsidRDefault="00EF2E3A" w:rsidP="00EF2E3A">
            <w:pPr>
              <w:suppressAutoHyphens w:val="0"/>
              <w:spacing w:before="0" w:after="0" w:line="360" w:lineRule="auto"/>
              <w:rPr>
                <w:rFonts w:ascii="Arial" w:eastAsia="Calibri" w:hAnsi="Arial" w:cs="Arial"/>
                <w:color w:val="auto"/>
                <w:lang w:val="en-US"/>
              </w:rPr>
            </w:pPr>
          </w:p>
        </w:tc>
        <w:tc>
          <w:tcPr>
            <w:tcW w:w="1213" w:type="dxa"/>
          </w:tcPr>
          <w:p w14:paraId="165CCFAF" w14:textId="77777777" w:rsidR="00EF2E3A" w:rsidRPr="00433F80" w:rsidRDefault="00EF2E3A" w:rsidP="00EF2E3A">
            <w:pPr>
              <w:suppressAutoHyphens w:val="0"/>
              <w:spacing w:before="0" w:after="0" w:line="360" w:lineRule="auto"/>
              <w:rPr>
                <w:rFonts w:ascii="Arial" w:eastAsia="Calibri" w:hAnsi="Arial" w:cs="Arial"/>
                <w:color w:val="auto"/>
                <w:lang w:val="en-US"/>
              </w:rPr>
            </w:pPr>
          </w:p>
        </w:tc>
        <w:tc>
          <w:tcPr>
            <w:tcW w:w="1213" w:type="dxa"/>
          </w:tcPr>
          <w:p w14:paraId="019819C3" w14:textId="77777777" w:rsidR="00EF2E3A" w:rsidRPr="00433F80" w:rsidRDefault="00EF2E3A" w:rsidP="00EF2E3A">
            <w:pPr>
              <w:suppressAutoHyphens w:val="0"/>
              <w:spacing w:before="0" w:after="0" w:line="360" w:lineRule="auto"/>
              <w:rPr>
                <w:rFonts w:ascii="Arial" w:eastAsia="Calibri" w:hAnsi="Arial" w:cs="Arial"/>
                <w:color w:val="auto"/>
                <w:lang w:val="en-US"/>
              </w:rPr>
            </w:pPr>
          </w:p>
        </w:tc>
        <w:tc>
          <w:tcPr>
            <w:tcW w:w="1213" w:type="dxa"/>
          </w:tcPr>
          <w:p w14:paraId="4320EF42" w14:textId="77777777" w:rsidR="00EF2E3A" w:rsidRPr="00433F80" w:rsidRDefault="00EF2E3A" w:rsidP="00EF2E3A">
            <w:pPr>
              <w:suppressAutoHyphens w:val="0"/>
              <w:spacing w:before="0" w:after="0" w:line="360" w:lineRule="auto"/>
              <w:rPr>
                <w:rFonts w:ascii="Arial" w:eastAsia="Calibri" w:hAnsi="Arial" w:cs="Arial"/>
                <w:color w:val="auto"/>
                <w:lang w:val="en-US"/>
              </w:rPr>
            </w:pPr>
          </w:p>
        </w:tc>
        <w:tc>
          <w:tcPr>
            <w:tcW w:w="1255" w:type="dxa"/>
          </w:tcPr>
          <w:p w14:paraId="61879144" w14:textId="77777777" w:rsidR="00EF2E3A" w:rsidRPr="00433F80" w:rsidRDefault="00EF2E3A" w:rsidP="00EF2E3A">
            <w:pPr>
              <w:suppressAutoHyphens w:val="0"/>
              <w:spacing w:before="0" w:after="0" w:line="360" w:lineRule="auto"/>
              <w:rPr>
                <w:rFonts w:ascii="Arial" w:eastAsia="Calibri" w:hAnsi="Arial" w:cs="Arial"/>
                <w:color w:val="auto"/>
                <w:lang w:val="en-US"/>
              </w:rPr>
            </w:pPr>
          </w:p>
        </w:tc>
        <w:tc>
          <w:tcPr>
            <w:tcW w:w="1224" w:type="dxa"/>
          </w:tcPr>
          <w:p w14:paraId="28DCBE4A" w14:textId="77777777" w:rsidR="00EF2E3A" w:rsidRPr="00433F80" w:rsidRDefault="00EF2E3A" w:rsidP="00EF2E3A">
            <w:pPr>
              <w:suppressAutoHyphens w:val="0"/>
              <w:spacing w:before="0" w:after="0" w:line="360" w:lineRule="auto"/>
              <w:rPr>
                <w:rFonts w:ascii="Arial" w:eastAsia="Calibri" w:hAnsi="Arial" w:cs="Arial"/>
                <w:color w:val="auto"/>
                <w:lang w:val="en-US"/>
              </w:rPr>
            </w:pPr>
          </w:p>
        </w:tc>
        <w:tc>
          <w:tcPr>
            <w:tcW w:w="2728" w:type="dxa"/>
          </w:tcPr>
          <w:p w14:paraId="377CD588" w14:textId="77777777" w:rsidR="00EF2E3A" w:rsidRPr="00433F80" w:rsidRDefault="00EF2E3A" w:rsidP="00EF2E3A">
            <w:pPr>
              <w:suppressAutoHyphens w:val="0"/>
              <w:spacing w:before="0" w:after="0" w:line="360" w:lineRule="auto"/>
              <w:rPr>
                <w:rFonts w:ascii="Arial" w:eastAsia="Calibri" w:hAnsi="Arial" w:cs="Arial"/>
                <w:color w:val="auto"/>
                <w:sz w:val="20"/>
                <w:szCs w:val="20"/>
                <w:lang w:val="en-US"/>
              </w:rPr>
            </w:pPr>
          </w:p>
        </w:tc>
      </w:tr>
      <w:tr w:rsidR="00EF2E3A" w:rsidRPr="00433F80" w14:paraId="247A9B0C" w14:textId="77777777" w:rsidTr="00EF2E3A">
        <w:trPr>
          <w:trHeight w:val="2666"/>
        </w:trPr>
        <w:tc>
          <w:tcPr>
            <w:tcW w:w="2991" w:type="dxa"/>
          </w:tcPr>
          <w:p w14:paraId="5DCACB63" w14:textId="77777777" w:rsidR="00EF2E3A" w:rsidRPr="00433F80" w:rsidRDefault="00EF2E3A" w:rsidP="00EF2E3A">
            <w:pPr>
              <w:suppressAutoHyphens w:val="0"/>
              <w:spacing w:before="0" w:after="0" w:line="360" w:lineRule="auto"/>
              <w:rPr>
                <w:rFonts w:ascii="Arial" w:eastAsia="Calibri" w:hAnsi="Arial" w:cs="Arial"/>
                <w:color w:val="auto"/>
                <w:lang w:val="en-AU" w:eastAsia="en-AU"/>
              </w:rPr>
            </w:pPr>
            <w:r w:rsidRPr="00433F80">
              <w:rPr>
                <w:rFonts w:ascii="Arial" w:eastAsia="Calibri" w:hAnsi="Arial" w:cs="Arial"/>
                <w:color w:val="auto"/>
                <w:lang w:val="en-US"/>
              </w:rPr>
              <w:t xml:space="preserve">Number of knowledge-sharing activities (seminars, other knowledge sharing events, stakeholder engagement, capacity building, etc.) </w:t>
            </w:r>
          </w:p>
        </w:tc>
        <w:tc>
          <w:tcPr>
            <w:tcW w:w="1321" w:type="dxa"/>
          </w:tcPr>
          <w:p w14:paraId="47E97A45" w14:textId="77777777" w:rsidR="00EF2E3A" w:rsidRPr="00433F80" w:rsidRDefault="00EF2E3A" w:rsidP="00EF2E3A">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Number</w:t>
            </w:r>
          </w:p>
        </w:tc>
        <w:tc>
          <w:tcPr>
            <w:tcW w:w="1213" w:type="dxa"/>
          </w:tcPr>
          <w:p w14:paraId="630472B8" w14:textId="77777777" w:rsidR="00EF2E3A" w:rsidRPr="00433F80" w:rsidRDefault="00EF2E3A" w:rsidP="00EF2E3A">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0</w:t>
            </w:r>
          </w:p>
        </w:tc>
        <w:tc>
          <w:tcPr>
            <w:tcW w:w="1213" w:type="dxa"/>
          </w:tcPr>
          <w:p w14:paraId="3CB1EBE3" w14:textId="77777777" w:rsidR="00EF2E3A" w:rsidRPr="00433F80" w:rsidRDefault="00EF2E3A" w:rsidP="00EF2E3A">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2</w:t>
            </w:r>
          </w:p>
        </w:tc>
        <w:tc>
          <w:tcPr>
            <w:tcW w:w="1213" w:type="dxa"/>
          </w:tcPr>
          <w:p w14:paraId="10B344A6" w14:textId="77777777" w:rsidR="00EF2E3A" w:rsidRPr="00433F80" w:rsidRDefault="00EF2E3A" w:rsidP="00EF2E3A">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4</w:t>
            </w:r>
          </w:p>
        </w:tc>
        <w:tc>
          <w:tcPr>
            <w:tcW w:w="1213" w:type="dxa"/>
          </w:tcPr>
          <w:p w14:paraId="485D5E55" w14:textId="77777777" w:rsidR="00EF2E3A" w:rsidRPr="00433F80" w:rsidRDefault="00EF2E3A" w:rsidP="00EF2E3A">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6</w:t>
            </w:r>
          </w:p>
        </w:tc>
        <w:tc>
          <w:tcPr>
            <w:tcW w:w="1255" w:type="dxa"/>
          </w:tcPr>
          <w:p w14:paraId="40F8CE67" w14:textId="77777777" w:rsidR="00EF2E3A" w:rsidRPr="00433F80" w:rsidRDefault="00EF2E3A" w:rsidP="00EF2E3A">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8</w:t>
            </w:r>
          </w:p>
        </w:tc>
        <w:tc>
          <w:tcPr>
            <w:tcW w:w="1224" w:type="dxa"/>
          </w:tcPr>
          <w:p w14:paraId="241311FF" w14:textId="77777777" w:rsidR="00EF2E3A" w:rsidRPr="00433F80" w:rsidRDefault="00EF2E3A" w:rsidP="00EF2E3A">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10</w:t>
            </w:r>
          </w:p>
        </w:tc>
        <w:tc>
          <w:tcPr>
            <w:tcW w:w="2728" w:type="dxa"/>
          </w:tcPr>
          <w:p w14:paraId="0AA62F8B" w14:textId="77777777" w:rsidR="00EF2E3A" w:rsidRPr="00433F80" w:rsidRDefault="00EF2E3A" w:rsidP="00EF2E3A">
            <w:pPr>
              <w:suppressAutoHyphens w:val="0"/>
              <w:spacing w:before="0" w:after="0" w:line="360" w:lineRule="auto"/>
              <w:rPr>
                <w:rFonts w:ascii="Arial" w:eastAsia="Calibri" w:hAnsi="Arial" w:cs="Arial"/>
                <w:color w:val="auto"/>
                <w:sz w:val="20"/>
                <w:szCs w:val="20"/>
                <w:lang w:val="en-US"/>
              </w:rPr>
            </w:pPr>
            <w:r w:rsidRPr="00433F80">
              <w:rPr>
                <w:rFonts w:ascii="Arial" w:eastAsia="Calibri" w:hAnsi="Arial" w:cs="Arial"/>
                <w:color w:val="auto"/>
                <w:sz w:val="20"/>
                <w:szCs w:val="20"/>
                <w:lang w:val="en-US"/>
              </w:rPr>
              <w:t>Two events per year</w:t>
            </w:r>
          </w:p>
        </w:tc>
      </w:tr>
    </w:tbl>
    <w:p w14:paraId="5B5276FE" w14:textId="5A79FC2F" w:rsidR="00EF2E3A" w:rsidRPr="00433F80" w:rsidRDefault="00EF2E3A" w:rsidP="00EF2E3A">
      <w:pPr>
        <w:suppressAutoHyphens w:val="0"/>
        <w:autoSpaceDE w:val="0"/>
        <w:autoSpaceDN w:val="0"/>
        <w:adjustRightInd w:val="0"/>
        <w:spacing w:before="0" w:after="0" w:line="360" w:lineRule="auto"/>
        <w:rPr>
          <w:rFonts w:ascii="Arial" w:eastAsia="Calibri" w:hAnsi="Arial" w:cs="Arial"/>
          <w:color w:val="auto"/>
          <w:lang w:val="en-US" w:bidi="km-KH"/>
        </w:rPr>
      </w:pPr>
      <w:r>
        <w:rPr>
          <w:rFonts w:ascii="Arial" w:eastAsia="Calibri" w:hAnsi="Arial" w:cs="Arial"/>
          <w:color w:val="auto"/>
          <w:lang w:val="en-US" w:bidi="km-KH"/>
        </w:rPr>
        <w:lastRenderedPageBreak/>
        <w:t>Output: I</w:t>
      </w:r>
      <w:r w:rsidRPr="00433F80">
        <w:rPr>
          <w:rFonts w:ascii="Arial" w:eastAsia="Calibri" w:hAnsi="Arial" w:cs="Arial"/>
          <w:color w:val="auto"/>
          <w:lang w:val="en-US" w:bidi="km-KH"/>
        </w:rPr>
        <w:t xml:space="preserve">R5. The PROMISE Partnership provides a platform for </w:t>
      </w:r>
      <w:r w:rsidRPr="00433F80">
        <w:rPr>
          <w:rFonts w:ascii="Arial" w:eastAsia="Calibri" w:hAnsi="Arial" w:cs="Arial"/>
          <w:color w:val="auto"/>
          <w:lang w:val="en-US"/>
        </w:rPr>
        <w:t>enhanced collaboration at all levels consistent with the World Bank and DFAT strategic frameworks in Cambodia</w:t>
      </w:r>
      <w:r w:rsidRPr="00433F80">
        <w:rPr>
          <w:rFonts w:ascii="Arial" w:eastAsia="Calibri" w:hAnsi="Arial" w:cs="Arial"/>
          <w:color w:val="auto"/>
          <w:lang w:val="en-US" w:bidi="km-KH"/>
        </w:rPr>
        <w:t xml:space="preserve"> </w:t>
      </w:r>
    </w:p>
    <w:p w14:paraId="1918F42B" w14:textId="05ABD215" w:rsidR="00EF2E3A" w:rsidRDefault="00EF2E3A"/>
    <w:tbl>
      <w:tblPr>
        <w:tblStyle w:val="TableGrid2"/>
        <w:tblW w:w="13939" w:type="dxa"/>
        <w:tblInd w:w="-289" w:type="dxa"/>
        <w:tblLook w:val="04A0" w:firstRow="1" w:lastRow="0" w:firstColumn="1" w:lastColumn="0" w:noHBand="0" w:noVBand="1"/>
      </w:tblPr>
      <w:tblGrid>
        <w:gridCol w:w="2900"/>
        <w:gridCol w:w="1281"/>
        <w:gridCol w:w="1177"/>
        <w:gridCol w:w="1177"/>
        <w:gridCol w:w="1177"/>
        <w:gridCol w:w="1177"/>
        <w:gridCol w:w="1217"/>
        <w:gridCol w:w="1187"/>
        <w:gridCol w:w="2646"/>
      </w:tblGrid>
      <w:tr w:rsidR="00EF2E3A" w:rsidRPr="00433F80" w14:paraId="6AE765F4" w14:textId="77777777" w:rsidTr="00EF2E3A">
        <w:trPr>
          <w:trHeight w:val="768"/>
        </w:trPr>
        <w:tc>
          <w:tcPr>
            <w:tcW w:w="2900" w:type="dxa"/>
          </w:tcPr>
          <w:p w14:paraId="776F7F7F" w14:textId="545A209D" w:rsidR="00EF2E3A" w:rsidRPr="00433F80" w:rsidRDefault="00EF2E3A" w:rsidP="00EF2E3A">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Indicator</w:t>
            </w:r>
          </w:p>
        </w:tc>
        <w:tc>
          <w:tcPr>
            <w:tcW w:w="1281" w:type="dxa"/>
          </w:tcPr>
          <w:p w14:paraId="0B7B21AD" w14:textId="20A2187B" w:rsidR="00EF2E3A" w:rsidRPr="00433F80" w:rsidRDefault="00EF2E3A" w:rsidP="00EF2E3A">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Unit of Measure</w:t>
            </w:r>
          </w:p>
        </w:tc>
        <w:tc>
          <w:tcPr>
            <w:tcW w:w="1177" w:type="dxa"/>
          </w:tcPr>
          <w:p w14:paraId="0DC7AB1D" w14:textId="0591DA50" w:rsidR="00EF2E3A" w:rsidRPr="00433F80" w:rsidRDefault="00EF2E3A" w:rsidP="00EF2E3A">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Baseline</w:t>
            </w:r>
          </w:p>
        </w:tc>
        <w:tc>
          <w:tcPr>
            <w:tcW w:w="1177" w:type="dxa"/>
          </w:tcPr>
          <w:p w14:paraId="4770E84F" w14:textId="77777777" w:rsidR="00EF2E3A" w:rsidRPr="00433F80" w:rsidRDefault="00EF2E3A" w:rsidP="00EF2E3A">
            <w:pPr>
              <w:suppressAutoHyphens w:val="0"/>
              <w:spacing w:before="0" w:after="0" w:line="360" w:lineRule="auto"/>
              <w:jc w:val="center"/>
              <w:rPr>
                <w:rFonts w:ascii="Arial" w:eastAsia="Calibri" w:hAnsi="Arial" w:cs="Arial"/>
                <w:color w:val="auto"/>
                <w:lang w:val="en-US"/>
              </w:rPr>
            </w:pPr>
            <w:r w:rsidRPr="00433F80">
              <w:rPr>
                <w:rFonts w:ascii="Arial" w:eastAsia="Calibri" w:hAnsi="Arial" w:cs="Arial"/>
                <w:color w:val="auto"/>
                <w:lang w:val="en-US"/>
              </w:rPr>
              <w:t>Target</w:t>
            </w:r>
          </w:p>
          <w:p w14:paraId="3FFC3307" w14:textId="518CEFD9" w:rsidR="00EF2E3A" w:rsidRPr="00433F80" w:rsidRDefault="00EF2E3A" w:rsidP="00EF2E3A">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Y1</w:t>
            </w:r>
          </w:p>
        </w:tc>
        <w:tc>
          <w:tcPr>
            <w:tcW w:w="1177" w:type="dxa"/>
          </w:tcPr>
          <w:p w14:paraId="26DA26CF" w14:textId="77777777" w:rsidR="00EF2E3A" w:rsidRPr="00433F80" w:rsidRDefault="00EF2E3A" w:rsidP="00EF2E3A">
            <w:pPr>
              <w:suppressAutoHyphens w:val="0"/>
              <w:spacing w:before="0" w:after="0" w:line="360" w:lineRule="auto"/>
              <w:jc w:val="center"/>
              <w:rPr>
                <w:rFonts w:ascii="Arial" w:eastAsia="Calibri" w:hAnsi="Arial" w:cs="Arial"/>
                <w:color w:val="auto"/>
                <w:lang w:val="en-US"/>
              </w:rPr>
            </w:pPr>
            <w:r w:rsidRPr="00433F80">
              <w:rPr>
                <w:rFonts w:ascii="Arial" w:eastAsia="Calibri" w:hAnsi="Arial" w:cs="Arial"/>
                <w:color w:val="auto"/>
                <w:lang w:val="en-US"/>
              </w:rPr>
              <w:t>Target</w:t>
            </w:r>
          </w:p>
          <w:p w14:paraId="493E75EC" w14:textId="1A0F97E9" w:rsidR="00EF2E3A" w:rsidRPr="00433F80" w:rsidRDefault="00EF2E3A" w:rsidP="00EF2E3A">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Y2</w:t>
            </w:r>
          </w:p>
        </w:tc>
        <w:tc>
          <w:tcPr>
            <w:tcW w:w="1177" w:type="dxa"/>
          </w:tcPr>
          <w:p w14:paraId="63438EC6" w14:textId="77777777" w:rsidR="00EF2E3A" w:rsidRPr="00433F80" w:rsidRDefault="00EF2E3A" w:rsidP="00EF2E3A">
            <w:pPr>
              <w:suppressAutoHyphens w:val="0"/>
              <w:spacing w:before="0" w:after="0" w:line="360" w:lineRule="auto"/>
              <w:jc w:val="center"/>
              <w:rPr>
                <w:rFonts w:ascii="Arial" w:eastAsia="Calibri" w:hAnsi="Arial" w:cs="Arial"/>
                <w:color w:val="auto"/>
                <w:lang w:val="en-US"/>
              </w:rPr>
            </w:pPr>
            <w:r w:rsidRPr="00433F80">
              <w:rPr>
                <w:rFonts w:ascii="Arial" w:eastAsia="Calibri" w:hAnsi="Arial" w:cs="Arial"/>
                <w:color w:val="auto"/>
                <w:lang w:val="en-US"/>
              </w:rPr>
              <w:t>Target</w:t>
            </w:r>
          </w:p>
          <w:p w14:paraId="7C3ECB87" w14:textId="31C9268F" w:rsidR="00EF2E3A" w:rsidRPr="00433F80" w:rsidRDefault="00EF2E3A" w:rsidP="00EF2E3A">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Y3</w:t>
            </w:r>
          </w:p>
        </w:tc>
        <w:tc>
          <w:tcPr>
            <w:tcW w:w="1217" w:type="dxa"/>
          </w:tcPr>
          <w:p w14:paraId="0CD9139E" w14:textId="77777777" w:rsidR="00EF2E3A" w:rsidRPr="00433F80" w:rsidRDefault="00EF2E3A" w:rsidP="00EF2E3A">
            <w:pPr>
              <w:suppressAutoHyphens w:val="0"/>
              <w:spacing w:before="0" w:after="0" w:line="360" w:lineRule="auto"/>
              <w:jc w:val="center"/>
              <w:rPr>
                <w:rFonts w:ascii="Arial" w:eastAsia="Calibri" w:hAnsi="Arial" w:cs="Arial"/>
                <w:color w:val="auto"/>
                <w:lang w:val="en-US"/>
              </w:rPr>
            </w:pPr>
            <w:r w:rsidRPr="00433F80">
              <w:rPr>
                <w:rFonts w:ascii="Arial" w:eastAsia="Calibri" w:hAnsi="Arial" w:cs="Arial"/>
                <w:color w:val="auto"/>
                <w:lang w:val="en-US"/>
              </w:rPr>
              <w:t>Target</w:t>
            </w:r>
          </w:p>
          <w:p w14:paraId="1012F05C" w14:textId="7ED25BCD" w:rsidR="00EF2E3A" w:rsidRPr="00433F80" w:rsidRDefault="00EF2E3A" w:rsidP="00EF2E3A">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Y4</w:t>
            </w:r>
          </w:p>
        </w:tc>
        <w:tc>
          <w:tcPr>
            <w:tcW w:w="1187" w:type="dxa"/>
          </w:tcPr>
          <w:p w14:paraId="6718CBA5" w14:textId="77777777" w:rsidR="00EF2E3A" w:rsidRPr="00433F80" w:rsidRDefault="00EF2E3A" w:rsidP="00EF2E3A">
            <w:pPr>
              <w:suppressAutoHyphens w:val="0"/>
              <w:spacing w:before="0" w:after="0" w:line="360" w:lineRule="auto"/>
              <w:jc w:val="center"/>
              <w:rPr>
                <w:rFonts w:ascii="Arial" w:eastAsia="Calibri" w:hAnsi="Arial" w:cs="Arial"/>
                <w:color w:val="auto"/>
                <w:lang w:val="en-US"/>
              </w:rPr>
            </w:pPr>
            <w:r w:rsidRPr="00433F80">
              <w:rPr>
                <w:rFonts w:ascii="Arial" w:eastAsia="Calibri" w:hAnsi="Arial" w:cs="Arial"/>
                <w:color w:val="auto"/>
                <w:lang w:val="en-US"/>
              </w:rPr>
              <w:t>Target</w:t>
            </w:r>
          </w:p>
          <w:p w14:paraId="419BA5B4" w14:textId="3D4962AA" w:rsidR="00EF2E3A" w:rsidRPr="00433F80" w:rsidRDefault="00EF2E3A" w:rsidP="00EF2E3A">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Y5</w:t>
            </w:r>
          </w:p>
        </w:tc>
        <w:tc>
          <w:tcPr>
            <w:tcW w:w="2646" w:type="dxa"/>
          </w:tcPr>
          <w:p w14:paraId="0B30D1A5" w14:textId="435AF8E9" w:rsidR="00EF2E3A" w:rsidRPr="00433F80" w:rsidRDefault="00EF2E3A" w:rsidP="00EF2E3A">
            <w:pPr>
              <w:suppressAutoHyphens w:val="0"/>
              <w:spacing w:before="0" w:after="0" w:line="360" w:lineRule="auto"/>
              <w:rPr>
                <w:rFonts w:ascii="Arial" w:eastAsia="Calibri" w:hAnsi="Arial" w:cs="Arial"/>
                <w:color w:val="auto"/>
                <w:sz w:val="20"/>
                <w:szCs w:val="20"/>
                <w:lang w:val="en-US"/>
              </w:rPr>
            </w:pPr>
            <w:r>
              <w:rPr>
                <w:rFonts w:ascii="Arial" w:eastAsia="Calibri" w:hAnsi="Arial" w:cs="Arial"/>
                <w:color w:val="auto"/>
                <w:sz w:val="20"/>
                <w:szCs w:val="20"/>
                <w:lang w:val="en-US"/>
              </w:rPr>
              <w:t>Comments</w:t>
            </w:r>
          </w:p>
        </w:tc>
      </w:tr>
      <w:tr w:rsidR="00EF2E3A" w:rsidRPr="00433F80" w14:paraId="1615D146" w14:textId="77777777" w:rsidTr="00EF2E3A">
        <w:trPr>
          <w:trHeight w:val="3829"/>
        </w:trPr>
        <w:tc>
          <w:tcPr>
            <w:tcW w:w="2900" w:type="dxa"/>
          </w:tcPr>
          <w:p w14:paraId="7707DA59" w14:textId="100C9332" w:rsidR="00EF2E3A" w:rsidRPr="00433F80" w:rsidRDefault="00EF2E3A" w:rsidP="00EF2E3A">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 xml:space="preserve">Establishment of Partnership functional implementation structure and procedures (e.g., Operation Manual approved, PASA process approved, ETC recruited, PC </w:t>
            </w:r>
            <w:proofErr w:type="spellStart"/>
            <w:r w:rsidRPr="00433F80">
              <w:rPr>
                <w:rFonts w:ascii="Arial" w:eastAsia="Calibri" w:hAnsi="Arial" w:cs="Arial"/>
                <w:color w:val="auto"/>
                <w:lang w:val="en-US"/>
              </w:rPr>
              <w:t>ToR</w:t>
            </w:r>
            <w:proofErr w:type="spellEnd"/>
            <w:r w:rsidRPr="00433F80">
              <w:rPr>
                <w:rFonts w:ascii="Arial" w:eastAsia="Calibri" w:hAnsi="Arial" w:cs="Arial"/>
                <w:color w:val="auto"/>
                <w:lang w:val="en-US"/>
              </w:rPr>
              <w:t xml:space="preserve"> </w:t>
            </w:r>
            <w:proofErr w:type="gramStart"/>
            <w:r w:rsidRPr="00433F80">
              <w:rPr>
                <w:rFonts w:ascii="Arial" w:eastAsia="Calibri" w:hAnsi="Arial" w:cs="Arial"/>
                <w:color w:val="auto"/>
                <w:lang w:val="en-US"/>
              </w:rPr>
              <w:t>approved</w:t>
            </w:r>
            <w:proofErr w:type="gramEnd"/>
            <w:r w:rsidRPr="00433F80">
              <w:rPr>
                <w:rFonts w:ascii="Arial" w:eastAsia="Calibri" w:hAnsi="Arial" w:cs="Arial"/>
                <w:color w:val="auto"/>
                <w:lang w:val="en-US"/>
              </w:rPr>
              <w:t xml:space="preserve"> and meetings held)</w:t>
            </w:r>
          </w:p>
        </w:tc>
        <w:tc>
          <w:tcPr>
            <w:tcW w:w="1281" w:type="dxa"/>
          </w:tcPr>
          <w:p w14:paraId="03508C6F" w14:textId="77777777" w:rsidR="00EF2E3A" w:rsidRPr="00433F80" w:rsidRDefault="00EF2E3A" w:rsidP="00EF2E3A">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No/Yes</w:t>
            </w:r>
          </w:p>
        </w:tc>
        <w:tc>
          <w:tcPr>
            <w:tcW w:w="1177" w:type="dxa"/>
          </w:tcPr>
          <w:p w14:paraId="44283ACB" w14:textId="77777777" w:rsidR="00EF2E3A" w:rsidRPr="00433F80" w:rsidRDefault="00EF2E3A" w:rsidP="00EF2E3A">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No</w:t>
            </w:r>
          </w:p>
        </w:tc>
        <w:tc>
          <w:tcPr>
            <w:tcW w:w="1177" w:type="dxa"/>
          </w:tcPr>
          <w:p w14:paraId="566447A0" w14:textId="77777777" w:rsidR="00EF2E3A" w:rsidRPr="00433F80" w:rsidRDefault="00EF2E3A" w:rsidP="00EF2E3A">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Yes</w:t>
            </w:r>
          </w:p>
        </w:tc>
        <w:tc>
          <w:tcPr>
            <w:tcW w:w="1177" w:type="dxa"/>
          </w:tcPr>
          <w:p w14:paraId="601CB9B6" w14:textId="77777777" w:rsidR="00EF2E3A" w:rsidRPr="00433F80" w:rsidRDefault="00EF2E3A" w:rsidP="00EF2E3A">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Yes</w:t>
            </w:r>
          </w:p>
        </w:tc>
        <w:tc>
          <w:tcPr>
            <w:tcW w:w="1177" w:type="dxa"/>
          </w:tcPr>
          <w:p w14:paraId="490D6D3C" w14:textId="77777777" w:rsidR="00EF2E3A" w:rsidRPr="00433F80" w:rsidRDefault="00EF2E3A" w:rsidP="00EF2E3A">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Yes</w:t>
            </w:r>
          </w:p>
        </w:tc>
        <w:tc>
          <w:tcPr>
            <w:tcW w:w="1217" w:type="dxa"/>
          </w:tcPr>
          <w:p w14:paraId="232462C7" w14:textId="77777777" w:rsidR="00EF2E3A" w:rsidRPr="00433F80" w:rsidRDefault="00EF2E3A" w:rsidP="00EF2E3A">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Yes</w:t>
            </w:r>
          </w:p>
        </w:tc>
        <w:tc>
          <w:tcPr>
            <w:tcW w:w="1187" w:type="dxa"/>
          </w:tcPr>
          <w:p w14:paraId="45EE26D0" w14:textId="77777777" w:rsidR="00EF2E3A" w:rsidRPr="00433F80" w:rsidRDefault="00EF2E3A" w:rsidP="00EF2E3A">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Yes</w:t>
            </w:r>
          </w:p>
        </w:tc>
        <w:tc>
          <w:tcPr>
            <w:tcW w:w="2646" w:type="dxa"/>
          </w:tcPr>
          <w:p w14:paraId="5C53CE15" w14:textId="77777777" w:rsidR="00EF2E3A" w:rsidRPr="00433F80" w:rsidRDefault="00EF2E3A" w:rsidP="00EF2E3A">
            <w:pPr>
              <w:suppressAutoHyphens w:val="0"/>
              <w:spacing w:before="0" w:after="0" w:line="360" w:lineRule="auto"/>
              <w:rPr>
                <w:rFonts w:ascii="Arial" w:eastAsia="Calibri" w:hAnsi="Arial" w:cs="Arial"/>
                <w:color w:val="auto"/>
                <w:sz w:val="20"/>
                <w:szCs w:val="20"/>
                <w:lang w:val="en-US"/>
              </w:rPr>
            </w:pPr>
          </w:p>
        </w:tc>
      </w:tr>
      <w:tr w:rsidR="00EF2E3A" w:rsidRPr="00433F80" w14:paraId="4D61B5D1" w14:textId="77777777" w:rsidTr="00EF2E3A">
        <w:trPr>
          <w:trHeight w:val="1907"/>
        </w:trPr>
        <w:tc>
          <w:tcPr>
            <w:tcW w:w="2900" w:type="dxa"/>
          </w:tcPr>
          <w:p w14:paraId="48B39637" w14:textId="77777777" w:rsidR="00EF2E3A" w:rsidRPr="00433F80" w:rsidRDefault="00EF2E3A" w:rsidP="00EF2E3A">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 xml:space="preserve">The Annual Partnership survey reports enhanced collaboration between World Bank and DFAT staff </w:t>
            </w:r>
          </w:p>
        </w:tc>
        <w:tc>
          <w:tcPr>
            <w:tcW w:w="1281" w:type="dxa"/>
          </w:tcPr>
          <w:p w14:paraId="2C969B97" w14:textId="77777777" w:rsidR="00EF2E3A" w:rsidRPr="00433F80" w:rsidRDefault="00EF2E3A" w:rsidP="00EF2E3A">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Report</w:t>
            </w:r>
          </w:p>
        </w:tc>
        <w:tc>
          <w:tcPr>
            <w:tcW w:w="1177" w:type="dxa"/>
          </w:tcPr>
          <w:p w14:paraId="28DBC101" w14:textId="77777777" w:rsidR="00EF2E3A" w:rsidRPr="00433F80" w:rsidRDefault="00EF2E3A" w:rsidP="00EF2E3A">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No</w:t>
            </w:r>
          </w:p>
        </w:tc>
        <w:tc>
          <w:tcPr>
            <w:tcW w:w="1177" w:type="dxa"/>
          </w:tcPr>
          <w:p w14:paraId="11881257" w14:textId="77777777" w:rsidR="00EF2E3A" w:rsidRPr="00433F80" w:rsidRDefault="00EF2E3A" w:rsidP="00EF2E3A">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Yes</w:t>
            </w:r>
          </w:p>
        </w:tc>
        <w:tc>
          <w:tcPr>
            <w:tcW w:w="1177" w:type="dxa"/>
          </w:tcPr>
          <w:p w14:paraId="2C345851" w14:textId="77777777" w:rsidR="00EF2E3A" w:rsidRPr="00433F80" w:rsidRDefault="00EF2E3A" w:rsidP="00EF2E3A">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Yes</w:t>
            </w:r>
          </w:p>
        </w:tc>
        <w:tc>
          <w:tcPr>
            <w:tcW w:w="1177" w:type="dxa"/>
          </w:tcPr>
          <w:p w14:paraId="6F2CE48E" w14:textId="77777777" w:rsidR="00EF2E3A" w:rsidRPr="00433F80" w:rsidRDefault="00EF2E3A" w:rsidP="00EF2E3A">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Ye</w:t>
            </w:r>
          </w:p>
        </w:tc>
        <w:tc>
          <w:tcPr>
            <w:tcW w:w="1217" w:type="dxa"/>
          </w:tcPr>
          <w:p w14:paraId="28490037" w14:textId="77777777" w:rsidR="00EF2E3A" w:rsidRPr="00433F80" w:rsidRDefault="00EF2E3A" w:rsidP="00EF2E3A">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Yes</w:t>
            </w:r>
          </w:p>
        </w:tc>
        <w:tc>
          <w:tcPr>
            <w:tcW w:w="1187" w:type="dxa"/>
          </w:tcPr>
          <w:p w14:paraId="139A15B9" w14:textId="77777777" w:rsidR="00EF2E3A" w:rsidRPr="00433F80" w:rsidRDefault="00EF2E3A" w:rsidP="00EF2E3A">
            <w:pPr>
              <w:suppressAutoHyphens w:val="0"/>
              <w:spacing w:before="0" w:after="0" w:line="360" w:lineRule="auto"/>
              <w:rPr>
                <w:rFonts w:ascii="Arial" w:eastAsia="Calibri" w:hAnsi="Arial" w:cs="Arial"/>
                <w:color w:val="auto"/>
                <w:lang w:val="en-US"/>
              </w:rPr>
            </w:pPr>
            <w:r w:rsidRPr="00433F80">
              <w:rPr>
                <w:rFonts w:ascii="Arial" w:eastAsia="Calibri" w:hAnsi="Arial" w:cs="Arial"/>
                <w:color w:val="auto"/>
                <w:lang w:val="en-US"/>
              </w:rPr>
              <w:t>Yes</w:t>
            </w:r>
          </w:p>
        </w:tc>
        <w:tc>
          <w:tcPr>
            <w:tcW w:w="2646" w:type="dxa"/>
          </w:tcPr>
          <w:p w14:paraId="19402896" w14:textId="77777777" w:rsidR="00EF2E3A" w:rsidRPr="00433F80" w:rsidRDefault="00EF2E3A" w:rsidP="00EF2E3A">
            <w:pPr>
              <w:suppressAutoHyphens w:val="0"/>
              <w:spacing w:before="0" w:after="0" w:line="360" w:lineRule="auto"/>
              <w:rPr>
                <w:rFonts w:ascii="Arial" w:eastAsia="Calibri" w:hAnsi="Arial" w:cs="Arial"/>
                <w:color w:val="auto"/>
                <w:sz w:val="20"/>
                <w:szCs w:val="20"/>
                <w:lang w:val="en-US"/>
              </w:rPr>
            </w:pPr>
          </w:p>
        </w:tc>
      </w:tr>
    </w:tbl>
    <w:p w14:paraId="659CB6FE" w14:textId="399F8592" w:rsidR="00237DD9" w:rsidRDefault="00237DD9">
      <w:pPr>
        <w:suppressAutoHyphens w:val="0"/>
        <w:spacing w:before="0" w:after="120" w:line="440" w:lineRule="atLeast"/>
        <w:rPr>
          <w:rFonts w:eastAsiaTheme="majorEastAsia" w:cstheme="majorBidi"/>
          <w:color w:val="auto"/>
          <w:sz w:val="38"/>
          <w:szCs w:val="38"/>
          <w:lang w:val="en-AU"/>
        </w:rPr>
      </w:pPr>
    </w:p>
    <w:p w14:paraId="63280A9E" w14:textId="77777777" w:rsidR="00237DD9" w:rsidRDefault="00E75234" w:rsidP="00237DD9">
      <w:pPr>
        <w:pBdr>
          <w:bottom w:val="single" w:sz="4" w:space="1" w:color="auto"/>
        </w:pBdr>
        <w:suppressAutoHyphens w:val="0"/>
        <w:spacing w:before="0" w:after="120" w:line="360" w:lineRule="auto"/>
        <w:rPr>
          <w:rFonts w:eastAsiaTheme="majorEastAsia" w:cstheme="majorBidi"/>
          <w:color w:val="auto"/>
          <w:sz w:val="38"/>
          <w:szCs w:val="38"/>
          <w:lang w:val="en-AU"/>
        </w:rPr>
      </w:pPr>
      <w:r w:rsidRPr="00433F80">
        <w:rPr>
          <w:rFonts w:eastAsiaTheme="majorEastAsia" w:cstheme="majorBidi"/>
          <w:color w:val="auto"/>
          <w:sz w:val="38"/>
          <w:szCs w:val="38"/>
          <w:lang w:val="en-AU"/>
        </w:rPr>
        <w:lastRenderedPageBreak/>
        <w:t>Annex 6: Theory of Change for the ISAF II project</w:t>
      </w:r>
    </w:p>
    <w:p w14:paraId="1C3A15A2" w14:textId="3F31B092" w:rsidR="00E4402F" w:rsidRPr="00433F80" w:rsidRDefault="00237DD9" w:rsidP="00237DD9">
      <w:pPr>
        <w:suppressAutoHyphens w:val="0"/>
        <w:spacing w:before="0" w:after="120" w:line="360" w:lineRule="auto"/>
        <w:jc w:val="center"/>
        <w:rPr>
          <w:rFonts w:asciiTheme="majorHAnsi" w:hAnsiTheme="majorHAnsi" w:cs="Times New Roman"/>
          <w:b/>
          <w:color w:val="auto"/>
        </w:rPr>
      </w:pPr>
      <w:r w:rsidRPr="00433F80">
        <w:rPr>
          <w:rFonts w:asciiTheme="majorHAnsi" w:hAnsiTheme="majorHAnsi" w:cs="Times New Roman"/>
          <w:b/>
          <w:noProof/>
          <w:color w:val="auto"/>
          <w:lang w:val="en-AU" w:eastAsia="en-AU"/>
        </w:rPr>
        <w:drawing>
          <wp:inline distT="0" distB="0" distL="0" distR="0" wp14:anchorId="075C257A" wp14:editId="65C2B91F">
            <wp:extent cx="7106870" cy="4603805"/>
            <wp:effectExtent l="0" t="0" r="0" b="6350"/>
            <wp:docPr id="2" name="Picture 2" descr="Divided into inputs, activities, outputs, short-intermediate term and long term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vided into inputs, activities, outputs, short-intermediate term and long term outcom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19524" cy="4612002"/>
                    </a:xfrm>
                    <a:prstGeom prst="rect">
                      <a:avLst/>
                    </a:prstGeom>
                    <a:noFill/>
                    <a:ln>
                      <a:noFill/>
                    </a:ln>
                  </pic:spPr>
                </pic:pic>
              </a:graphicData>
            </a:graphic>
          </wp:inline>
        </w:drawing>
      </w:r>
      <w:r w:rsidR="00E4402F" w:rsidRPr="00433F80">
        <w:rPr>
          <w:rFonts w:asciiTheme="majorHAnsi" w:hAnsiTheme="majorHAnsi" w:cs="Times New Roman"/>
          <w:b/>
          <w:color w:val="auto"/>
        </w:rPr>
        <w:br w:type="page"/>
      </w:r>
    </w:p>
    <w:p w14:paraId="7B5C9BC7" w14:textId="77777777" w:rsidR="00E4402F" w:rsidRPr="00433F80" w:rsidRDefault="00E4402F" w:rsidP="005E6171">
      <w:pPr>
        <w:pStyle w:val="NoSpacing"/>
        <w:spacing w:line="360" w:lineRule="auto"/>
        <w:outlineLvl w:val="0"/>
        <w:rPr>
          <w:rFonts w:asciiTheme="majorHAnsi" w:hAnsiTheme="majorHAnsi" w:cs="Times New Roman"/>
          <w:b/>
          <w:sz w:val="22"/>
          <w:szCs w:val="22"/>
          <w:lang w:val="en-US"/>
        </w:rPr>
        <w:sectPr w:rsidR="00E4402F" w:rsidRPr="00433F80" w:rsidSect="00D82DEF">
          <w:headerReference w:type="default" r:id="rId20"/>
          <w:pgSz w:w="16838" w:h="11906" w:orient="landscape" w:code="9"/>
          <w:pgMar w:top="1800" w:right="1387" w:bottom="1800" w:left="1440" w:header="708" w:footer="708" w:gutter="0"/>
          <w:cols w:space="708"/>
          <w:docGrid w:linePitch="360"/>
        </w:sectPr>
      </w:pPr>
    </w:p>
    <w:p w14:paraId="46F47A11" w14:textId="13682BB4" w:rsidR="00115884" w:rsidRPr="00433F80" w:rsidRDefault="005E73AD" w:rsidP="005E6171">
      <w:pPr>
        <w:pBdr>
          <w:bottom w:val="single" w:sz="4" w:space="1" w:color="auto"/>
        </w:pBdr>
        <w:suppressAutoHyphens w:val="0"/>
        <w:spacing w:before="0" w:after="120" w:line="360" w:lineRule="auto"/>
        <w:rPr>
          <w:rFonts w:cstheme="minorHAnsi"/>
          <w:color w:val="auto"/>
          <w:szCs w:val="38"/>
          <w:lang w:val="en-AU"/>
        </w:rPr>
      </w:pPr>
      <w:r w:rsidRPr="00433F80">
        <w:rPr>
          <w:rFonts w:eastAsiaTheme="majorEastAsia" w:cstheme="majorBidi"/>
          <w:color w:val="auto"/>
          <w:sz w:val="38"/>
          <w:szCs w:val="38"/>
          <w:lang w:val="en-AU"/>
        </w:rPr>
        <w:lastRenderedPageBreak/>
        <w:t xml:space="preserve">Annex </w:t>
      </w:r>
      <w:r w:rsidR="00C955A6" w:rsidRPr="00433F80">
        <w:rPr>
          <w:rFonts w:eastAsiaTheme="majorEastAsia" w:cstheme="majorBidi"/>
          <w:color w:val="auto"/>
          <w:sz w:val="38"/>
          <w:szCs w:val="38"/>
          <w:lang w:val="en-AU"/>
        </w:rPr>
        <w:t>7</w:t>
      </w:r>
      <w:r w:rsidRPr="00433F80">
        <w:rPr>
          <w:rFonts w:eastAsiaTheme="majorEastAsia" w:cstheme="majorBidi"/>
          <w:color w:val="auto"/>
          <w:sz w:val="38"/>
          <w:szCs w:val="38"/>
          <w:lang w:val="en-AU"/>
        </w:rPr>
        <w:t xml:space="preserve">: </w:t>
      </w:r>
      <w:r w:rsidR="00115884" w:rsidRPr="00433F80">
        <w:rPr>
          <w:rFonts w:eastAsiaTheme="majorEastAsia" w:cstheme="majorBidi"/>
          <w:color w:val="auto"/>
          <w:sz w:val="38"/>
          <w:szCs w:val="38"/>
          <w:lang w:val="en-AU"/>
        </w:rPr>
        <w:t>Budget</w:t>
      </w:r>
    </w:p>
    <w:p w14:paraId="2BFBADAD" w14:textId="7A9E988F" w:rsidR="00115884" w:rsidRPr="00433F80" w:rsidRDefault="003932FC" w:rsidP="005E6171">
      <w:pPr>
        <w:spacing w:line="360" w:lineRule="auto"/>
        <w:rPr>
          <w:color w:val="auto"/>
          <w:lang w:val="en-AU"/>
        </w:rPr>
      </w:pPr>
      <w:r w:rsidRPr="00433F80">
        <w:rPr>
          <w:color w:val="auto"/>
          <w:lang w:val="en-AU"/>
        </w:rPr>
        <w:t xml:space="preserve">Below is </w:t>
      </w:r>
      <w:r w:rsidR="00B64260" w:rsidRPr="00433F80">
        <w:rPr>
          <w:color w:val="auto"/>
          <w:lang w:val="en-AU"/>
        </w:rPr>
        <w:t>the initial PROMISE</w:t>
      </w:r>
      <w:r w:rsidR="006B21B6" w:rsidRPr="00433F80">
        <w:rPr>
          <w:color w:val="auto"/>
          <w:lang w:val="en-AU"/>
        </w:rPr>
        <w:t xml:space="preserve"> Partnership Trust Fund </w:t>
      </w:r>
      <w:r w:rsidR="00E4402F" w:rsidRPr="00433F80">
        <w:rPr>
          <w:color w:val="auto"/>
          <w:lang w:val="en-AU"/>
        </w:rPr>
        <w:t>budget allocation</w:t>
      </w:r>
      <w:r w:rsidR="00115884" w:rsidRPr="00433F80">
        <w:rPr>
          <w:color w:val="auto"/>
          <w:lang w:val="en-AU"/>
        </w:rPr>
        <w:t>.</w:t>
      </w:r>
      <w:r w:rsidRPr="00433F80">
        <w:rPr>
          <w:color w:val="auto"/>
          <w:lang w:val="en-AU"/>
        </w:rPr>
        <w:t xml:space="preserve"> Each component will have a detailed sub-budget developed to World Bank standards</w:t>
      </w:r>
      <w:r w:rsidR="00B64260" w:rsidRPr="00433F80">
        <w:rPr>
          <w:color w:val="auto"/>
          <w:lang w:val="en-AU"/>
        </w:rPr>
        <w:t>. The S</w:t>
      </w:r>
      <w:r w:rsidR="00046B80" w:rsidRPr="00433F80">
        <w:rPr>
          <w:color w:val="auto"/>
          <w:lang w:val="en-AU"/>
        </w:rPr>
        <w:t xml:space="preserve">teering </w:t>
      </w:r>
      <w:r w:rsidR="00B64260" w:rsidRPr="00433F80">
        <w:rPr>
          <w:color w:val="auto"/>
          <w:lang w:val="en-AU"/>
        </w:rPr>
        <w:t>C</w:t>
      </w:r>
      <w:r w:rsidR="00046B80" w:rsidRPr="00433F80">
        <w:rPr>
          <w:color w:val="auto"/>
          <w:lang w:val="en-AU"/>
        </w:rPr>
        <w:t>ommittee</w:t>
      </w:r>
      <w:r w:rsidR="00B64260" w:rsidRPr="00433F80">
        <w:rPr>
          <w:color w:val="auto"/>
          <w:lang w:val="en-AU"/>
        </w:rPr>
        <w:t xml:space="preserve"> will have the power to transfer funds between budget lines without requiring an amendment to the Administrative Agreement.</w:t>
      </w:r>
    </w:p>
    <w:p w14:paraId="430C718E" w14:textId="77777777" w:rsidR="00046B80" w:rsidRPr="00433F80" w:rsidRDefault="00046B80" w:rsidP="005E6171">
      <w:pPr>
        <w:spacing w:line="360" w:lineRule="auto"/>
        <w:rPr>
          <w:color w:val="auto"/>
          <w:lang w:val="en-AU"/>
        </w:rPr>
      </w:pPr>
    </w:p>
    <w:tbl>
      <w:tblPr>
        <w:tblStyle w:val="TableGrid"/>
        <w:tblW w:w="0" w:type="auto"/>
        <w:tblLook w:val="04A0" w:firstRow="1" w:lastRow="0" w:firstColumn="1" w:lastColumn="0" w:noHBand="0" w:noVBand="1"/>
      </w:tblPr>
      <w:tblGrid>
        <w:gridCol w:w="6446"/>
        <w:gridCol w:w="3182"/>
      </w:tblGrid>
      <w:tr w:rsidR="00433F80" w:rsidRPr="00433F80" w14:paraId="3727C96E" w14:textId="77777777" w:rsidTr="001A2CDA">
        <w:trPr>
          <w:trHeight w:val="329"/>
        </w:trPr>
        <w:tc>
          <w:tcPr>
            <w:tcW w:w="6446" w:type="dxa"/>
            <w:shd w:val="clear" w:color="auto" w:fill="F2F2F2" w:themeFill="background1" w:themeFillShade="F2"/>
          </w:tcPr>
          <w:p w14:paraId="3D3374D5" w14:textId="60953EC4" w:rsidR="00046B80" w:rsidRPr="00433F80" w:rsidRDefault="00046B80" w:rsidP="005E6171">
            <w:pPr>
              <w:pStyle w:val="TableParagraph"/>
              <w:spacing w:line="360" w:lineRule="auto"/>
              <w:ind w:left="140"/>
              <w:rPr>
                <w:sz w:val="18"/>
              </w:rPr>
            </w:pPr>
            <w:r w:rsidRPr="00433F80">
              <w:rPr>
                <w:sz w:val="18"/>
              </w:rPr>
              <w:t>BANK EXECUTED COMPONENTS (BE)*</w:t>
            </w:r>
          </w:p>
        </w:tc>
        <w:tc>
          <w:tcPr>
            <w:tcW w:w="3182" w:type="dxa"/>
            <w:shd w:val="clear" w:color="auto" w:fill="F2F2F2" w:themeFill="background1" w:themeFillShade="F2"/>
          </w:tcPr>
          <w:p w14:paraId="7A15F368" w14:textId="1E0A271A" w:rsidR="00046B80" w:rsidRPr="001A2CDA" w:rsidRDefault="001A2CDA" w:rsidP="005E6171">
            <w:pPr>
              <w:pStyle w:val="TableParagraph"/>
              <w:spacing w:line="360" w:lineRule="auto"/>
              <w:rPr>
                <w:sz w:val="18"/>
                <w:szCs w:val="18"/>
              </w:rPr>
            </w:pPr>
            <w:r w:rsidRPr="001A2CDA">
              <w:rPr>
                <w:sz w:val="18"/>
                <w:szCs w:val="18"/>
              </w:rPr>
              <w:t>FUNDS</w:t>
            </w:r>
          </w:p>
        </w:tc>
      </w:tr>
      <w:tr w:rsidR="00433F80" w:rsidRPr="00433F80" w14:paraId="3F88F785" w14:textId="77777777" w:rsidTr="005B1170">
        <w:trPr>
          <w:trHeight w:val="417"/>
        </w:trPr>
        <w:tc>
          <w:tcPr>
            <w:tcW w:w="6446" w:type="dxa"/>
            <w:vAlign w:val="center"/>
          </w:tcPr>
          <w:p w14:paraId="239F8A62" w14:textId="5416C0FC" w:rsidR="00940929" w:rsidRPr="00433F80" w:rsidRDefault="00940929" w:rsidP="005E6171">
            <w:pPr>
              <w:pStyle w:val="TableParagraph"/>
              <w:spacing w:before="60" w:after="60" w:line="360" w:lineRule="auto"/>
              <w:ind w:left="112"/>
              <w:rPr>
                <w:sz w:val="18"/>
              </w:rPr>
            </w:pPr>
            <w:r w:rsidRPr="00433F80">
              <w:rPr>
                <w:sz w:val="18"/>
              </w:rPr>
              <w:t>1. H-EQIP 2 Implementation Support</w:t>
            </w:r>
          </w:p>
        </w:tc>
        <w:tc>
          <w:tcPr>
            <w:tcW w:w="3182" w:type="dxa"/>
            <w:vAlign w:val="center"/>
          </w:tcPr>
          <w:p w14:paraId="3A8C9DA8" w14:textId="07F66CE6" w:rsidR="00940929" w:rsidRPr="00433F80" w:rsidRDefault="00940929" w:rsidP="005E6171">
            <w:pPr>
              <w:pStyle w:val="TableParagraph"/>
              <w:spacing w:before="60" w:after="60" w:line="360" w:lineRule="auto"/>
              <w:ind w:right="63"/>
              <w:jc w:val="right"/>
              <w:rPr>
                <w:sz w:val="18"/>
              </w:rPr>
            </w:pPr>
            <w:r w:rsidRPr="00433F80">
              <w:rPr>
                <w:sz w:val="18"/>
              </w:rPr>
              <w:t>1,800,000.00</w:t>
            </w:r>
          </w:p>
        </w:tc>
      </w:tr>
      <w:tr w:rsidR="00433F80" w:rsidRPr="00433F80" w14:paraId="020C7B63" w14:textId="77777777" w:rsidTr="005B1170">
        <w:trPr>
          <w:trHeight w:val="417"/>
        </w:trPr>
        <w:tc>
          <w:tcPr>
            <w:tcW w:w="6446" w:type="dxa"/>
            <w:vAlign w:val="center"/>
          </w:tcPr>
          <w:p w14:paraId="0C674320" w14:textId="13BC75DF" w:rsidR="00940929" w:rsidRPr="00433F80" w:rsidRDefault="00940929" w:rsidP="005E6171">
            <w:pPr>
              <w:pStyle w:val="TableParagraph"/>
              <w:spacing w:before="60" w:after="60" w:line="360" w:lineRule="auto"/>
              <w:ind w:left="112"/>
              <w:rPr>
                <w:sz w:val="18"/>
              </w:rPr>
            </w:pPr>
            <w:r w:rsidRPr="00433F80">
              <w:rPr>
                <w:sz w:val="18"/>
              </w:rPr>
              <w:t>2. ISAF II Implementation Support</w:t>
            </w:r>
          </w:p>
        </w:tc>
        <w:tc>
          <w:tcPr>
            <w:tcW w:w="3182" w:type="dxa"/>
            <w:vAlign w:val="center"/>
          </w:tcPr>
          <w:p w14:paraId="7086E502" w14:textId="400295F9" w:rsidR="00940929" w:rsidRPr="00433F80" w:rsidRDefault="00940929" w:rsidP="005E6171">
            <w:pPr>
              <w:pStyle w:val="TableParagraph"/>
              <w:spacing w:before="60" w:after="60" w:line="360" w:lineRule="auto"/>
              <w:ind w:right="63"/>
              <w:jc w:val="right"/>
              <w:rPr>
                <w:sz w:val="18"/>
              </w:rPr>
            </w:pPr>
            <w:r w:rsidRPr="00433F80">
              <w:rPr>
                <w:sz w:val="18"/>
              </w:rPr>
              <w:t>900,000.00</w:t>
            </w:r>
          </w:p>
        </w:tc>
      </w:tr>
      <w:tr w:rsidR="00433F80" w:rsidRPr="00433F80" w14:paraId="141B7B40" w14:textId="77777777" w:rsidTr="005B1170">
        <w:trPr>
          <w:trHeight w:val="399"/>
        </w:trPr>
        <w:tc>
          <w:tcPr>
            <w:tcW w:w="6446" w:type="dxa"/>
            <w:vAlign w:val="center"/>
          </w:tcPr>
          <w:p w14:paraId="33E6299B" w14:textId="41F786E8" w:rsidR="00940929" w:rsidRPr="00433F80" w:rsidRDefault="00940929" w:rsidP="005E6171">
            <w:pPr>
              <w:pStyle w:val="TableParagraph"/>
              <w:spacing w:before="60" w:after="60" w:line="360" w:lineRule="auto"/>
              <w:ind w:left="112"/>
              <w:rPr>
                <w:sz w:val="18"/>
              </w:rPr>
            </w:pPr>
            <w:r w:rsidRPr="00433F80">
              <w:rPr>
                <w:sz w:val="18"/>
              </w:rPr>
              <w:t>3A. Equitable and Inclusive Development Programmatic Analysis, Support and Advice</w:t>
            </w:r>
          </w:p>
        </w:tc>
        <w:tc>
          <w:tcPr>
            <w:tcW w:w="3182" w:type="dxa"/>
            <w:vAlign w:val="center"/>
          </w:tcPr>
          <w:p w14:paraId="1FD6F255" w14:textId="4FFF374A" w:rsidR="00940929" w:rsidRPr="00433F80" w:rsidRDefault="00940929" w:rsidP="005E6171">
            <w:pPr>
              <w:pStyle w:val="TableParagraph"/>
              <w:spacing w:before="60" w:after="60" w:line="360" w:lineRule="auto"/>
              <w:ind w:right="63"/>
              <w:jc w:val="right"/>
              <w:rPr>
                <w:sz w:val="18"/>
              </w:rPr>
            </w:pPr>
            <w:r w:rsidRPr="00433F80">
              <w:rPr>
                <w:sz w:val="18"/>
              </w:rPr>
              <w:t>4,500,000.00</w:t>
            </w:r>
          </w:p>
        </w:tc>
      </w:tr>
      <w:tr w:rsidR="00433F80" w:rsidRPr="00433F80" w14:paraId="7E2BA063" w14:textId="77777777" w:rsidTr="005B1170">
        <w:trPr>
          <w:trHeight w:val="399"/>
        </w:trPr>
        <w:tc>
          <w:tcPr>
            <w:tcW w:w="6446" w:type="dxa"/>
            <w:vAlign w:val="center"/>
          </w:tcPr>
          <w:p w14:paraId="7D540DF4" w14:textId="0CF8F6E4" w:rsidR="00940929" w:rsidRPr="00433F80" w:rsidRDefault="00940929" w:rsidP="005E6171">
            <w:pPr>
              <w:pStyle w:val="TableParagraph"/>
              <w:spacing w:before="60" w:after="60" w:line="360" w:lineRule="auto"/>
              <w:ind w:left="112"/>
              <w:rPr>
                <w:sz w:val="18"/>
              </w:rPr>
            </w:pPr>
            <w:r w:rsidRPr="00433F80">
              <w:rPr>
                <w:sz w:val="18"/>
              </w:rPr>
              <w:t>3B. Program Management and Administration</w:t>
            </w:r>
            <w:r w:rsidRPr="00433F80">
              <w:rPr>
                <w:sz w:val="18"/>
                <w:vertAlign w:val="superscript"/>
              </w:rPr>
              <w:t>#</w:t>
            </w:r>
            <w:r w:rsidRPr="00433F80" w:rsidDel="00940929">
              <w:rPr>
                <w:sz w:val="18"/>
              </w:rPr>
              <w:t xml:space="preserve"> </w:t>
            </w:r>
          </w:p>
        </w:tc>
        <w:tc>
          <w:tcPr>
            <w:tcW w:w="3182" w:type="dxa"/>
            <w:vAlign w:val="center"/>
          </w:tcPr>
          <w:p w14:paraId="1CA84354" w14:textId="4624369C" w:rsidR="00940929" w:rsidRPr="00433F80" w:rsidRDefault="00940929" w:rsidP="005E6171">
            <w:pPr>
              <w:pStyle w:val="TableParagraph"/>
              <w:spacing w:before="60" w:after="60" w:line="360" w:lineRule="auto"/>
              <w:ind w:right="63"/>
              <w:jc w:val="right"/>
              <w:rPr>
                <w:sz w:val="18"/>
              </w:rPr>
            </w:pPr>
            <w:r w:rsidRPr="00433F80">
              <w:rPr>
                <w:sz w:val="18"/>
              </w:rPr>
              <w:t>500,000.00</w:t>
            </w:r>
          </w:p>
        </w:tc>
      </w:tr>
      <w:tr w:rsidR="00433F80" w:rsidRPr="00433F80" w14:paraId="3175CE8E" w14:textId="77777777" w:rsidTr="005B1170">
        <w:trPr>
          <w:trHeight w:val="379"/>
        </w:trPr>
        <w:tc>
          <w:tcPr>
            <w:tcW w:w="6446" w:type="dxa"/>
            <w:shd w:val="clear" w:color="auto" w:fill="F2F2F2" w:themeFill="background1" w:themeFillShade="F2"/>
            <w:vAlign w:val="center"/>
          </w:tcPr>
          <w:p w14:paraId="45FF08E5" w14:textId="77777777" w:rsidR="00940929" w:rsidRPr="00433F80" w:rsidRDefault="00940929" w:rsidP="005E6171">
            <w:pPr>
              <w:pStyle w:val="TableParagraph"/>
              <w:spacing w:before="60" w:after="60" w:line="360" w:lineRule="auto"/>
              <w:ind w:right="71"/>
              <w:jc w:val="right"/>
              <w:rPr>
                <w:b/>
                <w:sz w:val="16"/>
              </w:rPr>
            </w:pPr>
            <w:r w:rsidRPr="00433F80">
              <w:rPr>
                <w:b/>
                <w:sz w:val="16"/>
              </w:rPr>
              <w:t>Subtotal (BE)</w:t>
            </w:r>
          </w:p>
        </w:tc>
        <w:tc>
          <w:tcPr>
            <w:tcW w:w="3182" w:type="dxa"/>
            <w:shd w:val="clear" w:color="auto" w:fill="F2F2F2" w:themeFill="background1" w:themeFillShade="F2"/>
            <w:vAlign w:val="center"/>
          </w:tcPr>
          <w:p w14:paraId="6405114E" w14:textId="70180C6C" w:rsidR="00940929" w:rsidRPr="00433F80" w:rsidRDefault="00940929" w:rsidP="005E6171">
            <w:pPr>
              <w:pStyle w:val="TableParagraph"/>
              <w:spacing w:before="60" w:after="60" w:line="360" w:lineRule="auto"/>
              <w:ind w:right="63"/>
              <w:jc w:val="right"/>
              <w:rPr>
                <w:b/>
                <w:bCs/>
                <w:sz w:val="18"/>
              </w:rPr>
            </w:pPr>
            <w:r w:rsidRPr="00433F80">
              <w:rPr>
                <w:b/>
                <w:bCs/>
                <w:sz w:val="18"/>
              </w:rPr>
              <w:t>7,700,000.00</w:t>
            </w:r>
          </w:p>
        </w:tc>
      </w:tr>
    </w:tbl>
    <w:p w14:paraId="0390E5B1" w14:textId="77777777" w:rsidR="001A2CDA" w:rsidRDefault="001A2CDA"/>
    <w:tbl>
      <w:tblPr>
        <w:tblStyle w:val="TableGrid"/>
        <w:tblW w:w="0" w:type="auto"/>
        <w:tblLook w:val="04A0" w:firstRow="1" w:lastRow="0" w:firstColumn="1" w:lastColumn="0" w:noHBand="0" w:noVBand="1"/>
      </w:tblPr>
      <w:tblGrid>
        <w:gridCol w:w="6446"/>
        <w:gridCol w:w="3182"/>
      </w:tblGrid>
      <w:tr w:rsidR="00433F80" w:rsidRPr="00433F80" w14:paraId="26487091" w14:textId="77777777" w:rsidTr="001A2CDA">
        <w:trPr>
          <w:trHeight w:val="278"/>
        </w:trPr>
        <w:tc>
          <w:tcPr>
            <w:tcW w:w="6446" w:type="dxa"/>
            <w:shd w:val="clear" w:color="auto" w:fill="F2F2F2" w:themeFill="background1" w:themeFillShade="F2"/>
          </w:tcPr>
          <w:p w14:paraId="04E1A619" w14:textId="77777777" w:rsidR="00940929" w:rsidRPr="00433F80" w:rsidRDefault="00940929" w:rsidP="005E6171">
            <w:pPr>
              <w:pStyle w:val="TableParagraph"/>
              <w:spacing w:line="360" w:lineRule="auto"/>
              <w:ind w:left="140"/>
              <w:rPr>
                <w:sz w:val="18"/>
              </w:rPr>
            </w:pPr>
            <w:r w:rsidRPr="00433F80">
              <w:rPr>
                <w:sz w:val="18"/>
              </w:rPr>
              <w:t>RECIPIENT EXECUTED COMPONENTS (RE)</w:t>
            </w:r>
          </w:p>
        </w:tc>
        <w:tc>
          <w:tcPr>
            <w:tcW w:w="3182" w:type="dxa"/>
            <w:shd w:val="clear" w:color="auto" w:fill="F2F2F2" w:themeFill="background1" w:themeFillShade="F2"/>
          </w:tcPr>
          <w:p w14:paraId="5FADB6BE" w14:textId="5EB5E30E" w:rsidR="00940929" w:rsidRPr="00433F80" w:rsidRDefault="001A2CDA" w:rsidP="005E6171">
            <w:pPr>
              <w:pStyle w:val="TableParagraph"/>
              <w:spacing w:line="360" w:lineRule="auto"/>
              <w:rPr>
                <w:rFonts w:ascii="Times New Roman"/>
                <w:sz w:val="16"/>
              </w:rPr>
            </w:pPr>
            <w:r w:rsidRPr="001A2CDA">
              <w:rPr>
                <w:sz w:val="18"/>
                <w:szCs w:val="18"/>
              </w:rPr>
              <w:t>FUNDS</w:t>
            </w:r>
          </w:p>
        </w:tc>
      </w:tr>
      <w:tr w:rsidR="00433F80" w:rsidRPr="00433F80" w14:paraId="02B9D71C" w14:textId="77777777" w:rsidTr="005B1170">
        <w:trPr>
          <w:trHeight w:val="417"/>
        </w:trPr>
        <w:tc>
          <w:tcPr>
            <w:tcW w:w="6446" w:type="dxa"/>
            <w:vAlign w:val="center"/>
          </w:tcPr>
          <w:p w14:paraId="44132079" w14:textId="51F9B85E" w:rsidR="00940929" w:rsidRPr="00433F80" w:rsidRDefault="00940929" w:rsidP="005E6171">
            <w:pPr>
              <w:pStyle w:val="TableParagraph"/>
              <w:spacing w:before="60" w:after="60" w:line="360" w:lineRule="auto"/>
              <w:ind w:left="112"/>
              <w:rPr>
                <w:sz w:val="18"/>
              </w:rPr>
            </w:pPr>
            <w:r w:rsidRPr="00433F80">
              <w:rPr>
                <w:sz w:val="18"/>
              </w:rPr>
              <w:t>1. H-EQIP 2 Project</w:t>
            </w:r>
          </w:p>
        </w:tc>
        <w:tc>
          <w:tcPr>
            <w:tcW w:w="3182" w:type="dxa"/>
            <w:vAlign w:val="center"/>
          </w:tcPr>
          <w:p w14:paraId="2CD1ABD5" w14:textId="65A189C9" w:rsidR="00940929" w:rsidRPr="00433F80" w:rsidRDefault="00940929" w:rsidP="005E6171">
            <w:pPr>
              <w:pStyle w:val="TableParagraph"/>
              <w:spacing w:before="60" w:after="60" w:line="360" w:lineRule="auto"/>
              <w:ind w:right="63"/>
              <w:jc w:val="right"/>
              <w:rPr>
                <w:sz w:val="18"/>
              </w:rPr>
            </w:pPr>
            <w:r w:rsidRPr="00433F80">
              <w:rPr>
                <w:sz w:val="18"/>
              </w:rPr>
              <w:t>26,857,143.00</w:t>
            </w:r>
          </w:p>
        </w:tc>
      </w:tr>
      <w:tr w:rsidR="00433F80" w:rsidRPr="00433F80" w14:paraId="1717B437" w14:textId="77777777" w:rsidTr="005B1170">
        <w:trPr>
          <w:trHeight w:val="365"/>
        </w:trPr>
        <w:tc>
          <w:tcPr>
            <w:tcW w:w="6446" w:type="dxa"/>
            <w:vAlign w:val="center"/>
          </w:tcPr>
          <w:p w14:paraId="2E7E00A6" w14:textId="4F8D72EC" w:rsidR="00940929" w:rsidRPr="00433F80" w:rsidRDefault="00940929" w:rsidP="005E6171">
            <w:pPr>
              <w:pStyle w:val="TableParagraph"/>
              <w:spacing w:before="60" w:after="60" w:line="360" w:lineRule="auto"/>
              <w:ind w:left="112"/>
              <w:rPr>
                <w:sz w:val="18"/>
              </w:rPr>
            </w:pPr>
            <w:r w:rsidRPr="00433F80">
              <w:rPr>
                <w:sz w:val="18"/>
              </w:rPr>
              <w:t>2. ISAF II Project and follow-on activities</w:t>
            </w:r>
          </w:p>
        </w:tc>
        <w:tc>
          <w:tcPr>
            <w:tcW w:w="3182" w:type="dxa"/>
            <w:vAlign w:val="center"/>
          </w:tcPr>
          <w:p w14:paraId="32EBB1FB" w14:textId="012FDC49" w:rsidR="00940929" w:rsidRPr="00433F80" w:rsidRDefault="00940929" w:rsidP="005E6171">
            <w:pPr>
              <w:pStyle w:val="TableParagraph"/>
              <w:spacing w:before="60" w:after="60" w:line="360" w:lineRule="auto"/>
              <w:ind w:right="63"/>
              <w:jc w:val="right"/>
              <w:rPr>
                <w:sz w:val="18"/>
              </w:rPr>
            </w:pPr>
            <w:r w:rsidRPr="00433F80">
              <w:rPr>
                <w:sz w:val="18"/>
              </w:rPr>
              <w:t>13,428,571.00</w:t>
            </w:r>
          </w:p>
        </w:tc>
      </w:tr>
      <w:tr w:rsidR="00433F80" w:rsidRPr="00433F80" w14:paraId="7BD4A4EE" w14:textId="77777777" w:rsidTr="005B1170">
        <w:trPr>
          <w:trHeight w:val="378"/>
        </w:trPr>
        <w:tc>
          <w:tcPr>
            <w:tcW w:w="6446" w:type="dxa"/>
            <w:shd w:val="clear" w:color="auto" w:fill="F2F2F2" w:themeFill="background1" w:themeFillShade="F2"/>
            <w:vAlign w:val="center"/>
          </w:tcPr>
          <w:p w14:paraId="03696725" w14:textId="77777777" w:rsidR="00940929" w:rsidRPr="00433F80" w:rsidRDefault="00940929" w:rsidP="005E6171">
            <w:pPr>
              <w:pStyle w:val="TableParagraph"/>
              <w:spacing w:before="60" w:after="60" w:line="360" w:lineRule="auto"/>
              <w:ind w:right="71"/>
              <w:jc w:val="right"/>
              <w:rPr>
                <w:b/>
                <w:sz w:val="16"/>
              </w:rPr>
            </w:pPr>
            <w:r w:rsidRPr="00433F80">
              <w:rPr>
                <w:b/>
                <w:sz w:val="16"/>
              </w:rPr>
              <w:t>Subtotal (RE)</w:t>
            </w:r>
          </w:p>
        </w:tc>
        <w:tc>
          <w:tcPr>
            <w:tcW w:w="3182" w:type="dxa"/>
            <w:shd w:val="clear" w:color="auto" w:fill="F2F2F2" w:themeFill="background1" w:themeFillShade="F2"/>
            <w:vAlign w:val="center"/>
          </w:tcPr>
          <w:p w14:paraId="7DA69CA7" w14:textId="24227E17" w:rsidR="00940929" w:rsidRPr="00433F80" w:rsidRDefault="00940929" w:rsidP="005E6171">
            <w:pPr>
              <w:pStyle w:val="TableParagraph"/>
              <w:spacing w:before="60" w:after="60" w:line="360" w:lineRule="auto"/>
              <w:ind w:right="63"/>
              <w:jc w:val="right"/>
              <w:rPr>
                <w:b/>
                <w:bCs/>
                <w:sz w:val="18"/>
              </w:rPr>
            </w:pPr>
            <w:r w:rsidRPr="00433F80">
              <w:rPr>
                <w:b/>
                <w:bCs/>
                <w:sz w:val="18"/>
              </w:rPr>
              <w:t>40,285,714.00</w:t>
            </w:r>
          </w:p>
        </w:tc>
      </w:tr>
      <w:tr w:rsidR="00433F80" w:rsidRPr="00433F80" w14:paraId="57B6F600" w14:textId="77777777" w:rsidTr="005B1170">
        <w:trPr>
          <w:trHeight w:val="378"/>
        </w:trPr>
        <w:tc>
          <w:tcPr>
            <w:tcW w:w="6446" w:type="dxa"/>
            <w:vAlign w:val="center"/>
          </w:tcPr>
          <w:p w14:paraId="27C83ED1" w14:textId="5A4BFA38" w:rsidR="00940929" w:rsidRPr="00433F80" w:rsidRDefault="00940929" w:rsidP="005E6171">
            <w:pPr>
              <w:pStyle w:val="TableParagraph"/>
              <w:spacing w:before="60" w:after="60" w:line="360" w:lineRule="auto"/>
              <w:ind w:right="71"/>
              <w:rPr>
                <w:b/>
                <w:sz w:val="16"/>
              </w:rPr>
            </w:pPr>
            <w:r w:rsidRPr="00433F80">
              <w:rPr>
                <w:b/>
                <w:sz w:val="16"/>
              </w:rPr>
              <w:t>Trust Fund Fee (5-2% graduated fee assessed on RE)</w:t>
            </w:r>
          </w:p>
        </w:tc>
        <w:tc>
          <w:tcPr>
            <w:tcW w:w="3182" w:type="dxa"/>
            <w:vAlign w:val="center"/>
          </w:tcPr>
          <w:p w14:paraId="481E913F" w14:textId="2FCB0EB9" w:rsidR="00940929" w:rsidRPr="00433F80" w:rsidRDefault="00940929" w:rsidP="005E6171">
            <w:pPr>
              <w:pStyle w:val="TableParagraph"/>
              <w:spacing w:before="60" w:after="60" w:line="360" w:lineRule="auto"/>
              <w:ind w:right="63"/>
              <w:jc w:val="right"/>
              <w:rPr>
                <w:sz w:val="18"/>
              </w:rPr>
            </w:pPr>
            <w:r w:rsidRPr="00433F80">
              <w:rPr>
                <w:sz w:val="18"/>
              </w:rPr>
              <w:t>2,014,286.00</w:t>
            </w:r>
          </w:p>
        </w:tc>
      </w:tr>
      <w:tr w:rsidR="00433F80" w:rsidRPr="00433F80" w14:paraId="18BC2D92" w14:textId="77777777" w:rsidTr="005B1170">
        <w:trPr>
          <w:trHeight w:val="383"/>
        </w:trPr>
        <w:tc>
          <w:tcPr>
            <w:tcW w:w="6446" w:type="dxa"/>
            <w:shd w:val="clear" w:color="auto" w:fill="F2F2F2" w:themeFill="background1" w:themeFillShade="F2"/>
            <w:vAlign w:val="center"/>
          </w:tcPr>
          <w:p w14:paraId="21084F38" w14:textId="2DE321B6" w:rsidR="00940929" w:rsidRPr="00433F80" w:rsidRDefault="00940929" w:rsidP="005E6171">
            <w:pPr>
              <w:pStyle w:val="TableParagraph"/>
              <w:spacing w:line="360" w:lineRule="auto"/>
              <w:ind w:right="74"/>
              <w:rPr>
                <w:b/>
                <w:sz w:val="18"/>
              </w:rPr>
            </w:pPr>
            <w:r w:rsidRPr="00433F80">
              <w:rPr>
                <w:b/>
                <w:sz w:val="18"/>
              </w:rPr>
              <w:t>Total Budget in holding currency (AUD)</w:t>
            </w:r>
          </w:p>
        </w:tc>
        <w:tc>
          <w:tcPr>
            <w:tcW w:w="3182" w:type="dxa"/>
            <w:shd w:val="clear" w:color="auto" w:fill="F2F2F2" w:themeFill="background1" w:themeFillShade="F2"/>
            <w:vAlign w:val="center"/>
          </w:tcPr>
          <w:p w14:paraId="56D3DC6D" w14:textId="77777777" w:rsidR="00940929" w:rsidRPr="00433F80" w:rsidRDefault="00940929" w:rsidP="005E6171">
            <w:pPr>
              <w:pStyle w:val="TableParagraph"/>
              <w:spacing w:line="360" w:lineRule="auto"/>
              <w:ind w:right="74"/>
              <w:jc w:val="right"/>
              <w:rPr>
                <w:b/>
                <w:sz w:val="18"/>
              </w:rPr>
            </w:pPr>
            <w:r w:rsidRPr="00433F80">
              <w:rPr>
                <w:b/>
                <w:sz w:val="18"/>
              </w:rPr>
              <w:t>50,000,000.00</w:t>
            </w:r>
          </w:p>
        </w:tc>
      </w:tr>
    </w:tbl>
    <w:p w14:paraId="0BDF706C" w14:textId="63234276" w:rsidR="00115884" w:rsidRPr="00433F80" w:rsidRDefault="00046B80" w:rsidP="005E6171">
      <w:pPr>
        <w:spacing w:line="360" w:lineRule="auto"/>
        <w:rPr>
          <w:rFonts w:asciiTheme="majorHAnsi" w:hAnsiTheme="majorHAnsi" w:cstheme="majorHAnsi"/>
          <w:color w:val="auto"/>
          <w:sz w:val="20"/>
          <w:szCs w:val="20"/>
          <w:lang w:val="en-AU"/>
        </w:rPr>
      </w:pPr>
      <w:r w:rsidRPr="00433F80">
        <w:rPr>
          <w:b/>
          <w:color w:val="auto"/>
          <w:vertAlign w:val="superscript"/>
          <w:lang w:val="en-AU"/>
        </w:rPr>
        <w:t>*</w:t>
      </w:r>
      <w:r w:rsidR="005C7007" w:rsidRPr="00433F80">
        <w:rPr>
          <w:rFonts w:asciiTheme="majorHAnsi" w:hAnsiTheme="majorHAnsi" w:cstheme="majorHAnsi"/>
          <w:color w:val="auto"/>
          <w:sz w:val="20"/>
          <w:szCs w:val="20"/>
          <w:lang w:val="en-AU"/>
        </w:rPr>
        <w:t>For every charge incurred for bank-executed activities, a 1</w:t>
      </w:r>
      <w:r w:rsidR="00B64260" w:rsidRPr="00433F80">
        <w:rPr>
          <w:rFonts w:asciiTheme="majorHAnsi" w:hAnsiTheme="majorHAnsi" w:cstheme="majorHAnsi"/>
          <w:color w:val="auto"/>
          <w:sz w:val="20"/>
          <w:szCs w:val="20"/>
          <w:lang w:val="en-AU"/>
        </w:rPr>
        <w:t>2</w:t>
      </w:r>
      <w:r w:rsidR="005C7007" w:rsidRPr="00433F80">
        <w:rPr>
          <w:rFonts w:asciiTheme="majorHAnsi" w:hAnsiTheme="majorHAnsi" w:cstheme="majorHAnsi"/>
          <w:color w:val="auto"/>
          <w:sz w:val="20"/>
          <w:szCs w:val="20"/>
          <w:lang w:val="en-AU"/>
        </w:rPr>
        <w:t xml:space="preserve">% fee is added by the World Bank. </w:t>
      </w:r>
      <w:r w:rsidR="003408C2" w:rsidRPr="00433F80">
        <w:rPr>
          <w:rFonts w:asciiTheme="majorHAnsi" w:hAnsiTheme="majorHAnsi" w:cstheme="majorHAnsi"/>
          <w:color w:val="auto"/>
          <w:sz w:val="20"/>
          <w:szCs w:val="20"/>
          <w:lang w:val="en-AU"/>
        </w:rPr>
        <w:t>If the full $7,700,000</w:t>
      </w:r>
      <w:r w:rsidR="00942354" w:rsidRPr="00433F80">
        <w:rPr>
          <w:rFonts w:asciiTheme="majorHAnsi" w:hAnsiTheme="majorHAnsi" w:cstheme="majorHAnsi"/>
          <w:color w:val="auto"/>
          <w:sz w:val="20"/>
          <w:szCs w:val="20"/>
          <w:lang w:val="en-AU"/>
        </w:rPr>
        <w:t xml:space="preserve"> in bank-executed budget</w:t>
      </w:r>
      <w:r w:rsidR="003408C2" w:rsidRPr="00433F80">
        <w:rPr>
          <w:rFonts w:asciiTheme="majorHAnsi" w:hAnsiTheme="majorHAnsi" w:cstheme="majorHAnsi"/>
          <w:color w:val="auto"/>
          <w:sz w:val="20"/>
          <w:szCs w:val="20"/>
          <w:lang w:val="en-AU"/>
        </w:rPr>
        <w:t xml:space="preserve"> is expended, fees of $924,000 will have been paid from the bank-executed budget </w:t>
      </w:r>
      <w:r w:rsidR="00942354" w:rsidRPr="00433F80">
        <w:rPr>
          <w:rFonts w:asciiTheme="majorHAnsi" w:hAnsiTheme="majorHAnsi" w:cstheme="majorHAnsi"/>
          <w:color w:val="auto"/>
          <w:sz w:val="20"/>
          <w:szCs w:val="20"/>
          <w:lang w:val="en-AU"/>
        </w:rPr>
        <w:t>c</w:t>
      </w:r>
      <w:r w:rsidR="003408C2" w:rsidRPr="00433F80">
        <w:rPr>
          <w:rFonts w:asciiTheme="majorHAnsi" w:hAnsiTheme="majorHAnsi" w:cstheme="majorHAnsi"/>
          <w:color w:val="auto"/>
          <w:sz w:val="20"/>
          <w:szCs w:val="20"/>
          <w:lang w:val="en-AU"/>
        </w:rPr>
        <w:t>omponents.</w:t>
      </w:r>
    </w:p>
    <w:p w14:paraId="2C36D90B" w14:textId="1FAA7A34" w:rsidR="00940929" w:rsidRPr="00433F80" w:rsidRDefault="00940929" w:rsidP="005E6171">
      <w:pPr>
        <w:spacing w:line="360" w:lineRule="auto"/>
        <w:rPr>
          <w:rFonts w:asciiTheme="majorHAnsi" w:hAnsiTheme="majorHAnsi" w:cstheme="majorHAnsi"/>
          <w:color w:val="auto"/>
          <w:sz w:val="20"/>
          <w:szCs w:val="20"/>
          <w:lang w:val="en-AU"/>
        </w:rPr>
      </w:pPr>
      <w:r w:rsidRPr="00433F80">
        <w:rPr>
          <w:rFonts w:asciiTheme="majorHAnsi" w:hAnsiTheme="majorHAnsi" w:cstheme="majorHAnsi"/>
          <w:color w:val="auto"/>
          <w:sz w:val="20"/>
          <w:szCs w:val="20"/>
          <w:lang w:val="en-AU"/>
        </w:rPr>
        <w:t>#The World Bank Trust Fund Proposal (Page 10</w:t>
      </w:r>
      <w:r w:rsidR="00496EF8" w:rsidRPr="00433F80">
        <w:rPr>
          <w:rFonts w:asciiTheme="majorHAnsi" w:hAnsiTheme="majorHAnsi" w:cstheme="majorHAnsi"/>
          <w:color w:val="auto"/>
          <w:sz w:val="20"/>
          <w:szCs w:val="20"/>
          <w:lang w:val="en-AU"/>
        </w:rPr>
        <w:t xml:space="preserve"> of Annex 1</w:t>
      </w:r>
      <w:r w:rsidRPr="00433F80">
        <w:rPr>
          <w:rFonts w:asciiTheme="majorHAnsi" w:hAnsiTheme="majorHAnsi" w:cstheme="majorHAnsi"/>
          <w:color w:val="auto"/>
          <w:sz w:val="20"/>
          <w:szCs w:val="20"/>
          <w:lang w:val="en-AU"/>
        </w:rPr>
        <w:t xml:space="preserve">) lists Program Management and Administration as a separate budget line due to its different implementation procedures. We have grouped this along with the PASA under </w:t>
      </w:r>
      <w:r w:rsidR="00CA3446" w:rsidRPr="00433F80">
        <w:rPr>
          <w:rFonts w:asciiTheme="majorHAnsi" w:hAnsiTheme="majorHAnsi" w:cstheme="majorHAnsi"/>
          <w:color w:val="auto"/>
          <w:sz w:val="20"/>
          <w:szCs w:val="20"/>
          <w:lang w:val="en-AU"/>
        </w:rPr>
        <w:t>Component 3</w:t>
      </w:r>
      <w:r w:rsidRPr="00433F80">
        <w:rPr>
          <w:rFonts w:asciiTheme="majorHAnsi" w:hAnsiTheme="majorHAnsi" w:cstheme="majorHAnsi"/>
          <w:color w:val="auto"/>
          <w:sz w:val="20"/>
          <w:szCs w:val="20"/>
          <w:lang w:val="en-AU"/>
        </w:rPr>
        <w:t xml:space="preserve"> because both </w:t>
      </w:r>
      <w:r w:rsidR="00CA3446" w:rsidRPr="00433F80">
        <w:rPr>
          <w:rFonts w:asciiTheme="majorHAnsi" w:hAnsiTheme="majorHAnsi" w:cstheme="majorHAnsi"/>
          <w:color w:val="auto"/>
          <w:sz w:val="20"/>
          <w:szCs w:val="20"/>
          <w:lang w:val="en-AU"/>
        </w:rPr>
        <w:t xml:space="preserve">are </w:t>
      </w:r>
      <w:r w:rsidRPr="00433F80">
        <w:rPr>
          <w:rFonts w:asciiTheme="majorHAnsi" w:hAnsiTheme="majorHAnsi" w:cstheme="majorHAnsi"/>
          <w:color w:val="auto"/>
          <w:sz w:val="20"/>
          <w:szCs w:val="20"/>
          <w:lang w:val="en-AU"/>
        </w:rPr>
        <w:t xml:space="preserve">bank-executed activities designed to support the </w:t>
      </w:r>
      <w:r w:rsidR="00CA3446" w:rsidRPr="00433F80">
        <w:rPr>
          <w:rFonts w:asciiTheme="majorHAnsi" w:hAnsiTheme="majorHAnsi" w:cstheme="majorHAnsi"/>
          <w:color w:val="auto"/>
          <w:sz w:val="20"/>
          <w:szCs w:val="20"/>
          <w:lang w:val="en-AU"/>
        </w:rPr>
        <w:t xml:space="preserve">flexible </w:t>
      </w:r>
      <w:r w:rsidRPr="00433F80">
        <w:rPr>
          <w:rFonts w:asciiTheme="majorHAnsi" w:hAnsiTheme="majorHAnsi" w:cstheme="majorHAnsi"/>
          <w:color w:val="auto"/>
          <w:sz w:val="20"/>
          <w:szCs w:val="20"/>
          <w:lang w:val="en-AU"/>
        </w:rPr>
        <w:t>Partnership approach.</w:t>
      </w:r>
    </w:p>
    <w:p w14:paraId="11CB59C0" w14:textId="77777777" w:rsidR="00046B80" w:rsidRPr="00433F80" w:rsidRDefault="00046B80" w:rsidP="005E6171">
      <w:pPr>
        <w:spacing w:line="360" w:lineRule="auto"/>
        <w:rPr>
          <w:b/>
          <w:color w:val="auto"/>
          <w:lang w:val="en-AU"/>
        </w:rPr>
      </w:pPr>
    </w:p>
    <w:p w14:paraId="636FD76C" w14:textId="77777777" w:rsidR="00115884" w:rsidRPr="00433F80" w:rsidRDefault="00115884" w:rsidP="005E6171">
      <w:pPr>
        <w:spacing w:line="360" w:lineRule="auto"/>
        <w:rPr>
          <w:color w:val="auto"/>
          <w:lang w:val="en-AU"/>
        </w:rPr>
      </w:pPr>
    </w:p>
    <w:sectPr w:rsidR="00115884" w:rsidRPr="00433F80" w:rsidSect="00400547">
      <w:headerReference w:type="default" r:id="rId21"/>
      <w:footerReference w:type="default" r:id="rId22"/>
      <w:headerReference w:type="first" r:id="rId23"/>
      <w:footerReference w:type="first" r:id="rId24"/>
      <w:pgSz w:w="11906" w:h="16838" w:code="9"/>
      <w:pgMar w:top="1701" w:right="1134" w:bottom="1418" w:left="1134" w:header="425" w:footer="493"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0CBA9" w14:textId="77777777" w:rsidR="003415A1" w:rsidRDefault="003415A1" w:rsidP="00D37B04">
      <w:r>
        <w:separator/>
      </w:r>
    </w:p>
  </w:endnote>
  <w:endnote w:type="continuationSeparator" w:id="0">
    <w:p w14:paraId="582EAED5" w14:textId="77777777" w:rsidR="003415A1" w:rsidRDefault="003415A1"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olBoran">
    <w:charset w:val="00"/>
    <w:family w:val="swiss"/>
    <w:pitch w:val="variable"/>
    <w:sig w:usb0="80000003" w:usb1="00000000" w:usb2="00010000" w:usb3="00000000" w:csb0="00000001"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F1137" w14:textId="77777777" w:rsidR="00870FB3" w:rsidRDefault="00870F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rPr>
      <w:id w:val="-1088916951"/>
      <w:docPartObj>
        <w:docPartGallery w:val="Page Numbers (Bottom of Page)"/>
        <w:docPartUnique/>
      </w:docPartObj>
    </w:sdtPr>
    <w:sdtEndPr>
      <w:rPr>
        <w:noProof/>
      </w:rPr>
    </w:sdtEndPr>
    <w:sdtContent>
      <w:p w14:paraId="6818536E" w14:textId="6A19BE56" w:rsidR="00940929" w:rsidRDefault="00940929">
        <w:pPr>
          <w:pStyle w:val="Footer"/>
          <w:jc w:val="right"/>
        </w:pPr>
        <w:r w:rsidRPr="00C75E41">
          <w:rPr>
            <w:color w:val="auto"/>
          </w:rPr>
          <w:fldChar w:fldCharType="begin"/>
        </w:r>
        <w:r w:rsidRPr="00C75E41">
          <w:rPr>
            <w:color w:val="auto"/>
          </w:rPr>
          <w:instrText xml:space="preserve"> PAGE   \* MERGEFORMAT </w:instrText>
        </w:r>
        <w:r w:rsidRPr="00C75E41">
          <w:rPr>
            <w:color w:val="auto"/>
          </w:rPr>
          <w:fldChar w:fldCharType="separate"/>
        </w:r>
        <w:r w:rsidRPr="00C75E41">
          <w:rPr>
            <w:noProof/>
            <w:color w:val="auto"/>
          </w:rPr>
          <w:t>19</w:t>
        </w:r>
        <w:r w:rsidRPr="00C75E41">
          <w:rPr>
            <w:noProof/>
            <w:color w:val="auto"/>
          </w:rPr>
          <w:fldChar w:fldCharType="end"/>
        </w:r>
      </w:p>
    </w:sdtContent>
  </w:sdt>
  <w:p w14:paraId="08458A97" w14:textId="77777777" w:rsidR="00940929" w:rsidRPr="00FC322F" w:rsidRDefault="00940929" w:rsidP="00FC322F">
    <w:pPr>
      <w:pStyle w:val="Foo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rPr>
      <w:id w:val="-465351663"/>
      <w:docPartObj>
        <w:docPartGallery w:val="Page Numbers (Bottom of Page)"/>
        <w:docPartUnique/>
      </w:docPartObj>
    </w:sdtPr>
    <w:sdtEndPr>
      <w:rPr>
        <w:noProof/>
      </w:rPr>
    </w:sdtEndPr>
    <w:sdtContent>
      <w:p w14:paraId="520358D4" w14:textId="41C1823B" w:rsidR="00940929" w:rsidRDefault="00940929">
        <w:pPr>
          <w:pStyle w:val="Footer"/>
          <w:jc w:val="right"/>
        </w:pPr>
        <w:r w:rsidRPr="00C75E41">
          <w:rPr>
            <w:color w:val="auto"/>
          </w:rPr>
          <w:fldChar w:fldCharType="begin"/>
        </w:r>
        <w:r w:rsidRPr="00C75E41">
          <w:rPr>
            <w:color w:val="auto"/>
          </w:rPr>
          <w:instrText xml:space="preserve"> PAGE   \* MERGEFORMAT </w:instrText>
        </w:r>
        <w:r w:rsidRPr="00C75E41">
          <w:rPr>
            <w:color w:val="auto"/>
          </w:rPr>
          <w:fldChar w:fldCharType="separate"/>
        </w:r>
        <w:r w:rsidRPr="00C75E41">
          <w:rPr>
            <w:noProof/>
            <w:color w:val="auto"/>
          </w:rPr>
          <w:t>1</w:t>
        </w:r>
        <w:r w:rsidRPr="00C75E41">
          <w:rPr>
            <w:noProof/>
            <w:color w:val="auto"/>
          </w:rPr>
          <w:fldChar w:fldCharType="end"/>
        </w:r>
      </w:p>
    </w:sdtContent>
  </w:sdt>
  <w:p w14:paraId="6573A277" w14:textId="77777777" w:rsidR="00940929" w:rsidRPr="00FC322F" w:rsidRDefault="00940929" w:rsidP="00FC322F">
    <w:pPr>
      <w:pStyle w:val="Footer"/>
      <w:rPr>
        <w: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rPr>
      <w:id w:val="-368916890"/>
      <w:docPartObj>
        <w:docPartGallery w:val="Page Numbers (Bottom of Page)"/>
        <w:docPartUnique/>
      </w:docPartObj>
    </w:sdtPr>
    <w:sdtEndPr>
      <w:rPr>
        <w:noProof/>
      </w:rPr>
    </w:sdtEndPr>
    <w:sdtContent>
      <w:p w14:paraId="49A6FAC3" w14:textId="6F615DD7" w:rsidR="00940929" w:rsidRDefault="00940929">
        <w:pPr>
          <w:pStyle w:val="Footer"/>
          <w:jc w:val="right"/>
        </w:pPr>
        <w:r w:rsidRPr="005A7127">
          <w:rPr>
            <w:color w:val="auto"/>
          </w:rPr>
          <w:fldChar w:fldCharType="begin"/>
        </w:r>
        <w:r w:rsidRPr="005A7127">
          <w:rPr>
            <w:color w:val="auto"/>
          </w:rPr>
          <w:instrText xml:space="preserve"> PAGE   \* MERGEFORMAT </w:instrText>
        </w:r>
        <w:r w:rsidRPr="005A7127">
          <w:rPr>
            <w:color w:val="auto"/>
          </w:rPr>
          <w:fldChar w:fldCharType="separate"/>
        </w:r>
        <w:r w:rsidRPr="005A7127">
          <w:rPr>
            <w:noProof/>
            <w:color w:val="auto"/>
          </w:rPr>
          <w:t>24</w:t>
        </w:r>
        <w:r w:rsidRPr="005A7127">
          <w:rPr>
            <w:noProof/>
            <w:color w:val="auto"/>
          </w:rPr>
          <w:fldChar w:fldCharType="end"/>
        </w:r>
      </w:p>
    </w:sdtContent>
  </w:sdt>
  <w:p w14:paraId="25EED41F" w14:textId="77777777" w:rsidR="00940929" w:rsidRPr="00FC322F" w:rsidRDefault="00940929" w:rsidP="00FC322F">
    <w:pPr>
      <w:pStyle w:val="Footer"/>
      <w:rPr>
        <w: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rPr>
      <w:id w:val="-447627806"/>
      <w:docPartObj>
        <w:docPartGallery w:val="Page Numbers (Bottom of Page)"/>
        <w:docPartUnique/>
      </w:docPartObj>
    </w:sdtPr>
    <w:sdtEndPr>
      <w:rPr>
        <w:noProof/>
      </w:rPr>
    </w:sdtEndPr>
    <w:sdtContent>
      <w:p w14:paraId="3A451635" w14:textId="0B0D87AC" w:rsidR="00940929" w:rsidRDefault="00940929">
        <w:pPr>
          <w:pStyle w:val="Footer"/>
          <w:jc w:val="right"/>
        </w:pPr>
        <w:r w:rsidRPr="001A2CDA">
          <w:rPr>
            <w:color w:val="auto"/>
          </w:rPr>
          <w:fldChar w:fldCharType="begin"/>
        </w:r>
        <w:r w:rsidRPr="001A2CDA">
          <w:rPr>
            <w:color w:val="auto"/>
          </w:rPr>
          <w:instrText xml:space="preserve"> PAGE   \* MERGEFORMAT </w:instrText>
        </w:r>
        <w:r w:rsidRPr="001A2CDA">
          <w:rPr>
            <w:color w:val="auto"/>
          </w:rPr>
          <w:fldChar w:fldCharType="separate"/>
        </w:r>
        <w:r w:rsidRPr="001A2CDA">
          <w:rPr>
            <w:noProof/>
            <w:color w:val="auto"/>
          </w:rPr>
          <w:t>20</w:t>
        </w:r>
        <w:r w:rsidRPr="001A2CDA">
          <w:rPr>
            <w:noProof/>
            <w:color w:val="auto"/>
          </w:rPr>
          <w:fldChar w:fldCharType="end"/>
        </w:r>
      </w:p>
    </w:sdtContent>
  </w:sdt>
  <w:p w14:paraId="0771AFC6" w14:textId="77777777" w:rsidR="00940929" w:rsidRPr="00FC322F" w:rsidRDefault="00940929" w:rsidP="00FC322F">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DE420" w14:textId="77777777" w:rsidR="003415A1" w:rsidRPr="008C5A0E" w:rsidRDefault="003415A1" w:rsidP="00D37B04">
      <w:pPr>
        <w:pStyle w:val="Footer"/>
      </w:pPr>
    </w:p>
  </w:footnote>
  <w:footnote w:type="continuationSeparator" w:id="0">
    <w:p w14:paraId="65604C1F" w14:textId="77777777" w:rsidR="003415A1" w:rsidRDefault="003415A1" w:rsidP="00D37B04">
      <w:r>
        <w:continuationSeparator/>
      </w:r>
    </w:p>
  </w:footnote>
  <w:footnote w:id="1">
    <w:p w14:paraId="25429A30" w14:textId="43C228C4" w:rsidR="00940929" w:rsidRPr="00024590" w:rsidRDefault="00940929">
      <w:pPr>
        <w:pStyle w:val="FootnoteText"/>
        <w:rPr>
          <w:lang w:val="en-AU"/>
        </w:rPr>
      </w:pPr>
      <w:r>
        <w:rPr>
          <w:rStyle w:val="FootnoteReference"/>
        </w:rPr>
        <w:footnoteRef/>
      </w:r>
      <w:r>
        <w:t xml:space="preserve"> </w:t>
      </w:r>
      <w:r>
        <w:tab/>
      </w:r>
      <w:r w:rsidRPr="00433F80">
        <w:rPr>
          <w:color w:val="auto"/>
          <w:sz w:val="18"/>
          <w:szCs w:val="18"/>
          <w:lang w:val="en-AU"/>
        </w:rPr>
        <w:t xml:space="preserve">Involving </w:t>
      </w:r>
      <w:r w:rsidRPr="00433F80">
        <w:rPr>
          <w:rFonts w:eastAsia="Times New Roman" w:cs="Arial"/>
          <w:color w:val="auto"/>
          <w:sz w:val="18"/>
          <w:szCs w:val="18"/>
          <w:lang w:val="en-AU" w:eastAsia="en-AU"/>
        </w:rPr>
        <w:t xml:space="preserve">Desk, Poverty and Social Transfers </w:t>
      </w:r>
      <w:r w:rsidRPr="00433F80">
        <w:rPr>
          <w:color w:val="auto"/>
          <w:sz w:val="18"/>
          <w:szCs w:val="18"/>
          <w:lang w:val="en-AU"/>
        </w:rPr>
        <w:t>Section, Gender Equality Branch, Contracting and Aid Management Division, Multilateral Development and Finance Division, and the Principal Health and Governance Specialists.</w:t>
      </w:r>
    </w:p>
  </w:footnote>
  <w:footnote w:id="2">
    <w:p w14:paraId="479C5BB5" w14:textId="77777777" w:rsidR="00EF2E3A" w:rsidRDefault="00EF2E3A" w:rsidP="00833F5A">
      <w:pPr>
        <w:pStyle w:val="FootnoteText"/>
        <w:rPr>
          <w:rFonts w:ascii="Times New Roman" w:hAnsi="Times New Roman" w:cs="Times New Roman"/>
          <w:lang w:val="en-AU" w:eastAsia="en-GB"/>
        </w:rPr>
      </w:pPr>
      <w:r w:rsidRPr="00E87B28">
        <w:rPr>
          <w:rStyle w:val="FootnoteReference"/>
          <w:color w:val="auto"/>
        </w:rPr>
        <w:t>[3]</w:t>
      </w:r>
      <w:r w:rsidRPr="00E87B28">
        <w:rPr>
          <w:color w:val="auto"/>
        </w:rPr>
        <w:t xml:space="preserve"> “produced” means ‘delivered in the World Bank system’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4A720" w14:textId="77777777" w:rsidR="00870FB3" w:rsidRDefault="00870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B6606" w14:textId="77777777" w:rsidR="00940929" w:rsidRPr="000854FD" w:rsidRDefault="00940929" w:rsidP="002D5B25">
    <w:pPr>
      <w:pStyle w:val="Header"/>
    </w:pPr>
    <w:r w:rsidRPr="00943730">
      <w:rPr>
        <w:noProof/>
        <w:lang w:val="en-AU" w:eastAsia="en-AU"/>
      </w:rPr>
      <w:drawing>
        <wp:anchor distT="0" distB="0" distL="114300" distR="114300" simplePos="0" relativeHeight="251668480" behindDoc="1" locked="1" layoutInCell="1" allowOverlap="1" wp14:anchorId="4C9C4DCE" wp14:editId="067CF5C9">
          <wp:simplePos x="0" y="0"/>
          <wp:positionH relativeFrom="page">
            <wp:posOffset>12700</wp:posOffset>
          </wp:positionH>
          <wp:positionV relativeFrom="page">
            <wp:posOffset>0</wp:posOffset>
          </wp:positionV>
          <wp:extent cx="7559040" cy="10692765"/>
          <wp:effectExtent l="0" t="0" r="3810"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5FEB8" w14:textId="77AC0EEA" w:rsidR="00940929" w:rsidRPr="00870FB3" w:rsidRDefault="00940929" w:rsidP="00943730">
    <w:pPr>
      <w:pStyle w:val="Header"/>
      <w:rPr>
        <w:color w:val="auto"/>
      </w:rPr>
    </w:pPr>
    <w:r w:rsidRPr="00870FB3">
      <w:rPr>
        <w:color w:val="auto"/>
      </w:rPr>
      <w:fldChar w:fldCharType="begin"/>
    </w:r>
    <w:r w:rsidRPr="00870FB3">
      <w:rPr>
        <w:color w:val="auto"/>
      </w:rPr>
      <w:instrText xml:space="preserve"> DATE  \@ "MMMM yyyy"  \* MERGEFORMAT </w:instrText>
    </w:r>
    <w:r w:rsidRPr="00870FB3">
      <w:rPr>
        <w:color w:val="auto"/>
      </w:rPr>
      <w:fldChar w:fldCharType="separate"/>
    </w:r>
    <w:r w:rsidR="001A2CDA">
      <w:rPr>
        <w:noProof/>
        <w:color w:val="auto"/>
      </w:rPr>
      <w:t>March 2023</w:t>
    </w:r>
    <w:r w:rsidRPr="00870FB3">
      <w:rPr>
        <w:color w:val="auto"/>
      </w:rPr>
      <w:fldChar w:fldCharType="end"/>
    </w:r>
    <w:r w:rsidRPr="00870FB3">
      <w:rPr>
        <w:noProof/>
        <w:color w:val="auto"/>
        <w:lang w:val="en-AU" w:eastAsia="en-AU"/>
      </w:rPr>
      <w:drawing>
        <wp:anchor distT="0" distB="0" distL="114300" distR="114300" simplePos="0" relativeHeight="251669504" behindDoc="1" locked="1" layoutInCell="1" allowOverlap="1" wp14:anchorId="76CD214D" wp14:editId="02EDE2EF">
          <wp:simplePos x="0" y="0"/>
          <wp:positionH relativeFrom="page">
            <wp:posOffset>11541760</wp:posOffset>
          </wp:positionH>
          <wp:positionV relativeFrom="page">
            <wp:posOffset>928370</wp:posOffset>
          </wp:positionV>
          <wp:extent cx="1115060" cy="512445"/>
          <wp:effectExtent l="0" t="0" r="8890" b="1905"/>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15060" cy="512445"/>
                  </a:xfrm>
                  <a:prstGeom prst="rect">
                    <a:avLst/>
                  </a:prstGeom>
                </pic:spPr>
              </pic:pic>
            </a:graphicData>
          </a:graphic>
          <wp14:sizeRelH relativeFrom="margin">
            <wp14:pctWidth>0</wp14:pctWidth>
          </wp14:sizeRelH>
          <wp14:sizeRelV relativeFrom="margin">
            <wp14:pctHeight>0</wp14:pctHeight>
          </wp14:sizeRelV>
        </wp:anchor>
      </w:drawing>
    </w:r>
    <w:r w:rsidRPr="00870FB3">
      <w:rPr>
        <w:noProof/>
        <w:color w:val="auto"/>
        <w:lang w:val="en-AU" w:eastAsia="en-AU"/>
      </w:rPr>
      <w:drawing>
        <wp:anchor distT="0" distB="0" distL="114300" distR="114300" simplePos="0" relativeHeight="251667456" behindDoc="1" locked="1" layoutInCell="1" allowOverlap="1" wp14:anchorId="6C089BFF" wp14:editId="7B27A62A">
          <wp:simplePos x="0" y="0"/>
          <wp:positionH relativeFrom="page">
            <wp:posOffset>720090</wp:posOffset>
          </wp:positionH>
          <wp:positionV relativeFrom="page">
            <wp:posOffset>882015</wp:posOffset>
          </wp:positionV>
          <wp:extent cx="3166920" cy="554400"/>
          <wp:effectExtent l="0" t="0" r="0"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3166920" cy="554400"/>
                  </a:xfrm>
                  <a:prstGeom prst="rect">
                    <a:avLst/>
                  </a:prstGeom>
                </pic:spPr>
              </pic:pic>
            </a:graphicData>
          </a:graphic>
          <wp14:sizeRelH relativeFrom="margin">
            <wp14:pctWidth>0</wp14:pctWidth>
          </wp14:sizeRelH>
          <wp14:sizeRelV relativeFrom="margin">
            <wp14:pctHeight>0</wp14:pctHeight>
          </wp14:sizeRelV>
        </wp:anchor>
      </w:drawing>
    </w:r>
    <w:r w:rsidRPr="00870FB3">
      <w:rPr>
        <w:noProof/>
        <w:color w:val="auto"/>
        <w:lang w:val="en-AU" w:eastAsia="en-AU"/>
      </w:rPr>
      <w:drawing>
        <wp:anchor distT="0" distB="0" distL="114300" distR="114300" simplePos="0" relativeHeight="251666432" behindDoc="1" locked="1" layoutInCell="1" allowOverlap="1" wp14:anchorId="656D23EC" wp14:editId="3B1E9411">
          <wp:simplePos x="0" y="0"/>
          <wp:positionH relativeFrom="page">
            <wp:posOffset>-615315</wp:posOffset>
          </wp:positionH>
          <wp:positionV relativeFrom="page">
            <wp:posOffset>0</wp:posOffset>
          </wp:positionV>
          <wp:extent cx="14582775" cy="10692130"/>
          <wp:effectExtent l="0" t="0" r="9525" b="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14582775"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08D08" w14:textId="6EE788F7" w:rsidR="00940929" w:rsidRPr="000854FD" w:rsidRDefault="00940929" w:rsidP="002D5B25">
    <w:pPr>
      <w:pStyle w:val="Header"/>
    </w:pPr>
    <w:r w:rsidRPr="00943730">
      <w:rPr>
        <w:noProof/>
        <w:lang w:val="en-AU" w:eastAsia="en-AU"/>
      </w:rPr>
      <w:drawing>
        <wp:anchor distT="0" distB="0" distL="114300" distR="114300" simplePos="0" relativeHeight="251671552" behindDoc="1" locked="1" layoutInCell="1" allowOverlap="1" wp14:anchorId="437E4BDD" wp14:editId="37B74B37">
          <wp:simplePos x="0" y="0"/>
          <wp:positionH relativeFrom="page">
            <wp:posOffset>-406400</wp:posOffset>
          </wp:positionH>
          <wp:positionV relativeFrom="page">
            <wp:posOffset>4445</wp:posOffset>
          </wp:positionV>
          <wp:extent cx="15718155" cy="10692130"/>
          <wp:effectExtent l="0" t="0" r="0" b="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718155"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CCAE0" w14:textId="77777777" w:rsidR="00940929" w:rsidRPr="000854FD" w:rsidRDefault="00940929" w:rsidP="002D5B25">
    <w:pPr>
      <w:pStyle w:val="Header"/>
    </w:pPr>
    <w:r w:rsidRPr="00943730">
      <w:rPr>
        <w:noProof/>
        <w:lang w:val="en-AU" w:eastAsia="en-AU"/>
      </w:rPr>
      <w:drawing>
        <wp:anchor distT="0" distB="0" distL="114300" distR="114300" simplePos="0" relativeHeight="251662336" behindDoc="1" locked="1" layoutInCell="1" allowOverlap="1" wp14:anchorId="78AB544D" wp14:editId="2795E95F">
          <wp:simplePos x="0" y="0"/>
          <wp:positionH relativeFrom="page">
            <wp:posOffset>8255</wp:posOffset>
          </wp:positionH>
          <wp:positionV relativeFrom="page">
            <wp:posOffset>0</wp:posOffset>
          </wp:positionV>
          <wp:extent cx="10627360" cy="10692765"/>
          <wp:effectExtent l="0" t="0" r="254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62736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325A7" w14:textId="54581283" w:rsidR="00940929" w:rsidRPr="00943730" w:rsidRDefault="00940929" w:rsidP="00943730">
    <w:pPr>
      <w:pStyle w:val="Header"/>
    </w:pPr>
    <w:r w:rsidRPr="001A2CDA">
      <w:rPr>
        <w:color w:val="auto"/>
      </w:rPr>
      <w:fldChar w:fldCharType="begin"/>
    </w:r>
    <w:r w:rsidRPr="001A2CDA">
      <w:rPr>
        <w:color w:val="auto"/>
      </w:rPr>
      <w:instrText xml:space="preserve"> DATE  \@ "MMMM yyyy"  \* MERGEFORMAT </w:instrText>
    </w:r>
    <w:r w:rsidRPr="001A2CDA">
      <w:rPr>
        <w:color w:val="auto"/>
      </w:rPr>
      <w:fldChar w:fldCharType="separate"/>
    </w:r>
    <w:r w:rsidR="001A2CDA" w:rsidRPr="001A2CDA">
      <w:rPr>
        <w:noProof/>
        <w:color w:val="auto"/>
      </w:rPr>
      <w:t>March 2023</w:t>
    </w:r>
    <w:r w:rsidRPr="001A2CDA">
      <w:rPr>
        <w:color w:val="auto"/>
      </w:rPr>
      <w:fldChar w:fldCharType="end"/>
    </w:r>
    <w:r w:rsidRPr="00252C04">
      <w:rPr>
        <w:noProof/>
        <w:lang w:val="en-AU" w:eastAsia="en-AU"/>
      </w:rPr>
      <w:drawing>
        <wp:anchor distT="0" distB="0" distL="114300" distR="114300" simplePos="0" relativeHeight="251664384" behindDoc="1" locked="1" layoutInCell="1" allowOverlap="1" wp14:anchorId="7D959671" wp14:editId="3D26BB47">
          <wp:simplePos x="0" y="0"/>
          <wp:positionH relativeFrom="page">
            <wp:posOffset>12472035</wp:posOffset>
          </wp:positionH>
          <wp:positionV relativeFrom="page">
            <wp:posOffset>928370</wp:posOffset>
          </wp:positionV>
          <wp:extent cx="1115060" cy="512445"/>
          <wp:effectExtent l="0" t="0" r="8890" b="190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15060" cy="51244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6192" behindDoc="1" locked="1" layoutInCell="1" allowOverlap="1" wp14:anchorId="62F2A332" wp14:editId="11EB5D80">
          <wp:simplePos x="0" y="0"/>
          <wp:positionH relativeFrom="page">
            <wp:posOffset>-567055</wp:posOffset>
          </wp:positionH>
          <wp:positionV relativeFrom="page">
            <wp:posOffset>0</wp:posOffset>
          </wp:positionV>
          <wp:extent cx="15718155" cy="10692130"/>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5718155"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266B"/>
    <w:multiLevelType w:val="multilevel"/>
    <w:tmpl w:val="0A4C5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127E20"/>
    <w:multiLevelType w:val="hybridMultilevel"/>
    <w:tmpl w:val="06A4FBF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59463C12">
      <w:start w:val="6"/>
      <w:numFmt w:val="bullet"/>
      <w:lvlText w:val="-"/>
      <w:lvlJc w:val="left"/>
      <w:pPr>
        <w:ind w:left="2160" w:hanging="180"/>
      </w:pPr>
      <w:rPr>
        <w:rFonts w:ascii="Calibri" w:eastAsiaTheme="minorHAnsi" w:hAnsi="Calibri" w:cs="Calibri"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8C4208"/>
    <w:multiLevelType w:val="hybridMultilevel"/>
    <w:tmpl w:val="DF52D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0C5415D5"/>
    <w:multiLevelType w:val="singleLevel"/>
    <w:tmpl w:val="0C09000F"/>
    <w:lvl w:ilvl="0">
      <w:start w:val="1"/>
      <w:numFmt w:val="decimal"/>
      <w:lvlText w:val="%1."/>
      <w:lvlJc w:val="left"/>
      <w:pPr>
        <w:ind w:left="284" w:hanging="284"/>
      </w:pPr>
      <w:rPr>
        <w:rFonts w:hint="default"/>
      </w:rPr>
    </w:lvl>
  </w:abstractNum>
  <w:abstractNum w:abstractNumId="5" w15:restartNumberingAfterBreak="0">
    <w:nsid w:val="0CA9554C"/>
    <w:multiLevelType w:val="hybridMultilevel"/>
    <w:tmpl w:val="4BE855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9F4E04"/>
    <w:multiLevelType w:val="hybridMultilevel"/>
    <w:tmpl w:val="B27E2268"/>
    <w:lvl w:ilvl="0" w:tplc="8C668678">
      <w:start w:val="1"/>
      <w:numFmt w:val="decimal"/>
      <w:lvlText w:val="%1."/>
      <w:lvlJc w:val="left"/>
      <w:pPr>
        <w:ind w:left="9291" w:hanging="360"/>
      </w:pPr>
      <w:rPr>
        <w:b w:val="0"/>
        <w:bCs w:val="0"/>
        <w:color w:val="auto"/>
      </w:rPr>
    </w:lvl>
    <w:lvl w:ilvl="1" w:tplc="0C09001B">
      <w:start w:val="1"/>
      <w:numFmt w:val="lowerRoman"/>
      <w:lvlText w:val="%2."/>
      <w:lvlJc w:val="righ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8" w15:restartNumberingAfterBreak="0">
    <w:nsid w:val="18B80DBF"/>
    <w:multiLevelType w:val="multilevel"/>
    <w:tmpl w:val="FB5E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EE34D7"/>
    <w:multiLevelType w:val="multilevel"/>
    <w:tmpl w:val="DA4E9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C66177"/>
    <w:multiLevelType w:val="multilevel"/>
    <w:tmpl w:val="9F5C2B9E"/>
    <w:lvl w:ilvl="0">
      <w:start w:val="1"/>
      <w:numFmt w:val="decimal"/>
      <w:lvlText w:val="%1)"/>
      <w:lvlJc w:val="left"/>
      <w:pPr>
        <w:ind w:left="284" w:hanging="284"/>
      </w:pPr>
      <w:rPr>
        <w:rFonts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29985DAD"/>
    <w:multiLevelType w:val="hybridMultilevel"/>
    <w:tmpl w:val="E368B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15:restartNumberingAfterBreak="0">
    <w:nsid w:val="3379781D"/>
    <w:multiLevelType w:val="hybridMultilevel"/>
    <w:tmpl w:val="14765172"/>
    <w:lvl w:ilvl="0" w:tplc="8D20A9EE">
      <w:start w:val="1"/>
      <w:numFmt w:val="upperLetter"/>
      <w:lvlText w:val="%1."/>
      <w:lvlJc w:val="left"/>
      <w:pPr>
        <w:ind w:left="720" w:hanging="360"/>
      </w:pPr>
      <w:rPr>
        <w:b/>
        <w:color w:val="495965" w:themeColor="text2"/>
        <w:sz w:val="22"/>
        <w:szCs w:val="22"/>
      </w:rPr>
    </w:lvl>
    <w:lvl w:ilvl="1" w:tplc="17768A98">
      <w:start w:val="1"/>
      <w:numFmt w:val="bullet"/>
      <w:lvlText w:val="›"/>
      <w:lvlJc w:val="left"/>
      <w:pPr>
        <w:ind w:left="1440" w:hanging="360"/>
      </w:pPr>
      <w:rPr>
        <w:rFonts w:ascii="Times New Roman" w:hAnsi="Times New Roman" w:cs="Times New Roman" w:hint="default"/>
        <w:color w:val="495965" w:themeColor="text2"/>
      </w:rPr>
    </w:lvl>
    <w:lvl w:ilvl="2" w:tplc="0C09000F">
      <w:start w:val="1"/>
      <w:numFmt w:val="decimal"/>
      <w:lvlText w:val="%3."/>
      <w:lvlJc w:val="left"/>
      <w:pPr>
        <w:ind w:left="8686" w:hanging="180"/>
      </w:pPr>
      <w:rPr>
        <w:b w:val="0"/>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4876964"/>
    <w:multiLevelType w:val="hybridMultilevel"/>
    <w:tmpl w:val="11069A28"/>
    <w:lvl w:ilvl="0" w:tplc="8D20A9EE">
      <w:start w:val="1"/>
      <w:numFmt w:val="upperLetter"/>
      <w:lvlText w:val="%1."/>
      <w:lvlJc w:val="left"/>
      <w:pPr>
        <w:ind w:left="720" w:hanging="360"/>
      </w:pPr>
      <w:rPr>
        <w:b/>
        <w:color w:val="495965" w:themeColor="text2"/>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2116E4"/>
    <w:multiLevelType w:val="hybridMultilevel"/>
    <w:tmpl w:val="C2908B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C770A1"/>
    <w:multiLevelType w:val="hybridMultilevel"/>
    <w:tmpl w:val="31700A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D4B799D"/>
    <w:multiLevelType w:val="multilevel"/>
    <w:tmpl w:val="831658C4"/>
    <w:lvl w:ilvl="0">
      <w:start w:val="1"/>
      <w:numFmt w:val="decimal"/>
      <w:lvlText w:val="%1."/>
      <w:lvlJc w:val="left"/>
      <w:pPr>
        <w:ind w:left="284" w:hanging="284"/>
      </w:pPr>
      <w:rPr>
        <w:rFonts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4D613763"/>
    <w:multiLevelType w:val="hybridMultilevel"/>
    <w:tmpl w:val="19B69B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DA167B6"/>
    <w:multiLevelType w:val="hybridMultilevel"/>
    <w:tmpl w:val="A4D28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50C6CA1"/>
    <w:multiLevelType w:val="hybridMultilevel"/>
    <w:tmpl w:val="49606CD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6512B8"/>
    <w:multiLevelType w:val="singleLevel"/>
    <w:tmpl w:val="4446C3AA"/>
    <w:lvl w:ilvl="0">
      <w:numFmt w:val="bullet"/>
      <w:lvlText w:val="-"/>
      <w:lvlJc w:val="left"/>
      <w:pPr>
        <w:ind w:left="284" w:hanging="284"/>
      </w:pPr>
      <w:rPr>
        <w:rFonts w:ascii="Calibri Light" w:eastAsiaTheme="minorHAnsi" w:hAnsi="Calibri Light" w:cs="Calibri Light" w:hint="default"/>
      </w:rPr>
    </w:lvl>
  </w:abstractNum>
  <w:abstractNum w:abstractNumId="22" w15:restartNumberingAfterBreak="0">
    <w:nsid w:val="57A87E7F"/>
    <w:multiLevelType w:val="hybridMultilevel"/>
    <w:tmpl w:val="320C56B2"/>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4" w15:restartNumberingAfterBreak="0">
    <w:nsid w:val="59682E7A"/>
    <w:multiLevelType w:val="multilevel"/>
    <w:tmpl w:val="74EAC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302072"/>
    <w:multiLevelType w:val="hybridMultilevel"/>
    <w:tmpl w:val="C232A4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B1462C1"/>
    <w:multiLevelType w:val="hybridMultilevel"/>
    <w:tmpl w:val="8AAEBDC8"/>
    <w:lvl w:ilvl="0" w:tplc="7306241C">
      <w:start w:val="1"/>
      <w:numFmt w:val="bullet"/>
      <w:lvlText w:val=""/>
      <w:lvlJc w:val="left"/>
      <w:pPr>
        <w:ind w:left="720" w:hanging="360"/>
      </w:pPr>
      <w:rPr>
        <w:rFonts w:ascii="Symbol" w:hAnsi="Symbol" w:hint="default"/>
      </w:rPr>
    </w:lvl>
    <w:lvl w:ilvl="1" w:tplc="921EFD4E" w:tentative="1">
      <w:start w:val="1"/>
      <w:numFmt w:val="bullet"/>
      <w:lvlText w:val="o"/>
      <w:lvlJc w:val="left"/>
      <w:pPr>
        <w:ind w:left="1440" w:hanging="360"/>
      </w:pPr>
      <w:rPr>
        <w:rFonts w:ascii="Courier New" w:hAnsi="Courier New" w:cs="Courier New" w:hint="default"/>
      </w:rPr>
    </w:lvl>
    <w:lvl w:ilvl="2" w:tplc="65480BBC" w:tentative="1">
      <w:start w:val="1"/>
      <w:numFmt w:val="bullet"/>
      <w:lvlText w:val=""/>
      <w:lvlJc w:val="left"/>
      <w:pPr>
        <w:ind w:left="2160" w:hanging="360"/>
      </w:pPr>
      <w:rPr>
        <w:rFonts w:ascii="Wingdings" w:hAnsi="Wingdings" w:hint="default"/>
      </w:rPr>
    </w:lvl>
    <w:lvl w:ilvl="3" w:tplc="7D3255B6" w:tentative="1">
      <w:start w:val="1"/>
      <w:numFmt w:val="bullet"/>
      <w:lvlText w:val=""/>
      <w:lvlJc w:val="left"/>
      <w:pPr>
        <w:ind w:left="2880" w:hanging="360"/>
      </w:pPr>
      <w:rPr>
        <w:rFonts w:ascii="Symbol" w:hAnsi="Symbol" w:hint="default"/>
      </w:rPr>
    </w:lvl>
    <w:lvl w:ilvl="4" w:tplc="7A1E4BC8" w:tentative="1">
      <w:start w:val="1"/>
      <w:numFmt w:val="bullet"/>
      <w:lvlText w:val="o"/>
      <w:lvlJc w:val="left"/>
      <w:pPr>
        <w:ind w:left="3600" w:hanging="360"/>
      </w:pPr>
      <w:rPr>
        <w:rFonts w:ascii="Courier New" w:hAnsi="Courier New" w:cs="Courier New" w:hint="default"/>
      </w:rPr>
    </w:lvl>
    <w:lvl w:ilvl="5" w:tplc="92E02704" w:tentative="1">
      <w:start w:val="1"/>
      <w:numFmt w:val="bullet"/>
      <w:lvlText w:val=""/>
      <w:lvlJc w:val="left"/>
      <w:pPr>
        <w:ind w:left="4320" w:hanging="360"/>
      </w:pPr>
      <w:rPr>
        <w:rFonts w:ascii="Wingdings" w:hAnsi="Wingdings" w:hint="default"/>
      </w:rPr>
    </w:lvl>
    <w:lvl w:ilvl="6" w:tplc="4FB2BE06" w:tentative="1">
      <w:start w:val="1"/>
      <w:numFmt w:val="bullet"/>
      <w:lvlText w:val=""/>
      <w:lvlJc w:val="left"/>
      <w:pPr>
        <w:ind w:left="5040" w:hanging="360"/>
      </w:pPr>
      <w:rPr>
        <w:rFonts w:ascii="Symbol" w:hAnsi="Symbol" w:hint="default"/>
      </w:rPr>
    </w:lvl>
    <w:lvl w:ilvl="7" w:tplc="7D34B7C0" w:tentative="1">
      <w:start w:val="1"/>
      <w:numFmt w:val="bullet"/>
      <w:lvlText w:val="o"/>
      <w:lvlJc w:val="left"/>
      <w:pPr>
        <w:ind w:left="5760" w:hanging="360"/>
      </w:pPr>
      <w:rPr>
        <w:rFonts w:ascii="Courier New" w:hAnsi="Courier New" w:cs="Courier New" w:hint="default"/>
      </w:rPr>
    </w:lvl>
    <w:lvl w:ilvl="8" w:tplc="B8729ADE" w:tentative="1">
      <w:start w:val="1"/>
      <w:numFmt w:val="bullet"/>
      <w:lvlText w:val=""/>
      <w:lvlJc w:val="left"/>
      <w:pPr>
        <w:ind w:left="6480" w:hanging="360"/>
      </w:pPr>
      <w:rPr>
        <w:rFonts w:ascii="Wingdings" w:hAnsi="Wingdings" w:hint="default"/>
      </w:rPr>
    </w:lvl>
  </w:abstractNum>
  <w:abstractNum w:abstractNumId="27"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8" w15:restartNumberingAfterBreak="0">
    <w:nsid w:val="682D48DF"/>
    <w:multiLevelType w:val="hybridMultilevel"/>
    <w:tmpl w:val="C3FC1AF8"/>
    <w:lvl w:ilvl="0" w:tplc="5D0AB952">
      <w:start w:val="1"/>
      <w:numFmt w:val="bullet"/>
      <w:lvlText w:val=""/>
      <w:lvlJc w:val="left"/>
      <w:pPr>
        <w:ind w:left="720" w:hanging="360"/>
      </w:pPr>
      <w:rPr>
        <w:rFonts w:ascii="Symbol" w:hAnsi="Symbol" w:hint="default"/>
      </w:rPr>
    </w:lvl>
    <w:lvl w:ilvl="1" w:tplc="06DEE492" w:tentative="1">
      <w:start w:val="1"/>
      <w:numFmt w:val="bullet"/>
      <w:lvlText w:val="o"/>
      <w:lvlJc w:val="left"/>
      <w:pPr>
        <w:ind w:left="1440" w:hanging="360"/>
      </w:pPr>
      <w:rPr>
        <w:rFonts w:ascii="Courier New" w:hAnsi="Courier New" w:cs="Courier New" w:hint="default"/>
      </w:rPr>
    </w:lvl>
    <w:lvl w:ilvl="2" w:tplc="4CD26E64" w:tentative="1">
      <w:start w:val="1"/>
      <w:numFmt w:val="bullet"/>
      <w:lvlText w:val=""/>
      <w:lvlJc w:val="left"/>
      <w:pPr>
        <w:ind w:left="2160" w:hanging="360"/>
      </w:pPr>
      <w:rPr>
        <w:rFonts w:ascii="Wingdings" w:hAnsi="Wingdings" w:hint="default"/>
      </w:rPr>
    </w:lvl>
    <w:lvl w:ilvl="3" w:tplc="8CDA2DDE" w:tentative="1">
      <w:start w:val="1"/>
      <w:numFmt w:val="bullet"/>
      <w:lvlText w:val=""/>
      <w:lvlJc w:val="left"/>
      <w:pPr>
        <w:ind w:left="2880" w:hanging="360"/>
      </w:pPr>
      <w:rPr>
        <w:rFonts w:ascii="Symbol" w:hAnsi="Symbol" w:hint="default"/>
      </w:rPr>
    </w:lvl>
    <w:lvl w:ilvl="4" w:tplc="E7D20FE6" w:tentative="1">
      <w:start w:val="1"/>
      <w:numFmt w:val="bullet"/>
      <w:lvlText w:val="o"/>
      <w:lvlJc w:val="left"/>
      <w:pPr>
        <w:ind w:left="3600" w:hanging="360"/>
      </w:pPr>
      <w:rPr>
        <w:rFonts w:ascii="Courier New" w:hAnsi="Courier New" w:cs="Courier New" w:hint="default"/>
      </w:rPr>
    </w:lvl>
    <w:lvl w:ilvl="5" w:tplc="596CF10A" w:tentative="1">
      <w:start w:val="1"/>
      <w:numFmt w:val="bullet"/>
      <w:lvlText w:val=""/>
      <w:lvlJc w:val="left"/>
      <w:pPr>
        <w:ind w:left="4320" w:hanging="360"/>
      </w:pPr>
      <w:rPr>
        <w:rFonts w:ascii="Wingdings" w:hAnsi="Wingdings" w:hint="default"/>
      </w:rPr>
    </w:lvl>
    <w:lvl w:ilvl="6" w:tplc="CCD6C0D0" w:tentative="1">
      <w:start w:val="1"/>
      <w:numFmt w:val="bullet"/>
      <w:lvlText w:val=""/>
      <w:lvlJc w:val="left"/>
      <w:pPr>
        <w:ind w:left="5040" w:hanging="360"/>
      </w:pPr>
      <w:rPr>
        <w:rFonts w:ascii="Symbol" w:hAnsi="Symbol" w:hint="default"/>
      </w:rPr>
    </w:lvl>
    <w:lvl w:ilvl="7" w:tplc="896C5ED8" w:tentative="1">
      <w:start w:val="1"/>
      <w:numFmt w:val="bullet"/>
      <w:lvlText w:val="o"/>
      <w:lvlJc w:val="left"/>
      <w:pPr>
        <w:ind w:left="5760" w:hanging="360"/>
      </w:pPr>
      <w:rPr>
        <w:rFonts w:ascii="Courier New" w:hAnsi="Courier New" w:cs="Courier New" w:hint="default"/>
      </w:rPr>
    </w:lvl>
    <w:lvl w:ilvl="8" w:tplc="FCC2315A" w:tentative="1">
      <w:start w:val="1"/>
      <w:numFmt w:val="bullet"/>
      <w:lvlText w:val=""/>
      <w:lvlJc w:val="left"/>
      <w:pPr>
        <w:ind w:left="6480" w:hanging="360"/>
      </w:pPr>
      <w:rPr>
        <w:rFonts w:ascii="Wingdings" w:hAnsi="Wingdings" w:hint="default"/>
      </w:rPr>
    </w:lvl>
  </w:abstractNum>
  <w:abstractNum w:abstractNumId="29" w15:restartNumberingAfterBreak="0">
    <w:nsid w:val="6D930202"/>
    <w:multiLevelType w:val="singleLevel"/>
    <w:tmpl w:val="0C09000F"/>
    <w:lvl w:ilvl="0">
      <w:start w:val="1"/>
      <w:numFmt w:val="decimal"/>
      <w:lvlText w:val="%1."/>
      <w:lvlJc w:val="left"/>
      <w:pPr>
        <w:ind w:left="284" w:hanging="284"/>
      </w:pPr>
      <w:rPr>
        <w:rFonts w:hint="default"/>
      </w:rPr>
    </w:lvl>
  </w:abstractNum>
  <w:abstractNum w:abstractNumId="30" w15:restartNumberingAfterBreak="0">
    <w:nsid w:val="6F9042BE"/>
    <w:multiLevelType w:val="hybridMultilevel"/>
    <w:tmpl w:val="4F5AA5A8"/>
    <w:lvl w:ilvl="0" w:tplc="6A303AA6">
      <w:start w:val="1"/>
      <w:numFmt w:val="bullet"/>
      <w:lvlText w:val=""/>
      <w:lvlJc w:val="left"/>
      <w:pPr>
        <w:ind w:left="720" w:hanging="360"/>
      </w:pPr>
      <w:rPr>
        <w:rFonts w:ascii="Symbol" w:hAnsi="Symbol" w:hint="default"/>
      </w:rPr>
    </w:lvl>
    <w:lvl w:ilvl="1" w:tplc="3D7C2C2C" w:tentative="1">
      <w:start w:val="1"/>
      <w:numFmt w:val="bullet"/>
      <w:lvlText w:val="o"/>
      <w:lvlJc w:val="left"/>
      <w:pPr>
        <w:ind w:left="1440" w:hanging="360"/>
      </w:pPr>
      <w:rPr>
        <w:rFonts w:ascii="Courier New" w:hAnsi="Courier New" w:cs="Courier New" w:hint="default"/>
      </w:rPr>
    </w:lvl>
    <w:lvl w:ilvl="2" w:tplc="F96E7868" w:tentative="1">
      <w:start w:val="1"/>
      <w:numFmt w:val="bullet"/>
      <w:lvlText w:val=""/>
      <w:lvlJc w:val="left"/>
      <w:pPr>
        <w:ind w:left="2160" w:hanging="360"/>
      </w:pPr>
      <w:rPr>
        <w:rFonts w:ascii="Wingdings" w:hAnsi="Wingdings" w:hint="default"/>
      </w:rPr>
    </w:lvl>
    <w:lvl w:ilvl="3" w:tplc="B0B22E90" w:tentative="1">
      <w:start w:val="1"/>
      <w:numFmt w:val="bullet"/>
      <w:lvlText w:val=""/>
      <w:lvlJc w:val="left"/>
      <w:pPr>
        <w:ind w:left="2880" w:hanging="360"/>
      </w:pPr>
      <w:rPr>
        <w:rFonts w:ascii="Symbol" w:hAnsi="Symbol" w:hint="default"/>
      </w:rPr>
    </w:lvl>
    <w:lvl w:ilvl="4" w:tplc="D1DED7CA" w:tentative="1">
      <w:start w:val="1"/>
      <w:numFmt w:val="bullet"/>
      <w:lvlText w:val="o"/>
      <w:lvlJc w:val="left"/>
      <w:pPr>
        <w:ind w:left="3600" w:hanging="360"/>
      </w:pPr>
      <w:rPr>
        <w:rFonts w:ascii="Courier New" w:hAnsi="Courier New" w:cs="Courier New" w:hint="default"/>
      </w:rPr>
    </w:lvl>
    <w:lvl w:ilvl="5" w:tplc="EC0AC362" w:tentative="1">
      <w:start w:val="1"/>
      <w:numFmt w:val="bullet"/>
      <w:lvlText w:val=""/>
      <w:lvlJc w:val="left"/>
      <w:pPr>
        <w:ind w:left="4320" w:hanging="360"/>
      </w:pPr>
      <w:rPr>
        <w:rFonts w:ascii="Wingdings" w:hAnsi="Wingdings" w:hint="default"/>
      </w:rPr>
    </w:lvl>
    <w:lvl w:ilvl="6" w:tplc="283CD438" w:tentative="1">
      <w:start w:val="1"/>
      <w:numFmt w:val="bullet"/>
      <w:lvlText w:val=""/>
      <w:lvlJc w:val="left"/>
      <w:pPr>
        <w:ind w:left="5040" w:hanging="360"/>
      </w:pPr>
      <w:rPr>
        <w:rFonts w:ascii="Symbol" w:hAnsi="Symbol" w:hint="default"/>
      </w:rPr>
    </w:lvl>
    <w:lvl w:ilvl="7" w:tplc="0EECDE52" w:tentative="1">
      <w:start w:val="1"/>
      <w:numFmt w:val="bullet"/>
      <w:lvlText w:val="o"/>
      <w:lvlJc w:val="left"/>
      <w:pPr>
        <w:ind w:left="5760" w:hanging="360"/>
      </w:pPr>
      <w:rPr>
        <w:rFonts w:ascii="Courier New" w:hAnsi="Courier New" w:cs="Courier New" w:hint="default"/>
      </w:rPr>
    </w:lvl>
    <w:lvl w:ilvl="8" w:tplc="74B837F8" w:tentative="1">
      <w:start w:val="1"/>
      <w:numFmt w:val="bullet"/>
      <w:lvlText w:val=""/>
      <w:lvlJc w:val="left"/>
      <w:pPr>
        <w:ind w:left="6480" w:hanging="360"/>
      </w:pPr>
      <w:rPr>
        <w:rFonts w:ascii="Wingdings" w:hAnsi="Wingdings" w:hint="default"/>
      </w:rPr>
    </w:lvl>
  </w:abstractNum>
  <w:abstractNum w:abstractNumId="31" w15:restartNumberingAfterBreak="0">
    <w:nsid w:val="73107305"/>
    <w:multiLevelType w:val="multilevel"/>
    <w:tmpl w:val="A6FA45D0"/>
    <w:styleLink w:val="BulletsLis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2" w15:restartNumberingAfterBreak="0">
    <w:nsid w:val="73EC62D1"/>
    <w:multiLevelType w:val="hybridMultilevel"/>
    <w:tmpl w:val="DF706BFA"/>
    <w:lvl w:ilvl="0" w:tplc="3D3EE392">
      <w:numFmt w:val="bullet"/>
      <w:lvlText w:val="-"/>
      <w:lvlJc w:val="left"/>
      <w:pPr>
        <w:ind w:left="1287" w:hanging="360"/>
      </w:pPr>
      <w:rPr>
        <w:rFonts w:ascii="Calibri Light" w:eastAsiaTheme="minorHAnsi" w:hAnsi="Calibri Light" w:cs="Calibri Light" w:hint="default"/>
      </w:rPr>
    </w:lvl>
    <w:lvl w:ilvl="1" w:tplc="1428A9CA" w:tentative="1">
      <w:start w:val="1"/>
      <w:numFmt w:val="bullet"/>
      <w:lvlText w:val="o"/>
      <w:lvlJc w:val="left"/>
      <w:pPr>
        <w:ind w:left="2007" w:hanging="360"/>
      </w:pPr>
      <w:rPr>
        <w:rFonts w:ascii="Courier New" w:hAnsi="Courier New" w:cs="Courier New" w:hint="default"/>
      </w:rPr>
    </w:lvl>
    <w:lvl w:ilvl="2" w:tplc="39587364" w:tentative="1">
      <w:start w:val="1"/>
      <w:numFmt w:val="bullet"/>
      <w:lvlText w:val=""/>
      <w:lvlJc w:val="left"/>
      <w:pPr>
        <w:ind w:left="2727" w:hanging="360"/>
      </w:pPr>
      <w:rPr>
        <w:rFonts w:ascii="Wingdings" w:hAnsi="Wingdings" w:hint="default"/>
      </w:rPr>
    </w:lvl>
    <w:lvl w:ilvl="3" w:tplc="5BA43A9A" w:tentative="1">
      <w:start w:val="1"/>
      <w:numFmt w:val="bullet"/>
      <w:lvlText w:val=""/>
      <w:lvlJc w:val="left"/>
      <w:pPr>
        <w:ind w:left="3447" w:hanging="360"/>
      </w:pPr>
      <w:rPr>
        <w:rFonts w:ascii="Symbol" w:hAnsi="Symbol" w:hint="default"/>
      </w:rPr>
    </w:lvl>
    <w:lvl w:ilvl="4" w:tplc="9942DDEA" w:tentative="1">
      <w:start w:val="1"/>
      <w:numFmt w:val="bullet"/>
      <w:lvlText w:val="o"/>
      <w:lvlJc w:val="left"/>
      <w:pPr>
        <w:ind w:left="4167" w:hanging="360"/>
      </w:pPr>
      <w:rPr>
        <w:rFonts w:ascii="Courier New" w:hAnsi="Courier New" w:cs="Courier New" w:hint="default"/>
      </w:rPr>
    </w:lvl>
    <w:lvl w:ilvl="5" w:tplc="DDA80E0E" w:tentative="1">
      <w:start w:val="1"/>
      <w:numFmt w:val="bullet"/>
      <w:lvlText w:val=""/>
      <w:lvlJc w:val="left"/>
      <w:pPr>
        <w:ind w:left="4887" w:hanging="360"/>
      </w:pPr>
      <w:rPr>
        <w:rFonts w:ascii="Wingdings" w:hAnsi="Wingdings" w:hint="default"/>
      </w:rPr>
    </w:lvl>
    <w:lvl w:ilvl="6" w:tplc="8FCC3088" w:tentative="1">
      <w:start w:val="1"/>
      <w:numFmt w:val="bullet"/>
      <w:lvlText w:val=""/>
      <w:lvlJc w:val="left"/>
      <w:pPr>
        <w:ind w:left="5607" w:hanging="360"/>
      </w:pPr>
      <w:rPr>
        <w:rFonts w:ascii="Symbol" w:hAnsi="Symbol" w:hint="default"/>
      </w:rPr>
    </w:lvl>
    <w:lvl w:ilvl="7" w:tplc="25D481E8" w:tentative="1">
      <w:start w:val="1"/>
      <w:numFmt w:val="bullet"/>
      <w:lvlText w:val="o"/>
      <w:lvlJc w:val="left"/>
      <w:pPr>
        <w:ind w:left="6327" w:hanging="360"/>
      </w:pPr>
      <w:rPr>
        <w:rFonts w:ascii="Courier New" w:hAnsi="Courier New" w:cs="Courier New" w:hint="default"/>
      </w:rPr>
    </w:lvl>
    <w:lvl w:ilvl="8" w:tplc="39F27966" w:tentative="1">
      <w:start w:val="1"/>
      <w:numFmt w:val="bullet"/>
      <w:lvlText w:val=""/>
      <w:lvlJc w:val="left"/>
      <w:pPr>
        <w:ind w:left="7047" w:hanging="360"/>
      </w:pPr>
      <w:rPr>
        <w:rFonts w:ascii="Wingdings" w:hAnsi="Wingdings" w:hint="default"/>
      </w:rPr>
    </w:lvl>
  </w:abstractNum>
  <w:abstractNum w:abstractNumId="33" w15:restartNumberingAfterBreak="0">
    <w:nsid w:val="792E3E94"/>
    <w:multiLevelType w:val="hybridMultilevel"/>
    <w:tmpl w:val="F5FC89DC"/>
    <w:lvl w:ilvl="0" w:tplc="4EB84870">
      <w:start w:val="1"/>
      <w:numFmt w:val="bullet"/>
      <w:pStyle w:val="Box2Bullet"/>
      <w:lvlText w:val=""/>
      <w:lvlJc w:val="left"/>
      <w:pPr>
        <w:ind w:left="1004" w:hanging="360"/>
      </w:pPr>
      <w:rPr>
        <w:rFonts w:ascii="Symbol" w:hAnsi="Symbol" w:hint="default"/>
      </w:rPr>
    </w:lvl>
    <w:lvl w:ilvl="1" w:tplc="48FE9174" w:tentative="1">
      <w:start w:val="1"/>
      <w:numFmt w:val="bullet"/>
      <w:lvlText w:val="o"/>
      <w:lvlJc w:val="left"/>
      <w:pPr>
        <w:ind w:left="1724" w:hanging="360"/>
      </w:pPr>
      <w:rPr>
        <w:rFonts w:ascii="Courier New" w:hAnsi="Courier New" w:cs="Courier New" w:hint="default"/>
      </w:rPr>
    </w:lvl>
    <w:lvl w:ilvl="2" w:tplc="8B863816" w:tentative="1">
      <w:start w:val="1"/>
      <w:numFmt w:val="bullet"/>
      <w:lvlText w:val=""/>
      <w:lvlJc w:val="left"/>
      <w:pPr>
        <w:ind w:left="2444" w:hanging="360"/>
      </w:pPr>
      <w:rPr>
        <w:rFonts w:ascii="Wingdings" w:hAnsi="Wingdings" w:hint="default"/>
      </w:rPr>
    </w:lvl>
    <w:lvl w:ilvl="3" w:tplc="F3385BC8" w:tentative="1">
      <w:start w:val="1"/>
      <w:numFmt w:val="bullet"/>
      <w:lvlText w:val=""/>
      <w:lvlJc w:val="left"/>
      <w:pPr>
        <w:ind w:left="3164" w:hanging="360"/>
      </w:pPr>
      <w:rPr>
        <w:rFonts w:ascii="Symbol" w:hAnsi="Symbol" w:hint="default"/>
      </w:rPr>
    </w:lvl>
    <w:lvl w:ilvl="4" w:tplc="8F10DF5C" w:tentative="1">
      <w:start w:val="1"/>
      <w:numFmt w:val="bullet"/>
      <w:lvlText w:val="o"/>
      <w:lvlJc w:val="left"/>
      <w:pPr>
        <w:ind w:left="3884" w:hanging="360"/>
      </w:pPr>
      <w:rPr>
        <w:rFonts w:ascii="Courier New" w:hAnsi="Courier New" w:cs="Courier New" w:hint="default"/>
      </w:rPr>
    </w:lvl>
    <w:lvl w:ilvl="5" w:tplc="91F85516" w:tentative="1">
      <w:start w:val="1"/>
      <w:numFmt w:val="bullet"/>
      <w:lvlText w:val=""/>
      <w:lvlJc w:val="left"/>
      <w:pPr>
        <w:ind w:left="4604" w:hanging="360"/>
      </w:pPr>
      <w:rPr>
        <w:rFonts w:ascii="Wingdings" w:hAnsi="Wingdings" w:hint="default"/>
      </w:rPr>
    </w:lvl>
    <w:lvl w:ilvl="6" w:tplc="C2AAA4E8" w:tentative="1">
      <w:start w:val="1"/>
      <w:numFmt w:val="bullet"/>
      <w:lvlText w:val=""/>
      <w:lvlJc w:val="left"/>
      <w:pPr>
        <w:ind w:left="5324" w:hanging="360"/>
      </w:pPr>
      <w:rPr>
        <w:rFonts w:ascii="Symbol" w:hAnsi="Symbol" w:hint="default"/>
      </w:rPr>
    </w:lvl>
    <w:lvl w:ilvl="7" w:tplc="E43A41D8" w:tentative="1">
      <w:start w:val="1"/>
      <w:numFmt w:val="bullet"/>
      <w:lvlText w:val="o"/>
      <w:lvlJc w:val="left"/>
      <w:pPr>
        <w:ind w:left="6044" w:hanging="360"/>
      </w:pPr>
      <w:rPr>
        <w:rFonts w:ascii="Courier New" w:hAnsi="Courier New" w:cs="Courier New" w:hint="default"/>
      </w:rPr>
    </w:lvl>
    <w:lvl w:ilvl="8" w:tplc="55C49082" w:tentative="1">
      <w:start w:val="1"/>
      <w:numFmt w:val="bullet"/>
      <w:lvlText w:val=""/>
      <w:lvlJc w:val="left"/>
      <w:pPr>
        <w:ind w:left="6764" w:hanging="360"/>
      </w:pPr>
      <w:rPr>
        <w:rFonts w:ascii="Wingdings" w:hAnsi="Wingdings" w:hint="default"/>
      </w:rPr>
    </w:lvl>
  </w:abstractNum>
  <w:abstractNum w:abstractNumId="34" w15:restartNumberingAfterBreak="0">
    <w:nsid w:val="7F7A528B"/>
    <w:multiLevelType w:val="hybridMultilevel"/>
    <w:tmpl w:val="A39658C0"/>
    <w:lvl w:ilvl="0" w:tplc="0D469CE2">
      <w:start w:val="1"/>
      <w:numFmt w:val="bullet"/>
      <w:pStyle w:val="ListBullet"/>
      <w:lvlText w:val="›"/>
      <w:lvlJc w:val="left"/>
      <w:pPr>
        <w:ind w:left="786" w:hanging="360"/>
      </w:pPr>
      <w:rPr>
        <w:rFonts w:ascii="Times New Roman" w:hAnsi="Times New Roman" w:cs="Times New Roman" w:hint="default"/>
        <w:color w:val="auto"/>
        <w:position w:val="3"/>
      </w:rPr>
    </w:lvl>
    <w:lvl w:ilvl="1" w:tplc="0C090003">
      <w:start w:val="1"/>
      <w:numFmt w:val="bullet"/>
      <w:lvlText w:val="o"/>
      <w:lvlJc w:val="left"/>
      <w:pPr>
        <w:tabs>
          <w:tab w:val="num" w:pos="2150"/>
        </w:tabs>
        <w:ind w:left="2150" w:hanging="360"/>
      </w:pPr>
      <w:rPr>
        <w:rFonts w:ascii="Courier New" w:hAnsi="Courier New" w:cs="Courier New" w:hint="default"/>
      </w:rPr>
    </w:lvl>
    <w:lvl w:ilvl="2" w:tplc="0C090005" w:tentative="1">
      <w:start w:val="1"/>
      <w:numFmt w:val="bullet"/>
      <w:lvlText w:val=""/>
      <w:lvlJc w:val="left"/>
      <w:pPr>
        <w:tabs>
          <w:tab w:val="num" w:pos="2870"/>
        </w:tabs>
        <w:ind w:left="2870" w:hanging="360"/>
      </w:pPr>
      <w:rPr>
        <w:rFonts w:ascii="Wingdings" w:hAnsi="Wingdings" w:hint="default"/>
      </w:rPr>
    </w:lvl>
    <w:lvl w:ilvl="3" w:tplc="0C090001" w:tentative="1">
      <w:start w:val="1"/>
      <w:numFmt w:val="bullet"/>
      <w:lvlText w:val=""/>
      <w:lvlJc w:val="left"/>
      <w:pPr>
        <w:tabs>
          <w:tab w:val="num" w:pos="3590"/>
        </w:tabs>
        <w:ind w:left="3590" w:hanging="360"/>
      </w:pPr>
      <w:rPr>
        <w:rFonts w:ascii="Symbol" w:hAnsi="Symbol" w:hint="default"/>
      </w:rPr>
    </w:lvl>
    <w:lvl w:ilvl="4" w:tplc="0C090003" w:tentative="1">
      <w:start w:val="1"/>
      <w:numFmt w:val="bullet"/>
      <w:lvlText w:val="o"/>
      <w:lvlJc w:val="left"/>
      <w:pPr>
        <w:tabs>
          <w:tab w:val="num" w:pos="4310"/>
        </w:tabs>
        <w:ind w:left="4310" w:hanging="360"/>
      </w:pPr>
      <w:rPr>
        <w:rFonts w:ascii="Courier New" w:hAnsi="Courier New" w:cs="Courier New" w:hint="default"/>
      </w:rPr>
    </w:lvl>
    <w:lvl w:ilvl="5" w:tplc="0C090005" w:tentative="1">
      <w:start w:val="1"/>
      <w:numFmt w:val="bullet"/>
      <w:lvlText w:val=""/>
      <w:lvlJc w:val="left"/>
      <w:pPr>
        <w:tabs>
          <w:tab w:val="num" w:pos="5030"/>
        </w:tabs>
        <w:ind w:left="5030" w:hanging="360"/>
      </w:pPr>
      <w:rPr>
        <w:rFonts w:ascii="Wingdings" w:hAnsi="Wingdings" w:hint="default"/>
      </w:rPr>
    </w:lvl>
    <w:lvl w:ilvl="6" w:tplc="0C090001" w:tentative="1">
      <w:start w:val="1"/>
      <w:numFmt w:val="bullet"/>
      <w:lvlText w:val=""/>
      <w:lvlJc w:val="left"/>
      <w:pPr>
        <w:tabs>
          <w:tab w:val="num" w:pos="5750"/>
        </w:tabs>
        <w:ind w:left="5750" w:hanging="360"/>
      </w:pPr>
      <w:rPr>
        <w:rFonts w:ascii="Symbol" w:hAnsi="Symbol" w:hint="default"/>
      </w:rPr>
    </w:lvl>
    <w:lvl w:ilvl="7" w:tplc="0C090003" w:tentative="1">
      <w:start w:val="1"/>
      <w:numFmt w:val="bullet"/>
      <w:lvlText w:val="o"/>
      <w:lvlJc w:val="left"/>
      <w:pPr>
        <w:tabs>
          <w:tab w:val="num" w:pos="6470"/>
        </w:tabs>
        <w:ind w:left="6470" w:hanging="360"/>
      </w:pPr>
      <w:rPr>
        <w:rFonts w:ascii="Courier New" w:hAnsi="Courier New" w:cs="Courier New" w:hint="default"/>
      </w:rPr>
    </w:lvl>
    <w:lvl w:ilvl="8" w:tplc="0C090005" w:tentative="1">
      <w:start w:val="1"/>
      <w:numFmt w:val="bullet"/>
      <w:lvlText w:val=""/>
      <w:lvlJc w:val="left"/>
      <w:pPr>
        <w:tabs>
          <w:tab w:val="num" w:pos="7190"/>
        </w:tabs>
        <w:ind w:left="7190" w:hanging="360"/>
      </w:pPr>
      <w:rPr>
        <w:rFonts w:ascii="Wingdings" w:hAnsi="Wingdings" w:hint="default"/>
      </w:rPr>
    </w:lvl>
  </w:abstractNum>
  <w:num w:numId="1" w16cid:durableId="1343898915">
    <w:abstractNumId w:val="31"/>
  </w:num>
  <w:num w:numId="2" w16cid:durableId="1776749278">
    <w:abstractNumId w:val="3"/>
  </w:num>
  <w:num w:numId="3" w16cid:durableId="1649939474">
    <w:abstractNumId w:val="12"/>
  </w:num>
  <w:num w:numId="4" w16cid:durableId="1175847993">
    <w:abstractNumId w:val="23"/>
  </w:num>
  <w:num w:numId="5" w16cid:durableId="1260285818">
    <w:abstractNumId w:val="27"/>
  </w:num>
  <w:num w:numId="6" w16cid:durableId="1470436892">
    <w:abstractNumId w:val="12"/>
  </w:num>
  <w:num w:numId="7" w16cid:durableId="800726914">
    <w:abstractNumId w:val="3"/>
  </w:num>
  <w:num w:numId="8" w16cid:durableId="279535477">
    <w:abstractNumId w:val="7"/>
  </w:num>
  <w:num w:numId="9" w16cid:durableId="1907641089">
    <w:abstractNumId w:val="33"/>
  </w:num>
  <w:num w:numId="10" w16cid:durableId="856649950">
    <w:abstractNumId w:val="29"/>
  </w:num>
  <w:num w:numId="11" w16cid:durableId="1166899586">
    <w:abstractNumId w:val="14"/>
  </w:num>
  <w:num w:numId="12" w16cid:durableId="358360791">
    <w:abstractNumId w:val="34"/>
  </w:num>
  <w:num w:numId="13" w16cid:durableId="1613516064">
    <w:abstractNumId w:val="13"/>
  </w:num>
  <w:num w:numId="14" w16cid:durableId="1472091049">
    <w:abstractNumId w:val="30"/>
  </w:num>
  <w:num w:numId="15" w16cid:durableId="64765242">
    <w:abstractNumId w:val="18"/>
  </w:num>
  <w:num w:numId="16" w16cid:durableId="1913813443">
    <w:abstractNumId w:val="2"/>
  </w:num>
  <w:num w:numId="17" w16cid:durableId="15740077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81340917">
    <w:abstractNumId w:val="0"/>
  </w:num>
  <w:num w:numId="19" w16cid:durableId="2046448073">
    <w:abstractNumId w:val="9"/>
  </w:num>
  <w:num w:numId="20" w16cid:durableId="1700397172">
    <w:abstractNumId w:val="8"/>
  </w:num>
  <w:num w:numId="21" w16cid:durableId="1788351575">
    <w:abstractNumId w:val="24"/>
  </w:num>
  <w:num w:numId="22" w16cid:durableId="863445345">
    <w:abstractNumId w:val="10"/>
  </w:num>
  <w:num w:numId="23" w16cid:durableId="1745882482">
    <w:abstractNumId w:val="11"/>
  </w:num>
  <w:num w:numId="24" w16cid:durableId="1703747335">
    <w:abstractNumId w:val="6"/>
  </w:num>
  <w:num w:numId="25" w16cid:durableId="1694645712">
    <w:abstractNumId w:val="26"/>
  </w:num>
  <w:num w:numId="26" w16cid:durableId="72093418">
    <w:abstractNumId w:val="21"/>
  </w:num>
  <w:num w:numId="27" w16cid:durableId="167453849">
    <w:abstractNumId w:val="3"/>
    <w:lvlOverride w:ilvl="0">
      <w:lvl w:ilvl="0">
        <w:start w:val="1"/>
        <w:numFmt w:val="decimal"/>
        <w:pStyle w:val="NumberedList1"/>
        <w:lvlText w:val="%1."/>
        <w:lvlJc w:val="left"/>
        <w:pPr>
          <w:ind w:left="284" w:hanging="284"/>
        </w:pPr>
        <w:rPr>
          <w:rFonts w:hint="default"/>
          <w:color w:val="auto"/>
        </w:rPr>
      </w:lvl>
    </w:lvlOverride>
    <w:lvlOverride w:ilvl="1">
      <w:lvl w:ilvl="1">
        <w:start w:val="1"/>
        <w:numFmt w:val="lowerLetter"/>
        <w:pStyle w:val="NumberedList2"/>
        <w:lvlText w:val="%2."/>
        <w:lvlJc w:val="left"/>
        <w:pPr>
          <w:ind w:left="568" w:hanging="284"/>
        </w:pPr>
        <w:rPr>
          <w:rFonts w:hint="default"/>
          <w:color w:val="495965" w:themeColor="text2"/>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8" w16cid:durableId="1120030812">
    <w:abstractNumId w:val="29"/>
  </w:num>
  <w:num w:numId="29" w16cid:durableId="430928501">
    <w:abstractNumId w:val="29"/>
  </w:num>
  <w:num w:numId="30" w16cid:durableId="670329569">
    <w:abstractNumId w:val="29"/>
  </w:num>
  <w:num w:numId="31" w16cid:durableId="153499943">
    <w:abstractNumId w:val="29"/>
  </w:num>
  <w:num w:numId="32" w16cid:durableId="1625622520">
    <w:abstractNumId w:val="29"/>
  </w:num>
  <w:num w:numId="33" w16cid:durableId="1244947969">
    <w:abstractNumId w:val="29"/>
  </w:num>
  <w:num w:numId="34" w16cid:durableId="2054498755">
    <w:abstractNumId w:val="17"/>
  </w:num>
  <w:num w:numId="35" w16cid:durableId="1874884829">
    <w:abstractNumId w:val="28"/>
  </w:num>
  <w:num w:numId="36" w16cid:durableId="1580553428">
    <w:abstractNumId w:val="29"/>
  </w:num>
  <w:num w:numId="37" w16cid:durableId="1474829658">
    <w:abstractNumId w:val="4"/>
  </w:num>
  <w:num w:numId="38" w16cid:durableId="1835535236">
    <w:abstractNumId w:val="32"/>
  </w:num>
  <w:num w:numId="39" w16cid:durableId="1886984773">
    <w:abstractNumId w:val="5"/>
  </w:num>
  <w:num w:numId="40" w16cid:durableId="161354451">
    <w:abstractNumId w:val="29"/>
  </w:num>
  <w:num w:numId="41" w16cid:durableId="446706547">
    <w:abstractNumId w:val="29"/>
  </w:num>
  <w:num w:numId="42" w16cid:durableId="1091271080">
    <w:abstractNumId w:val="29"/>
  </w:num>
  <w:num w:numId="43" w16cid:durableId="154228105">
    <w:abstractNumId w:val="29"/>
  </w:num>
  <w:num w:numId="44" w16cid:durableId="1706834720">
    <w:abstractNumId w:val="29"/>
  </w:num>
  <w:num w:numId="45" w16cid:durableId="130752841">
    <w:abstractNumId w:val="25"/>
  </w:num>
  <w:num w:numId="46" w16cid:durableId="1008680591">
    <w:abstractNumId w:val="19"/>
  </w:num>
  <w:num w:numId="47" w16cid:durableId="2036954332">
    <w:abstractNumId w:val="15"/>
  </w:num>
  <w:num w:numId="48" w16cid:durableId="533734923">
    <w:abstractNumId w:val="22"/>
  </w:num>
  <w:num w:numId="49" w16cid:durableId="1440030491">
    <w:abstractNumId w:val="1"/>
  </w:num>
  <w:num w:numId="50" w16cid:durableId="1795558639">
    <w:abstractNumId w:val="20"/>
  </w:num>
  <w:num w:numId="51" w16cid:durableId="907039018">
    <w:abstractNumId w:val="16"/>
  </w:num>
  <w:num w:numId="52" w16cid:durableId="14542108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displayBackgroundShap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AAF"/>
    <w:rsid w:val="00001292"/>
    <w:rsid w:val="00001DA8"/>
    <w:rsid w:val="000020C1"/>
    <w:rsid w:val="000020D1"/>
    <w:rsid w:val="00002A3A"/>
    <w:rsid w:val="00007E7D"/>
    <w:rsid w:val="000135A6"/>
    <w:rsid w:val="0002080A"/>
    <w:rsid w:val="000232D7"/>
    <w:rsid w:val="00024590"/>
    <w:rsid w:val="000246AB"/>
    <w:rsid w:val="0002644C"/>
    <w:rsid w:val="0002782F"/>
    <w:rsid w:val="000347B1"/>
    <w:rsid w:val="00035BBF"/>
    <w:rsid w:val="00035D53"/>
    <w:rsid w:val="00036385"/>
    <w:rsid w:val="000375EC"/>
    <w:rsid w:val="00040CE8"/>
    <w:rsid w:val="000413BF"/>
    <w:rsid w:val="000433F2"/>
    <w:rsid w:val="0004640F"/>
    <w:rsid w:val="00046B80"/>
    <w:rsid w:val="00050806"/>
    <w:rsid w:val="00051456"/>
    <w:rsid w:val="000530E6"/>
    <w:rsid w:val="000546D9"/>
    <w:rsid w:val="00054E4D"/>
    <w:rsid w:val="00060073"/>
    <w:rsid w:val="00060806"/>
    <w:rsid w:val="000616C6"/>
    <w:rsid w:val="00062511"/>
    <w:rsid w:val="0006440C"/>
    <w:rsid w:val="00072633"/>
    <w:rsid w:val="00075420"/>
    <w:rsid w:val="000766E5"/>
    <w:rsid w:val="0008392A"/>
    <w:rsid w:val="00084D82"/>
    <w:rsid w:val="000854FD"/>
    <w:rsid w:val="00087B6E"/>
    <w:rsid w:val="00087BF1"/>
    <w:rsid w:val="00090A54"/>
    <w:rsid w:val="00091045"/>
    <w:rsid w:val="000928BD"/>
    <w:rsid w:val="00095FF8"/>
    <w:rsid w:val="00096682"/>
    <w:rsid w:val="000A179E"/>
    <w:rsid w:val="000A76F6"/>
    <w:rsid w:val="000B0181"/>
    <w:rsid w:val="000B172C"/>
    <w:rsid w:val="000B1E20"/>
    <w:rsid w:val="000B37F5"/>
    <w:rsid w:val="000B7EC0"/>
    <w:rsid w:val="000C3B33"/>
    <w:rsid w:val="000C3E3B"/>
    <w:rsid w:val="000C6914"/>
    <w:rsid w:val="000D038D"/>
    <w:rsid w:val="000D2664"/>
    <w:rsid w:val="000D2FB1"/>
    <w:rsid w:val="000D4705"/>
    <w:rsid w:val="000D483D"/>
    <w:rsid w:val="000D4C22"/>
    <w:rsid w:val="000D66D6"/>
    <w:rsid w:val="000E0335"/>
    <w:rsid w:val="000E12C3"/>
    <w:rsid w:val="000E3FD5"/>
    <w:rsid w:val="000E5449"/>
    <w:rsid w:val="000F02A2"/>
    <w:rsid w:val="000F170E"/>
    <w:rsid w:val="000F1BB0"/>
    <w:rsid w:val="000F4E14"/>
    <w:rsid w:val="00100DA1"/>
    <w:rsid w:val="00113288"/>
    <w:rsid w:val="0011346D"/>
    <w:rsid w:val="00114571"/>
    <w:rsid w:val="00115884"/>
    <w:rsid w:val="00116654"/>
    <w:rsid w:val="00121134"/>
    <w:rsid w:val="001214BE"/>
    <w:rsid w:val="00123932"/>
    <w:rsid w:val="00126D06"/>
    <w:rsid w:val="0013101C"/>
    <w:rsid w:val="00131206"/>
    <w:rsid w:val="00131B6D"/>
    <w:rsid w:val="001349D4"/>
    <w:rsid w:val="00135F6A"/>
    <w:rsid w:val="00140704"/>
    <w:rsid w:val="0014361E"/>
    <w:rsid w:val="001461D6"/>
    <w:rsid w:val="00146F35"/>
    <w:rsid w:val="0015184F"/>
    <w:rsid w:val="001541EA"/>
    <w:rsid w:val="00155765"/>
    <w:rsid w:val="00160BC4"/>
    <w:rsid w:val="00162537"/>
    <w:rsid w:val="00164BC1"/>
    <w:rsid w:val="00171643"/>
    <w:rsid w:val="00175041"/>
    <w:rsid w:val="00180389"/>
    <w:rsid w:val="00180DD5"/>
    <w:rsid w:val="001832C7"/>
    <w:rsid w:val="001850EB"/>
    <w:rsid w:val="001914AB"/>
    <w:rsid w:val="00194471"/>
    <w:rsid w:val="00194655"/>
    <w:rsid w:val="00196CFD"/>
    <w:rsid w:val="001A2CDA"/>
    <w:rsid w:val="001A6223"/>
    <w:rsid w:val="001A7841"/>
    <w:rsid w:val="001A7F5F"/>
    <w:rsid w:val="001B4651"/>
    <w:rsid w:val="001B7347"/>
    <w:rsid w:val="001C025E"/>
    <w:rsid w:val="001C1627"/>
    <w:rsid w:val="001C2E30"/>
    <w:rsid w:val="001C4AA9"/>
    <w:rsid w:val="001D1F2B"/>
    <w:rsid w:val="001D5982"/>
    <w:rsid w:val="001D663E"/>
    <w:rsid w:val="001E1DC0"/>
    <w:rsid w:val="001E3FF1"/>
    <w:rsid w:val="001E5123"/>
    <w:rsid w:val="001E5AED"/>
    <w:rsid w:val="00202546"/>
    <w:rsid w:val="00203277"/>
    <w:rsid w:val="00205B2E"/>
    <w:rsid w:val="00206253"/>
    <w:rsid w:val="00212F3D"/>
    <w:rsid w:val="002137C8"/>
    <w:rsid w:val="0021628D"/>
    <w:rsid w:val="00221083"/>
    <w:rsid w:val="00237DD9"/>
    <w:rsid w:val="0024233A"/>
    <w:rsid w:val="00243798"/>
    <w:rsid w:val="00244529"/>
    <w:rsid w:val="0024726F"/>
    <w:rsid w:val="0024791F"/>
    <w:rsid w:val="00251920"/>
    <w:rsid w:val="00252C04"/>
    <w:rsid w:val="00252FD1"/>
    <w:rsid w:val="00257C75"/>
    <w:rsid w:val="0026031E"/>
    <w:rsid w:val="00260560"/>
    <w:rsid w:val="0026149A"/>
    <w:rsid w:val="00264454"/>
    <w:rsid w:val="00265354"/>
    <w:rsid w:val="00270794"/>
    <w:rsid w:val="0027107A"/>
    <w:rsid w:val="0027314E"/>
    <w:rsid w:val="002752B0"/>
    <w:rsid w:val="00275B92"/>
    <w:rsid w:val="00277162"/>
    <w:rsid w:val="00280204"/>
    <w:rsid w:val="00280CB5"/>
    <w:rsid w:val="002813E7"/>
    <w:rsid w:val="00285217"/>
    <w:rsid w:val="0028602A"/>
    <w:rsid w:val="00287F85"/>
    <w:rsid w:val="002913A3"/>
    <w:rsid w:val="002925EF"/>
    <w:rsid w:val="00297E7B"/>
    <w:rsid w:val="002A2D5E"/>
    <w:rsid w:val="002A3A89"/>
    <w:rsid w:val="002A4B4D"/>
    <w:rsid w:val="002A6695"/>
    <w:rsid w:val="002B1372"/>
    <w:rsid w:val="002B26A0"/>
    <w:rsid w:val="002B45E7"/>
    <w:rsid w:val="002B5E10"/>
    <w:rsid w:val="002B6294"/>
    <w:rsid w:val="002C270D"/>
    <w:rsid w:val="002C5611"/>
    <w:rsid w:val="002C793D"/>
    <w:rsid w:val="002D1BCE"/>
    <w:rsid w:val="002D4060"/>
    <w:rsid w:val="002D4DE7"/>
    <w:rsid w:val="002D5994"/>
    <w:rsid w:val="002D5B25"/>
    <w:rsid w:val="002E080B"/>
    <w:rsid w:val="002F100C"/>
    <w:rsid w:val="002F1867"/>
    <w:rsid w:val="002F4B2E"/>
    <w:rsid w:val="002F4F2B"/>
    <w:rsid w:val="003002C0"/>
    <w:rsid w:val="00301144"/>
    <w:rsid w:val="003031C6"/>
    <w:rsid w:val="00304984"/>
    <w:rsid w:val="00312BF8"/>
    <w:rsid w:val="003148B7"/>
    <w:rsid w:val="003158C3"/>
    <w:rsid w:val="00316BD2"/>
    <w:rsid w:val="00317B9B"/>
    <w:rsid w:val="00324018"/>
    <w:rsid w:val="00326EA2"/>
    <w:rsid w:val="003274CD"/>
    <w:rsid w:val="00333501"/>
    <w:rsid w:val="00334856"/>
    <w:rsid w:val="00335F17"/>
    <w:rsid w:val="003403AF"/>
    <w:rsid w:val="003408C2"/>
    <w:rsid w:val="003415A1"/>
    <w:rsid w:val="003457C4"/>
    <w:rsid w:val="0035119D"/>
    <w:rsid w:val="00352882"/>
    <w:rsid w:val="00360DE8"/>
    <w:rsid w:val="00361322"/>
    <w:rsid w:val="00373333"/>
    <w:rsid w:val="003736DE"/>
    <w:rsid w:val="00373E12"/>
    <w:rsid w:val="00374F2C"/>
    <w:rsid w:val="00375C9D"/>
    <w:rsid w:val="0037779A"/>
    <w:rsid w:val="00384D40"/>
    <w:rsid w:val="0038695D"/>
    <w:rsid w:val="00386BC5"/>
    <w:rsid w:val="00392594"/>
    <w:rsid w:val="003932FC"/>
    <w:rsid w:val="0039344A"/>
    <w:rsid w:val="003944A2"/>
    <w:rsid w:val="00395163"/>
    <w:rsid w:val="0039661A"/>
    <w:rsid w:val="003A143B"/>
    <w:rsid w:val="003A27DB"/>
    <w:rsid w:val="003A6237"/>
    <w:rsid w:val="003A6BA5"/>
    <w:rsid w:val="003B24F0"/>
    <w:rsid w:val="003B487D"/>
    <w:rsid w:val="003B4F12"/>
    <w:rsid w:val="003C3B6A"/>
    <w:rsid w:val="003C3ED3"/>
    <w:rsid w:val="003C441E"/>
    <w:rsid w:val="003D4179"/>
    <w:rsid w:val="003E2092"/>
    <w:rsid w:val="003E4A2D"/>
    <w:rsid w:val="003E76BE"/>
    <w:rsid w:val="003F0DA5"/>
    <w:rsid w:val="003F180B"/>
    <w:rsid w:val="003F2041"/>
    <w:rsid w:val="00400547"/>
    <w:rsid w:val="004022DA"/>
    <w:rsid w:val="00402ACC"/>
    <w:rsid w:val="00405B9D"/>
    <w:rsid w:val="00411A1F"/>
    <w:rsid w:val="004120EC"/>
    <w:rsid w:val="00413686"/>
    <w:rsid w:val="00414208"/>
    <w:rsid w:val="00421F18"/>
    <w:rsid w:val="00423F31"/>
    <w:rsid w:val="00425465"/>
    <w:rsid w:val="00431826"/>
    <w:rsid w:val="00431899"/>
    <w:rsid w:val="00433F80"/>
    <w:rsid w:val="00437C65"/>
    <w:rsid w:val="00442055"/>
    <w:rsid w:val="00443CB2"/>
    <w:rsid w:val="00453888"/>
    <w:rsid w:val="0045646A"/>
    <w:rsid w:val="004572C4"/>
    <w:rsid w:val="004608A2"/>
    <w:rsid w:val="00460F4E"/>
    <w:rsid w:val="00462F12"/>
    <w:rsid w:val="004648BB"/>
    <w:rsid w:val="004655BA"/>
    <w:rsid w:val="00465DD9"/>
    <w:rsid w:val="00470C08"/>
    <w:rsid w:val="004710B1"/>
    <w:rsid w:val="00472B8D"/>
    <w:rsid w:val="0047682E"/>
    <w:rsid w:val="00476937"/>
    <w:rsid w:val="00477AC3"/>
    <w:rsid w:val="00482AE8"/>
    <w:rsid w:val="0048492D"/>
    <w:rsid w:val="00486423"/>
    <w:rsid w:val="00486804"/>
    <w:rsid w:val="00490CDB"/>
    <w:rsid w:val="00490E90"/>
    <w:rsid w:val="004939C4"/>
    <w:rsid w:val="00496EF8"/>
    <w:rsid w:val="0049754A"/>
    <w:rsid w:val="004B36AC"/>
    <w:rsid w:val="004B3775"/>
    <w:rsid w:val="004B532E"/>
    <w:rsid w:val="004C124E"/>
    <w:rsid w:val="004C6342"/>
    <w:rsid w:val="004D0BA0"/>
    <w:rsid w:val="004D5FFA"/>
    <w:rsid w:val="004E058F"/>
    <w:rsid w:val="004E065D"/>
    <w:rsid w:val="004E0FCE"/>
    <w:rsid w:val="004E35EB"/>
    <w:rsid w:val="004E3B87"/>
    <w:rsid w:val="004F24A1"/>
    <w:rsid w:val="004F2AF9"/>
    <w:rsid w:val="004F636E"/>
    <w:rsid w:val="00500BDA"/>
    <w:rsid w:val="00510921"/>
    <w:rsid w:val="00510AD3"/>
    <w:rsid w:val="005117C8"/>
    <w:rsid w:val="00511940"/>
    <w:rsid w:val="00513348"/>
    <w:rsid w:val="00513AD8"/>
    <w:rsid w:val="00514292"/>
    <w:rsid w:val="005204D2"/>
    <w:rsid w:val="00522396"/>
    <w:rsid w:val="00523485"/>
    <w:rsid w:val="00524B7D"/>
    <w:rsid w:val="00531AA1"/>
    <w:rsid w:val="00533754"/>
    <w:rsid w:val="00533B5D"/>
    <w:rsid w:val="00537898"/>
    <w:rsid w:val="00541D0E"/>
    <w:rsid w:val="005428E5"/>
    <w:rsid w:val="00547EC7"/>
    <w:rsid w:val="00550EE4"/>
    <w:rsid w:val="00561010"/>
    <w:rsid w:val="00562C94"/>
    <w:rsid w:val="00563C3D"/>
    <w:rsid w:val="005643AD"/>
    <w:rsid w:val="0056476A"/>
    <w:rsid w:val="00575E1B"/>
    <w:rsid w:val="005762D1"/>
    <w:rsid w:val="00576758"/>
    <w:rsid w:val="0057723C"/>
    <w:rsid w:val="00580B19"/>
    <w:rsid w:val="0058344D"/>
    <w:rsid w:val="00587E5B"/>
    <w:rsid w:val="005962BF"/>
    <w:rsid w:val="005A0A76"/>
    <w:rsid w:val="005A20F6"/>
    <w:rsid w:val="005A2298"/>
    <w:rsid w:val="005A65D2"/>
    <w:rsid w:val="005A6FA3"/>
    <w:rsid w:val="005A7127"/>
    <w:rsid w:val="005A791A"/>
    <w:rsid w:val="005B1170"/>
    <w:rsid w:val="005B33E1"/>
    <w:rsid w:val="005B382E"/>
    <w:rsid w:val="005B4236"/>
    <w:rsid w:val="005B5412"/>
    <w:rsid w:val="005B55E8"/>
    <w:rsid w:val="005B6607"/>
    <w:rsid w:val="005B742B"/>
    <w:rsid w:val="005C515A"/>
    <w:rsid w:val="005C7007"/>
    <w:rsid w:val="005D28A1"/>
    <w:rsid w:val="005D2A42"/>
    <w:rsid w:val="005D3655"/>
    <w:rsid w:val="005E20B7"/>
    <w:rsid w:val="005E4830"/>
    <w:rsid w:val="005E48E3"/>
    <w:rsid w:val="005E4D72"/>
    <w:rsid w:val="005E6171"/>
    <w:rsid w:val="005E70DF"/>
    <w:rsid w:val="005E73AD"/>
    <w:rsid w:val="005E77B6"/>
    <w:rsid w:val="005F0101"/>
    <w:rsid w:val="005F2DFD"/>
    <w:rsid w:val="005F6A50"/>
    <w:rsid w:val="0060009E"/>
    <w:rsid w:val="00600CDD"/>
    <w:rsid w:val="0060374C"/>
    <w:rsid w:val="00612834"/>
    <w:rsid w:val="00615E1D"/>
    <w:rsid w:val="00615EF6"/>
    <w:rsid w:val="00616B7C"/>
    <w:rsid w:val="0061714B"/>
    <w:rsid w:val="0062079A"/>
    <w:rsid w:val="00622B86"/>
    <w:rsid w:val="00623BA1"/>
    <w:rsid w:val="00631CF9"/>
    <w:rsid w:val="00631F60"/>
    <w:rsid w:val="006320B4"/>
    <w:rsid w:val="006346BC"/>
    <w:rsid w:val="006357D3"/>
    <w:rsid w:val="00635976"/>
    <w:rsid w:val="00636814"/>
    <w:rsid w:val="00641CE4"/>
    <w:rsid w:val="00642486"/>
    <w:rsid w:val="00646355"/>
    <w:rsid w:val="006465D9"/>
    <w:rsid w:val="006509CD"/>
    <w:rsid w:val="006556EA"/>
    <w:rsid w:val="00655853"/>
    <w:rsid w:val="0065752A"/>
    <w:rsid w:val="00662353"/>
    <w:rsid w:val="00662D89"/>
    <w:rsid w:val="0066484F"/>
    <w:rsid w:val="00664A41"/>
    <w:rsid w:val="0066652A"/>
    <w:rsid w:val="006719C3"/>
    <w:rsid w:val="006731D5"/>
    <w:rsid w:val="00674ABB"/>
    <w:rsid w:val="006771F4"/>
    <w:rsid w:val="006804E9"/>
    <w:rsid w:val="00680522"/>
    <w:rsid w:val="00680DC4"/>
    <w:rsid w:val="00682167"/>
    <w:rsid w:val="006842B1"/>
    <w:rsid w:val="00686741"/>
    <w:rsid w:val="00692A38"/>
    <w:rsid w:val="0069325D"/>
    <w:rsid w:val="0069416C"/>
    <w:rsid w:val="006A0ECC"/>
    <w:rsid w:val="006A6E6E"/>
    <w:rsid w:val="006B21B6"/>
    <w:rsid w:val="006B2A02"/>
    <w:rsid w:val="006B3A43"/>
    <w:rsid w:val="006B6E82"/>
    <w:rsid w:val="006C42AF"/>
    <w:rsid w:val="006C79A3"/>
    <w:rsid w:val="006D58D3"/>
    <w:rsid w:val="006D5D00"/>
    <w:rsid w:val="006D6125"/>
    <w:rsid w:val="006D6DDB"/>
    <w:rsid w:val="006E0C64"/>
    <w:rsid w:val="006E3425"/>
    <w:rsid w:val="006E65A8"/>
    <w:rsid w:val="006F116F"/>
    <w:rsid w:val="006F32C7"/>
    <w:rsid w:val="006F5E1A"/>
    <w:rsid w:val="007015A2"/>
    <w:rsid w:val="00706AD3"/>
    <w:rsid w:val="00711D8E"/>
    <w:rsid w:val="00712672"/>
    <w:rsid w:val="00712DB6"/>
    <w:rsid w:val="00717254"/>
    <w:rsid w:val="007215C9"/>
    <w:rsid w:val="00721E70"/>
    <w:rsid w:val="007265CD"/>
    <w:rsid w:val="007279D5"/>
    <w:rsid w:val="00734E3F"/>
    <w:rsid w:val="007361BA"/>
    <w:rsid w:val="00736985"/>
    <w:rsid w:val="00740B9B"/>
    <w:rsid w:val="00743B0C"/>
    <w:rsid w:val="0074533D"/>
    <w:rsid w:val="00745DF5"/>
    <w:rsid w:val="00747250"/>
    <w:rsid w:val="00750E87"/>
    <w:rsid w:val="0075339D"/>
    <w:rsid w:val="0076250F"/>
    <w:rsid w:val="00762B24"/>
    <w:rsid w:val="007706B8"/>
    <w:rsid w:val="00774EE4"/>
    <w:rsid w:val="00777D16"/>
    <w:rsid w:val="00780FA5"/>
    <w:rsid w:val="00782614"/>
    <w:rsid w:val="00786FC2"/>
    <w:rsid w:val="00787830"/>
    <w:rsid w:val="00787F63"/>
    <w:rsid w:val="00790FDE"/>
    <w:rsid w:val="00792F33"/>
    <w:rsid w:val="00794700"/>
    <w:rsid w:val="0079728C"/>
    <w:rsid w:val="007A00EA"/>
    <w:rsid w:val="007A1E0F"/>
    <w:rsid w:val="007A311D"/>
    <w:rsid w:val="007A330D"/>
    <w:rsid w:val="007A3937"/>
    <w:rsid w:val="007A5803"/>
    <w:rsid w:val="007A60CA"/>
    <w:rsid w:val="007B0C5E"/>
    <w:rsid w:val="007B3F45"/>
    <w:rsid w:val="007B6200"/>
    <w:rsid w:val="007C18C8"/>
    <w:rsid w:val="007C23C0"/>
    <w:rsid w:val="007C58F5"/>
    <w:rsid w:val="007D3788"/>
    <w:rsid w:val="007D6F7C"/>
    <w:rsid w:val="007E1914"/>
    <w:rsid w:val="007E4426"/>
    <w:rsid w:val="007E5930"/>
    <w:rsid w:val="007F23F2"/>
    <w:rsid w:val="007F3272"/>
    <w:rsid w:val="007F3395"/>
    <w:rsid w:val="007F390B"/>
    <w:rsid w:val="007F5F70"/>
    <w:rsid w:val="00801B9F"/>
    <w:rsid w:val="0080204D"/>
    <w:rsid w:val="008030E1"/>
    <w:rsid w:val="0080431A"/>
    <w:rsid w:val="00804FDB"/>
    <w:rsid w:val="00805B9C"/>
    <w:rsid w:val="00815476"/>
    <w:rsid w:val="00816439"/>
    <w:rsid w:val="00820932"/>
    <w:rsid w:val="00824E25"/>
    <w:rsid w:val="0083052F"/>
    <w:rsid w:val="00832410"/>
    <w:rsid w:val="00833F5A"/>
    <w:rsid w:val="00834A56"/>
    <w:rsid w:val="0083795D"/>
    <w:rsid w:val="0084406D"/>
    <w:rsid w:val="008475F0"/>
    <w:rsid w:val="00847721"/>
    <w:rsid w:val="00847EA1"/>
    <w:rsid w:val="008557A7"/>
    <w:rsid w:val="00856393"/>
    <w:rsid w:val="00856BB8"/>
    <w:rsid w:val="00856C68"/>
    <w:rsid w:val="00857B3B"/>
    <w:rsid w:val="00857E52"/>
    <w:rsid w:val="00862C69"/>
    <w:rsid w:val="00864938"/>
    <w:rsid w:val="00865C40"/>
    <w:rsid w:val="00870928"/>
    <w:rsid w:val="00870FB3"/>
    <w:rsid w:val="00876D63"/>
    <w:rsid w:val="008819C2"/>
    <w:rsid w:val="00881C34"/>
    <w:rsid w:val="00885A62"/>
    <w:rsid w:val="00887683"/>
    <w:rsid w:val="008901EF"/>
    <w:rsid w:val="00891B79"/>
    <w:rsid w:val="0089405C"/>
    <w:rsid w:val="0089431F"/>
    <w:rsid w:val="00897FA2"/>
    <w:rsid w:val="008A0605"/>
    <w:rsid w:val="008A0BAC"/>
    <w:rsid w:val="008A2671"/>
    <w:rsid w:val="008A2ECD"/>
    <w:rsid w:val="008A5AFE"/>
    <w:rsid w:val="008B7558"/>
    <w:rsid w:val="008C22B7"/>
    <w:rsid w:val="008C5A0E"/>
    <w:rsid w:val="008D4CF8"/>
    <w:rsid w:val="008D4CFC"/>
    <w:rsid w:val="008E397D"/>
    <w:rsid w:val="008E4848"/>
    <w:rsid w:val="008F0562"/>
    <w:rsid w:val="008F4CDA"/>
    <w:rsid w:val="00900146"/>
    <w:rsid w:val="00906114"/>
    <w:rsid w:val="00906390"/>
    <w:rsid w:val="00907C6E"/>
    <w:rsid w:val="009115BB"/>
    <w:rsid w:val="009145B6"/>
    <w:rsid w:val="009176CC"/>
    <w:rsid w:val="00917C84"/>
    <w:rsid w:val="009201C2"/>
    <w:rsid w:val="0092239F"/>
    <w:rsid w:val="0092337A"/>
    <w:rsid w:val="009252FB"/>
    <w:rsid w:val="0092568C"/>
    <w:rsid w:val="00926BBE"/>
    <w:rsid w:val="0092797D"/>
    <w:rsid w:val="009307EF"/>
    <w:rsid w:val="00931C61"/>
    <w:rsid w:val="00933823"/>
    <w:rsid w:val="009344FC"/>
    <w:rsid w:val="009371EE"/>
    <w:rsid w:val="00940929"/>
    <w:rsid w:val="009416B3"/>
    <w:rsid w:val="00942354"/>
    <w:rsid w:val="00943730"/>
    <w:rsid w:val="009438ED"/>
    <w:rsid w:val="00945148"/>
    <w:rsid w:val="00946978"/>
    <w:rsid w:val="009470D6"/>
    <w:rsid w:val="00950D58"/>
    <w:rsid w:val="0095125E"/>
    <w:rsid w:val="009516C7"/>
    <w:rsid w:val="00952EB6"/>
    <w:rsid w:val="00953D5E"/>
    <w:rsid w:val="009548E8"/>
    <w:rsid w:val="00961E72"/>
    <w:rsid w:val="009620F4"/>
    <w:rsid w:val="00972BF3"/>
    <w:rsid w:val="00973862"/>
    <w:rsid w:val="00975A08"/>
    <w:rsid w:val="00975CA5"/>
    <w:rsid w:val="00980E01"/>
    <w:rsid w:val="00983AED"/>
    <w:rsid w:val="00984A67"/>
    <w:rsid w:val="00985AD9"/>
    <w:rsid w:val="00986590"/>
    <w:rsid w:val="0099076E"/>
    <w:rsid w:val="00991500"/>
    <w:rsid w:val="00992C76"/>
    <w:rsid w:val="009933F7"/>
    <w:rsid w:val="009969D6"/>
    <w:rsid w:val="009A3C18"/>
    <w:rsid w:val="009A3DD2"/>
    <w:rsid w:val="009B2A81"/>
    <w:rsid w:val="009B3754"/>
    <w:rsid w:val="009B4D3B"/>
    <w:rsid w:val="009B618C"/>
    <w:rsid w:val="009B7942"/>
    <w:rsid w:val="009C01DA"/>
    <w:rsid w:val="009D4130"/>
    <w:rsid w:val="009D7407"/>
    <w:rsid w:val="009E0866"/>
    <w:rsid w:val="009E273C"/>
    <w:rsid w:val="009E2D1D"/>
    <w:rsid w:val="009E3B8B"/>
    <w:rsid w:val="009F0964"/>
    <w:rsid w:val="009F0BD7"/>
    <w:rsid w:val="009F1350"/>
    <w:rsid w:val="009F2F04"/>
    <w:rsid w:val="009F3055"/>
    <w:rsid w:val="009F6423"/>
    <w:rsid w:val="009F78E3"/>
    <w:rsid w:val="009F7A98"/>
    <w:rsid w:val="00A011F1"/>
    <w:rsid w:val="00A05625"/>
    <w:rsid w:val="00A12C04"/>
    <w:rsid w:val="00A175B3"/>
    <w:rsid w:val="00A24A62"/>
    <w:rsid w:val="00A2527D"/>
    <w:rsid w:val="00A27CFB"/>
    <w:rsid w:val="00A30DF3"/>
    <w:rsid w:val="00A31C9F"/>
    <w:rsid w:val="00A32858"/>
    <w:rsid w:val="00A35EA6"/>
    <w:rsid w:val="00A4144F"/>
    <w:rsid w:val="00A440E8"/>
    <w:rsid w:val="00A46345"/>
    <w:rsid w:val="00A47493"/>
    <w:rsid w:val="00A47B50"/>
    <w:rsid w:val="00A553D6"/>
    <w:rsid w:val="00A61B4D"/>
    <w:rsid w:val="00A62D95"/>
    <w:rsid w:val="00A63289"/>
    <w:rsid w:val="00A64CCF"/>
    <w:rsid w:val="00A74D7A"/>
    <w:rsid w:val="00A7682D"/>
    <w:rsid w:val="00A809DF"/>
    <w:rsid w:val="00A80F95"/>
    <w:rsid w:val="00A91795"/>
    <w:rsid w:val="00A96D31"/>
    <w:rsid w:val="00A97BF1"/>
    <w:rsid w:val="00AA199A"/>
    <w:rsid w:val="00AA298A"/>
    <w:rsid w:val="00AA315B"/>
    <w:rsid w:val="00AA384F"/>
    <w:rsid w:val="00AA4870"/>
    <w:rsid w:val="00AA61F5"/>
    <w:rsid w:val="00AB72C9"/>
    <w:rsid w:val="00AB79FD"/>
    <w:rsid w:val="00AC164A"/>
    <w:rsid w:val="00AC1BD1"/>
    <w:rsid w:val="00AC1BD6"/>
    <w:rsid w:val="00AC3DB4"/>
    <w:rsid w:val="00AC5F23"/>
    <w:rsid w:val="00AC628A"/>
    <w:rsid w:val="00AC745F"/>
    <w:rsid w:val="00AD07B4"/>
    <w:rsid w:val="00AD08C4"/>
    <w:rsid w:val="00AD33C9"/>
    <w:rsid w:val="00AD48D7"/>
    <w:rsid w:val="00AD567A"/>
    <w:rsid w:val="00AD7C29"/>
    <w:rsid w:val="00AE253C"/>
    <w:rsid w:val="00AE448A"/>
    <w:rsid w:val="00AE695E"/>
    <w:rsid w:val="00AF143B"/>
    <w:rsid w:val="00AF1788"/>
    <w:rsid w:val="00AF2050"/>
    <w:rsid w:val="00AF7DE4"/>
    <w:rsid w:val="00B025E6"/>
    <w:rsid w:val="00B03CA8"/>
    <w:rsid w:val="00B1552C"/>
    <w:rsid w:val="00B16313"/>
    <w:rsid w:val="00B2153C"/>
    <w:rsid w:val="00B312DD"/>
    <w:rsid w:val="00B32AB1"/>
    <w:rsid w:val="00B33C0A"/>
    <w:rsid w:val="00B41332"/>
    <w:rsid w:val="00B440CC"/>
    <w:rsid w:val="00B46B3B"/>
    <w:rsid w:val="00B508D2"/>
    <w:rsid w:val="00B55E19"/>
    <w:rsid w:val="00B622F2"/>
    <w:rsid w:val="00B64260"/>
    <w:rsid w:val="00B648AE"/>
    <w:rsid w:val="00B669F5"/>
    <w:rsid w:val="00B70484"/>
    <w:rsid w:val="00B7111E"/>
    <w:rsid w:val="00B71B75"/>
    <w:rsid w:val="00B71D60"/>
    <w:rsid w:val="00B80D38"/>
    <w:rsid w:val="00B86D4D"/>
    <w:rsid w:val="00B86EF5"/>
    <w:rsid w:val="00B932BD"/>
    <w:rsid w:val="00B94758"/>
    <w:rsid w:val="00B973B7"/>
    <w:rsid w:val="00BA4B6D"/>
    <w:rsid w:val="00BA6408"/>
    <w:rsid w:val="00BB0659"/>
    <w:rsid w:val="00BB26C5"/>
    <w:rsid w:val="00BB4BAA"/>
    <w:rsid w:val="00BB5494"/>
    <w:rsid w:val="00BB6417"/>
    <w:rsid w:val="00BB76E4"/>
    <w:rsid w:val="00BC31BD"/>
    <w:rsid w:val="00BC4CA3"/>
    <w:rsid w:val="00BC5326"/>
    <w:rsid w:val="00BD05D3"/>
    <w:rsid w:val="00BD0740"/>
    <w:rsid w:val="00BD4738"/>
    <w:rsid w:val="00BF0C09"/>
    <w:rsid w:val="00BF30AB"/>
    <w:rsid w:val="00BF4DE6"/>
    <w:rsid w:val="00BF5755"/>
    <w:rsid w:val="00BF657C"/>
    <w:rsid w:val="00C001F2"/>
    <w:rsid w:val="00C03798"/>
    <w:rsid w:val="00C05663"/>
    <w:rsid w:val="00C06B13"/>
    <w:rsid w:val="00C07FCA"/>
    <w:rsid w:val="00C14258"/>
    <w:rsid w:val="00C22374"/>
    <w:rsid w:val="00C231FF"/>
    <w:rsid w:val="00C27B4B"/>
    <w:rsid w:val="00C27D25"/>
    <w:rsid w:val="00C3248D"/>
    <w:rsid w:val="00C374B2"/>
    <w:rsid w:val="00C41ADE"/>
    <w:rsid w:val="00C42541"/>
    <w:rsid w:val="00C428D9"/>
    <w:rsid w:val="00C42B10"/>
    <w:rsid w:val="00C42CDE"/>
    <w:rsid w:val="00C5182A"/>
    <w:rsid w:val="00C52E68"/>
    <w:rsid w:val="00C576E5"/>
    <w:rsid w:val="00C6164C"/>
    <w:rsid w:val="00C62690"/>
    <w:rsid w:val="00C63EE9"/>
    <w:rsid w:val="00C63FFD"/>
    <w:rsid w:val="00C668A3"/>
    <w:rsid w:val="00C668FC"/>
    <w:rsid w:val="00C742CB"/>
    <w:rsid w:val="00C75696"/>
    <w:rsid w:val="00C75899"/>
    <w:rsid w:val="00C75E41"/>
    <w:rsid w:val="00C76EB3"/>
    <w:rsid w:val="00C80103"/>
    <w:rsid w:val="00C80DD2"/>
    <w:rsid w:val="00C81115"/>
    <w:rsid w:val="00C816D4"/>
    <w:rsid w:val="00C82A02"/>
    <w:rsid w:val="00C87482"/>
    <w:rsid w:val="00C94FE7"/>
    <w:rsid w:val="00C95066"/>
    <w:rsid w:val="00C955A6"/>
    <w:rsid w:val="00CA0C7D"/>
    <w:rsid w:val="00CA16F3"/>
    <w:rsid w:val="00CA28A2"/>
    <w:rsid w:val="00CA3446"/>
    <w:rsid w:val="00CA37B1"/>
    <w:rsid w:val="00CA4F0C"/>
    <w:rsid w:val="00CB1959"/>
    <w:rsid w:val="00CB3085"/>
    <w:rsid w:val="00CB3B4F"/>
    <w:rsid w:val="00CB61A0"/>
    <w:rsid w:val="00CC150E"/>
    <w:rsid w:val="00CC3A9A"/>
    <w:rsid w:val="00CC741B"/>
    <w:rsid w:val="00CC7FE1"/>
    <w:rsid w:val="00CD0E4B"/>
    <w:rsid w:val="00CD466B"/>
    <w:rsid w:val="00CD6C27"/>
    <w:rsid w:val="00CE2FEF"/>
    <w:rsid w:val="00CE4C89"/>
    <w:rsid w:val="00CE6227"/>
    <w:rsid w:val="00CF07BA"/>
    <w:rsid w:val="00CF2CEC"/>
    <w:rsid w:val="00CF46AB"/>
    <w:rsid w:val="00CF4CC4"/>
    <w:rsid w:val="00CF54A3"/>
    <w:rsid w:val="00D004BC"/>
    <w:rsid w:val="00D0296C"/>
    <w:rsid w:val="00D11216"/>
    <w:rsid w:val="00D11C29"/>
    <w:rsid w:val="00D13769"/>
    <w:rsid w:val="00D14113"/>
    <w:rsid w:val="00D146F0"/>
    <w:rsid w:val="00D1657F"/>
    <w:rsid w:val="00D20867"/>
    <w:rsid w:val="00D20BAE"/>
    <w:rsid w:val="00D23BB4"/>
    <w:rsid w:val="00D24445"/>
    <w:rsid w:val="00D32D6F"/>
    <w:rsid w:val="00D34476"/>
    <w:rsid w:val="00D376F2"/>
    <w:rsid w:val="00D37B04"/>
    <w:rsid w:val="00D41D12"/>
    <w:rsid w:val="00D46B4B"/>
    <w:rsid w:val="00D504E6"/>
    <w:rsid w:val="00D540C6"/>
    <w:rsid w:val="00D5483E"/>
    <w:rsid w:val="00D564BC"/>
    <w:rsid w:val="00D64BD1"/>
    <w:rsid w:val="00D65911"/>
    <w:rsid w:val="00D65D55"/>
    <w:rsid w:val="00D71421"/>
    <w:rsid w:val="00D722F8"/>
    <w:rsid w:val="00D732D8"/>
    <w:rsid w:val="00D82DEF"/>
    <w:rsid w:val="00D86A4F"/>
    <w:rsid w:val="00D87C55"/>
    <w:rsid w:val="00D92254"/>
    <w:rsid w:val="00D96E60"/>
    <w:rsid w:val="00DA275C"/>
    <w:rsid w:val="00DA5769"/>
    <w:rsid w:val="00DA59D4"/>
    <w:rsid w:val="00DA6172"/>
    <w:rsid w:val="00DA6993"/>
    <w:rsid w:val="00DB17A1"/>
    <w:rsid w:val="00DB1B88"/>
    <w:rsid w:val="00DB6470"/>
    <w:rsid w:val="00DC05A2"/>
    <w:rsid w:val="00DC5F6A"/>
    <w:rsid w:val="00DC7EC3"/>
    <w:rsid w:val="00DD3780"/>
    <w:rsid w:val="00DD4B51"/>
    <w:rsid w:val="00DD6D5F"/>
    <w:rsid w:val="00DE084C"/>
    <w:rsid w:val="00DE37FC"/>
    <w:rsid w:val="00DE3B7E"/>
    <w:rsid w:val="00DE4CB7"/>
    <w:rsid w:val="00DF00D4"/>
    <w:rsid w:val="00DF08B8"/>
    <w:rsid w:val="00DF28D1"/>
    <w:rsid w:val="00DF74B8"/>
    <w:rsid w:val="00E00130"/>
    <w:rsid w:val="00E01189"/>
    <w:rsid w:val="00E015DE"/>
    <w:rsid w:val="00E051B4"/>
    <w:rsid w:val="00E05A39"/>
    <w:rsid w:val="00E14519"/>
    <w:rsid w:val="00E14F51"/>
    <w:rsid w:val="00E16C00"/>
    <w:rsid w:val="00E21FBE"/>
    <w:rsid w:val="00E22565"/>
    <w:rsid w:val="00E22CD5"/>
    <w:rsid w:val="00E30691"/>
    <w:rsid w:val="00E32A10"/>
    <w:rsid w:val="00E357B7"/>
    <w:rsid w:val="00E4149A"/>
    <w:rsid w:val="00E41985"/>
    <w:rsid w:val="00E43108"/>
    <w:rsid w:val="00E4402F"/>
    <w:rsid w:val="00E45B4F"/>
    <w:rsid w:val="00E505B5"/>
    <w:rsid w:val="00E53800"/>
    <w:rsid w:val="00E53903"/>
    <w:rsid w:val="00E558AB"/>
    <w:rsid w:val="00E558CA"/>
    <w:rsid w:val="00E603AD"/>
    <w:rsid w:val="00E6081F"/>
    <w:rsid w:val="00E646CA"/>
    <w:rsid w:val="00E66A2A"/>
    <w:rsid w:val="00E70932"/>
    <w:rsid w:val="00E75234"/>
    <w:rsid w:val="00E75908"/>
    <w:rsid w:val="00E806F9"/>
    <w:rsid w:val="00E82519"/>
    <w:rsid w:val="00E8296D"/>
    <w:rsid w:val="00E8362E"/>
    <w:rsid w:val="00E8457B"/>
    <w:rsid w:val="00E87B28"/>
    <w:rsid w:val="00E90999"/>
    <w:rsid w:val="00E91B59"/>
    <w:rsid w:val="00E924A6"/>
    <w:rsid w:val="00E928C7"/>
    <w:rsid w:val="00E932DD"/>
    <w:rsid w:val="00E97417"/>
    <w:rsid w:val="00E97A62"/>
    <w:rsid w:val="00EA04B2"/>
    <w:rsid w:val="00EA1649"/>
    <w:rsid w:val="00EA1EC2"/>
    <w:rsid w:val="00EA20F3"/>
    <w:rsid w:val="00EA40FD"/>
    <w:rsid w:val="00EA694C"/>
    <w:rsid w:val="00EA7E3A"/>
    <w:rsid w:val="00EB2422"/>
    <w:rsid w:val="00EB4748"/>
    <w:rsid w:val="00EB7D8C"/>
    <w:rsid w:val="00EC2C32"/>
    <w:rsid w:val="00ED1A0F"/>
    <w:rsid w:val="00ED24FD"/>
    <w:rsid w:val="00ED2831"/>
    <w:rsid w:val="00ED43D1"/>
    <w:rsid w:val="00ED4415"/>
    <w:rsid w:val="00EE25F4"/>
    <w:rsid w:val="00EE3E89"/>
    <w:rsid w:val="00EE4EE1"/>
    <w:rsid w:val="00EF0B47"/>
    <w:rsid w:val="00EF29D6"/>
    <w:rsid w:val="00EF2D62"/>
    <w:rsid w:val="00EF2E3A"/>
    <w:rsid w:val="00EF3586"/>
    <w:rsid w:val="00EF4574"/>
    <w:rsid w:val="00EF5FB3"/>
    <w:rsid w:val="00F06EA8"/>
    <w:rsid w:val="00F07BCC"/>
    <w:rsid w:val="00F15319"/>
    <w:rsid w:val="00F16529"/>
    <w:rsid w:val="00F2150E"/>
    <w:rsid w:val="00F22B89"/>
    <w:rsid w:val="00F25A93"/>
    <w:rsid w:val="00F2653B"/>
    <w:rsid w:val="00F2684E"/>
    <w:rsid w:val="00F31612"/>
    <w:rsid w:val="00F44AE0"/>
    <w:rsid w:val="00F46ED4"/>
    <w:rsid w:val="00F50EAE"/>
    <w:rsid w:val="00F5404C"/>
    <w:rsid w:val="00F60F58"/>
    <w:rsid w:val="00F6159A"/>
    <w:rsid w:val="00F6521E"/>
    <w:rsid w:val="00F677B1"/>
    <w:rsid w:val="00F729EF"/>
    <w:rsid w:val="00F730C9"/>
    <w:rsid w:val="00F744A2"/>
    <w:rsid w:val="00F751E9"/>
    <w:rsid w:val="00F75624"/>
    <w:rsid w:val="00F759CA"/>
    <w:rsid w:val="00F77CAE"/>
    <w:rsid w:val="00F82271"/>
    <w:rsid w:val="00F8233D"/>
    <w:rsid w:val="00F83428"/>
    <w:rsid w:val="00F8472E"/>
    <w:rsid w:val="00F851EA"/>
    <w:rsid w:val="00F911CA"/>
    <w:rsid w:val="00F93211"/>
    <w:rsid w:val="00F9414E"/>
    <w:rsid w:val="00F96BB9"/>
    <w:rsid w:val="00F97C9D"/>
    <w:rsid w:val="00FA2742"/>
    <w:rsid w:val="00FA4F1E"/>
    <w:rsid w:val="00FA71DF"/>
    <w:rsid w:val="00FB0AAF"/>
    <w:rsid w:val="00FB3FEF"/>
    <w:rsid w:val="00FC322F"/>
    <w:rsid w:val="00FC50FC"/>
    <w:rsid w:val="00FD0927"/>
    <w:rsid w:val="00FD2F98"/>
    <w:rsid w:val="00FD60A5"/>
    <w:rsid w:val="00FE313E"/>
    <w:rsid w:val="00FE3F4C"/>
    <w:rsid w:val="00FE668A"/>
    <w:rsid w:val="00FE6D51"/>
    <w:rsid w:val="00FE6F2A"/>
    <w:rsid w:val="00FE7273"/>
    <w:rsid w:val="00FF5118"/>
  </w:rsids>
  <m:mathPr>
    <m:mathFont m:val="Cambria Math"/>
    <m:brkBin m:val="before"/>
    <m:brkBinSub m:val="--"/>
    <m:smallFrac m:val="0"/>
    <m:dispDef/>
    <m:lMargin m:val="0"/>
    <m:rMargin m:val="0"/>
    <m:defJc m:val="centerGroup"/>
    <m:wrapIndent m:val="1440"/>
    <m:intLim m:val="subSup"/>
    <m:naryLim m:val="undOvr"/>
  </m:mathPr>
  <w:themeFontLang w:val="en-AU"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69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iPriority="0" w:unhideWhenUsed="1" w:qFormat="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B55E8"/>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706B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983AED"/>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7706B8"/>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6B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983AED"/>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uiPriority w:val="99"/>
    <w:qFormat/>
    <w:rsid w:val="007706B8"/>
    <w:pPr>
      <w:spacing w:before="0"/>
      <w:ind w:left="284" w:hanging="284"/>
    </w:pPr>
  </w:style>
  <w:style w:type="paragraph" w:customStyle="1" w:styleId="Bullet2">
    <w:name w:val="Bullet 2"/>
    <w:basedOn w:val="Bullet1"/>
    <w:qFormat/>
    <w:rsid w:val="00F2684E"/>
    <w:pPr>
      <w:numPr>
        <w:ilvl w:val="1"/>
      </w:numPr>
      <w:ind w:left="284" w:hanging="284"/>
    </w:pPr>
  </w:style>
  <w:style w:type="paragraph" w:customStyle="1" w:styleId="Bullet3">
    <w:name w:val="Bullet 3"/>
    <w:basedOn w:val="Bullet2"/>
    <w:qFormat/>
    <w:rsid w:val="00F2684E"/>
    <w:pPr>
      <w:numPr>
        <w:ilvl w:val="2"/>
      </w:numPr>
      <w:ind w:left="284" w:hanging="284"/>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7706B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DC5F6A"/>
    <w:pPr>
      <w:tabs>
        <w:tab w:val="center" w:pos="4513"/>
        <w:tab w:val="right" w:pos="9026"/>
      </w:tabs>
      <w:spacing w:before="0" w:after="0"/>
      <w:ind w:left="227"/>
    </w:pPr>
    <w:rPr>
      <w:rFonts w:ascii="Arial" w:hAnsi="Arial"/>
      <w:b/>
      <w:caps/>
      <w:color w:val="FFFFFF" w:themeColor="background1"/>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7706B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C5F6A"/>
    <w:rPr>
      <w:rFonts w:ascii="Arial" w:hAnsi="Arial"/>
      <w:b/>
      <w:caps/>
      <w:color w:val="FFFFFF" w:themeColor="background1"/>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7706B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DC5F6A"/>
    <w:pPr>
      <w:spacing w:before="0" w:after="0" w:line="240" w:lineRule="exact"/>
      <w:ind w:left="284" w:right="284"/>
    </w:pPr>
    <w:rPr>
      <w:rFonts w:ascii="Arial" w:hAnsi="Arial"/>
      <w:color w:val="FFFFFF" w:themeColor="background1"/>
    </w:rPr>
  </w:style>
  <w:style w:type="character" w:customStyle="1" w:styleId="FooterChar">
    <w:name w:val="Footer Char"/>
    <w:basedOn w:val="DefaultParagraphFont"/>
    <w:link w:val="Footer"/>
    <w:uiPriority w:val="99"/>
    <w:rsid w:val="00DC5F6A"/>
    <w:rPr>
      <w:rFonts w:ascii="Arial" w:hAnsi="Arial"/>
      <w:color w:val="FFFFFF" w:themeColor="background1"/>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nhideWhenUsed/>
    <w:qFormat/>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rsid w:val="008C5A0E"/>
    <w:rPr>
      <w:color w:val="495965" w:themeColor="text2"/>
      <w:sz w:val="12"/>
      <w:szCs w:val="20"/>
    </w:rPr>
  </w:style>
  <w:style w:type="character" w:styleId="FootnoteReference">
    <w:name w:val="footnote reference"/>
    <w:aliases w:val="Normal + Font:9 Point,Superscript 3 Point Times"/>
    <w:basedOn w:val="DefaultParagraphFont"/>
    <w:uiPriority w:val="99"/>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961E72"/>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numPr>
        <w:ilvl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 (numbered (a)),List Paragraph1,Numbered List Paragraph,Main numbered paragraph,List Bullet Mary,Bullets,List Bullet-OpsManual,References,Title Style 1,Colorful List - Accent 11,OBC Bullet,List Paragraph11,Normal numbered,L"/>
    <w:basedOn w:val="Normal"/>
    <w:link w:val="ListParagraphChar"/>
    <w:uiPriority w:val="34"/>
    <w:qFormat/>
    <w:locked/>
    <w:rsid w:val="00A32858"/>
    <w:pPr>
      <w:ind w:left="720"/>
      <w:contextualSpacing/>
    </w:pPr>
  </w:style>
  <w:style w:type="paragraph" w:styleId="ListBullet">
    <w:name w:val="List Bullet"/>
    <w:basedOn w:val="BodyText"/>
    <w:qFormat/>
    <w:locked/>
    <w:rsid w:val="00A32858"/>
    <w:pPr>
      <w:numPr>
        <w:numId w:val="12"/>
      </w:numPr>
      <w:tabs>
        <w:tab w:val="left" w:pos="284"/>
      </w:tabs>
      <w:suppressAutoHyphens w:val="0"/>
      <w:spacing w:before="0" w:after="120" w:line="280" w:lineRule="exact"/>
    </w:pPr>
    <w:rPr>
      <w:rFonts w:ascii="Franklin Gothic Book" w:eastAsia="Times New Roman" w:hAnsi="Franklin Gothic Book" w:cs="Times New Roman"/>
      <w:sz w:val="21"/>
      <w:szCs w:val="24"/>
      <w:lang w:val="en-AU" w:eastAsia="en-AU"/>
    </w:rPr>
  </w:style>
  <w:style w:type="table" w:customStyle="1" w:styleId="TableGrid1">
    <w:name w:val="Table Grid1"/>
    <w:basedOn w:val="TableNormal"/>
    <w:next w:val="TableGrid"/>
    <w:uiPriority w:val="39"/>
    <w:locked/>
    <w:rsid w:val="000F4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aliases w:val="Table/Chart Title"/>
    <w:basedOn w:val="Heading2Char"/>
    <w:uiPriority w:val="33"/>
    <w:qFormat/>
    <w:locked/>
    <w:rsid w:val="006F116F"/>
    <w:rPr>
      <w:rFonts w:ascii="Calibri" w:eastAsiaTheme="majorEastAsia" w:hAnsi="Calibri" w:cstheme="majorBidi"/>
      <w:b/>
      <w:caps w:val="0"/>
      <w:color w:val="7C8C88"/>
      <w:sz w:val="26"/>
      <w:szCs w:val="26"/>
      <w:lang w:val="en-GB"/>
    </w:rPr>
  </w:style>
  <w:style w:type="paragraph" w:customStyle="1" w:styleId="Tablecolumnheading">
    <w:name w:val="Table column heading"/>
    <w:basedOn w:val="Normal"/>
    <w:qFormat/>
    <w:rsid w:val="006F116F"/>
    <w:pPr>
      <w:keepNext/>
      <w:suppressAutoHyphens w:val="0"/>
      <w:spacing w:before="57" w:after="57" w:line="220" w:lineRule="atLeast"/>
      <w:ind w:left="96" w:right="96"/>
      <w:jc w:val="center"/>
    </w:pPr>
    <w:rPr>
      <w:rFonts w:eastAsia="Times New Roman" w:cs="Times New Roman"/>
      <w:b/>
      <w:color w:val="FFFFFF" w:themeColor="background1"/>
      <w:sz w:val="20"/>
      <w:szCs w:val="20"/>
      <w:lang w:val="en-AU"/>
    </w:rPr>
  </w:style>
  <w:style w:type="paragraph" w:customStyle="1" w:styleId="BodyTextHanging">
    <w:name w:val="Body Text Hanging"/>
    <w:basedOn w:val="BodyText"/>
    <w:link w:val="BodyTextHangingChar"/>
    <w:qFormat/>
    <w:rsid w:val="006F116F"/>
    <w:pPr>
      <w:spacing w:before="0" w:after="120" w:line="240" w:lineRule="auto"/>
    </w:pPr>
    <w:rPr>
      <w:rFonts w:ascii="Calibri" w:hAnsi="Calibri"/>
      <w:color w:val="000000" w:themeColor="text1"/>
      <w:lang w:eastAsia="en-AU"/>
    </w:rPr>
  </w:style>
  <w:style w:type="character" w:customStyle="1" w:styleId="BodyTextHangingChar">
    <w:name w:val="Body Text Hanging Char"/>
    <w:basedOn w:val="BodyTextChar"/>
    <w:link w:val="BodyTextHanging"/>
    <w:rsid w:val="006F116F"/>
    <w:rPr>
      <w:rFonts w:ascii="Calibri" w:hAnsi="Calibri"/>
      <w:color w:val="000000" w:themeColor="text1"/>
      <w:lang w:val="en-GB" w:eastAsia="en-AU"/>
    </w:rPr>
  </w:style>
  <w:style w:type="paragraph" w:styleId="Revision">
    <w:name w:val="Revision"/>
    <w:hidden/>
    <w:uiPriority w:val="99"/>
    <w:semiHidden/>
    <w:rsid w:val="0083795D"/>
    <w:pPr>
      <w:spacing w:after="0" w:line="240" w:lineRule="auto"/>
    </w:pPr>
    <w:rPr>
      <w:color w:val="495965" w:themeColor="text2"/>
      <w:lang w:val="en-GB"/>
    </w:rPr>
  </w:style>
  <w:style w:type="table" w:styleId="GridTable1Light">
    <w:name w:val="Grid Table 1 Light"/>
    <w:basedOn w:val="TableNormal"/>
    <w:uiPriority w:val="46"/>
    <w:locked/>
    <w:rsid w:val="0011588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istParagraphChar">
    <w:name w:val="List Paragraph Char"/>
    <w:aliases w:val="List Paragraph (numbered (a)) Char,List Paragraph1 Char,Numbered List Paragraph Char,Main numbered paragraph Char,List Bullet Mary Char,Bullets Char,List Bullet-OpsManual Char,References Char,Title Style 1 Char,OBC Bullet Char,L Char"/>
    <w:basedOn w:val="DefaultParagraphFont"/>
    <w:link w:val="ListParagraph"/>
    <w:uiPriority w:val="34"/>
    <w:qFormat/>
    <w:rsid w:val="00F730C9"/>
    <w:rPr>
      <w:color w:val="495965" w:themeColor="text2"/>
      <w:lang w:val="en-GB"/>
    </w:rPr>
  </w:style>
  <w:style w:type="paragraph" w:customStyle="1" w:styleId="Default">
    <w:name w:val="Default"/>
    <w:rsid w:val="001C025E"/>
    <w:pPr>
      <w:autoSpaceDE w:val="0"/>
      <w:autoSpaceDN w:val="0"/>
      <w:adjustRightInd w:val="0"/>
      <w:spacing w:after="0" w:line="240" w:lineRule="auto"/>
    </w:pPr>
    <w:rPr>
      <w:rFonts w:ascii="Calibri" w:hAnsi="Calibri" w:cs="Calibri"/>
      <w:color w:val="000000"/>
      <w:sz w:val="24"/>
      <w:szCs w:val="24"/>
      <w:lang w:val="en-US" w:bidi="km-KH"/>
    </w:rPr>
  </w:style>
  <w:style w:type="paragraph" w:customStyle="1" w:styleId="TableParagraph">
    <w:name w:val="Table Paragraph"/>
    <w:basedOn w:val="Normal"/>
    <w:uiPriority w:val="1"/>
    <w:qFormat/>
    <w:rsid w:val="00AB79FD"/>
    <w:pPr>
      <w:widowControl w:val="0"/>
      <w:suppressAutoHyphens w:val="0"/>
      <w:autoSpaceDE w:val="0"/>
      <w:autoSpaceDN w:val="0"/>
      <w:spacing w:before="0" w:after="0" w:line="240" w:lineRule="auto"/>
    </w:pPr>
    <w:rPr>
      <w:rFonts w:ascii="Arial" w:eastAsia="Arial" w:hAnsi="Arial" w:cs="Arial"/>
      <w:color w:val="auto"/>
      <w:lang w:val="en-US"/>
    </w:rPr>
  </w:style>
  <w:style w:type="paragraph" w:styleId="NoSpacing">
    <w:name w:val="No Spacing"/>
    <w:link w:val="NoSpacingChar"/>
    <w:uiPriority w:val="1"/>
    <w:qFormat/>
    <w:rsid w:val="00E4402F"/>
    <w:pPr>
      <w:spacing w:after="0" w:line="240" w:lineRule="auto"/>
    </w:pPr>
    <w:rPr>
      <w:rFonts w:eastAsiaTheme="minorEastAsia"/>
      <w:sz w:val="24"/>
      <w:szCs w:val="24"/>
      <w:lang w:val="en-GB"/>
    </w:rPr>
  </w:style>
  <w:style w:type="character" w:customStyle="1" w:styleId="NoSpacingChar">
    <w:name w:val="No Spacing Char"/>
    <w:link w:val="NoSpacing"/>
    <w:uiPriority w:val="1"/>
    <w:locked/>
    <w:rsid w:val="00E4402F"/>
    <w:rPr>
      <w:rFonts w:eastAsiaTheme="minorEastAsia"/>
      <w:sz w:val="24"/>
      <w:szCs w:val="24"/>
      <w:lang w:val="en-GB"/>
    </w:rPr>
  </w:style>
  <w:style w:type="paragraph" w:styleId="EndnoteText">
    <w:name w:val="endnote text"/>
    <w:basedOn w:val="Normal"/>
    <w:link w:val="EndnoteTextChar"/>
    <w:uiPriority w:val="99"/>
    <w:semiHidden/>
    <w:unhideWhenUsed/>
    <w:rsid w:val="00B80D38"/>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B80D38"/>
    <w:rPr>
      <w:color w:val="495965" w:themeColor="text2"/>
      <w:sz w:val="20"/>
      <w:szCs w:val="20"/>
      <w:lang w:val="en-GB"/>
    </w:rPr>
  </w:style>
  <w:style w:type="character" w:styleId="EndnoteReference">
    <w:name w:val="endnote reference"/>
    <w:basedOn w:val="DefaultParagraphFont"/>
    <w:uiPriority w:val="99"/>
    <w:semiHidden/>
    <w:unhideWhenUsed/>
    <w:rsid w:val="00B80D38"/>
    <w:rPr>
      <w:vertAlign w:val="superscript"/>
    </w:rPr>
  </w:style>
  <w:style w:type="table" w:customStyle="1" w:styleId="TableGrid2">
    <w:name w:val="Table Grid2"/>
    <w:basedOn w:val="TableNormal"/>
    <w:next w:val="TableGrid"/>
    <w:uiPriority w:val="39"/>
    <w:rsid w:val="00833F5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765563">
      <w:bodyDiv w:val="1"/>
      <w:marLeft w:val="0"/>
      <w:marRight w:val="0"/>
      <w:marTop w:val="0"/>
      <w:marBottom w:val="0"/>
      <w:divBdr>
        <w:top w:val="none" w:sz="0" w:space="0" w:color="auto"/>
        <w:left w:val="none" w:sz="0" w:space="0" w:color="auto"/>
        <w:bottom w:val="none" w:sz="0" w:space="0" w:color="auto"/>
        <w:right w:val="none" w:sz="0" w:space="0" w:color="auto"/>
      </w:divBdr>
    </w:div>
    <w:div w:id="1037702813">
      <w:bodyDiv w:val="1"/>
      <w:marLeft w:val="0"/>
      <w:marRight w:val="0"/>
      <w:marTop w:val="0"/>
      <w:marBottom w:val="0"/>
      <w:divBdr>
        <w:top w:val="none" w:sz="0" w:space="0" w:color="auto"/>
        <w:left w:val="none" w:sz="0" w:space="0" w:color="auto"/>
        <w:bottom w:val="none" w:sz="0" w:space="0" w:color="auto"/>
        <w:right w:val="none" w:sz="0" w:space="0" w:color="auto"/>
      </w:divBdr>
    </w:div>
    <w:div w:id="1260066480">
      <w:bodyDiv w:val="1"/>
      <w:marLeft w:val="0"/>
      <w:marRight w:val="0"/>
      <w:marTop w:val="0"/>
      <w:marBottom w:val="0"/>
      <w:divBdr>
        <w:top w:val="none" w:sz="0" w:space="0" w:color="auto"/>
        <w:left w:val="none" w:sz="0" w:space="0" w:color="auto"/>
        <w:bottom w:val="none" w:sz="0" w:space="0" w:color="auto"/>
        <w:right w:val="none" w:sz="0" w:space="0" w:color="auto"/>
      </w:divBdr>
    </w:div>
    <w:div w:id="1365209554">
      <w:bodyDiv w:val="1"/>
      <w:marLeft w:val="0"/>
      <w:marRight w:val="0"/>
      <w:marTop w:val="0"/>
      <w:marBottom w:val="0"/>
      <w:divBdr>
        <w:top w:val="none" w:sz="0" w:space="0" w:color="auto"/>
        <w:left w:val="none" w:sz="0" w:space="0" w:color="auto"/>
        <w:bottom w:val="none" w:sz="0" w:space="0" w:color="auto"/>
        <w:right w:val="none" w:sz="0" w:space="0" w:color="auto"/>
      </w:divBdr>
    </w:div>
    <w:div w:id="1688361606">
      <w:bodyDiv w:val="1"/>
      <w:marLeft w:val="0"/>
      <w:marRight w:val="0"/>
      <w:marTop w:val="0"/>
      <w:marBottom w:val="0"/>
      <w:divBdr>
        <w:top w:val="none" w:sz="0" w:space="0" w:color="auto"/>
        <w:left w:val="none" w:sz="0" w:space="0" w:color="auto"/>
        <w:bottom w:val="none" w:sz="0" w:space="0" w:color="auto"/>
        <w:right w:val="none" w:sz="0" w:space="0" w:color="auto"/>
      </w:divBdr>
    </w:div>
    <w:div w:id="1959945845">
      <w:bodyDiv w:val="1"/>
      <w:marLeft w:val="0"/>
      <w:marRight w:val="0"/>
      <w:marTop w:val="0"/>
      <w:marBottom w:val="0"/>
      <w:divBdr>
        <w:top w:val="none" w:sz="0" w:space="0" w:color="auto"/>
        <w:left w:val="none" w:sz="0" w:space="0" w:color="auto"/>
        <w:bottom w:val="none" w:sz="0" w:space="0" w:color="auto"/>
        <w:right w:val="none" w:sz="0" w:space="0" w:color="auto"/>
      </w:divBdr>
    </w:div>
    <w:div w:id="1986546590">
      <w:bodyDiv w:val="1"/>
      <w:marLeft w:val="0"/>
      <w:marRight w:val="0"/>
      <w:marTop w:val="0"/>
      <w:marBottom w:val="0"/>
      <w:divBdr>
        <w:top w:val="none" w:sz="0" w:space="0" w:color="auto"/>
        <w:left w:val="none" w:sz="0" w:space="0" w:color="auto"/>
        <w:bottom w:val="none" w:sz="0" w:space="0" w:color="auto"/>
        <w:right w:val="none" w:sz="0" w:space="0" w:color="auto"/>
      </w:divBdr>
    </w:div>
    <w:div w:id="208044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s://dfat.gov.au/about-us/publications/Pages/risk-and-safeguard-tool.aspx"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044D43-4306-43FA-9572-E0808DC2351D}">
  <ds:schemaRefs>
    <ds:schemaRef ds:uri="http://schemas.openxmlformats.org/officeDocument/2006/bibliography"/>
  </ds:schemaRefs>
</ds:datastoreItem>
</file>

<file path=customXml/itemProps2.xml><?xml version="1.0" encoding="utf-8"?>
<ds:datastoreItem xmlns:ds="http://schemas.openxmlformats.org/officeDocument/2006/customXml" ds:itemID="{89DED953-7C44-4147-9DC7-F0E11DF4C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14FE92-9335-48C1-96CD-5E07DF5DDEB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5AA6215-8C69-48FD-9267-8C95E64907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10945</Words>
  <Characters>63816</Characters>
  <Application>Microsoft Office Word</Application>
  <DocSecurity>0</DocSecurity>
  <Lines>1227</Lines>
  <Paragraphs>553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Australia-World Bank Partnership for Promoting Inclusion, Sustainability and Equality in Cambodia</dc:title>
  <dc:subject/>
  <dc:creator/>
  <cp:keywords>[SEC=OFFICIAL]</cp:keywords>
  <dc:description/>
  <cp:lastModifiedBy/>
  <cp:revision>1</cp:revision>
  <dcterms:created xsi:type="dcterms:W3CDTF">2020-12-17T09:35:00Z</dcterms:created>
  <dcterms:modified xsi:type="dcterms:W3CDTF">2023-03-28T03:41:00Z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cfa80e31-8f10-4685-a533-8a97a28c84bb</vt:lpwstr>
  </property>
  <property fmtid="{D5CDD505-2E9C-101B-9397-08002B2CF9AE}" pid="3" name="SEC">
    <vt:lpwstr>OFFICIAL</vt:lpwstr>
  </property>
  <property fmtid="{D5CDD505-2E9C-101B-9397-08002B2CF9AE}" pid="4" name="DLM">
    <vt:lpwstr>No DLM</vt:lpwstr>
  </property>
  <property fmtid="{D5CDD505-2E9C-101B-9397-08002B2CF9AE}" pid="5" name="Order">
    <vt:r8>1204800</vt:r8>
  </property>
  <property fmtid="{D5CDD505-2E9C-101B-9397-08002B2CF9AE}" pid="6" name="xd_Signature">
    <vt:bool>false</vt:bool>
  </property>
  <property fmtid="{D5CDD505-2E9C-101B-9397-08002B2CF9AE}" pid="7" name="xd_ProgID">
    <vt:lpwstr/>
  </property>
  <property fmtid="{D5CDD505-2E9C-101B-9397-08002B2CF9AE}" pid="8" name="ContentTypeId">
    <vt:lpwstr>0x01010050F19AC2165D2E47A5E6B7F563E4CF00</vt:lpwstr>
  </property>
  <property fmtid="{D5CDD505-2E9C-101B-9397-08002B2CF9AE}" pid="9" name="TemplateUrl">
    <vt:lpwstr/>
  </property>
  <property fmtid="{D5CDD505-2E9C-101B-9397-08002B2CF9AE}" pid="10" name="PM_ProtectiveMarkingImage_Header">
    <vt:lpwstr>C:\Program Files (x86)\Common Files\janusNET Shared\janusSEAL\Images\DocumentSlashBlue.png</vt:lpwstr>
  </property>
  <property fmtid="{D5CDD505-2E9C-101B-9397-08002B2CF9AE}" pid="11" name="PM_Caveats_Count">
    <vt:lpwstr>0</vt:lpwstr>
  </property>
  <property fmtid="{D5CDD505-2E9C-101B-9397-08002B2CF9AE}" pid="12" name="PM_DisplayValueSecClassificationWithQualifier">
    <vt:lpwstr>OFFICIAL</vt:lpwstr>
  </property>
  <property fmtid="{D5CDD505-2E9C-101B-9397-08002B2CF9AE}" pid="13" name="PM_Qualifier">
    <vt:lpwstr/>
  </property>
  <property fmtid="{D5CDD505-2E9C-101B-9397-08002B2CF9AE}" pid="14" name="PM_SecurityClassification">
    <vt:lpwstr>OFFICIAL</vt:lpwstr>
  </property>
  <property fmtid="{D5CDD505-2E9C-101B-9397-08002B2CF9AE}" pid="15" name="PM_InsertionValue">
    <vt:lpwstr>OFFICIAL</vt:lpwstr>
  </property>
  <property fmtid="{D5CDD505-2E9C-101B-9397-08002B2CF9AE}" pid="16" name="PM_Originating_FileId">
    <vt:lpwstr>60E2F2A5D8564B9DA1039F10F36B945A</vt:lpwstr>
  </property>
  <property fmtid="{D5CDD505-2E9C-101B-9397-08002B2CF9AE}" pid="17" name="PM_ProtectiveMarkingValue_Footer">
    <vt:lpwstr>OFFICIAL</vt:lpwstr>
  </property>
  <property fmtid="{D5CDD505-2E9C-101B-9397-08002B2CF9AE}" pid="18" name="PM_Originator_Hash_SHA1">
    <vt:lpwstr>260D391A355C0F7895D53005377AC1700003BFA9</vt:lpwstr>
  </property>
  <property fmtid="{D5CDD505-2E9C-101B-9397-08002B2CF9AE}" pid="19" name="PM_OriginationTimeStamp">
    <vt:lpwstr>2023-03-28T03:41:11Z</vt:lpwstr>
  </property>
  <property fmtid="{D5CDD505-2E9C-101B-9397-08002B2CF9AE}" pid="20" name="PM_ProtectiveMarkingValue_Header">
    <vt:lpwstr>OFFICIAL</vt:lpwstr>
  </property>
  <property fmtid="{D5CDD505-2E9C-101B-9397-08002B2CF9AE}" pid="21" name="PM_ProtectiveMarkingImage_Footer">
    <vt:lpwstr>C:\Program Files (x86)\Common Files\janusNET Shared\janusSEAL\Images\DocumentSlashBlue.png</vt:lpwstr>
  </property>
  <property fmtid="{D5CDD505-2E9C-101B-9397-08002B2CF9AE}" pid="22" name="PM_Namespace">
    <vt:lpwstr>gov.au</vt:lpwstr>
  </property>
  <property fmtid="{D5CDD505-2E9C-101B-9397-08002B2CF9AE}" pid="23" name="PM_Version">
    <vt:lpwstr>2018.4</vt:lpwstr>
  </property>
  <property fmtid="{D5CDD505-2E9C-101B-9397-08002B2CF9AE}" pid="24" name="PM_Note">
    <vt:lpwstr/>
  </property>
  <property fmtid="{D5CDD505-2E9C-101B-9397-08002B2CF9AE}" pid="25" name="PM_Markers">
    <vt:lpwstr/>
  </property>
  <property fmtid="{D5CDD505-2E9C-101B-9397-08002B2CF9AE}" pid="26" name="PM_Display">
    <vt:lpwstr>OFFICIAL</vt:lpwstr>
  </property>
  <property fmtid="{D5CDD505-2E9C-101B-9397-08002B2CF9AE}" pid="27" name="PMUuid">
    <vt:lpwstr>ABBFF5E2-9674-55C9-B08D-C9980002FD58</vt:lpwstr>
  </property>
  <property fmtid="{D5CDD505-2E9C-101B-9397-08002B2CF9AE}" pid="28" name="PMUuidVer">
    <vt:lpwstr>2022.1</vt:lpwstr>
  </property>
  <property fmtid="{D5CDD505-2E9C-101B-9397-08002B2CF9AE}" pid="29" name="PM_Hash_Version">
    <vt:lpwstr>2018.0</vt:lpwstr>
  </property>
  <property fmtid="{D5CDD505-2E9C-101B-9397-08002B2CF9AE}" pid="30" name="PM_Hash_Salt_Prev">
    <vt:lpwstr>CB4DBCC2FEAEC74C47A3748763097D9F</vt:lpwstr>
  </property>
  <property fmtid="{D5CDD505-2E9C-101B-9397-08002B2CF9AE}" pid="31" name="PM_Hash_Salt">
    <vt:lpwstr>2E4FC45F3EF1E5A00D82F036542834E3</vt:lpwstr>
  </property>
  <property fmtid="{D5CDD505-2E9C-101B-9397-08002B2CF9AE}" pid="32" name="PM_Hash_SHA1">
    <vt:lpwstr>C18BE3FFB62741AB2A70F0FDCF37B6F618B235AD</vt:lpwstr>
  </property>
  <property fmtid="{D5CDD505-2E9C-101B-9397-08002B2CF9AE}" pid="33" name="PM_OriginatorUserAccountName_SHA256">
    <vt:lpwstr>3F6D732A650B4EC715B623E0D837FB2B96AB69551124ACFE30889A7938FDE719</vt:lpwstr>
  </property>
  <property fmtid="{D5CDD505-2E9C-101B-9397-08002B2CF9AE}" pid="34" name="PM_OriginatorDomainName_SHA256">
    <vt:lpwstr>6F3591835F3B2A8A025B00B5BA6418010DA3A17C9C26EA9C049FFD28039489A2</vt:lpwstr>
  </property>
  <property fmtid="{D5CDD505-2E9C-101B-9397-08002B2CF9AE}" pid="35" name="PM_MinimumSecurityClassification">
    <vt:lpwstr>OFFICIAL</vt:lpwstr>
  </property>
  <property fmtid="{D5CDD505-2E9C-101B-9397-08002B2CF9AE}" pid="36" name="PM_SecurityClassification_Prev">
    <vt:lpwstr>OFFICIAL</vt:lpwstr>
  </property>
  <property fmtid="{D5CDD505-2E9C-101B-9397-08002B2CF9AE}" pid="37" name="PM_Qualifier_Prev">
    <vt:lpwstr/>
  </property>
</Properties>
</file>